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5ECE3" w14:textId="20058222" w:rsidR="00383BFC" w:rsidRDefault="00383BFC" w:rsidP="00383BFC">
      <w:pPr>
        <w:spacing w:after="160" w:line="259" w:lineRule="auto"/>
        <w:ind w:left="4320"/>
      </w:pPr>
    </w:p>
    <w:p w14:paraId="504D7A89" w14:textId="77777777" w:rsidR="00383BFC" w:rsidRDefault="00383BFC" w:rsidP="00383BFC">
      <w:pPr>
        <w:spacing w:after="160" w:line="259" w:lineRule="auto"/>
        <w:rPr>
          <w:rFonts w:ascii="Calibri" w:eastAsia="Calibri" w:hAnsi="Calibri"/>
          <w:sz w:val="22"/>
          <w:szCs w:val="22"/>
        </w:rPr>
      </w:pPr>
    </w:p>
    <w:tbl>
      <w:tblPr>
        <w:tblStyle w:val="TableGrid"/>
        <w:tblW w:w="0" w:type="auto"/>
        <w:tblInd w:w="1440" w:type="dxa"/>
        <w:tblLook w:val="04A0" w:firstRow="1" w:lastRow="0" w:firstColumn="1" w:lastColumn="0" w:noHBand="0" w:noVBand="1"/>
      </w:tblPr>
      <w:tblGrid>
        <w:gridCol w:w="7910"/>
      </w:tblGrid>
      <w:tr w:rsidR="0065670A" w14:paraId="2F40E87A" w14:textId="77777777" w:rsidTr="2E47841B">
        <w:tc>
          <w:tcPr>
            <w:tcW w:w="9350" w:type="dxa"/>
          </w:tcPr>
          <w:p w14:paraId="4762AAD8" w14:textId="30EAC27D" w:rsidR="00383BFC" w:rsidRPr="00383BFC" w:rsidRDefault="27724E70" w:rsidP="2E47841B">
            <w:pPr>
              <w:spacing w:before="100" w:beforeAutospacing="1" w:after="100" w:afterAutospacing="1" w:line="360" w:lineRule="auto"/>
              <w:outlineLvl w:val="1"/>
            </w:pPr>
            <w:r w:rsidRPr="2E47841B">
              <w:rPr>
                <w:rFonts w:ascii="Arial" w:eastAsia="Calibri" w:hAnsi="Arial" w:cs="Arial"/>
                <w:b/>
                <w:bCs/>
                <w:sz w:val="32"/>
                <w:szCs w:val="32"/>
              </w:rPr>
              <w:t>Name: Sumaira</w:t>
            </w:r>
            <w:r w:rsidR="64C7FB80" w:rsidRPr="2E47841B">
              <w:rPr>
                <w:rFonts w:ascii="Arial" w:eastAsia="Calibri" w:hAnsi="Arial" w:cs="Arial"/>
                <w:b/>
                <w:bCs/>
                <w:sz w:val="32"/>
                <w:szCs w:val="32"/>
              </w:rPr>
              <w:t xml:space="preserve"> </w:t>
            </w:r>
            <w:r w:rsidR="695BFA11" w:rsidRPr="2E47841B">
              <w:rPr>
                <w:rFonts w:ascii="Arial" w:eastAsia="Calibri" w:hAnsi="Arial" w:cs="Arial"/>
                <w:b/>
                <w:bCs/>
                <w:sz w:val="32"/>
                <w:szCs w:val="32"/>
              </w:rPr>
              <w:t>shah</w:t>
            </w:r>
          </w:p>
        </w:tc>
      </w:tr>
      <w:tr w:rsidR="0065670A" w14:paraId="2F1FF5ED" w14:textId="77777777" w:rsidTr="2E47841B">
        <w:tc>
          <w:tcPr>
            <w:tcW w:w="9350" w:type="dxa"/>
          </w:tcPr>
          <w:p w14:paraId="68235926" w14:textId="4573A8B0" w:rsidR="00383BFC" w:rsidRPr="00383BFC" w:rsidRDefault="004269B1" w:rsidP="2E47841B">
            <w:pPr>
              <w:spacing w:before="100" w:beforeAutospacing="1" w:after="100" w:afterAutospacing="1" w:line="360" w:lineRule="auto"/>
              <w:outlineLvl w:val="1"/>
              <w:rPr>
                <w:rFonts w:ascii="Arial" w:eastAsia="Calibri" w:hAnsi="Arial" w:cs="Arial"/>
                <w:b/>
                <w:bCs/>
                <w:sz w:val="32"/>
                <w:szCs w:val="32"/>
              </w:rPr>
            </w:pPr>
            <w:r w:rsidRPr="2E47841B">
              <w:rPr>
                <w:rFonts w:ascii="Arial" w:eastAsia="Calibri" w:hAnsi="Arial" w:cs="Arial"/>
                <w:b/>
                <w:bCs/>
                <w:sz w:val="32"/>
                <w:szCs w:val="32"/>
              </w:rPr>
              <w:t xml:space="preserve">Student </w:t>
            </w:r>
            <w:r w:rsidR="5C99E1C2" w:rsidRPr="2E47841B">
              <w:rPr>
                <w:rFonts w:ascii="Arial" w:eastAsia="Calibri" w:hAnsi="Arial" w:cs="Arial"/>
                <w:b/>
                <w:bCs/>
                <w:sz w:val="32"/>
                <w:szCs w:val="32"/>
              </w:rPr>
              <w:t>no:</w:t>
            </w:r>
            <w:r w:rsidR="41C359F0" w:rsidRPr="2E47841B">
              <w:rPr>
                <w:rFonts w:ascii="Arial" w:eastAsia="Calibri" w:hAnsi="Arial" w:cs="Arial"/>
                <w:b/>
                <w:bCs/>
                <w:sz w:val="32"/>
                <w:szCs w:val="32"/>
              </w:rPr>
              <w:t>24</w:t>
            </w:r>
            <w:r w:rsidR="006B6F93">
              <w:rPr>
                <w:rFonts w:ascii="Arial" w:eastAsia="Calibri" w:hAnsi="Arial" w:cs="Arial"/>
                <w:b/>
                <w:bCs/>
                <w:sz w:val="32"/>
                <w:szCs w:val="32"/>
              </w:rPr>
              <w:t>14021</w:t>
            </w:r>
          </w:p>
        </w:tc>
      </w:tr>
      <w:tr w:rsidR="0065670A" w14:paraId="08EE3860" w14:textId="77777777" w:rsidTr="2E47841B">
        <w:tc>
          <w:tcPr>
            <w:tcW w:w="9350" w:type="dxa"/>
          </w:tcPr>
          <w:p w14:paraId="782A46E2" w14:textId="1245A391" w:rsidR="00383BFC" w:rsidRPr="00383BFC" w:rsidRDefault="41C359F0" w:rsidP="2E47841B">
            <w:pPr>
              <w:spacing w:before="100" w:beforeAutospacing="1" w:after="100" w:afterAutospacing="1" w:line="360" w:lineRule="auto"/>
              <w:outlineLvl w:val="1"/>
              <w:rPr>
                <w:rFonts w:ascii="Arial" w:eastAsia="Calibri" w:hAnsi="Arial" w:cs="Arial"/>
                <w:b/>
                <w:bCs/>
                <w:sz w:val="32"/>
                <w:szCs w:val="32"/>
              </w:rPr>
            </w:pPr>
            <w:r w:rsidRPr="2E47841B">
              <w:rPr>
                <w:rFonts w:ascii="Arial" w:eastAsia="Calibri" w:hAnsi="Arial" w:cs="Arial"/>
                <w:b/>
                <w:bCs/>
                <w:sz w:val="32"/>
                <w:szCs w:val="32"/>
              </w:rPr>
              <w:t>Module:</w:t>
            </w:r>
            <w:r w:rsidR="004269B1" w:rsidRPr="2E47841B">
              <w:rPr>
                <w:rFonts w:ascii="Arial" w:eastAsia="Calibri" w:hAnsi="Arial" w:cs="Arial"/>
                <w:b/>
                <w:bCs/>
                <w:sz w:val="32"/>
                <w:szCs w:val="32"/>
              </w:rPr>
              <w:t xml:space="preserve">   </w:t>
            </w:r>
            <w:r w:rsidR="004269B1" w:rsidRPr="2E47841B">
              <w:rPr>
                <w:rFonts w:ascii="Arial" w:eastAsia="Calibri" w:hAnsi="Arial" w:cs="Arial"/>
                <w:b/>
                <w:bCs/>
                <w:sz w:val="28"/>
                <w:szCs w:val="28"/>
              </w:rPr>
              <w:t>Changemakers: Creativity and Value Creation</w:t>
            </w:r>
            <w:r w:rsidR="004269B1" w:rsidRPr="2E47841B">
              <w:rPr>
                <w:rFonts w:ascii="Calibri" w:eastAsia="Calibri" w:hAnsi="Calibri"/>
              </w:rPr>
              <w:t xml:space="preserve"> </w:t>
            </w:r>
            <w:r w:rsidR="004269B1" w:rsidRPr="2E47841B">
              <w:rPr>
                <w:rFonts w:ascii="Arial" w:eastAsia="Calibri" w:hAnsi="Arial" w:cs="Arial"/>
                <w:b/>
                <w:bCs/>
                <w:sz w:val="32"/>
                <w:szCs w:val="32"/>
              </w:rPr>
              <w:t xml:space="preserve">   </w:t>
            </w:r>
          </w:p>
        </w:tc>
      </w:tr>
      <w:tr w:rsidR="0065670A" w14:paraId="264EE512" w14:textId="77777777" w:rsidTr="2E47841B">
        <w:tc>
          <w:tcPr>
            <w:tcW w:w="9350" w:type="dxa"/>
          </w:tcPr>
          <w:p w14:paraId="35F5807C" w14:textId="337EB9B0" w:rsidR="00383BFC" w:rsidRPr="00383BFC" w:rsidRDefault="004269B1" w:rsidP="2E47841B">
            <w:pPr>
              <w:spacing w:before="100" w:beforeAutospacing="1" w:after="100" w:afterAutospacing="1" w:line="360" w:lineRule="auto"/>
              <w:outlineLvl w:val="1"/>
              <w:rPr>
                <w:rFonts w:ascii="Arial" w:eastAsia="Calibri" w:hAnsi="Arial" w:cs="Arial"/>
                <w:b/>
                <w:bCs/>
                <w:sz w:val="32"/>
                <w:szCs w:val="32"/>
              </w:rPr>
            </w:pPr>
            <w:r w:rsidRPr="2E47841B">
              <w:rPr>
                <w:rFonts w:ascii="Arial" w:eastAsia="Calibri" w:hAnsi="Arial" w:cs="Arial"/>
                <w:b/>
                <w:bCs/>
                <w:sz w:val="32"/>
                <w:szCs w:val="32"/>
              </w:rPr>
              <w:t xml:space="preserve">Module </w:t>
            </w:r>
            <w:r w:rsidR="0CA67E2B" w:rsidRPr="2E47841B">
              <w:rPr>
                <w:rFonts w:ascii="Arial" w:eastAsia="Calibri" w:hAnsi="Arial" w:cs="Arial"/>
                <w:b/>
                <w:bCs/>
                <w:sz w:val="32"/>
                <w:szCs w:val="32"/>
              </w:rPr>
              <w:t>code:</w:t>
            </w:r>
            <w:r w:rsidRPr="2E47841B">
              <w:rPr>
                <w:rFonts w:ascii="Arial" w:eastAsia="Calibri" w:hAnsi="Arial" w:cs="Arial"/>
                <w:b/>
                <w:bCs/>
                <w:sz w:val="32"/>
                <w:szCs w:val="32"/>
              </w:rPr>
              <w:t xml:space="preserve">  </w:t>
            </w:r>
            <w:r w:rsidRPr="2E47841B">
              <w:rPr>
                <w:rFonts w:ascii="Arial" w:eastAsia="Calibri" w:hAnsi="Arial" w:cs="Arial"/>
                <w:b/>
                <w:bCs/>
                <w:sz w:val="28"/>
                <w:szCs w:val="28"/>
              </w:rPr>
              <w:t xml:space="preserve">BMHP5014   </w:t>
            </w:r>
          </w:p>
        </w:tc>
      </w:tr>
      <w:tr w:rsidR="0065670A" w14:paraId="19653379" w14:textId="77777777" w:rsidTr="2E47841B">
        <w:tc>
          <w:tcPr>
            <w:tcW w:w="9350" w:type="dxa"/>
          </w:tcPr>
          <w:p w14:paraId="3BB6BD14" w14:textId="62E2F0C3" w:rsidR="00383BFC" w:rsidRPr="00383BFC" w:rsidRDefault="004269B1" w:rsidP="2E47841B">
            <w:pPr>
              <w:spacing w:before="100" w:beforeAutospacing="1" w:after="100" w:afterAutospacing="1" w:line="360" w:lineRule="auto"/>
              <w:outlineLvl w:val="1"/>
              <w:rPr>
                <w:rFonts w:ascii="Arial" w:eastAsia="Calibri" w:hAnsi="Arial" w:cs="Arial"/>
                <w:b/>
                <w:bCs/>
                <w:sz w:val="28"/>
                <w:szCs w:val="28"/>
              </w:rPr>
            </w:pPr>
            <w:r w:rsidRPr="2E47841B">
              <w:rPr>
                <w:rFonts w:ascii="Arial" w:eastAsia="Calibri" w:hAnsi="Arial" w:cs="Arial"/>
                <w:b/>
                <w:bCs/>
                <w:sz w:val="28"/>
                <w:szCs w:val="28"/>
              </w:rPr>
              <w:t xml:space="preserve">Assignment </w:t>
            </w:r>
            <w:r w:rsidR="612ACA17" w:rsidRPr="2E47841B">
              <w:rPr>
                <w:rFonts w:ascii="Arial" w:eastAsia="Calibri" w:hAnsi="Arial" w:cs="Arial"/>
                <w:b/>
                <w:bCs/>
                <w:sz w:val="28"/>
                <w:szCs w:val="28"/>
              </w:rPr>
              <w:t>Title</w:t>
            </w:r>
            <w:r w:rsidR="002C01C5" w:rsidRPr="2E47841B">
              <w:rPr>
                <w:rFonts w:ascii="Arial" w:eastAsia="Calibri" w:hAnsi="Arial" w:cs="Arial"/>
                <w:b/>
                <w:bCs/>
                <w:sz w:val="28"/>
                <w:szCs w:val="28"/>
              </w:rPr>
              <w:t>: Component</w:t>
            </w:r>
            <w:r w:rsidRPr="2E47841B">
              <w:rPr>
                <w:rFonts w:ascii="Arial" w:eastAsia="Calibri" w:hAnsi="Arial" w:cs="Arial"/>
                <w:b/>
                <w:bCs/>
                <w:sz w:val="28"/>
                <w:szCs w:val="28"/>
              </w:rPr>
              <w:t xml:space="preserve"> 2: Written Assignment (Report)</w:t>
            </w:r>
          </w:p>
          <w:p w14:paraId="6C80846D" w14:textId="400D28B7" w:rsidR="00383BFC" w:rsidRPr="00383BFC" w:rsidRDefault="004269B1" w:rsidP="2E47841B">
            <w:pPr>
              <w:spacing w:before="100" w:beforeAutospacing="1" w:after="100" w:afterAutospacing="1" w:line="360" w:lineRule="auto"/>
              <w:outlineLvl w:val="1"/>
              <w:rPr>
                <w:rFonts w:ascii="Arial" w:eastAsia="Calibri" w:hAnsi="Arial" w:cs="Arial"/>
                <w:b/>
                <w:bCs/>
                <w:sz w:val="28"/>
                <w:szCs w:val="28"/>
              </w:rPr>
            </w:pPr>
            <w:r w:rsidRPr="2E47841B">
              <w:rPr>
                <w:rFonts w:ascii="Arial" w:eastAsia="Calibri" w:hAnsi="Arial" w:cs="Arial"/>
                <w:b/>
                <w:bCs/>
                <w:sz w:val="28"/>
                <w:szCs w:val="28"/>
              </w:rPr>
              <w:t xml:space="preserve">Lecturer name: </w:t>
            </w:r>
            <w:r w:rsidR="011491D2" w:rsidRPr="2E47841B">
              <w:rPr>
                <w:rFonts w:ascii="Arial" w:eastAsia="Calibri" w:hAnsi="Arial" w:cs="Arial"/>
                <w:b/>
                <w:bCs/>
                <w:sz w:val="28"/>
                <w:szCs w:val="28"/>
              </w:rPr>
              <w:t>Parese Ahmed</w:t>
            </w:r>
          </w:p>
        </w:tc>
      </w:tr>
    </w:tbl>
    <w:p w14:paraId="5A7475C2" w14:textId="77777777" w:rsidR="00D25DF5" w:rsidRDefault="00D25DF5" w:rsidP="00383BFC">
      <w:pPr>
        <w:spacing w:after="160" w:line="259" w:lineRule="auto"/>
        <w:rPr>
          <w:rFonts w:ascii="Calibri" w:eastAsia="Calibri" w:hAnsi="Calibri"/>
          <w:sz w:val="22"/>
          <w:szCs w:val="22"/>
        </w:rPr>
      </w:pPr>
    </w:p>
    <w:p w14:paraId="40D67449" w14:textId="77777777" w:rsidR="00383BFC" w:rsidRDefault="00383BFC" w:rsidP="00383BFC">
      <w:pPr>
        <w:spacing w:after="160" w:line="259" w:lineRule="auto"/>
        <w:rPr>
          <w:rFonts w:ascii="Calibri" w:eastAsia="Calibri" w:hAnsi="Calibri"/>
          <w:sz w:val="22"/>
          <w:szCs w:val="22"/>
        </w:rPr>
      </w:pPr>
    </w:p>
    <w:p w14:paraId="7E37E211" w14:textId="77777777" w:rsidR="00383BFC" w:rsidRDefault="00383BFC" w:rsidP="00383BFC">
      <w:pPr>
        <w:spacing w:after="160" w:line="259" w:lineRule="auto"/>
        <w:rPr>
          <w:rFonts w:ascii="Calibri" w:eastAsia="Calibri" w:hAnsi="Calibri"/>
          <w:sz w:val="22"/>
          <w:szCs w:val="22"/>
        </w:rPr>
      </w:pPr>
    </w:p>
    <w:p w14:paraId="40E8A64E" w14:textId="77777777" w:rsidR="00383BFC" w:rsidRDefault="00383BFC" w:rsidP="00383BFC">
      <w:pPr>
        <w:spacing w:after="160" w:line="259" w:lineRule="auto"/>
        <w:rPr>
          <w:rFonts w:ascii="Calibri" w:eastAsia="Calibri" w:hAnsi="Calibri"/>
          <w:sz w:val="22"/>
          <w:szCs w:val="22"/>
        </w:rPr>
      </w:pPr>
    </w:p>
    <w:p w14:paraId="3840C90A" w14:textId="77777777" w:rsidR="00383BFC" w:rsidRDefault="00383BFC" w:rsidP="00383BFC">
      <w:pPr>
        <w:spacing w:after="160" w:line="259" w:lineRule="auto"/>
        <w:rPr>
          <w:rFonts w:ascii="Calibri" w:eastAsia="Calibri" w:hAnsi="Calibri"/>
          <w:sz w:val="22"/>
          <w:szCs w:val="22"/>
        </w:rPr>
      </w:pPr>
    </w:p>
    <w:p w14:paraId="286D6225" w14:textId="77777777" w:rsidR="00383BFC" w:rsidRDefault="00383BFC" w:rsidP="00383BFC">
      <w:pPr>
        <w:spacing w:after="160" w:line="259" w:lineRule="auto"/>
        <w:rPr>
          <w:rFonts w:ascii="Calibri" w:eastAsia="Calibri" w:hAnsi="Calibri"/>
          <w:sz w:val="22"/>
          <w:szCs w:val="22"/>
        </w:rPr>
      </w:pPr>
    </w:p>
    <w:p w14:paraId="075AF34C" w14:textId="77777777" w:rsidR="00383BFC" w:rsidRDefault="00383BFC" w:rsidP="00383BFC">
      <w:pPr>
        <w:spacing w:after="160" w:line="259" w:lineRule="auto"/>
        <w:rPr>
          <w:rFonts w:ascii="Calibri" w:eastAsia="Calibri" w:hAnsi="Calibri"/>
          <w:sz w:val="22"/>
          <w:szCs w:val="22"/>
        </w:rPr>
      </w:pPr>
    </w:p>
    <w:p w14:paraId="47345385" w14:textId="77777777" w:rsidR="00383BFC" w:rsidRDefault="00383BFC" w:rsidP="00383BFC">
      <w:pPr>
        <w:spacing w:after="160" w:line="259" w:lineRule="auto"/>
        <w:rPr>
          <w:rFonts w:ascii="Calibri" w:eastAsia="Calibri" w:hAnsi="Calibri"/>
          <w:sz w:val="22"/>
          <w:szCs w:val="22"/>
        </w:rPr>
      </w:pPr>
    </w:p>
    <w:p w14:paraId="3D74F5E6" w14:textId="77777777" w:rsidR="00383BFC" w:rsidRDefault="00383BFC" w:rsidP="00383BFC">
      <w:pPr>
        <w:spacing w:after="160" w:line="259" w:lineRule="auto"/>
        <w:rPr>
          <w:rFonts w:ascii="Calibri" w:eastAsia="Calibri" w:hAnsi="Calibri"/>
          <w:sz w:val="22"/>
          <w:szCs w:val="22"/>
        </w:rPr>
      </w:pPr>
    </w:p>
    <w:p w14:paraId="4B0A5790" w14:textId="77777777" w:rsidR="00383BFC" w:rsidRDefault="00383BFC" w:rsidP="00383BFC">
      <w:pPr>
        <w:spacing w:after="160" w:line="259" w:lineRule="auto"/>
        <w:rPr>
          <w:rFonts w:ascii="Calibri" w:eastAsia="Calibri" w:hAnsi="Calibri"/>
          <w:sz w:val="22"/>
          <w:szCs w:val="22"/>
        </w:rPr>
      </w:pPr>
    </w:p>
    <w:p w14:paraId="66CE1570" w14:textId="77777777" w:rsidR="00383BFC" w:rsidRDefault="00383BFC" w:rsidP="00383BFC">
      <w:pPr>
        <w:spacing w:after="160" w:line="259" w:lineRule="auto"/>
        <w:rPr>
          <w:rFonts w:ascii="Calibri" w:eastAsia="Calibri" w:hAnsi="Calibri"/>
          <w:sz w:val="22"/>
          <w:szCs w:val="22"/>
        </w:rPr>
      </w:pPr>
    </w:p>
    <w:p w14:paraId="0B1959A2" w14:textId="77777777" w:rsidR="00383BFC" w:rsidRDefault="00383BFC" w:rsidP="00383BFC">
      <w:pPr>
        <w:spacing w:after="160" w:line="259" w:lineRule="auto"/>
        <w:rPr>
          <w:rFonts w:ascii="Calibri" w:eastAsia="Calibri" w:hAnsi="Calibri"/>
          <w:sz w:val="22"/>
          <w:szCs w:val="22"/>
        </w:rPr>
      </w:pPr>
    </w:p>
    <w:p w14:paraId="66905D90" w14:textId="77777777" w:rsidR="00383BFC" w:rsidRDefault="00383BFC" w:rsidP="00383BFC">
      <w:pPr>
        <w:spacing w:after="160" w:line="259" w:lineRule="auto"/>
        <w:rPr>
          <w:rFonts w:ascii="Calibri" w:eastAsia="Calibri" w:hAnsi="Calibri"/>
          <w:sz w:val="22"/>
          <w:szCs w:val="22"/>
        </w:rPr>
      </w:pPr>
    </w:p>
    <w:p w14:paraId="5A3C021C" w14:textId="77777777" w:rsidR="00FA0BB5" w:rsidRDefault="00FA0BB5" w:rsidP="00383BFC">
      <w:pPr>
        <w:spacing w:before="100" w:beforeAutospacing="1" w:after="100" w:afterAutospacing="1"/>
        <w:outlineLvl w:val="2"/>
        <w:rPr>
          <w:rFonts w:ascii="Calibri" w:eastAsia="Calibri" w:hAnsi="Calibri"/>
          <w:sz w:val="22"/>
          <w:szCs w:val="22"/>
        </w:rPr>
      </w:pPr>
    </w:p>
    <w:p w14:paraId="7F6C8805" w14:textId="77777777" w:rsidR="00FA0BB5" w:rsidRDefault="00FA0BB5" w:rsidP="00383BFC">
      <w:pPr>
        <w:spacing w:before="100" w:beforeAutospacing="1" w:after="100" w:afterAutospacing="1"/>
        <w:outlineLvl w:val="2"/>
        <w:rPr>
          <w:rFonts w:ascii="Calibri" w:eastAsia="Calibri" w:hAnsi="Calibri"/>
          <w:sz w:val="22"/>
          <w:szCs w:val="22"/>
        </w:rPr>
      </w:pPr>
    </w:p>
    <w:p w14:paraId="1D0306D0" w14:textId="77777777" w:rsidR="00FA0BB5" w:rsidRDefault="00FA0BB5" w:rsidP="00383BFC">
      <w:pPr>
        <w:spacing w:before="100" w:beforeAutospacing="1" w:after="100" w:afterAutospacing="1"/>
        <w:outlineLvl w:val="2"/>
        <w:rPr>
          <w:rFonts w:ascii="Calibri" w:eastAsia="Calibri" w:hAnsi="Calibri"/>
          <w:sz w:val="22"/>
          <w:szCs w:val="22"/>
        </w:rPr>
      </w:pPr>
    </w:p>
    <w:p w14:paraId="7A33BDD0" w14:textId="77777777" w:rsidR="00FA0BB5" w:rsidRDefault="00FA0BB5" w:rsidP="00383BFC">
      <w:pPr>
        <w:spacing w:before="100" w:beforeAutospacing="1" w:after="100" w:afterAutospacing="1"/>
        <w:outlineLvl w:val="2"/>
        <w:rPr>
          <w:rFonts w:ascii="Calibri" w:eastAsia="Calibri" w:hAnsi="Calibri"/>
          <w:sz w:val="22"/>
          <w:szCs w:val="22"/>
        </w:rPr>
      </w:pPr>
    </w:p>
    <w:p w14:paraId="59D7EEC4" w14:textId="4BE92F4A" w:rsidR="00383BFC" w:rsidRDefault="004269B1" w:rsidP="00383BFC">
      <w:pPr>
        <w:spacing w:before="100" w:beforeAutospacing="1" w:after="100" w:afterAutospacing="1"/>
        <w:outlineLvl w:val="2"/>
        <w:rPr>
          <w:rFonts w:ascii="Arial" w:hAnsi="Arial" w:cs="Arial"/>
          <w:b/>
          <w:bCs/>
          <w:sz w:val="28"/>
          <w:szCs w:val="28"/>
        </w:rPr>
      </w:pPr>
      <w:r w:rsidRPr="00383BFC">
        <w:rPr>
          <w:rFonts w:ascii="Arial" w:hAnsi="Arial" w:cs="Arial"/>
          <w:b/>
          <w:bCs/>
          <w:sz w:val="28"/>
          <w:szCs w:val="28"/>
        </w:rPr>
        <w:lastRenderedPageBreak/>
        <w:t>Table of Contents</w:t>
      </w:r>
      <w:r w:rsidR="001236E9">
        <w:rPr>
          <w:rFonts w:ascii="Arial" w:hAnsi="Arial" w:cs="Arial"/>
          <w:b/>
          <w:bCs/>
          <w:sz w:val="28"/>
          <w:szCs w:val="28"/>
        </w:rPr>
        <w:t>:</w:t>
      </w:r>
    </w:p>
    <w:p w14:paraId="4BEFB662" w14:textId="7BA53736" w:rsidR="00DA0E95" w:rsidRPr="00383BFC" w:rsidRDefault="00DA0E95" w:rsidP="00383BFC">
      <w:pPr>
        <w:spacing w:before="100" w:beforeAutospacing="1" w:after="100" w:afterAutospacing="1"/>
        <w:outlineLvl w:val="2"/>
        <w:rPr>
          <w:rFonts w:ascii="Arial" w:hAnsi="Arial" w:cs="Arial"/>
          <w:b/>
          <w:bCs/>
          <w:sz w:val="28"/>
          <w:szCs w:val="28"/>
        </w:rPr>
      </w:pPr>
      <w:r>
        <w:rPr>
          <w:rFonts w:ascii="Arial" w:hAnsi="Arial" w:cs="Arial"/>
          <w:b/>
          <w:bCs/>
          <w:sz w:val="28"/>
          <w:szCs w:val="28"/>
        </w:rPr>
        <w:t>Rationale</w:t>
      </w:r>
    </w:p>
    <w:p w14:paraId="4634BDFE" w14:textId="05B68076" w:rsidR="00383BFC" w:rsidRPr="00383BFC" w:rsidRDefault="004269B1" w:rsidP="00383BFC">
      <w:pPr>
        <w:spacing w:before="100" w:beforeAutospacing="1" w:after="100" w:afterAutospacing="1"/>
        <w:rPr>
          <w:rFonts w:ascii="Arial" w:hAnsi="Arial" w:cs="Arial"/>
          <w:b/>
          <w:sz w:val="28"/>
          <w:szCs w:val="28"/>
        </w:rPr>
      </w:pPr>
      <w:r w:rsidRPr="00383BFC">
        <w:rPr>
          <w:rFonts w:ascii="Arial" w:hAnsi="Arial" w:cs="Arial"/>
          <w:b/>
          <w:sz w:val="28"/>
          <w:szCs w:val="28"/>
        </w:rPr>
        <w:t xml:space="preserve">Task 1: Innovation </w:t>
      </w:r>
      <w:r w:rsidR="00FF79D2" w:rsidRPr="00383BFC">
        <w:rPr>
          <w:rFonts w:ascii="Arial" w:hAnsi="Arial" w:cs="Arial"/>
          <w:b/>
          <w:sz w:val="28"/>
          <w:szCs w:val="28"/>
        </w:rPr>
        <w:t>Poster.</w:t>
      </w:r>
    </w:p>
    <w:p w14:paraId="7069A4CB" w14:textId="3155A2C7" w:rsidR="00383BFC" w:rsidRPr="00383BFC" w:rsidRDefault="004269B1" w:rsidP="00383BFC">
      <w:pPr>
        <w:spacing w:after="160" w:line="259" w:lineRule="auto"/>
        <w:rPr>
          <w:rFonts w:ascii="Calibri" w:eastAsia="Calibri" w:hAnsi="Calibri"/>
          <w:sz w:val="22"/>
          <w:szCs w:val="22"/>
        </w:rPr>
        <w:sectPr w:rsidR="00383BFC" w:rsidRPr="00383BFC">
          <w:footerReference w:type="default" r:id="rId9"/>
          <w:pgSz w:w="12240" w:h="15840"/>
          <w:pgMar w:top="1440" w:right="1440" w:bottom="1440" w:left="1440" w:header="720" w:footer="720" w:gutter="0"/>
          <w:cols w:space="720"/>
          <w:docGrid w:linePitch="360"/>
        </w:sectPr>
      </w:pPr>
      <w:r w:rsidRPr="00383BFC">
        <w:rPr>
          <w:rFonts w:ascii="Arial" w:hAnsi="Arial" w:cs="Arial"/>
          <w:b/>
          <w:sz w:val="28"/>
          <w:szCs w:val="28"/>
        </w:rPr>
        <w:t xml:space="preserve">Task 2: Written </w:t>
      </w:r>
      <w:r w:rsidR="00FF79D2" w:rsidRPr="00383BFC">
        <w:rPr>
          <w:rFonts w:ascii="Arial" w:hAnsi="Arial" w:cs="Arial"/>
          <w:b/>
          <w:sz w:val="28"/>
          <w:szCs w:val="28"/>
        </w:rPr>
        <w:t>Pitch.</w:t>
      </w:r>
      <w:r w:rsidRPr="00383BFC">
        <w:rPr>
          <w:rFonts w:ascii="Arial" w:hAnsi="Arial" w:cs="Arial"/>
          <w:b/>
          <w:sz w:val="28"/>
          <w:szCs w:val="28"/>
        </w:rPr>
        <w:br/>
      </w:r>
      <w:r w:rsidR="00635DEC" w:rsidRPr="00383BFC">
        <w:rPr>
          <w:rFonts w:ascii="Arial" w:hAnsi="Arial" w:cs="Arial"/>
          <w:b/>
          <w:sz w:val="28"/>
          <w:szCs w:val="28"/>
        </w:rPr>
        <w:t>References.</w:t>
      </w:r>
    </w:p>
    <w:p w14:paraId="1FE3F2B0" w14:textId="77777777" w:rsidR="00DA0E95" w:rsidRPr="00DA0E95" w:rsidRDefault="00DA0E95" w:rsidP="00DA0E95">
      <w:pPr>
        <w:spacing w:after="160" w:line="360" w:lineRule="auto"/>
        <w:jc w:val="both"/>
        <w:rPr>
          <w:rFonts w:ascii="Arial" w:eastAsia="Calibri" w:hAnsi="Arial" w:cs="Arial"/>
          <w:b/>
          <w:sz w:val="22"/>
          <w:szCs w:val="22"/>
        </w:rPr>
      </w:pPr>
      <w:r w:rsidRPr="00DA0E95">
        <w:rPr>
          <w:rFonts w:ascii="Arial" w:eastAsia="Calibri" w:hAnsi="Arial" w:cs="Arial"/>
          <w:b/>
          <w:sz w:val="22"/>
          <w:szCs w:val="22"/>
        </w:rPr>
        <w:lastRenderedPageBreak/>
        <w:t xml:space="preserve">Rationale: </w:t>
      </w:r>
    </w:p>
    <w:p w14:paraId="06E215D8" w14:textId="5B3BAD14" w:rsidR="00DA0E95" w:rsidRPr="00DA0E95" w:rsidRDefault="00DA0E95" w:rsidP="00DA0E95">
      <w:pPr>
        <w:spacing w:after="160" w:line="360" w:lineRule="auto"/>
        <w:jc w:val="both"/>
        <w:rPr>
          <w:rFonts w:ascii="Arial" w:eastAsia="Calibri" w:hAnsi="Arial" w:cs="Arial"/>
          <w:sz w:val="22"/>
          <w:szCs w:val="22"/>
        </w:rPr>
      </w:pPr>
      <w:r w:rsidRPr="2E47841B">
        <w:rPr>
          <w:rFonts w:ascii="Arial" w:hAnsi="Arial" w:cs="Arial"/>
          <w:sz w:val="22"/>
          <w:szCs w:val="22"/>
        </w:rPr>
        <w:t xml:space="preserve">I created this poster and pitch to present </w:t>
      </w:r>
      <w:r w:rsidR="1BCC122E" w:rsidRPr="2E47841B">
        <w:rPr>
          <w:rFonts w:ascii="Arial" w:hAnsi="Arial" w:cs="Arial"/>
          <w:sz w:val="22"/>
          <w:szCs w:val="22"/>
        </w:rPr>
        <w:t>Mind Link</w:t>
      </w:r>
      <w:r w:rsidRPr="2E47841B">
        <w:rPr>
          <w:rFonts w:ascii="Arial" w:hAnsi="Arial" w:cs="Arial"/>
          <w:sz w:val="22"/>
          <w:szCs w:val="22"/>
        </w:rPr>
        <w:t xml:space="preserve">, a digital mental health solution addressing the growing challenges of loneliness, depression, and anxiety among older adults, alongside gaps in timely, coordinated support (World Health Organization, 2021). The poster conveys complex information visually and accessibly, using clear sections, infographics, and concise summaries to guide viewers through the evidence, design, and anticipated outcomes. The pitch explains my rationale for </w:t>
      </w:r>
      <w:r w:rsidR="25ECB9A3" w:rsidRPr="2E47841B">
        <w:rPr>
          <w:rFonts w:ascii="Arial" w:hAnsi="Arial" w:cs="Arial"/>
          <w:sz w:val="22"/>
          <w:szCs w:val="22"/>
        </w:rPr>
        <w:t>Mind Link's</w:t>
      </w:r>
      <w:r w:rsidRPr="2E47841B">
        <w:rPr>
          <w:rFonts w:ascii="Arial" w:hAnsi="Arial" w:cs="Arial"/>
          <w:sz w:val="22"/>
          <w:szCs w:val="22"/>
        </w:rPr>
        <w:t xml:space="preserve"> four core components: a user-friendly app, wearable monitoring, a social connection hub, and an integrated referral pathway. I </w:t>
      </w:r>
      <w:r w:rsidR="60DDBA48" w:rsidRPr="2E47841B">
        <w:rPr>
          <w:rFonts w:ascii="Arial" w:hAnsi="Arial" w:cs="Arial"/>
          <w:sz w:val="22"/>
          <w:szCs w:val="22"/>
        </w:rPr>
        <w:t>emphasis</w:t>
      </w:r>
      <w:r w:rsidRPr="2E47841B">
        <w:rPr>
          <w:rFonts w:ascii="Arial" w:hAnsi="Arial" w:cs="Arial"/>
          <w:sz w:val="22"/>
          <w:szCs w:val="22"/>
        </w:rPr>
        <w:t xml:space="preserve"> usability, accessibility, and evidence-based design, aligned with policy priorities such as the NHS Long Term Plan and NICE guidance (NHS England, 2019; NICE, 2022), while addressing practical and ethical considerations including digital inclusion and data security. Together, the poster and pitch demonstrate how </w:t>
      </w:r>
      <w:r w:rsidR="1B898871" w:rsidRPr="2E47841B">
        <w:rPr>
          <w:rFonts w:ascii="Arial" w:hAnsi="Arial" w:cs="Arial"/>
          <w:sz w:val="22"/>
          <w:szCs w:val="22"/>
        </w:rPr>
        <w:t>Mind Link</w:t>
      </w:r>
      <w:r w:rsidRPr="2E47841B">
        <w:rPr>
          <w:rFonts w:ascii="Arial" w:hAnsi="Arial" w:cs="Arial"/>
          <w:sz w:val="22"/>
          <w:szCs w:val="22"/>
        </w:rPr>
        <w:t xml:space="preserve"> integrates research, policy, and person-</w:t>
      </w:r>
      <w:r w:rsidR="0896BF59" w:rsidRPr="2E47841B">
        <w:rPr>
          <w:rFonts w:ascii="Arial" w:hAnsi="Arial" w:cs="Arial"/>
          <w:sz w:val="22"/>
          <w:szCs w:val="22"/>
        </w:rPr>
        <w:t>centered</w:t>
      </w:r>
      <w:r w:rsidRPr="2E47841B">
        <w:rPr>
          <w:rFonts w:ascii="Arial" w:hAnsi="Arial" w:cs="Arial"/>
          <w:sz w:val="22"/>
          <w:szCs w:val="22"/>
        </w:rPr>
        <w:t xml:space="preserve"> design to improve mental health, reduce social isolation, and support independent living, highlighting its relevance and feasibility in contemporary health and social care.</w:t>
      </w:r>
    </w:p>
    <w:p w14:paraId="2A6CB305" w14:textId="77777777" w:rsidR="00D25DF5" w:rsidRDefault="00953CC4">
      <w:pPr>
        <w:spacing w:after="160" w:line="259" w:lineRule="auto"/>
        <w:rPr>
          <w:rFonts w:ascii="Calibri" w:eastAsia="Calibri" w:hAnsi="Calibri"/>
          <w:sz w:val="22"/>
          <w:szCs w:val="22"/>
        </w:rPr>
        <w:sectPr w:rsidR="00D25DF5" w:rsidSect="00953CC4">
          <w:pgSz w:w="12240" w:h="15840"/>
          <w:pgMar w:top="1440" w:right="1440" w:bottom="1440" w:left="1440" w:header="720" w:footer="720" w:gutter="0"/>
          <w:cols w:space="720"/>
          <w:docGrid w:linePitch="360"/>
        </w:sectPr>
      </w:pPr>
      <w:r>
        <w:rPr>
          <w:rFonts w:ascii="Calibri" w:eastAsia="Calibri" w:hAnsi="Calibri"/>
          <w:noProof/>
          <w:sz w:val="22"/>
          <w:szCs w:val="22"/>
        </w:rPr>
        <w:lastRenderedPageBreak/>
        <w:drawing>
          <wp:inline distT="0" distB="0" distL="0" distR="0" wp14:anchorId="4F54840E" wp14:editId="785ADCE2">
            <wp:extent cx="6153150" cy="8204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6-03-05 at 2.26.33 AM.jpeg"/>
                    <pic:cNvPicPr/>
                  </pic:nvPicPr>
                  <pic:blipFill>
                    <a:blip r:embed="rId10">
                      <a:extLst>
                        <a:ext uri="{28A0092B-C50C-407E-A947-70E740481C1C}">
                          <a14:useLocalDpi xmlns:a14="http://schemas.microsoft.com/office/drawing/2010/main" val="0"/>
                        </a:ext>
                      </a:extLst>
                    </a:blip>
                    <a:stretch>
                      <a:fillRect/>
                    </a:stretch>
                  </pic:blipFill>
                  <pic:spPr>
                    <a:xfrm>
                      <a:off x="0" y="0"/>
                      <a:ext cx="6153150" cy="8204200"/>
                    </a:xfrm>
                    <a:prstGeom prst="rect">
                      <a:avLst/>
                    </a:prstGeom>
                  </pic:spPr>
                </pic:pic>
              </a:graphicData>
            </a:graphic>
          </wp:inline>
        </w:drawing>
      </w:r>
    </w:p>
    <w:p w14:paraId="271C9F75" w14:textId="77777777" w:rsidR="00DA0E95" w:rsidRPr="00DA0E95" w:rsidRDefault="00DA0E95" w:rsidP="00DA0E95">
      <w:pPr>
        <w:pStyle w:val="NormalWeb"/>
        <w:tabs>
          <w:tab w:val="left" w:pos="1260"/>
        </w:tabs>
        <w:spacing w:line="360" w:lineRule="auto"/>
        <w:jc w:val="both"/>
        <w:rPr>
          <w:rFonts w:ascii="Arial" w:hAnsi="Arial" w:cs="Arial"/>
          <w:b/>
          <w:sz w:val="22"/>
          <w:szCs w:val="22"/>
        </w:rPr>
      </w:pPr>
      <w:r w:rsidRPr="00DA0E95">
        <w:rPr>
          <w:rFonts w:ascii="Arial" w:hAnsi="Arial" w:cs="Arial"/>
          <w:b/>
          <w:sz w:val="22"/>
          <w:szCs w:val="22"/>
        </w:rPr>
        <w:lastRenderedPageBreak/>
        <w:t xml:space="preserve">PITCH </w:t>
      </w:r>
      <w:r w:rsidRPr="00DA0E95">
        <w:rPr>
          <w:rFonts w:ascii="Arial" w:hAnsi="Arial" w:cs="Arial"/>
          <w:b/>
          <w:sz w:val="22"/>
          <w:szCs w:val="22"/>
        </w:rPr>
        <w:tab/>
      </w:r>
    </w:p>
    <w:p w14:paraId="101E20C7" w14:textId="12CC24BD" w:rsidR="00DA0E95" w:rsidRPr="00DA0E95" w:rsidRDefault="00DA0E95" w:rsidP="00DA0E95">
      <w:pPr>
        <w:pStyle w:val="NormalWeb"/>
        <w:spacing w:line="360" w:lineRule="auto"/>
        <w:jc w:val="both"/>
        <w:rPr>
          <w:rFonts w:ascii="Arial" w:hAnsi="Arial" w:cs="Arial"/>
          <w:sz w:val="22"/>
          <w:szCs w:val="22"/>
        </w:rPr>
      </w:pPr>
      <w:r w:rsidRPr="2E47841B">
        <w:rPr>
          <w:rFonts w:ascii="Arial" w:hAnsi="Arial" w:cs="Arial"/>
          <w:sz w:val="22"/>
          <w:szCs w:val="22"/>
        </w:rPr>
        <w:t xml:space="preserve">I am proposing </w:t>
      </w:r>
      <w:r w:rsidR="00F6087A" w:rsidRPr="2E47841B">
        <w:rPr>
          <w:rFonts w:ascii="Arial" w:hAnsi="Arial" w:cs="Arial"/>
          <w:sz w:val="22"/>
          <w:szCs w:val="22"/>
        </w:rPr>
        <w:t>Mind Link</w:t>
      </w:r>
      <w:r w:rsidRPr="2E47841B">
        <w:rPr>
          <w:rFonts w:ascii="Arial" w:hAnsi="Arial" w:cs="Arial"/>
          <w:sz w:val="22"/>
          <w:szCs w:val="22"/>
        </w:rPr>
        <w:t xml:space="preserve"> because I am increasingly concerned about the growing mental health needs of older adults and the persistent gaps in timely, coordinated support available to them. Across the UK and globally, loneliness, depression, and anxiety among people aged 65 and over are rising at an alarming rate, while access to appropriate mental health services remains uneven and often delayed. Evidence shows that social isolation in later life is strongly associated with poorer mental health outcomes, increased risk of cognitive decline, and higher rates of avoidable hospital admission (World Health Organi</w:t>
      </w:r>
      <w:r w:rsidR="009F7915">
        <w:rPr>
          <w:rFonts w:ascii="Arial" w:hAnsi="Arial" w:cs="Arial"/>
          <w:sz w:val="22"/>
          <w:szCs w:val="22"/>
        </w:rPr>
        <w:t>s</w:t>
      </w:r>
      <w:r w:rsidRPr="2E47841B">
        <w:rPr>
          <w:rFonts w:ascii="Arial" w:hAnsi="Arial" w:cs="Arial"/>
          <w:sz w:val="22"/>
          <w:szCs w:val="22"/>
        </w:rPr>
        <w:t xml:space="preserve">ation, 2021). I observe in practice that many older adults living in the community or in care settings experience fragmented support pathways, long waiting times, and limited proactive monitoring. For this reason, I design </w:t>
      </w:r>
      <w:r w:rsidR="00F6087A" w:rsidRPr="2E47841B">
        <w:rPr>
          <w:rFonts w:ascii="Arial" w:hAnsi="Arial" w:cs="Arial"/>
          <w:sz w:val="22"/>
          <w:szCs w:val="22"/>
        </w:rPr>
        <w:t>Mind Link</w:t>
      </w:r>
      <w:r w:rsidRPr="2E47841B">
        <w:rPr>
          <w:rFonts w:ascii="Arial" w:hAnsi="Arial" w:cs="Arial"/>
          <w:sz w:val="22"/>
          <w:szCs w:val="22"/>
        </w:rPr>
        <w:t xml:space="preserve"> as an integrated digital solution that strengthens early identification, continuous support, and collaborative care for seniors experiencing or at risk of mental health difficulties.</w:t>
      </w:r>
    </w:p>
    <w:p w14:paraId="6EDC1A87" w14:textId="536CB09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Through </w:t>
      </w:r>
      <w:r w:rsidR="00F6087A" w:rsidRPr="00DA0E95">
        <w:rPr>
          <w:rFonts w:ascii="Arial" w:hAnsi="Arial" w:cs="Arial"/>
          <w:sz w:val="22"/>
          <w:szCs w:val="22"/>
        </w:rPr>
        <w:t>Mind Link</w:t>
      </w:r>
      <w:r w:rsidRPr="00DA0E95">
        <w:rPr>
          <w:rFonts w:ascii="Arial" w:hAnsi="Arial" w:cs="Arial"/>
          <w:sz w:val="22"/>
          <w:szCs w:val="22"/>
        </w:rPr>
        <w:t xml:space="preserve">, I aim to combine accessible digital technology with person-centred care principles to improve emotional wellbeing, reduce isolation, and support independent living among older adults. The urgency of this innovation is reinforced by recent research showing that the COVID-19 pandemic has accelerated digital health adoption while simultaneously exposing inequalities in access to mental health support for older populations (García-Fernández et al., 2021). I therefore position </w:t>
      </w:r>
      <w:r w:rsidR="00F6087A" w:rsidRPr="00DA0E95">
        <w:rPr>
          <w:rFonts w:ascii="Arial" w:hAnsi="Arial" w:cs="Arial"/>
          <w:sz w:val="22"/>
          <w:szCs w:val="22"/>
        </w:rPr>
        <w:t>Mind Link</w:t>
      </w:r>
      <w:r w:rsidRPr="00DA0E95">
        <w:rPr>
          <w:rFonts w:ascii="Arial" w:hAnsi="Arial" w:cs="Arial"/>
          <w:sz w:val="22"/>
          <w:szCs w:val="22"/>
        </w:rPr>
        <w:t xml:space="preserve"> as both timely and necessary within the current transformation of health and social care systems. Moreover, in conceptualising MindLink, I reflect on th</w:t>
      </w:r>
      <w:r w:rsidR="00010AA7">
        <w:rPr>
          <w:rFonts w:ascii="Arial" w:hAnsi="Arial" w:cs="Arial"/>
          <w:sz w:val="22"/>
          <w:szCs w:val="22"/>
        </w:rPr>
        <w:t>e broader societal implications</w:t>
      </w:r>
      <w:r w:rsidRPr="00DA0E95">
        <w:rPr>
          <w:rFonts w:ascii="Arial" w:hAnsi="Arial" w:cs="Arial"/>
          <w:sz w:val="22"/>
          <w:szCs w:val="22"/>
        </w:rPr>
        <w:t xml:space="preserve"> supporting older adults’ mental health is not only a clinical imperative but also a moral and social responsibility. Ensuring that seniors can remain connected, supported, and autonomous directly contributes to their dignity, quality of life, and societal inclusion.</w:t>
      </w:r>
    </w:p>
    <w:p w14:paraId="524999F3" w14:textId="2F764C41"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In developing </w:t>
      </w:r>
      <w:r w:rsidR="00F6087A" w:rsidRPr="00DA0E95">
        <w:rPr>
          <w:rFonts w:ascii="Arial" w:hAnsi="Arial" w:cs="Arial"/>
          <w:sz w:val="22"/>
          <w:szCs w:val="22"/>
        </w:rPr>
        <w:t>Mind Link</w:t>
      </w:r>
      <w:r w:rsidRPr="00DA0E95">
        <w:rPr>
          <w:rFonts w:ascii="Arial" w:hAnsi="Arial" w:cs="Arial"/>
          <w:sz w:val="22"/>
          <w:szCs w:val="22"/>
        </w:rPr>
        <w:t xml:space="preserve">, I focus on four interconnected functional components that work together to address the gaps identified in my poster. First, I design a user-friendly mobile application that enables older adults, family carers, and healthcare professionals to remain continuously connected. The app provides mood check-ins, appointment reminders, wellbeing prompts, and secure messaging. Research demonstrates that well-designed digital mental health tools can significantly improve engagement and self-management when usability and accessibility are prioritised for older users (Seifert et al., 2021). For this reason, I ensure that MindLink incorporates large-font interfaces, voice-assist options, simplified navigation, and intuitive menus to support </w:t>
      </w:r>
      <w:r w:rsidRPr="00DA0E95">
        <w:rPr>
          <w:rFonts w:ascii="Arial" w:hAnsi="Arial" w:cs="Arial"/>
          <w:sz w:val="22"/>
          <w:szCs w:val="22"/>
        </w:rPr>
        <w:lastRenderedPageBreak/>
        <w:t xml:space="preserve">users with limited digital </w:t>
      </w:r>
      <w:proofErr w:type="spellStart"/>
      <w:proofErr w:type="gramStart"/>
      <w:r w:rsidRPr="00DA0E95">
        <w:rPr>
          <w:rFonts w:ascii="Arial" w:hAnsi="Arial" w:cs="Arial"/>
          <w:sz w:val="22"/>
          <w:szCs w:val="22"/>
        </w:rPr>
        <w:t>literacy.</w:t>
      </w:r>
      <w:r w:rsidR="17253497" w:rsidRPr="032FFC4D">
        <w:rPr>
          <w:rFonts w:ascii="Arial" w:hAnsi="Arial" w:cs="Arial"/>
          <w:sz w:val="22"/>
          <w:szCs w:val="22"/>
        </w:rPr>
        <w:t>I</w:t>
      </w:r>
      <w:proofErr w:type="spellEnd"/>
      <w:proofErr w:type="gramEnd"/>
      <w:r w:rsidR="17253497" w:rsidRPr="032FFC4D">
        <w:rPr>
          <w:rFonts w:ascii="Arial" w:hAnsi="Arial" w:cs="Arial"/>
          <w:sz w:val="22"/>
          <w:szCs w:val="22"/>
        </w:rPr>
        <w:t xml:space="preserve"> integrate optional wearable monitoring that tracks indicators such as sleep patterns, activity levels, and physiological stress markers. I include this feature because emerging evidence suggests that passive digital monitoring can help identify early signs of mental health deterioration and support preventive intervention (</w:t>
      </w:r>
      <w:r w:rsidR="1F7E4648" w:rsidRPr="032FFC4D">
        <w:rPr>
          <w:rFonts w:ascii="Arial" w:hAnsi="Arial" w:cs="Arial"/>
          <w:sz w:val="22"/>
          <w:szCs w:val="22"/>
        </w:rPr>
        <w:t>Torus</w:t>
      </w:r>
      <w:r w:rsidR="17253497" w:rsidRPr="032FFC4D">
        <w:rPr>
          <w:rFonts w:ascii="Arial" w:hAnsi="Arial" w:cs="Arial"/>
          <w:sz w:val="22"/>
          <w:szCs w:val="22"/>
        </w:rPr>
        <w:t xml:space="preserve"> et al., 2021). By enabling carers and clinicians to view trends rather than isolated data points, </w:t>
      </w:r>
      <w:r w:rsidR="6A81E2F5" w:rsidRPr="032FFC4D">
        <w:rPr>
          <w:rFonts w:ascii="Arial" w:hAnsi="Arial" w:cs="Arial"/>
          <w:sz w:val="22"/>
          <w:szCs w:val="22"/>
        </w:rPr>
        <w:t>Mind Link</w:t>
      </w:r>
      <w:r w:rsidR="17253497" w:rsidRPr="032FFC4D">
        <w:rPr>
          <w:rFonts w:ascii="Arial" w:hAnsi="Arial" w:cs="Arial"/>
          <w:sz w:val="22"/>
          <w:szCs w:val="22"/>
        </w:rPr>
        <w:t xml:space="preserve"> promotes a more proactive and preventative model of care rather than the current reactive approach. I also reflect on the ethical dimension of monitoring: ensuring that data is meaningful, secure, and used to genuinely support wellbeing, not merely collected for surveillance. </w:t>
      </w:r>
    </w:p>
    <w:p w14:paraId="6CA3E208" w14:textId="57C91B2D"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 I </w:t>
      </w:r>
      <w:r w:rsidR="38E16D40" w:rsidRPr="032FFC4D">
        <w:rPr>
          <w:rFonts w:ascii="Arial" w:hAnsi="Arial" w:cs="Arial"/>
          <w:sz w:val="22"/>
          <w:szCs w:val="22"/>
        </w:rPr>
        <w:t>embedded</w:t>
      </w:r>
      <w:r w:rsidRPr="032FFC4D">
        <w:rPr>
          <w:rFonts w:ascii="Arial" w:hAnsi="Arial" w:cs="Arial"/>
          <w:sz w:val="22"/>
          <w:szCs w:val="22"/>
        </w:rPr>
        <w:t xml:space="preserve"> a social connection hub within the platform. Loneliness is one of the most significant modifiable risk factors for depression in later life, and digital social interventions have shown promising results in reducing perceived warning signs of isolation among older adults (Noone et al., 2020). Through </w:t>
      </w:r>
      <w:r w:rsidR="5B63B65C" w:rsidRPr="032FFC4D">
        <w:rPr>
          <w:rFonts w:ascii="Arial" w:hAnsi="Arial" w:cs="Arial"/>
          <w:sz w:val="22"/>
          <w:szCs w:val="22"/>
        </w:rPr>
        <w:t>Mind Link</w:t>
      </w:r>
      <w:r w:rsidRPr="032FFC4D">
        <w:rPr>
          <w:rFonts w:ascii="Arial" w:hAnsi="Arial" w:cs="Arial"/>
          <w:sz w:val="22"/>
          <w:szCs w:val="22"/>
        </w:rPr>
        <w:t>, I facilitate moderated peer groups, virtual community activities, and family video check-ins. I intentionally desi</w:t>
      </w:r>
      <w:r w:rsidR="6EBC3243" w:rsidRPr="032FFC4D">
        <w:rPr>
          <w:rFonts w:ascii="Arial" w:hAnsi="Arial" w:cs="Arial"/>
          <w:sz w:val="22"/>
          <w:szCs w:val="22"/>
        </w:rPr>
        <w:t xml:space="preserve">gn these features to complement not replace </w:t>
      </w:r>
      <w:r w:rsidRPr="032FFC4D">
        <w:rPr>
          <w:rFonts w:ascii="Arial" w:hAnsi="Arial" w:cs="Arial"/>
          <w:sz w:val="22"/>
          <w:szCs w:val="22"/>
        </w:rPr>
        <w:t xml:space="preserve">face-to-face care, recognising that blended models are most effective for this population. I also consider the social diversity of older adults, including varying cultural backgrounds, mobility levels, and digital familiarity, and I design the social hub to be inclusive, allowing multiple modes of participation. </w:t>
      </w:r>
    </w:p>
    <w:p w14:paraId="6623362E" w14:textId="61FFCA00"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I </w:t>
      </w:r>
      <w:r w:rsidR="00382EBC">
        <w:rPr>
          <w:rFonts w:ascii="Arial" w:hAnsi="Arial" w:cs="Arial"/>
          <w:sz w:val="22"/>
          <w:szCs w:val="22"/>
        </w:rPr>
        <w:t xml:space="preserve">also </w:t>
      </w:r>
      <w:r w:rsidRPr="032FFC4D">
        <w:rPr>
          <w:rFonts w:ascii="Arial" w:hAnsi="Arial" w:cs="Arial"/>
          <w:sz w:val="22"/>
          <w:szCs w:val="22"/>
        </w:rPr>
        <w:t xml:space="preserve">include an integrated service navigation and referral pathway. Many older adults and their families report difficulty navigating fragmented health and social care systems. Recent UK policy emphasises the importance of Integrated Care Systems (ICS) in improving coordination and patient experience (NHS England, 2022). </w:t>
      </w:r>
      <w:r w:rsidR="4ADADD80" w:rsidRPr="032FFC4D">
        <w:rPr>
          <w:rFonts w:ascii="Arial" w:hAnsi="Arial" w:cs="Arial"/>
          <w:sz w:val="22"/>
          <w:szCs w:val="22"/>
        </w:rPr>
        <w:t>Mind Link</w:t>
      </w:r>
      <w:r w:rsidRPr="032FFC4D">
        <w:rPr>
          <w:rFonts w:ascii="Arial" w:hAnsi="Arial" w:cs="Arial"/>
          <w:sz w:val="22"/>
          <w:szCs w:val="22"/>
        </w:rPr>
        <w:t xml:space="preserve"> supports this agenda by enabling professionals to share care plans securely, flag concerns early, and coordinate timely referrals to community mental health teams, primary care, or voluntary sector services. In designing this pathway, I am mindful of workflow integration, ensuring that the platform complements existing clinical processes rather than adding administrative burden. This reflects my recognition that digital health adoption depends on practical feasibility and clinician engagement.</w:t>
      </w:r>
    </w:p>
    <w:p w14:paraId="6FE2647D" w14:textId="22E9C856"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I expect the impact of </w:t>
      </w:r>
      <w:r w:rsidR="0F3E5353" w:rsidRPr="032FFC4D">
        <w:rPr>
          <w:rFonts w:ascii="Arial" w:hAnsi="Arial" w:cs="Arial"/>
          <w:sz w:val="22"/>
          <w:szCs w:val="22"/>
        </w:rPr>
        <w:t>Mind Link</w:t>
      </w:r>
      <w:r w:rsidRPr="032FFC4D">
        <w:rPr>
          <w:rFonts w:ascii="Arial" w:hAnsi="Arial" w:cs="Arial"/>
          <w:sz w:val="22"/>
          <w:szCs w:val="22"/>
        </w:rPr>
        <w:t xml:space="preserve"> to be multi-layered and measurable. For older adults, I anticipate improved mood monitoring, earlier intervention, reduced loneliness, and enhanced confidence in self-management. Evidence indicates that digitally supported mental health interventions for older adults can produce modest but meaningful improvements in depressive symptoms and quality of life when embedded within routine care pathways (Choi et al., 2020). For family carers, I expect reduced uncertainty and stress through real-time updates and clearer communication. For </w:t>
      </w:r>
      <w:r w:rsidRPr="032FFC4D">
        <w:rPr>
          <w:rFonts w:ascii="Arial" w:hAnsi="Arial" w:cs="Arial"/>
          <w:sz w:val="22"/>
          <w:szCs w:val="22"/>
        </w:rPr>
        <w:lastRenderedPageBreak/>
        <w:t xml:space="preserve">healthcare providers, I anticipate improved visibility of patient needs, better risk stratification, and more efficient use of community resources. </w:t>
      </w:r>
    </w:p>
    <w:p w14:paraId="5B36112F" w14:textId="43C725BF"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The relevance of </w:t>
      </w:r>
      <w:r w:rsidR="037F116E" w:rsidRPr="032FFC4D">
        <w:rPr>
          <w:rFonts w:ascii="Arial" w:hAnsi="Arial" w:cs="Arial"/>
          <w:sz w:val="22"/>
          <w:szCs w:val="22"/>
        </w:rPr>
        <w:t>Mind Link</w:t>
      </w:r>
      <w:r w:rsidRPr="032FFC4D">
        <w:rPr>
          <w:rFonts w:ascii="Arial" w:hAnsi="Arial" w:cs="Arial"/>
          <w:sz w:val="22"/>
          <w:szCs w:val="22"/>
        </w:rPr>
        <w:t xml:space="preserve"> at this moment is closely aligned with national policy direction. The NHS Long Term Plan emphasises digitally enabled care, prevention, and community-based support as key priorities (NHS England, 2019). Furthermore, NICE guidance on digital health technologies highlights the importance of evidence-based, safe, and interoperable solutions that support clinical decision-making (NICE, 2022). I design </w:t>
      </w:r>
      <w:r w:rsidR="3D84B3AE" w:rsidRPr="032FFC4D">
        <w:rPr>
          <w:rFonts w:ascii="Arial" w:hAnsi="Arial" w:cs="Arial"/>
          <w:sz w:val="22"/>
          <w:szCs w:val="22"/>
        </w:rPr>
        <w:t>Mind Link</w:t>
      </w:r>
      <w:r w:rsidRPr="032FFC4D">
        <w:rPr>
          <w:rFonts w:ascii="Arial" w:hAnsi="Arial" w:cs="Arial"/>
          <w:sz w:val="22"/>
          <w:szCs w:val="22"/>
        </w:rPr>
        <w:t xml:space="preserve"> specifically to align with these policy drivers, ensuring that the innovation is not only clinically valuable but strategically positioned for adoption. By </w:t>
      </w:r>
      <w:r w:rsidR="00457AC2" w:rsidRPr="032FFC4D">
        <w:rPr>
          <w:rFonts w:ascii="Arial" w:hAnsi="Arial" w:cs="Arial"/>
          <w:sz w:val="22"/>
          <w:szCs w:val="22"/>
        </w:rPr>
        <w:t>sitting on</w:t>
      </w:r>
      <w:r w:rsidRPr="032FFC4D">
        <w:rPr>
          <w:rFonts w:ascii="Arial" w:hAnsi="Arial" w:cs="Arial"/>
          <w:sz w:val="22"/>
          <w:szCs w:val="22"/>
        </w:rPr>
        <w:t xml:space="preserve"> the project within these frameworks, I demonstrate its potential for sustainability and scalability within the evolving health and social care landscape.</w:t>
      </w:r>
    </w:p>
    <w:p w14:paraId="443E28FE" w14:textId="0046FEB3"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In implementing </w:t>
      </w:r>
      <w:r w:rsidR="2192D3AD" w:rsidRPr="032FFC4D">
        <w:rPr>
          <w:rFonts w:ascii="Arial" w:hAnsi="Arial" w:cs="Arial"/>
          <w:sz w:val="22"/>
          <w:szCs w:val="22"/>
        </w:rPr>
        <w:t>Mind Link</w:t>
      </w:r>
      <w:r w:rsidRPr="032FFC4D">
        <w:rPr>
          <w:rFonts w:ascii="Arial" w:hAnsi="Arial" w:cs="Arial"/>
          <w:sz w:val="22"/>
          <w:szCs w:val="22"/>
        </w:rPr>
        <w:t xml:space="preserve">, I follow a phased and realistic approach. During months one to three, I conduct co-design workshops with older adults, carers, community nurses, GPs, and mental health practitioners. Co-production is essential because research consistently shows that digital health tools developed without user involvement experience lower adoption and engagement (Greenhalgh et al., 2021). During this phase, I refine usability, accessibility, and workflow integration. </w:t>
      </w:r>
    </w:p>
    <w:p w14:paraId="1FB767D9" w14:textId="7D70919B"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Between </w:t>
      </w:r>
      <w:r w:rsidR="00457AC2" w:rsidRPr="00DA0E95">
        <w:rPr>
          <w:rFonts w:ascii="Arial" w:hAnsi="Arial" w:cs="Arial"/>
          <w:sz w:val="22"/>
          <w:szCs w:val="22"/>
        </w:rPr>
        <w:t>four and six months</w:t>
      </w:r>
      <w:r w:rsidRPr="00DA0E95">
        <w:rPr>
          <w:rFonts w:ascii="Arial" w:hAnsi="Arial" w:cs="Arial"/>
          <w:sz w:val="22"/>
          <w:szCs w:val="22"/>
        </w:rPr>
        <w:t xml:space="preserve">, I </w:t>
      </w:r>
      <w:r w:rsidR="00457AC2" w:rsidRPr="00DA0E95">
        <w:rPr>
          <w:rFonts w:ascii="Arial" w:hAnsi="Arial" w:cs="Arial"/>
          <w:sz w:val="22"/>
          <w:szCs w:val="22"/>
        </w:rPr>
        <w:t>initiated</w:t>
      </w:r>
      <w:r w:rsidRPr="00DA0E95">
        <w:rPr>
          <w:rFonts w:ascii="Arial" w:hAnsi="Arial" w:cs="Arial"/>
          <w:sz w:val="22"/>
          <w:szCs w:val="22"/>
        </w:rPr>
        <w:t xml:space="preserve"> a pilot across selected community care teams and care homes. The purpose of the pilot is to evaluate usability, acceptability, data flow, and interoperability with existing NHS digital infrastructure. I collect both quantitative outcome data and qualitative user feedback to </w:t>
      </w:r>
      <w:r w:rsidR="00457AC2" w:rsidRPr="00DA0E95">
        <w:rPr>
          <w:rFonts w:ascii="Arial" w:hAnsi="Arial" w:cs="Arial"/>
          <w:sz w:val="22"/>
          <w:szCs w:val="22"/>
        </w:rPr>
        <w:t>inform them about</w:t>
      </w:r>
      <w:r w:rsidRPr="00DA0E95">
        <w:rPr>
          <w:rFonts w:ascii="Arial" w:hAnsi="Arial" w:cs="Arial"/>
          <w:sz w:val="22"/>
          <w:szCs w:val="22"/>
        </w:rPr>
        <w:t xml:space="preserve"> iterative improvement. From months seven to twelve, I </w:t>
      </w:r>
      <w:r w:rsidR="00457AC2" w:rsidRPr="00DA0E95">
        <w:rPr>
          <w:rFonts w:ascii="Arial" w:hAnsi="Arial" w:cs="Arial"/>
          <w:sz w:val="22"/>
          <w:szCs w:val="22"/>
        </w:rPr>
        <w:t>expanded</w:t>
      </w:r>
      <w:r w:rsidRPr="00DA0E95">
        <w:rPr>
          <w:rFonts w:ascii="Arial" w:hAnsi="Arial" w:cs="Arial"/>
          <w:sz w:val="22"/>
          <w:szCs w:val="22"/>
        </w:rPr>
        <w:t xml:space="preserve"> regionally, supported by structured staff training, digital champions, and technical support. Between months thirteen and eighteen, I evaluate outcomes against predefined metrics including reduction in reported loneliness, improved mood scores, service utilisation patterns, and user satisfaction. If outcomes are positive, I prepare the platform for wider ICS-level scaling.</w:t>
      </w:r>
    </w:p>
    <w:p w14:paraId="5A17C5EC"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Successful delivery requires collaboration with key stakeholders. I work closely with NHS Trusts, local authorities, voluntary sector organisations, technology partners, and patient advocacy groups. Workforce engagement is particularly critical because clinician acceptance strongly influences digital health implementation success (Torous et al., 2021). I therefore embed training, feedback loops, and clinical governance oversight from the outset. By involving stakeholders </w:t>
      </w:r>
      <w:r w:rsidRPr="00DA0E95">
        <w:rPr>
          <w:rFonts w:ascii="Arial" w:hAnsi="Arial" w:cs="Arial"/>
          <w:sz w:val="22"/>
          <w:szCs w:val="22"/>
        </w:rPr>
        <w:lastRenderedPageBreak/>
        <w:t>continuously, I ensure that the platform is not only technically sound but also contextually and operationally aligned with local needs.</w:t>
      </w:r>
    </w:p>
    <w:p w14:paraId="5D10E39F" w14:textId="0BB2377E" w:rsidR="00DA0E95" w:rsidRPr="00DA0E95" w:rsidRDefault="17253497" w:rsidP="00DA0E95">
      <w:pPr>
        <w:pStyle w:val="NormalWeb"/>
        <w:spacing w:line="360" w:lineRule="auto"/>
        <w:jc w:val="both"/>
        <w:rPr>
          <w:rFonts w:ascii="Arial" w:hAnsi="Arial" w:cs="Arial"/>
          <w:sz w:val="22"/>
          <w:szCs w:val="22"/>
        </w:rPr>
      </w:pPr>
      <w:r w:rsidRPr="032FFC4D">
        <w:rPr>
          <w:rFonts w:ascii="Arial" w:hAnsi="Arial" w:cs="Arial"/>
          <w:sz w:val="22"/>
          <w:szCs w:val="22"/>
        </w:rPr>
        <w:t xml:space="preserve">Regulatory and ethical compliance is central to the credibility of </w:t>
      </w:r>
      <w:r w:rsidR="43BD2B7E" w:rsidRPr="032FFC4D">
        <w:rPr>
          <w:rFonts w:ascii="Arial" w:hAnsi="Arial" w:cs="Arial"/>
          <w:sz w:val="22"/>
          <w:szCs w:val="22"/>
        </w:rPr>
        <w:t>Mind Link</w:t>
      </w:r>
      <w:r w:rsidRPr="032FFC4D">
        <w:rPr>
          <w:rFonts w:ascii="Arial" w:hAnsi="Arial" w:cs="Arial"/>
          <w:sz w:val="22"/>
          <w:szCs w:val="22"/>
        </w:rPr>
        <w:t>. I ensure full adherence to UK GDPR and the Data Protection Act 2018 through end-to-end encryption, role-based access controls, and transparent consent processes. I also align the platform with CQC expectations regarding safe, effective, and person-</w:t>
      </w:r>
      <w:r w:rsidR="0CC3AF21" w:rsidRPr="032FFC4D">
        <w:rPr>
          <w:rFonts w:ascii="Arial" w:hAnsi="Arial" w:cs="Arial"/>
          <w:sz w:val="22"/>
          <w:szCs w:val="22"/>
        </w:rPr>
        <w:t>centered</w:t>
      </w:r>
      <w:r w:rsidRPr="032FFC4D">
        <w:rPr>
          <w:rFonts w:ascii="Arial" w:hAnsi="Arial" w:cs="Arial"/>
          <w:sz w:val="22"/>
          <w:szCs w:val="22"/>
        </w:rPr>
        <w:t xml:space="preserve"> care. NICE evidence standards for digital health technologies guide my evaluation framework to ensure that </w:t>
      </w:r>
      <w:r w:rsidR="36B65E12" w:rsidRPr="032FFC4D">
        <w:rPr>
          <w:rFonts w:ascii="Arial" w:hAnsi="Arial" w:cs="Arial"/>
          <w:sz w:val="22"/>
          <w:szCs w:val="22"/>
        </w:rPr>
        <w:t>Mind Link</w:t>
      </w:r>
      <w:r w:rsidRPr="032FFC4D">
        <w:rPr>
          <w:rFonts w:ascii="Arial" w:hAnsi="Arial" w:cs="Arial"/>
          <w:sz w:val="22"/>
          <w:szCs w:val="22"/>
        </w:rPr>
        <w:t xml:space="preserve"> demonstrates real clinical value rather than technological novelty alone (NICE, 2022). I additionally reflect on potential ethical dilemmas, such as balancing autonomy with safety and the responsible use of predictive analytics, and I integrate governance mechanisms to address these proactively.</w:t>
      </w:r>
    </w:p>
    <w:p w14:paraId="6BF93263" w14:textId="669030EC"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I </w:t>
      </w:r>
      <w:r w:rsidR="00457AC2" w:rsidRPr="00DA0E95">
        <w:rPr>
          <w:rFonts w:ascii="Arial" w:hAnsi="Arial" w:cs="Arial"/>
          <w:sz w:val="22"/>
          <w:szCs w:val="22"/>
        </w:rPr>
        <w:t>recogni</w:t>
      </w:r>
      <w:r w:rsidR="00457AC2">
        <w:rPr>
          <w:rFonts w:ascii="Arial" w:hAnsi="Arial" w:cs="Arial"/>
          <w:sz w:val="22"/>
          <w:szCs w:val="22"/>
        </w:rPr>
        <w:t xml:space="preserve">se </w:t>
      </w:r>
      <w:r w:rsidRPr="00DA0E95">
        <w:rPr>
          <w:rFonts w:ascii="Arial" w:hAnsi="Arial" w:cs="Arial"/>
          <w:sz w:val="22"/>
          <w:szCs w:val="22"/>
        </w:rPr>
        <w:t>several potential barriers and I proactively address them. Digital exclusion among some older adults remains a genuine concern. However, research indicates that when appropriate support and training are provided, many older adults are willing and able to engage with digital health tools (Seifert et al., 2021). To mitigate this risk, I include onboarding support, printed guides, family involvement, and optional low-tech engagement pathways. Privacy concerns are addressed through clear communication, transparent data use policies, and robust cybersecurity measures. Financial constraints are mitigated through phased rollout and demonstration of cost-effectiveness, particularly through potential reductions in avoidable hospital admissions.</w:t>
      </w:r>
    </w:p>
    <w:p w14:paraId="520EE1D2" w14:textId="36A5B0E0"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From a value perspective, I believe MindLink delivers strong alignment with current healthcare priorities. Preventive, digitally enabled, and community-based care models are repeatedly highlighted in UK policy and international health strategy (WHO, 2021). By targeting loneliness and early mental health deterioration, </w:t>
      </w:r>
      <w:r w:rsidR="00457AC2" w:rsidRPr="00DA0E95">
        <w:rPr>
          <w:rFonts w:ascii="Arial" w:hAnsi="Arial" w:cs="Arial"/>
          <w:sz w:val="22"/>
          <w:szCs w:val="22"/>
        </w:rPr>
        <w:t>Mind Link</w:t>
      </w:r>
      <w:r w:rsidRPr="00DA0E95">
        <w:rPr>
          <w:rFonts w:ascii="Arial" w:hAnsi="Arial" w:cs="Arial"/>
          <w:sz w:val="22"/>
          <w:szCs w:val="22"/>
        </w:rPr>
        <w:t xml:space="preserve"> supports both population health improvement and system sustainability. Economic modelling studies suggest that digital monitoring and early intervention </w:t>
      </w:r>
      <w:r w:rsidR="00457AC2" w:rsidRPr="00DA0E95">
        <w:rPr>
          <w:rFonts w:ascii="Arial" w:hAnsi="Arial" w:cs="Arial"/>
          <w:sz w:val="22"/>
          <w:szCs w:val="22"/>
        </w:rPr>
        <w:t>programmed</w:t>
      </w:r>
      <w:r w:rsidRPr="00DA0E95">
        <w:rPr>
          <w:rFonts w:ascii="Arial" w:hAnsi="Arial" w:cs="Arial"/>
          <w:sz w:val="22"/>
          <w:szCs w:val="22"/>
        </w:rPr>
        <w:t xml:space="preserve"> have the potential to generate cost savings when targeted at high-risk older populations (Torous et al., 2021). I therefore position </w:t>
      </w:r>
      <w:r w:rsidR="00457AC2" w:rsidRPr="00DA0E95">
        <w:rPr>
          <w:rFonts w:ascii="Arial" w:hAnsi="Arial" w:cs="Arial"/>
          <w:sz w:val="22"/>
          <w:szCs w:val="22"/>
        </w:rPr>
        <w:t>Mind Link</w:t>
      </w:r>
      <w:r w:rsidRPr="00DA0E95">
        <w:rPr>
          <w:rFonts w:ascii="Arial" w:hAnsi="Arial" w:cs="Arial"/>
          <w:sz w:val="22"/>
          <w:szCs w:val="22"/>
        </w:rPr>
        <w:t xml:space="preserve"> not only as clinically beneficial but also financially responsible.</w:t>
      </w:r>
    </w:p>
    <w:p w14:paraId="1FFA17AC" w14:textId="1614A8F4"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Looking ahead, I design </w:t>
      </w:r>
      <w:r w:rsidR="00457AC2" w:rsidRPr="00DA0E95">
        <w:rPr>
          <w:rFonts w:ascii="Arial" w:hAnsi="Arial" w:cs="Arial"/>
          <w:sz w:val="22"/>
          <w:szCs w:val="22"/>
        </w:rPr>
        <w:t>Mind Link</w:t>
      </w:r>
      <w:r w:rsidRPr="00DA0E95">
        <w:rPr>
          <w:rFonts w:ascii="Arial" w:hAnsi="Arial" w:cs="Arial"/>
          <w:sz w:val="22"/>
          <w:szCs w:val="22"/>
        </w:rPr>
        <w:t xml:space="preserve"> with scalability and adaptability in mind. The platform architecture allows future expansion into areas such as dementia support, chronic disease self-management, and remote psychological therapy integration. I also anticipate opportunities to incorporate advanced analytics and predictive modelling as the evidence base matures. Continuous evaluation and user feedback remain central to this future development pathway.</w:t>
      </w:r>
    </w:p>
    <w:p w14:paraId="586AE7EA" w14:textId="19E76DC8"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lastRenderedPageBreak/>
        <w:t xml:space="preserve">I am confident that </w:t>
      </w:r>
      <w:r w:rsidR="00457AC2" w:rsidRPr="00DA0E95">
        <w:rPr>
          <w:rFonts w:ascii="Arial" w:hAnsi="Arial" w:cs="Arial"/>
          <w:sz w:val="22"/>
          <w:szCs w:val="22"/>
        </w:rPr>
        <w:t>Mind Link</w:t>
      </w:r>
      <w:r w:rsidRPr="00DA0E95">
        <w:rPr>
          <w:rFonts w:ascii="Arial" w:hAnsi="Arial" w:cs="Arial"/>
          <w:sz w:val="22"/>
          <w:szCs w:val="22"/>
        </w:rPr>
        <w:t xml:space="preserve"> represents a practical, evidence-informed, and scalable response to one of the most pressing challenges in contemporary health and social care. However, successful implementation depends on active support from system leaders, clinicians, and the wider community. I therefore call on NHS leaders, policymakers, commissioners, and community partners to support pilot adoption, collaborative evaluation, and strategic scaling of </w:t>
      </w:r>
      <w:r w:rsidR="00457AC2" w:rsidRPr="00DA0E95">
        <w:rPr>
          <w:rFonts w:ascii="Arial" w:hAnsi="Arial" w:cs="Arial"/>
          <w:sz w:val="22"/>
          <w:szCs w:val="22"/>
        </w:rPr>
        <w:t>Mind Link</w:t>
      </w:r>
      <w:r w:rsidRPr="00DA0E95">
        <w:rPr>
          <w:rFonts w:ascii="Arial" w:hAnsi="Arial" w:cs="Arial"/>
          <w:sz w:val="22"/>
          <w:szCs w:val="22"/>
        </w:rPr>
        <w:t>. I also encourage members of the public, particularly family carers and older adults, to engage with the platform, provide feedback, and advocate for digitally supported, person-</w:t>
      </w:r>
      <w:r w:rsidR="00457AC2" w:rsidRPr="00DA0E95">
        <w:rPr>
          <w:rFonts w:ascii="Arial" w:hAnsi="Arial" w:cs="Arial"/>
          <w:sz w:val="22"/>
          <w:szCs w:val="22"/>
        </w:rPr>
        <w:t>centered</w:t>
      </w:r>
      <w:r w:rsidRPr="00DA0E95">
        <w:rPr>
          <w:rFonts w:ascii="Arial" w:hAnsi="Arial" w:cs="Arial"/>
          <w:sz w:val="22"/>
          <w:szCs w:val="22"/>
        </w:rPr>
        <w:t xml:space="preserve"> mental health care.</w:t>
      </w:r>
    </w:p>
    <w:p w14:paraId="184FF253" w14:textId="0211CACB"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By working together, I believe we can move from fragmented, reactive care toward a proactive, connected, and compassionate model that truly meets the needs of our ageing population. </w:t>
      </w:r>
      <w:r w:rsidR="00457AC2" w:rsidRPr="00DA0E95">
        <w:rPr>
          <w:rFonts w:ascii="Arial" w:hAnsi="Arial" w:cs="Arial"/>
          <w:sz w:val="22"/>
          <w:szCs w:val="22"/>
        </w:rPr>
        <w:t>Mind Link</w:t>
      </w:r>
      <w:r w:rsidRPr="00DA0E95">
        <w:rPr>
          <w:rFonts w:ascii="Arial" w:hAnsi="Arial" w:cs="Arial"/>
          <w:sz w:val="22"/>
          <w:szCs w:val="22"/>
        </w:rPr>
        <w:t xml:space="preserve"> is not simply a technological tool; it is a pathway toward safer, more responsive, and more humane mental health support for older adults. With timely investment and collaborative commitment, I am confident that </w:t>
      </w:r>
      <w:r w:rsidR="009C0402" w:rsidRPr="00DA0E95">
        <w:rPr>
          <w:rFonts w:ascii="Arial" w:hAnsi="Arial" w:cs="Arial"/>
          <w:sz w:val="22"/>
          <w:szCs w:val="22"/>
        </w:rPr>
        <w:t>Mind Link</w:t>
      </w:r>
      <w:r w:rsidRPr="00DA0E95">
        <w:rPr>
          <w:rFonts w:ascii="Arial" w:hAnsi="Arial" w:cs="Arial"/>
          <w:sz w:val="22"/>
          <w:szCs w:val="22"/>
        </w:rPr>
        <w:t xml:space="preserve"> can contribute meaningfully to improving wellbeing, reducing inequalities, and strengthening the resilience of our health and social care system. By embedding continuous evaluation, learning from user experience, and remaining responsive to evolving needs, I aim to ensure that </w:t>
      </w:r>
      <w:r w:rsidR="009C0402" w:rsidRPr="00DA0E95">
        <w:rPr>
          <w:rFonts w:ascii="Arial" w:hAnsi="Arial" w:cs="Arial"/>
          <w:sz w:val="22"/>
          <w:szCs w:val="22"/>
        </w:rPr>
        <w:t>Mind Link</w:t>
      </w:r>
      <w:r w:rsidRPr="00DA0E95">
        <w:rPr>
          <w:rFonts w:ascii="Arial" w:hAnsi="Arial" w:cs="Arial"/>
          <w:sz w:val="22"/>
          <w:szCs w:val="22"/>
        </w:rPr>
        <w:t xml:space="preserve"> remains relevant and effective well into the future.</w:t>
      </w:r>
    </w:p>
    <w:p w14:paraId="4E10065C" w14:textId="77777777" w:rsidR="00DA0E95" w:rsidRPr="00DA0E95" w:rsidRDefault="00DA0E95" w:rsidP="00DA0E95">
      <w:pPr>
        <w:pStyle w:val="NormalWeb"/>
        <w:spacing w:line="360" w:lineRule="auto"/>
        <w:jc w:val="both"/>
        <w:rPr>
          <w:rFonts w:ascii="Arial" w:hAnsi="Arial" w:cs="Arial"/>
          <w:sz w:val="22"/>
          <w:szCs w:val="22"/>
        </w:rPr>
      </w:pPr>
    </w:p>
    <w:p w14:paraId="57D0D7B4" w14:textId="77777777" w:rsidR="00DA0E95" w:rsidRPr="00DA0E95" w:rsidRDefault="00DA0E95" w:rsidP="00DA0E95">
      <w:pPr>
        <w:pStyle w:val="NormalWeb"/>
        <w:spacing w:line="360" w:lineRule="auto"/>
        <w:jc w:val="both"/>
        <w:rPr>
          <w:rFonts w:ascii="Arial" w:hAnsi="Arial" w:cs="Arial"/>
          <w:sz w:val="22"/>
          <w:szCs w:val="22"/>
        </w:rPr>
      </w:pPr>
    </w:p>
    <w:p w14:paraId="01EFFDE5" w14:textId="77777777" w:rsidR="00DA0E95" w:rsidRPr="00DA0E95" w:rsidRDefault="00DA0E95" w:rsidP="00DA0E95">
      <w:pPr>
        <w:pStyle w:val="NormalWeb"/>
        <w:spacing w:line="360" w:lineRule="auto"/>
        <w:jc w:val="both"/>
        <w:rPr>
          <w:rFonts w:ascii="Arial" w:hAnsi="Arial" w:cs="Arial"/>
          <w:sz w:val="22"/>
          <w:szCs w:val="22"/>
        </w:rPr>
      </w:pPr>
    </w:p>
    <w:p w14:paraId="6EEBE413" w14:textId="77777777" w:rsidR="00DA0E95" w:rsidRPr="00DA0E95" w:rsidRDefault="00DA0E95" w:rsidP="00DA0E95">
      <w:pPr>
        <w:pStyle w:val="NormalWeb"/>
        <w:spacing w:line="360" w:lineRule="auto"/>
        <w:jc w:val="both"/>
        <w:rPr>
          <w:rFonts w:ascii="Arial" w:hAnsi="Arial" w:cs="Arial"/>
          <w:sz w:val="22"/>
          <w:szCs w:val="22"/>
        </w:rPr>
      </w:pPr>
    </w:p>
    <w:p w14:paraId="6A999B59" w14:textId="77777777" w:rsidR="00DA0E95" w:rsidRPr="00DA0E95" w:rsidRDefault="00DA0E95" w:rsidP="00DA0E95">
      <w:pPr>
        <w:pStyle w:val="NormalWeb"/>
        <w:spacing w:line="360" w:lineRule="auto"/>
        <w:jc w:val="both"/>
        <w:rPr>
          <w:rFonts w:ascii="Arial" w:hAnsi="Arial" w:cs="Arial"/>
          <w:sz w:val="22"/>
          <w:szCs w:val="22"/>
        </w:rPr>
      </w:pPr>
    </w:p>
    <w:p w14:paraId="21E98C10" w14:textId="77777777" w:rsidR="00DA0E95" w:rsidRPr="0020116D" w:rsidRDefault="00DA0E95" w:rsidP="00DA0E95">
      <w:pPr>
        <w:pStyle w:val="NormalWeb"/>
        <w:spacing w:line="360" w:lineRule="auto"/>
        <w:jc w:val="both"/>
        <w:rPr>
          <w:rFonts w:ascii="Arial" w:hAnsi="Arial" w:cs="Arial"/>
          <w:b/>
          <w:sz w:val="22"/>
          <w:szCs w:val="22"/>
        </w:rPr>
      </w:pPr>
      <w:r w:rsidRPr="0020116D">
        <w:rPr>
          <w:rFonts w:ascii="Arial" w:hAnsi="Arial" w:cs="Arial"/>
          <w:b/>
          <w:sz w:val="22"/>
          <w:szCs w:val="22"/>
        </w:rPr>
        <w:t>REFERENCES</w:t>
      </w:r>
    </w:p>
    <w:p w14:paraId="17AEF66A"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Choi, N.G., Marti, C.N., Wilson, N.L. and Chen, G.J. (2020) ‘Telehealth problem-solving therapy for depressed low-income homebound older adults’, </w:t>
      </w:r>
      <w:r w:rsidRPr="00DA0E95">
        <w:rPr>
          <w:rStyle w:val="Emphasis"/>
          <w:rFonts w:ascii="Arial" w:hAnsi="Arial" w:cs="Arial"/>
          <w:sz w:val="22"/>
          <w:szCs w:val="22"/>
        </w:rPr>
        <w:t>The American Journal of Geriatric Psychiatry</w:t>
      </w:r>
      <w:r w:rsidRPr="00DA0E95">
        <w:rPr>
          <w:rFonts w:ascii="Arial" w:hAnsi="Arial" w:cs="Arial"/>
          <w:sz w:val="22"/>
          <w:szCs w:val="22"/>
        </w:rPr>
        <w:t>, 28(10), pp. 1045–1056.</w:t>
      </w:r>
    </w:p>
    <w:p w14:paraId="2E30079E"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lastRenderedPageBreak/>
        <w:t xml:space="preserve">García-Fernández, L., Romero-Ferreiro, V., López-Roldán, P.D., Padilla, S. and Rodríguez-Jiménez, R. (2021) ‘Mental health in elderly Spanish people in times of COVID-19 outbreak’, </w:t>
      </w:r>
      <w:r w:rsidRPr="00DA0E95">
        <w:rPr>
          <w:rStyle w:val="Emphasis"/>
          <w:rFonts w:ascii="Arial" w:hAnsi="Arial" w:cs="Arial"/>
          <w:sz w:val="22"/>
          <w:szCs w:val="22"/>
        </w:rPr>
        <w:t>The American Journal of Geriatric Psychiatry</w:t>
      </w:r>
      <w:r w:rsidRPr="00DA0E95">
        <w:rPr>
          <w:rFonts w:ascii="Arial" w:hAnsi="Arial" w:cs="Arial"/>
          <w:sz w:val="22"/>
          <w:szCs w:val="22"/>
        </w:rPr>
        <w:t>, 29(4), pp. 408–417.</w:t>
      </w:r>
    </w:p>
    <w:p w14:paraId="03A0FA57"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Greenhalgh, T., </w:t>
      </w:r>
      <w:proofErr w:type="spellStart"/>
      <w:r w:rsidRPr="00DA0E95">
        <w:rPr>
          <w:rFonts w:ascii="Arial" w:hAnsi="Arial" w:cs="Arial"/>
          <w:sz w:val="22"/>
          <w:szCs w:val="22"/>
        </w:rPr>
        <w:t>Wherton</w:t>
      </w:r>
      <w:proofErr w:type="spellEnd"/>
      <w:r w:rsidRPr="00DA0E95">
        <w:rPr>
          <w:rFonts w:ascii="Arial" w:hAnsi="Arial" w:cs="Arial"/>
          <w:sz w:val="22"/>
          <w:szCs w:val="22"/>
        </w:rPr>
        <w:t xml:space="preserve">, J., Papoutsi, C., Lynch, J., Hughes, G., A’Court, C., Hinder, S., Fahy, N., Procter, R. and Shaw, S. (2021) ‘Beyond adoption: a new framework for </w:t>
      </w:r>
      <w:proofErr w:type="spellStart"/>
      <w:r w:rsidRPr="00DA0E95">
        <w:rPr>
          <w:rFonts w:ascii="Arial" w:hAnsi="Arial" w:cs="Arial"/>
          <w:sz w:val="22"/>
          <w:szCs w:val="22"/>
        </w:rPr>
        <w:t>theorising</w:t>
      </w:r>
      <w:proofErr w:type="spellEnd"/>
      <w:r w:rsidRPr="00DA0E95">
        <w:rPr>
          <w:rFonts w:ascii="Arial" w:hAnsi="Arial" w:cs="Arial"/>
          <w:sz w:val="22"/>
          <w:szCs w:val="22"/>
        </w:rPr>
        <w:t xml:space="preserve"> and evaluating </w:t>
      </w:r>
      <w:proofErr w:type="spellStart"/>
      <w:r w:rsidRPr="00DA0E95">
        <w:rPr>
          <w:rFonts w:ascii="Arial" w:hAnsi="Arial" w:cs="Arial"/>
          <w:sz w:val="22"/>
          <w:szCs w:val="22"/>
        </w:rPr>
        <w:t>nonadoption</w:t>
      </w:r>
      <w:proofErr w:type="spellEnd"/>
      <w:r w:rsidRPr="00DA0E95">
        <w:rPr>
          <w:rFonts w:ascii="Arial" w:hAnsi="Arial" w:cs="Arial"/>
          <w:sz w:val="22"/>
          <w:szCs w:val="22"/>
        </w:rPr>
        <w:t xml:space="preserve">, abandonment and challenges to the scale-up of health technologies’, </w:t>
      </w:r>
      <w:r w:rsidRPr="00DA0E95">
        <w:rPr>
          <w:rStyle w:val="Emphasis"/>
          <w:rFonts w:ascii="Arial" w:hAnsi="Arial" w:cs="Arial"/>
          <w:sz w:val="22"/>
          <w:szCs w:val="22"/>
        </w:rPr>
        <w:t>Journal of Medical Internet Research</w:t>
      </w:r>
      <w:r w:rsidRPr="00DA0E95">
        <w:rPr>
          <w:rFonts w:ascii="Arial" w:hAnsi="Arial" w:cs="Arial"/>
          <w:sz w:val="22"/>
          <w:szCs w:val="22"/>
        </w:rPr>
        <w:t>, 23(11), e36762.</w:t>
      </w:r>
    </w:p>
    <w:p w14:paraId="51B08916"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NHS England (2019) </w:t>
      </w:r>
      <w:r w:rsidRPr="00DA0E95">
        <w:rPr>
          <w:rStyle w:val="Emphasis"/>
          <w:rFonts w:ascii="Arial" w:hAnsi="Arial" w:cs="Arial"/>
          <w:sz w:val="22"/>
          <w:szCs w:val="22"/>
        </w:rPr>
        <w:t>The NHS Long Term Plan</w:t>
      </w:r>
      <w:r w:rsidRPr="00DA0E95">
        <w:rPr>
          <w:rFonts w:ascii="Arial" w:hAnsi="Arial" w:cs="Arial"/>
          <w:sz w:val="22"/>
          <w:szCs w:val="22"/>
        </w:rPr>
        <w:t>. London: NHS England.</w:t>
      </w:r>
    </w:p>
    <w:p w14:paraId="7C87F4A5"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NHS England (2022) </w:t>
      </w:r>
      <w:r w:rsidRPr="00DA0E95">
        <w:rPr>
          <w:rStyle w:val="Emphasis"/>
          <w:rFonts w:ascii="Arial" w:hAnsi="Arial" w:cs="Arial"/>
          <w:sz w:val="22"/>
          <w:szCs w:val="22"/>
        </w:rPr>
        <w:t>What are Integrated Care Systems?</w:t>
      </w:r>
      <w:r w:rsidRPr="00DA0E95">
        <w:rPr>
          <w:rFonts w:ascii="Arial" w:hAnsi="Arial" w:cs="Arial"/>
          <w:sz w:val="22"/>
          <w:szCs w:val="22"/>
        </w:rPr>
        <w:t xml:space="preserve"> London: NHS England.</w:t>
      </w:r>
    </w:p>
    <w:p w14:paraId="06C14E1D"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NICE (2022) </w:t>
      </w:r>
      <w:r w:rsidRPr="00DA0E95">
        <w:rPr>
          <w:rStyle w:val="Emphasis"/>
          <w:rFonts w:ascii="Arial" w:hAnsi="Arial" w:cs="Arial"/>
          <w:sz w:val="22"/>
          <w:szCs w:val="22"/>
        </w:rPr>
        <w:t>Evidence standards framework for digital health technologies</w:t>
      </w:r>
      <w:r w:rsidRPr="00DA0E95">
        <w:rPr>
          <w:rFonts w:ascii="Arial" w:hAnsi="Arial" w:cs="Arial"/>
          <w:sz w:val="22"/>
          <w:szCs w:val="22"/>
        </w:rPr>
        <w:t>. London: NICE.</w:t>
      </w:r>
    </w:p>
    <w:p w14:paraId="40DE5EDD" w14:textId="5A6D229E"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Noone, C., McSharry, J., </w:t>
      </w:r>
      <w:r w:rsidR="009C0402" w:rsidRPr="00DA0E95">
        <w:rPr>
          <w:rFonts w:ascii="Arial" w:hAnsi="Arial" w:cs="Arial"/>
          <w:sz w:val="22"/>
          <w:szCs w:val="22"/>
        </w:rPr>
        <w:t>Smale</w:t>
      </w:r>
      <w:r w:rsidRPr="00DA0E95">
        <w:rPr>
          <w:rFonts w:ascii="Arial" w:hAnsi="Arial" w:cs="Arial"/>
          <w:sz w:val="22"/>
          <w:szCs w:val="22"/>
        </w:rPr>
        <w:t xml:space="preserve">, M., Burns, A., Dwan, K., Devane, D. and Morrissey, E.C. (2020) ‘Video calls for reducing social isolation and loneliness in older people: a rapid review’, </w:t>
      </w:r>
      <w:r w:rsidRPr="00DA0E95">
        <w:rPr>
          <w:rStyle w:val="Emphasis"/>
          <w:rFonts w:ascii="Arial" w:hAnsi="Arial" w:cs="Arial"/>
          <w:sz w:val="22"/>
          <w:szCs w:val="22"/>
        </w:rPr>
        <w:t>Cochrane Database of Systematic Reviews</w:t>
      </w:r>
      <w:r w:rsidRPr="00DA0E95">
        <w:rPr>
          <w:rFonts w:ascii="Arial" w:hAnsi="Arial" w:cs="Arial"/>
          <w:sz w:val="22"/>
          <w:szCs w:val="22"/>
        </w:rPr>
        <w:t>, 5, CD013632.</w:t>
      </w:r>
    </w:p>
    <w:p w14:paraId="2DEA2432"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Seifert, A., Batsis, J.A. and Smith, A.C. (</w:t>
      </w:r>
      <w:proofErr w:type="gramStart"/>
      <w:r w:rsidRPr="00DA0E95">
        <w:rPr>
          <w:rFonts w:ascii="Arial" w:hAnsi="Arial" w:cs="Arial"/>
          <w:sz w:val="22"/>
          <w:szCs w:val="22"/>
        </w:rPr>
        <w:t>2021) ‘</w:t>
      </w:r>
      <w:proofErr w:type="gramEnd"/>
      <w:r w:rsidRPr="00DA0E95">
        <w:rPr>
          <w:rFonts w:ascii="Arial" w:hAnsi="Arial" w:cs="Arial"/>
          <w:sz w:val="22"/>
          <w:szCs w:val="22"/>
        </w:rPr>
        <w:t xml:space="preserve">Telemedicine in long-term care facilities during and beyond COVID-19: challenges caused by the digital divide’, </w:t>
      </w:r>
      <w:r w:rsidRPr="00DA0E95">
        <w:rPr>
          <w:rStyle w:val="Emphasis"/>
          <w:rFonts w:ascii="Arial" w:hAnsi="Arial" w:cs="Arial"/>
          <w:sz w:val="22"/>
          <w:szCs w:val="22"/>
        </w:rPr>
        <w:t>Frontiers in Public Health</w:t>
      </w:r>
      <w:r w:rsidRPr="00DA0E95">
        <w:rPr>
          <w:rFonts w:ascii="Arial" w:hAnsi="Arial" w:cs="Arial"/>
          <w:sz w:val="22"/>
          <w:szCs w:val="22"/>
        </w:rPr>
        <w:t>, 9, 601595.</w:t>
      </w:r>
    </w:p>
    <w:p w14:paraId="0A7B58D3" w14:textId="48B81D62" w:rsidR="00DA0E95" w:rsidRPr="00DA0E95" w:rsidRDefault="00635DEC" w:rsidP="00DA0E95">
      <w:pPr>
        <w:pStyle w:val="NormalWeb"/>
        <w:spacing w:line="360" w:lineRule="auto"/>
        <w:jc w:val="both"/>
        <w:rPr>
          <w:rFonts w:ascii="Arial" w:hAnsi="Arial" w:cs="Arial"/>
          <w:sz w:val="22"/>
          <w:szCs w:val="22"/>
        </w:rPr>
      </w:pPr>
      <w:r w:rsidRPr="00DA0E95">
        <w:rPr>
          <w:rFonts w:ascii="Arial" w:hAnsi="Arial" w:cs="Arial"/>
          <w:sz w:val="22"/>
          <w:szCs w:val="22"/>
        </w:rPr>
        <w:t>Torus</w:t>
      </w:r>
      <w:r w:rsidR="00DA0E95" w:rsidRPr="00DA0E95">
        <w:rPr>
          <w:rFonts w:ascii="Arial" w:hAnsi="Arial" w:cs="Arial"/>
          <w:sz w:val="22"/>
          <w:szCs w:val="22"/>
        </w:rPr>
        <w:t xml:space="preserve">, J., Bucci, S., Bell, I.H., Kessing, L.V., Faurholt-Jepsen, M., Whelan, P., Carvalho, A.F. and Keshavan, M. (2021) ‘The growing field of digital psychiatry: current evidence and the future of apps, social media, chatbots, and virtual reality’, </w:t>
      </w:r>
      <w:r w:rsidR="00DA0E95" w:rsidRPr="00DA0E95">
        <w:rPr>
          <w:rStyle w:val="Emphasis"/>
          <w:rFonts w:ascii="Arial" w:hAnsi="Arial" w:cs="Arial"/>
          <w:sz w:val="22"/>
          <w:szCs w:val="22"/>
        </w:rPr>
        <w:t>World Psychiatry</w:t>
      </w:r>
      <w:r w:rsidR="00DA0E95" w:rsidRPr="00DA0E95">
        <w:rPr>
          <w:rFonts w:ascii="Arial" w:hAnsi="Arial" w:cs="Arial"/>
          <w:sz w:val="22"/>
          <w:szCs w:val="22"/>
        </w:rPr>
        <w:t>, 20(3), pp. 318–335.</w:t>
      </w:r>
    </w:p>
    <w:p w14:paraId="390B5525" w14:textId="77777777" w:rsidR="00DA0E95" w:rsidRPr="00DA0E95" w:rsidRDefault="00DA0E95" w:rsidP="00DA0E95">
      <w:pPr>
        <w:pStyle w:val="NormalWeb"/>
        <w:spacing w:line="360" w:lineRule="auto"/>
        <w:jc w:val="both"/>
        <w:rPr>
          <w:rFonts w:ascii="Arial" w:hAnsi="Arial" w:cs="Arial"/>
          <w:sz w:val="22"/>
          <w:szCs w:val="22"/>
        </w:rPr>
      </w:pPr>
      <w:r w:rsidRPr="00DA0E95">
        <w:rPr>
          <w:rFonts w:ascii="Arial" w:hAnsi="Arial" w:cs="Arial"/>
          <w:sz w:val="22"/>
          <w:szCs w:val="22"/>
        </w:rPr>
        <w:t xml:space="preserve">World Health Organization (2021) </w:t>
      </w:r>
      <w:r w:rsidRPr="00DA0E95">
        <w:rPr>
          <w:rStyle w:val="Emphasis"/>
          <w:rFonts w:ascii="Arial" w:hAnsi="Arial" w:cs="Arial"/>
          <w:sz w:val="22"/>
          <w:szCs w:val="22"/>
        </w:rPr>
        <w:t>Social isolation and loneliness among older people: advocacy brief</w:t>
      </w:r>
      <w:r w:rsidRPr="00DA0E95">
        <w:rPr>
          <w:rFonts w:ascii="Arial" w:hAnsi="Arial" w:cs="Arial"/>
          <w:sz w:val="22"/>
          <w:szCs w:val="22"/>
        </w:rPr>
        <w:t>. Geneva: WHO.</w:t>
      </w:r>
    </w:p>
    <w:sectPr w:rsidR="00DA0E95" w:rsidRPr="00DA0E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CD12E" w14:textId="77777777" w:rsidR="001C54D1" w:rsidRDefault="001C54D1" w:rsidP="00DD3098">
      <w:r>
        <w:separator/>
      </w:r>
    </w:p>
  </w:endnote>
  <w:endnote w:type="continuationSeparator" w:id="0">
    <w:p w14:paraId="0F8547DE" w14:textId="77777777" w:rsidR="001C54D1" w:rsidRDefault="001C54D1" w:rsidP="00DD3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094315"/>
      <w:docPartObj>
        <w:docPartGallery w:val="Page Numbers (Bottom of Page)"/>
        <w:docPartUnique/>
      </w:docPartObj>
    </w:sdtPr>
    <w:sdtEndPr>
      <w:rPr>
        <w:noProof/>
      </w:rPr>
    </w:sdtEndPr>
    <w:sdtContent>
      <w:p w14:paraId="5337AA3F" w14:textId="77777777" w:rsidR="00DD3098" w:rsidRDefault="00DD3098">
        <w:pPr>
          <w:pStyle w:val="Footer"/>
          <w:jc w:val="right"/>
        </w:pPr>
        <w:r>
          <w:fldChar w:fldCharType="begin"/>
        </w:r>
        <w:r>
          <w:instrText xml:space="preserve"> PAGE   \* MERGEFORMAT </w:instrText>
        </w:r>
        <w:r>
          <w:fldChar w:fldCharType="separate"/>
        </w:r>
        <w:r w:rsidR="0020116D">
          <w:rPr>
            <w:noProof/>
          </w:rPr>
          <w:t>1</w:t>
        </w:r>
        <w:r>
          <w:rPr>
            <w:noProof/>
          </w:rPr>
          <w:fldChar w:fldCharType="end"/>
        </w:r>
      </w:p>
    </w:sdtContent>
  </w:sdt>
  <w:p w14:paraId="198B02C3" w14:textId="77777777" w:rsidR="00DD3098" w:rsidRDefault="00DD3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D326B" w14:textId="77777777" w:rsidR="001C54D1" w:rsidRDefault="001C54D1" w:rsidP="00DD3098">
      <w:r>
        <w:separator/>
      </w:r>
    </w:p>
  </w:footnote>
  <w:footnote w:type="continuationSeparator" w:id="0">
    <w:p w14:paraId="4D256E8F" w14:textId="77777777" w:rsidR="001C54D1" w:rsidRDefault="001C54D1" w:rsidP="00DD309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B3E"/>
    <w:rsid w:val="00000A81"/>
    <w:rsid w:val="00010AA7"/>
    <w:rsid w:val="00067089"/>
    <w:rsid w:val="000741BB"/>
    <w:rsid w:val="00085C85"/>
    <w:rsid w:val="000C3842"/>
    <w:rsid w:val="001236E9"/>
    <w:rsid w:val="001C54D1"/>
    <w:rsid w:val="001D7182"/>
    <w:rsid w:val="0020116D"/>
    <w:rsid w:val="00233768"/>
    <w:rsid w:val="0025299C"/>
    <w:rsid w:val="002770D9"/>
    <w:rsid w:val="002C01C5"/>
    <w:rsid w:val="002D1C73"/>
    <w:rsid w:val="00305C00"/>
    <w:rsid w:val="00331B90"/>
    <w:rsid w:val="003365E9"/>
    <w:rsid w:val="003503CC"/>
    <w:rsid w:val="003613C7"/>
    <w:rsid w:val="00382EBC"/>
    <w:rsid w:val="00383BFC"/>
    <w:rsid w:val="00391EFC"/>
    <w:rsid w:val="003E1967"/>
    <w:rsid w:val="00424133"/>
    <w:rsid w:val="004269B1"/>
    <w:rsid w:val="00457AC2"/>
    <w:rsid w:val="00480C78"/>
    <w:rsid w:val="004B559E"/>
    <w:rsid w:val="005050A8"/>
    <w:rsid w:val="00635DEC"/>
    <w:rsid w:val="0065670A"/>
    <w:rsid w:val="006B6F93"/>
    <w:rsid w:val="006E4E43"/>
    <w:rsid w:val="00727FC6"/>
    <w:rsid w:val="0073695D"/>
    <w:rsid w:val="007F08A8"/>
    <w:rsid w:val="00853530"/>
    <w:rsid w:val="00890192"/>
    <w:rsid w:val="008E68EC"/>
    <w:rsid w:val="009062A0"/>
    <w:rsid w:val="009124B3"/>
    <w:rsid w:val="00953CC4"/>
    <w:rsid w:val="0097027B"/>
    <w:rsid w:val="009C0402"/>
    <w:rsid w:val="009F7915"/>
    <w:rsid w:val="00A77B3E"/>
    <w:rsid w:val="00AF1EB6"/>
    <w:rsid w:val="00BA7F30"/>
    <w:rsid w:val="00CA2A55"/>
    <w:rsid w:val="00CD351E"/>
    <w:rsid w:val="00CD474D"/>
    <w:rsid w:val="00CE13C8"/>
    <w:rsid w:val="00D25DF5"/>
    <w:rsid w:val="00DA0E95"/>
    <w:rsid w:val="00DD3098"/>
    <w:rsid w:val="00DF0FF9"/>
    <w:rsid w:val="00E4213E"/>
    <w:rsid w:val="00E42ED6"/>
    <w:rsid w:val="00E67D4F"/>
    <w:rsid w:val="00E97418"/>
    <w:rsid w:val="00EA63EF"/>
    <w:rsid w:val="00F6087A"/>
    <w:rsid w:val="00FA0BB5"/>
    <w:rsid w:val="00FE03D2"/>
    <w:rsid w:val="00FE767F"/>
    <w:rsid w:val="00FF79D2"/>
    <w:rsid w:val="011491D2"/>
    <w:rsid w:val="032FFC4D"/>
    <w:rsid w:val="037F116E"/>
    <w:rsid w:val="0896BF59"/>
    <w:rsid w:val="0CA67E2B"/>
    <w:rsid w:val="0CC3AF21"/>
    <w:rsid w:val="0F3E5353"/>
    <w:rsid w:val="17253497"/>
    <w:rsid w:val="18D29B43"/>
    <w:rsid w:val="1B898871"/>
    <w:rsid w:val="1BCC122E"/>
    <w:rsid w:val="1F7E4648"/>
    <w:rsid w:val="2192D3AD"/>
    <w:rsid w:val="2554D2C1"/>
    <w:rsid w:val="25ECB9A3"/>
    <w:rsid w:val="27724E70"/>
    <w:rsid w:val="2E47841B"/>
    <w:rsid w:val="36B65E12"/>
    <w:rsid w:val="38A55AB7"/>
    <w:rsid w:val="38E16D40"/>
    <w:rsid w:val="3AF20DD4"/>
    <w:rsid w:val="3D84B3AE"/>
    <w:rsid w:val="41C359F0"/>
    <w:rsid w:val="43BD2B7E"/>
    <w:rsid w:val="4ADADD80"/>
    <w:rsid w:val="52507CA1"/>
    <w:rsid w:val="5B63B65C"/>
    <w:rsid w:val="5C99E1C2"/>
    <w:rsid w:val="60DDBA48"/>
    <w:rsid w:val="612ACA17"/>
    <w:rsid w:val="63BF1047"/>
    <w:rsid w:val="6494CD0B"/>
    <w:rsid w:val="64C7FB80"/>
    <w:rsid w:val="695BFA11"/>
    <w:rsid w:val="6A81E2F5"/>
    <w:rsid w:val="6EBC32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9891DF"/>
  <w15:docId w15:val="{2916B02F-E45E-4C5E-8995-329C74B9B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3BFC"/>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DD3098"/>
    <w:pPr>
      <w:tabs>
        <w:tab w:val="center" w:pos="4680"/>
        <w:tab w:val="right" w:pos="9360"/>
      </w:tabs>
    </w:pPr>
  </w:style>
  <w:style w:type="character" w:customStyle="1" w:styleId="HeaderChar">
    <w:name w:val="Header Char"/>
    <w:basedOn w:val="DefaultParagraphFont"/>
    <w:link w:val="Header"/>
    <w:rsid w:val="00DD3098"/>
    <w:rPr>
      <w:sz w:val="24"/>
      <w:szCs w:val="24"/>
    </w:rPr>
  </w:style>
  <w:style w:type="paragraph" w:styleId="Footer">
    <w:name w:val="footer"/>
    <w:basedOn w:val="Normal"/>
    <w:link w:val="FooterChar"/>
    <w:uiPriority w:val="99"/>
    <w:unhideWhenUsed/>
    <w:rsid w:val="00DD3098"/>
    <w:pPr>
      <w:tabs>
        <w:tab w:val="center" w:pos="4680"/>
        <w:tab w:val="right" w:pos="9360"/>
      </w:tabs>
    </w:pPr>
  </w:style>
  <w:style w:type="character" w:customStyle="1" w:styleId="FooterChar">
    <w:name w:val="Footer Char"/>
    <w:basedOn w:val="DefaultParagraphFont"/>
    <w:link w:val="Footer"/>
    <w:uiPriority w:val="99"/>
    <w:rsid w:val="00DD3098"/>
    <w:rPr>
      <w:sz w:val="24"/>
      <w:szCs w:val="24"/>
    </w:rPr>
  </w:style>
  <w:style w:type="paragraph" w:styleId="NormalWeb">
    <w:name w:val="Normal (Web)"/>
    <w:basedOn w:val="Normal"/>
    <w:uiPriority w:val="99"/>
    <w:semiHidden/>
    <w:unhideWhenUsed/>
    <w:rsid w:val="00DA0E95"/>
    <w:pPr>
      <w:spacing w:before="100" w:beforeAutospacing="1" w:after="100" w:afterAutospacing="1"/>
    </w:pPr>
  </w:style>
  <w:style w:type="character" w:styleId="Emphasis">
    <w:name w:val="Emphasis"/>
    <w:basedOn w:val="DefaultParagraphFont"/>
    <w:uiPriority w:val="20"/>
    <w:qFormat/>
    <w:rsid w:val="00DA0E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3683449">
      <w:bodyDiv w:val="1"/>
      <w:marLeft w:val="0"/>
      <w:marRight w:val="0"/>
      <w:marTop w:val="0"/>
      <w:marBottom w:val="0"/>
      <w:divBdr>
        <w:top w:val="none" w:sz="0" w:space="0" w:color="auto"/>
        <w:left w:val="none" w:sz="0" w:space="0" w:color="auto"/>
        <w:bottom w:val="none" w:sz="0" w:space="0" w:color="auto"/>
        <w:right w:val="none" w:sz="0" w:space="0" w:color="auto"/>
      </w:divBdr>
    </w:div>
    <w:div w:id="1886217613">
      <w:bodyDiv w:val="1"/>
      <w:marLeft w:val="0"/>
      <w:marRight w:val="0"/>
      <w:marTop w:val="0"/>
      <w:marBottom w:val="0"/>
      <w:divBdr>
        <w:top w:val="none" w:sz="0" w:space="0" w:color="auto"/>
        <w:left w:val="none" w:sz="0" w:space="0" w:color="auto"/>
        <w:bottom w:val="none" w:sz="0" w:space="0" w:color="auto"/>
        <w:right w:val="none" w:sz="0" w:space="0" w:color="auto"/>
      </w:divBdr>
      <w:divsChild>
        <w:div w:id="1223562261">
          <w:marLeft w:val="0"/>
          <w:marRight w:val="0"/>
          <w:marTop w:val="0"/>
          <w:marBottom w:val="0"/>
          <w:divBdr>
            <w:top w:val="none" w:sz="0" w:space="0" w:color="auto"/>
            <w:left w:val="none" w:sz="0" w:space="0" w:color="auto"/>
            <w:bottom w:val="none" w:sz="0" w:space="0" w:color="auto"/>
            <w:right w:val="none" w:sz="0" w:space="0" w:color="auto"/>
          </w:divBdr>
          <w:divsChild>
            <w:div w:id="292912105">
              <w:marLeft w:val="0"/>
              <w:marRight w:val="0"/>
              <w:marTop w:val="0"/>
              <w:marBottom w:val="0"/>
              <w:divBdr>
                <w:top w:val="none" w:sz="0" w:space="0" w:color="auto"/>
                <w:left w:val="none" w:sz="0" w:space="0" w:color="auto"/>
                <w:bottom w:val="none" w:sz="0" w:space="0" w:color="auto"/>
                <w:right w:val="none" w:sz="0" w:space="0" w:color="auto"/>
              </w:divBdr>
              <w:divsChild>
                <w:div w:id="1437214563">
                  <w:marLeft w:val="0"/>
                  <w:marRight w:val="0"/>
                  <w:marTop w:val="0"/>
                  <w:marBottom w:val="0"/>
                  <w:divBdr>
                    <w:top w:val="none" w:sz="0" w:space="0" w:color="auto"/>
                    <w:left w:val="none" w:sz="0" w:space="0" w:color="auto"/>
                    <w:bottom w:val="none" w:sz="0" w:space="0" w:color="auto"/>
                    <w:right w:val="none" w:sz="0" w:space="0" w:color="auto"/>
                  </w:divBdr>
                  <w:divsChild>
                    <w:div w:id="1024207467">
                      <w:marLeft w:val="0"/>
                      <w:marRight w:val="0"/>
                      <w:marTop w:val="0"/>
                      <w:marBottom w:val="0"/>
                      <w:divBdr>
                        <w:top w:val="none" w:sz="0" w:space="0" w:color="auto"/>
                        <w:left w:val="none" w:sz="0" w:space="0" w:color="auto"/>
                        <w:bottom w:val="none" w:sz="0" w:space="0" w:color="auto"/>
                        <w:right w:val="none" w:sz="0" w:space="0" w:color="auto"/>
                      </w:divBdr>
                      <w:divsChild>
                        <w:div w:id="1853959516">
                          <w:marLeft w:val="0"/>
                          <w:marRight w:val="0"/>
                          <w:marTop w:val="0"/>
                          <w:marBottom w:val="0"/>
                          <w:divBdr>
                            <w:top w:val="none" w:sz="0" w:space="0" w:color="auto"/>
                            <w:left w:val="none" w:sz="0" w:space="0" w:color="auto"/>
                            <w:bottom w:val="none" w:sz="0" w:space="0" w:color="auto"/>
                            <w:right w:val="none" w:sz="0" w:space="0" w:color="auto"/>
                          </w:divBdr>
                          <w:divsChild>
                            <w:div w:id="180973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4416425">
      <w:bodyDiv w:val="1"/>
      <w:marLeft w:val="0"/>
      <w:marRight w:val="0"/>
      <w:marTop w:val="0"/>
      <w:marBottom w:val="0"/>
      <w:divBdr>
        <w:top w:val="none" w:sz="0" w:space="0" w:color="auto"/>
        <w:left w:val="none" w:sz="0" w:space="0" w:color="auto"/>
        <w:bottom w:val="none" w:sz="0" w:space="0" w:color="auto"/>
        <w:right w:val="none" w:sz="0" w:space="0" w:color="auto"/>
      </w:divBdr>
    </w:div>
    <w:div w:id="1973825412">
      <w:bodyDiv w:val="1"/>
      <w:marLeft w:val="0"/>
      <w:marRight w:val="0"/>
      <w:marTop w:val="0"/>
      <w:marBottom w:val="0"/>
      <w:divBdr>
        <w:top w:val="none" w:sz="0" w:space="0" w:color="auto"/>
        <w:left w:val="none" w:sz="0" w:space="0" w:color="auto"/>
        <w:bottom w:val="none" w:sz="0" w:space="0" w:color="auto"/>
        <w:right w:val="none" w:sz="0" w:space="0" w:color="auto"/>
      </w:divBdr>
    </w:div>
    <w:div w:id="2117600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fdb721993f37b6ece4907c5a6b1cfa3">
  <xsd:schema xmlns:xsd="http://www.w3.org/2001/XMLSchema" xmlns:xs="http://www.w3.org/2001/XMLSchema" xmlns:p="http://schemas.microsoft.com/office/2006/metadata/properties" xmlns:ns3="0085e1a2-9cbf-4b92-866b-21f3c89040b6" targetNamespace="http://schemas.microsoft.com/office/2006/metadata/properties" ma:root="true" ma:fieldsID="ac84ea68393b20aca804daa3e872711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2C9F00E-7ECB-4A9B-A91F-0F8202E32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F547AF-7816-4141-9A3C-56B4C2BBB12E}">
  <ds:schemaRefs>
    <ds:schemaRef ds:uri="http://schemas.microsoft.com/sharepoint/v3/contenttype/forms"/>
  </ds:schemaRefs>
</ds:datastoreItem>
</file>

<file path=customXml/itemProps3.xml><?xml version="1.0" encoding="utf-8"?>
<ds:datastoreItem xmlns:ds="http://schemas.openxmlformats.org/officeDocument/2006/customXml" ds:itemID="{C3EFE52B-A3BE-48A2-9E8F-4FC88D33BD3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2215</Words>
  <Characters>13778</Characters>
  <Application>Microsoft Office Word</Application>
  <DocSecurity>0</DocSecurity>
  <Lines>215</Lines>
  <Paragraphs>44</Paragraphs>
  <ScaleCrop>false</ScaleCrop>
  <Company/>
  <LinksUpToDate>false</LinksUpToDate>
  <CharactersWithSpaces>15949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cp:lastModifiedBy>Sumaira Shah (2414021)</cp:lastModifiedBy>
  <cp:revision>27</cp:revision>
  <dcterms:created xsi:type="dcterms:W3CDTF">2026-03-10T21:00:00Z</dcterms:created>
  <dcterms:modified xsi:type="dcterms:W3CDTF">2026-03-11T10:09:00Z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