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8967E9" w14:textId="77777777" w:rsidR="008421AC" w:rsidRDefault="008421AC" w:rsidP="00DE3522">
      <w:pPr>
        <w:spacing w:after="400"/>
      </w:pPr>
    </w:p>
    <w:p w14:paraId="11869355" w14:textId="6A052C41" w:rsidR="00EC110B" w:rsidRDefault="00EC110B" w:rsidP="00DE3522">
      <w:pPr>
        <w:spacing w:after="400"/>
      </w:pPr>
      <w:r>
        <w:rPr>
          <w:noProof/>
        </w:rPr>
        <w:drawing>
          <wp:inline distT="0" distB="0" distL="0" distR="0" wp14:anchorId="1A71408C" wp14:editId="6108A12E">
            <wp:extent cx="4877327" cy="1652974"/>
            <wp:effectExtent l="0" t="0" r="0" b="4445"/>
            <wp:docPr id="2408248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824821" name="Picture 240824821"/>
                    <pic:cNvPicPr/>
                  </pic:nvPicPr>
                  <pic:blipFill>
                    <a:blip r:embed="rId7">
                      <a:extLst>
                        <a:ext uri="{28A0092B-C50C-407E-A947-70E740481C1C}">
                          <a14:useLocalDpi xmlns:a14="http://schemas.microsoft.com/office/drawing/2010/main" val="0"/>
                        </a:ext>
                      </a:extLst>
                    </a:blip>
                    <a:stretch>
                      <a:fillRect/>
                    </a:stretch>
                  </pic:blipFill>
                  <pic:spPr>
                    <a:xfrm>
                      <a:off x="0" y="0"/>
                      <a:ext cx="4999166" cy="1694266"/>
                    </a:xfrm>
                    <a:prstGeom prst="rect">
                      <a:avLst/>
                    </a:prstGeom>
                  </pic:spPr>
                </pic:pic>
              </a:graphicData>
            </a:graphic>
          </wp:inline>
        </w:drawing>
      </w:r>
    </w:p>
    <w:p w14:paraId="07D48572" w14:textId="77777777" w:rsidR="00EC110B" w:rsidRDefault="00EC110B" w:rsidP="00DE3522">
      <w:pPr>
        <w:spacing w:after="400"/>
      </w:pPr>
    </w:p>
    <w:p w14:paraId="64B32C62" w14:textId="77777777" w:rsidR="00DE3522" w:rsidRDefault="00DE3522" w:rsidP="00DE3522">
      <w:pPr>
        <w:spacing w:after="400"/>
      </w:pPr>
    </w:p>
    <w:p w14:paraId="3A9D63AF" w14:textId="275F5382" w:rsidR="00DE3522" w:rsidRDefault="00695AAA" w:rsidP="00DE3522">
      <w:pPr>
        <w:spacing w:after="400"/>
      </w:pPr>
      <w:r w:rsidRPr="00AB4B99">
        <w:rPr>
          <w:b/>
          <w:bCs/>
        </w:rPr>
        <w:t>STUDENT NAME</w:t>
      </w:r>
      <w:r>
        <w:t>: Lubatiko Edwin Seme.</w:t>
      </w:r>
    </w:p>
    <w:p w14:paraId="77552352" w14:textId="5EE20146" w:rsidR="00695AAA" w:rsidRDefault="00695AAA" w:rsidP="00DE3522">
      <w:pPr>
        <w:spacing w:after="400"/>
      </w:pPr>
      <w:r w:rsidRPr="00AB4B99">
        <w:rPr>
          <w:b/>
          <w:bCs/>
        </w:rPr>
        <w:t>STUDENT ID</w:t>
      </w:r>
      <w:r>
        <w:t>: 2442423</w:t>
      </w:r>
      <w:r w:rsidR="003C2F40">
        <w:t>.</w:t>
      </w:r>
    </w:p>
    <w:p w14:paraId="06C4BD8A" w14:textId="44C90CD0" w:rsidR="003C2F40" w:rsidRDefault="003C2F40" w:rsidP="00DE3522">
      <w:pPr>
        <w:spacing w:after="400"/>
      </w:pPr>
      <w:r w:rsidRPr="00AB4B99">
        <w:rPr>
          <w:b/>
          <w:bCs/>
        </w:rPr>
        <w:t>MODULE CODE</w:t>
      </w:r>
      <w:r>
        <w:t>: BMHP5016</w:t>
      </w:r>
    </w:p>
    <w:p w14:paraId="142710C3" w14:textId="417D4104" w:rsidR="009506F8" w:rsidRDefault="009506F8" w:rsidP="00DE3522">
      <w:pPr>
        <w:spacing w:after="400"/>
      </w:pPr>
      <w:r w:rsidRPr="00AB4B99">
        <w:rPr>
          <w:b/>
          <w:bCs/>
        </w:rPr>
        <w:t>LECTURER’S NAME</w:t>
      </w:r>
      <w:r>
        <w:t>: Lou Wells.</w:t>
      </w:r>
    </w:p>
    <w:p w14:paraId="0D75BE77" w14:textId="163A069A" w:rsidR="00B374BD" w:rsidRDefault="00B374BD" w:rsidP="00DE3522">
      <w:pPr>
        <w:spacing w:after="400"/>
      </w:pPr>
      <w:r w:rsidRPr="00B374BD">
        <w:rPr>
          <w:b/>
          <w:bCs/>
        </w:rPr>
        <w:t>COMPONENT 2</w:t>
      </w:r>
      <w:r>
        <w:t>:</w:t>
      </w:r>
      <w:r w:rsidR="00B83CAA">
        <w:t xml:space="preserve"> </w:t>
      </w:r>
      <w:r w:rsidR="003E7C7F">
        <w:t>Essay</w:t>
      </w:r>
      <w:r w:rsidR="00D222F2">
        <w:t xml:space="preserve"> – The Social Mod</w:t>
      </w:r>
      <w:r w:rsidR="009F600C">
        <w:t>el of Disability.</w:t>
      </w:r>
    </w:p>
    <w:p w14:paraId="60AED05C" w14:textId="2B543403" w:rsidR="009506F8" w:rsidRDefault="009506F8" w:rsidP="00DE3522">
      <w:pPr>
        <w:spacing w:after="400"/>
      </w:pPr>
      <w:r w:rsidRPr="00AB4B99">
        <w:rPr>
          <w:b/>
          <w:bCs/>
        </w:rPr>
        <w:t>MODULE NAME</w:t>
      </w:r>
      <w:r>
        <w:t xml:space="preserve">: </w:t>
      </w:r>
      <w:r w:rsidR="002D3DBB">
        <w:t>Principles of Health and Social Care Practice.</w:t>
      </w:r>
    </w:p>
    <w:p w14:paraId="5CB98337" w14:textId="1AE993F7" w:rsidR="00E841EB" w:rsidRPr="00A64D34" w:rsidRDefault="002D3DBB" w:rsidP="00DE3522">
      <w:pPr>
        <w:spacing w:after="400"/>
      </w:pPr>
      <w:r w:rsidRPr="00EC110B">
        <w:rPr>
          <w:b/>
          <w:bCs/>
        </w:rPr>
        <w:t>SUBMISSION DATE</w:t>
      </w:r>
      <w:r>
        <w:t>: 01/</w:t>
      </w:r>
      <w:r w:rsidR="00AB4B99">
        <w:t>09/2026</w:t>
      </w:r>
    </w:p>
    <w:p w14:paraId="27E59E1F" w14:textId="6F5DD0AE" w:rsidR="008421AC" w:rsidRPr="00FB2FC8" w:rsidRDefault="008421AC" w:rsidP="0041014F">
      <w:pPr>
        <w:spacing w:after="400"/>
        <w:jc w:val="center"/>
        <w:rPr>
          <w:b/>
          <w:bCs/>
        </w:rPr>
      </w:pPr>
    </w:p>
    <w:p w14:paraId="3F807E4E" w14:textId="77777777" w:rsidR="008421AC" w:rsidRPr="00FB2FC8" w:rsidRDefault="008421AC" w:rsidP="0041014F">
      <w:pPr>
        <w:spacing w:after="400"/>
        <w:jc w:val="center"/>
        <w:rPr>
          <w:b/>
          <w:bCs/>
        </w:rPr>
      </w:pPr>
    </w:p>
    <w:p w14:paraId="525FC026" w14:textId="77777777" w:rsidR="008421AC" w:rsidRDefault="008421AC" w:rsidP="0041014F">
      <w:pPr>
        <w:spacing w:after="400"/>
        <w:jc w:val="center"/>
        <w:rPr>
          <w:b/>
          <w:bCs/>
        </w:rPr>
      </w:pPr>
    </w:p>
    <w:p w14:paraId="33FA5044" w14:textId="77777777" w:rsidR="0077287A" w:rsidRDefault="0077287A" w:rsidP="0041014F">
      <w:pPr>
        <w:spacing w:after="400"/>
        <w:jc w:val="center"/>
        <w:rPr>
          <w:b/>
          <w:bCs/>
        </w:rPr>
      </w:pPr>
    </w:p>
    <w:p w14:paraId="288CCF94" w14:textId="77777777" w:rsidR="0077287A" w:rsidRPr="00FB2FC8" w:rsidRDefault="0077287A" w:rsidP="0041014F">
      <w:pPr>
        <w:spacing w:after="400"/>
        <w:jc w:val="center"/>
        <w:rPr>
          <w:b/>
          <w:bCs/>
        </w:rPr>
      </w:pPr>
    </w:p>
    <w:p w14:paraId="393181AA" w14:textId="77777777" w:rsidR="00FB2FC8" w:rsidRDefault="00FB2FC8" w:rsidP="0041014F">
      <w:pPr>
        <w:spacing w:after="400"/>
        <w:jc w:val="center"/>
        <w:rPr>
          <w:b/>
          <w:bCs/>
        </w:rPr>
      </w:pPr>
    </w:p>
    <w:p w14:paraId="6C7E79B8" w14:textId="3BD6C432" w:rsidR="0041014F" w:rsidRPr="00C87D92" w:rsidRDefault="0041014F" w:rsidP="0041014F">
      <w:pPr>
        <w:spacing w:after="400"/>
        <w:jc w:val="center"/>
        <w:rPr>
          <w:b/>
          <w:bCs/>
          <w:sz w:val="40"/>
          <w:szCs w:val="40"/>
        </w:rPr>
      </w:pPr>
      <w:r w:rsidRPr="00C87D92">
        <w:rPr>
          <w:b/>
          <w:bCs/>
          <w:sz w:val="40"/>
          <w:szCs w:val="40"/>
        </w:rPr>
        <w:t>Principles of Health and Social Care Practice</w:t>
      </w:r>
    </w:p>
    <w:p w14:paraId="4829FB55" w14:textId="59EAF886" w:rsidR="00B519AE" w:rsidRPr="00FB2FC8" w:rsidRDefault="0041014F">
      <w:pPr>
        <w:spacing w:after="400"/>
        <w:jc w:val="center"/>
      </w:pPr>
      <w:r w:rsidRPr="00FB2FC8">
        <w:rPr>
          <w:b/>
          <w:bCs/>
        </w:rPr>
        <w:t xml:space="preserve">Title: </w:t>
      </w:r>
      <w:r w:rsidR="00723EF4" w:rsidRPr="00FB2FC8">
        <w:rPr>
          <w:b/>
          <w:bCs/>
        </w:rPr>
        <w:t>The Social Model of Disability: Emergence, Critique, and Application to Health and Social Care Policy and Practice</w:t>
      </w:r>
    </w:p>
    <w:p w14:paraId="0738665B" w14:textId="427C0B1A" w:rsidR="00B519AE" w:rsidRPr="00FB2FC8" w:rsidRDefault="00723EF4">
      <w:pPr>
        <w:pStyle w:val="Heading1"/>
        <w:spacing w:before="300" w:after="150"/>
        <w:rPr>
          <w:bCs/>
          <w:color w:val="000000"/>
          <w:sz w:val="22"/>
          <w:szCs w:val="22"/>
        </w:rPr>
      </w:pPr>
      <w:r w:rsidRPr="00FB2FC8">
        <w:rPr>
          <w:bCs/>
          <w:color w:val="000000"/>
          <w:sz w:val="22"/>
          <w:szCs w:val="22"/>
        </w:rPr>
        <w:t>Introduction</w:t>
      </w:r>
    </w:p>
    <w:p w14:paraId="2BC2C2B5" w14:textId="6B4059EB" w:rsidR="00942D33" w:rsidRPr="00FB2FC8" w:rsidRDefault="00CC1B9B" w:rsidP="00942D33">
      <w:r w:rsidRPr="00FB2FC8">
        <w:t>Person-centred</w:t>
      </w:r>
      <w:r w:rsidR="00942D33" w:rsidRPr="00FB2FC8">
        <w:t xml:space="preserve"> care in health and social care is about treating the individual as an active agent and listening to them, basing the services or care they receive on their preferences, values and experiences, rather than on an 'expert' who determines what care and support is needed. The social model of disability is one of many concepts that is important in this ethos. The social model of disability emerged in the 1970s as part of the disabled people's movement in Britain and was an attempt to shift the paradigm of thinking of disability from an individual tragedy in the body to one of oppression brought on by an able-bodied society. In this essay, the social model of disability is critically discussed, beginning by describing its emergence and development, </w:t>
      </w:r>
      <w:r w:rsidRPr="00FB2FC8">
        <w:t>the critiques</w:t>
      </w:r>
      <w:r w:rsidR="00942D33" w:rsidRPr="00FB2FC8">
        <w:t xml:space="preserve"> it has faced and the responses that this has produced. It then examines how the model has been used in health and social care policy and practice and the issues this has surfaced, before coming to some final recommendations for policy and practice.</w:t>
      </w:r>
    </w:p>
    <w:p w14:paraId="445D5555" w14:textId="0C501B4F" w:rsidR="00B519AE" w:rsidRPr="00FB2FC8" w:rsidRDefault="00723EF4">
      <w:pPr>
        <w:pStyle w:val="Heading1"/>
        <w:spacing w:before="300" w:after="150"/>
        <w:rPr>
          <w:sz w:val="22"/>
          <w:szCs w:val="22"/>
        </w:rPr>
      </w:pPr>
      <w:r w:rsidRPr="00FB2FC8">
        <w:rPr>
          <w:bCs/>
          <w:color w:val="000000"/>
          <w:sz w:val="22"/>
          <w:szCs w:val="22"/>
        </w:rPr>
        <w:t>Emergence and Development of the Social Model of Disability</w:t>
      </w:r>
    </w:p>
    <w:p w14:paraId="69B8A40E" w14:textId="63396B74" w:rsidR="00CC1B9B" w:rsidRPr="00FB2FC8" w:rsidRDefault="00942D33" w:rsidP="00CC1B9B">
      <w:r w:rsidRPr="00FB2FC8">
        <w:t>The social model of disability grew out of a challenge to the prevailing individual (medical) model of disability, which saw the 'problem' of disability in the impaired body, and which viewed disability as a medical issue, primarily to do with medical diagnosis, cure and rehabilitation</w:t>
      </w:r>
      <w:r w:rsidR="00CC1B9B" w:rsidRPr="00FB2FC8">
        <w:t xml:space="preserve"> (</w:t>
      </w:r>
      <w:proofErr w:type="spellStart"/>
      <w:r w:rsidR="00CC1B9B" w:rsidRPr="00FB2FC8">
        <w:t>Kollataj</w:t>
      </w:r>
      <w:proofErr w:type="spellEnd"/>
      <w:r w:rsidR="00CC1B9B" w:rsidRPr="00FB2FC8">
        <w:t xml:space="preserve"> et al., 2025)</w:t>
      </w:r>
      <w:r w:rsidRPr="00FB2FC8">
        <w:t>. In 1976 the Union of the Physically Impaired Against Segregation (UPIAS) published its Fundamental Principles of Disability, in which there is a distinction between impairment (a part or whole body mechanism that does not function as expected) and the disablement (restriction or disadvantage in functioning in a contemporary social organisation which takes little or no account of people with physical impairments and hence excludes them from full participation in the mainstream of social life)</w:t>
      </w:r>
      <w:r w:rsidR="00CC1B9B" w:rsidRPr="00FB2FC8">
        <w:t xml:space="preserve"> (</w:t>
      </w:r>
      <w:proofErr w:type="spellStart"/>
      <w:r w:rsidR="00CC1B9B" w:rsidRPr="00FB2FC8">
        <w:t>Rashikj-Canevska</w:t>
      </w:r>
      <w:proofErr w:type="spellEnd"/>
      <w:r w:rsidR="00CC1B9B" w:rsidRPr="00FB2FC8">
        <w:t xml:space="preserve"> and </w:t>
      </w:r>
      <w:proofErr w:type="spellStart"/>
      <w:r w:rsidR="00CC1B9B" w:rsidRPr="00FB2FC8">
        <w:t>Chichevska-Jovanova</w:t>
      </w:r>
      <w:proofErr w:type="spellEnd"/>
      <w:r w:rsidR="00CC1B9B" w:rsidRPr="00FB2FC8">
        <w:t>, 2025).</w:t>
      </w:r>
    </w:p>
    <w:p w14:paraId="7A91BB36" w14:textId="175CCEB7" w:rsidR="00942D33" w:rsidRPr="00FB2FC8" w:rsidRDefault="00942D33" w:rsidP="00CC1B9B">
      <w:r w:rsidRPr="00FB2FC8">
        <w:lastRenderedPageBreak/>
        <w:t>Later developments of this distinction were made by Michael Oliver, who added the notion of the 'social model of disability' to shift the emphasis from the body to the disabling social, economic and physical environments, such as inaccessible buildings and transport services, employment policies and practice, and negative cultural attitudes</w:t>
      </w:r>
      <w:r w:rsidR="00CC1B9B" w:rsidRPr="00FB2FC8">
        <w:t xml:space="preserve"> (Daniels, 2023)</w:t>
      </w:r>
      <w:r w:rsidRPr="00FB2FC8">
        <w:t>.</w:t>
      </w:r>
    </w:p>
    <w:p w14:paraId="7D57F265" w14:textId="5EDB431E" w:rsidR="00CC1B9B" w:rsidRPr="00FB2FC8" w:rsidRDefault="00942D33" w:rsidP="00CC1B9B">
      <w:r w:rsidRPr="00FB2FC8">
        <w:t>The social model was the basis for the British disabled people's movement and was key to the civil rights campaigns which led to the Disability Discrimination Act 1995 over the next 20 years. It also provided the foundation for the independent living movement</w:t>
      </w:r>
      <w:r w:rsidR="00CC1B9B" w:rsidRPr="00FB2FC8">
        <w:t>,</w:t>
      </w:r>
      <w:r w:rsidRPr="00FB2FC8">
        <w:t xml:space="preserve"> which advocated the idea that disabled people should have choice and control over the life they live, and not have it decided for them by professionals. Disability studies grew as a discipline and scholars such as Colin Barnes and Geof Mercer extended the social model to a more general sociological investigation into disablism, connecting it to other forms of structural analysis of oppression, such as feminist and anti-racist studies</w:t>
      </w:r>
      <w:r w:rsidR="00CC1B9B" w:rsidRPr="00FB2FC8">
        <w:t xml:space="preserve"> (KÖROĞLU, 2022).</w:t>
      </w:r>
    </w:p>
    <w:p w14:paraId="795763C3" w14:textId="30EB0BF9" w:rsidR="00942D33" w:rsidRPr="00FB2FC8" w:rsidRDefault="00942D33" w:rsidP="00942D33">
      <w:r w:rsidRPr="00FB2FC8">
        <w:t>The social model also underpinned the development of disabled people's control of Centres for Independent Living (CILs) and the provision of peer support and practical information on personal assistance budgets – the disabled people's movement said that disabled people were experts in their own lives and not professionals. This has come to be encapsulated in the disabled people's movement slogan ‘nothing about us without us' and inspired further co-production developments in health and social care as well as current policy commitments to the involvement of service users in the design and delivery of services</w:t>
      </w:r>
      <w:r w:rsidR="00CC1B9B" w:rsidRPr="00FB2FC8">
        <w:t xml:space="preserve"> (Zaks, 2024)</w:t>
      </w:r>
      <w:r w:rsidRPr="00FB2FC8">
        <w:t>.</w:t>
      </w:r>
    </w:p>
    <w:p w14:paraId="2B6CB28C" w14:textId="6174B7AD" w:rsidR="00B519AE" w:rsidRPr="00FB2FC8" w:rsidRDefault="00723EF4">
      <w:pPr>
        <w:pStyle w:val="Heading1"/>
        <w:spacing w:before="300" w:after="150"/>
        <w:rPr>
          <w:bCs/>
          <w:color w:val="000000"/>
          <w:sz w:val="22"/>
          <w:szCs w:val="22"/>
        </w:rPr>
      </w:pPr>
      <w:r w:rsidRPr="00FB2FC8">
        <w:rPr>
          <w:bCs/>
          <w:color w:val="000000"/>
          <w:sz w:val="22"/>
          <w:szCs w:val="22"/>
        </w:rPr>
        <w:t>Critiques of the Social Model and Responses</w:t>
      </w:r>
    </w:p>
    <w:p w14:paraId="2CF7F0BB" w14:textId="653186C3" w:rsidR="00942D33" w:rsidRPr="00FB2FC8" w:rsidRDefault="00942D33" w:rsidP="00CC1B9B">
      <w:r w:rsidRPr="00FB2FC8">
        <w:t>There has been continuing criticism of the social model from disability studies. The first strand of criticism was that this model was based on a dichotomy between impairment and disability, and that the dichotomy made the embodied experience of impairment – pain, tiredness, the limitations of impairment itself, in the absence of social obstacles – invisible, championed by feminist disability scholars like Jenny Morris and Liz Crow</w:t>
      </w:r>
      <w:r w:rsidR="00CC1B9B" w:rsidRPr="00FB2FC8">
        <w:t xml:space="preserve"> (Burgess, 2025)</w:t>
      </w:r>
      <w:r w:rsidRPr="00FB2FC8">
        <w:t>. Crow believed that the social model analysis would create an incomplete and sometimes inaccurate picture of the lives of disabled people, because they did not see impairment as being of political interest, only a personal inconvenience. Carol Thomas later developed this criticism by adding the notion of psycho-emotional disablism, which was further developed by Donna Reeve, to cover the ways in which disablism can also be manifested in interpersonal interaction, for example by being stared at, patronised or pitied, which undermines the psychological and emotional wellbeing of disabled people</w:t>
      </w:r>
      <w:r w:rsidR="00CC1B9B" w:rsidRPr="00FB2FC8">
        <w:t xml:space="preserve"> (Kröger and Chou, 2025)</w:t>
      </w:r>
      <w:r w:rsidRPr="00FB2FC8">
        <w:t>.</w:t>
      </w:r>
    </w:p>
    <w:p w14:paraId="3EDB09C7" w14:textId="19C19B48" w:rsidR="00942D33" w:rsidRPr="00FB2FC8" w:rsidRDefault="00942D33" w:rsidP="00CC1B9B">
      <w:r w:rsidRPr="00FB2FC8">
        <w:t xml:space="preserve">The second issue, raised in relation to Tom Shakespeare and Nicholas Watson, questioned the theoretical feasibility of the concept of rigid social and biological dualism that disability theory is built on, and that it would be more applicable to the experience of some disability </w:t>
      </w:r>
      <w:r w:rsidRPr="00FB2FC8">
        <w:lastRenderedPageBreak/>
        <w:t>groups (such as wheelchair users, who have a stable physical impairment) than others (such as people with fluctuating conditions, chronic illness, mental distress or learning disabilities). Instead, Shakespeare and Watson suggested that disability might be considered as a relationship between the individual and other factors, in which impairment effects, personal factors and social barriers all play a part</w:t>
      </w:r>
      <w:r w:rsidR="00CC1B9B" w:rsidRPr="00FB2FC8">
        <w:t xml:space="preserve"> (Doyle, 2025)</w:t>
      </w:r>
      <w:r w:rsidRPr="00FB2FC8">
        <w:t>.</w:t>
      </w:r>
    </w:p>
    <w:p w14:paraId="7412FAF2" w14:textId="05AD3CA9" w:rsidR="00942D33" w:rsidRPr="00FB2FC8" w:rsidRDefault="00942D33" w:rsidP="00CC1B9B">
      <w:r w:rsidRPr="00FB2FC8">
        <w:t xml:space="preserve">Oliver himself countered these criticisms by pointing out that the social model was not a complete social theory of </w:t>
      </w:r>
      <w:r w:rsidR="007F1BD0" w:rsidRPr="00FB2FC8">
        <w:t>disability but</w:t>
      </w:r>
      <w:r w:rsidRPr="00FB2FC8">
        <w:t xml:space="preserve"> is one that can tackle disabling barriers </w:t>
      </w:r>
      <w:r w:rsidR="00CC1B9B" w:rsidRPr="00FB2FC8">
        <w:t>politically</w:t>
      </w:r>
      <w:r w:rsidRPr="00FB2FC8">
        <w:t>; and that including the subjective experience of impairment in the model would risk weakening its ability to identify and challenge disabling barriers</w:t>
      </w:r>
      <w:r w:rsidR="00CC1B9B" w:rsidRPr="00FB2FC8">
        <w:t xml:space="preserve"> (Breedon, 2024)</w:t>
      </w:r>
      <w:r w:rsidRPr="00FB2FC8">
        <w:t xml:space="preserve">. However, the overall impact of these discussions has been a more sophisticated understanding of disability through, for example, the biopsychosocial approach in the World Health </w:t>
      </w:r>
      <w:r w:rsidR="00CC1B9B" w:rsidRPr="00FB2FC8">
        <w:t>Organisation's</w:t>
      </w:r>
      <w:r w:rsidRPr="00FB2FC8">
        <w:t xml:space="preserve"> International Classification of Functioning, Disability and Health, which tries to shift the focus from biological, psychological and social dimensions of disability being separate to these factors being integrated</w:t>
      </w:r>
      <w:r w:rsidR="00CC1B9B" w:rsidRPr="00FB2FC8">
        <w:t xml:space="preserve"> (Hunt, 2025)</w:t>
      </w:r>
      <w:r w:rsidRPr="00FB2FC8">
        <w:t>.</w:t>
      </w:r>
    </w:p>
    <w:p w14:paraId="521709FF" w14:textId="72E45004" w:rsidR="00CC1B9B" w:rsidRPr="00FB2FC8" w:rsidRDefault="00942D33" w:rsidP="00CC1B9B">
      <w:r w:rsidRPr="00FB2FC8">
        <w:t>Another perspective has been from those engaged in the study of intersectionality; this has led to the recognition that the original social approach to disability was developed primarily for white, physically impaired men, and did not consider the interplay between disability and other differences in social status—such as gender, race, class or sexuality—that may lead to differential disadvantage</w:t>
      </w:r>
      <w:r w:rsidR="00CC1B9B" w:rsidRPr="00FB2FC8">
        <w:t xml:space="preserve"> (</w:t>
      </w:r>
      <w:proofErr w:type="spellStart"/>
      <w:r w:rsidR="00CC1B9B" w:rsidRPr="00FB2FC8">
        <w:t>Macmbinji</w:t>
      </w:r>
      <w:proofErr w:type="spellEnd"/>
      <w:r w:rsidR="00CC1B9B" w:rsidRPr="00FB2FC8">
        <w:t>, 2023)</w:t>
      </w:r>
      <w:r w:rsidRPr="00FB2FC8">
        <w:t>. As noted by Ayesha Vernon and others</w:t>
      </w:r>
      <w:r w:rsidR="00CC1B9B" w:rsidRPr="00FB2FC8">
        <w:t>,</w:t>
      </w:r>
      <w:r w:rsidRPr="00FB2FC8">
        <w:t xml:space="preserve"> a disabled woman from a minority ethnic group could be faced by barriers which are disabling in a different way to a disabling white male; and a model that assumes disabled people as a group could be disinclined to recognise these differences. Similarly, the learning disability community have questioned the application of the model that has been developed primarily with the needs of those with physical impairments in mind and in which their exclusion is more as a result of inaccessible physical environments, rather than paternalistic notions of capacity and </w:t>
      </w:r>
      <w:r w:rsidR="00CC1B9B" w:rsidRPr="00FB2FC8">
        <w:t>decision-making</w:t>
      </w:r>
      <w:r w:rsidRPr="00FB2FC8">
        <w:t xml:space="preserve"> of people with learning disabilities</w:t>
      </w:r>
      <w:r w:rsidR="00CC1B9B" w:rsidRPr="00FB2FC8">
        <w:t xml:space="preserve"> (Maher and Haegele, 2024).</w:t>
      </w:r>
    </w:p>
    <w:p w14:paraId="14095CBB" w14:textId="28F5F53E" w:rsidR="00B519AE" w:rsidRPr="00FB2FC8" w:rsidRDefault="00723EF4">
      <w:pPr>
        <w:pStyle w:val="Heading1"/>
        <w:spacing w:before="300" w:after="150"/>
        <w:rPr>
          <w:sz w:val="22"/>
          <w:szCs w:val="22"/>
        </w:rPr>
      </w:pPr>
      <w:r w:rsidRPr="00FB2FC8">
        <w:rPr>
          <w:bCs/>
          <w:color w:val="000000"/>
          <w:sz w:val="22"/>
          <w:szCs w:val="22"/>
        </w:rPr>
        <w:t>Application to Health and Social Care Policy and Practice</w:t>
      </w:r>
    </w:p>
    <w:p w14:paraId="0A0C64F9" w14:textId="16206A21" w:rsidR="00942D33" w:rsidRPr="00FB2FC8" w:rsidRDefault="00942D33" w:rsidP="00942D33">
      <w:r w:rsidRPr="00FB2FC8">
        <w:t>The social model clearly has had an influence on the policy of health and social care in England</w:t>
      </w:r>
      <w:r w:rsidR="00CC1B9B" w:rsidRPr="00FB2FC8">
        <w:t>,</w:t>
      </w:r>
      <w:r w:rsidRPr="00FB2FC8">
        <w:t xml:space="preserve"> most obviously in the shift from a paternalistic, service-centred model to a model of personalisation. The Care Act 2014 added a principle of wellbeing to local government practice when making assessments – disabled people's views, wishes and feelings should be taken into account – and it also established the use of personal budgets and direct payments (which have arisen from a social model approach) as a means of disabled people having choice and control over how their </w:t>
      </w:r>
      <w:r w:rsidR="00CC1B9B" w:rsidRPr="00FB2FC8">
        <w:t>support needs</w:t>
      </w:r>
      <w:r w:rsidRPr="00FB2FC8">
        <w:t xml:space="preserve"> are met</w:t>
      </w:r>
      <w:r w:rsidR="00CC1B9B" w:rsidRPr="00FB2FC8">
        <w:t xml:space="preserve"> (Kröger and Chou, 2025)</w:t>
      </w:r>
      <w:r w:rsidRPr="00FB2FC8">
        <w:t xml:space="preserve">. The Equality Act 2010 also puts a duty on the NHS and other public bodies to make reasonable adjustments to their </w:t>
      </w:r>
      <w:r w:rsidRPr="00FB2FC8">
        <w:lastRenderedPageBreak/>
        <w:t>services, so that disabled people are not at a substantial disadvantage when accessing services: making accessibility an organisational issue</w:t>
      </w:r>
      <w:r w:rsidR="00CC1B9B" w:rsidRPr="00FB2FC8">
        <w:t>,</w:t>
      </w:r>
      <w:r w:rsidRPr="00FB2FC8">
        <w:t xml:space="preserve"> not just a problem for disabled people to resolve</w:t>
      </w:r>
      <w:r w:rsidR="00CC1B9B" w:rsidRPr="00FB2FC8">
        <w:t xml:space="preserve"> (</w:t>
      </w:r>
      <w:proofErr w:type="spellStart"/>
      <w:r w:rsidR="00CC1B9B" w:rsidRPr="00FB2FC8">
        <w:t>Saketkoo</w:t>
      </w:r>
      <w:proofErr w:type="spellEnd"/>
      <w:r w:rsidR="00CC1B9B" w:rsidRPr="00FB2FC8">
        <w:t xml:space="preserve"> et al., 2022)</w:t>
      </w:r>
      <w:r w:rsidRPr="00FB2FC8">
        <w:t>.</w:t>
      </w:r>
    </w:p>
    <w:p w14:paraId="106CEA34" w14:textId="08636CE5" w:rsidR="00CC1B9B" w:rsidRPr="00FB2FC8" w:rsidRDefault="007F1BD0" w:rsidP="00942D33">
      <w:r w:rsidRPr="00FB2FC8">
        <w:t>But</w:t>
      </w:r>
      <w:r w:rsidR="00942D33" w:rsidRPr="00FB2FC8">
        <w:t xml:space="preserve"> there have been problems in applying the social model in practice. Firstly, whilst policy talk is personalised, the health and social care assessments are often </w:t>
      </w:r>
      <w:r w:rsidR="00CC1B9B" w:rsidRPr="00FB2FC8">
        <w:t>deficit-based</w:t>
      </w:r>
      <w:r w:rsidR="00942D33" w:rsidRPr="00FB2FC8">
        <w:t xml:space="preserve"> and so about what the person can't do, rather than the barriers to their being able to do it; and this demonstrates how cultures of clinical and social work practice remain wedded to the medical model thinking which the social model sought to challenge</w:t>
      </w:r>
      <w:r w:rsidR="00CC1B9B" w:rsidRPr="00FB2FC8">
        <w:t xml:space="preserve"> (Doyle, 2025)</w:t>
      </w:r>
      <w:r w:rsidR="00942D33" w:rsidRPr="00FB2FC8">
        <w:t xml:space="preserve">. </w:t>
      </w:r>
    </w:p>
    <w:p w14:paraId="188A5743" w14:textId="31B85DAE" w:rsidR="00942D33" w:rsidRPr="00FB2FC8" w:rsidRDefault="00942D33" w:rsidP="00942D33">
      <w:r w:rsidRPr="00FB2FC8">
        <w:t>Secondly, the promise of personal budgets in terms of choice and control is often not realised in practice: local authority social care budgets are limited by the resources they have and are not able to offer the same level of choice and control that was envisioned; some are unable to reach individuals and some people are refused personal budgets in the first place due to eligibility criteria; there is as critics have noted, 'a chasm between the rhetoric and reality of personalisation'</w:t>
      </w:r>
      <w:r w:rsidR="00CC1B9B" w:rsidRPr="00FB2FC8">
        <w:t xml:space="preserve"> (Hunt, 2025)</w:t>
      </w:r>
      <w:r w:rsidRPr="00FB2FC8">
        <w:t>. Thirdly, many health and social care practitioners may not be aware of the principles of disability equality</w:t>
      </w:r>
      <w:r w:rsidR="00CC1B9B" w:rsidRPr="00FB2FC8">
        <w:t>,</w:t>
      </w:r>
      <w:r w:rsidRPr="00FB2FC8">
        <w:t xml:space="preserve"> and this can result in ignorance of disability and psycho-emotional disablism (being spoken over, talked down to, regarded as incapable) in health and social care services which are formally based on the social model. Lastly, the tension between the social model's emphasis on autonomy and choice and on the other, the responsibility of health and social care professionals to protect and safeguard can result in real dilemmas in practice, especially if a disabled person's choices are seen by health and social care professionals as dangerous, demonstrating that the social model is not an easy fit in practice</w:t>
      </w:r>
      <w:r w:rsidR="00CC1B9B" w:rsidRPr="00FB2FC8">
        <w:t xml:space="preserve"> (</w:t>
      </w:r>
      <w:proofErr w:type="spellStart"/>
      <w:r w:rsidR="00CC1B9B" w:rsidRPr="00FB2FC8">
        <w:t>Macmbinji</w:t>
      </w:r>
      <w:proofErr w:type="spellEnd"/>
      <w:r w:rsidR="00CC1B9B" w:rsidRPr="00FB2FC8">
        <w:t>, 2023)</w:t>
      </w:r>
      <w:r w:rsidRPr="00FB2FC8">
        <w:t>.</w:t>
      </w:r>
    </w:p>
    <w:p w14:paraId="7C6316BF" w14:textId="7C00423F" w:rsidR="00942D33" w:rsidRPr="00FB2FC8" w:rsidRDefault="00942D33" w:rsidP="00942D33">
      <w:r w:rsidRPr="00FB2FC8">
        <w:t>These issues have been particularly evident in mental health and learning disabilities services where, in some cases, high profile safeguarding issues have emerged that revealed cultures within institutions which were not in line with a social model of care and living, including with a focus upon autonomy and community living and this has informed policy, such as the Transforming Care programme, to reduce the need for in-patient accommodation and to provide a community based care alternative</w:t>
      </w:r>
      <w:r w:rsidR="00CC1B9B" w:rsidRPr="00FB2FC8">
        <w:t xml:space="preserve"> (Maher and Haegele, 2024)</w:t>
      </w:r>
      <w:r w:rsidRPr="00FB2FC8">
        <w:t xml:space="preserve">. These are also times that illustrate that legislative </w:t>
      </w:r>
      <w:r w:rsidR="00CC1B9B" w:rsidRPr="00FB2FC8">
        <w:t xml:space="preserve">support for the social model does not guarantee services delivered in a person-centred way; it is also necessary to invest in workforce culture, advocacy, and independent oversight, as well as in </w:t>
      </w:r>
      <w:r w:rsidRPr="00FB2FC8">
        <w:t>the existing legal frameworks, to make the social model part of everyday practice</w:t>
      </w:r>
      <w:r w:rsidR="00CC1B9B" w:rsidRPr="00FB2FC8">
        <w:t xml:space="preserve"> (Shakespeare and Watson, 2022)</w:t>
      </w:r>
      <w:r w:rsidRPr="00FB2FC8">
        <w:t>.</w:t>
      </w:r>
    </w:p>
    <w:p w14:paraId="57B5FAA6" w14:textId="548E58DA" w:rsidR="00B519AE" w:rsidRPr="00FB2FC8" w:rsidRDefault="00723EF4">
      <w:pPr>
        <w:pStyle w:val="Heading1"/>
        <w:spacing w:before="300" w:after="150"/>
        <w:rPr>
          <w:sz w:val="22"/>
          <w:szCs w:val="22"/>
        </w:rPr>
      </w:pPr>
      <w:r w:rsidRPr="00FB2FC8">
        <w:rPr>
          <w:bCs/>
          <w:color w:val="000000"/>
          <w:sz w:val="22"/>
          <w:szCs w:val="22"/>
        </w:rPr>
        <w:t>Recommendations for Health and Social Care Policy and Practice</w:t>
      </w:r>
    </w:p>
    <w:p w14:paraId="6698C48E" w14:textId="31932985" w:rsidR="00942D33" w:rsidRPr="00FB2FC8" w:rsidRDefault="00942D33" w:rsidP="00942D33">
      <w:r w:rsidRPr="00FB2FC8">
        <w:t xml:space="preserve">Several recommendations are based upon this analysis. Health and social care providers should </w:t>
      </w:r>
      <w:r w:rsidR="00CC1B9B" w:rsidRPr="00FB2FC8">
        <w:t>prioritise</w:t>
      </w:r>
      <w:r w:rsidRPr="00FB2FC8">
        <w:t xml:space="preserve"> disability equality training of staff at all levels</w:t>
      </w:r>
      <w:r w:rsidR="00CC1B9B" w:rsidRPr="00FB2FC8">
        <w:t>,</w:t>
      </w:r>
      <w:r w:rsidRPr="00FB2FC8">
        <w:t xml:space="preserve"> which is compulsory, co-</w:t>
      </w:r>
      <w:r w:rsidRPr="00FB2FC8">
        <w:lastRenderedPageBreak/>
        <w:t>produced and developed and delivered with disabled people</w:t>
      </w:r>
      <w:r w:rsidR="00CC1B9B" w:rsidRPr="00FB2FC8">
        <w:t>,</w:t>
      </w:r>
      <w:r w:rsidRPr="00FB2FC8">
        <w:t xml:space="preserve"> that addresses both structural barriers as well as more subtle psycho-emotional barriers identified by Reeve and Thomas. A strengths-based (not deficits-based) approach to assessment frameworks should be adopted by local authorities and integrated care systems</w:t>
      </w:r>
      <w:r w:rsidR="00CC1B9B" w:rsidRPr="00FB2FC8">
        <w:t>, starting</w:t>
      </w:r>
      <w:r w:rsidRPr="00FB2FC8">
        <w:t xml:space="preserve"> from an individual's own aims and what is preventing them, as set out in the wellbeing principle in the Care Act 2014</w:t>
      </w:r>
      <w:r w:rsidR="00CC1B9B" w:rsidRPr="00FB2FC8">
        <w:t xml:space="preserve"> (Watson, 2022)</w:t>
      </w:r>
      <w:r w:rsidRPr="00FB2FC8">
        <w:t xml:space="preserve">. The personalisation policy offers people a choice and control, but these can only be realised in practice by providing adequate and ring-fenced funding for personal budgets and independent living support. Lastly, services need to be biopsychosocial, that is, based on the social model of the nature of structural barriers to service access, and a genuine understanding of the lived experience of impairment; and should not be de-enabling and/or </w:t>
      </w:r>
      <w:r w:rsidR="00CC1B9B" w:rsidRPr="00FB2FC8">
        <w:t>medicalised</w:t>
      </w:r>
      <w:r w:rsidRPr="00FB2FC8">
        <w:t xml:space="preserve"> only, that is, disability is viewed only as a problem</w:t>
      </w:r>
      <w:r w:rsidR="00CC1B9B" w:rsidRPr="00FB2FC8">
        <w:t xml:space="preserve"> (Thomas, 2023)</w:t>
      </w:r>
      <w:r w:rsidRPr="00FB2FC8">
        <w:t>.</w:t>
      </w:r>
    </w:p>
    <w:p w14:paraId="0DB9689C" w14:textId="77777777" w:rsidR="00942D33" w:rsidRPr="00FB2FC8" w:rsidRDefault="00942D33" w:rsidP="00CC1B9B">
      <w:pPr>
        <w:pStyle w:val="Heading1"/>
        <w:rPr>
          <w:bCs/>
          <w:color w:val="000000"/>
          <w:sz w:val="22"/>
          <w:szCs w:val="22"/>
        </w:rPr>
      </w:pPr>
      <w:r w:rsidRPr="00FB2FC8">
        <w:rPr>
          <w:bCs/>
          <w:color w:val="000000"/>
          <w:sz w:val="22"/>
          <w:szCs w:val="22"/>
        </w:rPr>
        <w:t>Conclusion</w:t>
      </w:r>
    </w:p>
    <w:p w14:paraId="46CE1A34" w14:textId="18D1A39F" w:rsidR="00B519AE" w:rsidRPr="00FB2FC8" w:rsidRDefault="00942D33" w:rsidP="00942D33">
      <w:r w:rsidRPr="00FB2FC8">
        <w:t xml:space="preserve">The social model of disability has transformed disability in health and social </w:t>
      </w:r>
      <w:proofErr w:type="gramStart"/>
      <w:r w:rsidRPr="00FB2FC8">
        <w:t>care, and</w:t>
      </w:r>
      <w:proofErr w:type="gramEnd"/>
      <w:r w:rsidRPr="00FB2FC8">
        <w:t xml:space="preserve"> introduced a theoretical underpinning for the independent living and personalisation agendas which underpin person-centred care policy in England today. But the feminist and psycho-emotional disability critiques point out that the basic social and biological dichotomy of the model is difficult to sustain both conceptually and factually</w:t>
      </w:r>
      <w:r w:rsidR="00CC1B9B" w:rsidRPr="00FB2FC8">
        <w:t>,</w:t>
      </w:r>
      <w:r w:rsidRPr="00FB2FC8">
        <w:t xml:space="preserve"> as well as the assertions that the model does not apply to other disability groups. This gap between the aspirations and implementation of the social model has been highlighted by the endurance of deficit-based assessment, resource constraints and limited professional training. </w:t>
      </w:r>
      <w:r w:rsidR="00732E28" w:rsidRPr="00FB2FC8">
        <w:t>So,</w:t>
      </w:r>
      <w:r w:rsidRPr="00FB2FC8">
        <w:t xml:space="preserve"> a disabling approach is more appropriate in the context of health and social care policy and practice as it remains faithful to the overall principle of the social model of disability, that disability is very much caused by disabling environments and attitudes, and also because it recognises impairment and individual experience, to enable care to be delivered in a way that is both structurally aware and individually responsive.</w:t>
      </w:r>
      <w:r w:rsidR="00723EF4" w:rsidRPr="00FB2FC8">
        <w:br w:type="page"/>
      </w:r>
    </w:p>
    <w:p w14:paraId="5175E2E7" w14:textId="047C29E2" w:rsidR="00F77A44" w:rsidRPr="00FB2FC8" w:rsidRDefault="00723EF4" w:rsidP="00665353">
      <w:pPr>
        <w:pStyle w:val="Heading1"/>
        <w:rPr>
          <w:sz w:val="22"/>
          <w:szCs w:val="22"/>
        </w:rPr>
      </w:pPr>
      <w:r w:rsidRPr="00FB2FC8">
        <w:rPr>
          <w:sz w:val="22"/>
          <w:szCs w:val="22"/>
        </w:rPr>
        <w:lastRenderedPageBreak/>
        <w:t>References</w:t>
      </w:r>
    </w:p>
    <w:p w14:paraId="73AFE451" w14:textId="77777777" w:rsidR="00665353" w:rsidRPr="00FB2FC8" w:rsidRDefault="00665353" w:rsidP="004C3229">
      <w:r w:rsidRPr="00FB2FC8">
        <w:t xml:space="preserve">Breedon, N., 2024. </w:t>
      </w:r>
      <w:r w:rsidRPr="00FB2FC8">
        <w:rPr>
          <w:rStyle w:val="Emphasis"/>
        </w:rPr>
        <w:t>Utopian Potentialities: Towards Collective Liberation Through Crip, Queer, and Divergent Signifiers in Sculptural Public Art</w:t>
      </w:r>
      <w:r w:rsidRPr="00FB2FC8">
        <w:t xml:space="preserve">. Doctoral dissertation, UNSW Sydney. Available at: UNSW Sydney research repository. Accessed: 17 August 2026. </w:t>
      </w:r>
    </w:p>
    <w:p w14:paraId="3DD6E293" w14:textId="77777777" w:rsidR="00665353" w:rsidRPr="00FB2FC8" w:rsidRDefault="00665353" w:rsidP="004C3229">
      <w:r w:rsidRPr="00FB2FC8">
        <w:t xml:space="preserve">Burgess, A., 2025. </w:t>
      </w:r>
      <w:r w:rsidRPr="00FB2FC8">
        <w:rPr>
          <w:rStyle w:val="Emphasis"/>
        </w:rPr>
        <w:t>An Analysis of the Equality Act 2010 in the Context of Current Welfare Reforms and the Protection of Disabled Claimants</w:t>
      </w:r>
      <w:r w:rsidRPr="00FB2FC8">
        <w:t xml:space="preserve">. Master's thesis, University of Worcester. Available at: University of Worcester repository/library record. Accessed: 17 August 2026. </w:t>
      </w:r>
    </w:p>
    <w:p w14:paraId="77BEF1A6" w14:textId="77777777" w:rsidR="00665353" w:rsidRPr="00FB2FC8" w:rsidRDefault="00665353" w:rsidP="004C3229">
      <w:r w:rsidRPr="00FB2FC8">
        <w:t xml:space="preserve">Cameron, C., 2024. Some things never seem to </w:t>
      </w:r>
      <w:proofErr w:type="gramStart"/>
      <w:r w:rsidRPr="00FB2FC8">
        <w:t>change:</w:t>
      </w:r>
      <w:proofErr w:type="gramEnd"/>
      <w:r w:rsidRPr="00FB2FC8">
        <w:t xml:space="preserve"> further towards an affirmation model. </w:t>
      </w:r>
      <w:r w:rsidRPr="00FB2FC8">
        <w:rPr>
          <w:rStyle w:val="Emphasis"/>
        </w:rPr>
        <w:t>Disability &amp; Society</w:t>
      </w:r>
      <w:r w:rsidRPr="00FB2FC8">
        <w:t xml:space="preserve">, 39(7), pp.1890-1895. Available at: </w:t>
      </w:r>
      <w:hyperlink r:id="rId8" w:tgtFrame="_blank" w:history="1">
        <w:r w:rsidRPr="00FB2FC8">
          <w:rPr>
            <w:rStyle w:val="Hyperlink"/>
          </w:rPr>
          <w:t>https://doi.org/10.1080/09687599.2023.2295799</w:t>
        </w:r>
      </w:hyperlink>
      <w:r w:rsidRPr="00FB2FC8">
        <w:t xml:space="preserve"> Accessed: 17 August 2026. </w:t>
      </w:r>
    </w:p>
    <w:p w14:paraId="73495BBF" w14:textId="77777777" w:rsidR="00665353" w:rsidRPr="00FB2FC8" w:rsidRDefault="00665353" w:rsidP="004C3229">
      <w:r w:rsidRPr="00FB2FC8">
        <w:t xml:space="preserve">Daniels, J., 2023. The often-unheard perspective of a carer navigating neoliberalism under the provisions of the 2014 Care Act. </w:t>
      </w:r>
      <w:r w:rsidRPr="00FB2FC8">
        <w:rPr>
          <w:rStyle w:val="Emphasis"/>
        </w:rPr>
        <w:t>The British Journal of Social Work</w:t>
      </w:r>
      <w:r w:rsidRPr="00FB2FC8">
        <w:t xml:space="preserve">, 53(3), pp.1784-1792. Available at: </w:t>
      </w:r>
      <w:hyperlink r:id="rId9" w:tgtFrame="_blank" w:history="1">
        <w:r w:rsidRPr="00FB2FC8">
          <w:rPr>
            <w:rStyle w:val="Hyperlink"/>
          </w:rPr>
          <w:t>https://doi.org/10.1093/bjsw/bcad033</w:t>
        </w:r>
      </w:hyperlink>
      <w:r w:rsidRPr="00FB2FC8">
        <w:t xml:space="preserve"> Accessed: 17 August 2026. </w:t>
      </w:r>
    </w:p>
    <w:p w14:paraId="6051A4B2" w14:textId="77777777" w:rsidR="00665353" w:rsidRPr="00FB2FC8" w:rsidRDefault="00665353" w:rsidP="004C3229">
      <w:r w:rsidRPr="00FB2FC8">
        <w:t xml:space="preserve">Doyle, L., 2025. Supporting Will and Preference in Adult Disability Services: A Critical Discussion on Practice for Social Care Workers. </w:t>
      </w:r>
      <w:r w:rsidRPr="00FB2FC8">
        <w:rPr>
          <w:rStyle w:val="Emphasis"/>
        </w:rPr>
        <w:t>Irish Journal of Applied Social Studies</w:t>
      </w:r>
      <w:r w:rsidRPr="00FB2FC8">
        <w:t xml:space="preserve">, 25(1), p.1. Available at: </w:t>
      </w:r>
      <w:hyperlink r:id="rId10" w:history="1">
        <w:r w:rsidRPr="00FB2FC8">
          <w:rPr>
            <w:rStyle w:val="Hyperlink"/>
          </w:rPr>
          <w:t>https://doi.org/10.21427/kavf-4p65</w:t>
        </w:r>
      </w:hyperlink>
      <w:r w:rsidRPr="00FB2FC8">
        <w:rPr>
          <w:rStyle w:val="contents"/>
        </w:rPr>
        <w:t xml:space="preserve"> </w:t>
      </w:r>
      <w:r w:rsidRPr="00FB2FC8">
        <w:t xml:space="preserve">Accessed: 17 August 2026. </w:t>
      </w:r>
    </w:p>
    <w:p w14:paraId="372839AD" w14:textId="77777777" w:rsidR="00665353" w:rsidRPr="00FB2FC8" w:rsidRDefault="00665353" w:rsidP="004C3229">
      <w:r w:rsidRPr="00FB2FC8">
        <w:t xml:space="preserve">Hunt, J., 2025. Mapping the government of disability in </w:t>
      </w:r>
      <w:proofErr w:type="spellStart"/>
      <w:r w:rsidRPr="00FB2FC8">
        <w:t>myalgic</w:t>
      </w:r>
      <w:proofErr w:type="spellEnd"/>
      <w:r w:rsidRPr="00FB2FC8">
        <w:t xml:space="preserve"> encephalomyelitis/chronic fatigue syndrome: A critical feminist account. </w:t>
      </w:r>
      <w:r w:rsidRPr="00FB2FC8">
        <w:rPr>
          <w:rStyle w:val="Emphasis"/>
        </w:rPr>
        <w:t>International Journal of Disability and Social Justice</w:t>
      </w:r>
      <w:r w:rsidRPr="00FB2FC8">
        <w:t xml:space="preserve">, 5(3), pp.332-356. Available at: </w:t>
      </w:r>
      <w:hyperlink r:id="rId11" w:history="1">
        <w:r w:rsidRPr="00FB2FC8">
          <w:rPr>
            <w:rStyle w:val="Hyperlink"/>
          </w:rPr>
          <w:t>https://doi.org/10.13169/intljofdissocjus.5.3.0004</w:t>
        </w:r>
      </w:hyperlink>
      <w:r w:rsidRPr="00FB2FC8">
        <w:t xml:space="preserve"> Accessed: 17 August 2026. </w:t>
      </w:r>
    </w:p>
    <w:p w14:paraId="1D3962BD" w14:textId="77777777" w:rsidR="00665353" w:rsidRPr="00FB2FC8" w:rsidRDefault="00665353" w:rsidP="004C3229">
      <w:proofErr w:type="spellStart"/>
      <w:r w:rsidRPr="00FB2FC8">
        <w:t>Kollataj</w:t>
      </w:r>
      <w:proofErr w:type="spellEnd"/>
      <w:r w:rsidRPr="00FB2FC8">
        <w:t xml:space="preserve">, B., </w:t>
      </w:r>
      <w:proofErr w:type="spellStart"/>
      <w:r w:rsidRPr="00FB2FC8">
        <w:t>Kollataj</w:t>
      </w:r>
      <w:proofErr w:type="spellEnd"/>
      <w:r w:rsidRPr="00FB2FC8">
        <w:t>, W.P., Cipora, E., Piecewicz-</w:t>
      </w:r>
      <w:proofErr w:type="spellStart"/>
      <w:r w:rsidRPr="00FB2FC8">
        <w:t>Szczesna</w:t>
      </w:r>
      <w:proofErr w:type="spellEnd"/>
      <w:r w:rsidRPr="00FB2FC8">
        <w:t xml:space="preserve">, H. and </w:t>
      </w:r>
      <w:proofErr w:type="spellStart"/>
      <w:r w:rsidRPr="00FB2FC8">
        <w:t>Karwat</w:t>
      </w:r>
      <w:proofErr w:type="spellEnd"/>
      <w:r w:rsidRPr="00FB2FC8">
        <w:t xml:space="preserve">, I.D., 2025. Disability </w:t>
      </w:r>
      <w:proofErr w:type="gramStart"/>
      <w:r w:rsidRPr="00FB2FC8">
        <w:t>as a result of</w:t>
      </w:r>
      <w:proofErr w:type="gramEnd"/>
      <w:r w:rsidRPr="00FB2FC8">
        <w:t xml:space="preserve"> health and social disorders – role of prejudice and discrimination. </w:t>
      </w:r>
      <w:r w:rsidRPr="00FB2FC8">
        <w:rPr>
          <w:rStyle w:val="Emphasis"/>
        </w:rPr>
        <w:t>Annals of Agricultural and Environmental Medicine</w:t>
      </w:r>
      <w:r w:rsidRPr="00FB2FC8">
        <w:t xml:space="preserve">, 32(4), pp.592-600. Available at: </w:t>
      </w:r>
      <w:hyperlink r:id="rId12" w:history="1">
        <w:r w:rsidRPr="00FB2FC8">
          <w:rPr>
            <w:rStyle w:val="Hyperlink"/>
          </w:rPr>
          <w:t>https://doi.org/10.26444/aaem/215980</w:t>
        </w:r>
      </w:hyperlink>
      <w:r w:rsidRPr="00FB2FC8">
        <w:t xml:space="preserve"> Accessed: 17 August 2026. </w:t>
      </w:r>
    </w:p>
    <w:p w14:paraId="3D8DABAD" w14:textId="77777777" w:rsidR="00665353" w:rsidRPr="00FB2FC8" w:rsidRDefault="00665353" w:rsidP="004C3229">
      <w:r w:rsidRPr="00FB2FC8">
        <w:t xml:space="preserve">KÖROĞLU, A.Y., 2022. Disability or ability: social and medical models of disability. In: </w:t>
      </w:r>
      <w:r w:rsidRPr="00FB2FC8">
        <w:rPr>
          <w:rStyle w:val="Emphasis"/>
        </w:rPr>
        <w:t>International Research in Health Sciences III</w:t>
      </w:r>
      <w:r w:rsidRPr="00FB2FC8">
        <w:t xml:space="preserve">, pp.101-114. </w:t>
      </w:r>
      <w:proofErr w:type="spellStart"/>
      <w:r w:rsidRPr="00FB2FC8">
        <w:t>Eğitim</w:t>
      </w:r>
      <w:proofErr w:type="spellEnd"/>
      <w:r w:rsidRPr="00FB2FC8">
        <w:t xml:space="preserve"> Yayınevi. Available at: </w:t>
      </w:r>
      <w:hyperlink r:id="rId13" w:tgtFrame="_blank" w:history="1">
        <w:r w:rsidRPr="00FB2FC8">
          <w:rPr>
            <w:rStyle w:val="Hyperlink"/>
          </w:rPr>
          <w:t>ResearchGate publication record.</w:t>
        </w:r>
      </w:hyperlink>
      <w:r w:rsidRPr="00FB2FC8">
        <w:t xml:space="preserve"> Accessed: 17 August 2026. </w:t>
      </w:r>
    </w:p>
    <w:p w14:paraId="7EFFDC78" w14:textId="77777777" w:rsidR="00665353" w:rsidRPr="00FB2FC8" w:rsidRDefault="00665353" w:rsidP="004C3229">
      <w:r w:rsidRPr="00FB2FC8">
        <w:t xml:space="preserve">Kröger, T. and Chou, Y.C., 2025. Disability politics and social care. In: </w:t>
      </w:r>
      <w:r w:rsidRPr="00FB2FC8">
        <w:rPr>
          <w:rStyle w:val="Emphasis"/>
        </w:rPr>
        <w:t>Research Handbook on Social Care Policy</w:t>
      </w:r>
      <w:r w:rsidRPr="00FB2FC8">
        <w:t xml:space="preserve">, pp.119-131. Edward Elgar Publishing. Available at: </w:t>
      </w:r>
      <w:hyperlink r:id="rId14" w:history="1">
        <w:r w:rsidRPr="00FB2FC8">
          <w:rPr>
            <w:rStyle w:val="Hyperlink"/>
          </w:rPr>
          <w:t>https://doi.org/10.4337/9781839103698.00015</w:t>
        </w:r>
      </w:hyperlink>
      <w:r w:rsidRPr="00FB2FC8">
        <w:t xml:space="preserve"> Accessed: 17 August 2026. </w:t>
      </w:r>
    </w:p>
    <w:p w14:paraId="38B9D284" w14:textId="77777777" w:rsidR="00665353" w:rsidRPr="00FB2FC8" w:rsidRDefault="00665353" w:rsidP="004C3229">
      <w:proofErr w:type="spellStart"/>
      <w:r w:rsidRPr="00FB2FC8">
        <w:t>Macmbinji</w:t>
      </w:r>
      <w:proofErr w:type="spellEnd"/>
      <w:r w:rsidRPr="00FB2FC8">
        <w:t xml:space="preserve">, V., 2023. The social model of disability: Implications for inclusion. </w:t>
      </w:r>
      <w:r w:rsidRPr="00FB2FC8">
        <w:rPr>
          <w:rStyle w:val="Emphasis"/>
        </w:rPr>
        <w:t>International Journal of Innovative Science and Research Technology</w:t>
      </w:r>
      <w:r w:rsidRPr="00FB2FC8">
        <w:t xml:space="preserve">, 8(5), pp.161-168. Available at: </w:t>
      </w:r>
      <w:hyperlink r:id="rId15" w:tgtFrame="_blank" w:history="1">
        <w:proofErr w:type="spellStart"/>
        <w:r w:rsidRPr="00FB2FC8">
          <w:rPr>
            <w:rStyle w:val="Hyperlink"/>
          </w:rPr>
          <w:t>Zenodo</w:t>
        </w:r>
        <w:proofErr w:type="spellEnd"/>
        <w:r w:rsidRPr="00FB2FC8">
          <w:rPr>
            <w:rStyle w:val="Hyperlink"/>
          </w:rPr>
          <w:t>/author publication record</w:t>
        </w:r>
      </w:hyperlink>
      <w:r w:rsidRPr="00FB2FC8">
        <w:t xml:space="preserve"> Accessed: 17 August 2026. </w:t>
      </w:r>
    </w:p>
    <w:p w14:paraId="4BCDF396" w14:textId="77777777" w:rsidR="00665353" w:rsidRPr="00FB2FC8" w:rsidRDefault="00665353" w:rsidP="004C3229">
      <w:r w:rsidRPr="00FB2FC8">
        <w:t xml:space="preserve">Maher, A.J. and Haegele, J.A., 2024. Beyond spatial materiality, towards inter-and intra-subjectivity: Conceptualizing exclusion in education as internalized ableism and psycho-emotional disablement. </w:t>
      </w:r>
      <w:r w:rsidRPr="00FB2FC8">
        <w:rPr>
          <w:rStyle w:val="Emphasis"/>
        </w:rPr>
        <w:t>British Journal of Sociology of Education</w:t>
      </w:r>
      <w:r w:rsidRPr="00FB2FC8">
        <w:t xml:space="preserve">, 45(4), pp.531-546. Available at: </w:t>
      </w:r>
      <w:hyperlink r:id="rId16" w:tgtFrame="_blank" w:history="1">
        <w:r w:rsidRPr="00FB2FC8">
          <w:rPr>
            <w:rStyle w:val="Hyperlink"/>
          </w:rPr>
          <w:t>https://doi.org/10.1080/01425692.2024.2334272</w:t>
        </w:r>
      </w:hyperlink>
      <w:r w:rsidRPr="00FB2FC8">
        <w:t xml:space="preserve"> Accessed: 17 August 2026. </w:t>
      </w:r>
    </w:p>
    <w:p w14:paraId="37068EF8" w14:textId="77777777" w:rsidR="00665353" w:rsidRPr="00FB2FC8" w:rsidRDefault="00665353" w:rsidP="004C3229">
      <w:proofErr w:type="spellStart"/>
      <w:r w:rsidRPr="00FB2FC8">
        <w:lastRenderedPageBreak/>
        <w:t>Rashikj-Canevska</w:t>
      </w:r>
      <w:proofErr w:type="spellEnd"/>
      <w:r w:rsidRPr="00FB2FC8">
        <w:t xml:space="preserve">, O. and </w:t>
      </w:r>
      <w:proofErr w:type="spellStart"/>
      <w:r w:rsidRPr="00FB2FC8">
        <w:t>Chichevska-Jovanova</w:t>
      </w:r>
      <w:proofErr w:type="spellEnd"/>
      <w:r w:rsidRPr="00FB2FC8">
        <w:t xml:space="preserve">, N., 2025. The Evolution of Disability Perspective Models and Their Impact on Inclusive Education. </w:t>
      </w:r>
      <w:r w:rsidRPr="00FB2FC8">
        <w:rPr>
          <w:rStyle w:val="Emphasis"/>
        </w:rPr>
        <w:t>Annual of the Faculty of Philosophy in Skopje</w:t>
      </w:r>
      <w:r w:rsidRPr="00FB2FC8">
        <w:t xml:space="preserve">, 78(1), pp.557-569. Available at: </w:t>
      </w:r>
      <w:hyperlink r:id="rId17" w:history="1">
        <w:r w:rsidRPr="00FB2FC8">
          <w:rPr>
            <w:rStyle w:val="Hyperlink"/>
          </w:rPr>
          <w:t>https://doi.org/10.37510/godzbo25781557rc</w:t>
        </w:r>
      </w:hyperlink>
      <w:r w:rsidRPr="00FB2FC8">
        <w:rPr>
          <w:rStyle w:val="contents"/>
        </w:rPr>
        <w:t xml:space="preserve"> </w:t>
      </w:r>
      <w:r w:rsidRPr="00FB2FC8">
        <w:t xml:space="preserve">Accessed: 17 August 2026. </w:t>
      </w:r>
    </w:p>
    <w:p w14:paraId="11A792E5" w14:textId="77777777" w:rsidR="00665353" w:rsidRPr="00FB2FC8" w:rsidRDefault="00665353" w:rsidP="004C3229">
      <w:r w:rsidRPr="00FB2FC8">
        <w:t xml:space="preserve">Saketkoo, L.A., </w:t>
      </w:r>
      <w:proofErr w:type="spellStart"/>
      <w:r w:rsidRPr="00FB2FC8">
        <w:t>Escorpizo</w:t>
      </w:r>
      <w:proofErr w:type="spellEnd"/>
      <w:r w:rsidRPr="00FB2FC8">
        <w:t xml:space="preserve">, R., Varga, J., Keen, K.J., </w:t>
      </w:r>
      <w:proofErr w:type="spellStart"/>
      <w:r w:rsidRPr="00FB2FC8">
        <w:t>Fligelstone</w:t>
      </w:r>
      <w:proofErr w:type="spellEnd"/>
      <w:r w:rsidRPr="00FB2FC8">
        <w:t xml:space="preserve">, K., Birring, S.S., Alexanderson, H., Pettersson, H., Chaudhry, H.A., Poole, J.L. and </w:t>
      </w:r>
      <w:proofErr w:type="spellStart"/>
      <w:r w:rsidRPr="00FB2FC8">
        <w:t>Regardt</w:t>
      </w:r>
      <w:proofErr w:type="spellEnd"/>
      <w:r w:rsidRPr="00FB2FC8">
        <w:t xml:space="preserve">, M., 2022. World Health Organization (WHO) international classification of functioning, disability and health (ICF) core set development for interstitial lung disease. </w:t>
      </w:r>
      <w:r w:rsidRPr="00FB2FC8">
        <w:rPr>
          <w:rStyle w:val="Emphasis"/>
        </w:rPr>
        <w:t>Frontiers in Pharmacology</w:t>
      </w:r>
      <w:r w:rsidRPr="00FB2FC8">
        <w:t xml:space="preserve">, 13, p.979788. Available at: </w:t>
      </w:r>
      <w:hyperlink r:id="rId18" w:tgtFrame="_blank" w:history="1">
        <w:r w:rsidRPr="00FB2FC8">
          <w:rPr>
            <w:rStyle w:val="Hyperlink"/>
          </w:rPr>
          <w:t>https://doi.org/10.3389/fphar.2022.979788</w:t>
        </w:r>
      </w:hyperlink>
      <w:r w:rsidRPr="00FB2FC8">
        <w:t xml:space="preserve"> Accessed: 17 August 2026.</w:t>
      </w:r>
    </w:p>
    <w:p w14:paraId="64BB03A7" w14:textId="77777777" w:rsidR="00665353" w:rsidRPr="00FB2FC8" w:rsidRDefault="00665353" w:rsidP="004C3229">
      <w:r w:rsidRPr="00FB2FC8">
        <w:t xml:space="preserve">Shakespeare, T. and Watson, N., 2022. Frameworks, models, theories, and experiences for understanding disability. In: </w:t>
      </w:r>
      <w:r w:rsidRPr="00FB2FC8">
        <w:rPr>
          <w:rStyle w:val="Emphasis"/>
        </w:rPr>
        <w:t>The Oxford Handbook of the Sociology of Disability</w:t>
      </w:r>
      <w:r w:rsidRPr="00FB2FC8">
        <w:t xml:space="preserve">, pp.17-37. Oxford University Press. Available at: </w:t>
      </w:r>
      <w:hyperlink r:id="rId19" w:history="1">
        <w:r w:rsidRPr="00FB2FC8">
          <w:rPr>
            <w:rStyle w:val="Hyperlink"/>
          </w:rPr>
          <w:t>https://doi.org/10.1093/oxfordhb/9780190093167.013.1</w:t>
        </w:r>
      </w:hyperlink>
      <w:r w:rsidRPr="00FB2FC8">
        <w:t xml:space="preserve"> Accessed: 17 August 2026. </w:t>
      </w:r>
    </w:p>
    <w:p w14:paraId="7587FACD" w14:textId="77777777" w:rsidR="00665353" w:rsidRPr="00FB2FC8" w:rsidRDefault="00665353" w:rsidP="004C3229">
      <w:r w:rsidRPr="00FB2FC8">
        <w:t xml:space="preserve">Thomas, G.M., 2023. Disability and the sociology of health and illness. In: Petersen, A. (ed.) </w:t>
      </w:r>
      <w:r w:rsidRPr="00FB2FC8">
        <w:rPr>
          <w:rStyle w:val="Emphasis"/>
        </w:rPr>
        <w:t>Handbook on the Sociology of Health and Medicine</w:t>
      </w:r>
      <w:r w:rsidRPr="00FB2FC8">
        <w:t xml:space="preserve">, pp.378-392. Edward Elgar Publishing. Available at: </w:t>
      </w:r>
      <w:hyperlink r:id="rId20" w:history="1">
        <w:r w:rsidRPr="00FB2FC8">
          <w:rPr>
            <w:rStyle w:val="Hyperlink"/>
          </w:rPr>
          <w:t>https://doi.org/10.4337/9781839104756.00033</w:t>
        </w:r>
      </w:hyperlink>
      <w:r w:rsidRPr="00FB2FC8">
        <w:t xml:space="preserve"> Accessed: 17 August 2026. </w:t>
      </w:r>
    </w:p>
    <w:p w14:paraId="7CAD8234" w14:textId="77777777" w:rsidR="00665353" w:rsidRPr="00FB2FC8" w:rsidRDefault="00665353" w:rsidP="004C3229">
      <w:r w:rsidRPr="00FB2FC8">
        <w:t xml:space="preserve">Watson, D., 2022. </w:t>
      </w:r>
      <w:r w:rsidRPr="00FB2FC8">
        <w:rPr>
          <w:rStyle w:val="Emphasis"/>
        </w:rPr>
        <w:t>Queer, crip, rights? Establishing a new identity approach to disability for a post-Convention on the Rights of Persons with Disabilities World</w:t>
      </w:r>
      <w:r w:rsidRPr="00FB2FC8">
        <w:t xml:space="preserve">. Doctoral dissertation, University of Nottingham. Available at: </w:t>
      </w:r>
      <w:hyperlink r:id="rId21" w:tgtFrame="_blank" w:history="1">
        <w:r w:rsidRPr="00FB2FC8">
          <w:rPr>
            <w:rStyle w:val="Hyperlink"/>
          </w:rPr>
          <w:t xml:space="preserve">University of Nottingham </w:t>
        </w:r>
        <w:proofErr w:type="spellStart"/>
        <w:r w:rsidRPr="00FB2FC8">
          <w:rPr>
            <w:rStyle w:val="Hyperlink"/>
          </w:rPr>
          <w:t>ePrints</w:t>
        </w:r>
        <w:proofErr w:type="spellEnd"/>
      </w:hyperlink>
      <w:r w:rsidRPr="00FB2FC8">
        <w:t xml:space="preserve"> Accessed: 17 August 2026. </w:t>
      </w:r>
    </w:p>
    <w:p w14:paraId="27690F49" w14:textId="77777777" w:rsidR="00665353" w:rsidRPr="00FB2FC8" w:rsidRDefault="00665353" w:rsidP="004C3229">
      <w:r w:rsidRPr="00FB2FC8">
        <w:t xml:space="preserve">Zaks, Z., 2024. Changing the medical model of disability to the normalisation model of disability: Clarifying the past to create a new future direction. </w:t>
      </w:r>
      <w:r w:rsidRPr="00FB2FC8">
        <w:rPr>
          <w:rStyle w:val="Emphasis"/>
        </w:rPr>
        <w:t>Disability &amp; Society</w:t>
      </w:r>
      <w:r w:rsidRPr="00FB2FC8">
        <w:t xml:space="preserve">, 39(12), pp.3233-3260. Available at: </w:t>
      </w:r>
      <w:hyperlink r:id="rId22" w:tgtFrame="_blank" w:history="1">
        <w:r w:rsidRPr="00FB2FC8">
          <w:rPr>
            <w:rStyle w:val="Hyperlink"/>
          </w:rPr>
          <w:t>https://doi.org/10.1080/09687599.2023.2255926</w:t>
        </w:r>
      </w:hyperlink>
      <w:r w:rsidRPr="00FB2FC8">
        <w:t xml:space="preserve"> Accessed: 17 August 2026. </w:t>
      </w:r>
    </w:p>
    <w:sectPr w:rsidR="00665353" w:rsidRPr="00FB2FC8" w:rsidSect="0041014F">
      <w:headerReference w:type="default" r:id="rId23"/>
      <w:footerReference w:type="default" r:id="rId24"/>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5E4F89" w14:textId="77777777" w:rsidR="00CB7F45" w:rsidRDefault="00CB7F45">
      <w:pPr>
        <w:spacing w:line="240" w:lineRule="auto"/>
      </w:pPr>
      <w:r>
        <w:separator/>
      </w:r>
    </w:p>
  </w:endnote>
  <w:endnote w:type="continuationSeparator" w:id="0">
    <w:p w14:paraId="4BA50661" w14:textId="77777777" w:rsidR="00CB7F45" w:rsidRDefault="00CB7F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5217352"/>
      <w:docPartObj>
        <w:docPartGallery w:val="Page Numbers (Bottom of Page)"/>
        <w:docPartUnique/>
      </w:docPartObj>
    </w:sdtPr>
    <w:sdtEndPr>
      <w:rPr>
        <w:noProof/>
      </w:rPr>
    </w:sdtEndPr>
    <w:sdtContent>
      <w:p w14:paraId="5A735F72" w14:textId="7D170C05" w:rsidR="0041014F" w:rsidRDefault="004101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BCF6AA" w14:textId="68E2A8D2" w:rsidR="00B519AE" w:rsidRDefault="00B519AE">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4EC422" w14:textId="77777777" w:rsidR="00CB7F45" w:rsidRDefault="00CB7F45">
      <w:pPr>
        <w:spacing w:line="240" w:lineRule="auto"/>
      </w:pPr>
      <w:r>
        <w:separator/>
      </w:r>
    </w:p>
  </w:footnote>
  <w:footnote w:type="continuationSeparator" w:id="0">
    <w:p w14:paraId="09C8EF33" w14:textId="77777777" w:rsidR="00CB7F45" w:rsidRDefault="00CB7F4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48336E" w14:textId="77777777" w:rsidR="00B519AE" w:rsidRDefault="00B519A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AF5467"/>
    <w:multiLevelType w:val="hybridMultilevel"/>
    <w:tmpl w:val="8098D798"/>
    <w:lvl w:ilvl="0" w:tplc="836064B8">
      <w:numFmt w:val="bullet"/>
      <w:lvlText w:val=""/>
      <w:lvlJc w:val="left"/>
      <w:pPr>
        <w:ind w:left="720" w:hanging="360"/>
      </w:pPr>
      <w:rPr>
        <w:rFonts w:ascii="Symbol" w:eastAsia="Arial"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72229A"/>
    <w:multiLevelType w:val="hybridMultilevel"/>
    <w:tmpl w:val="51967660"/>
    <w:lvl w:ilvl="0" w:tplc="D7EC02EE">
      <w:start w:val="1"/>
      <w:numFmt w:val="bullet"/>
      <w:lvlText w:val="●"/>
      <w:lvlJc w:val="left"/>
      <w:pPr>
        <w:ind w:left="720" w:hanging="360"/>
      </w:pPr>
    </w:lvl>
    <w:lvl w:ilvl="1" w:tplc="DB6667A0">
      <w:start w:val="1"/>
      <w:numFmt w:val="bullet"/>
      <w:lvlText w:val="○"/>
      <w:lvlJc w:val="left"/>
      <w:pPr>
        <w:ind w:left="1440" w:hanging="360"/>
      </w:pPr>
    </w:lvl>
    <w:lvl w:ilvl="2" w:tplc="ECECDD80">
      <w:start w:val="1"/>
      <w:numFmt w:val="bullet"/>
      <w:lvlText w:val="■"/>
      <w:lvlJc w:val="left"/>
      <w:pPr>
        <w:ind w:left="2160" w:hanging="360"/>
      </w:pPr>
    </w:lvl>
    <w:lvl w:ilvl="3" w:tplc="2F7AD224">
      <w:start w:val="1"/>
      <w:numFmt w:val="bullet"/>
      <w:lvlText w:val="●"/>
      <w:lvlJc w:val="left"/>
      <w:pPr>
        <w:ind w:left="2880" w:hanging="360"/>
      </w:pPr>
    </w:lvl>
    <w:lvl w:ilvl="4" w:tplc="68723B00">
      <w:start w:val="1"/>
      <w:numFmt w:val="bullet"/>
      <w:lvlText w:val="○"/>
      <w:lvlJc w:val="left"/>
      <w:pPr>
        <w:ind w:left="3600" w:hanging="360"/>
      </w:pPr>
    </w:lvl>
    <w:lvl w:ilvl="5" w:tplc="FF5614C4">
      <w:start w:val="1"/>
      <w:numFmt w:val="bullet"/>
      <w:lvlText w:val="■"/>
      <w:lvlJc w:val="left"/>
      <w:pPr>
        <w:ind w:left="4320" w:hanging="360"/>
      </w:pPr>
    </w:lvl>
    <w:lvl w:ilvl="6" w:tplc="130E82D2">
      <w:start w:val="1"/>
      <w:numFmt w:val="bullet"/>
      <w:lvlText w:val="●"/>
      <w:lvlJc w:val="left"/>
      <w:pPr>
        <w:ind w:left="5040" w:hanging="360"/>
      </w:pPr>
    </w:lvl>
    <w:lvl w:ilvl="7" w:tplc="4E8A6C3E">
      <w:start w:val="1"/>
      <w:numFmt w:val="bullet"/>
      <w:lvlText w:val="●"/>
      <w:lvlJc w:val="left"/>
      <w:pPr>
        <w:ind w:left="5760" w:hanging="360"/>
      </w:pPr>
    </w:lvl>
    <w:lvl w:ilvl="8" w:tplc="FDC29F04">
      <w:start w:val="1"/>
      <w:numFmt w:val="bullet"/>
      <w:lvlText w:val="●"/>
      <w:lvlJc w:val="left"/>
      <w:pPr>
        <w:ind w:left="6480" w:hanging="360"/>
      </w:pPr>
    </w:lvl>
  </w:abstractNum>
  <w:abstractNum w:abstractNumId="2" w15:restartNumberingAfterBreak="0">
    <w:nsid w:val="77524B7C"/>
    <w:multiLevelType w:val="hybridMultilevel"/>
    <w:tmpl w:val="124A1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F232EF"/>
    <w:multiLevelType w:val="hybridMultilevel"/>
    <w:tmpl w:val="5CDCDF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8248387">
    <w:abstractNumId w:val="1"/>
    <w:lvlOverride w:ilvl="0">
      <w:startOverride w:val="1"/>
    </w:lvlOverride>
  </w:num>
  <w:num w:numId="2" w16cid:durableId="2004238148">
    <w:abstractNumId w:val="3"/>
  </w:num>
  <w:num w:numId="3" w16cid:durableId="1126582518">
    <w:abstractNumId w:val="2"/>
  </w:num>
  <w:num w:numId="4" w16cid:durableId="1328694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oNotDisplayPageBoundaries/>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19AE"/>
    <w:rsid w:val="00067962"/>
    <w:rsid w:val="000C2212"/>
    <w:rsid w:val="001248D2"/>
    <w:rsid w:val="00293DB3"/>
    <w:rsid w:val="002A38C9"/>
    <w:rsid w:val="002D3DBB"/>
    <w:rsid w:val="003A26D7"/>
    <w:rsid w:val="003C2F40"/>
    <w:rsid w:val="003E7C7F"/>
    <w:rsid w:val="0041014F"/>
    <w:rsid w:val="00426D3F"/>
    <w:rsid w:val="0043487D"/>
    <w:rsid w:val="004414B4"/>
    <w:rsid w:val="004A2CE8"/>
    <w:rsid w:val="004C3229"/>
    <w:rsid w:val="004C3E93"/>
    <w:rsid w:val="005219AD"/>
    <w:rsid w:val="00665353"/>
    <w:rsid w:val="00695AAA"/>
    <w:rsid w:val="00723EF4"/>
    <w:rsid w:val="00732E28"/>
    <w:rsid w:val="0077287A"/>
    <w:rsid w:val="007814F6"/>
    <w:rsid w:val="007F1BD0"/>
    <w:rsid w:val="008421AC"/>
    <w:rsid w:val="00876732"/>
    <w:rsid w:val="00894038"/>
    <w:rsid w:val="00942D33"/>
    <w:rsid w:val="009506F8"/>
    <w:rsid w:val="009C6D3B"/>
    <w:rsid w:val="009F600C"/>
    <w:rsid w:val="00A14DF9"/>
    <w:rsid w:val="00A64D34"/>
    <w:rsid w:val="00AB4B99"/>
    <w:rsid w:val="00B374BD"/>
    <w:rsid w:val="00B519AE"/>
    <w:rsid w:val="00B83CAA"/>
    <w:rsid w:val="00C806A6"/>
    <w:rsid w:val="00C85CFA"/>
    <w:rsid w:val="00C87D92"/>
    <w:rsid w:val="00CB7F45"/>
    <w:rsid w:val="00CC1B9B"/>
    <w:rsid w:val="00D222F2"/>
    <w:rsid w:val="00DE3522"/>
    <w:rsid w:val="00E841EB"/>
    <w:rsid w:val="00EC110B"/>
    <w:rsid w:val="00ED4749"/>
    <w:rsid w:val="00EF068F"/>
    <w:rsid w:val="00F14E14"/>
    <w:rsid w:val="00F52E14"/>
    <w:rsid w:val="00F77A44"/>
    <w:rsid w:val="00F84604"/>
    <w:rsid w:val="00FB2FC8"/>
    <w:rsid w:val="00FC7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C0D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4E14"/>
    <w:pPr>
      <w:spacing w:line="360" w:lineRule="auto"/>
      <w:jc w:val="both"/>
    </w:pPr>
  </w:style>
  <w:style w:type="paragraph" w:styleId="Heading1">
    <w:name w:val="heading 1"/>
    <w:uiPriority w:val="9"/>
    <w:qFormat/>
    <w:rsid w:val="00F77A44"/>
    <w:pPr>
      <w:spacing w:line="360" w:lineRule="auto"/>
      <w:jc w:val="both"/>
      <w:outlineLvl w:val="0"/>
    </w:pPr>
    <w:rPr>
      <w:b/>
      <w:color w:val="1F3864" w:themeColor="accent1" w:themeShade="80"/>
      <w:sz w:val="32"/>
      <w:szCs w:val="32"/>
    </w:rPr>
  </w:style>
  <w:style w:type="paragraph" w:styleId="Heading2">
    <w:name w:val="heading 2"/>
    <w:uiPriority w:val="9"/>
    <w:semiHidden/>
    <w:unhideWhenUsed/>
    <w:qFormat/>
    <w:rsid w:val="00F77A44"/>
    <w:pPr>
      <w:spacing w:line="360" w:lineRule="auto"/>
      <w:jc w:val="both"/>
      <w:outlineLvl w:val="1"/>
    </w:pPr>
    <w:rPr>
      <w:color w:val="2F5496" w:themeColor="accent1" w:themeShade="BF"/>
      <w:sz w:val="28"/>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Emphasis">
    <w:name w:val="Emphasis"/>
    <w:basedOn w:val="DefaultParagraphFont"/>
    <w:uiPriority w:val="20"/>
    <w:qFormat/>
    <w:rsid w:val="004C3229"/>
    <w:rPr>
      <w:i/>
      <w:iCs/>
    </w:rPr>
  </w:style>
  <w:style w:type="character" w:styleId="Strong">
    <w:name w:val="Strong"/>
    <w:basedOn w:val="DefaultParagraphFont"/>
    <w:uiPriority w:val="22"/>
    <w:qFormat/>
    <w:rsid w:val="004C3229"/>
    <w:rPr>
      <w:b/>
      <w:bCs/>
    </w:rPr>
  </w:style>
  <w:style w:type="character" w:customStyle="1" w:styleId="contents">
    <w:name w:val="contents"/>
    <w:basedOn w:val="DefaultParagraphFont"/>
    <w:rsid w:val="004C3229"/>
  </w:style>
  <w:style w:type="character" w:styleId="UnresolvedMention">
    <w:name w:val="Unresolved Mention"/>
    <w:basedOn w:val="DefaultParagraphFont"/>
    <w:uiPriority w:val="99"/>
    <w:semiHidden/>
    <w:unhideWhenUsed/>
    <w:rsid w:val="004C3229"/>
    <w:rPr>
      <w:color w:val="605E5C"/>
      <w:shd w:val="clear" w:color="auto" w:fill="E1DFDD"/>
    </w:rPr>
  </w:style>
  <w:style w:type="paragraph" w:customStyle="1" w:styleId="pdq2pgselectionanchorcontainer">
    <w:name w:val="pdq2pg_selectionanchorcontainer"/>
    <w:basedOn w:val="Normal"/>
    <w:rsid w:val="00F77A44"/>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F77A44"/>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41014F"/>
    <w:pPr>
      <w:tabs>
        <w:tab w:val="center" w:pos="4680"/>
        <w:tab w:val="right" w:pos="9360"/>
      </w:tabs>
      <w:spacing w:line="240" w:lineRule="auto"/>
    </w:pPr>
  </w:style>
  <w:style w:type="character" w:customStyle="1" w:styleId="HeaderChar">
    <w:name w:val="Header Char"/>
    <w:basedOn w:val="DefaultParagraphFont"/>
    <w:link w:val="Header"/>
    <w:uiPriority w:val="99"/>
    <w:rsid w:val="0041014F"/>
  </w:style>
  <w:style w:type="paragraph" w:styleId="Footer">
    <w:name w:val="footer"/>
    <w:basedOn w:val="Normal"/>
    <w:link w:val="FooterChar"/>
    <w:uiPriority w:val="99"/>
    <w:unhideWhenUsed/>
    <w:rsid w:val="0041014F"/>
    <w:pPr>
      <w:tabs>
        <w:tab w:val="center" w:pos="4680"/>
        <w:tab w:val="right" w:pos="9360"/>
      </w:tabs>
      <w:spacing w:line="240" w:lineRule="auto"/>
    </w:pPr>
  </w:style>
  <w:style w:type="character" w:customStyle="1" w:styleId="FooterChar">
    <w:name w:val="Footer Char"/>
    <w:basedOn w:val="DefaultParagraphFont"/>
    <w:link w:val="Footer"/>
    <w:uiPriority w:val="99"/>
    <w:rsid w:val="004101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805930">
      <w:bodyDiv w:val="1"/>
      <w:marLeft w:val="0"/>
      <w:marRight w:val="0"/>
      <w:marTop w:val="0"/>
      <w:marBottom w:val="0"/>
      <w:divBdr>
        <w:top w:val="none" w:sz="0" w:space="0" w:color="auto"/>
        <w:left w:val="none" w:sz="0" w:space="0" w:color="auto"/>
        <w:bottom w:val="none" w:sz="0" w:space="0" w:color="auto"/>
        <w:right w:val="none" w:sz="0" w:space="0" w:color="auto"/>
      </w:divBdr>
    </w:div>
    <w:div w:id="21174835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687599.2023.2295799?utm_source=chatgpt.com" TargetMode="External"/><Relationship Id="rId13" Type="http://schemas.openxmlformats.org/officeDocument/2006/relationships/hyperlink" Target="https://www.researchgate.net/publication/363294585_DISABILITY_OR_ABILITY_SOCIAL_AND_MEDICAL_MODEL_OF_DISABILITY_MODELS_OF_DISABILITIES?utm_source=chatgpt.com" TargetMode="External"/><Relationship Id="rId18" Type="http://schemas.openxmlformats.org/officeDocument/2006/relationships/hyperlink" Target="https://doi.org/10.3389/fphar.2022.979788?utm_source=chatgpt.com"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eprints.nottingham.ac.uk/view/people/Watson%3D3ADanielle_Abigail_Madeline%3D3A%3D3A.html?utm_source=chatgpt.com" TargetMode="External"/><Relationship Id="rId7" Type="http://schemas.openxmlformats.org/officeDocument/2006/relationships/image" Target="media/image1.jpg"/><Relationship Id="rId12" Type="http://schemas.openxmlformats.org/officeDocument/2006/relationships/hyperlink" Target="https://doi.org/10.26444/aaem/215980" TargetMode="External"/><Relationship Id="rId17" Type="http://schemas.openxmlformats.org/officeDocument/2006/relationships/hyperlink" Target="https://doi.org/10.37510/godzbo25781557rc"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80/01425692.2024.2334272?utm_source=chatgpt.com" TargetMode="External"/><Relationship Id="rId20" Type="http://schemas.openxmlformats.org/officeDocument/2006/relationships/hyperlink" Target="https://doi.org/10.4337/9781839104756.0003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3169/intljofdissocjus.5.3.0004"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universidadazteca.academia.edu/VINCENTMACMBINJI?utm_source=chatgpt.com" TargetMode="External"/><Relationship Id="rId23" Type="http://schemas.openxmlformats.org/officeDocument/2006/relationships/header" Target="header1.xml"/><Relationship Id="rId10" Type="http://schemas.openxmlformats.org/officeDocument/2006/relationships/hyperlink" Target="https://doi.org/10.21427/kavf-4p65" TargetMode="External"/><Relationship Id="rId19" Type="http://schemas.openxmlformats.org/officeDocument/2006/relationships/hyperlink" Target="https://doi.org/10.1093/oxfordhb/9780190093167.013.1" TargetMode="External"/><Relationship Id="rId4" Type="http://schemas.openxmlformats.org/officeDocument/2006/relationships/webSettings" Target="webSettings.xml"/><Relationship Id="rId9" Type="http://schemas.openxmlformats.org/officeDocument/2006/relationships/hyperlink" Target="https://doi.org/10.1093/bjsw/bcad033?utm_source=chatgpt.com" TargetMode="External"/><Relationship Id="rId14" Type="http://schemas.openxmlformats.org/officeDocument/2006/relationships/hyperlink" Target="https://doi.org/10.4337/9781839103698.00015" TargetMode="External"/><Relationship Id="rId22" Type="http://schemas.openxmlformats.org/officeDocument/2006/relationships/hyperlink" Target="https://doi.org/10.1080/09687599.2023.2255926?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2979</Words>
  <Characters>16986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2026-08-20T11:05:00Z</dcterms:created>
  <dcterms:modified xsi:type="dcterms:W3CDTF">2026-08-20T11:05:00Z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f2785668-0a2f-48f0-9e1c-cc447db5809d</vt:lpwstr>
  </property>
</Properties>
</file>