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9EF81" w14:textId="77777777" w:rsidR="00A23D6D" w:rsidRPr="00487F1F" w:rsidRDefault="00A23D6D" w:rsidP="00487F1F">
      <w:pPr>
        <w:spacing w:line="360" w:lineRule="auto"/>
        <w:jc w:val="both"/>
        <w:rPr>
          <w:rFonts w:ascii="Arial" w:hAnsi="Arial" w:cs="Arial"/>
          <w:sz w:val="22"/>
          <w:szCs w:val="22"/>
        </w:rPr>
      </w:pPr>
    </w:p>
    <w:p w14:paraId="6115DE69" w14:textId="77777777" w:rsidR="00A23D6D" w:rsidRPr="00487F1F" w:rsidRDefault="00A23D6D" w:rsidP="00487F1F">
      <w:pPr>
        <w:spacing w:line="360" w:lineRule="auto"/>
        <w:jc w:val="both"/>
        <w:rPr>
          <w:rFonts w:ascii="Arial" w:hAnsi="Arial" w:cs="Arial"/>
          <w:sz w:val="22"/>
          <w:szCs w:val="22"/>
        </w:rPr>
      </w:pPr>
    </w:p>
    <w:p w14:paraId="1F025BFB" w14:textId="77777777" w:rsidR="00A23D6D" w:rsidRPr="00487F1F" w:rsidRDefault="00A23D6D" w:rsidP="00487F1F">
      <w:pPr>
        <w:spacing w:line="360" w:lineRule="auto"/>
        <w:jc w:val="both"/>
        <w:rPr>
          <w:rFonts w:ascii="Arial" w:hAnsi="Arial" w:cs="Arial"/>
          <w:sz w:val="22"/>
          <w:szCs w:val="22"/>
        </w:rPr>
      </w:pPr>
    </w:p>
    <w:p w14:paraId="7155510B" w14:textId="77777777" w:rsidR="00A23D6D" w:rsidRPr="00487F1F" w:rsidRDefault="00A23D6D" w:rsidP="00C43296">
      <w:pPr>
        <w:spacing w:line="360" w:lineRule="auto"/>
        <w:jc w:val="center"/>
        <w:rPr>
          <w:rFonts w:ascii="Arial" w:hAnsi="Arial" w:cs="Arial"/>
          <w:sz w:val="22"/>
          <w:szCs w:val="22"/>
        </w:rPr>
      </w:pPr>
    </w:p>
    <w:p w14:paraId="71130E1A" w14:textId="37EDEC74" w:rsidR="00A23D6D" w:rsidRPr="00AB0293" w:rsidRDefault="00AB0293" w:rsidP="00C43296">
      <w:pPr>
        <w:spacing w:line="360" w:lineRule="auto"/>
        <w:jc w:val="center"/>
        <w:rPr>
          <w:rFonts w:ascii="Times New Roman" w:hAnsi="Times New Roman" w:cs="Times New Roman"/>
          <w:sz w:val="52"/>
          <w:szCs w:val="52"/>
        </w:rPr>
      </w:pPr>
      <w:r w:rsidRPr="00AB0293">
        <w:rPr>
          <w:rFonts w:ascii="Times New Roman" w:hAnsi="Times New Roman" w:cs="Times New Roman"/>
          <w:b/>
          <w:bCs/>
          <w:sz w:val="52"/>
          <w:szCs w:val="52"/>
        </w:rPr>
        <w:t xml:space="preserve">Student Name: </w:t>
      </w:r>
      <w:r w:rsidR="00672EF9" w:rsidRPr="00AB0293">
        <w:rPr>
          <w:rFonts w:ascii="Times New Roman" w:hAnsi="Times New Roman" w:cs="Times New Roman"/>
          <w:sz w:val="52"/>
          <w:szCs w:val="52"/>
        </w:rPr>
        <w:t>Nahida Akhtar</w:t>
      </w:r>
    </w:p>
    <w:p w14:paraId="0310E613" w14:textId="14999E1D" w:rsidR="00A23D6D" w:rsidRPr="00AB0293" w:rsidRDefault="00AB0293" w:rsidP="00C43296">
      <w:pPr>
        <w:spacing w:line="360" w:lineRule="auto"/>
        <w:jc w:val="center"/>
        <w:rPr>
          <w:rFonts w:ascii="Times New Roman" w:hAnsi="Times New Roman" w:cs="Times New Roman"/>
          <w:b/>
          <w:bCs/>
          <w:sz w:val="52"/>
          <w:szCs w:val="52"/>
        </w:rPr>
      </w:pPr>
      <w:r w:rsidRPr="00AB0293">
        <w:rPr>
          <w:rFonts w:ascii="Times New Roman" w:hAnsi="Times New Roman" w:cs="Times New Roman"/>
          <w:b/>
          <w:bCs/>
          <w:sz w:val="52"/>
          <w:szCs w:val="52"/>
        </w:rPr>
        <w:t>Student ID:</w:t>
      </w:r>
      <w:r>
        <w:rPr>
          <w:rFonts w:ascii="Times New Roman" w:hAnsi="Times New Roman" w:cs="Times New Roman"/>
          <w:b/>
          <w:bCs/>
          <w:sz w:val="52"/>
          <w:szCs w:val="52"/>
        </w:rPr>
        <w:t xml:space="preserve"> </w:t>
      </w:r>
      <w:r w:rsidR="00672EF9" w:rsidRPr="00AB0293">
        <w:rPr>
          <w:rFonts w:ascii="Times New Roman" w:hAnsi="Times New Roman" w:cs="Times New Roman"/>
          <w:sz w:val="52"/>
          <w:szCs w:val="52"/>
        </w:rPr>
        <w:t>240</w:t>
      </w:r>
      <w:r w:rsidR="006E6669" w:rsidRPr="00AB0293">
        <w:rPr>
          <w:rFonts w:ascii="Times New Roman" w:hAnsi="Times New Roman" w:cs="Times New Roman"/>
          <w:sz w:val="52"/>
          <w:szCs w:val="52"/>
        </w:rPr>
        <w:t>7149</w:t>
      </w:r>
    </w:p>
    <w:p w14:paraId="7DC6F682" w14:textId="1778CE5D" w:rsidR="003B4A59" w:rsidRPr="00AB0293" w:rsidRDefault="003B4A59" w:rsidP="00C43296">
      <w:pPr>
        <w:spacing w:line="360" w:lineRule="auto"/>
        <w:jc w:val="center"/>
        <w:rPr>
          <w:rFonts w:ascii="Times New Roman" w:hAnsi="Times New Roman" w:cs="Times New Roman"/>
          <w:sz w:val="52"/>
          <w:szCs w:val="52"/>
        </w:rPr>
      </w:pPr>
      <w:r w:rsidRPr="00AB0293">
        <w:rPr>
          <w:rFonts w:ascii="Times New Roman" w:hAnsi="Times New Roman" w:cs="Times New Roman"/>
          <w:b/>
          <w:bCs/>
          <w:sz w:val="52"/>
          <w:szCs w:val="52"/>
        </w:rPr>
        <w:t>Module</w:t>
      </w:r>
      <w:r w:rsidR="00AB0293" w:rsidRPr="00AB0293">
        <w:rPr>
          <w:rFonts w:ascii="Times New Roman" w:hAnsi="Times New Roman" w:cs="Times New Roman"/>
          <w:b/>
          <w:bCs/>
          <w:sz w:val="52"/>
          <w:szCs w:val="52"/>
        </w:rPr>
        <w:t xml:space="preserve"> Title</w:t>
      </w:r>
      <w:r w:rsidRPr="00AB0293">
        <w:rPr>
          <w:rFonts w:ascii="Times New Roman" w:hAnsi="Times New Roman" w:cs="Times New Roman"/>
          <w:b/>
          <w:bCs/>
          <w:sz w:val="52"/>
          <w:szCs w:val="52"/>
        </w:rPr>
        <w:t xml:space="preserve">: </w:t>
      </w:r>
      <w:r w:rsidR="00563EFA" w:rsidRPr="00AB0293">
        <w:rPr>
          <w:rFonts w:ascii="Times New Roman" w:hAnsi="Times New Roman" w:cs="Times New Roman"/>
          <w:sz w:val="52"/>
          <w:szCs w:val="52"/>
        </w:rPr>
        <w:t>Introduction to Physiology</w:t>
      </w:r>
    </w:p>
    <w:p w14:paraId="14C0A120" w14:textId="77777777" w:rsidR="00A521F9" w:rsidRPr="00AB0293" w:rsidRDefault="00A23D6D" w:rsidP="00C43296">
      <w:pPr>
        <w:spacing w:line="360" w:lineRule="auto"/>
        <w:jc w:val="center"/>
        <w:rPr>
          <w:rFonts w:ascii="Times New Roman" w:hAnsi="Times New Roman" w:cs="Times New Roman"/>
          <w:b/>
          <w:bCs/>
          <w:sz w:val="52"/>
          <w:szCs w:val="52"/>
        </w:rPr>
      </w:pPr>
      <w:r w:rsidRPr="00AB0293">
        <w:rPr>
          <w:rFonts w:ascii="Times New Roman" w:hAnsi="Times New Roman" w:cs="Times New Roman"/>
          <w:b/>
          <w:bCs/>
          <w:sz w:val="52"/>
          <w:szCs w:val="52"/>
        </w:rPr>
        <w:t>Module Code</w:t>
      </w:r>
      <w:r w:rsidR="00815084" w:rsidRPr="00AB0293">
        <w:rPr>
          <w:rFonts w:ascii="Times New Roman" w:hAnsi="Times New Roman" w:cs="Times New Roman"/>
          <w:b/>
          <w:bCs/>
          <w:sz w:val="52"/>
          <w:szCs w:val="52"/>
        </w:rPr>
        <w:t xml:space="preserve">: </w:t>
      </w:r>
      <w:r w:rsidR="003B1641" w:rsidRPr="00AB0293">
        <w:rPr>
          <w:rFonts w:ascii="Times New Roman" w:hAnsi="Times New Roman" w:cs="Times New Roman"/>
          <w:sz w:val="52"/>
          <w:szCs w:val="52"/>
        </w:rPr>
        <w:t>BMHP5023</w:t>
      </w:r>
      <w:r w:rsidRPr="00AB0293">
        <w:rPr>
          <w:rFonts w:ascii="Times New Roman" w:hAnsi="Times New Roman" w:cs="Times New Roman"/>
          <w:sz w:val="52"/>
          <w:szCs w:val="52"/>
        </w:rPr>
        <w:t xml:space="preserve"> </w:t>
      </w:r>
    </w:p>
    <w:p w14:paraId="7D27949F" w14:textId="77777777" w:rsidR="00A521F9" w:rsidRPr="00AB0293" w:rsidRDefault="00A23D6D" w:rsidP="00A521F9">
      <w:pPr>
        <w:spacing w:line="360" w:lineRule="auto"/>
        <w:jc w:val="center"/>
        <w:rPr>
          <w:rFonts w:ascii="Times New Roman" w:hAnsi="Times New Roman" w:cs="Times New Roman"/>
          <w:sz w:val="52"/>
          <w:szCs w:val="52"/>
        </w:rPr>
      </w:pPr>
      <w:r w:rsidRPr="00AB0293">
        <w:rPr>
          <w:rFonts w:ascii="Times New Roman" w:hAnsi="Times New Roman" w:cs="Times New Roman"/>
          <w:b/>
          <w:bCs/>
          <w:sz w:val="52"/>
          <w:szCs w:val="52"/>
        </w:rPr>
        <w:t>Title</w:t>
      </w:r>
      <w:r w:rsidR="00A521F9" w:rsidRPr="00AB0293">
        <w:rPr>
          <w:rFonts w:ascii="Times New Roman" w:hAnsi="Times New Roman" w:cs="Times New Roman"/>
          <w:b/>
          <w:bCs/>
          <w:sz w:val="52"/>
          <w:szCs w:val="52"/>
        </w:rPr>
        <w:t xml:space="preserve">: A Case Study Report: </w:t>
      </w:r>
      <w:r w:rsidR="00A521F9" w:rsidRPr="00AB0293">
        <w:rPr>
          <w:rFonts w:ascii="Times New Roman" w:hAnsi="Times New Roman" w:cs="Times New Roman"/>
          <w:sz w:val="52"/>
          <w:szCs w:val="52"/>
        </w:rPr>
        <w:t>Supporting Patients with Type 2 Diabetes in Primary Care</w:t>
      </w:r>
    </w:p>
    <w:p w14:paraId="51EA2DC8" w14:textId="77777777" w:rsidR="00B44CE9" w:rsidRPr="00AB0293" w:rsidRDefault="00B44CE9" w:rsidP="00B44CE9">
      <w:pPr>
        <w:spacing w:line="360" w:lineRule="auto"/>
        <w:jc w:val="center"/>
        <w:rPr>
          <w:rFonts w:ascii="Times New Roman" w:hAnsi="Times New Roman" w:cs="Times New Roman"/>
          <w:b/>
          <w:bCs/>
          <w:sz w:val="52"/>
          <w:szCs w:val="52"/>
        </w:rPr>
      </w:pPr>
      <w:r w:rsidRPr="00AB0293">
        <w:rPr>
          <w:rFonts w:ascii="Times New Roman" w:hAnsi="Times New Roman" w:cs="Times New Roman"/>
          <w:b/>
          <w:bCs/>
          <w:sz w:val="52"/>
          <w:szCs w:val="52"/>
        </w:rPr>
        <w:t xml:space="preserve">Lecturer: </w:t>
      </w:r>
      <w:r w:rsidRPr="00AB0293">
        <w:rPr>
          <w:rFonts w:ascii="Times New Roman" w:hAnsi="Times New Roman" w:cs="Times New Roman"/>
          <w:sz w:val="52"/>
          <w:szCs w:val="52"/>
        </w:rPr>
        <w:t>Robert Nartowski</w:t>
      </w:r>
    </w:p>
    <w:p w14:paraId="3A57064C" w14:textId="13BBBEF5" w:rsidR="00A23D6D" w:rsidRPr="00AB0293" w:rsidRDefault="00193FFB" w:rsidP="00C43296">
      <w:pPr>
        <w:spacing w:line="360" w:lineRule="auto"/>
        <w:jc w:val="center"/>
        <w:rPr>
          <w:rFonts w:ascii="Times New Roman" w:hAnsi="Times New Roman" w:cs="Times New Roman"/>
          <w:sz w:val="52"/>
          <w:szCs w:val="52"/>
        </w:rPr>
      </w:pPr>
      <w:r w:rsidRPr="00AB0293">
        <w:rPr>
          <w:rFonts w:ascii="Times New Roman" w:hAnsi="Times New Roman" w:cs="Times New Roman"/>
          <w:b/>
          <w:bCs/>
          <w:sz w:val="52"/>
          <w:szCs w:val="52"/>
        </w:rPr>
        <w:t xml:space="preserve">Submission date: </w:t>
      </w:r>
      <w:r w:rsidR="00AB0293" w:rsidRPr="00AB0293">
        <w:rPr>
          <w:rFonts w:ascii="Times New Roman" w:hAnsi="Times New Roman" w:cs="Times New Roman"/>
          <w:sz w:val="52"/>
          <w:szCs w:val="52"/>
        </w:rPr>
        <w:t>Monday</w:t>
      </w:r>
      <w:r w:rsidR="00AB0293">
        <w:rPr>
          <w:rFonts w:ascii="Times New Roman" w:hAnsi="Times New Roman" w:cs="Times New Roman"/>
          <w:b/>
          <w:bCs/>
          <w:sz w:val="52"/>
          <w:szCs w:val="52"/>
        </w:rPr>
        <w:t xml:space="preserve"> </w:t>
      </w:r>
      <w:r w:rsidRPr="00AB0293">
        <w:rPr>
          <w:rFonts w:ascii="Times New Roman" w:hAnsi="Times New Roman" w:cs="Times New Roman"/>
          <w:sz w:val="52"/>
          <w:szCs w:val="52"/>
        </w:rPr>
        <w:t>23</w:t>
      </w:r>
      <w:r w:rsidRPr="00AB0293">
        <w:rPr>
          <w:rFonts w:ascii="Times New Roman" w:hAnsi="Times New Roman" w:cs="Times New Roman"/>
          <w:sz w:val="52"/>
          <w:szCs w:val="52"/>
          <w:vertAlign w:val="superscript"/>
        </w:rPr>
        <w:t>rd</w:t>
      </w:r>
      <w:r w:rsidRPr="00AB0293">
        <w:rPr>
          <w:rFonts w:ascii="Times New Roman" w:hAnsi="Times New Roman" w:cs="Times New Roman"/>
          <w:sz w:val="52"/>
          <w:szCs w:val="52"/>
        </w:rPr>
        <w:t xml:space="preserve"> February 2026</w:t>
      </w:r>
    </w:p>
    <w:p w14:paraId="37996F93" w14:textId="5BA29CD2" w:rsidR="00A23D6D" w:rsidRPr="00AB0293" w:rsidRDefault="00A23D6D" w:rsidP="00A521F9">
      <w:pPr>
        <w:spacing w:line="360" w:lineRule="auto"/>
        <w:rPr>
          <w:rFonts w:ascii="Times New Roman" w:hAnsi="Times New Roman" w:cs="Times New Roman"/>
          <w:b/>
          <w:bCs/>
          <w:sz w:val="52"/>
          <w:szCs w:val="52"/>
        </w:rPr>
      </w:pPr>
    </w:p>
    <w:p w14:paraId="145A1C58" w14:textId="77777777" w:rsidR="00A23D6D" w:rsidRPr="00A521F9" w:rsidRDefault="00A23D6D" w:rsidP="00487F1F">
      <w:pPr>
        <w:spacing w:line="360" w:lineRule="auto"/>
        <w:jc w:val="both"/>
        <w:rPr>
          <w:rFonts w:ascii="Arial" w:hAnsi="Arial" w:cs="Arial"/>
          <w:b/>
          <w:bCs/>
          <w:sz w:val="22"/>
          <w:szCs w:val="22"/>
        </w:rPr>
      </w:pPr>
      <w:r w:rsidRPr="00A521F9">
        <w:rPr>
          <w:rFonts w:ascii="Arial" w:hAnsi="Arial" w:cs="Arial"/>
          <w:b/>
          <w:bCs/>
          <w:sz w:val="22"/>
          <w:szCs w:val="22"/>
        </w:rPr>
        <w:br w:type="page"/>
      </w:r>
    </w:p>
    <w:p w14:paraId="2ECD413A" w14:textId="77777777" w:rsidR="00AB0293" w:rsidRDefault="00AB0293" w:rsidP="00AB0293">
      <w:pPr>
        <w:spacing w:line="360" w:lineRule="auto"/>
        <w:rPr>
          <w:rFonts w:ascii="Arial" w:hAnsi="Arial" w:cs="Arial"/>
          <w:b/>
          <w:sz w:val="22"/>
          <w:szCs w:val="22"/>
        </w:rPr>
      </w:pPr>
    </w:p>
    <w:p w14:paraId="2812D3D3"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b/>
          <w:bCs/>
          <w:sz w:val="44"/>
          <w:szCs w:val="44"/>
        </w:rPr>
      </w:pPr>
      <w:r w:rsidRPr="00AB0293">
        <w:rPr>
          <w:rFonts w:ascii="System Font" w:hAnsi="System Font" w:cs="System Font"/>
          <w:b/>
          <w:bCs/>
          <w:sz w:val="44"/>
          <w:szCs w:val="44"/>
        </w:rPr>
        <w:t>Contents</w:t>
      </w:r>
    </w:p>
    <w:p w14:paraId="75551DB1" w14:textId="0EA859BD" w:rsidR="00AB0293" w:rsidRPr="00AB0293" w:rsidRDefault="00AB0293" w:rsidP="00AB02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Introduction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2</w:t>
      </w:r>
    </w:p>
    <w:p w14:paraId="05CB420A"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400"/>
        <w:rPr>
          <w:rFonts w:ascii="System Font" w:hAnsi="System Font" w:cs="System Font"/>
          <w:sz w:val="44"/>
          <w:szCs w:val="44"/>
        </w:rPr>
      </w:pPr>
    </w:p>
    <w:p w14:paraId="5D60F98C" w14:textId="43F0D1AE" w:rsidR="00AB0293" w:rsidRPr="00AB0293" w:rsidRDefault="00AB0293" w:rsidP="00AB02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How Blood Glucose Levels Are Maintained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3</w:t>
      </w:r>
    </w:p>
    <w:p w14:paraId="628FD50D"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p>
    <w:p w14:paraId="6C525F6D" w14:textId="4E7790C7" w:rsidR="00AB0293" w:rsidRPr="00AB0293" w:rsidRDefault="00AB0293" w:rsidP="00AB02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Oxygen and Glucose in Energy Production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4</w:t>
      </w:r>
    </w:p>
    <w:p w14:paraId="4530890C"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p>
    <w:p w14:paraId="2F23C432" w14:textId="1FBABC7E" w:rsidR="00AB0293" w:rsidRPr="00AB0293" w:rsidRDefault="00AB0293" w:rsidP="00AB02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 xml:space="preserve">Recording and Tracking Blood Sugar Levels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5</w:t>
      </w:r>
    </w:p>
    <w:p w14:paraId="3BFD0EDE"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p>
    <w:p w14:paraId="0A2A85B6" w14:textId="32280E21" w:rsidR="00AB0293" w:rsidRPr="00AB0293" w:rsidRDefault="00AB0293" w:rsidP="00AB0293">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 xml:space="preserve">Lifestyle Changes and Evidence-Based Recommendations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6</w:t>
      </w:r>
    </w:p>
    <w:p w14:paraId="69CA7598" w14:textId="77777777" w:rsidR="00AB0293" w:rsidRPr="00AB0293" w:rsidRDefault="00AB0293" w:rsidP="00AB02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p>
    <w:p w14:paraId="2CABD901" w14:textId="77777777" w:rsidR="00315CCF" w:rsidRDefault="00AB0293" w:rsidP="00315CC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AB0293">
        <w:rPr>
          <w:rFonts w:ascii="System Font" w:hAnsi="System Font" w:cs="System Font"/>
          <w:sz w:val="44"/>
          <w:szCs w:val="44"/>
        </w:rPr>
        <w:t>Conclusion …………………………………………</w:t>
      </w:r>
      <w:proofErr w:type="gramStart"/>
      <w:r w:rsidRPr="00AB0293">
        <w:rPr>
          <w:rFonts w:ascii="System Font" w:hAnsi="System Font" w:cs="System Font"/>
          <w:sz w:val="44"/>
          <w:szCs w:val="44"/>
        </w:rPr>
        <w:t>…..</w:t>
      </w:r>
      <w:proofErr w:type="gramEnd"/>
      <w:r w:rsidRPr="00AB0293">
        <w:rPr>
          <w:rFonts w:ascii="System Font" w:hAnsi="System Font" w:cs="System Font"/>
          <w:sz w:val="44"/>
          <w:szCs w:val="44"/>
        </w:rPr>
        <w:t xml:space="preserve"> Page </w:t>
      </w:r>
      <w:r>
        <w:rPr>
          <w:rFonts w:ascii="System Font" w:hAnsi="System Font" w:cs="System Font"/>
          <w:sz w:val="44"/>
          <w:szCs w:val="44"/>
        </w:rPr>
        <w:t>7</w:t>
      </w:r>
    </w:p>
    <w:p w14:paraId="57B0B488" w14:textId="77777777" w:rsidR="00315CCF" w:rsidRPr="00315CCF" w:rsidRDefault="00315CCF" w:rsidP="00315CCF">
      <w:pPr>
        <w:pStyle w:val="ListParagraph"/>
        <w:rPr>
          <w:rFonts w:ascii="System Font" w:hAnsi="System Font" w:cs="System Font"/>
          <w:sz w:val="44"/>
          <w:szCs w:val="44"/>
        </w:rPr>
      </w:pPr>
    </w:p>
    <w:p w14:paraId="684E2DB9" w14:textId="20BFF6AF" w:rsidR="00AB0293" w:rsidRPr="00315CCF" w:rsidRDefault="00AB0293" w:rsidP="00315CC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System Font" w:hAnsi="System Font" w:cs="System Font"/>
          <w:sz w:val="44"/>
          <w:szCs w:val="44"/>
        </w:rPr>
      </w:pPr>
      <w:r w:rsidRPr="00315CCF">
        <w:rPr>
          <w:rFonts w:ascii="System Font" w:hAnsi="System Font" w:cs="System Font"/>
          <w:sz w:val="44"/>
          <w:szCs w:val="44"/>
        </w:rPr>
        <w:t>References …………………………………………</w:t>
      </w:r>
      <w:proofErr w:type="gramStart"/>
      <w:r w:rsidRPr="00315CCF">
        <w:rPr>
          <w:rFonts w:ascii="System Font" w:hAnsi="System Font" w:cs="System Font"/>
          <w:sz w:val="44"/>
          <w:szCs w:val="44"/>
        </w:rPr>
        <w:t>…..</w:t>
      </w:r>
      <w:proofErr w:type="gramEnd"/>
      <w:r w:rsidRPr="00315CCF">
        <w:rPr>
          <w:rFonts w:ascii="System Font" w:hAnsi="System Font" w:cs="System Font"/>
          <w:sz w:val="44"/>
          <w:szCs w:val="44"/>
        </w:rPr>
        <w:t xml:space="preserve"> Pages 8–9</w:t>
      </w:r>
    </w:p>
    <w:p w14:paraId="3359FEEE" w14:textId="77777777" w:rsidR="00AB0293" w:rsidRPr="00AB0293" w:rsidRDefault="00AB0293" w:rsidP="00487F1F">
      <w:pPr>
        <w:spacing w:line="360" w:lineRule="auto"/>
        <w:jc w:val="center"/>
        <w:rPr>
          <w:rFonts w:ascii="Arial" w:hAnsi="Arial" w:cs="Arial"/>
          <w:b/>
          <w:sz w:val="44"/>
          <w:szCs w:val="44"/>
        </w:rPr>
      </w:pPr>
    </w:p>
    <w:p w14:paraId="72E6647F" w14:textId="77777777" w:rsidR="00AB0293" w:rsidRDefault="00AB0293" w:rsidP="00487F1F">
      <w:pPr>
        <w:spacing w:line="360" w:lineRule="auto"/>
        <w:jc w:val="center"/>
        <w:rPr>
          <w:rFonts w:ascii="Arial" w:hAnsi="Arial" w:cs="Arial"/>
          <w:b/>
          <w:sz w:val="22"/>
          <w:szCs w:val="22"/>
        </w:rPr>
      </w:pPr>
    </w:p>
    <w:p w14:paraId="4CCDDD87" w14:textId="77777777" w:rsidR="00AB0293" w:rsidRDefault="00AB0293" w:rsidP="00AB0293">
      <w:pPr>
        <w:spacing w:line="360" w:lineRule="auto"/>
        <w:rPr>
          <w:rFonts w:ascii="Arial" w:hAnsi="Arial" w:cs="Arial"/>
          <w:b/>
          <w:sz w:val="22"/>
          <w:szCs w:val="22"/>
        </w:rPr>
      </w:pPr>
    </w:p>
    <w:p w14:paraId="5FFE0973" w14:textId="7BC4ED3B" w:rsidR="00A23D6D" w:rsidRPr="00487F1F" w:rsidRDefault="00A23D6D" w:rsidP="00AB0293">
      <w:pPr>
        <w:spacing w:line="360" w:lineRule="auto"/>
        <w:rPr>
          <w:rFonts w:ascii="Arial" w:hAnsi="Arial" w:cs="Arial"/>
          <w:b/>
          <w:sz w:val="22"/>
          <w:szCs w:val="22"/>
        </w:rPr>
      </w:pPr>
      <w:r w:rsidRPr="00487F1F">
        <w:rPr>
          <w:rFonts w:ascii="Arial" w:hAnsi="Arial" w:cs="Arial"/>
          <w:b/>
          <w:sz w:val="22"/>
          <w:szCs w:val="22"/>
        </w:rPr>
        <w:t>Supporting Patients with Type 2 Diabetes in Primary Care</w:t>
      </w:r>
    </w:p>
    <w:p w14:paraId="2FBD646F" w14:textId="77777777" w:rsidR="00356422" w:rsidRDefault="00A23D6D" w:rsidP="00487F1F">
      <w:pPr>
        <w:spacing w:line="360" w:lineRule="auto"/>
        <w:ind w:firstLine="720"/>
        <w:jc w:val="both"/>
        <w:rPr>
          <w:rFonts w:ascii="Arial" w:hAnsi="Arial" w:cs="Arial"/>
          <w:sz w:val="22"/>
          <w:szCs w:val="22"/>
        </w:rPr>
      </w:pPr>
      <w:r w:rsidRPr="00487F1F">
        <w:rPr>
          <w:rFonts w:ascii="Arial" w:hAnsi="Arial" w:cs="Arial"/>
          <w:sz w:val="22"/>
          <w:szCs w:val="22"/>
        </w:rPr>
        <w:t xml:space="preserve">In </w:t>
      </w:r>
      <w:r w:rsidR="00E80F1E" w:rsidRPr="00487F1F">
        <w:rPr>
          <w:rFonts w:ascii="Arial" w:hAnsi="Arial" w:cs="Arial"/>
          <w:sz w:val="22"/>
          <w:szCs w:val="22"/>
        </w:rPr>
        <w:t>recent years, there has been a noticeable increase in the prevalence of lifestyle diseases among the global population, a trend that has reshaped public health practices. Among these lifestyle diseases is Diabetes, which affects over 463 million people globally and is estimated to increase to over 700 million people in 2045 (</w:t>
      </w:r>
      <w:r w:rsidR="00E05C15" w:rsidRPr="00487F1F">
        <w:rPr>
          <w:rFonts w:ascii="Arial" w:hAnsi="Arial" w:cs="Arial"/>
          <w:sz w:val="22"/>
          <w:szCs w:val="22"/>
        </w:rPr>
        <w:t>Garg</w:t>
      </w:r>
      <w:r w:rsidR="00EE657D" w:rsidRPr="00487F1F">
        <w:rPr>
          <w:rFonts w:ascii="Arial" w:hAnsi="Arial" w:cs="Arial"/>
          <w:sz w:val="22"/>
          <w:szCs w:val="22"/>
        </w:rPr>
        <w:t>, 2025</w:t>
      </w:r>
      <w:r w:rsidR="00E80F1E" w:rsidRPr="00487F1F">
        <w:rPr>
          <w:rFonts w:ascii="Arial" w:hAnsi="Arial" w:cs="Arial"/>
          <w:sz w:val="22"/>
          <w:szCs w:val="22"/>
        </w:rPr>
        <w:t>). As a lifestyle disease, diabetes has significant implication</w:t>
      </w:r>
      <w:r w:rsidR="00294BC9">
        <w:rPr>
          <w:rFonts w:ascii="Arial" w:hAnsi="Arial" w:cs="Arial"/>
          <w:sz w:val="22"/>
          <w:szCs w:val="22"/>
        </w:rPr>
        <w:t xml:space="preserve">s for </w:t>
      </w:r>
      <w:r w:rsidR="00E80F1E" w:rsidRPr="00487F1F">
        <w:rPr>
          <w:rFonts w:ascii="Arial" w:hAnsi="Arial" w:cs="Arial"/>
          <w:sz w:val="22"/>
          <w:szCs w:val="22"/>
        </w:rPr>
        <w:t>people’s livelihood</w:t>
      </w:r>
      <w:r w:rsidR="00294BC9">
        <w:rPr>
          <w:rFonts w:ascii="Arial" w:hAnsi="Arial" w:cs="Arial"/>
          <w:sz w:val="22"/>
          <w:szCs w:val="22"/>
        </w:rPr>
        <w:t>,</w:t>
      </w:r>
      <w:r w:rsidR="00E80F1E" w:rsidRPr="00487F1F">
        <w:rPr>
          <w:rFonts w:ascii="Arial" w:hAnsi="Arial" w:cs="Arial"/>
          <w:sz w:val="22"/>
          <w:szCs w:val="22"/>
        </w:rPr>
        <w:t xml:space="preserve"> as it often leads to </w:t>
      </w:r>
      <w:r w:rsidR="00294BC9">
        <w:rPr>
          <w:rFonts w:ascii="Arial" w:hAnsi="Arial" w:cs="Arial"/>
          <w:sz w:val="22"/>
          <w:szCs w:val="22"/>
        </w:rPr>
        <w:t>substantial</w:t>
      </w:r>
      <w:r w:rsidR="00E80F1E" w:rsidRPr="00487F1F">
        <w:rPr>
          <w:rFonts w:ascii="Arial" w:hAnsi="Arial" w:cs="Arial"/>
          <w:sz w:val="22"/>
          <w:szCs w:val="22"/>
        </w:rPr>
        <w:t xml:space="preserve"> health</w:t>
      </w:r>
      <w:r w:rsidR="00294BC9">
        <w:rPr>
          <w:rFonts w:ascii="Arial" w:hAnsi="Arial" w:cs="Arial"/>
          <w:sz w:val="22"/>
          <w:szCs w:val="22"/>
        </w:rPr>
        <w:t>care</w:t>
      </w:r>
      <w:r w:rsidR="00E80F1E" w:rsidRPr="00487F1F">
        <w:rPr>
          <w:rFonts w:ascii="Arial" w:hAnsi="Arial" w:cs="Arial"/>
          <w:sz w:val="22"/>
          <w:szCs w:val="22"/>
        </w:rPr>
        <w:t xml:space="preserve"> </w:t>
      </w:r>
      <w:r w:rsidR="00294BC9">
        <w:rPr>
          <w:rFonts w:ascii="Arial" w:hAnsi="Arial" w:cs="Arial"/>
          <w:sz w:val="22"/>
          <w:szCs w:val="22"/>
        </w:rPr>
        <w:t>costs</w:t>
      </w:r>
      <w:r w:rsidR="00E80F1E" w:rsidRPr="00487F1F">
        <w:rPr>
          <w:rFonts w:ascii="Arial" w:hAnsi="Arial" w:cs="Arial"/>
          <w:sz w:val="22"/>
          <w:szCs w:val="22"/>
        </w:rPr>
        <w:t xml:space="preserve"> and millions of deaths. </w:t>
      </w:r>
      <w:proofErr w:type="spellStart"/>
      <w:r w:rsidR="00EE657D" w:rsidRPr="00487F1F">
        <w:rPr>
          <w:rFonts w:ascii="Arial" w:hAnsi="Arial" w:cs="Arial"/>
          <w:sz w:val="22"/>
          <w:szCs w:val="22"/>
        </w:rPr>
        <w:t>Papachristoforou</w:t>
      </w:r>
      <w:proofErr w:type="spellEnd"/>
      <w:r w:rsidR="00EE657D" w:rsidRPr="00487F1F">
        <w:rPr>
          <w:rFonts w:ascii="Arial" w:hAnsi="Arial" w:cs="Arial"/>
          <w:sz w:val="22"/>
          <w:szCs w:val="22"/>
        </w:rPr>
        <w:t xml:space="preserve"> et al. (2020) </w:t>
      </w:r>
      <w:r w:rsidR="00E80F1E" w:rsidRPr="00487F1F">
        <w:rPr>
          <w:rFonts w:ascii="Arial" w:hAnsi="Arial" w:cs="Arial"/>
          <w:sz w:val="22"/>
          <w:szCs w:val="22"/>
        </w:rPr>
        <w:t xml:space="preserve">define diabetes as a </w:t>
      </w:r>
      <w:r w:rsidR="00CD2126" w:rsidRPr="00487F1F">
        <w:rPr>
          <w:rFonts w:ascii="Arial" w:hAnsi="Arial" w:cs="Arial"/>
          <w:sz w:val="22"/>
          <w:szCs w:val="22"/>
        </w:rPr>
        <w:t xml:space="preserve">chronic metabolic </w:t>
      </w:r>
      <w:r w:rsidR="00E80F1E" w:rsidRPr="00487F1F">
        <w:rPr>
          <w:rFonts w:ascii="Arial" w:hAnsi="Arial" w:cs="Arial"/>
          <w:sz w:val="22"/>
          <w:szCs w:val="22"/>
        </w:rPr>
        <w:t>condition</w:t>
      </w:r>
      <w:r w:rsidR="00CD2126" w:rsidRPr="00487F1F">
        <w:rPr>
          <w:rFonts w:ascii="Arial" w:hAnsi="Arial" w:cs="Arial"/>
          <w:sz w:val="22"/>
          <w:szCs w:val="22"/>
        </w:rPr>
        <w:t xml:space="preserve"> </w:t>
      </w:r>
      <w:r w:rsidR="00356422">
        <w:rPr>
          <w:rFonts w:ascii="Arial" w:hAnsi="Arial" w:cs="Arial"/>
          <w:sz w:val="22"/>
          <w:szCs w:val="22"/>
        </w:rPr>
        <w:t xml:space="preserve">characterised by elevated level of </w:t>
      </w:r>
      <w:r w:rsidR="00CD2126" w:rsidRPr="00487F1F">
        <w:rPr>
          <w:rFonts w:ascii="Arial" w:hAnsi="Arial" w:cs="Arial"/>
          <w:sz w:val="22"/>
          <w:szCs w:val="22"/>
        </w:rPr>
        <w:t xml:space="preserve">blood sugar </w:t>
      </w:r>
      <w:r w:rsidR="00356422">
        <w:rPr>
          <w:rFonts w:ascii="Arial" w:hAnsi="Arial" w:cs="Arial"/>
          <w:sz w:val="22"/>
          <w:szCs w:val="22"/>
        </w:rPr>
        <w:t>(</w:t>
      </w:r>
      <w:r w:rsidR="00CD2126" w:rsidRPr="00487F1F">
        <w:rPr>
          <w:rFonts w:ascii="Arial" w:hAnsi="Arial" w:cs="Arial"/>
          <w:sz w:val="22"/>
          <w:szCs w:val="22"/>
        </w:rPr>
        <w:t>glucose</w:t>
      </w:r>
      <w:r w:rsidR="00356422">
        <w:rPr>
          <w:rFonts w:ascii="Arial" w:hAnsi="Arial" w:cs="Arial"/>
          <w:sz w:val="22"/>
          <w:szCs w:val="22"/>
        </w:rPr>
        <w:t xml:space="preserve">), also known as </w:t>
      </w:r>
      <w:r w:rsidR="00487F1F" w:rsidRPr="00487F1F">
        <w:rPr>
          <w:rFonts w:ascii="Arial" w:hAnsi="Arial" w:cs="Arial"/>
          <w:sz w:val="22"/>
          <w:szCs w:val="22"/>
        </w:rPr>
        <w:t>hyperglycaemia</w:t>
      </w:r>
      <w:r w:rsidR="00CD2126" w:rsidRPr="00487F1F">
        <w:rPr>
          <w:rFonts w:ascii="Arial" w:hAnsi="Arial" w:cs="Arial"/>
          <w:sz w:val="22"/>
          <w:szCs w:val="22"/>
        </w:rPr>
        <w:t xml:space="preserve">. </w:t>
      </w:r>
    </w:p>
    <w:p w14:paraId="0FC2C022" w14:textId="77777777" w:rsidR="00197C37" w:rsidRPr="00487F1F" w:rsidRDefault="00CD2126" w:rsidP="00487F1F">
      <w:pPr>
        <w:spacing w:line="360" w:lineRule="auto"/>
        <w:ind w:firstLine="720"/>
        <w:jc w:val="both"/>
        <w:rPr>
          <w:rFonts w:ascii="Arial" w:hAnsi="Arial" w:cs="Arial"/>
          <w:sz w:val="22"/>
          <w:szCs w:val="22"/>
        </w:rPr>
      </w:pPr>
      <w:r w:rsidRPr="00487F1F">
        <w:rPr>
          <w:rFonts w:ascii="Arial" w:hAnsi="Arial" w:cs="Arial"/>
          <w:sz w:val="22"/>
          <w:szCs w:val="22"/>
        </w:rPr>
        <w:t xml:space="preserve">These dangerous levels of blood </w:t>
      </w:r>
      <w:r w:rsidR="00356422">
        <w:rPr>
          <w:rFonts w:ascii="Arial" w:hAnsi="Arial" w:cs="Arial"/>
          <w:sz w:val="22"/>
          <w:szCs w:val="22"/>
        </w:rPr>
        <w:t>glucose may result from the pancreas failing to</w:t>
      </w:r>
      <w:r w:rsidRPr="00487F1F">
        <w:rPr>
          <w:rFonts w:ascii="Arial" w:hAnsi="Arial" w:cs="Arial"/>
          <w:sz w:val="22"/>
          <w:szCs w:val="22"/>
        </w:rPr>
        <w:t xml:space="preserve"> </w:t>
      </w:r>
      <w:r w:rsidR="00356422">
        <w:rPr>
          <w:rFonts w:ascii="Arial" w:hAnsi="Arial" w:cs="Arial"/>
          <w:sz w:val="22"/>
          <w:szCs w:val="22"/>
        </w:rPr>
        <w:t xml:space="preserve">produce sufficient insulin, producing no insulin at all, or the body failing to respond effectively to insulin. </w:t>
      </w:r>
      <w:r w:rsidR="00B25E97" w:rsidRPr="00487F1F">
        <w:rPr>
          <w:rFonts w:ascii="Arial" w:hAnsi="Arial" w:cs="Arial"/>
          <w:sz w:val="22"/>
          <w:szCs w:val="22"/>
        </w:rPr>
        <w:t>Depending on these conditions, diabetes can be broadly classified into either Type 1 diabetes or Type 2 diabetes. To begin with, Type 1 diabetes</w:t>
      </w:r>
      <w:r w:rsidR="00411CE0" w:rsidRPr="00487F1F">
        <w:rPr>
          <w:rFonts w:ascii="Arial" w:hAnsi="Arial" w:cs="Arial"/>
          <w:sz w:val="22"/>
          <w:szCs w:val="22"/>
        </w:rPr>
        <w:t xml:space="preserve"> </w:t>
      </w:r>
      <w:r w:rsidR="00B25E97" w:rsidRPr="00487F1F">
        <w:rPr>
          <w:rFonts w:ascii="Arial" w:hAnsi="Arial" w:cs="Arial"/>
          <w:sz w:val="22"/>
          <w:szCs w:val="22"/>
        </w:rPr>
        <w:t>(T1D)</w:t>
      </w:r>
      <w:r w:rsidR="00CC6739" w:rsidRPr="00487F1F">
        <w:rPr>
          <w:rFonts w:ascii="Arial" w:hAnsi="Arial" w:cs="Arial"/>
          <w:sz w:val="22"/>
          <w:szCs w:val="22"/>
        </w:rPr>
        <w:t xml:space="preserve">, </w:t>
      </w:r>
      <w:r w:rsidR="00B25E97" w:rsidRPr="00487F1F">
        <w:rPr>
          <w:rFonts w:ascii="Arial" w:hAnsi="Arial" w:cs="Arial"/>
          <w:sz w:val="22"/>
          <w:szCs w:val="22"/>
        </w:rPr>
        <w:t xml:space="preserve">prevalent among both adults and </w:t>
      </w:r>
      <w:r w:rsidR="00CC6739" w:rsidRPr="00487F1F">
        <w:rPr>
          <w:rFonts w:ascii="Arial" w:hAnsi="Arial" w:cs="Arial"/>
          <w:sz w:val="22"/>
          <w:szCs w:val="22"/>
        </w:rPr>
        <w:t xml:space="preserve">children, </w:t>
      </w:r>
      <w:r w:rsidR="00DB1480" w:rsidRPr="00487F1F">
        <w:rPr>
          <w:rFonts w:ascii="Arial" w:hAnsi="Arial" w:cs="Arial"/>
          <w:sz w:val="22"/>
          <w:szCs w:val="22"/>
        </w:rPr>
        <w:t>occurs when the pancreas stops producing insulin following the destruction of pancreatic beta cells or inactivity of these insulin-producing cells (</w:t>
      </w:r>
      <w:proofErr w:type="spellStart"/>
      <w:r w:rsidR="00EE657D" w:rsidRPr="00487F1F">
        <w:rPr>
          <w:rFonts w:ascii="Arial" w:hAnsi="Arial" w:cs="Arial"/>
          <w:sz w:val="22"/>
          <w:szCs w:val="22"/>
        </w:rPr>
        <w:t>Eizirik</w:t>
      </w:r>
      <w:proofErr w:type="spellEnd"/>
      <w:r w:rsidR="00EE657D" w:rsidRPr="00487F1F">
        <w:rPr>
          <w:rFonts w:ascii="Arial" w:hAnsi="Arial" w:cs="Arial"/>
          <w:sz w:val="22"/>
          <w:szCs w:val="22"/>
        </w:rPr>
        <w:t xml:space="preserve"> et al., 2023</w:t>
      </w:r>
      <w:r w:rsidR="00DB1480" w:rsidRPr="00487F1F">
        <w:rPr>
          <w:rFonts w:ascii="Arial" w:hAnsi="Arial" w:cs="Arial"/>
          <w:sz w:val="22"/>
          <w:szCs w:val="22"/>
        </w:rPr>
        <w:t xml:space="preserve">). On the other hand, Type 2 Diabetes (T2D), which affects adults, is caused by insulin resistance and relative insulin deficiency. </w:t>
      </w:r>
    </w:p>
    <w:p w14:paraId="3D51889B" w14:textId="77777777" w:rsidR="00A23D6D" w:rsidRPr="00487F1F" w:rsidRDefault="00197C37" w:rsidP="00487F1F">
      <w:pPr>
        <w:spacing w:line="360" w:lineRule="auto"/>
        <w:ind w:firstLine="720"/>
        <w:jc w:val="both"/>
        <w:rPr>
          <w:rFonts w:ascii="Arial" w:hAnsi="Arial" w:cs="Arial"/>
          <w:sz w:val="22"/>
          <w:szCs w:val="22"/>
        </w:rPr>
      </w:pPr>
      <w:r w:rsidRPr="00487F1F">
        <w:rPr>
          <w:rFonts w:ascii="Arial" w:hAnsi="Arial" w:cs="Arial"/>
          <w:sz w:val="22"/>
          <w:szCs w:val="22"/>
        </w:rPr>
        <w:t xml:space="preserve">According to the </w:t>
      </w:r>
      <w:proofErr w:type="spellStart"/>
      <w:r w:rsidRPr="00487F1F">
        <w:rPr>
          <w:rFonts w:ascii="Arial" w:hAnsi="Arial" w:cs="Arial"/>
          <w:sz w:val="22"/>
          <w:szCs w:val="22"/>
        </w:rPr>
        <w:t>Center</w:t>
      </w:r>
      <w:proofErr w:type="spellEnd"/>
      <w:r w:rsidRPr="00487F1F">
        <w:rPr>
          <w:rFonts w:ascii="Arial" w:hAnsi="Arial" w:cs="Arial"/>
          <w:sz w:val="22"/>
          <w:szCs w:val="22"/>
        </w:rPr>
        <w:t xml:space="preserve"> for Disease Control</w:t>
      </w:r>
      <w:r w:rsidR="00356422">
        <w:rPr>
          <w:rFonts w:ascii="Arial" w:hAnsi="Arial" w:cs="Arial"/>
          <w:sz w:val="22"/>
          <w:szCs w:val="22"/>
        </w:rPr>
        <w:t xml:space="preserve"> and Prevention</w:t>
      </w:r>
      <w:r w:rsidRPr="00487F1F">
        <w:rPr>
          <w:rFonts w:ascii="Arial" w:hAnsi="Arial" w:cs="Arial"/>
          <w:sz w:val="22"/>
          <w:szCs w:val="22"/>
        </w:rPr>
        <w:t xml:space="preserve"> (CDC), T2D is the most common type of diabetes, </w:t>
      </w:r>
      <w:r w:rsidR="00356422" w:rsidRPr="00487F1F">
        <w:rPr>
          <w:rFonts w:ascii="Arial" w:hAnsi="Arial" w:cs="Arial"/>
          <w:sz w:val="22"/>
          <w:szCs w:val="22"/>
        </w:rPr>
        <w:t>and its</w:t>
      </w:r>
      <w:r w:rsidRPr="00487F1F">
        <w:rPr>
          <w:rFonts w:ascii="Arial" w:hAnsi="Arial" w:cs="Arial"/>
          <w:sz w:val="22"/>
          <w:szCs w:val="22"/>
        </w:rPr>
        <w:t xml:space="preserve"> increas</w:t>
      </w:r>
      <w:r w:rsidR="00356422">
        <w:rPr>
          <w:rFonts w:ascii="Arial" w:hAnsi="Arial" w:cs="Arial"/>
          <w:sz w:val="22"/>
          <w:szCs w:val="22"/>
        </w:rPr>
        <w:t>ing</w:t>
      </w:r>
      <w:r w:rsidRPr="00487F1F">
        <w:rPr>
          <w:rFonts w:ascii="Arial" w:hAnsi="Arial" w:cs="Arial"/>
          <w:sz w:val="22"/>
          <w:szCs w:val="22"/>
        </w:rPr>
        <w:t xml:space="preserve"> prevalence raises significant public health</w:t>
      </w:r>
      <w:r w:rsidR="00356422">
        <w:rPr>
          <w:rFonts w:ascii="Arial" w:hAnsi="Arial" w:cs="Arial"/>
          <w:sz w:val="22"/>
          <w:szCs w:val="22"/>
        </w:rPr>
        <w:t xml:space="preserve"> concerns </w:t>
      </w:r>
      <w:r w:rsidR="00EE657D" w:rsidRPr="00487F1F">
        <w:rPr>
          <w:rFonts w:ascii="Arial" w:hAnsi="Arial" w:cs="Arial"/>
          <w:sz w:val="22"/>
          <w:szCs w:val="22"/>
        </w:rPr>
        <w:t>(Gruss et al., 2019)</w:t>
      </w:r>
      <w:r w:rsidRPr="00487F1F">
        <w:rPr>
          <w:rFonts w:ascii="Arial" w:hAnsi="Arial" w:cs="Arial"/>
          <w:sz w:val="22"/>
          <w:szCs w:val="22"/>
        </w:rPr>
        <w:t xml:space="preserve">.  In </w:t>
      </w:r>
      <w:r w:rsidR="00356422">
        <w:rPr>
          <w:rFonts w:ascii="Arial" w:hAnsi="Arial" w:cs="Arial"/>
          <w:sz w:val="22"/>
          <w:szCs w:val="22"/>
        </w:rPr>
        <w:t xml:space="preserve">a </w:t>
      </w:r>
      <w:r w:rsidRPr="00487F1F">
        <w:rPr>
          <w:rFonts w:ascii="Arial" w:hAnsi="Arial" w:cs="Arial"/>
          <w:sz w:val="22"/>
          <w:szCs w:val="22"/>
        </w:rPr>
        <w:t xml:space="preserve">bid to combat this chronic disease, researchers have adopted </w:t>
      </w:r>
      <w:r w:rsidR="00FF7DDD" w:rsidRPr="00487F1F">
        <w:rPr>
          <w:rFonts w:ascii="Arial" w:hAnsi="Arial" w:cs="Arial"/>
          <w:sz w:val="22"/>
          <w:szCs w:val="22"/>
        </w:rPr>
        <w:t>evidence-based</w:t>
      </w:r>
      <w:r w:rsidRPr="00487F1F">
        <w:rPr>
          <w:rFonts w:ascii="Arial" w:hAnsi="Arial" w:cs="Arial"/>
          <w:sz w:val="22"/>
          <w:szCs w:val="22"/>
        </w:rPr>
        <w:t xml:space="preserve"> approach</w:t>
      </w:r>
      <w:r w:rsidR="00356422">
        <w:rPr>
          <w:rFonts w:ascii="Arial" w:hAnsi="Arial" w:cs="Arial"/>
          <w:sz w:val="22"/>
          <w:szCs w:val="22"/>
        </w:rPr>
        <w:t xml:space="preserve">es </w:t>
      </w:r>
      <w:r w:rsidRPr="00487F1F">
        <w:rPr>
          <w:rFonts w:ascii="Arial" w:hAnsi="Arial" w:cs="Arial"/>
          <w:sz w:val="22"/>
          <w:szCs w:val="22"/>
        </w:rPr>
        <w:t>that demystifies the</w:t>
      </w:r>
      <w:r w:rsidR="00FF7DDD" w:rsidRPr="00487F1F">
        <w:rPr>
          <w:rFonts w:ascii="Arial" w:hAnsi="Arial" w:cs="Arial"/>
          <w:sz w:val="22"/>
          <w:szCs w:val="22"/>
        </w:rPr>
        <w:t xml:space="preserve"> risk factors, management, and causes of T2D. For instance, </w:t>
      </w:r>
      <w:proofErr w:type="spellStart"/>
      <w:r w:rsidR="00EE657D" w:rsidRPr="00487F1F">
        <w:rPr>
          <w:rFonts w:ascii="Arial" w:hAnsi="Arial" w:cs="Arial"/>
          <w:sz w:val="22"/>
          <w:szCs w:val="22"/>
        </w:rPr>
        <w:t>Alrashed</w:t>
      </w:r>
      <w:proofErr w:type="spellEnd"/>
      <w:r w:rsidR="00EE657D" w:rsidRPr="00487F1F">
        <w:rPr>
          <w:rFonts w:ascii="Arial" w:hAnsi="Arial" w:cs="Arial"/>
          <w:sz w:val="22"/>
          <w:szCs w:val="22"/>
        </w:rPr>
        <w:t xml:space="preserve"> et al. (2024</w:t>
      </w:r>
      <w:r w:rsidR="00FF7DDD" w:rsidRPr="00487F1F">
        <w:rPr>
          <w:rFonts w:ascii="Arial" w:hAnsi="Arial" w:cs="Arial"/>
          <w:sz w:val="22"/>
          <w:szCs w:val="22"/>
        </w:rPr>
        <w:t xml:space="preserve">) highlight that the main risk factors of T2D include obesity, physical inactivity, advancing age, family history, dietary habits, and smoking. These risk factors play a critical role in influencing glucose metabolism </w:t>
      </w:r>
      <w:r w:rsidR="00356422">
        <w:rPr>
          <w:rFonts w:ascii="Arial" w:hAnsi="Arial" w:cs="Arial"/>
          <w:sz w:val="22"/>
          <w:szCs w:val="22"/>
        </w:rPr>
        <w:t xml:space="preserve">and insulin </w:t>
      </w:r>
      <w:r w:rsidR="00FF7DDD" w:rsidRPr="00487F1F">
        <w:rPr>
          <w:rFonts w:ascii="Arial" w:hAnsi="Arial" w:cs="Arial"/>
          <w:sz w:val="22"/>
          <w:szCs w:val="22"/>
        </w:rPr>
        <w:t>sensitivity</w:t>
      </w:r>
      <w:r w:rsidR="00356422">
        <w:rPr>
          <w:rFonts w:ascii="Arial" w:hAnsi="Arial" w:cs="Arial"/>
          <w:sz w:val="22"/>
          <w:szCs w:val="22"/>
        </w:rPr>
        <w:t>,</w:t>
      </w:r>
      <w:r w:rsidR="00FF7DDD" w:rsidRPr="00487F1F">
        <w:rPr>
          <w:rFonts w:ascii="Arial" w:hAnsi="Arial" w:cs="Arial"/>
          <w:sz w:val="22"/>
          <w:szCs w:val="22"/>
        </w:rPr>
        <w:t xml:space="preserve"> thereby leading to </w:t>
      </w:r>
      <w:r w:rsidR="00487F1F" w:rsidRPr="00487F1F">
        <w:rPr>
          <w:rFonts w:ascii="Arial" w:hAnsi="Arial" w:cs="Arial"/>
          <w:sz w:val="22"/>
          <w:szCs w:val="22"/>
        </w:rPr>
        <w:t>hyperglycaemia</w:t>
      </w:r>
      <w:r w:rsidR="00FF7DDD" w:rsidRPr="00487F1F">
        <w:rPr>
          <w:rFonts w:ascii="Arial" w:hAnsi="Arial" w:cs="Arial"/>
          <w:sz w:val="22"/>
          <w:szCs w:val="22"/>
        </w:rPr>
        <w:t>.</w:t>
      </w:r>
      <w:r w:rsidR="00356422">
        <w:rPr>
          <w:rFonts w:ascii="Arial" w:hAnsi="Arial" w:cs="Arial"/>
          <w:sz w:val="22"/>
          <w:szCs w:val="22"/>
        </w:rPr>
        <w:t xml:space="preserve"> I</w:t>
      </w:r>
      <w:r w:rsidR="00FF7DDD" w:rsidRPr="00487F1F">
        <w:rPr>
          <w:rFonts w:ascii="Arial" w:hAnsi="Arial" w:cs="Arial"/>
          <w:sz w:val="22"/>
          <w:szCs w:val="22"/>
        </w:rPr>
        <w:t>f</w:t>
      </w:r>
      <w:r w:rsidR="00356422">
        <w:rPr>
          <w:rFonts w:ascii="Arial" w:hAnsi="Arial" w:cs="Arial"/>
          <w:sz w:val="22"/>
          <w:szCs w:val="22"/>
        </w:rPr>
        <w:t xml:space="preserve"> left unmanaged,</w:t>
      </w:r>
      <w:r w:rsidR="00FF7DDD" w:rsidRPr="00487F1F">
        <w:rPr>
          <w:rFonts w:ascii="Arial" w:hAnsi="Arial" w:cs="Arial"/>
          <w:sz w:val="22"/>
          <w:szCs w:val="22"/>
        </w:rPr>
        <w:t xml:space="preserve"> chronic </w:t>
      </w:r>
      <w:r w:rsidR="00285835">
        <w:rPr>
          <w:rFonts w:ascii="Arial" w:hAnsi="Arial" w:cs="Arial"/>
          <w:sz w:val="22"/>
          <w:szCs w:val="22"/>
        </w:rPr>
        <w:t xml:space="preserve">hyperglycaemia can damage the nervous system and </w:t>
      </w:r>
      <w:r w:rsidR="00FF7DDD" w:rsidRPr="00487F1F">
        <w:rPr>
          <w:rFonts w:ascii="Arial" w:hAnsi="Arial" w:cs="Arial"/>
          <w:sz w:val="22"/>
          <w:szCs w:val="22"/>
        </w:rPr>
        <w:t xml:space="preserve">vital organs such as eyes the </w:t>
      </w:r>
      <w:proofErr w:type="gramStart"/>
      <w:r w:rsidR="00FF7DDD" w:rsidRPr="00487F1F">
        <w:rPr>
          <w:rFonts w:ascii="Arial" w:hAnsi="Arial" w:cs="Arial"/>
          <w:sz w:val="22"/>
          <w:szCs w:val="22"/>
        </w:rPr>
        <w:t>heart</w:t>
      </w:r>
      <w:r w:rsidR="00285835">
        <w:rPr>
          <w:rFonts w:ascii="Arial" w:hAnsi="Arial" w:cs="Arial"/>
          <w:sz w:val="22"/>
          <w:szCs w:val="22"/>
        </w:rPr>
        <w:t>,</w:t>
      </w:r>
      <w:r w:rsidR="00FF7DDD" w:rsidRPr="00487F1F">
        <w:rPr>
          <w:rFonts w:ascii="Arial" w:hAnsi="Arial" w:cs="Arial"/>
          <w:sz w:val="22"/>
          <w:szCs w:val="22"/>
        </w:rPr>
        <w:t xml:space="preserve"> and</w:t>
      </w:r>
      <w:proofErr w:type="gramEnd"/>
      <w:r w:rsidR="00FF7DDD" w:rsidRPr="00487F1F">
        <w:rPr>
          <w:rFonts w:ascii="Arial" w:hAnsi="Arial" w:cs="Arial"/>
          <w:sz w:val="22"/>
          <w:szCs w:val="22"/>
        </w:rPr>
        <w:t xml:space="preserve"> </w:t>
      </w:r>
      <w:r w:rsidR="00285835">
        <w:rPr>
          <w:rFonts w:ascii="Arial" w:hAnsi="Arial" w:cs="Arial"/>
          <w:sz w:val="22"/>
          <w:szCs w:val="22"/>
        </w:rPr>
        <w:t xml:space="preserve">can also impair vascular function. </w:t>
      </w:r>
    </w:p>
    <w:p w14:paraId="7BF27B3F" w14:textId="77777777" w:rsidR="00A23D6D" w:rsidRPr="00487F1F" w:rsidRDefault="00EA47CF" w:rsidP="00487F1F">
      <w:pPr>
        <w:spacing w:line="360" w:lineRule="auto"/>
        <w:ind w:firstLine="720"/>
        <w:jc w:val="both"/>
        <w:rPr>
          <w:rFonts w:ascii="Arial" w:hAnsi="Arial" w:cs="Arial"/>
          <w:sz w:val="22"/>
          <w:szCs w:val="22"/>
        </w:rPr>
      </w:pPr>
      <w:r w:rsidRPr="00487F1F">
        <w:rPr>
          <w:rFonts w:ascii="Arial" w:hAnsi="Arial" w:cs="Arial"/>
          <w:sz w:val="22"/>
          <w:szCs w:val="22"/>
        </w:rPr>
        <w:t xml:space="preserve">As a lifestyle disease, it is </w:t>
      </w:r>
      <w:r w:rsidR="00285835">
        <w:rPr>
          <w:rFonts w:ascii="Arial" w:hAnsi="Arial" w:cs="Arial"/>
          <w:sz w:val="22"/>
          <w:szCs w:val="22"/>
        </w:rPr>
        <w:t>essential that the</w:t>
      </w:r>
      <w:r w:rsidRPr="00487F1F">
        <w:rPr>
          <w:rFonts w:ascii="Arial" w:hAnsi="Arial" w:cs="Arial"/>
          <w:sz w:val="22"/>
          <w:szCs w:val="22"/>
        </w:rPr>
        <w:t xml:space="preserve"> population </w:t>
      </w:r>
      <w:r w:rsidR="00285835">
        <w:rPr>
          <w:rFonts w:ascii="Arial" w:hAnsi="Arial" w:cs="Arial"/>
          <w:sz w:val="22"/>
          <w:szCs w:val="22"/>
        </w:rPr>
        <w:t>is</w:t>
      </w:r>
      <w:r w:rsidRPr="00487F1F">
        <w:rPr>
          <w:rFonts w:ascii="Arial" w:hAnsi="Arial" w:cs="Arial"/>
          <w:sz w:val="22"/>
          <w:szCs w:val="22"/>
        </w:rPr>
        <w:t xml:space="preserve"> educated </w:t>
      </w:r>
      <w:r w:rsidR="00285835">
        <w:rPr>
          <w:rFonts w:ascii="Arial" w:hAnsi="Arial" w:cs="Arial"/>
          <w:sz w:val="22"/>
          <w:szCs w:val="22"/>
        </w:rPr>
        <w:t xml:space="preserve">about the </w:t>
      </w:r>
      <w:r w:rsidRPr="00487F1F">
        <w:rPr>
          <w:rFonts w:ascii="Arial" w:hAnsi="Arial" w:cs="Arial"/>
          <w:sz w:val="22"/>
          <w:szCs w:val="22"/>
        </w:rPr>
        <w:t xml:space="preserve">causes, risk factors, and management of T2D. </w:t>
      </w:r>
      <w:r w:rsidR="00285835">
        <w:rPr>
          <w:rFonts w:ascii="Arial" w:hAnsi="Arial" w:cs="Arial"/>
          <w:sz w:val="22"/>
          <w:szCs w:val="22"/>
        </w:rPr>
        <w:t xml:space="preserve"> N</w:t>
      </w:r>
      <w:r w:rsidRPr="00487F1F">
        <w:rPr>
          <w:rFonts w:ascii="Arial" w:hAnsi="Arial" w:cs="Arial"/>
          <w:sz w:val="22"/>
          <w:szCs w:val="22"/>
        </w:rPr>
        <w:t>urses play a critical role in demystifying these concepts to patients, enabl</w:t>
      </w:r>
      <w:r w:rsidR="00285835">
        <w:rPr>
          <w:rFonts w:ascii="Arial" w:hAnsi="Arial" w:cs="Arial"/>
          <w:sz w:val="22"/>
          <w:szCs w:val="22"/>
        </w:rPr>
        <w:t>ing</w:t>
      </w:r>
      <w:r w:rsidRPr="00487F1F">
        <w:rPr>
          <w:rFonts w:ascii="Arial" w:hAnsi="Arial" w:cs="Arial"/>
          <w:sz w:val="22"/>
          <w:szCs w:val="22"/>
        </w:rPr>
        <w:t xml:space="preserve"> them </w:t>
      </w:r>
      <w:r w:rsidR="00285835">
        <w:rPr>
          <w:rFonts w:ascii="Arial" w:hAnsi="Arial" w:cs="Arial"/>
          <w:sz w:val="22"/>
          <w:szCs w:val="22"/>
        </w:rPr>
        <w:t xml:space="preserve">to </w:t>
      </w:r>
      <w:r w:rsidRPr="00487F1F">
        <w:rPr>
          <w:rFonts w:ascii="Arial" w:hAnsi="Arial" w:cs="Arial"/>
          <w:sz w:val="22"/>
          <w:szCs w:val="22"/>
        </w:rPr>
        <w:t xml:space="preserve">better </w:t>
      </w:r>
      <w:r w:rsidR="006C5D84" w:rsidRPr="00487F1F">
        <w:rPr>
          <w:rFonts w:ascii="Arial" w:hAnsi="Arial" w:cs="Arial"/>
          <w:sz w:val="22"/>
          <w:szCs w:val="22"/>
        </w:rPr>
        <w:t>manage the condition. This include</w:t>
      </w:r>
      <w:r w:rsidR="00285835">
        <w:rPr>
          <w:rFonts w:ascii="Arial" w:hAnsi="Arial" w:cs="Arial"/>
          <w:sz w:val="22"/>
          <w:szCs w:val="22"/>
        </w:rPr>
        <w:t>s guidance on</w:t>
      </w:r>
      <w:r w:rsidR="006C5D84" w:rsidRPr="00487F1F">
        <w:rPr>
          <w:rFonts w:ascii="Arial" w:hAnsi="Arial" w:cs="Arial"/>
          <w:sz w:val="22"/>
          <w:szCs w:val="22"/>
        </w:rPr>
        <w:t xml:space="preserve"> dietary practices, </w:t>
      </w:r>
      <w:r w:rsidR="00285835">
        <w:rPr>
          <w:rFonts w:ascii="Arial" w:hAnsi="Arial" w:cs="Arial"/>
          <w:sz w:val="22"/>
          <w:szCs w:val="22"/>
        </w:rPr>
        <w:t>physical activity</w:t>
      </w:r>
      <w:r w:rsidR="006C5D84" w:rsidRPr="00487F1F">
        <w:rPr>
          <w:rFonts w:ascii="Arial" w:hAnsi="Arial" w:cs="Arial"/>
          <w:sz w:val="22"/>
          <w:szCs w:val="22"/>
        </w:rPr>
        <w:t xml:space="preserve">, genetic </w:t>
      </w:r>
      <w:r w:rsidR="00285835">
        <w:rPr>
          <w:rFonts w:ascii="Arial" w:hAnsi="Arial" w:cs="Arial"/>
          <w:sz w:val="22"/>
          <w:szCs w:val="22"/>
        </w:rPr>
        <w:t xml:space="preserve">predisposition, </w:t>
      </w:r>
      <w:r w:rsidR="006C5D84" w:rsidRPr="00487F1F">
        <w:rPr>
          <w:rFonts w:ascii="Arial" w:hAnsi="Arial" w:cs="Arial"/>
          <w:sz w:val="22"/>
          <w:szCs w:val="22"/>
        </w:rPr>
        <w:t>and general self-management</w:t>
      </w:r>
      <w:r w:rsidR="00285835">
        <w:rPr>
          <w:rFonts w:ascii="Arial" w:hAnsi="Arial" w:cs="Arial"/>
          <w:sz w:val="22"/>
          <w:szCs w:val="22"/>
        </w:rPr>
        <w:t xml:space="preserve"> strategies</w:t>
      </w:r>
      <w:r w:rsidR="006C5D84" w:rsidRPr="00487F1F">
        <w:rPr>
          <w:rFonts w:ascii="Arial" w:hAnsi="Arial" w:cs="Arial"/>
          <w:sz w:val="22"/>
          <w:szCs w:val="22"/>
        </w:rPr>
        <w:t>. Against this backdrop, this report examine</w:t>
      </w:r>
      <w:r w:rsidR="00285835">
        <w:rPr>
          <w:rFonts w:ascii="Arial" w:hAnsi="Arial" w:cs="Arial"/>
          <w:sz w:val="22"/>
          <w:szCs w:val="22"/>
        </w:rPr>
        <w:t>s</w:t>
      </w:r>
      <w:r w:rsidR="006C5D84" w:rsidRPr="00487F1F">
        <w:rPr>
          <w:rFonts w:ascii="Arial" w:hAnsi="Arial" w:cs="Arial"/>
          <w:sz w:val="22"/>
          <w:szCs w:val="22"/>
        </w:rPr>
        <w:t xml:space="preserve"> the physiological mechanisms involved in maintaining blood glucose homeostasis, explain how glucose and oxygen are utilised to produce energy, and explore</w:t>
      </w:r>
      <w:r w:rsidR="00285835">
        <w:rPr>
          <w:rFonts w:ascii="Arial" w:hAnsi="Arial" w:cs="Arial"/>
          <w:sz w:val="22"/>
          <w:szCs w:val="22"/>
        </w:rPr>
        <w:t>s</w:t>
      </w:r>
      <w:r w:rsidR="006C5D84" w:rsidRPr="00487F1F">
        <w:rPr>
          <w:rFonts w:ascii="Arial" w:hAnsi="Arial" w:cs="Arial"/>
          <w:sz w:val="22"/>
          <w:szCs w:val="22"/>
        </w:rPr>
        <w:t xml:space="preserve"> how monitoring blood glucose and implementing evidence-based lifestyle changes can improve outcomes for individuals with Type 2 diabetes.</w:t>
      </w:r>
    </w:p>
    <w:p w14:paraId="206F1108" w14:textId="77777777" w:rsidR="008F233B" w:rsidRDefault="008F233B" w:rsidP="00487F1F">
      <w:pPr>
        <w:spacing w:line="360" w:lineRule="auto"/>
        <w:jc w:val="both"/>
        <w:rPr>
          <w:rFonts w:ascii="Arial" w:hAnsi="Arial" w:cs="Arial"/>
          <w:b/>
          <w:sz w:val="22"/>
          <w:szCs w:val="22"/>
        </w:rPr>
      </w:pPr>
    </w:p>
    <w:p w14:paraId="5FED1E05" w14:textId="77777777" w:rsidR="008F233B" w:rsidRDefault="008F233B" w:rsidP="00487F1F">
      <w:pPr>
        <w:spacing w:line="360" w:lineRule="auto"/>
        <w:jc w:val="both"/>
        <w:rPr>
          <w:rFonts w:ascii="Arial" w:hAnsi="Arial" w:cs="Arial"/>
          <w:b/>
          <w:sz w:val="22"/>
          <w:szCs w:val="22"/>
        </w:rPr>
      </w:pPr>
    </w:p>
    <w:p w14:paraId="26A595E9" w14:textId="77777777" w:rsidR="00A23D6D" w:rsidRPr="00487F1F" w:rsidRDefault="00A23D6D" w:rsidP="00487F1F">
      <w:pPr>
        <w:spacing w:line="360" w:lineRule="auto"/>
        <w:jc w:val="both"/>
        <w:rPr>
          <w:rFonts w:ascii="Arial" w:hAnsi="Arial" w:cs="Arial"/>
          <w:sz w:val="22"/>
          <w:szCs w:val="22"/>
        </w:rPr>
      </w:pPr>
      <w:r w:rsidRPr="00487F1F">
        <w:rPr>
          <w:rFonts w:ascii="Arial" w:hAnsi="Arial" w:cs="Arial"/>
          <w:b/>
          <w:sz w:val="22"/>
          <w:szCs w:val="22"/>
        </w:rPr>
        <w:t>Regulation of Blood Glucose Levels</w:t>
      </w:r>
      <w:r w:rsidRPr="00487F1F">
        <w:rPr>
          <w:rFonts w:ascii="Arial" w:hAnsi="Arial" w:cs="Arial"/>
          <w:sz w:val="22"/>
          <w:szCs w:val="22"/>
        </w:rPr>
        <w:t xml:space="preserve"> </w:t>
      </w:r>
    </w:p>
    <w:p w14:paraId="3974DB4B" w14:textId="77777777" w:rsidR="00A23D6D" w:rsidRPr="00487F1F" w:rsidRDefault="002F449B" w:rsidP="00487F1F">
      <w:pPr>
        <w:spacing w:line="360" w:lineRule="auto"/>
        <w:ind w:firstLine="720"/>
        <w:jc w:val="both"/>
        <w:rPr>
          <w:rFonts w:ascii="Arial" w:hAnsi="Arial" w:cs="Arial"/>
          <w:sz w:val="22"/>
          <w:szCs w:val="22"/>
        </w:rPr>
      </w:pPr>
      <w:r w:rsidRPr="00487F1F">
        <w:rPr>
          <w:rFonts w:ascii="Arial" w:hAnsi="Arial" w:cs="Arial"/>
          <w:sz w:val="22"/>
          <w:szCs w:val="22"/>
        </w:rPr>
        <w:t>In</w:t>
      </w:r>
      <w:r w:rsidR="00C02164" w:rsidRPr="00487F1F">
        <w:rPr>
          <w:rFonts w:ascii="Arial" w:hAnsi="Arial" w:cs="Arial"/>
          <w:sz w:val="22"/>
          <w:szCs w:val="22"/>
        </w:rPr>
        <w:t xml:space="preserve">sulin triggers </w:t>
      </w:r>
      <w:r w:rsidR="003656A2" w:rsidRPr="00487F1F">
        <w:rPr>
          <w:rFonts w:ascii="Arial" w:hAnsi="Arial" w:cs="Arial"/>
          <w:sz w:val="22"/>
          <w:szCs w:val="22"/>
        </w:rPr>
        <w:t>the uptake</w:t>
      </w:r>
      <w:r w:rsidR="00C02164" w:rsidRPr="00487F1F">
        <w:rPr>
          <w:rFonts w:ascii="Arial" w:hAnsi="Arial" w:cs="Arial"/>
          <w:sz w:val="22"/>
          <w:szCs w:val="22"/>
        </w:rPr>
        <w:t xml:space="preserve"> of glucose from the bloodstream. S</w:t>
      </w:r>
      <w:r w:rsidR="00CD1FCF">
        <w:rPr>
          <w:rFonts w:ascii="Arial" w:hAnsi="Arial" w:cs="Arial"/>
          <w:sz w:val="22"/>
          <w:szCs w:val="22"/>
        </w:rPr>
        <w:t>hortly</w:t>
      </w:r>
      <w:r w:rsidR="00C02164" w:rsidRPr="00487F1F">
        <w:rPr>
          <w:rFonts w:ascii="Arial" w:hAnsi="Arial" w:cs="Arial"/>
          <w:sz w:val="22"/>
          <w:szCs w:val="22"/>
        </w:rPr>
        <w:t xml:space="preserve"> after a meal, the digestive system breaks down the </w:t>
      </w:r>
      <w:r w:rsidR="00285835">
        <w:rPr>
          <w:rFonts w:ascii="Arial" w:hAnsi="Arial" w:cs="Arial"/>
          <w:sz w:val="22"/>
          <w:szCs w:val="22"/>
        </w:rPr>
        <w:t>consumed food</w:t>
      </w:r>
      <w:r w:rsidR="00C02164" w:rsidRPr="00487F1F">
        <w:rPr>
          <w:rFonts w:ascii="Arial" w:hAnsi="Arial" w:cs="Arial"/>
          <w:sz w:val="22"/>
          <w:szCs w:val="22"/>
        </w:rPr>
        <w:t xml:space="preserve">. </w:t>
      </w:r>
      <w:r w:rsidR="00285835">
        <w:rPr>
          <w:rFonts w:ascii="Arial" w:hAnsi="Arial" w:cs="Arial"/>
          <w:sz w:val="22"/>
          <w:szCs w:val="22"/>
        </w:rPr>
        <w:t>C</w:t>
      </w:r>
      <w:r w:rsidR="00C02164" w:rsidRPr="00487F1F">
        <w:rPr>
          <w:rFonts w:ascii="Arial" w:hAnsi="Arial" w:cs="Arial"/>
          <w:sz w:val="22"/>
          <w:szCs w:val="22"/>
        </w:rPr>
        <w:t xml:space="preserve">arbohydrates are </w:t>
      </w:r>
      <w:r w:rsidR="00285835">
        <w:rPr>
          <w:rFonts w:ascii="Arial" w:hAnsi="Arial" w:cs="Arial"/>
          <w:sz w:val="22"/>
          <w:szCs w:val="22"/>
        </w:rPr>
        <w:t xml:space="preserve">converted into </w:t>
      </w:r>
      <w:r w:rsidR="003656A2" w:rsidRPr="00487F1F">
        <w:rPr>
          <w:rFonts w:ascii="Arial" w:hAnsi="Arial" w:cs="Arial"/>
          <w:sz w:val="22"/>
          <w:szCs w:val="22"/>
        </w:rPr>
        <w:t>glucose (</w:t>
      </w:r>
      <w:r w:rsidR="00C02164" w:rsidRPr="00487F1F">
        <w:rPr>
          <w:rFonts w:ascii="Arial" w:hAnsi="Arial" w:cs="Arial"/>
          <w:sz w:val="22"/>
          <w:szCs w:val="22"/>
        </w:rPr>
        <w:t>a simple sugar). As glucose is absorbed into the bloodstream, blood sugar level increase</w:t>
      </w:r>
      <w:r w:rsidR="00285835">
        <w:rPr>
          <w:rFonts w:ascii="Arial" w:hAnsi="Arial" w:cs="Arial"/>
          <w:sz w:val="22"/>
          <w:szCs w:val="22"/>
        </w:rPr>
        <w:t>. T</w:t>
      </w:r>
      <w:r w:rsidR="00C02164" w:rsidRPr="00487F1F">
        <w:rPr>
          <w:rFonts w:ascii="Arial" w:hAnsi="Arial" w:cs="Arial"/>
          <w:sz w:val="22"/>
          <w:szCs w:val="22"/>
        </w:rPr>
        <w:t>hrough the circulatory system</w:t>
      </w:r>
      <w:r w:rsidR="00285835">
        <w:rPr>
          <w:rFonts w:ascii="Arial" w:hAnsi="Arial" w:cs="Arial"/>
          <w:sz w:val="22"/>
          <w:szCs w:val="22"/>
        </w:rPr>
        <w:t>,</w:t>
      </w:r>
      <w:r w:rsidR="00C02164" w:rsidRPr="00487F1F">
        <w:rPr>
          <w:rFonts w:ascii="Arial" w:hAnsi="Arial" w:cs="Arial"/>
          <w:sz w:val="22"/>
          <w:szCs w:val="22"/>
        </w:rPr>
        <w:t xml:space="preserve"> glucose is transported to the muscles</w:t>
      </w:r>
      <w:r w:rsidR="00285835">
        <w:rPr>
          <w:rFonts w:ascii="Arial" w:hAnsi="Arial" w:cs="Arial"/>
          <w:sz w:val="22"/>
          <w:szCs w:val="22"/>
        </w:rPr>
        <w:t>,</w:t>
      </w:r>
      <w:r w:rsidR="00C02164" w:rsidRPr="00487F1F">
        <w:rPr>
          <w:rFonts w:ascii="Arial" w:hAnsi="Arial" w:cs="Arial"/>
          <w:sz w:val="22"/>
          <w:szCs w:val="22"/>
        </w:rPr>
        <w:t xml:space="preserve"> where it is used to generate energy</w:t>
      </w:r>
      <w:r w:rsidR="00EE657D" w:rsidRPr="00487F1F">
        <w:rPr>
          <w:rFonts w:ascii="Arial" w:hAnsi="Arial" w:cs="Arial"/>
          <w:sz w:val="22"/>
          <w:szCs w:val="22"/>
        </w:rPr>
        <w:t xml:space="preserve"> (Mathew et al., 2025)</w:t>
      </w:r>
      <w:r w:rsidR="00C02164" w:rsidRPr="00487F1F">
        <w:rPr>
          <w:rFonts w:ascii="Arial" w:hAnsi="Arial" w:cs="Arial"/>
          <w:sz w:val="22"/>
          <w:szCs w:val="22"/>
        </w:rPr>
        <w:t xml:space="preserve">. However, </w:t>
      </w:r>
      <w:r w:rsidR="00285835">
        <w:rPr>
          <w:rFonts w:ascii="Arial" w:hAnsi="Arial" w:cs="Arial"/>
          <w:sz w:val="22"/>
          <w:szCs w:val="22"/>
        </w:rPr>
        <w:t>for glucose to move</w:t>
      </w:r>
      <w:r w:rsidR="00150FFF">
        <w:rPr>
          <w:rFonts w:ascii="Arial" w:hAnsi="Arial" w:cs="Arial"/>
          <w:sz w:val="22"/>
          <w:szCs w:val="22"/>
        </w:rPr>
        <w:t xml:space="preserve"> from the bloodstream </w:t>
      </w:r>
      <w:r w:rsidR="00150FFF" w:rsidRPr="00487F1F">
        <w:rPr>
          <w:rFonts w:ascii="Arial" w:hAnsi="Arial" w:cs="Arial"/>
          <w:sz w:val="22"/>
          <w:szCs w:val="22"/>
        </w:rPr>
        <w:t>into</w:t>
      </w:r>
      <w:r w:rsidR="00150FFF">
        <w:rPr>
          <w:rFonts w:ascii="Arial" w:hAnsi="Arial" w:cs="Arial"/>
          <w:sz w:val="22"/>
          <w:szCs w:val="22"/>
        </w:rPr>
        <w:t xml:space="preserve"> </w:t>
      </w:r>
      <w:r w:rsidR="00150FFF" w:rsidRPr="00487F1F">
        <w:rPr>
          <w:rFonts w:ascii="Arial" w:hAnsi="Arial" w:cs="Arial"/>
          <w:sz w:val="22"/>
          <w:szCs w:val="22"/>
        </w:rPr>
        <w:t>muscle</w:t>
      </w:r>
      <w:r w:rsidR="00150FFF">
        <w:rPr>
          <w:rFonts w:ascii="Arial" w:hAnsi="Arial" w:cs="Arial"/>
          <w:sz w:val="22"/>
          <w:szCs w:val="22"/>
        </w:rPr>
        <w:t xml:space="preserve"> cells</w:t>
      </w:r>
      <w:r w:rsidR="00120528" w:rsidRPr="00487F1F">
        <w:rPr>
          <w:rFonts w:ascii="Arial" w:hAnsi="Arial" w:cs="Arial"/>
          <w:sz w:val="22"/>
          <w:szCs w:val="22"/>
        </w:rPr>
        <w:t xml:space="preserve">, insulin is </w:t>
      </w:r>
      <w:r w:rsidR="00150FFF">
        <w:rPr>
          <w:rFonts w:ascii="Arial" w:hAnsi="Arial" w:cs="Arial"/>
          <w:sz w:val="22"/>
          <w:szCs w:val="22"/>
        </w:rPr>
        <w:t xml:space="preserve">required to initiate this </w:t>
      </w:r>
      <w:r w:rsidR="00120528" w:rsidRPr="00487F1F">
        <w:rPr>
          <w:rFonts w:ascii="Arial" w:hAnsi="Arial" w:cs="Arial"/>
          <w:sz w:val="22"/>
          <w:szCs w:val="22"/>
        </w:rPr>
        <w:t xml:space="preserve">uptake events. </w:t>
      </w:r>
    </w:p>
    <w:p w14:paraId="530DA94E" w14:textId="77777777" w:rsidR="00150FFF" w:rsidRDefault="00120528" w:rsidP="00487F1F">
      <w:pPr>
        <w:spacing w:line="360" w:lineRule="auto"/>
        <w:ind w:firstLine="720"/>
        <w:jc w:val="both"/>
        <w:rPr>
          <w:rFonts w:ascii="Arial" w:hAnsi="Arial" w:cs="Arial"/>
          <w:sz w:val="22"/>
          <w:szCs w:val="22"/>
        </w:rPr>
      </w:pPr>
      <w:r w:rsidRPr="00487F1F">
        <w:rPr>
          <w:rFonts w:ascii="Arial" w:hAnsi="Arial" w:cs="Arial"/>
          <w:sz w:val="22"/>
          <w:szCs w:val="22"/>
        </w:rPr>
        <w:t xml:space="preserve">According to </w:t>
      </w:r>
      <w:r w:rsidR="00EE657D" w:rsidRPr="00487F1F">
        <w:rPr>
          <w:rFonts w:ascii="Arial" w:hAnsi="Arial" w:cs="Arial"/>
          <w:sz w:val="22"/>
          <w:szCs w:val="22"/>
        </w:rPr>
        <w:t>Mathew et al. (2025</w:t>
      </w:r>
      <w:r w:rsidRPr="00487F1F">
        <w:rPr>
          <w:rFonts w:ascii="Arial" w:hAnsi="Arial" w:cs="Arial"/>
          <w:sz w:val="22"/>
          <w:szCs w:val="22"/>
        </w:rPr>
        <w:t xml:space="preserve">), insulin is a small protein hormone produced by clusters of endocrine cells </w:t>
      </w:r>
      <w:r w:rsidR="00150FFF">
        <w:rPr>
          <w:rFonts w:ascii="Arial" w:hAnsi="Arial" w:cs="Arial"/>
          <w:sz w:val="22"/>
          <w:szCs w:val="22"/>
        </w:rPr>
        <w:t xml:space="preserve">in </w:t>
      </w:r>
      <w:r w:rsidRPr="00487F1F">
        <w:rPr>
          <w:rFonts w:ascii="Arial" w:hAnsi="Arial" w:cs="Arial"/>
          <w:sz w:val="22"/>
          <w:szCs w:val="22"/>
        </w:rPr>
        <w:t xml:space="preserve">the pancreas known as the islets of Langerhans. As </w:t>
      </w:r>
      <w:r w:rsidR="00150FFF">
        <w:rPr>
          <w:rFonts w:ascii="Arial" w:hAnsi="Arial" w:cs="Arial"/>
          <w:sz w:val="22"/>
          <w:szCs w:val="22"/>
        </w:rPr>
        <w:t xml:space="preserve">blood glucose levels rise, </w:t>
      </w:r>
      <w:r w:rsidRPr="00487F1F">
        <w:rPr>
          <w:rFonts w:ascii="Arial" w:hAnsi="Arial" w:cs="Arial"/>
          <w:sz w:val="22"/>
          <w:szCs w:val="22"/>
        </w:rPr>
        <w:t xml:space="preserve">the beta cells secrete insulin. The released insulin plays a key role in </w:t>
      </w:r>
      <w:r w:rsidR="00D676F9" w:rsidRPr="00487F1F">
        <w:rPr>
          <w:rFonts w:ascii="Arial" w:hAnsi="Arial" w:cs="Arial"/>
          <w:sz w:val="22"/>
          <w:szCs w:val="22"/>
        </w:rPr>
        <w:t>regulating the concentration of glucose in the blood stream through a process called, glucose homeostasis. Precisely, insulin binds</w:t>
      </w:r>
      <w:r w:rsidR="00150FFF">
        <w:rPr>
          <w:rFonts w:ascii="Arial" w:hAnsi="Arial" w:cs="Arial"/>
          <w:sz w:val="22"/>
          <w:szCs w:val="22"/>
        </w:rPr>
        <w:t xml:space="preserve"> to the extracellular domain</w:t>
      </w:r>
      <w:r w:rsidR="00D676F9" w:rsidRPr="00487F1F">
        <w:rPr>
          <w:rFonts w:ascii="Arial" w:hAnsi="Arial" w:cs="Arial"/>
          <w:sz w:val="22"/>
          <w:szCs w:val="22"/>
        </w:rPr>
        <w:t xml:space="preserve"> </w:t>
      </w:r>
      <w:r w:rsidR="00EE44D8" w:rsidRPr="00487F1F">
        <w:rPr>
          <w:rFonts w:ascii="Arial" w:hAnsi="Arial" w:cs="Arial"/>
          <w:sz w:val="22"/>
          <w:szCs w:val="22"/>
        </w:rPr>
        <w:t xml:space="preserve">of receptor protein </w:t>
      </w:r>
      <w:r w:rsidR="00150FFF">
        <w:rPr>
          <w:rFonts w:ascii="Arial" w:hAnsi="Arial" w:cs="Arial"/>
          <w:sz w:val="22"/>
          <w:szCs w:val="22"/>
        </w:rPr>
        <w:t>located</w:t>
      </w:r>
      <w:r w:rsidR="00EE44D8" w:rsidRPr="00487F1F">
        <w:rPr>
          <w:rFonts w:ascii="Arial" w:hAnsi="Arial" w:cs="Arial"/>
          <w:sz w:val="22"/>
          <w:szCs w:val="22"/>
        </w:rPr>
        <w:t xml:space="preserve"> on the surface of liver, muscle and </w:t>
      </w:r>
      <w:r w:rsidR="00150FFF">
        <w:rPr>
          <w:rFonts w:ascii="Arial" w:hAnsi="Arial" w:cs="Arial"/>
          <w:sz w:val="22"/>
          <w:szCs w:val="22"/>
        </w:rPr>
        <w:t>adipose</w:t>
      </w:r>
      <w:r w:rsidR="00EE44D8" w:rsidRPr="00487F1F">
        <w:rPr>
          <w:rFonts w:ascii="Arial" w:hAnsi="Arial" w:cs="Arial"/>
          <w:sz w:val="22"/>
          <w:szCs w:val="22"/>
        </w:rPr>
        <w:t xml:space="preserve"> cells. This binding triggers the autophosphorylation of the intracellular domain</w:t>
      </w:r>
      <w:r w:rsidR="00150FFF">
        <w:rPr>
          <w:rFonts w:ascii="Arial" w:hAnsi="Arial" w:cs="Arial"/>
          <w:sz w:val="22"/>
          <w:szCs w:val="22"/>
        </w:rPr>
        <w:t>,</w:t>
      </w:r>
      <w:r w:rsidR="00EE44D8" w:rsidRPr="00487F1F">
        <w:rPr>
          <w:rFonts w:ascii="Arial" w:hAnsi="Arial" w:cs="Arial"/>
          <w:sz w:val="22"/>
          <w:szCs w:val="22"/>
        </w:rPr>
        <w:t xml:space="preserve"> which </w:t>
      </w:r>
      <w:r w:rsidR="00150FFF">
        <w:rPr>
          <w:rFonts w:ascii="Arial" w:hAnsi="Arial" w:cs="Arial"/>
          <w:sz w:val="22"/>
          <w:szCs w:val="22"/>
        </w:rPr>
        <w:t xml:space="preserve">subsequently </w:t>
      </w:r>
      <w:r w:rsidR="00EE44D8" w:rsidRPr="00487F1F">
        <w:rPr>
          <w:rFonts w:ascii="Arial" w:hAnsi="Arial" w:cs="Arial"/>
          <w:sz w:val="22"/>
          <w:szCs w:val="22"/>
        </w:rPr>
        <w:t xml:space="preserve">phosphorylates specific </w:t>
      </w:r>
      <w:r w:rsidR="00487F1F" w:rsidRPr="00487F1F">
        <w:rPr>
          <w:rFonts w:ascii="Arial" w:hAnsi="Arial" w:cs="Arial"/>
          <w:sz w:val="22"/>
          <w:szCs w:val="22"/>
        </w:rPr>
        <w:t>signalling</w:t>
      </w:r>
      <w:r w:rsidR="00EE44D8" w:rsidRPr="00487F1F">
        <w:rPr>
          <w:rFonts w:ascii="Arial" w:hAnsi="Arial" w:cs="Arial"/>
          <w:sz w:val="22"/>
          <w:szCs w:val="22"/>
        </w:rPr>
        <w:t xml:space="preserve"> protein</w:t>
      </w:r>
      <w:r w:rsidR="00EE657D" w:rsidRPr="00487F1F">
        <w:rPr>
          <w:rFonts w:ascii="Arial" w:hAnsi="Arial" w:cs="Arial"/>
          <w:sz w:val="22"/>
          <w:szCs w:val="22"/>
        </w:rPr>
        <w:t xml:space="preserve"> (</w:t>
      </w:r>
      <w:r w:rsidR="00D725F0" w:rsidRPr="00487F1F">
        <w:rPr>
          <w:rFonts w:ascii="Arial" w:hAnsi="Arial" w:cs="Arial"/>
          <w:sz w:val="22"/>
          <w:szCs w:val="22"/>
        </w:rPr>
        <w:t>Choi et al., 2025)</w:t>
      </w:r>
      <w:r w:rsidR="00EE44D8" w:rsidRPr="00487F1F">
        <w:rPr>
          <w:rFonts w:ascii="Arial" w:hAnsi="Arial" w:cs="Arial"/>
          <w:sz w:val="22"/>
          <w:szCs w:val="22"/>
        </w:rPr>
        <w:t xml:space="preserve">. The repeat of this process is referred to as the signal transduction cascade. </w:t>
      </w:r>
    </w:p>
    <w:p w14:paraId="4E25061A" w14:textId="77777777" w:rsidR="00EE44D8" w:rsidRPr="00487F1F" w:rsidRDefault="00150FFF" w:rsidP="00487F1F">
      <w:pPr>
        <w:spacing w:line="360" w:lineRule="auto"/>
        <w:ind w:firstLine="720"/>
        <w:jc w:val="both"/>
        <w:rPr>
          <w:rFonts w:ascii="Arial" w:hAnsi="Arial" w:cs="Arial"/>
          <w:sz w:val="22"/>
          <w:szCs w:val="22"/>
        </w:rPr>
      </w:pPr>
      <w:r w:rsidRPr="00150FFF">
        <w:rPr>
          <w:rFonts w:ascii="Arial" w:hAnsi="Arial" w:cs="Arial"/>
          <w:sz w:val="22"/>
          <w:szCs w:val="22"/>
        </w:rPr>
        <w:t>This cascade promotes the movement of glucose transporter proteins (GLUT) towards the cell surface.</w:t>
      </w:r>
      <w:r>
        <w:rPr>
          <w:rFonts w:ascii="Arial" w:hAnsi="Arial" w:cs="Arial"/>
          <w:sz w:val="22"/>
          <w:szCs w:val="22"/>
        </w:rPr>
        <w:t xml:space="preserve"> </w:t>
      </w:r>
      <w:r w:rsidR="00EE44D8" w:rsidRPr="00487F1F">
        <w:rPr>
          <w:rFonts w:ascii="Arial" w:hAnsi="Arial" w:cs="Arial"/>
          <w:sz w:val="22"/>
          <w:szCs w:val="22"/>
        </w:rPr>
        <w:t xml:space="preserve">As these storage vesicles fuse with the cell membrane, the number of </w:t>
      </w:r>
      <w:r w:rsidR="00D725F0" w:rsidRPr="00487F1F">
        <w:rPr>
          <w:rFonts w:ascii="Arial" w:hAnsi="Arial" w:cs="Arial"/>
          <w:sz w:val="22"/>
          <w:szCs w:val="22"/>
        </w:rPr>
        <w:t>GLUT</w:t>
      </w:r>
      <w:r w:rsidR="00EE44D8" w:rsidRPr="00487F1F">
        <w:rPr>
          <w:rFonts w:ascii="Arial" w:hAnsi="Arial" w:cs="Arial"/>
          <w:sz w:val="22"/>
          <w:szCs w:val="22"/>
        </w:rPr>
        <w:t xml:space="preserve"> pr</w:t>
      </w:r>
      <w:r>
        <w:rPr>
          <w:rFonts w:ascii="Arial" w:hAnsi="Arial" w:cs="Arial"/>
          <w:sz w:val="22"/>
          <w:szCs w:val="22"/>
        </w:rPr>
        <w:t xml:space="preserve">oteins on </w:t>
      </w:r>
      <w:r w:rsidR="00EE44D8" w:rsidRPr="00487F1F">
        <w:rPr>
          <w:rFonts w:ascii="Arial" w:hAnsi="Arial" w:cs="Arial"/>
          <w:sz w:val="22"/>
          <w:szCs w:val="22"/>
        </w:rPr>
        <w:t>the cell</w:t>
      </w:r>
      <w:r>
        <w:rPr>
          <w:rFonts w:ascii="Arial" w:hAnsi="Arial" w:cs="Arial"/>
          <w:sz w:val="22"/>
          <w:szCs w:val="22"/>
        </w:rPr>
        <w:t xml:space="preserve"> surface</w:t>
      </w:r>
      <w:r w:rsidR="00EE44D8" w:rsidRPr="00487F1F">
        <w:rPr>
          <w:rFonts w:ascii="Arial" w:hAnsi="Arial" w:cs="Arial"/>
          <w:sz w:val="22"/>
          <w:szCs w:val="22"/>
        </w:rPr>
        <w:t xml:space="preserve"> increase</w:t>
      </w:r>
      <w:r>
        <w:rPr>
          <w:rFonts w:ascii="Arial" w:hAnsi="Arial" w:cs="Arial"/>
          <w:sz w:val="22"/>
          <w:szCs w:val="22"/>
        </w:rPr>
        <w:t>s, allowing</w:t>
      </w:r>
      <w:r w:rsidR="00EE44D8" w:rsidRPr="00487F1F">
        <w:rPr>
          <w:rFonts w:ascii="Arial" w:hAnsi="Arial" w:cs="Arial"/>
          <w:sz w:val="22"/>
          <w:szCs w:val="22"/>
        </w:rPr>
        <w:t xml:space="preserve"> glucose to enter the cell</w:t>
      </w:r>
      <w:r w:rsidR="00D725F0" w:rsidRPr="00487F1F">
        <w:rPr>
          <w:rFonts w:ascii="Arial" w:hAnsi="Arial" w:cs="Arial"/>
          <w:sz w:val="22"/>
          <w:szCs w:val="22"/>
        </w:rPr>
        <w:t xml:space="preserve"> (</w:t>
      </w:r>
      <w:proofErr w:type="spellStart"/>
      <w:r w:rsidR="00D725F0" w:rsidRPr="00487F1F">
        <w:rPr>
          <w:rFonts w:ascii="Arial" w:hAnsi="Arial" w:cs="Arial"/>
          <w:sz w:val="22"/>
          <w:szCs w:val="22"/>
        </w:rPr>
        <w:t>Hantzidiamantis</w:t>
      </w:r>
      <w:proofErr w:type="spellEnd"/>
      <w:r w:rsidR="00D725F0" w:rsidRPr="00487F1F">
        <w:rPr>
          <w:rFonts w:ascii="Arial" w:hAnsi="Arial" w:cs="Arial"/>
          <w:sz w:val="22"/>
          <w:szCs w:val="22"/>
        </w:rPr>
        <w:t xml:space="preserve"> et al., 2024)</w:t>
      </w:r>
      <w:r w:rsidR="00EE44D8" w:rsidRPr="00487F1F">
        <w:rPr>
          <w:rFonts w:ascii="Arial" w:hAnsi="Arial" w:cs="Arial"/>
          <w:sz w:val="22"/>
          <w:szCs w:val="22"/>
        </w:rPr>
        <w:t xml:space="preserve">. As a result, </w:t>
      </w:r>
      <w:r>
        <w:rPr>
          <w:rFonts w:ascii="Arial" w:hAnsi="Arial" w:cs="Arial"/>
          <w:sz w:val="22"/>
          <w:szCs w:val="22"/>
        </w:rPr>
        <w:t>blood</w:t>
      </w:r>
      <w:r w:rsidR="00EE44D8" w:rsidRPr="00487F1F">
        <w:rPr>
          <w:rFonts w:ascii="Arial" w:hAnsi="Arial" w:cs="Arial"/>
          <w:sz w:val="22"/>
          <w:szCs w:val="22"/>
        </w:rPr>
        <w:t xml:space="preserve"> glucose concentration decrease</w:t>
      </w:r>
      <w:r>
        <w:rPr>
          <w:rFonts w:ascii="Arial" w:hAnsi="Arial" w:cs="Arial"/>
          <w:sz w:val="22"/>
          <w:szCs w:val="22"/>
        </w:rPr>
        <w:t>s</w:t>
      </w:r>
      <w:r w:rsidR="00EE44D8" w:rsidRPr="00487F1F">
        <w:rPr>
          <w:rFonts w:ascii="Arial" w:hAnsi="Arial" w:cs="Arial"/>
          <w:sz w:val="22"/>
          <w:szCs w:val="22"/>
        </w:rPr>
        <w:t xml:space="preserve"> </w:t>
      </w:r>
      <w:r>
        <w:rPr>
          <w:rFonts w:ascii="Arial" w:hAnsi="Arial" w:cs="Arial"/>
          <w:sz w:val="22"/>
          <w:szCs w:val="22"/>
        </w:rPr>
        <w:t xml:space="preserve">as </w:t>
      </w:r>
      <w:r w:rsidR="00EE44D8" w:rsidRPr="00487F1F">
        <w:rPr>
          <w:rFonts w:ascii="Arial" w:hAnsi="Arial" w:cs="Arial"/>
          <w:sz w:val="22"/>
          <w:szCs w:val="22"/>
        </w:rPr>
        <w:t xml:space="preserve">glucose </w:t>
      </w:r>
      <w:r>
        <w:rPr>
          <w:rFonts w:ascii="Arial" w:hAnsi="Arial" w:cs="Arial"/>
          <w:sz w:val="22"/>
          <w:szCs w:val="22"/>
        </w:rPr>
        <w:t xml:space="preserve">enters the cells, where </w:t>
      </w:r>
      <w:r w:rsidR="00EE44D8" w:rsidRPr="00487F1F">
        <w:rPr>
          <w:rFonts w:ascii="Arial" w:hAnsi="Arial" w:cs="Arial"/>
          <w:sz w:val="22"/>
          <w:szCs w:val="22"/>
        </w:rPr>
        <w:t xml:space="preserve">it </w:t>
      </w:r>
      <w:r>
        <w:rPr>
          <w:rFonts w:ascii="Arial" w:hAnsi="Arial" w:cs="Arial"/>
          <w:sz w:val="22"/>
          <w:szCs w:val="22"/>
        </w:rPr>
        <w:t>is</w:t>
      </w:r>
      <w:r w:rsidR="00EE44D8" w:rsidRPr="00487F1F">
        <w:rPr>
          <w:rFonts w:ascii="Arial" w:hAnsi="Arial" w:cs="Arial"/>
          <w:sz w:val="22"/>
          <w:szCs w:val="22"/>
        </w:rPr>
        <w:t xml:space="preserve"> metaboli</w:t>
      </w:r>
      <w:r>
        <w:rPr>
          <w:rFonts w:ascii="Arial" w:hAnsi="Arial" w:cs="Arial"/>
          <w:sz w:val="22"/>
          <w:szCs w:val="22"/>
        </w:rPr>
        <w:t>s</w:t>
      </w:r>
      <w:r w:rsidR="00EE44D8" w:rsidRPr="00487F1F">
        <w:rPr>
          <w:rFonts w:ascii="Arial" w:hAnsi="Arial" w:cs="Arial"/>
          <w:sz w:val="22"/>
          <w:szCs w:val="22"/>
        </w:rPr>
        <w:t>ed to</w:t>
      </w:r>
      <w:r>
        <w:rPr>
          <w:rFonts w:ascii="Arial" w:hAnsi="Arial" w:cs="Arial"/>
          <w:sz w:val="22"/>
          <w:szCs w:val="22"/>
        </w:rPr>
        <w:t xml:space="preserve"> produce</w:t>
      </w:r>
      <w:r w:rsidR="00EE44D8" w:rsidRPr="00487F1F">
        <w:rPr>
          <w:rFonts w:ascii="Arial" w:hAnsi="Arial" w:cs="Arial"/>
          <w:sz w:val="22"/>
          <w:szCs w:val="22"/>
        </w:rPr>
        <w:t xml:space="preserve"> energy in</w:t>
      </w:r>
      <w:r>
        <w:rPr>
          <w:rFonts w:ascii="Arial" w:hAnsi="Arial" w:cs="Arial"/>
          <w:sz w:val="22"/>
          <w:szCs w:val="22"/>
        </w:rPr>
        <w:t xml:space="preserve"> the</w:t>
      </w:r>
      <w:r w:rsidR="00EE44D8" w:rsidRPr="00487F1F">
        <w:rPr>
          <w:rFonts w:ascii="Arial" w:hAnsi="Arial" w:cs="Arial"/>
          <w:sz w:val="22"/>
          <w:szCs w:val="22"/>
        </w:rPr>
        <w:t xml:space="preserve"> form of </w:t>
      </w:r>
      <w:r w:rsidR="00105170" w:rsidRPr="00487F1F">
        <w:rPr>
          <w:rFonts w:ascii="Arial" w:hAnsi="Arial" w:cs="Arial"/>
          <w:sz w:val="22"/>
          <w:szCs w:val="22"/>
        </w:rPr>
        <w:t>Adenosine Triphosphate (</w:t>
      </w:r>
      <w:r w:rsidR="00EE44D8" w:rsidRPr="00487F1F">
        <w:rPr>
          <w:rFonts w:ascii="Arial" w:hAnsi="Arial" w:cs="Arial"/>
          <w:sz w:val="22"/>
          <w:szCs w:val="22"/>
        </w:rPr>
        <w:t>ATP</w:t>
      </w:r>
      <w:r w:rsidR="00105170" w:rsidRPr="00487F1F">
        <w:rPr>
          <w:rFonts w:ascii="Arial" w:hAnsi="Arial" w:cs="Arial"/>
          <w:sz w:val="22"/>
          <w:szCs w:val="22"/>
        </w:rPr>
        <w:t>)</w:t>
      </w:r>
      <w:r w:rsidR="00EE44D8" w:rsidRPr="00487F1F">
        <w:rPr>
          <w:rFonts w:ascii="Arial" w:hAnsi="Arial" w:cs="Arial"/>
          <w:sz w:val="22"/>
          <w:szCs w:val="22"/>
        </w:rPr>
        <w:t xml:space="preserve">. </w:t>
      </w:r>
    </w:p>
    <w:p w14:paraId="7D67FB71" w14:textId="77777777" w:rsidR="00105170" w:rsidRPr="00487F1F" w:rsidRDefault="00105170" w:rsidP="00487F1F">
      <w:pPr>
        <w:spacing w:line="360" w:lineRule="auto"/>
        <w:ind w:firstLine="720"/>
        <w:jc w:val="both"/>
        <w:rPr>
          <w:rFonts w:ascii="Arial" w:hAnsi="Arial" w:cs="Arial"/>
          <w:sz w:val="22"/>
          <w:szCs w:val="22"/>
        </w:rPr>
      </w:pPr>
      <w:r w:rsidRPr="00487F1F">
        <w:rPr>
          <w:rFonts w:ascii="Arial" w:hAnsi="Arial" w:cs="Arial"/>
          <w:sz w:val="22"/>
          <w:szCs w:val="22"/>
        </w:rPr>
        <w:t xml:space="preserve">Conversely, when the blood sugar levels are low, the pancreas </w:t>
      </w:r>
      <w:r w:rsidR="00150FFF">
        <w:rPr>
          <w:rFonts w:ascii="Arial" w:hAnsi="Arial" w:cs="Arial"/>
          <w:sz w:val="22"/>
          <w:szCs w:val="22"/>
        </w:rPr>
        <w:t>secretes</w:t>
      </w:r>
      <w:r w:rsidRPr="00487F1F">
        <w:rPr>
          <w:rFonts w:ascii="Arial" w:hAnsi="Arial" w:cs="Arial"/>
          <w:sz w:val="22"/>
          <w:szCs w:val="22"/>
        </w:rPr>
        <w:t xml:space="preserve"> glucagon</w:t>
      </w:r>
      <w:r w:rsidR="00150FFF">
        <w:rPr>
          <w:rFonts w:ascii="Arial" w:hAnsi="Arial" w:cs="Arial"/>
          <w:sz w:val="22"/>
          <w:szCs w:val="22"/>
        </w:rPr>
        <w:t>.</w:t>
      </w:r>
      <w:r w:rsidRPr="00487F1F">
        <w:rPr>
          <w:rFonts w:ascii="Arial" w:hAnsi="Arial" w:cs="Arial"/>
          <w:sz w:val="22"/>
          <w:szCs w:val="22"/>
        </w:rPr>
        <w:t xml:space="preserve"> </w:t>
      </w:r>
      <w:r w:rsidR="00150FFF">
        <w:rPr>
          <w:rFonts w:ascii="Arial" w:hAnsi="Arial" w:cs="Arial"/>
          <w:sz w:val="22"/>
          <w:szCs w:val="22"/>
        </w:rPr>
        <w:t xml:space="preserve">Glucagon acts primarily on the liver to stimulate </w:t>
      </w:r>
      <w:r w:rsidRPr="00487F1F">
        <w:rPr>
          <w:rFonts w:ascii="Arial" w:hAnsi="Arial" w:cs="Arial"/>
          <w:sz w:val="22"/>
          <w:szCs w:val="22"/>
        </w:rPr>
        <w:t>glycogenolysis, the breakdown of glycogen into glucose, and gluconeogenesis, the production of glucose from non-carbohydrate sources. These processes increase circulating glucose and prevent hypoglycaemia.</w:t>
      </w:r>
      <w:r w:rsidR="00487F1F">
        <w:rPr>
          <w:rFonts w:ascii="Arial" w:hAnsi="Arial" w:cs="Arial"/>
          <w:sz w:val="22"/>
          <w:szCs w:val="22"/>
        </w:rPr>
        <w:t xml:space="preserve"> </w:t>
      </w:r>
      <w:r w:rsidRPr="00487F1F">
        <w:rPr>
          <w:rFonts w:ascii="Arial" w:hAnsi="Arial" w:cs="Arial"/>
          <w:sz w:val="22"/>
          <w:szCs w:val="22"/>
        </w:rPr>
        <w:t xml:space="preserve">For a patient with T2D, the process of regulating glucose level in the blood stream is impaired. </w:t>
      </w:r>
      <w:r w:rsidR="00EE657D" w:rsidRPr="00487F1F">
        <w:rPr>
          <w:rFonts w:ascii="Arial" w:hAnsi="Arial" w:cs="Arial"/>
          <w:sz w:val="22"/>
          <w:szCs w:val="22"/>
        </w:rPr>
        <w:t xml:space="preserve">Galicia-Garcia et al. (2020) </w:t>
      </w:r>
      <w:r w:rsidRPr="00487F1F">
        <w:rPr>
          <w:rFonts w:ascii="Arial" w:hAnsi="Arial" w:cs="Arial"/>
          <w:sz w:val="22"/>
          <w:szCs w:val="22"/>
        </w:rPr>
        <w:t xml:space="preserve">noted that in T2D, cells become resistant to insulin, meaning the uptake of glucose is reduced, despite there being enough insulin. This culminates to </w:t>
      </w:r>
      <w:r w:rsidR="00487F1F" w:rsidRPr="00487F1F">
        <w:rPr>
          <w:rFonts w:ascii="Arial" w:hAnsi="Arial" w:cs="Arial"/>
          <w:sz w:val="22"/>
          <w:szCs w:val="22"/>
        </w:rPr>
        <w:t>impaired</w:t>
      </w:r>
      <w:r w:rsidRPr="00487F1F">
        <w:rPr>
          <w:rFonts w:ascii="Arial" w:hAnsi="Arial" w:cs="Arial"/>
          <w:sz w:val="22"/>
          <w:szCs w:val="22"/>
        </w:rPr>
        <w:t xml:space="preserve"> beta cells, and eventually </w:t>
      </w:r>
      <w:r w:rsidR="00487F1F" w:rsidRPr="00487F1F">
        <w:rPr>
          <w:rFonts w:ascii="Arial" w:hAnsi="Arial" w:cs="Arial"/>
          <w:sz w:val="22"/>
          <w:szCs w:val="22"/>
        </w:rPr>
        <w:t>hyperglycaemia</w:t>
      </w:r>
      <w:r w:rsidRPr="00487F1F">
        <w:rPr>
          <w:rFonts w:ascii="Arial" w:hAnsi="Arial" w:cs="Arial"/>
          <w:sz w:val="22"/>
          <w:szCs w:val="22"/>
        </w:rPr>
        <w:t xml:space="preserve">. </w:t>
      </w:r>
    </w:p>
    <w:p w14:paraId="192622C0" w14:textId="77777777" w:rsidR="00A23D6D" w:rsidRPr="00487F1F" w:rsidRDefault="00A23D6D" w:rsidP="00487F1F">
      <w:pPr>
        <w:spacing w:line="360" w:lineRule="auto"/>
        <w:jc w:val="both"/>
        <w:rPr>
          <w:rFonts w:ascii="Arial" w:hAnsi="Arial" w:cs="Arial"/>
          <w:sz w:val="22"/>
          <w:szCs w:val="22"/>
        </w:rPr>
      </w:pPr>
      <w:r w:rsidRPr="00487F1F">
        <w:rPr>
          <w:rFonts w:ascii="Arial" w:hAnsi="Arial" w:cs="Arial"/>
          <w:b/>
          <w:sz w:val="22"/>
          <w:szCs w:val="22"/>
        </w:rPr>
        <w:t>Cellular Metabolism: How Glucose and Oxygen Produce Energy</w:t>
      </w:r>
      <w:r w:rsidRPr="00487F1F">
        <w:rPr>
          <w:rFonts w:ascii="Arial" w:hAnsi="Arial" w:cs="Arial"/>
          <w:sz w:val="22"/>
          <w:szCs w:val="22"/>
        </w:rPr>
        <w:t xml:space="preserve"> </w:t>
      </w:r>
    </w:p>
    <w:p w14:paraId="670FED99" w14:textId="77777777" w:rsidR="00F1302E" w:rsidRPr="00487F1F" w:rsidRDefault="00F975A8" w:rsidP="00487F1F">
      <w:pPr>
        <w:spacing w:line="360" w:lineRule="auto"/>
        <w:ind w:firstLine="720"/>
        <w:jc w:val="both"/>
        <w:rPr>
          <w:rFonts w:ascii="Arial" w:hAnsi="Arial" w:cs="Arial"/>
          <w:sz w:val="22"/>
          <w:szCs w:val="22"/>
        </w:rPr>
      </w:pPr>
      <w:r w:rsidRPr="00487F1F">
        <w:rPr>
          <w:rFonts w:ascii="Arial" w:hAnsi="Arial" w:cs="Arial"/>
          <w:sz w:val="22"/>
          <w:szCs w:val="22"/>
        </w:rPr>
        <w:t xml:space="preserve">Cellular metabolism </w:t>
      </w:r>
      <w:r w:rsidR="008E57F5">
        <w:rPr>
          <w:rFonts w:ascii="Arial" w:hAnsi="Arial" w:cs="Arial"/>
          <w:sz w:val="22"/>
          <w:szCs w:val="22"/>
        </w:rPr>
        <w:t>refers to</w:t>
      </w:r>
      <w:r w:rsidRPr="00487F1F">
        <w:rPr>
          <w:rFonts w:ascii="Arial" w:hAnsi="Arial" w:cs="Arial"/>
          <w:sz w:val="22"/>
          <w:szCs w:val="22"/>
        </w:rPr>
        <w:t xml:space="preserve"> the process by which cells break down macromolecules such as </w:t>
      </w:r>
      <w:r w:rsidR="00F1302E" w:rsidRPr="00487F1F">
        <w:rPr>
          <w:rFonts w:ascii="Arial" w:hAnsi="Arial" w:cs="Arial"/>
          <w:sz w:val="22"/>
          <w:szCs w:val="22"/>
        </w:rPr>
        <w:t xml:space="preserve">glucose to produce ATP. The main steps of cellular respiration </w:t>
      </w:r>
      <w:r w:rsidR="008E57F5">
        <w:rPr>
          <w:rFonts w:ascii="Arial" w:hAnsi="Arial" w:cs="Arial"/>
          <w:sz w:val="22"/>
          <w:szCs w:val="22"/>
        </w:rPr>
        <w:t xml:space="preserve">are </w:t>
      </w:r>
      <w:r w:rsidR="00F1302E" w:rsidRPr="00487F1F">
        <w:rPr>
          <w:rFonts w:ascii="Arial" w:hAnsi="Arial" w:cs="Arial"/>
          <w:sz w:val="22"/>
          <w:szCs w:val="22"/>
        </w:rPr>
        <w:t xml:space="preserve">glycolysis, Krebs cycle, and Electric Transport Chain (Oxidative Phosphorylation). To begin with, glycolysis occurs in the cytosol </w:t>
      </w:r>
      <w:r w:rsidR="008E57F5">
        <w:rPr>
          <w:rFonts w:ascii="Arial" w:hAnsi="Arial" w:cs="Arial"/>
          <w:sz w:val="22"/>
          <w:szCs w:val="22"/>
        </w:rPr>
        <w:t xml:space="preserve">and </w:t>
      </w:r>
      <w:r w:rsidR="00F1302E" w:rsidRPr="00487F1F">
        <w:rPr>
          <w:rFonts w:ascii="Arial" w:hAnsi="Arial" w:cs="Arial"/>
          <w:sz w:val="22"/>
          <w:szCs w:val="22"/>
        </w:rPr>
        <w:t xml:space="preserve">involves extraction of energy from </w:t>
      </w:r>
      <w:r w:rsidR="008E57F5">
        <w:rPr>
          <w:rFonts w:ascii="Arial" w:hAnsi="Arial" w:cs="Arial"/>
          <w:sz w:val="22"/>
          <w:szCs w:val="22"/>
        </w:rPr>
        <w:t>one</w:t>
      </w:r>
      <w:r w:rsidR="00F1302E" w:rsidRPr="00487F1F">
        <w:rPr>
          <w:rFonts w:ascii="Arial" w:hAnsi="Arial" w:cs="Arial"/>
          <w:sz w:val="22"/>
          <w:szCs w:val="22"/>
        </w:rPr>
        <w:t xml:space="preserve"> glucose molecule</w:t>
      </w:r>
      <w:r w:rsidR="00D725F0" w:rsidRPr="00487F1F">
        <w:rPr>
          <w:rFonts w:ascii="Arial" w:hAnsi="Arial" w:cs="Arial"/>
          <w:sz w:val="22"/>
          <w:szCs w:val="22"/>
        </w:rPr>
        <w:t xml:space="preserve"> (Cordani et al., 2025)</w:t>
      </w:r>
      <w:r w:rsidR="00F1302E" w:rsidRPr="00487F1F">
        <w:rPr>
          <w:rFonts w:ascii="Arial" w:hAnsi="Arial" w:cs="Arial"/>
          <w:sz w:val="22"/>
          <w:szCs w:val="22"/>
        </w:rPr>
        <w:t xml:space="preserve">. To be successful, glycolysis requires the input of glucose, 2 ATP molecules, and puts out 4 ATP, 2 </w:t>
      </w:r>
      <w:r w:rsidR="0017430E" w:rsidRPr="00487F1F">
        <w:rPr>
          <w:rFonts w:ascii="Arial" w:hAnsi="Arial" w:cs="Arial"/>
          <w:sz w:val="22"/>
          <w:szCs w:val="22"/>
        </w:rPr>
        <w:t>Nicotinamide adenine dinucleotide (</w:t>
      </w:r>
      <w:r w:rsidR="00F1302E" w:rsidRPr="00487F1F">
        <w:rPr>
          <w:rFonts w:ascii="Arial" w:hAnsi="Arial" w:cs="Arial"/>
          <w:sz w:val="22"/>
          <w:szCs w:val="22"/>
        </w:rPr>
        <w:t>NADH</w:t>
      </w:r>
      <w:r w:rsidR="0017430E" w:rsidRPr="00487F1F">
        <w:rPr>
          <w:rFonts w:ascii="Arial" w:hAnsi="Arial" w:cs="Arial"/>
          <w:sz w:val="22"/>
          <w:szCs w:val="22"/>
        </w:rPr>
        <w:t>)</w:t>
      </w:r>
      <w:r w:rsidR="00F1302E" w:rsidRPr="00487F1F">
        <w:rPr>
          <w:rFonts w:ascii="Arial" w:hAnsi="Arial" w:cs="Arial"/>
          <w:sz w:val="22"/>
          <w:szCs w:val="22"/>
        </w:rPr>
        <w:t xml:space="preserve"> molecules and 2 Pyruvate molecules. </w:t>
      </w:r>
    </w:p>
    <w:p w14:paraId="691AFC38" w14:textId="77777777" w:rsidR="00A23D6D" w:rsidRPr="00487F1F" w:rsidRDefault="00F1302E" w:rsidP="00487F1F">
      <w:pPr>
        <w:spacing w:line="360" w:lineRule="auto"/>
        <w:ind w:firstLine="720"/>
        <w:jc w:val="both"/>
        <w:rPr>
          <w:rFonts w:ascii="Arial" w:hAnsi="Arial" w:cs="Arial"/>
          <w:sz w:val="22"/>
          <w:szCs w:val="22"/>
        </w:rPr>
      </w:pPr>
      <w:r w:rsidRPr="00487F1F">
        <w:rPr>
          <w:rFonts w:ascii="Arial" w:hAnsi="Arial" w:cs="Arial"/>
          <w:sz w:val="22"/>
          <w:szCs w:val="22"/>
        </w:rPr>
        <w:t xml:space="preserve">On the other hand, the </w:t>
      </w:r>
      <w:r w:rsidR="008E57F5" w:rsidRPr="00487F1F">
        <w:rPr>
          <w:rFonts w:ascii="Arial" w:hAnsi="Arial" w:cs="Arial"/>
          <w:sz w:val="22"/>
          <w:szCs w:val="22"/>
        </w:rPr>
        <w:t>Krebs</w:t>
      </w:r>
      <w:r w:rsidRPr="00487F1F">
        <w:rPr>
          <w:rFonts w:ascii="Arial" w:hAnsi="Arial" w:cs="Arial"/>
          <w:sz w:val="22"/>
          <w:szCs w:val="22"/>
        </w:rPr>
        <w:t xml:space="preserve"> cycle occurs in the </w:t>
      </w:r>
      <w:r w:rsidR="008E57F5">
        <w:rPr>
          <w:rFonts w:ascii="Arial" w:hAnsi="Arial" w:cs="Arial"/>
          <w:sz w:val="22"/>
          <w:szCs w:val="22"/>
        </w:rPr>
        <w:t>m</w:t>
      </w:r>
      <w:r w:rsidRPr="00487F1F">
        <w:rPr>
          <w:rFonts w:ascii="Arial" w:hAnsi="Arial" w:cs="Arial"/>
          <w:sz w:val="22"/>
          <w:szCs w:val="22"/>
        </w:rPr>
        <w:t>itochondria</w:t>
      </w:r>
      <w:r w:rsidR="008E57F5">
        <w:rPr>
          <w:rFonts w:ascii="Arial" w:hAnsi="Arial" w:cs="Arial"/>
          <w:sz w:val="22"/>
          <w:szCs w:val="22"/>
        </w:rPr>
        <w:t xml:space="preserve"> and p</w:t>
      </w:r>
      <w:r w:rsidRPr="00487F1F">
        <w:rPr>
          <w:rFonts w:ascii="Arial" w:hAnsi="Arial" w:cs="Arial"/>
          <w:sz w:val="22"/>
          <w:szCs w:val="22"/>
        </w:rPr>
        <w:t>roduc</w:t>
      </w:r>
      <w:r w:rsidR="008E57F5">
        <w:rPr>
          <w:rFonts w:ascii="Arial" w:hAnsi="Arial" w:cs="Arial"/>
          <w:sz w:val="22"/>
          <w:szCs w:val="22"/>
        </w:rPr>
        <w:t>es three</w:t>
      </w:r>
      <w:r w:rsidRPr="00487F1F">
        <w:rPr>
          <w:rFonts w:ascii="Arial" w:hAnsi="Arial" w:cs="Arial"/>
          <w:sz w:val="22"/>
          <w:szCs w:val="22"/>
        </w:rPr>
        <w:t xml:space="preserve"> NADH, </w:t>
      </w:r>
      <w:r w:rsidR="008E57F5">
        <w:rPr>
          <w:rFonts w:ascii="Arial" w:hAnsi="Arial" w:cs="Arial"/>
          <w:sz w:val="22"/>
          <w:szCs w:val="22"/>
        </w:rPr>
        <w:t>one</w:t>
      </w:r>
      <w:r w:rsidRPr="00487F1F">
        <w:rPr>
          <w:rFonts w:ascii="Arial" w:hAnsi="Arial" w:cs="Arial"/>
          <w:sz w:val="22"/>
          <w:szCs w:val="22"/>
        </w:rPr>
        <w:t xml:space="preserve"> FADH2</w:t>
      </w:r>
      <w:r w:rsidR="0017430E" w:rsidRPr="00487F1F">
        <w:rPr>
          <w:rFonts w:ascii="Arial" w:hAnsi="Arial" w:cs="Arial"/>
          <w:sz w:val="22"/>
          <w:szCs w:val="22"/>
        </w:rPr>
        <w:t xml:space="preserve"> (Flavin adenine dinucleotide)</w:t>
      </w:r>
      <w:r w:rsidR="008E57F5">
        <w:rPr>
          <w:rFonts w:ascii="Arial" w:hAnsi="Arial" w:cs="Arial"/>
          <w:sz w:val="22"/>
          <w:szCs w:val="22"/>
        </w:rPr>
        <w:t>,</w:t>
      </w:r>
      <w:r w:rsidRPr="00487F1F">
        <w:rPr>
          <w:rFonts w:ascii="Arial" w:hAnsi="Arial" w:cs="Arial"/>
          <w:sz w:val="22"/>
          <w:szCs w:val="22"/>
        </w:rPr>
        <w:t xml:space="preserve"> and 2 ATP </w:t>
      </w:r>
      <w:r w:rsidR="008E57F5">
        <w:rPr>
          <w:rFonts w:ascii="Arial" w:hAnsi="Arial" w:cs="Arial"/>
          <w:sz w:val="22"/>
          <w:szCs w:val="22"/>
        </w:rPr>
        <w:t xml:space="preserve">(or </w:t>
      </w:r>
      <w:r w:rsidRPr="00487F1F">
        <w:rPr>
          <w:rFonts w:ascii="Arial" w:hAnsi="Arial" w:cs="Arial"/>
          <w:sz w:val="22"/>
          <w:szCs w:val="22"/>
        </w:rPr>
        <w:t>GTP</w:t>
      </w:r>
      <w:r w:rsidR="008E57F5">
        <w:rPr>
          <w:rFonts w:ascii="Arial" w:hAnsi="Arial" w:cs="Arial"/>
          <w:sz w:val="22"/>
          <w:szCs w:val="22"/>
        </w:rPr>
        <w:t>) per cycle</w:t>
      </w:r>
      <w:r w:rsidRPr="00487F1F">
        <w:rPr>
          <w:rFonts w:ascii="Arial" w:hAnsi="Arial" w:cs="Arial"/>
          <w:sz w:val="22"/>
          <w:szCs w:val="22"/>
        </w:rPr>
        <w:t xml:space="preserve">. Similarly, the oxidative phosphorylation occurs in the mitochondria. </w:t>
      </w:r>
      <w:r w:rsidR="008E57F5">
        <w:rPr>
          <w:rFonts w:ascii="Arial" w:hAnsi="Arial" w:cs="Arial"/>
          <w:sz w:val="22"/>
          <w:szCs w:val="22"/>
        </w:rPr>
        <w:t xml:space="preserve">This </w:t>
      </w:r>
      <w:r w:rsidRPr="00487F1F">
        <w:rPr>
          <w:rFonts w:ascii="Arial" w:hAnsi="Arial" w:cs="Arial"/>
          <w:sz w:val="22"/>
          <w:szCs w:val="22"/>
        </w:rPr>
        <w:t>phase utili</w:t>
      </w:r>
      <w:r w:rsidR="008E57F5">
        <w:rPr>
          <w:rFonts w:ascii="Arial" w:hAnsi="Arial" w:cs="Arial"/>
          <w:sz w:val="22"/>
          <w:szCs w:val="22"/>
        </w:rPr>
        <w:t>s</w:t>
      </w:r>
      <w:r w:rsidRPr="00487F1F">
        <w:rPr>
          <w:rFonts w:ascii="Arial" w:hAnsi="Arial" w:cs="Arial"/>
          <w:sz w:val="22"/>
          <w:szCs w:val="22"/>
        </w:rPr>
        <w:t>es the NADH and FADH2 from the previous stages, to create a high concentration of hydrogen ions and electrochemical gradient on the other side the membrane</w:t>
      </w:r>
      <w:r w:rsidR="00D725F0" w:rsidRPr="00487F1F">
        <w:rPr>
          <w:rFonts w:ascii="Arial" w:hAnsi="Arial" w:cs="Arial"/>
          <w:sz w:val="22"/>
          <w:szCs w:val="22"/>
        </w:rPr>
        <w:t xml:space="preserve"> (</w:t>
      </w:r>
      <w:proofErr w:type="spellStart"/>
      <w:r w:rsidR="00D725F0" w:rsidRPr="00487F1F">
        <w:rPr>
          <w:rFonts w:ascii="Arial" w:hAnsi="Arial" w:cs="Arial"/>
          <w:sz w:val="22"/>
          <w:szCs w:val="22"/>
        </w:rPr>
        <w:t>Alabduladhem</w:t>
      </w:r>
      <w:proofErr w:type="spellEnd"/>
      <w:r w:rsidR="00D725F0" w:rsidRPr="00487F1F">
        <w:rPr>
          <w:rFonts w:ascii="Arial" w:hAnsi="Arial" w:cs="Arial"/>
          <w:sz w:val="22"/>
          <w:szCs w:val="22"/>
        </w:rPr>
        <w:t xml:space="preserve"> et al., 2022)</w:t>
      </w:r>
      <w:r w:rsidRPr="00487F1F">
        <w:rPr>
          <w:rFonts w:ascii="Arial" w:hAnsi="Arial" w:cs="Arial"/>
          <w:sz w:val="22"/>
          <w:szCs w:val="22"/>
        </w:rPr>
        <w:t>. The high concentration of hydrogen ions powers the ATP synthase enzyme to create ATP</w:t>
      </w:r>
      <w:r w:rsidR="004E5E0E" w:rsidRPr="00487F1F">
        <w:rPr>
          <w:rFonts w:ascii="Arial" w:hAnsi="Arial" w:cs="Arial"/>
          <w:sz w:val="22"/>
          <w:szCs w:val="22"/>
        </w:rPr>
        <w:t xml:space="preserve">. Eventually, each NADH produces 2.5 ATP while the FADH2 produces 1.5 ATP. In sum, 32 ATP are produced from cellular respiration. </w:t>
      </w:r>
    </w:p>
    <w:p w14:paraId="4B4AD0ED" w14:textId="77777777" w:rsidR="00105170" w:rsidRPr="00487F1F" w:rsidRDefault="00105170" w:rsidP="00487F1F">
      <w:pPr>
        <w:spacing w:line="360" w:lineRule="auto"/>
        <w:ind w:firstLine="720"/>
        <w:jc w:val="both"/>
        <w:rPr>
          <w:rFonts w:ascii="Arial" w:hAnsi="Arial" w:cs="Arial"/>
          <w:sz w:val="22"/>
          <w:szCs w:val="22"/>
        </w:rPr>
      </w:pPr>
      <w:r w:rsidRPr="00487F1F">
        <w:rPr>
          <w:rFonts w:ascii="Arial" w:hAnsi="Arial" w:cs="Arial"/>
          <w:sz w:val="22"/>
          <w:szCs w:val="22"/>
        </w:rPr>
        <w:t xml:space="preserve">In individuals with T2D, </w:t>
      </w:r>
      <w:r w:rsidR="009D35C1" w:rsidRPr="00487F1F">
        <w:rPr>
          <w:rFonts w:ascii="Arial" w:hAnsi="Arial" w:cs="Arial"/>
          <w:sz w:val="22"/>
          <w:szCs w:val="22"/>
        </w:rPr>
        <w:t>cells become resistant to insulin, meaning the uptake of glucose is reduced, despite there being enough insulin. This implies that instead of being absorbed into the cell, glucose remains in the blood stream, leading to lower energy production rates. As such, the T2D patient experiences episodes of fatigue. Furthermore, prolonged high glucose levels can damage blood vessels and tissues, impairing oxygen delivery and further affecting cellular metabolism.</w:t>
      </w:r>
    </w:p>
    <w:p w14:paraId="103DF31C" w14:textId="77777777" w:rsidR="00A23D6D" w:rsidRPr="00487F1F" w:rsidRDefault="00A23D6D" w:rsidP="00487F1F">
      <w:pPr>
        <w:spacing w:line="360" w:lineRule="auto"/>
        <w:jc w:val="both"/>
        <w:rPr>
          <w:rFonts w:ascii="Arial" w:hAnsi="Arial" w:cs="Arial"/>
          <w:sz w:val="22"/>
          <w:szCs w:val="22"/>
        </w:rPr>
      </w:pPr>
      <w:r w:rsidRPr="00487F1F">
        <w:rPr>
          <w:rFonts w:ascii="Arial" w:hAnsi="Arial" w:cs="Arial"/>
          <w:b/>
          <w:sz w:val="22"/>
          <w:szCs w:val="22"/>
        </w:rPr>
        <w:t>Importance of Recording and Tracking Blood Sugar Levels</w:t>
      </w:r>
      <w:r w:rsidRPr="00487F1F">
        <w:rPr>
          <w:rFonts w:ascii="Arial" w:hAnsi="Arial" w:cs="Arial"/>
          <w:sz w:val="22"/>
          <w:szCs w:val="22"/>
        </w:rPr>
        <w:t xml:space="preserve"> </w:t>
      </w:r>
    </w:p>
    <w:p w14:paraId="33A438F0" w14:textId="77777777" w:rsidR="002325D3" w:rsidRPr="00487F1F" w:rsidRDefault="003D230B" w:rsidP="00487F1F">
      <w:pPr>
        <w:spacing w:line="360" w:lineRule="auto"/>
        <w:jc w:val="both"/>
        <w:rPr>
          <w:rFonts w:ascii="Arial" w:hAnsi="Arial" w:cs="Arial"/>
          <w:sz w:val="22"/>
          <w:szCs w:val="22"/>
        </w:rPr>
      </w:pPr>
      <w:r w:rsidRPr="00487F1F">
        <w:rPr>
          <w:rFonts w:ascii="Arial" w:hAnsi="Arial" w:cs="Arial"/>
          <w:sz w:val="22"/>
          <w:szCs w:val="22"/>
        </w:rPr>
        <w:tab/>
      </w:r>
      <w:r w:rsidR="00B9157B" w:rsidRPr="00487F1F">
        <w:rPr>
          <w:rFonts w:ascii="Arial" w:hAnsi="Arial" w:cs="Arial"/>
          <w:sz w:val="22"/>
          <w:szCs w:val="22"/>
        </w:rPr>
        <w:t>For p</w:t>
      </w:r>
      <w:r w:rsidRPr="00487F1F">
        <w:rPr>
          <w:rFonts w:ascii="Arial" w:hAnsi="Arial" w:cs="Arial"/>
          <w:sz w:val="22"/>
          <w:szCs w:val="22"/>
        </w:rPr>
        <w:t xml:space="preserve">eople diagnosed with T2D, routine monitoring of the blood glucose levels is highly encouraged. </w:t>
      </w:r>
      <w:r w:rsidR="00D725F0" w:rsidRPr="00487F1F">
        <w:rPr>
          <w:rFonts w:ascii="Arial" w:hAnsi="Arial" w:cs="Arial"/>
          <w:sz w:val="22"/>
          <w:szCs w:val="22"/>
        </w:rPr>
        <w:t>Miller (2020)</w:t>
      </w:r>
      <w:r w:rsidRPr="00487F1F">
        <w:rPr>
          <w:rFonts w:ascii="Arial" w:hAnsi="Arial" w:cs="Arial"/>
          <w:sz w:val="22"/>
          <w:szCs w:val="22"/>
        </w:rPr>
        <w:t xml:space="preserve"> note</w:t>
      </w:r>
      <w:r w:rsidR="008E57F5">
        <w:rPr>
          <w:rFonts w:ascii="Arial" w:hAnsi="Arial" w:cs="Arial"/>
          <w:sz w:val="22"/>
          <w:szCs w:val="22"/>
        </w:rPr>
        <w:t>s</w:t>
      </w:r>
      <w:r w:rsidRPr="00487F1F">
        <w:rPr>
          <w:rFonts w:ascii="Arial" w:hAnsi="Arial" w:cs="Arial"/>
          <w:sz w:val="22"/>
          <w:szCs w:val="22"/>
        </w:rPr>
        <w:t xml:space="preserve"> that recording and tracking blood</w:t>
      </w:r>
      <w:r w:rsidR="008E57F5">
        <w:rPr>
          <w:rFonts w:ascii="Arial" w:hAnsi="Arial" w:cs="Arial"/>
          <w:sz w:val="22"/>
          <w:szCs w:val="22"/>
        </w:rPr>
        <w:t xml:space="preserve"> glucose</w:t>
      </w:r>
      <w:r w:rsidRPr="00487F1F">
        <w:rPr>
          <w:rFonts w:ascii="Arial" w:hAnsi="Arial" w:cs="Arial"/>
          <w:sz w:val="22"/>
          <w:szCs w:val="22"/>
        </w:rPr>
        <w:t xml:space="preserve"> over time enables both patients and healthcare professional to assess how effectively the condition is controlled and to make informed decisions regarding treatment and lifestyle adjustments</w:t>
      </w:r>
      <w:r w:rsidR="00CE587C" w:rsidRPr="00487F1F">
        <w:rPr>
          <w:rFonts w:ascii="Arial" w:hAnsi="Arial" w:cs="Arial"/>
          <w:sz w:val="22"/>
          <w:szCs w:val="22"/>
        </w:rPr>
        <w:t xml:space="preserve">. One </w:t>
      </w:r>
      <w:r w:rsidR="008E57F5">
        <w:rPr>
          <w:rFonts w:ascii="Arial" w:hAnsi="Arial" w:cs="Arial"/>
          <w:sz w:val="22"/>
          <w:szCs w:val="22"/>
        </w:rPr>
        <w:t>method</w:t>
      </w:r>
      <w:r w:rsidR="00CE587C" w:rsidRPr="00487F1F">
        <w:rPr>
          <w:rFonts w:ascii="Arial" w:hAnsi="Arial" w:cs="Arial"/>
          <w:sz w:val="22"/>
          <w:szCs w:val="22"/>
        </w:rPr>
        <w:t xml:space="preserve"> through which T2D patients can monitor their blood sugar levels is through the Self-monitoring of blood glucose (SMBG). According to </w:t>
      </w:r>
      <w:r w:rsidR="00D725F0" w:rsidRPr="00487F1F">
        <w:rPr>
          <w:rFonts w:ascii="Arial" w:hAnsi="Arial" w:cs="Arial"/>
          <w:sz w:val="22"/>
          <w:szCs w:val="22"/>
        </w:rPr>
        <w:t>Kirk and Stegner (2010</w:t>
      </w:r>
      <w:r w:rsidR="00CE587C" w:rsidRPr="00487F1F">
        <w:rPr>
          <w:rFonts w:ascii="Arial" w:hAnsi="Arial" w:cs="Arial"/>
          <w:sz w:val="22"/>
          <w:szCs w:val="22"/>
        </w:rPr>
        <w:t xml:space="preserve">), the SMBG is a crucial diabetes management tool where individuals use a portable, hand-held device (glucometer) to measure their blood sugar levels in real-time, usually via a fingertip prick. The aim of this practice is to detect </w:t>
      </w:r>
      <w:r w:rsidR="00487F1F" w:rsidRPr="00487F1F">
        <w:rPr>
          <w:rFonts w:ascii="Arial" w:hAnsi="Arial" w:cs="Arial"/>
          <w:sz w:val="22"/>
          <w:szCs w:val="22"/>
        </w:rPr>
        <w:t>hypoglycaemia</w:t>
      </w:r>
      <w:r w:rsidR="00CE587C" w:rsidRPr="00487F1F">
        <w:rPr>
          <w:rFonts w:ascii="Arial" w:hAnsi="Arial" w:cs="Arial"/>
          <w:sz w:val="22"/>
          <w:szCs w:val="22"/>
        </w:rPr>
        <w:t xml:space="preserve"> and adjust the insulin level accordingly, or to profile the blood sugar level and respond to it using dietary or pharmacotherapy approaches. </w:t>
      </w:r>
    </w:p>
    <w:p w14:paraId="3E2918C4" w14:textId="77777777" w:rsidR="00CE587C" w:rsidRPr="00487F1F" w:rsidRDefault="00CE587C" w:rsidP="00487F1F">
      <w:pPr>
        <w:spacing w:line="360" w:lineRule="auto"/>
        <w:ind w:firstLine="720"/>
        <w:jc w:val="both"/>
        <w:rPr>
          <w:rFonts w:ascii="Arial" w:hAnsi="Arial" w:cs="Arial"/>
          <w:sz w:val="22"/>
          <w:szCs w:val="22"/>
        </w:rPr>
      </w:pPr>
      <w:r w:rsidRPr="00487F1F">
        <w:rPr>
          <w:rFonts w:ascii="Arial" w:hAnsi="Arial" w:cs="Arial"/>
          <w:sz w:val="22"/>
          <w:szCs w:val="22"/>
        </w:rPr>
        <w:t xml:space="preserve">The other approach of </w:t>
      </w:r>
      <w:r w:rsidR="00B9157B" w:rsidRPr="00487F1F">
        <w:rPr>
          <w:rFonts w:ascii="Arial" w:hAnsi="Arial" w:cs="Arial"/>
          <w:sz w:val="22"/>
          <w:szCs w:val="22"/>
        </w:rPr>
        <w:t>recording</w:t>
      </w:r>
      <w:r w:rsidRPr="00487F1F">
        <w:rPr>
          <w:rFonts w:ascii="Arial" w:hAnsi="Arial" w:cs="Arial"/>
          <w:sz w:val="22"/>
          <w:szCs w:val="22"/>
        </w:rPr>
        <w:t xml:space="preserve"> and tracking blood sugar level is the </w:t>
      </w:r>
      <w:r w:rsidR="00487F1F" w:rsidRPr="00487F1F">
        <w:rPr>
          <w:rFonts w:ascii="Arial" w:hAnsi="Arial" w:cs="Arial"/>
          <w:sz w:val="22"/>
          <w:szCs w:val="22"/>
        </w:rPr>
        <w:t>haemoglobin</w:t>
      </w:r>
      <w:r w:rsidRPr="00487F1F">
        <w:rPr>
          <w:rFonts w:ascii="Arial" w:hAnsi="Arial" w:cs="Arial"/>
          <w:sz w:val="22"/>
          <w:szCs w:val="22"/>
        </w:rPr>
        <w:t xml:space="preserve"> A1c test or simply HbA1c. </w:t>
      </w:r>
      <w:r w:rsidR="00B9157B" w:rsidRPr="00487F1F">
        <w:rPr>
          <w:rFonts w:ascii="Arial" w:hAnsi="Arial" w:cs="Arial"/>
          <w:sz w:val="22"/>
          <w:szCs w:val="22"/>
        </w:rPr>
        <w:t xml:space="preserve">According to </w:t>
      </w:r>
      <w:r w:rsidR="00D725F0" w:rsidRPr="00487F1F">
        <w:rPr>
          <w:rFonts w:ascii="Arial" w:hAnsi="Arial" w:cs="Arial"/>
          <w:sz w:val="22"/>
          <w:szCs w:val="22"/>
        </w:rPr>
        <w:t>Goyal Mehra et al. (2022)</w:t>
      </w:r>
      <w:r w:rsidR="00B9157B" w:rsidRPr="00487F1F">
        <w:rPr>
          <w:rFonts w:ascii="Arial" w:hAnsi="Arial" w:cs="Arial"/>
          <w:sz w:val="22"/>
          <w:szCs w:val="22"/>
        </w:rPr>
        <w:t xml:space="preserve">, the test shows average blood sugar levels over the past 90 days, expressed as a percentage. When glucose in the blood binds with </w:t>
      </w:r>
      <w:r w:rsidR="00487F1F" w:rsidRPr="00487F1F">
        <w:rPr>
          <w:rFonts w:ascii="Arial" w:hAnsi="Arial" w:cs="Arial"/>
          <w:sz w:val="22"/>
          <w:szCs w:val="22"/>
        </w:rPr>
        <w:t>haemoglobin</w:t>
      </w:r>
      <w:r w:rsidR="00B9157B" w:rsidRPr="00487F1F">
        <w:rPr>
          <w:rFonts w:ascii="Arial" w:hAnsi="Arial" w:cs="Arial"/>
          <w:sz w:val="22"/>
          <w:szCs w:val="22"/>
        </w:rPr>
        <w:t>, it leads to the formation of the glycated haemoglobin (HbA1c). The amount of HbA1c formed is directly proportional to the amount of glucose in the bloodstream. With red blood cells having a lifespan of 2–3 months, the amount of HbA1c in the blood reflects the average level of glucose in the blood over the last 2-3 months. Therefore, if diabetes is not well controlled, the blood glucose levels will be high causing higher HbA1c results.</w:t>
      </w:r>
    </w:p>
    <w:p w14:paraId="49A7FF47" w14:textId="77777777" w:rsidR="00B9157B" w:rsidRPr="00487F1F" w:rsidRDefault="00B9157B" w:rsidP="00487F1F">
      <w:pPr>
        <w:spacing w:line="360" w:lineRule="auto"/>
        <w:ind w:firstLine="720"/>
        <w:jc w:val="both"/>
        <w:rPr>
          <w:rFonts w:ascii="Arial" w:hAnsi="Arial" w:cs="Arial"/>
          <w:sz w:val="22"/>
          <w:szCs w:val="22"/>
        </w:rPr>
      </w:pPr>
      <w:r w:rsidRPr="00487F1F">
        <w:rPr>
          <w:rFonts w:ascii="Arial" w:hAnsi="Arial" w:cs="Arial"/>
          <w:sz w:val="22"/>
          <w:szCs w:val="22"/>
        </w:rPr>
        <w:t>In the United Kingdom, roughly 4.6 million people are diagnosed with diabetes, of which, 90% have T2D (</w:t>
      </w:r>
      <w:r w:rsidR="00D725F0" w:rsidRPr="00487F1F">
        <w:rPr>
          <w:rFonts w:ascii="Arial" w:hAnsi="Arial" w:cs="Arial"/>
          <w:sz w:val="22"/>
          <w:szCs w:val="22"/>
        </w:rPr>
        <w:t>NHS England, 2024</w:t>
      </w:r>
      <w:r w:rsidRPr="00487F1F">
        <w:rPr>
          <w:rFonts w:ascii="Arial" w:hAnsi="Arial" w:cs="Arial"/>
          <w:sz w:val="22"/>
          <w:szCs w:val="22"/>
        </w:rPr>
        <w:t xml:space="preserve">). </w:t>
      </w:r>
      <w:r w:rsidR="00675B60" w:rsidRPr="00487F1F">
        <w:rPr>
          <w:rFonts w:ascii="Arial" w:hAnsi="Arial" w:cs="Arial"/>
          <w:sz w:val="22"/>
          <w:szCs w:val="22"/>
        </w:rPr>
        <w:t>Furthermore, the study</w:t>
      </w:r>
      <w:r w:rsidRPr="00487F1F">
        <w:rPr>
          <w:rFonts w:ascii="Arial" w:hAnsi="Arial" w:cs="Arial"/>
          <w:sz w:val="22"/>
          <w:szCs w:val="22"/>
        </w:rPr>
        <w:t xml:space="preserve"> indicate</w:t>
      </w:r>
      <w:r w:rsidR="00675B60" w:rsidRPr="00487F1F">
        <w:rPr>
          <w:rFonts w:ascii="Arial" w:hAnsi="Arial" w:cs="Arial"/>
          <w:sz w:val="22"/>
          <w:szCs w:val="22"/>
        </w:rPr>
        <w:t>s</w:t>
      </w:r>
      <w:r w:rsidRPr="00487F1F">
        <w:rPr>
          <w:rFonts w:ascii="Arial" w:hAnsi="Arial" w:cs="Arial"/>
          <w:sz w:val="22"/>
          <w:szCs w:val="22"/>
        </w:rPr>
        <w:t xml:space="preserve"> that close to 1 million people in the UK live with undiagnosed diabetes. In the same breath, in 2024, the National Diabetes Audit showed that close to 3.6 </w:t>
      </w:r>
      <w:proofErr w:type="gramStart"/>
      <w:r w:rsidRPr="00487F1F">
        <w:rPr>
          <w:rFonts w:ascii="Arial" w:hAnsi="Arial" w:cs="Arial"/>
          <w:sz w:val="22"/>
          <w:szCs w:val="22"/>
        </w:rPr>
        <w:t>Million</w:t>
      </w:r>
      <w:proofErr w:type="gramEnd"/>
      <w:r w:rsidRPr="00487F1F">
        <w:rPr>
          <w:rFonts w:ascii="Arial" w:hAnsi="Arial" w:cs="Arial"/>
          <w:sz w:val="22"/>
          <w:szCs w:val="22"/>
        </w:rPr>
        <w:t xml:space="preserve"> people in the UK had prediabetic condition (blood sugar levels that are above the normal range, so are at greater risk of developing type 2 diabetes and cardiovascular disease). For people above 40 years, this number increased from 173,166 in 2022 to 216,440 in 2023 (</w:t>
      </w:r>
      <w:r w:rsidR="00675B60" w:rsidRPr="00487F1F">
        <w:rPr>
          <w:rFonts w:ascii="Arial" w:hAnsi="Arial" w:cs="Arial"/>
          <w:sz w:val="22"/>
          <w:szCs w:val="22"/>
        </w:rPr>
        <w:t>NHS England, 2024</w:t>
      </w:r>
      <w:r w:rsidRPr="00487F1F">
        <w:rPr>
          <w:rFonts w:ascii="Arial" w:hAnsi="Arial" w:cs="Arial"/>
          <w:sz w:val="22"/>
          <w:szCs w:val="22"/>
        </w:rPr>
        <w:t xml:space="preserve">). These numbers play a critical role in helping the NHS to make better informed decision on early diagnosis and support to prevent progression of the condition. Consequently, </w:t>
      </w:r>
      <w:r w:rsidR="006C4DD3">
        <w:rPr>
          <w:rFonts w:ascii="Arial" w:hAnsi="Arial" w:cs="Arial"/>
          <w:sz w:val="22"/>
          <w:szCs w:val="22"/>
        </w:rPr>
        <w:t>delayed</w:t>
      </w:r>
      <w:r w:rsidRPr="00487F1F">
        <w:rPr>
          <w:rFonts w:ascii="Arial" w:hAnsi="Arial" w:cs="Arial"/>
          <w:sz w:val="22"/>
          <w:szCs w:val="22"/>
        </w:rPr>
        <w:t xml:space="preserve"> diagnosis leads to severe damage </w:t>
      </w:r>
      <w:r w:rsidR="006C4DD3">
        <w:rPr>
          <w:rFonts w:ascii="Arial" w:hAnsi="Arial" w:cs="Arial"/>
          <w:sz w:val="22"/>
          <w:szCs w:val="22"/>
        </w:rPr>
        <w:t>to</w:t>
      </w:r>
      <w:r w:rsidRPr="00487F1F">
        <w:rPr>
          <w:rFonts w:ascii="Arial" w:hAnsi="Arial" w:cs="Arial"/>
          <w:sz w:val="22"/>
          <w:szCs w:val="22"/>
        </w:rPr>
        <w:t xml:space="preserve"> vital organs and body systems, </w:t>
      </w:r>
      <w:proofErr w:type="gramStart"/>
      <w:r w:rsidR="006C4DD3">
        <w:rPr>
          <w:rFonts w:ascii="Arial" w:hAnsi="Arial" w:cs="Arial"/>
          <w:sz w:val="22"/>
          <w:szCs w:val="22"/>
        </w:rPr>
        <w:t xml:space="preserve">that </w:t>
      </w:r>
      <w:r w:rsidRPr="00487F1F">
        <w:rPr>
          <w:rFonts w:ascii="Arial" w:hAnsi="Arial" w:cs="Arial"/>
          <w:sz w:val="22"/>
          <w:szCs w:val="22"/>
        </w:rPr>
        <w:t xml:space="preserve"> could</w:t>
      </w:r>
      <w:proofErr w:type="gramEnd"/>
      <w:r w:rsidRPr="00487F1F">
        <w:rPr>
          <w:rFonts w:ascii="Arial" w:hAnsi="Arial" w:cs="Arial"/>
          <w:sz w:val="22"/>
          <w:szCs w:val="22"/>
        </w:rPr>
        <w:t xml:space="preserve"> have otherwise been </w:t>
      </w:r>
      <w:r w:rsidR="006C4DD3">
        <w:rPr>
          <w:rFonts w:ascii="Arial" w:hAnsi="Arial" w:cs="Arial"/>
          <w:sz w:val="22"/>
          <w:szCs w:val="22"/>
        </w:rPr>
        <w:t>prevented</w:t>
      </w:r>
      <w:r w:rsidRPr="00487F1F">
        <w:rPr>
          <w:rFonts w:ascii="Arial" w:hAnsi="Arial" w:cs="Arial"/>
          <w:sz w:val="22"/>
          <w:szCs w:val="22"/>
        </w:rPr>
        <w:t xml:space="preserve">. For this </w:t>
      </w:r>
      <w:r w:rsidR="00487F1F" w:rsidRPr="00487F1F">
        <w:rPr>
          <w:rFonts w:ascii="Arial" w:hAnsi="Arial" w:cs="Arial"/>
          <w:sz w:val="22"/>
          <w:szCs w:val="22"/>
        </w:rPr>
        <w:t>reason, Pan</w:t>
      </w:r>
      <w:r w:rsidR="00675B60" w:rsidRPr="00487F1F">
        <w:rPr>
          <w:rFonts w:ascii="Arial" w:hAnsi="Arial" w:cs="Arial"/>
          <w:sz w:val="22"/>
          <w:szCs w:val="22"/>
        </w:rPr>
        <w:t xml:space="preserve"> et al. (2024) </w:t>
      </w:r>
      <w:r w:rsidRPr="00487F1F">
        <w:rPr>
          <w:rFonts w:ascii="Arial" w:hAnsi="Arial" w:cs="Arial"/>
          <w:sz w:val="22"/>
          <w:szCs w:val="22"/>
        </w:rPr>
        <w:t xml:space="preserve">recommends that for people exposed to the diabetes risk factors such as obesity, Family history of diabetes, History of gestational diabetes, Ethnic background such as African, Hispanic and Asian have a higher risk for developing diabetes, Old age, and Hypertension, should conduct frequent and timely measurement of the blood sugar levels. </w:t>
      </w:r>
    </w:p>
    <w:p w14:paraId="4CF92C18" w14:textId="77777777" w:rsidR="00A23D6D" w:rsidRPr="00487F1F" w:rsidRDefault="00A23D6D" w:rsidP="00487F1F">
      <w:pPr>
        <w:spacing w:line="360" w:lineRule="auto"/>
        <w:jc w:val="both"/>
        <w:rPr>
          <w:rFonts w:ascii="Arial" w:hAnsi="Arial" w:cs="Arial"/>
          <w:sz w:val="22"/>
          <w:szCs w:val="22"/>
        </w:rPr>
      </w:pPr>
      <w:r w:rsidRPr="00487F1F">
        <w:rPr>
          <w:rFonts w:ascii="Arial" w:hAnsi="Arial" w:cs="Arial"/>
          <w:b/>
          <w:sz w:val="22"/>
          <w:szCs w:val="22"/>
        </w:rPr>
        <w:t>Evidence-Based Lifestyle Recommendations</w:t>
      </w:r>
      <w:r w:rsidRPr="00487F1F">
        <w:rPr>
          <w:rFonts w:ascii="Arial" w:hAnsi="Arial" w:cs="Arial"/>
          <w:sz w:val="22"/>
          <w:szCs w:val="22"/>
        </w:rPr>
        <w:t xml:space="preserve"> </w:t>
      </w:r>
    </w:p>
    <w:p w14:paraId="0E1D84BD" w14:textId="77777777" w:rsidR="00A23D6D" w:rsidRPr="00487F1F" w:rsidRDefault="006C4DD3" w:rsidP="00487F1F">
      <w:pPr>
        <w:spacing w:line="360" w:lineRule="auto"/>
        <w:ind w:firstLine="720"/>
        <w:jc w:val="both"/>
        <w:rPr>
          <w:rFonts w:ascii="Arial" w:hAnsi="Arial" w:cs="Arial"/>
          <w:sz w:val="22"/>
          <w:szCs w:val="22"/>
        </w:rPr>
      </w:pPr>
      <w:r w:rsidRPr="006C4DD3">
        <w:rPr>
          <w:rFonts w:ascii="Arial" w:hAnsi="Arial" w:cs="Arial"/>
          <w:sz w:val="22"/>
          <w:szCs w:val="22"/>
        </w:rPr>
        <w:t>Although T2D is a chronic condition associated with significant morbidity and mortality, evidence demonstrates that it can be effectively managed through lifestyle modification.</w:t>
      </w:r>
      <w:r w:rsidR="00743197" w:rsidRPr="00487F1F">
        <w:rPr>
          <w:rFonts w:ascii="Arial" w:hAnsi="Arial" w:cs="Arial"/>
          <w:sz w:val="22"/>
          <w:szCs w:val="22"/>
        </w:rPr>
        <w:t xml:space="preserve"> As such, through healthy meal plans, enhanced physical activity, weight management, and smoking cessation, T2D patients can reduce the risk of long-term complications. </w:t>
      </w:r>
      <w:r w:rsidR="00671F35" w:rsidRPr="00487F1F">
        <w:rPr>
          <w:rFonts w:ascii="Arial" w:hAnsi="Arial" w:cs="Arial"/>
          <w:sz w:val="22"/>
          <w:szCs w:val="22"/>
        </w:rPr>
        <w:t xml:space="preserve">To begin with, </w:t>
      </w:r>
      <w:r w:rsidR="00675B60" w:rsidRPr="00487F1F">
        <w:rPr>
          <w:rFonts w:ascii="Arial" w:hAnsi="Arial" w:cs="Arial"/>
          <w:sz w:val="22"/>
          <w:szCs w:val="22"/>
        </w:rPr>
        <w:t xml:space="preserve">Minari et al. (2023) </w:t>
      </w:r>
      <w:r w:rsidR="00671F35" w:rsidRPr="00487F1F">
        <w:rPr>
          <w:rFonts w:ascii="Arial" w:hAnsi="Arial" w:cs="Arial"/>
          <w:sz w:val="22"/>
          <w:szCs w:val="22"/>
        </w:rPr>
        <w:t>note that one of the main ways to manage T2D is through nutrition. The authors point out that T2D patients should limit the amount of carbohydrates they consume</w:t>
      </w:r>
      <w:r>
        <w:rPr>
          <w:rFonts w:ascii="Arial" w:hAnsi="Arial" w:cs="Arial"/>
          <w:sz w:val="22"/>
          <w:szCs w:val="22"/>
        </w:rPr>
        <w:t xml:space="preserve">, as excessive </w:t>
      </w:r>
      <w:r w:rsidR="00671F35" w:rsidRPr="00487F1F">
        <w:rPr>
          <w:rFonts w:ascii="Arial" w:hAnsi="Arial" w:cs="Arial"/>
          <w:sz w:val="22"/>
          <w:szCs w:val="22"/>
        </w:rPr>
        <w:t>amount of glucose</w:t>
      </w:r>
      <w:r>
        <w:rPr>
          <w:rFonts w:ascii="Arial" w:hAnsi="Arial" w:cs="Arial"/>
          <w:sz w:val="22"/>
          <w:szCs w:val="22"/>
        </w:rPr>
        <w:t xml:space="preserve"> </w:t>
      </w:r>
      <w:r w:rsidR="00671F35" w:rsidRPr="00487F1F">
        <w:rPr>
          <w:rFonts w:ascii="Arial" w:hAnsi="Arial" w:cs="Arial"/>
          <w:sz w:val="22"/>
          <w:szCs w:val="22"/>
        </w:rPr>
        <w:t>increase</w:t>
      </w:r>
      <w:r>
        <w:rPr>
          <w:rFonts w:ascii="Arial" w:hAnsi="Arial" w:cs="Arial"/>
          <w:sz w:val="22"/>
          <w:szCs w:val="22"/>
        </w:rPr>
        <w:t>s</w:t>
      </w:r>
      <w:r w:rsidR="00671F35" w:rsidRPr="00487F1F">
        <w:rPr>
          <w:rFonts w:ascii="Arial" w:hAnsi="Arial" w:cs="Arial"/>
          <w:sz w:val="22"/>
          <w:szCs w:val="22"/>
        </w:rPr>
        <w:t xml:space="preserve"> the blood sugar level, which in turn strains the production and utili</w:t>
      </w:r>
      <w:r>
        <w:rPr>
          <w:rFonts w:ascii="Arial" w:hAnsi="Arial" w:cs="Arial"/>
          <w:sz w:val="22"/>
          <w:szCs w:val="22"/>
        </w:rPr>
        <w:t>s</w:t>
      </w:r>
      <w:r w:rsidR="00671F35" w:rsidRPr="00487F1F">
        <w:rPr>
          <w:rFonts w:ascii="Arial" w:hAnsi="Arial" w:cs="Arial"/>
          <w:sz w:val="22"/>
          <w:szCs w:val="22"/>
        </w:rPr>
        <w:t>ation of insulin. Instead, experts recommend that T2D patient should consume more vegetables, lean proteins, healthy fats and whole grain</w:t>
      </w:r>
      <w:r w:rsidR="008E4C5D" w:rsidRPr="00487F1F">
        <w:rPr>
          <w:rFonts w:ascii="Arial" w:hAnsi="Arial" w:cs="Arial"/>
          <w:sz w:val="22"/>
          <w:szCs w:val="22"/>
        </w:rPr>
        <w:t>. In so doing, the patient avoids spikes of sugar. Also</w:t>
      </w:r>
      <w:r w:rsidR="00675B60" w:rsidRPr="00487F1F">
        <w:rPr>
          <w:rFonts w:ascii="Arial" w:hAnsi="Arial" w:cs="Arial"/>
          <w:sz w:val="22"/>
          <w:szCs w:val="22"/>
        </w:rPr>
        <w:t>, Minari et al. (2023)</w:t>
      </w:r>
      <w:r w:rsidR="008E4C5D" w:rsidRPr="00487F1F">
        <w:rPr>
          <w:rFonts w:ascii="Arial" w:hAnsi="Arial" w:cs="Arial"/>
          <w:sz w:val="22"/>
          <w:szCs w:val="22"/>
        </w:rPr>
        <w:t xml:space="preserve"> points out on the importance of portion control and regular meal timing in stabilising the metabolic activities and preventing post-prandial hyperglycaemia. </w:t>
      </w:r>
    </w:p>
    <w:p w14:paraId="1D7A0F58" w14:textId="77777777" w:rsidR="00E4658D" w:rsidRPr="00487F1F" w:rsidRDefault="00E4658D" w:rsidP="00487F1F">
      <w:pPr>
        <w:spacing w:line="360" w:lineRule="auto"/>
        <w:ind w:firstLine="720"/>
        <w:jc w:val="both"/>
        <w:rPr>
          <w:rFonts w:ascii="Arial" w:hAnsi="Arial" w:cs="Arial"/>
          <w:sz w:val="22"/>
          <w:szCs w:val="22"/>
        </w:rPr>
      </w:pPr>
      <w:r w:rsidRPr="00487F1F">
        <w:rPr>
          <w:rFonts w:ascii="Arial" w:hAnsi="Arial" w:cs="Arial"/>
          <w:sz w:val="22"/>
          <w:szCs w:val="22"/>
        </w:rPr>
        <w:t xml:space="preserve">Another way to manage T2D is through frequent exercises. </w:t>
      </w:r>
      <w:r w:rsidR="00390C73" w:rsidRPr="00487F1F">
        <w:rPr>
          <w:rFonts w:ascii="Arial" w:hAnsi="Arial" w:cs="Arial"/>
          <w:sz w:val="22"/>
          <w:szCs w:val="22"/>
        </w:rPr>
        <w:t xml:space="preserve">According to </w:t>
      </w:r>
      <w:r w:rsidR="00675B60" w:rsidRPr="00487F1F">
        <w:rPr>
          <w:rFonts w:ascii="Arial" w:hAnsi="Arial" w:cs="Arial"/>
          <w:sz w:val="22"/>
          <w:szCs w:val="22"/>
        </w:rPr>
        <w:t>Kanaley et al. (2022)</w:t>
      </w:r>
      <w:r w:rsidR="00390C73" w:rsidRPr="00487F1F">
        <w:rPr>
          <w:rFonts w:ascii="Arial" w:hAnsi="Arial" w:cs="Arial"/>
          <w:sz w:val="22"/>
          <w:szCs w:val="22"/>
        </w:rPr>
        <w:t xml:space="preserve">, frequent body exercise </w:t>
      </w:r>
      <w:r w:rsidR="00016DF8">
        <w:rPr>
          <w:rFonts w:ascii="Arial" w:hAnsi="Arial" w:cs="Arial"/>
          <w:sz w:val="22"/>
          <w:szCs w:val="22"/>
        </w:rPr>
        <w:t>enhances</w:t>
      </w:r>
      <w:r w:rsidR="00390C73" w:rsidRPr="00487F1F">
        <w:rPr>
          <w:rFonts w:ascii="Arial" w:hAnsi="Arial" w:cs="Arial"/>
          <w:sz w:val="22"/>
          <w:szCs w:val="22"/>
        </w:rPr>
        <w:t xml:space="preserve"> glucose</w:t>
      </w:r>
      <w:r w:rsidR="00FB7D51">
        <w:rPr>
          <w:rFonts w:ascii="Arial" w:hAnsi="Arial" w:cs="Arial"/>
          <w:sz w:val="22"/>
          <w:szCs w:val="22"/>
        </w:rPr>
        <w:t xml:space="preserve"> uptake</w:t>
      </w:r>
      <w:r w:rsidR="00390C73" w:rsidRPr="00487F1F">
        <w:rPr>
          <w:rFonts w:ascii="Arial" w:hAnsi="Arial" w:cs="Arial"/>
          <w:sz w:val="22"/>
          <w:szCs w:val="22"/>
        </w:rPr>
        <w:t xml:space="preserve"> into the muscles for energy production</w:t>
      </w:r>
      <w:r w:rsidR="00016DF8">
        <w:rPr>
          <w:rFonts w:ascii="Arial" w:hAnsi="Arial" w:cs="Arial"/>
          <w:sz w:val="22"/>
          <w:szCs w:val="22"/>
        </w:rPr>
        <w:t>, thereby improving insulin sensitivity</w:t>
      </w:r>
      <w:r w:rsidR="00390C73" w:rsidRPr="00487F1F">
        <w:rPr>
          <w:rFonts w:ascii="Arial" w:hAnsi="Arial" w:cs="Arial"/>
          <w:sz w:val="22"/>
          <w:szCs w:val="22"/>
        </w:rPr>
        <w:t xml:space="preserve">.  </w:t>
      </w:r>
      <w:r w:rsidRPr="00487F1F">
        <w:rPr>
          <w:rFonts w:ascii="Arial" w:hAnsi="Arial" w:cs="Arial"/>
          <w:sz w:val="22"/>
          <w:szCs w:val="22"/>
        </w:rPr>
        <w:t xml:space="preserve">As previously indicated, T2D </w:t>
      </w:r>
      <w:r w:rsidR="00016DF8">
        <w:rPr>
          <w:rFonts w:ascii="Arial" w:hAnsi="Arial" w:cs="Arial"/>
          <w:sz w:val="22"/>
          <w:szCs w:val="22"/>
        </w:rPr>
        <w:t>is characterised</w:t>
      </w:r>
      <w:r w:rsidR="00390C73" w:rsidRPr="00487F1F">
        <w:rPr>
          <w:rFonts w:ascii="Arial" w:hAnsi="Arial" w:cs="Arial"/>
          <w:sz w:val="22"/>
          <w:szCs w:val="22"/>
        </w:rPr>
        <w:t xml:space="preserve"> by increased blood sugar levels. Therefore, through frequent exercises, patients can reduce the amount of blood sugar levels, as much of it will be consumed during the exercise. Therefore, it is prudent for healthcare givers to advocate for regular physical activity through public campaigns and community programs. This may involve advocating for the creation </w:t>
      </w:r>
      <w:r w:rsidR="00452C36" w:rsidRPr="00487F1F">
        <w:rPr>
          <w:rFonts w:ascii="Arial" w:hAnsi="Arial" w:cs="Arial"/>
          <w:sz w:val="22"/>
          <w:szCs w:val="22"/>
        </w:rPr>
        <w:t>of infrastructure</w:t>
      </w:r>
      <w:r w:rsidR="00390C73" w:rsidRPr="00487F1F">
        <w:rPr>
          <w:rFonts w:ascii="Arial" w:hAnsi="Arial" w:cs="Arial"/>
          <w:sz w:val="22"/>
          <w:szCs w:val="22"/>
        </w:rPr>
        <w:t xml:space="preserve"> that supports active living, such as walking and biking paths, parks, and recreational facilities</w:t>
      </w:r>
      <w:r w:rsidR="00452C36" w:rsidRPr="00487F1F">
        <w:rPr>
          <w:rFonts w:ascii="Arial" w:hAnsi="Arial" w:cs="Arial"/>
          <w:sz w:val="22"/>
          <w:szCs w:val="22"/>
        </w:rPr>
        <w:t xml:space="preserve">. </w:t>
      </w:r>
    </w:p>
    <w:p w14:paraId="6EAB5DC9" w14:textId="77777777" w:rsidR="00452C36" w:rsidRPr="00487F1F" w:rsidRDefault="00452C36" w:rsidP="00487F1F">
      <w:pPr>
        <w:spacing w:line="360" w:lineRule="auto"/>
        <w:jc w:val="both"/>
        <w:rPr>
          <w:rFonts w:ascii="Arial" w:hAnsi="Arial" w:cs="Arial"/>
          <w:sz w:val="22"/>
          <w:szCs w:val="22"/>
        </w:rPr>
      </w:pPr>
      <w:r w:rsidRPr="00487F1F">
        <w:rPr>
          <w:rFonts w:ascii="Arial" w:hAnsi="Arial" w:cs="Arial"/>
          <w:sz w:val="22"/>
          <w:szCs w:val="22"/>
        </w:rPr>
        <w:tab/>
        <w:t xml:space="preserve">Lastly, </w:t>
      </w:r>
      <w:r w:rsidR="00563B38" w:rsidRPr="00487F1F">
        <w:rPr>
          <w:rFonts w:ascii="Arial" w:hAnsi="Arial" w:cs="Arial"/>
          <w:sz w:val="22"/>
          <w:szCs w:val="22"/>
        </w:rPr>
        <w:t xml:space="preserve">T2D can be managed through weight management and cessation of smoking. In both cases, the patient will be addressing the risk factors that catalyse the condition. For </w:t>
      </w:r>
      <w:r w:rsidR="00675B60" w:rsidRPr="00487F1F">
        <w:rPr>
          <w:rFonts w:ascii="Arial" w:hAnsi="Arial" w:cs="Arial"/>
          <w:sz w:val="22"/>
          <w:szCs w:val="22"/>
        </w:rPr>
        <w:t xml:space="preserve">instance, </w:t>
      </w:r>
      <w:proofErr w:type="spellStart"/>
      <w:r w:rsidR="00675B60" w:rsidRPr="00487F1F">
        <w:rPr>
          <w:rFonts w:ascii="Arial" w:hAnsi="Arial" w:cs="Arial"/>
          <w:sz w:val="22"/>
          <w:szCs w:val="22"/>
        </w:rPr>
        <w:t>Dhokte</w:t>
      </w:r>
      <w:proofErr w:type="spellEnd"/>
      <w:r w:rsidR="00675B60" w:rsidRPr="00487F1F">
        <w:rPr>
          <w:rFonts w:ascii="Arial" w:hAnsi="Arial" w:cs="Arial"/>
          <w:sz w:val="22"/>
          <w:szCs w:val="22"/>
        </w:rPr>
        <w:t xml:space="preserve"> &amp; Czaja (2024) </w:t>
      </w:r>
      <w:r w:rsidR="00563B38" w:rsidRPr="00487F1F">
        <w:rPr>
          <w:rFonts w:ascii="Arial" w:hAnsi="Arial" w:cs="Arial"/>
          <w:sz w:val="22"/>
          <w:szCs w:val="22"/>
        </w:rPr>
        <w:t xml:space="preserve">note that excess adipose tissue is linked to T2D and insulin resistance. Thus, any efforts directed towards weight loss has a direct implication on </w:t>
      </w:r>
      <w:r w:rsidR="00487F1F" w:rsidRPr="00487F1F">
        <w:rPr>
          <w:rFonts w:ascii="Arial" w:hAnsi="Arial" w:cs="Arial"/>
          <w:sz w:val="22"/>
          <w:szCs w:val="22"/>
        </w:rPr>
        <w:t>glycaemic</w:t>
      </w:r>
      <w:r w:rsidR="00563B38" w:rsidRPr="00487F1F">
        <w:rPr>
          <w:rFonts w:ascii="Arial" w:hAnsi="Arial" w:cs="Arial"/>
          <w:sz w:val="22"/>
          <w:szCs w:val="22"/>
        </w:rPr>
        <w:t xml:space="preserve"> controls. Combining measures and taking a holistic approach can control lifestyle diseases, enhancing public health</w:t>
      </w:r>
    </w:p>
    <w:p w14:paraId="3F39D86A" w14:textId="77777777" w:rsidR="00487F1F" w:rsidRDefault="00487F1F" w:rsidP="00487F1F">
      <w:pPr>
        <w:spacing w:line="360" w:lineRule="auto"/>
        <w:jc w:val="center"/>
        <w:rPr>
          <w:rFonts w:ascii="Arial" w:hAnsi="Arial" w:cs="Arial"/>
          <w:b/>
          <w:sz w:val="22"/>
          <w:szCs w:val="22"/>
        </w:rPr>
      </w:pPr>
    </w:p>
    <w:p w14:paraId="29301FAB" w14:textId="77777777" w:rsidR="00A23D6D" w:rsidRPr="00487F1F" w:rsidRDefault="00A23D6D" w:rsidP="00487F1F">
      <w:pPr>
        <w:spacing w:line="360" w:lineRule="auto"/>
        <w:jc w:val="center"/>
        <w:rPr>
          <w:rFonts w:ascii="Arial" w:hAnsi="Arial" w:cs="Arial"/>
          <w:sz w:val="22"/>
          <w:szCs w:val="22"/>
        </w:rPr>
      </w:pPr>
      <w:r w:rsidRPr="00487F1F">
        <w:rPr>
          <w:rFonts w:ascii="Arial" w:hAnsi="Arial" w:cs="Arial"/>
          <w:b/>
          <w:sz w:val="22"/>
          <w:szCs w:val="22"/>
        </w:rPr>
        <w:t>Conclusion</w:t>
      </w:r>
    </w:p>
    <w:p w14:paraId="363BAFB3" w14:textId="77777777" w:rsidR="003D3A80" w:rsidRPr="00487F1F" w:rsidRDefault="003D3A80" w:rsidP="00487F1F">
      <w:pPr>
        <w:spacing w:line="360" w:lineRule="auto"/>
        <w:ind w:firstLine="720"/>
        <w:jc w:val="both"/>
        <w:rPr>
          <w:rFonts w:ascii="Arial" w:hAnsi="Arial" w:cs="Arial"/>
          <w:sz w:val="22"/>
          <w:szCs w:val="22"/>
        </w:rPr>
      </w:pPr>
      <w:r w:rsidRPr="00487F1F">
        <w:rPr>
          <w:rFonts w:ascii="Arial" w:hAnsi="Arial" w:cs="Arial"/>
          <w:sz w:val="22"/>
          <w:szCs w:val="22"/>
        </w:rPr>
        <w:t xml:space="preserve">Type 2 diabetes is a chronic metabolic condition characterised by impaired insulin function and persistent </w:t>
      </w:r>
      <w:r w:rsidR="00487F1F" w:rsidRPr="00487F1F">
        <w:rPr>
          <w:rFonts w:ascii="Arial" w:hAnsi="Arial" w:cs="Arial"/>
          <w:sz w:val="22"/>
          <w:szCs w:val="22"/>
        </w:rPr>
        <w:t>hyperglycaemia</w:t>
      </w:r>
      <w:r w:rsidRPr="00487F1F">
        <w:rPr>
          <w:rFonts w:ascii="Arial" w:hAnsi="Arial" w:cs="Arial"/>
          <w:sz w:val="22"/>
          <w:szCs w:val="22"/>
        </w:rPr>
        <w:t xml:space="preserve">, largely influenced by modifiable lifestyle factors. The main risk factors </w:t>
      </w:r>
      <w:r w:rsidR="00675B60" w:rsidRPr="00487F1F">
        <w:rPr>
          <w:rFonts w:ascii="Arial" w:hAnsi="Arial" w:cs="Arial"/>
          <w:sz w:val="22"/>
          <w:szCs w:val="22"/>
        </w:rPr>
        <w:t>include obesity</w:t>
      </w:r>
      <w:r w:rsidRPr="00487F1F">
        <w:rPr>
          <w:rFonts w:ascii="Arial" w:hAnsi="Arial" w:cs="Arial"/>
          <w:sz w:val="22"/>
          <w:szCs w:val="22"/>
        </w:rPr>
        <w:t xml:space="preserve">, physical inactivity, advancing age, family history, dietary habits, and smoking. As </w:t>
      </w:r>
      <w:r w:rsidR="00B32407">
        <w:rPr>
          <w:rFonts w:ascii="Arial" w:hAnsi="Arial" w:cs="Arial"/>
          <w:sz w:val="22"/>
          <w:szCs w:val="22"/>
        </w:rPr>
        <w:t xml:space="preserve">one </w:t>
      </w:r>
      <w:r w:rsidRPr="00487F1F">
        <w:rPr>
          <w:rFonts w:ascii="Arial" w:hAnsi="Arial" w:cs="Arial"/>
          <w:sz w:val="22"/>
          <w:szCs w:val="22"/>
        </w:rPr>
        <w:t xml:space="preserve">of the </w:t>
      </w:r>
      <w:r w:rsidR="00B32407" w:rsidRPr="00B32407">
        <w:rPr>
          <w:rFonts w:ascii="Arial" w:hAnsi="Arial" w:cs="Arial"/>
          <w:sz w:val="22"/>
          <w:szCs w:val="22"/>
        </w:rPr>
        <w:t>most prevalent chronic diseases in the UK</w:t>
      </w:r>
      <w:r w:rsidRPr="00487F1F">
        <w:rPr>
          <w:rFonts w:ascii="Arial" w:hAnsi="Arial" w:cs="Arial"/>
          <w:sz w:val="22"/>
          <w:szCs w:val="22"/>
        </w:rPr>
        <w:t xml:space="preserve">, it is prudent for healthcare workers to demystify the disease to enhance timely diagnosis and better management. </w:t>
      </w:r>
      <w:r w:rsidR="00675B60" w:rsidRPr="00487F1F">
        <w:rPr>
          <w:rFonts w:ascii="Arial" w:hAnsi="Arial" w:cs="Arial"/>
          <w:sz w:val="22"/>
          <w:szCs w:val="22"/>
        </w:rPr>
        <w:t>This</w:t>
      </w:r>
      <w:r w:rsidRPr="00487F1F">
        <w:rPr>
          <w:rFonts w:ascii="Arial" w:hAnsi="Arial" w:cs="Arial"/>
          <w:sz w:val="22"/>
          <w:szCs w:val="22"/>
        </w:rPr>
        <w:t xml:space="preserve"> report has </w:t>
      </w:r>
      <w:r w:rsidR="00675B60" w:rsidRPr="00487F1F">
        <w:rPr>
          <w:rFonts w:ascii="Arial" w:hAnsi="Arial" w:cs="Arial"/>
          <w:sz w:val="22"/>
          <w:szCs w:val="22"/>
        </w:rPr>
        <w:t>examined</w:t>
      </w:r>
      <w:r w:rsidRPr="00487F1F">
        <w:rPr>
          <w:rFonts w:ascii="Arial" w:hAnsi="Arial" w:cs="Arial"/>
          <w:sz w:val="22"/>
          <w:szCs w:val="22"/>
        </w:rPr>
        <w:t xml:space="preserve"> the physiological mechanisms </w:t>
      </w:r>
      <w:r w:rsidR="00B32407">
        <w:rPr>
          <w:rFonts w:ascii="Arial" w:hAnsi="Arial" w:cs="Arial"/>
          <w:sz w:val="22"/>
          <w:szCs w:val="22"/>
        </w:rPr>
        <w:t>underlying</w:t>
      </w:r>
      <w:r w:rsidRPr="00487F1F">
        <w:rPr>
          <w:rFonts w:ascii="Arial" w:hAnsi="Arial" w:cs="Arial"/>
          <w:sz w:val="22"/>
          <w:szCs w:val="22"/>
        </w:rPr>
        <w:t xml:space="preserve"> blood glucose homeostasis, explained how glucose and oxygen are utilised to produce energy, and explored how blood glucose</w:t>
      </w:r>
      <w:r w:rsidR="00B32407">
        <w:rPr>
          <w:rFonts w:ascii="Arial" w:hAnsi="Arial" w:cs="Arial"/>
          <w:sz w:val="22"/>
          <w:szCs w:val="22"/>
        </w:rPr>
        <w:t xml:space="preserve"> monitoring </w:t>
      </w:r>
      <w:r w:rsidRPr="00487F1F">
        <w:rPr>
          <w:rFonts w:ascii="Arial" w:hAnsi="Arial" w:cs="Arial"/>
          <w:sz w:val="22"/>
          <w:szCs w:val="22"/>
        </w:rPr>
        <w:t xml:space="preserve">and evidence-based lifestyle </w:t>
      </w:r>
      <w:r w:rsidR="00B32407">
        <w:rPr>
          <w:rFonts w:ascii="Arial" w:hAnsi="Arial" w:cs="Arial"/>
          <w:sz w:val="22"/>
          <w:szCs w:val="22"/>
        </w:rPr>
        <w:t>interventions</w:t>
      </w:r>
      <w:r w:rsidRPr="00487F1F">
        <w:rPr>
          <w:rFonts w:ascii="Arial" w:hAnsi="Arial" w:cs="Arial"/>
          <w:sz w:val="22"/>
          <w:szCs w:val="22"/>
        </w:rPr>
        <w:t xml:space="preserve"> can improve outcomes for individuals with Type 2 diabetes.</w:t>
      </w:r>
    </w:p>
    <w:p w14:paraId="2AD031EE" w14:textId="77777777" w:rsidR="00487F1F" w:rsidRDefault="00487F1F" w:rsidP="00487F1F">
      <w:pPr>
        <w:spacing w:line="360" w:lineRule="auto"/>
        <w:jc w:val="both"/>
        <w:rPr>
          <w:rFonts w:ascii="Arial" w:hAnsi="Arial" w:cs="Arial"/>
          <w:sz w:val="22"/>
          <w:szCs w:val="22"/>
        </w:rPr>
      </w:pPr>
      <w:r>
        <w:rPr>
          <w:rFonts w:ascii="Arial" w:hAnsi="Arial" w:cs="Arial"/>
          <w:sz w:val="22"/>
          <w:szCs w:val="22"/>
        </w:rPr>
        <w:br w:type="page"/>
      </w:r>
    </w:p>
    <w:p w14:paraId="10185161" w14:textId="77777777" w:rsidR="00563B38" w:rsidRPr="00487F1F" w:rsidRDefault="00675B60" w:rsidP="00487F1F">
      <w:pPr>
        <w:spacing w:line="360" w:lineRule="auto"/>
        <w:jc w:val="center"/>
        <w:rPr>
          <w:rFonts w:ascii="Arial" w:hAnsi="Arial" w:cs="Arial"/>
          <w:sz w:val="22"/>
          <w:szCs w:val="22"/>
        </w:rPr>
      </w:pPr>
      <w:r w:rsidRPr="00487F1F">
        <w:rPr>
          <w:rFonts w:ascii="Arial" w:hAnsi="Arial" w:cs="Arial"/>
          <w:sz w:val="22"/>
          <w:szCs w:val="22"/>
        </w:rPr>
        <w:t>References</w:t>
      </w:r>
    </w:p>
    <w:p w14:paraId="0FF6A885"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Alabduladhem</w:t>
      </w:r>
      <w:proofErr w:type="spellEnd"/>
      <w:r w:rsidRPr="00487F1F">
        <w:rPr>
          <w:rFonts w:ascii="Arial" w:hAnsi="Arial" w:cs="Arial"/>
          <w:sz w:val="22"/>
          <w:szCs w:val="22"/>
        </w:rPr>
        <w:t xml:space="preserve">, T.O. and Bordoni, B. (2025) ‘Physiology, Krebs cycle’, in </w:t>
      </w:r>
      <w:proofErr w:type="spellStart"/>
      <w:r w:rsidRPr="00487F1F">
        <w:rPr>
          <w:rFonts w:ascii="Arial" w:hAnsi="Arial" w:cs="Arial"/>
          <w:i/>
          <w:iCs/>
          <w:sz w:val="22"/>
          <w:szCs w:val="22"/>
        </w:rPr>
        <w:t>StatPearls</w:t>
      </w:r>
      <w:proofErr w:type="spellEnd"/>
      <w:r w:rsidRPr="00487F1F">
        <w:rPr>
          <w:rFonts w:ascii="Arial" w:hAnsi="Arial" w:cs="Arial"/>
          <w:sz w:val="22"/>
          <w:szCs w:val="22"/>
        </w:rPr>
        <w:t xml:space="preserve"> [Internet]. Treasure Island (FL): </w:t>
      </w:r>
      <w:proofErr w:type="spellStart"/>
      <w:r w:rsidRPr="00487F1F">
        <w:rPr>
          <w:rFonts w:ascii="Arial" w:hAnsi="Arial" w:cs="Arial"/>
          <w:sz w:val="22"/>
          <w:szCs w:val="22"/>
        </w:rPr>
        <w:t>StatPearls</w:t>
      </w:r>
      <w:proofErr w:type="spellEnd"/>
      <w:r w:rsidRPr="00487F1F">
        <w:rPr>
          <w:rFonts w:ascii="Arial" w:hAnsi="Arial" w:cs="Arial"/>
          <w:sz w:val="22"/>
          <w:szCs w:val="22"/>
        </w:rPr>
        <w:t xml:space="preserve"> Publishing. Available at: </w:t>
      </w:r>
      <w:hyperlink r:id="rId7" w:tgtFrame="_new" w:history="1">
        <w:r w:rsidRPr="00487F1F">
          <w:rPr>
            <w:rStyle w:val="Hyperlink"/>
            <w:rFonts w:ascii="Arial" w:hAnsi="Arial" w:cs="Arial"/>
            <w:sz w:val="22"/>
            <w:szCs w:val="22"/>
          </w:rPr>
          <w:t>https://www.ncbi.nlm.nih.gov/books/NBK556032/</w:t>
        </w:r>
      </w:hyperlink>
      <w:r w:rsidRPr="00487F1F">
        <w:rPr>
          <w:rFonts w:ascii="Arial" w:hAnsi="Arial" w:cs="Arial"/>
          <w:sz w:val="22"/>
          <w:szCs w:val="22"/>
        </w:rPr>
        <w:t xml:space="preserve"> (Accessed: 13 February 2026).</w:t>
      </w:r>
    </w:p>
    <w:p w14:paraId="04ABA53A"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Alrashed</w:t>
      </w:r>
      <w:proofErr w:type="spellEnd"/>
      <w:r w:rsidRPr="00487F1F">
        <w:rPr>
          <w:rFonts w:ascii="Arial" w:hAnsi="Arial" w:cs="Arial"/>
          <w:sz w:val="22"/>
          <w:szCs w:val="22"/>
        </w:rPr>
        <w:t xml:space="preserve">, F.A., Iqbal, M., </w:t>
      </w:r>
      <w:proofErr w:type="spellStart"/>
      <w:r w:rsidRPr="00487F1F">
        <w:rPr>
          <w:rFonts w:ascii="Arial" w:hAnsi="Arial" w:cs="Arial"/>
          <w:sz w:val="22"/>
          <w:szCs w:val="22"/>
        </w:rPr>
        <w:t>Alsubiheen</w:t>
      </w:r>
      <w:proofErr w:type="spellEnd"/>
      <w:r w:rsidRPr="00487F1F">
        <w:rPr>
          <w:rFonts w:ascii="Arial" w:hAnsi="Arial" w:cs="Arial"/>
          <w:sz w:val="22"/>
          <w:szCs w:val="22"/>
        </w:rPr>
        <w:t xml:space="preserve">, A.M. and Ahmad, T. (2024) ‘Exploring determinants of sex and family history-based disparity in type 2 diabetes mellitus prevalence among clinical patients’, </w:t>
      </w:r>
      <w:r w:rsidRPr="00487F1F">
        <w:rPr>
          <w:rFonts w:ascii="Arial" w:hAnsi="Arial" w:cs="Arial"/>
          <w:i/>
          <w:iCs/>
          <w:sz w:val="22"/>
          <w:szCs w:val="22"/>
        </w:rPr>
        <w:t>BMC Public Health</w:t>
      </w:r>
      <w:r w:rsidRPr="00487F1F">
        <w:rPr>
          <w:rFonts w:ascii="Arial" w:hAnsi="Arial" w:cs="Arial"/>
          <w:sz w:val="22"/>
          <w:szCs w:val="22"/>
        </w:rPr>
        <w:t>, 24(1), p. 682.</w:t>
      </w:r>
    </w:p>
    <w:p w14:paraId="47EE4A4F"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Choi, E., Duan, C. and Bai, X.C. (2025) ‘Regulation and function of insulin and insulin-like growth factor receptor signalling’, </w:t>
      </w:r>
      <w:r w:rsidRPr="00487F1F">
        <w:rPr>
          <w:rFonts w:ascii="Arial" w:hAnsi="Arial" w:cs="Arial"/>
          <w:i/>
          <w:iCs/>
          <w:sz w:val="22"/>
          <w:szCs w:val="22"/>
        </w:rPr>
        <w:t>Nature Reviews Molecular Cell Biology</w:t>
      </w:r>
      <w:r w:rsidRPr="00487F1F">
        <w:rPr>
          <w:rFonts w:ascii="Arial" w:hAnsi="Arial" w:cs="Arial"/>
          <w:sz w:val="22"/>
          <w:szCs w:val="22"/>
        </w:rPr>
        <w:t>, 26(7), pp. 558–580.</w:t>
      </w:r>
    </w:p>
    <w:p w14:paraId="1BA580EF"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Cordani, M., </w:t>
      </w:r>
      <w:proofErr w:type="spellStart"/>
      <w:r w:rsidRPr="00487F1F">
        <w:rPr>
          <w:rFonts w:ascii="Arial" w:hAnsi="Arial" w:cs="Arial"/>
          <w:sz w:val="22"/>
          <w:szCs w:val="22"/>
        </w:rPr>
        <w:t>Rumio</w:t>
      </w:r>
      <w:proofErr w:type="spellEnd"/>
      <w:r w:rsidRPr="00487F1F">
        <w:rPr>
          <w:rFonts w:ascii="Arial" w:hAnsi="Arial" w:cs="Arial"/>
          <w:sz w:val="22"/>
          <w:szCs w:val="22"/>
        </w:rPr>
        <w:t xml:space="preserve">, C., Bontempi, G., Strippoli, R. and Marcucci, F. (2025) ‘Oxidative and glycolytic metabolism: their reciprocal regulation and dysregulation in cancer’, </w:t>
      </w:r>
      <w:r w:rsidRPr="00487F1F">
        <w:rPr>
          <w:rFonts w:ascii="Arial" w:hAnsi="Arial" w:cs="Arial"/>
          <w:i/>
          <w:iCs/>
          <w:sz w:val="22"/>
          <w:szCs w:val="22"/>
        </w:rPr>
        <w:t>Cells</w:t>
      </w:r>
      <w:r w:rsidRPr="00487F1F">
        <w:rPr>
          <w:rFonts w:ascii="Arial" w:hAnsi="Arial" w:cs="Arial"/>
          <w:sz w:val="22"/>
          <w:szCs w:val="22"/>
        </w:rPr>
        <w:t>, 14(15), p. 1177.</w:t>
      </w:r>
    </w:p>
    <w:p w14:paraId="37500832"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Dhokte</w:t>
      </w:r>
      <w:proofErr w:type="spellEnd"/>
      <w:r w:rsidRPr="00487F1F">
        <w:rPr>
          <w:rFonts w:ascii="Arial" w:hAnsi="Arial" w:cs="Arial"/>
          <w:sz w:val="22"/>
          <w:szCs w:val="22"/>
        </w:rPr>
        <w:t xml:space="preserve">, S. and Czaja, K. (2024) ‘Visceral adipose tissue: the hidden culprit for type 2 diabetes’, </w:t>
      </w:r>
      <w:r w:rsidRPr="00487F1F">
        <w:rPr>
          <w:rFonts w:ascii="Arial" w:hAnsi="Arial" w:cs="Arial"/>
          <w:i/>
          <w:iCs/>
          <w:sz w:val="22"/>
          <w:szCs w:val="22"/>
        </w:rPr>
        <w:t>Nutrients</w:t>
      </w:r>
      <w:r w:rsidRPr="00487F1F">
        <w:rPr>
          <w:rFonts w:ascii="Arial" w:hAnsi="Arial" w:cs="Arial"/>
          <w:sz w:val="22"/>
          <w:szCs w:val="22"/>
        </w:rPr>
        <w:t>, 16(7), p. 1015.</w:t>
      </w:r>
    </w:p>
    <w:p w14:paraId="145748EC"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Eizirik</w:t>
      </w:r>
      <w:proofErr w:type="spellEnd"/>
      <w:r w:rsidRPr="00487F1F">
        <w:rPr>
          <w:rFonts w:ascii="Arial" w:hAnsi="Arial" w:cs="Arial"/>
          <w:sz w:val="22"/>
          <w:szCs w:val="22"/>
        </w:rPr>
        <w:t xml:space="preserve">, D.L., Szymczak, F. and Mallone, R. (2023) ‘Why does the immune system destroy pancreatic β-cells but not α-cells in type 1 diabetes?’, </w:t>
      </w:r>
      <w:r w:rsidRPr="00487F1F">
        <w:rPr>
          <w:rFonts w:ascii="Arial" w:hAnsi="Arial" w:cs="Arial"/>
          <w:i/>
          <w:iCs/>
          <w:sz w:val="22"/>
          <w:szCs w:val="22"/>
        </w:rPr>
        <w:t>Nature Reviews Endocrinology</w:t>
      </w:r>
      <w:r w:rsidRPr="00487F1F">
        <w:rPr>
          <w:rFonts w:ascii="Arial" w:hAnsi="Arial" w:cs="Arial"/>
          <w:sz w:val="22"/>
          <w:szCs w:val="22"/>
        </w:rPr>
        <w:t>, 19(7), pp. 425–434.</w:t>
      </w:r>
    </w:p>
    <w:p w14:paraId="739548A4"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Galicia-Garcia, U., Benito-Vicente, A., </w:t>
      </w:r>
      <w:proofErr w:type="spellStart"/>
      <w:r w:rsidRPr="00487F1F">
        <w:rPr>
          <w:rFonts w:ascii="Arial" w:hAnsi="Arial" w:cs="Arial"/>
          <w:sz w:val="22"/>
          <w:szCs w:val="22"/>
        </w:rPr>
        <w:t>Jebari</w:t>
      </w:r>
      <w:proofErr w:type="spellEnd"/>
      <w:r w:rsidRPr="00487F1F">
        <w:rPr>
          <w:rFonts w:ascii="Arial" w:hAnsi="Arial" w:cs="Arial"/>
          <w:sz w:val="22"/>
          <w:szCs w:val="22"/>
        </w:rPr>
        <w:t>, S., Larrea-</w:t>
      </w:r>
      <w:proofErr w:type="spellStart"/>
      <w:r w:rsidRPr="00487F1F">
        <w:rPr>
          <w:rFonts w:ascii="Arial" w:hAnsi="Arial" w:cs="Arial"/>
          <w:sz w:val="22"/>
          <w:szCs w:val="22"/>
        </w:rPr>
        <w:t>Sebal</w:t>
      </w:r>
      <w:proofErr w:type="spellEnd"/>
      <w:r w:rsidRPr="00487F1F">
        <w:rPr>
          <w:rFonts w:ascii="Arial" w:hAnsi="Arial" w:cs="Arial"/>
          <w:sz w:val="22"/>
          <w:szCs w:val="22"/>
        </w:rPr>
        <w:t xml:space="preserve">, A., Siddiqi, H., Uribe, K.B., Ostolaza, H. and Martín, C. (2020) ‘Pathophysiology of Type 2 Diabetes Mellitus’, </w:t>
      </w:r>
      <w:r w:rsidRPr="00487F1F">
        <w:rPr>
          <w:rFonts w:ascii="Arial" w:hAnsi="Arial" w:cs="Arial"/>
          <w:i/>
          <w:iCs/>
          <w:sz w:val="22"/>
          <w:szCs w:val="22"/>
        </w:rPr>
        <w:t>International Journal of Molecular Sciences</w:t>
      </w:r>
      <w:r w:rsidRPr="00487F1F">
        <w:rPr>
          <w:rFonts w:ascii="Arial" w:hAnsi="Arial" w:cs="Arial"/>
          <w:sz w:val="22"/>
          <w:szCs w:val="22"/>
        </w:rPr>
        <w:t>, 21(17), p. 6275.</w:t>
      </w:r>
    </w:p>
    <w:p w14:paraId="4110C3A6"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Garg, R.K. (2025) ‘The alarming rise of lifestyle diseases and their impact on public health: A comprehensive overview and strategies for overcoming the epidemic’, </w:t>
      </w:r>
      <w:r w:rsidRPr="00487F1F">
        <w:rPr>
          <w:rFonts w:ascii="Arial" w:hAnsi="Arial" w:cs="Arial"/>
          <w:i/>
          <w:iCs/>
          <w:sz w:val="22"/>
          <w:szCs w:val="22"/>
        </w:rPr>
        <w:t>Journal of Research in Medical Sciences</w:t>
      </w:r>
      <w:r w:rsidRPr="00487F1F">
        <w:rPr>
          <w:rFonts w:ascii="Arial" w:hAnsi="Arial" w:cs="Arial"/>
          <w:sz w:val="22"/>
          <w:szCs w:val="22"/>
        </w:rPr>
        <w:t>, 30(1), p. 1.</w:t>
      </w:r>
    </w:p>
    <w:p w14:paraId="3B2E8BC0"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Goyal Mehra, C., Raymond, A.M. and Prabhu, R. (2022) ‘A personalised multi-interventional approach focusing on customised nutrition, progressive fitness, and lifestyle modification resulted in the reduction of HbA1c, fasting blood sugar and weight in type 2 diabetes: a retrospective study’, </w:t>
      </w:r>
      <w:r w:rsidRPr="00487F1F">
        <w:rPr>
          <w:rFonts w:ascii="Arial" w:hAnsi="Arial" w:cs="Arial"/>
          <w:i/>
          <w:iCs/>
          <w:sz w:val="22"/>
          <w:szCs w:val="22"/>
        </w:rPr>
        <w:t>BMC Endocrine Disorders</w:t>
      </w:r>
      <w:r w:rsidRPr="00487F1F">
        <w:rPr>
          <w:rFonts w:ascii="Arial" w:hAnsi="Arial" w:cs="Arial"/>
          <w:sz w:val="22"/>
          <w:szCs w:val="22"/>
        </w:rPr>
        <w:t>, 22(1), p. 290.</w:t>
      </w:r>
    </w:p>
    <w:p w14:paraId="03B4136E"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Gruss, S.M., Nhim, K., Gregg, E., Bell, M., Luman, E. and Albright, A. (2019) ‘Public health approaches to type 2 diabetes prevention: the US National Diabetes Prevention Program and beyond’, </w:t>
      </w:r>
      <w:r w:rsidRPr="00487F1F">
        <w:rPr>
          <w:rFonts w:ascii="Arial" w:hAnsi="Arial" w:cs="Arial"/>
          <w:i/>
          <w:iCs/>
          <w:sz w:val="22"/>
          <w:szCs w:val="22"/>
        </w:rPr>
        <w:t>Current Diabetes Reports</w:t>
      </w:r>
      <w:r w:rsidRPr="00487F1F">
        <w:rPr>
          <w:rFonts w:ascii="Arial" w:hAnsi="Arial" w:cs="Arial"/>
          <w:sz w:val="22"/>
          <w:szCs w:val="22"/>
        </w:rPr>
        <w:t>, 19(9), p. 78.</w:t>
      </w:r>
    </w:p>
    <w:p w14:paraId="2E5A0BCC"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Hantzidiamantis</w:t>
      </w:r>
      <w:proofErr w:type="spellEnd"/>
      <w:r w:rsidRPr="00487F1F">
        <w:rPr>
          <w:rFonts w:ascii="Arial" w:hAnsi="Arial" w:cs="Arial"/>
          <w:sz w:val="22"/>
          <w:szCs w:val="22"/>
        </w:rPr>
        <w:t xml:space="preserve">, P.J., Awosika, A.O. and Lappin, S.L. (2025) ‘Physiology, glucose’, in </w:t>
      </w:r>
      <w:proofErr w:type="spellStart"/>
      <w:r w:rsidRPr="00487F1F">
        <w:rPr>
          <w:rFonts w:ascii="Arial" w:hAnsi="Arial" w:cs="Arial"/>
          <w:i/>
          <w:iCs/>
          <w:sz w:val="22"/>
          <w:szCs w:val="22"/>
        </w:rPr>
        <w:t>StatPearls</w:t>
      </w:r>
      <w:proofErr w:type="spellEnd"/>
      <w:r w:rsidRPr="00487F1F">
        <w:rPr>
          <w:rFonts w:ascii="Arial" w:hAnsi="Arial" w:cs="Arial"/>
          <w:sz w:val="22"/>
          <w:szCs w:val="22"/>
        </w:rPr>
        <w:t xml:space="preserve"> [Internet]. Treasure Island (FL): </w:t>
      </w:r>
      <w:proofErr w:type="spellStart"/>
      <w:r w:rsidRPr="00487F1F">
        <w:rPr>
          <w:rFonts w:ascii="Arial" w:hAnsi="Arial" w:cs="Arial"/>
          <w:sz w:val="22"/>
          <w:szCs w:val="22"/>
        </w:rPr>
        <w:t>StatPearls</w:t>
      </w:r>
      <w:proofErr w:type="spellEnd"/>
      <w:r w:rsidRPr="00487F1F">
        <w:rPr>
          <w:rFonts w:ascii="Arial" w:hAnsi="Arial" w:cs="Arial"/>
          <w:sz w:val="22"/>
          <w:szCs w:val="22"/>
        </w:rPr>
        <w:t xml:space="preserve"> Publishing. Available at: </w:t>
      </w:r>
      <w:hyperlink r:id="rId8" w:tgtFrame="_new" w:history="1">
        <w:r w:rsidRPr="00487F1F">
          <w:rPr>
            <w:rStyle w:val="Hyperlink"/>
            <w:rFonts w:ascii="Arial" w:hAnsi="Arial" w:cs="Arial"/>
            <w:sz w:val="22"/>
            <w:szCs w:val="22"/>
          </w:rPr>
          <w:t>https://www.ncbi.nlm.nih.gov/books/NBK545201/</w:t>
        </w:r>
      </w:hyperlink>
      <w:r w:rsidRPr="00487F1F">
        <w:rPr>
          <w:rFonts w:ascii="Arial" w:hAnsi="Arial" w:cs="Arial"/>
          <w:sz w:val="22"/>
          <w:szCs w:val="22"/>
        </w:rPr>
        <w:t xml:space="preserve"> (Accessed: 13 February 2026).</w:t>
      </w:r>
    </w:p>
    <w:p w14:paraId="4F836AB9"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Kanaley, J.A., Colberg, S.R., Corcoran, M.H., Malin, S.K., Rodriguez, N.R., Crespo, C.J. and </w:t>
      </w:r>
      <w:proofErr w:type="spellStart"/>
      <w:r w:rsidRPr="00487F1F">
        <w:rPr>
          <w:rFonts w:ascii="Arial" w:hAnsi="Arial" w:cs="Arial"/>
          <w:sz w:val="22"/>
          <w:szCs w:val="22"/>
        </w:rPr>
        <w:t>Zierath</w:t>
      </w:r>
      <w:proofErr w:type="spellEnd"/>
      <w:r w:rsidRPr="00487F1F">
        <w:rPr>
          <w:rFonts w:ascii="Arial" w:hAnsi="Arial" w:cs="Arial"/>
          <w:sz w:val="22"/>
          <w:szCs w:val="22"/>
        </w:rPr>
        <w:t xml:space="preserve">, J.R. (2022) ‘Exercise/physical activity in individuals with type 2 diabetes: a consensus statement from the American College of Sports Medicine’, </w:t>
      </w:r>
      <w:r w:rsidRPr="00487F1F">
        <w:rPr>
          <w:rFonts w:ascii="Arial" w:hAnsi="Arial" w:cs="Arial"/>
          <w:i/>
          <w:iCs/>
          <w:sz w:val="22"/>
          <w:szCs w:val="22"/>
        </w:rPr>
        <w:t>Medicine and Science in Sports and Exercise</w:t>
      </w:r>
      <w:r w:rsidRPr="00487F1F">
        <w:rPr>
          <w:rFonts w:ascii="Arial" w:hAnsi="Arial" w:cs="Arial"/>
          <w:sz w:val="22"/>
          <w:szCs w:val="22"/>
        </w:rPr>
        <w:t>, 54(2), pp. 353–368.</w:t>
      </w:r>
    </w:p>
    <w:p w14:paraId="7FA21E55"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Kirk, J.K. and Stegner, J. (2010) ‘Self-monitoring of blood glucose: practical aspects’, </w:t>
      </w:r>
      <w:r w:rsidRPr="00487F1F">
        <w:rPr>
          <w:rFonts w:ascii="Arial" w:hAnsi="Arial" w:cs="Arial"/>
          <w:i/>
          <w:iCs/>
          <w:sz w:val="22"/>
          <w:szCs w:val="22"/>
        </w:rPr>
        <w:t>Journal of Diabetes Science and Technology</w:t>
      </w:r>
      <w:r w:rsidRPr="00487F1F">
        <w:rPr>
          <w:rFonts w:ascii="Arial" w:hAnsi="Arial" w:cs="Arial"/>
          <w:sz w:val="22"/>
          <w:szCs w:val="22"/>
        </w:rPr>
        <w:t xml:space="preserve">, 4(2), pp. 435–439. </w:t>
      </w:r>
      <w:proofErr w:type="spellStart"/>
      <w:r w:rsidRPr="00487F1F">
        <w:rPr>
          <w:rFonts w:ascii="Arial" w:hAnsi="Arial" w:cs="Arial"/>
          <w:sz w:val="22"/>
          <w:szCs w:val="22"/>
        </w:rPr>
        <w:t>doi</w:t>
      </w:r>
      <w:proofErr w:type="spellEnd"/>
      <w:r w:rsidRPr="00487F1F">
        <w:rPr>
          <w:rFonts w:ascii="Arial" w:hAnsi="Arial" w:cs="Arial"/>
          <w:sz w:val="22"/>
          <w:szCs w:val="22"/>
        </w:rPr>
        <w:t>: 10.1177/193229681000400225.</w:t>
      </w:r>
    </w:p>
    <w:p w14:paraId="0972AF00"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Mathew, T.K., Zubair, M. and Tadi, P. (2025) ‘Blood glucose monitoring’, in </w:t>
      </w:r>
      <w:proofErr w:type="spellStart"/>
      <w:r w:rsidRPr="00487F1F">
        <w:rPr>
          <w:rFonts w:ascii="Arial" w:hAnsi="Arial" w:cs="Arial"/>
          <w:i/>
          <w:iCs/>
          <w:sz w:val="22"/>
          <w:szCs w:val="22"/>
        </w:rPr>
        <w:t>StatPearls</w:t>
      </w:r>
      <w:proofErr w:type="spellEnd"/>
      <w:r w:rsidRPr="00487F1F">
        <w:rPr>
          <w:rFonts w:ascii="Arial" w:hAnsi="Arial" w:cs="Arial"/>
          <w:sz w:val="22"/>
          <w:szCs w:val="22"/>
        </w:rPr>
        <w:t xml:space="preserve"> [Internet]. Treasure Island (FL): </w:t>
      </w:r>
      <w:proofErr w:type="spellStart"/>
      <w:r w:rsidRPr="00487F1F">
        <w:rPr>
          <w:rFonts w:ascii="Arial" w:hAnsi="Arial" w:cs="Arial"/>
          <w:sz w:val="22"/>
          <w:szCs w:val="22"/>
        </w:rPr>
        <w:t>StatPearls</w:t>
      </w:r>
      <w:proofErr w:type="spellEnd"/>
      <w:r w:rsidRPr="00487F1F">
        <w:rPr>
          <w:rFonts w:ascii="Arial" w:hAnsi="Arial" w:cs="Arial"/>
          <w:sz w:val="22"/>
          <w:szCs w:val="22"/>
        </w:rPr>
        <w:t xml:space="preserve"> Publishing. Available at: </w:t>
      </w:r>
      <w:hyperlink r:id="rId9" w:tgtFrame="_new" w:history="1">
        <w:r w:rsidRPr="00487F1F">
          <w:rPr>
            <w:rStyle w:val="Hyperlink"/>
            <w:rFonts w:ascii="Arial" w:hAnsi="Arial" w:cs="Arial"/>
            <w:sz w:val="22"/>
            <w:szCs w:val="22"/>
          </w:rPr>
          <w:t>https://www.ncbi.nlm.nih.gov/books/NBK555976/</w:t>
        </w:r>
      </w:hyperlink>
      <w:r w:rsidRPr="00487F1F">
        <w:rPr>
          <w:rFonts w:ascii="Arial" w:hAnsi="Arial" w:cs="Arial"/>
          <w:sz w:val="22"/>
          <w:szCs w:val="22"/>
        </w:rPr>
        <w:t xml:space="preserve"> (Accessed: 13 February 2026).</w:t>
      </w:r>
    </w:p>
    <w:p w14:paraId="0FB039BE"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Miller, E.M. (2020) ‘Using continuous glucose monitoring in clinical practice’, </w:t>
      </w:r>
      <w:r w:rsidRPr="00487F1F">
        <w:rPr>
          <w:rFonts w:ascii="Arial" w:hAnsi="Arial" w:cs="Arial"/>
          <w:i/>
          <w:iCs/>
          <w:sz w:val="22"/>
          <w:szCs w:val="22"/>
        </w:rPr>
        <w:t>Clinical Diabetes</w:t>
      </w:r>
      <w:r w:rsidRPr="00487F1F">
        <w:rPr>
          <w:rFonts w:ascii="Arial" w:hAnsi="Arial" w:cs="Arial"/>
          <w:sz w:val="22"/>
          <w:szCs w:val="22"/>
        </w:rPr>
        <w:t xml:space="preserve">, 38(5), pp. 429–438. </w:t>
      </w:r>
      <w:proofErr w:type="spellStart"/>
      <w:r w:rsidRPr="00487F1F">
        <w:rPr>
          <w:rFonts w:ascii="Arial" w:hAnsi="Arial" w:cs="Arial"/>
          <w:sz w:val="22"/>
          <w:szCs w:val="22"/>
        </w:rPr>
        <w:t>doi</w:t>
      </w:r>
      <w:proofErr w:type="spellEnd"/>
      <w:r w:rsidRPr="00487F1F">
        <w:rPr>
          <w:rFonts w:ascii="Arial" w:hAnsi="Arial" w:cs="Arial"/>
          <w:sz w:val="22"/>
          <w:szCs w:val="22"/>
        </w:rPr>
        <w:t>: 10.2337/cd20-0043.</w:t>
      </w:r>
    </w:p>
    <w:p w14:paraId="76A3DDF9"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Minari, T.P., Tácito, L.H.B., Yugar, L.B.T., Ferreira-Melo, S.E., Manzano, C.F., Pires, A.C. and Yugar-Toledo, J.C. (2023) ‘Nutritional strategies for the management of type 2 diabetes mellitus: a narrative review’, </w:t>
      </w:r>
      <w:r w:rsidRPr="00487F1F">
        <w:rPr>
          <w:rFonts w:ascii="Arial" w:hAnsi="Arial" w:cs="Arial"/>
          <w:i/>
          <w:iCs/>
          <w:sz w:val="22"/>
          <w:szCs w:val="22"/>
        </w:rPr>
        <w:t>Nutrients</w:t>
      </w:r>
      <w:r w:rsidRPr="00487F1F">
        <w:rPr>
          <w:rFonts w:ascii="Arial" w:hAnsi="Arial" w:cs="Arial"/>
          <w:sz w:val="22"/>
          <w:szCs w:val="22"/>
        </w:rPr>
        <w:t>, 15(24), p. 5096.</w:t>
      </w:r>
    </w:p>
    <w:p w14:paraId="0787A341"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NHS England (2024) </w:t>
      </w:r>
      <w:r w:rsidRPr="00487F1F">
        <w:rPr>
          <w:rFonts w:ascii="Arial" w:hAnsi="Arial" w:cs="Arial"/>
          <w:i/>
          <w:iCs/>
          <w:sz w:val="22"/>
          <w:szCs w:val="22"/>
        </w:rPr>
        <w:t>NHS identifies over half a million more people at risk of type 2 diabetes in a year</w:t>
      </w:r>
      <w:r w:rsidRPr="00487F1F">
        <w:rPr>
          <w:rFonts w:ascii="Arial" w:hAnsi="Arial" w:cs="Arial"/>
          <w:sz w:val="22"/>
          <w:szCs w:val="22"/>
        </w:rPr>
        <w:t xml:space="preserve">. Available at: </w:t>
      </w:r>
      <w:hyperlink r:id="rId10" w:tgtFrame="_new" w:history="1">
        <w:r w:rsidRPr="00487F1F">
          <w:rPr>
            <w:rStyle w:val="Hyperlink"/>
            <w:rFonts w:ascii="Arial" w:hAnsi="Arial" w:cs="Arial"/>
            <w:sz w:val="22"/>
            <w:szCs w:val="22"/>
          </w:rPr>
          <w:t>https://www.england.nhs.uk/2024/06/nhs-identifies-over-half-a-million-more-people-at-risk-of-type-2-diabetes-in-a-year/</w:t>
        </w:r>
      </w:hyperlink>
      <w:r w:rsidRPr="00487F1F">
        <w:rPr>
          <w:rFonts w:ascii="Arial" w:hAnsi="Arial" w:cs="Arial"/>
          <w:sz w:val="22"/>
          <w:szCs w:val="22"/>
        </w:rPr>
        <w:t xml:space="preserve"> (Accessed: 13 February 2026).</w:t>
      </w:r>
    </w:p>
    <w:p w14:paraId="798EA996" w14:textId="77777777" w:rsidR="00675B60" w:rsidRPr="00487F1F" w:rsidRDefault="00675B60" w:rsidP="00487F1F">
      <w:pPr>
        <w:spacing w:line="360" w:lineRule="auto"/>
        <w:ind w:left="720" w:hanging="720"/>
        <w:jc w:val="both"/>
        <w:rPr>
          <w:rFonts w:ascii="Arial" w:hAnsi="Arial" w:cs="Arial"/>
          <w:sz w:val="22"/>
          <w:szCs w:val="22"/>
        </w:rPr>
      </w:pPr>
      <w:r w:rsidRPr="00487F1F">
        <w:rPr>
          <w:rFonts w:ascii="Arial" w:hAnsi="Arial" w:cs="Arial"/>
          <w:sz w:val="22"/>
          <w:szCs w:val="22"/>
        </w:rPr>
        <w:t xml:space="preserve">Pan, S.Y., Huang, C.J. and Cheng, H.M. (2024) ‘Risk factors and prevention strategies for gestational diabetes in Asian populations’, </w:t>
      </w:r>
      <w:r w:rsidRPr="00487F1F">
        <w:rPr>
          <w:rFonts w:ascii="Arial" w:hAnsi="Arial" w:cs="Arial"/>
          <w:i/>
          <w:iCs/>
          <w:sz w:val="22"/>
          <w:szCs w:val="22"/>
        </w:rPr>
        <w:t>JACC: Asia</w:t>
      </w:r>
      <w:r w:rsidRPr="00487F1F">
        <w:rPr>
          <w:rFonts w:ascii="Arial" w:hAnsi="Arial" w:cs="Arial"/>
          <w:sz w:val="22"/>
          <w:szCs w:val="22"/>
        </w:rPr>
        <w:t xml:space="preserve">, 4(11), pp. 853–856. </w:t>
      </w:r>
      <w:proofErr w:type="spellStart"/>
      <w:r w:rsidRPr="00487F1F">
        <w:rPr>
          <w:rFonts w:ascii="Arial" w:hAnsi="Arial" w:cs="Arial"/>
          <w:sz w:val="22"/>
          <w:szCs w:val="22"/>
        </w:rPr>
        <w:t>doi</w:t>
      </w:r>
      <w:proofErr w:type="spellEnd"/>
      <w:r w:rsidRPr="00487F1F">
        <w:rPr>
          <w:rFonts w:ascii="Arial" w:hAnsi="Arial" w:cs="Arial"/>
          <w:sz w:val="22"/>
          <w:szCs w:val="22"/>
        </w:rPr>
        <w:t>: 10.1016/j.jacasi.2024.08.013.</w:t>
      </w:r>
    </w:p>
    <w:p w14:paraId="710CC970" w14:textId="77777777" w:rsidR="00675B60" w:rsidRPr="00487F1F" w:rsidRDefault="00675B60" w:rsidP="00487F1F">
      <w:pPr>
        <w:spacing w:line="360" w:lineRule="auto"/>
        <w:ind w:left="720" w:hanging="720"/>
        <w:jc w:val="both"/>
        <w:rPr>
          <w:rFonts w:ascii="Arial" w:hAnsi="Arial" w:cs="Arial"/>
          <w:sz w:val="22"/>
          <w:szCs w:val="22"/>
        </w:rPr>
      </w:pPr>
      <w:proofErr w:type="spellStart"/>
      <w:r w:rsidRPr="00487F1F">
        <w:rPr>
          <w:rFonts w:ascii="Arial" w:hAnsi="Arial" w:cs="Arial"/>
          <w:sz w:val="22"/>
          <w:szCs w:val="22"/>
        </w:rPr>
        <w:t>Papachristoforou</w:t>
      </w:r>
      <w:proofErr w:type="spellEnd"/>
      <w:r w:rsidRPr="00487F1F">
        <w:rPr>
          <w:rFonts w:ascii="Arial" w:hAnsi="Arial" w:cs="Arial"/>
          <w:sz w:val="22"/>
          <w:szCs w:val="22"/>
        </w:rPr>
        <w:t xml:space="preserve">, E., </w:t>
      </w:r>
      <w:proofErr w:type="spellStart"/>
      <w:r w:rsidRPr="00487F1F">
        <w:rPr>
          <w:rFonts w:ascii="Arial" w:hAnsi="Arial" w:cs="Arial"/>
          <w:sz w:val="22"/>
          <w:szCs w:val="22"/>
        </w:rPr>
        <w:t>Lambadiari</w:t>
      </w:r>
      <w:proofErr w:type="spellEnd"/>
      <w:r w:rsidRPr="00487F1F">
        <w:rPr>
          <w:rFonts w:ascii="Arial" w:hAnsi="Arial" w:cs="Arial"/>
          <w:sz w:val="22"/>
          <w:szCs w:val="22"/>
        </w:rPr>
        <w:t xml:space="preserve">, V., Maratou, E. and </w:t>
      </w:r>
      <w:proofErr w:type="spellStart"/>
      <w:r w:rsidRPr="00487F1F">
        <w:rPr>
          <w:rFonts w:ascii="Arial" w:hAnsi="Arial" w:cs="Arial"/>
          <w:sz w:val="22"/>
          <w:szCs w:val="22"/>
        </w:rPr>
        <w:t>Makrilakis</w:t>
      </w:r>
      <w:proofErr w:type="spellEnd"/>
      <w:r w:rsidRPr="00487F1F">
        <w:rPr>
          <w:rFonts w:ascii="Arial" w:hAnsi="Arial" w:cs="Arial"/>
          <w:sz w:val="22"/>
          <w:szCs w:val="22"/>
        </w:rPr>
        <w:t xml:space="preserve">, K. (2020) ‘Association of </w:t>
      </w:r>
      <w:proofErr w:type="spellStart"/>
      <w:r w:rsidRPr="00487F1F">
        <w:rPr>
          <w:rFonts w:ascii="Arial" w:hAnsi="Arial" w:cs="Arial"/>
          <w:sz w:val="22"/>
          <w:szCs w:val="22"/>
        </w:rPr>
        <w:t>glycemic</w:t>
      </w:r>
      <w:proofErr w:type="spellEnd"/>
      <w:r w:rsidRPr="00487F1F">
        <w:rPr>
          <w:rFonts w:ascii="Arial" w:hAnsi="Arial" w:cs="Arial"/>
          <w:sz w:val="22"/>
          <w:szCs w:val="22"/>
        </w:rPr>
        <w:t xml:space="preserve"> indices (</w:t>
      </w:r>
      <w:proofErr w:type="spellStart"/>
      <w:r w:rsidRPr="00487F1F">
        <w:rPr>
          <w:rFonts w:ascii="Arial" w:hAnsi="Arial" w:cs="Arial"/>
          <w:sz w:val="22"/>
          <w:szCs w:val="22"/>
        </w:rPr>
        <w:t>hyperglycemia</w:t>
      </w:r>
      <w:proofErr w:type="spellEnd"/>
      <w:r w:rsidRPr="00487F1F">
        <w:rPr>
          <w:rFonts w:ascii="Arial" w:hAnsi="Arial" w:cs="Arial"/>
          <w:sz w:val="22"/>
          <w:szCs w:val="22"/>
        </w:rPr>
        <w:t xml:space="preserve">, glucose variability, and </w:t>
      </w:r>
      <w:proofErr w:type="spellStart"/>
      <w:r w:rsidRPr="00487F1F">
        <w:rPr>
          <w:rFonts w:ascii="Arial" w:hAnsi="Arial" w:cs="Arial"/>
          <w:sz w:val="22"/>
          <w:szCs w:val="22"/>
        </w:rPr>
        <w:t>hypoglycemia</w:t>
      </w:r>
      <w:proofErr w:type="spellEnd"/>
      <w:r w:rsidRPr="00487F1F">
        <w:rPr>
          <w:rFonts w:ascii="Arial" w:hAnsi="Arial" w:cs="Arial"/>
          <w:sz w:val="22"/>
          <w:szCs w:val="22"/>
        </w:rPr>
        <w:t xml:space="preserve">) with oxidative stress and diabetic complications’, </w:t>
      </w:r>
      <w:r w:rsidRPr="00487F1F">
        <w:rPr>
          <w:rFonts w:ascii="Arial" w:hAnsi="Arial" w:cs="Arial"/>
          <w:i/>
          <w:iCs/>
          <w:sz w:val="22"/>
          <w:szCs w:val="22"/>
        </w:rPr>
        <w:t>Journal of Diabetes Research</w:t>
      </w:r>
      <w:r w:rsidRPr="00487F1F">
        <w:rPr>
          <w:rFonts w:ascii="Arial" w:hAnsi="Arial" w:cs="Arial"/>
          <w:sz w:val="22"/>
          <w:szCs w:val="22"/>
        </w:rPr>
        <w:t>, 2020, p. 7489795.</w:t>
      </w:r>
    </w:p>
    <w:p w14:paraId="1298C7C0" w14:textId="77777777" w:rsidR="00675B60" w:rsidRPr="00487F1F" w:rsidRDefault="00675B60" w:rsidP="00487F1F">
      <w:pPr>
        <w:spacing w:line="360" w:lineRule="auto"/>
        <w:jc w:val="both"/>
        <w:rPr>
          <w:rFonts w:ascii="Arial" w:hAnsi="Arial" w:cs="Arial"/>
          <w:sz w:val="22"/>
          <w:szCs w:val="22"/>
        </w:rPr>
      </w:pPr>
    </w:p>
    <w:sectPr w:rsidR="00675B60" w:rsidRPr="00487F1F" w:rsidSect="0068036E">
      <w:headerReference w:type="even" r:id="rId11"/>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E89F7" w14:textId="77777777" w:rsidR="00A11033" w:rsidRDefault="00A11033" w:rsidP="00487F1F">
      <w:r>
        <w:separator/>
      </w:r>
    </w:p>
  </w:endnote>
  <w:endnote w:type="continuationSeparator" w:id="0">
    <w:p w14:paraId="2A06674C" w14:textId="77777777" w:rsidR="00A11033" w:rsidRDefault="00A11033" w:rsidP="00487F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Font">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BFEA2" w14:textId="77777777" w:rsidR="00A11033" w:rsidRDefault="00A11033" w:rsidP="00487F1F">
      <w:r>
        <w:separator/>
      </w:r>
    </w:p>
  </w:footnote>
  <w:footnote w:type="continuationSeparator" w:id="0">
    <w:p w14:paraId="7F83374C" w14:textId="77777777" w:rsidR="00A11033" w:rsidRDefault="00A11033" w:rsidP="00487F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9727178"/>
      <w:docPartObj>
        <w:docPartGallery w:val="Page Numbers (Top of Page)"/>
        <w:docPartUnique/>
      </w:docPartObj>
    </w:sdtPr>
    <w:sdtContent>
      <w:p w14:paraId="346D9296" w14:textId="77777777" w:rsidR="00487F1F" w:rsidRDefault="00487F1F" w:rsidP="0081452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9D5F4E" w14:textId="77777777" w:rsidR="00487F1F" w:rsidRDefault="00487F1F" w:rsidP="00487F1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sz w:val="22"/>
        <w:szCs w:val="22"/>
      </w:rPr>
      <w:id w:val="-2052755926"/>
      <w:docPartObj>
        <w:docPartGallery w:val="Page Numbers (Top of Page)"/>
        <w:docPartUnique/>
      </w:docPartObj>
    </w:sdtPr>
    <w:sdtContent>
      <w:p w14:paraId="5E06BF30" w14:textId="77777777" w:rsidR="00487F1F" w:rsidRPr="00487F1F" w:rsidRDefault="00487F1F" w:rsidP="0081452F">
        <w:pPr>
          <w:pStyle w:val="Header"/>
          <w:framePr w:wrap="none" w:vAnchor="text" w:hAnchor="margin" w:xAlign="right" w:y="1"/>
          <w:rPr>
            <w:rStyle w:val="PageNumber"/>
            <w:rFonts w:ascii="Arial" w:hAnsi="Arial" w:cs="Arial"/>
            <w:sz w:val="22"/>
            <w:szCs w:val="22"/>
          </w:rPr>
        </w:pPr>
        <w:r w:rsidRPr="00487F1F">
          <w:rPr>
            <w:rStyle w:val="PageNumber"/>
            <w:rFonts w:ascii="Arial" w:hAnsi="Arial" w:cs="Arial"/>
            <w:sz w:val="22"/>
            <w:szCs w:val="22"/>
          </w:rPr>
          <w:fldChar w:fldCharType="begin"/>
        </w:r>
        <w:r w:rsidRPr="00487F1F">
          <w:rPr>
            <w:rStyle w:val="PageNumber"/>
            <w:rFonts w:ascii="Arial" w:hAnsi="Arial" w:cs="Arial"/>
            <w:sz w:val="22"/>
            <w:szCs w:val="22"/>
          </w:rPr>
          <w:instrText xml:space="preserve"> PAGE </w:instrText>
        </w:r>
        <w:r w:rsidRPr="00487F1F">
          <w:rPr>
            <w:rStyle w:val="PageNumber"/>
            <w:rFonts w:ascii="Arial" w:hAnsi="Arial" w:cs="Arial"/>
            <w:sz w:val="22"/>
            <w:szCs w:val="22"/>
          </w:rPr>
          <w:fldChar w:fldCharType="separate"/>
        </w:r>
        <w:r w:rsidRPr="00487F1F">
          <w:rPr>
            <w:rStyle w:val="PageNumber"/>
            <w:rFonts w:ascii="Arial" w:hAnsi="Arial" w:cs="Arial"/>
            <w:noProof/>
            <w:sz w:val="22"/>
            <w:szCs w:val="22"/>
          </w:rPr>
          <w:t>7</w:t>
        </w:r>
        <w:r w:rsidRPr="00487F1F">
          <w:rPr>
            <w:rStyle w:val="PageNumber"/>
            <w:rFonts w:ascii="Arial" w:hAnsi="Arial" w:cs="Arial"/>
            <w:sz w:val="22"/>
            <w:szCs w:val="22"/>
          </w:rPr>
          <w:fldChar w:fldCharType="end"/>
        </w:r>
      </w:p>
    </w:sdtContent>
  </w:sdt>
  <w:p w14:paraId="43E18DE5" w14:textId="77777777" w:rsidR="00487F1F" w:rsidRPr="00487F1F" w:rsidRDefault="00487F1F" w:rsidP="00487F1F">
    <w:pPr>
      <w:pStyle w:val="Header"/>
      <w:ind w:right="360"/>
      <w:rPr>
        <w:rFonts w:ascii="Arial" w:hAnsi="Arial" w:cs="Arial"/>
        <w:sz w:val="22"/>
        <w:szCs w:val="22"/>
      </w:rPr>
    </w:pPr>
    <w:r w:rsidRPr="00487F1F">
      <w:rPr>
        <w:rFonts w:ascii="Arial" w:hAnsi="Arial" w:cs="Arial"/>
        <w:sz w:val="22"/>
        <w:szCs w:val="22"/>
      </w:rPr>
      <w:tab/>
    </w:r>
    <w:r w:rsidRPr="00487F1F">
      <w:rPr>
        <w:rFonts w:ascii="Arial" w:hAnsi="Arial" w:cs="Arial"/>
        <w:sz w:val="22"/>
        <w:szCs w:val="22"/>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B93D42"/>
    <w:multiLevelType w:val="hybridMultilevel"/>
    <w:tmpl w:val="93ACA98E"/>
    <w:lvl w:ilvl="0" w:tplc="69845670">
      <w:start w:val="1"/>
      <w:numFmt w:val="decimal"/>
      <w:lvlText w:val="%1."/>
      <w:lvlJc w:val="left"/>
      <w:pPr>
        <w:ind w:left="1120" w:hanging="72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num w:numId="1" w16cid:durableId="1048796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D6D"/>
    <w:rsid w:val="00016DF8"/>
    <w:rsid w:val="00072E55"/>
    <w:rsid w:val="000B2825"/>
    <w:rsid w:val="00105170"/>
    <w:rsid w:val="00120528"/>
    <w:rsid w:val="00150FFF"/>
    <w:rsid w:val="0017430E"/>
    <w:rsid w:val="00193FFB"/>
    <w:rsid w:val="00197C37"/>
    <w:rsid w:val="00215B8A"/>
    <w:rsid w:val="002325D3"/>
    <w:rsid w:val="0026561F"/>
    <w:rsid w:val="00285835"/>
    <w:rsid w:val="00294BC9"/>
    <w:rsid w:val="0029723B"/>
    <w:rsid w:val="002F449B"/>
    <w:rsid w:val="00315CCF"/>
    <w:rsid w:val="00347138"/>
    <w:rsid w:val="00356422"/>
    <w:rsid w:val="003656A2"/>
    <w:rsid w:val="00390C73"/>
    <w:rsid w:val="003B1641"/>
    <w:rsid w:val="003B4A59"/>
    <w:rsid w:val="003D230B"/>
    <w:rsid w:val="003D3A80"/>
    <w:rsid w:val="00411089"/>
    <w:rsid w:val="00411CE0"/>
    <w:rsid w:val="00452C36"/>
    <w:rsid w:val="00487F1F"/>
    <w:rsid w:val="004E5A8B"/>
    <w:rsid w:val="004E5E0E"/>
    <w:rsid w:val="00537E53"/>
    <w:rsid w:val="00563B38"/>
    <w:rsid w:val="00563EFA"/>
    <w:rsid w:val="005B5562"/>
    <w:rsid w:val="005C60A9"/>
    <w:rsid w:val="005D3325"/>
    <w:rsid w:val="005E41B6"/>
    <w:rsid w:val="00662E4B"/>
    <w:rsid w:val="00671F35"/>
    <w:rsid w:val="00672EF9"/>
    <w:rsid w:val="00675B60"/>
    <w:rsid w:val="0068036E"/>
    <w:rsid w:val="006C4DD3"/>
    <w:rsid w:val="006C5D84"/>
    <w:rsid w:val="006E6669"/>
    <w:rsid w:val="00743197"/>
    <w:rsid w:val="00764D81"/>
    <w:rsid w:val="007D6614"/>
    <w:rsid w:val="00815084"/>
    <w:rsid w:val="008E4C5D"/>
    <w:rsid w:val="008E57F5"/>
    <w:rsid w:val="008F233B"/>
    <w:rsid w:val="008F4A15"/>
    <w:rsid w:val="008F5B62"/>
    <w:rsid w:val="009834F7"/>
    <w:rsid w:val="009D35C1"/>
    <w:rsid w:val="00A11033"/>
    <w:rsid w:val="00A23D6D"/>
    <w:rsid w:val="00A521F9"/>
    <w:rsid w:val="00A607C2"/>
    <w:rsid w:val="00A727AB"/>
    <w:rsid w:val="00AB0293"/>
    <w:rsid w:val="00AD1DB8"/>
    <w:rsid w:val="00B01635"/>
    <w:rsid w:val="00B25E97"/>
    <w:rsid w:val="00B32407"/>
    <w:rsid w:val="00B44CE9"/>
    <w:rsid w:val="00B9157B"/>
    <w:rsid w:val="00C02164"/>
    <w:rsid w:val="00C43296"/>
    <w:rsid w:val="00C44E06"/>
    <w:rsid w:val="00CC6739"/>
    <w:rsid w:val="00CD1FCF"/>
    <w:rsid w:val="00CD2126"/>
    <w:rsid w:val="00CE587C"/>
    <w:rsid w:val="00D31948"/>
    <w:rsid w:val="00D676F9"/>
    <w:rsid w:val="00D725F0"/>
    <w:rsid w:val="00DB1480"/>
    <w:rsid w:val="00E05C15"/>
    <w:rsid w:val="00E4658D"/>
    <w:rsid w:val="00E80F1E"/>
    <w:rsid w:val="00EA47CF"/>
    <w:rsid w:val="00EE44D8"/>
    <w:rsid w:val="00EE657D"/>
    <w:rsid w:val="00F1302E"/>
    <w:rsid w:val="00F64B5C"/>
    <w:rsid w:val="00F9090F"/>
    <w:rsid w:val="00F926EF"/>
    <w:rsid w:val="00F975A8"/>
    <w:rsid w:val="00FB7D51"/>
    <w:rsid w:val="00FF7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AB6A8"/>
  <w15:chartTrackingRefBased/>
  <w15:docId w15:val="{B5D1E347-BC86-0641-A03A-471EBE97F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next w:val="Normal"/>
    <w:link w:val="Heading2Char"/>
    <w:autoRedefine/>
    <w:uiPriority w:val="9"/>
    <w:unhideWhenUsed/>
    <w:qFormat/>
    <w:rsid w:val="00537E53"/>
    <w:pPr>
      <w:keepNext/>
      <w:keepLines/>
      <w:spacing w:before="40"/>
      <w:outlineLvl w:val="1"/>
    </w:pPr>
    <w:rPr>
      <w:rFonts w:ascii="Times New Roman" w:eastAsiaTheme="majorEastAsia" w:hAnsi="Times New Roman"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7E53"/>
    <w:rPr>
      <w:rFonts w:ascii="Times New Roman" w:eastAsiaTheme="majorEastAsia" w:hAnsi="Times New Roman" w:cstheme="majorBidi"/>
      <w:b/>
      <w:color w:val="000000" w:themeColor="text1"/>
      <w:szCs w:val="26"/>
    </w:rPr>
  </w:style>
  <w:style w:type="character" w:styleId="Hyperlink">
    <w:name w:val="Hyperlink"/>
    <w:basedOn w:val="DefaultParagraphFont"/>
    <w:uiPriority w:val="99"/>
    <w:unhideWhenUsed/>
    <w:rsid w:val="00675B60"/>
    <w:rPr>
      <w:color w:val="0563C1" w:themeColor="hyperlink"/>
      <w:u w:val="single"/>
    </w:rPr>
  </w:style>
  <w:style w:type="character" w:styleId="UnresolvedMention">
    <w:name w:val="Unresolved Mention"/>
    <w:basedOn w:val="DefaultParagraphFont"/>
    <w:uiPriority w:val="99"/>
    <w:semiHidden/>
    <w:unhideWhenUsed/>
    <w:rsid w:val="00675B60"/>
    <w:rPr>
      <w:color w:val="605E5C"/>
      <w:shd w:val="clear" w:color="auto" w:fill="E1DFDD"/>
    </w:rPr>
  </w:style>
  <w:style w:type="paragraph" w:styleId="Header">
    <w:name w:val="header"/>
    <w:basedOn w:val="Normal"/>
    <w:link w:val="HeaderChar"/>
    <w:uiPriority w:val="99"/>
    <w:unhideWhenUsed/>
    <w:rsid w:val="00487F1F"/>
    <w:pPr>
      <w:tabs>
        <w:tab w:val="center" w:pos="4680"/>
        <w:tab w:val="right" w:pos="9360"/>
      </w:tabs>
    </w:pPr>
  </w:style>
  <w:style w:type="character" w:customStyle="1" w:styleId="HeaderChar">
    <w:name w:val="Header Char"/>
    <w:basedOn w:val="DefaultParagraphFont"/>
    <w:link w:val="Header"/>
    <w:uiPriority w:val="99"/>
    <w:rsid w:val="00487F1F"/>
    <w:rPr>
      <w:lang w:val="en-GB"/>
    </w:rPr>
  </w:style>
  <w:style w:type="paragraph" w:styleId="Footer">
    <w:name w:val="footer"/>
    <w:basedOn w:val="Normal"/>
    <w:link w:val="FooterChar"/>
    <w:uiPriority w:val="99"/>
    <w:unhideWhenUsed/>
    <w:rsid w:val="00487F1F"/>
    <w:pPr>
      <w:tabs>
        <w:tab w:val="center" w:pos="4680"/>
        <w:tab w:val="right" w:pos="9360"/>
      </w:tabs>
    </w:pPr>
  </w:style>
  <w:style w:type="character" w:customStyle="1" w:styleId="FooterChar">
    <w:name w:val="Footer Char"/>
    <w:basedOn w:val="DefaultParagraphFont"/>
    <w:link w:val="Footer"/>
    <w:uiPriority w:val="99"/>
    <w:rsid w:val="00487F1F"/>
    <w:rPr>
      <w:lang w:val="en-GB"/>
    </w:rPr>
  </w:style>
  <w:style w:type="character" w:styleId="PageNumber">
    <w:name w:val="page number"/>
    <w:basedOn w:val="DefaultParagraphFont"/>
    <w:uiPriority w:val="99"/>
    <w:semiHidden/>
    <w:unhideWhenUsed/>
    <w:rsid w:val="00487F1F"/>
  </w:style>
  <w:style w:type="paragraph" w:styleId="ListParagraph">
    <w:name w:val="List Paragraph"/>
    <w:basedOn w:val="Normal"/>
    <w:uiPriority w:val="34"/>
    <w:qFormat/>
    <w:rsid w:val="00AB02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238">
      <w:bodyDiv w:val="1"/>
      <w:marLeft w:val="0"/>
      <w:marRight w:val="0"/>
      <w:marTop w:val="0"/>
      <w:marBottom w:val="0"/>
      <w:divBdr>
        <w:top w:val="none" w:sz="0" w:space="0" w:color="auto"/>
        <w:left w:val="none" w:sz="0" w:space="0" w:color="auto"/>
        <w:bottom w:val="none" w:sz="0" w:space="0" w:color="auto"/>
        <w:right w:val="none" w:sz="0" w:space="0" w:color="auto"/>
      </w:divBdr>
    </w:div>
    <w:div w:id="58018340">
      <w:bodyDiv w:val="1"/>
      <w:marLeft w:val="0"/>
      <w:marRight w:val="0"/>
      <w:marTop w:val="0"/>
      <w:marBottom w:val="0"/>
      <w:divBdr>
        <w:top w:val="none" w:sz="0" w:space="0" w:color="auto"/>
        <w:left w:val="none" w:sz="0" w:space="0" w:color="auto"/>
        <w:bottom w:val="none" w:sz="0" w:space="0" w:color="auto"/>
        <w:right w:val="none" w:sz="0" w:space="0" w:color="auto"/>
      </w:divBdr>
    </w:div>
    <w:div w:id="87697595">
      <w:bodyDiv w:val="1"/>
      <w:marLeft w:val="0"/>
      <w:marRight w:val="0"/>
      <w:marTop w:val="0"/>
      <w:marBottom w:val="0"/>
      <w:divBdr>
        <w:top w:val="none" w:sz="0" w:space="0" w:color="auto"/>
        <w:left w:val="none" w:sz="0" w:space="0" w:color="auto"/>
        <w:bottom w:val="none" w:sz="0" w:space="0" w:color="auto"/>
        <w:right w:val="none" w:sz="0" w:space="0" w:color="auto"/>
      </w:divBdr>
    </w:div>
    <w:div w:id="105659375">
      <w:bodyDiv w:val="1"/>
      <w:marLeft w:val="0"/>
      <w:marRight w:val="0"/>
      <w:marTop w:val="0"/>
      <w:marBottom w:val="0"/>
      <w:divBdr>
        <w:top w:val="none" w:sz="0" w:space="0" w:color="auto"/>
        <w:left w:val="none" w:sz="0" w:space="0" w:color="auto"/>
        <w:bottom w:val="none" w:sz="0" w:space="0" w:color="auto"/>
        <w:right w:val="none" w:sz="0" w:space="0" w:color="auto"/>
      </w:divBdr>
    </w:div>
    <w:div w:id="204679168">
      <w:bodyDiv w:val="1"/>
      <w:marLeft w:val="0"/>
      <w:marRight w:val="0"/>
      <w:marTop w:val="0"/>
      <w:marBottom w:val="0"/>
      <w:divBdr>
        <w:top w:val="none" w:sz="0" w:space="0" w:color="auto"/>
        <w:left w:val="none" w:sz="0" w:space="0" w:color="auto"/>
        <w:bottom w:val="none" w:sz="0" w:space="0" w:color="auto"/>
        <w:right w:val="none" w:sz="0" w:space="0" w:color="auto"/>
      </w:divBdr>
    </w:div>
    <w:div w:id="318776668">
      <w:bodyDiv w:val="1"/>
      <w:marLeft w:val="0"/>
      <w:marRight w:val="0"/>
      <w:marTop w:val="0"/>
      <w:marBottom w:val="0"/>
      <w:divBdr>
        <w:top w:val="none" w:sz="0" w:space="0" w:color="auto"/>
        <w:left w:val="none" w:sz="0" w:space="0" w:color="auto"/>
        <w:bottom w:val="none" w:sz="0" w:space="0" w:color="auto"/>
        <w:right w:val="none" w:sz="0" w:space="0" w:color="auto"/>
      </w:divBdr>
    </w:div>
    <w:div w:id="372459420">
      <w:bodyDiv w:val="1"/>
      <w:marLeft w:val="0"/>
      <w:marRight w:val="0"/>
      <w:marTop w:val="0"/>
      <w:marBottom w:val="0"/>
      <w:divBdr>
        <w:top w:val="none" w:sz="0" w:space="0" w:color="auto"/>
        <w:left w:val="none" w:sz="0" w:space="0" w:color="auto"/>
        <w:bottom w:val="none" w:sz="0" w:space="0" w:color="auto"/>
        <w:right w:val="none" w:sz="0" w:space="0" w:color="auto"/>
      </w:divBdr>
    </w:div>
    <w:div w:id="465128335">
      <w:bodyDiv w:val="1"/>
      <w:marLeft w:val="0"/>
      <w:marRight w:val="0"/>
      <w:marTop w:val="0"/>
      <w:marBottom w:val="0"/>
      <w:divBdr>
        <w:top w:val="none" w:sz="0" w:space="0" w:color="auto"/>
        <w:left w:val="none" w:sz="0" w:space="0" w:color="auto"/>
        <w:bottom w:val="none" w:sz="0" w:space="0" w:color="auto"/>
        <w:right w:val="none" w:sz="0" w:space="0" w:color="auto"/>
      </w:divBdr>
    </w:div>
    <w:div w:id="536312445">
      <w:bodyDiv w:val="1"/>
      <w:marLeft w:val="0"/>
      <w:marRight w:val="0"/>
      <w:marTop w:val="0"/>
      <w:marBottom w:val="0"/>
      <w:divBdr>
        <w:top w:val="none" w:sz="0" w:space="0" w:color="auto"/>
        <w:left w:val="none" w:sz="0" w:space="0" w:color="auto"/>
        <w:bottom w:val="none" w:sz="0" w:space="0" w:color="auto"/>
        <w:right w:val="none" w:sz="0" w:space="0" w:color="auto"/>
      </w:divBdr>
    </w:div>
    <w:div w:id="616528371">
      <w:bodyDiv w:val="1"/>
      <w:marLeft w:val="0"/>
      <w:marRight w:val="0"/>
      <w:marTop w:val="0"/>
      <w:marBottom w:val="0"/>
      <w:divBdr>
        <w:top w:val="none" w:sz="0" w:space="0" w:color="auto"/>
        <w:left w:val="none" w:sz="0" w:space="0" w:color="auto"/>
        <w:bottom w:val="none" w:sz="0" w:space="0" w:color="auto"/>
        <w:right w:val="none" w:sz="0" w:space="0" w:color="auto"/>
      </w:divBdr>
    </w:div>
    <w:div w:id="967975569">
      <w:bodyDiv w:val="1"/>
      <w:marLeft w:val="0"/>
      <w:marRight w:val="0"/>
      <w:marTop w:val="0"/>
      <w:marBottom w:val="0"/>
      <w:divBdr>
        <w:top w:val="none" w:sz="0" w:space="0" w:color="auto"/>
        <w:left w:val="none" w:sz="0" w:space="0" w:color="auto"/>
        <w:bottom w:val="none" w:sz="0" w:space="0" w:color="auto"/>
        <w:right w:val="none" w:sz="0" w:space="0" w:color="auto"/>
      </w:divBdr>
    </w:div>
    <w:div w:id="1160927542">
      <w:bodyDiv w:val="1"/>
      <w:marLeft w:val="0"/>
      <w:marRight w:val="0"/>
      <w:marTop w:val="0"/>
      <w:marBottom w:val="0"/>
      <w:divBdr>
        <w:top w:val="none" w:sz="0" w:space="0" w:color="auto"/>
        <w:left w:val="none" w:sz="0" w:space="0" w:color="auto"/>
        <w:bottom w:val="none" w:sz="0" w:space="0" w:color="auto"/>
        <w:right w:val="none" w:sz="0" w:space="0" w:color="auto"/>
      </w:divBdr>
    </w:div>
    <w:div w:id="1169323887">
      <w:bodyDiv w:val="1"/>
      <w:marLeft w:val="0"/>
      <w:marRight w:val="0"/>
      <w:marTop w:val="0"/>
      <w:marBottom w:val="0"/>
      <w:divBdr>
        <w:top w:val="none" w:sz="0" w:space="0" w:color="auto"/>
        <w:left w:val="none" w:sz="0" w:space="0" w:color="auto"/>
        <w:bottom w:val="none" w:sz="0" w:space="0" w:color="auto"/>
        <w:right w:val="none" w:sz="0" w:space="0" w:color="auto"/>
      </w:divBdr>
    </w:div>
    <w:div w:id="1330400340">
      <w:bodyDiv w:val="1"/>
      <w:marLeft w:val="0"/>
      <w:marRight w:val="0"/>
      <w:marTop w:val="0"/>
      <w:marBottom w:val="0"/>
      <w:divBdr>
        <w:top w:val="none" w:sz="0" w:space="0" w:color="auto"/>
        <w:left w:val="none" w:sz="0" w:space="0" w:color="auto"/>
        <w:bottom w:val="none" w:sz="0" w:space="0" w:color="auto"/>
        <w:right w:val="none" w:sz="0" w:space="0" w:color="auto"/>
      </w:divBdr>
    </w:div>
    <w:div w:id="1650090143">
      <w:bodyDiv w:val="1"/>
      <w:marLeft w:val="0"/>
      <w:marRight w:val="0"/>
      <w:marTop w:val="0"/>
      <w:marBottom w:val="0"/>
      <w:divBdr>
        <w:top w:val="none" w:sz="0" w:space="0" w:color="auto"/>
        <w:left w:val="none" w:sz="0" w:space="0" w:color="auto"/>
        <w:bottom w:val="none" w:sz="0" w:space="0" w:color="auto"/>
        <w:right w:val="none" w:sz="0" w:space="0" w:color="auto"/>
      </w:divBdr>
    </w:div>
    <w:div w:id="1663503727">
      <w:bodyDiv w:val="1"/>
      <w:marLeft w:val="0"/>
      <w:marRight w:val="0"/>
      <w:marTop w:val="0"/>
      <w:marBottom w:val="0"/>
      <w:divBdr>
        <w:top w:val="none" w:sz="0" w:space="0" w:color="auto"/>
        <w:left w:val="none" w:sz="0" w:space="0" w:color="auto"/>
        <w:bottom w:val="none" w:sz="0" w:space="0" w:color="auto"/>
        <w:right w:val="none" w:sz="0" w:space="0" w:color="auto"/>
      </w:divBdr>
    </w:div>
    <w:div w:id="1794522518">
      <w:bodyDiv w:val="1"/>
      <w:marLeft w:val="0"/>
      <w:marRight w:val="0"/>
      <w:marTop w:val="0"/>
      <w:marBottom w:val="0"/>
      <w:divBdr>
        <w:top w:val="none" w:sz="0" w:space="0" w:color="auto"/>
        <w:left w:val="none" w:sz="0" w:space="0" w:color="auto"/>
        <w:bottom w:val="none" w:sz="0" w:space="0" w:color="auto"/>
        <w:right w:val="none" w:sz="0" w:space="0" w:color="auto"/>
      </w:divBdr>
    </w:div>
    <w:div w:id="1916238218">
      <w:bodyDiv w:val="1"/>
      <w:marLeft w:val="0"/>
      <w:marRight w:val="0"/>
      <w:marTop w:val="0"/>
      <w:marBottom w:val="0"/>
      <w:divBdr>
        <w:top w:val="none" w:sz="0" w:space="0" w:color="auto"/>
        <w:left w:val="none" w:sz="0" w:space="0" w:color="auto"/>
        <w:bottom w:val="none" w:sz="0" w:space="0" w:color="auto"/>
        <w:right w:val="none" w:sz="0" w:space="0" w:color="auto"/>
      </w:divBdr>
    </w:div>
    <w:div w:id="1976518221">
      <w:bodyDiv w:val="1"/>
      <w:marLeft w:val="0"/>
      <w:marRight w:val="0"/>
      <w:marTop w:val="0"/>
      <w:marBottom w:val="0"/>
      <w:divBdr>
        <w:top w:val="none" w:sz="0" w:space="0" w:color="auto"/>
        <w:left w:val="none" w:sz="0" w:space="0" w:color="auto"/>
        <w:bottom w:val="none" w:sz="0" w:space="0" w:color="auto"/>
        <w:right w:val="none" w:sz="0" w:space="0" w:color="auto"/>
      </w:divBdr>
    </w:div>
    <w:div w:id="2043091771">
      <w:bodyDiv w:val="1"/>
      <w:marLeft w:val="0"/>
      <w:marRight w:val="0"/>
      <w:marTop w:val="0"/>
      <w:marBottom w:val="0"/>
      <w:divBdr>
        <w:top w:val="none" w:sz="0" w:space="0" w:color="auto"/>
        <w:left w:val="none" w:sz="0" w:space="0" w:color="auto"/>
        <w:bottom w:val="none" w:sz="0" w:space="0" w:color="auto"/>
        <w:right w:val="none" w:sz="0" w:space="0" w:color="auto"/>
      </w:divBdr>
    </w:div>
    <w:div w:id="2050107436">
      <w:bodyDiv w:val="1"/>
      <w:marLeft w:val="0"/>
      <w:marRight w:val="0"/>
      <w:marTop w:val="0"/>
      <w:marBottom w:val="0"/>
      <w:divBdr>
        <w:top w:val="none" w:sz="0" w:space="0" w:color="auto"/>
        <w:left w:val="none" w:sz="0" w:space="0" w:color="auto"/>
        <w:bottom w:val="none" w:sz="0" w:space="0" w:color="auto"/>
        <w:right w:val="none" w:sz="0" w:space="0" w:color="auto"/>
      </w:divBdr>
    </w:div>
    <w:div w:id="2123767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4520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books/NBK556032/"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ngland.nhs.uk/2024/06/nhs-identifies-over-half-a-million-more-people-at-risk-of-type-2-diabetes-in-a-year/" TargetMode="External"/><Relationship Id="rId4" Type="http://schemas.openxmlformats.org/officeDocument/2006/relationships/webSettings" Target="webSettings.xml"/><Relationship Id="rId9" Type="http://schemas.openxmlformats.org/officeDocument/2006/relationships/hyperlink" Target="https://www.ncbi.nlm.nih.gov/books/NBK5559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2751</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Nahida Akhtar (2407149)</cp:lastModifiedBy>
  <cp:revision>18</cp:revision>
  <dcterms:created xsi:type="dcterms:W3CDTF">2026-02-14T13:36:00Z</dcterms:created>
  <dcterms:modified xsi:type="dcterms:W3CDTF">2026-02-22T19:39:00Z</dcterms:modified>
</cp:coreProperties>
</file>