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06E5CC99" w14:textId="70AFAF6A" w:rsidR="0056309F" w:rsidRPr="00DF782E" w:rsidRDefault="008E7A95" w:rsidP="00D6128D">
      <w:pPr>
        <w:ind w:left="360"/>
        <w:rPr>
          <w:sz w:val="24"/>
          <w:szCs w:val="24"/>
        </w:rPr>
      </w:pPr>
      <w:r w:rsidRPr="00DF782E">
        <w:rPr>
          <w:b/>
          <w:bCs/>
          <w:sz w:val="24"/>
          <w:szCs w:val="24"/>
        </w:rPr>
        <w:t>Assignment Title</w:t>
      </w:r>
      <w:r w:rsidRPr="00DF782E">
        <w:rPr>
          <w:sz w:val="24"/>
          <w:szCs w:val="24"/>
        </w:rPr>
        <w:t>: Research and case scenario in Data Security and Compliance</w:t>
      </w:r>
    </w:p>
    <w:p w14:paraId="68F7DDF0" w14:textId="77777777" w:rsidR="008E7A95" w:rsidRPr="00DF782E" w:rsidRDefault="008E7A95" w:rsidP="00D6128D">
      <w:pPr>
        <w:rPr>
          <w:sz w:val="24"/>
          <w:szCs w:val="24"/>
        </w:rPr>
      </w:pPr>
    </w:p>
    <w:p w14:paraId="1A6DCC28" w14:textId="77777777" w:rsidR="008E7A95" w:rsidRPr="00DF782E" w:rsidRDefault="008E7A95" w:rsidP="00D6128D">
      <w:pPr>
        <w:ind w:left="360"/>
        <w:rPr>
          <w:b/>
          <w:bCs/>
          <w:sz w:val="24"/>
          <w:szCs w:val="24"/>
        </w:rPr>
      </w:pPr>
      <w:r w:rsidRPr="00DF782E">
        <w:rPr>
          <w:b/>
          <w:bCs/>
          <w:sz w:val="24"/>
          <w:szCs w:val="24"/>
        </w:rPr>
        <w:t>LEVEL 5 ASSESSMENT</w:t>
      </w:r>
    </w:p>
    <w:p w14:paraId="013DCBC3" w14:textId="77777777" w:rsidR="008E7A95" w:rsidRPr="00DF782E" w:rsidRDefault="008E7A95" w:rsidP="00D6128D">
      <w:pPr>
        <w:ind w:left="360"/>
        <w:rPr>
          <w:sz w:val="24"/>
          <w:szCs w:val="24"/>
        </w:rPr>
      </w:pPr>
      <w:r w:rsidRPr="00DF782E">
        <w:rPr>
          <w:b/>
          <w:bCs/>
          <w:sz w:val="24"/>
          <w:szCs w:val="24"/>
        </w:rPr>
        <w:t>Student name</w:t>
      </w:r>
      <w:r w:rsidRPr="00DF782E">
        <w:rPr>
          <w:sz w:val="24"/>
          <w:szCs w:val="24"/>
        </w:rPr>
        <w:t>: Muhammad Ameer Faisal</w:t>
      </w:r>
    </w:p>
    <w:p w14:paraId="3ABEB847" w14:textId="77777777" w:rsidR="008E7A95" w:rsidRPr="00DF782E" w:rsidRDefault="008E7A95" w:rsidP="00D6128D">
      <w:pPr>
        <w:ind w:left="360"/>
        <w:rPr>
          <w:sz w:val="24"/>
          <w:szCs w:val="24"/>
        </w:rPr>
      </w:pPr>
      <w:r w:rsidRPr="00DF782E">
        <w:rPr>
          <w:b/>
          <w:bCs/>
          <w:sz w:val="24"/>
          <w:szCs w:val="24"/>
        </w:rPr>
        <w:t>Student ID number</w:t>
      </w:r>
      <w:r w:rsidRPr="00DF782E">
        <w:rPr>
          <w:sz w:val="24"/>
          <w:szCs w:val="24"/>
        </w:rPr>
        <w:t>:2335795</w:t>
      </w:r>
    </w:p>
    <w:p w14:paraId="41B05DBA" w14:textId="7E4538BF" w:rsidR="008E7A95" w:rsidRPr="00DF782E" w:rsidRDefault="008E7A95" w:rsidP="00D6128D">
      <w:pPr>
        <w:tabs>
          <w:tab w:val="left" w:pos="6165"/>
        </w:tabs>
        <w:ind w:left="360"/>
        <w:rPr>
          <w:sz w:val="24"/>
          <w:szCs w:val="24"/>
        </w:rPr>
      </w:pPr>
      <w:r w:rsidRPr="00DF782E">
        <w:rPr>
          <w:b/>
          <w:bCs/>
          <w:sz w:val="24"/>
          <w:szCs w:val="24"/>
        </w:rPr>
        <w:t>Programme</w:t>
      </w:r>
      <w:r w:rsidRPr="00DF782E">
        <w:rPr>
          <w:sz w:val="24"/>
          <w:szCs w:val="24"/>
        </w:rPr>
        <w:t>: Computing Portfolio</w:t>
      </w:r>
      <w:r w:rsidR="0056309F" w:rsidRPr="00DF782E">
        <w:rPr>
          <w:sz w:val="24"/>
          <w:szCs w:val="24"/>
        </w:rPr>
        <w:tab/>
      </w:r>
    </w:p>
    <w:p w14:paraId="26087706" w14:textId="77777777" w:rsidR="008E7A95" w:rsidRPr="00DF782E" w:rsidRDefault="008E7A95" w:rsidP="00D6128D">
      <w:pPr>
        <w:ind w:left="360"/>
        <w:rPr>
          <w:sz w:val="24"/>
          <w:szCs w:val="24"/>
        </w:rPr>
      </w:pPr>
      <w:r w:rsidRPr="00DF782E">
        <w:rPr>
          <w:b/>
          <w:bCs/>
          <w:sz w:val="24"/>
          <w:szCs w:val="24"/>
        </w:rPr>
        <w:t>Module</w:t>
      </w:r>
      <w:r w:rsidRPr="00DF782E">
        <w:rPr>
          <w:sz w:val="24"/>
          <w:szCs w:val="24"/>
        </w:rPr>
        <w:t>: Data Security and Compliance</w:t>
      </w:r>
    </w:p>
    <w:p w14:paraId="2DCADB7A" w14:textId="77777777" w:rsidR="008E7A95" w:rsidRPr="00DF782E" w:rsidRDefault="008E7A95" w:rsidP="00D6128D">
      <w:pPr>
        <w:ind w:left="360"/>
        <w:rPr>
          <w:sz w:val="24"/>
          <w:szCs w:val="24"/>
        </w:rPr>
      </w:pPr>
      <w:r w:rsidRPr="00DF782E">
        <w:rPr>
          <w:b/>
          <w:bCs/>
          <w:sz w:val="24"/>
          <w:szCs w:val="24"/>
        </w:rPr>
        <w:t>Module code</w:t>
      </w:r>
      <w:r w:rsidRPr="00DF782E">
        <w:rPr>
          <w:sz w:val="24"/>
          <w:szCs w:val="24"/>
        </w:rPr>
        <w:t>: ACCA5034</w:t>
      </w:r>
    </w:p>
    <w:p w14:paraId="5A5296EF" w14:textId="77777777" w:rsidR="008E7A95" w:rsidRPr="00DF782E" w:rsidRDefault="008E7A95" w:rsidP="00D6128D">
      <w:pPr>
        <w:ind w:left="360"/>
        <w:rPr>
          <w:sz w:val="24"/>
          <w:szCs w:val="24"/>
        </w:rPr>
      </w:pPr>
      <w:r w:rsidRPr="00DF782E">
        <w:rPr>
          <w:b/>
          <w:bCs/>
          <w:sz w:val="24"/>
          <w:szCs w:val="24"/>
        </w:rPr>
        <w:t>Lecturer</w:t>
      </w:r>
      <w:r w:rsidRPr="00DF782E">
        <w:rPr>
          <w:sz w:val="24"/>
          <w:szCs w:val="24"/>
        </w:rPr>
        <w:t>: Dr Ayman Al Hajjar</w:t>
      </w:r>
    </w:p>
    <w:p w14:paraId="2D7530D5" w14:textId="77777777" w:rsidR="008E7A95" w:rsidRPr="00DF782E" w:rsidRDefault="008E7A95" w:rsidP="00D6128D">
      <w:pPr>
        <w:ind w:left="360"/>
        <w:rPr>
          <w:sz w:val="24"/>
          <w:szCs w:val="24"/>
        </w:rPr>
      </w:pPr>
      <w:r w:rsidRPr="00DF782E">
        <w:rPr>
          <w:b/>
          <w:bCs/>
          <w:sz w:val="24"/>
          <w:szCs w:val="24"/>
        </w:rPr>
        <w:t>Internal Verifier</w:t>
      </w:r>
      <w:r w:rsidRPr="00DF782E">
        <w:rPr>
          <w:sz w:val="24"/>
          <w:szCs w:val="24"/>
        </w:rPr>
        <w:t>: Dr.Dipo Dunsin</w:t>
      </w:r>
    </w:p>
    <w:p w14:paraId="03DF2556" w14:textId="77777777" w:rsidR="008E7A95" w:rsidRPr="00DF782E" w:rsidRDefault="008E7A95" w:rsidP="00D6128D">
      <w:pPr>
        <w:ind w:left="360"/>
        <w:rPr>
          <w:sz w:val="24"/>
          <w:szCs w:val="24"/>
        </w:rPr>
      </w:pPr>
      <w:r w:rsidRPr="00DF782E">
        <w:rPr>
          <w:b/>
          <w:bCs/>
          <w:sz w:val="24"/>
          <w:szCs w:val="24"/>
        </w:rPr>
        <w:t>Word count</w:t>
      </w:r>
      <w:r w:rsidRPr="00DF782E">
        <w:rPr>
          <w:sz w:val="24"/>
          <w:szCs w:val="24"/>
        </w:rPr>
        <w:t>: 5000 words or equivalent</w:t>
      </w:r>
    </w:p>
    <w:p w14:paraId="2B05F932" w14:textId="1A230FFC" w:rsidR="008E7A95" w:rsidRPr="00DF782E" w:rsidRDefault="008E7A95" w:rsidP="00D6128D">
      <w:pPr>
        <w:ind w:left="360"/>
        <w:rPr>
          <w:sz w:val="24"/>
          <w:szCs w:val="24"/>
        </w:rPr>
      </w:pPr>
      <w:r w:rsidRPr="00DF782E">
        <w:rPr>
          <w:b/>
          <w:bCs/>
          <w:sz w:val="24"/>
          <w:szCs w:val="24"/>
        </w:rPr>
        <w:t>Submission deadline</w:t>
      </w:r>
      <w:r w:rsidRPr="00DF782E">
        <w:rPr>
          <w:sz w:val="24"/>
          <w:szCs w:val="24"/>
        </w:rPr>
        <w:t>: 30th April 2026 14:00</w:t>
      </w:r>
    </w:p>
    <w:p w14:paraId="15139DEC" w14:textId="77777777" w:rsidR="008E7A95" w:rsidRPr="00DF782E" w:rsidRDefault="008E7A95" w:rsidP="00DF782E">
      <w:pPr>
        <w:pStyle w:val="Heading1"/>
        <w:rPr>
          <w:sz w:val="36"/>
          <w:szCs w:val="36"/>
        </w:rPr>
      </w:pPr>
    </w:p>
    <w:p w14:paraId="47242984" w14:textId="77777777" w:rsidR="008E7A95" w:rsidRPr="00DF782E" w:rsidRDefault="008E7A95" w:rsidP="00D6128D">
      <w:pPr>
        <w:rPr>
          <w:sz w:val="24"/>
          <w:szCs w:val="24"/>
        </w:rPr>
      </w:pPr>
    </w:p>
    <w:p w14:paraId="71757859" w14:textId="77777777" w:rsidR="008E7A95" w:rsidRPr="00DF782E" w:rsidRDefault="008E7A95" w:rsidP="00D6128D">
      <w:pPr>
        <w:rPr>
          <w:sz w:val="24"/>
          <w:szCs w:val="24"/>
        </w:rPr>
      </w:pPr>
    </w:p>
    <w:p w14:paraId="53A02287" w14:textId="5ABBAB07" w:rsidR="008E7A95" w:rsidRPr="00DF782E" w:rsidRDefault="008E7A95" w:rsidP="00D6128D">
      <w:pPr>
        <w:ind w:left="7065"/>
        <w:rPr>
          <w:sz w:val="24"/>
          <w:szCs w:val="24"/>
        </w:rPr>
      </w:pPr>
    </w:p>
    <w:p w14:paraId="1E504DAA" w14:textId="77777777" w:rsidR="0056309F" w:rsidRPr="00DF782E" w:rsidRDefault="0056309F" w:rsidP="00D6128D">
      <w:pPr>
        <w:rPr>
          <w:sz w:val="24"/>
          <w:szCs w:val="24"/>
        </w:rPr>
      </w:pPr>
    </w:p>
    <w:p w14:paraId="2EA3D9A6" w14:textId="77777777" w:rsidR="0056309F" w:rsidRPr="00DF782E" w:rsidRDefault="0056309F" w:rsidP="00D6128D">
      <w:pPr>
        <w:rPr>
          <w:sz w:val="24"/>
          <w:szCs w:val="24"/>
        </w:rPr>
      </w:pPr>
    </w:p>
    <w:p w14:paraId="09D3A2F1" w14:textId="77777777" w:rsidR="0056309F" w:rsidRPr="00DF782E" w:rsidRDefault="0056309F" w:rsidP="00D6128D">
      <w:pPr>
        <w:rPr>
          <w:sz w:val="24"/>
          <w:szCs w:val="24"/>
        </w:rPr>
      </w:pPr>
    </w:p>
    <w:p w14:paraId="0FC1CFA4" w14:textId="6C9D00CF" w:rsidR="0056309F" w:rsidRPr="00DF782E" w:rsidRDefault="0056309F" w:rsidP="00D6128D">
      <w:pPr>
        <w:ind w:left="45"/>
        <w:rPr>
          <w:sz w:val="24"/>
          <w:szCs w:val="24"/>
        </w:rPr>
      </w:pPr>
    </w:p>
    <w:p w14:paraId="6475F007" w14:textId="77777777" w:rsidR="0056309F" w:rsidRPr="00DF782E" w:rsidRDefault="0056309F" w:rsidP="00D6128D">
      <w:pPr>
        <w:rPr>
          <w:sz w:val="24"/>
          <w:szCs w:val="24"/>
        </w:rPr>
      </w:pPr>
    </w:p>
    <w:p w14:paraId="020CDFAA" w14:textId="77777777" w:rsidR="0056309F" w:rsidRPr="00DF782E" w:rsidRDefault="0056309F" w:rsidP="00D6128D">
      <w:pPr>
        <w:rPr>
          <w:sz w:val="24"/>
          <w:szCs w:val="24"/>
        </w:rPr>
      </w:pPr>
    </w:p>
    <w:p w14:paraId="22294AE9" w14:textId="77777777" w:rsidR="0056309F" w:rsidRPr="00DF782E" w:rsidRDefault="0056309F" w:rsidP="00D6128D">
      <w:pPr>
        <w:rPr>
          <w:sz w:val="24"/>
          <w:szCs w:val="24"/>
        </w:rPr>
      </w:pPr>
    </w:p>
    <w:p w14:paraId="0F43CFA7" w14:textId="77777777" w:rsidR="0056309F" w:rsidRPr="00DF782E" w:rsidRDefault="0056309F" w:rsidP="00D6128D">
      <w:pPr>
        <w:rPr>
          <w:sz w:val="24"/>
          <w:szCs w:val="24"/>
        </w:rPr>
        <w:sectPr w:rsidR="0056309F" w:rsidRPr="00DF782E" w:rsidSect="00D4742B">
          <w:headerReference w:type="default" r:id="rId11"/>
          <w:footerReference w:type="default" r:id="rId12"/>
          <w:pgSz w:w="11906" w:h="16838"/>
          <w:pgMar w:top="1440" w:right="1440" w:bottom="1440" w:left="1440" w:header="624" w:footer="170" w:gutter="0"/>
          <w:cols w:space="708"/>
          <w:docGrid w:linePitch="360"/>
        </w:sectPr>
      </w:pPr>
    </w:p>
    <w:p w14:paraId="5A03A1A2" w14:textId="77777777" w:rsidR="008E7A95" w:rsidRPr="00DF782E" w:rsidRDefault="008E7A95" w:rsidP="00D6128D">
      <w:pPr>
        <w:rPr>
          <w:b/>
          <w:bCs/>
          <w:sz w:val="24"/>
          <w:szCs w:val="24"/>
        </w:rPr>
      </w:pPr>
    </w:p>
    <w:p w14:paraId="008D0E12" w14:textId="74B3A98C" w:rsidR="008E7A95" w:rsidRPr="00E05A29" w:rsidRDefault="00E05A29" w:rsidP="00D6128D">
      <w:pPr>
        <w:ind w:left="360"/>
        <w:rPr>
          <w:sz w:val="36"/>
          <w:szCs w:val="36"/>
        </w:rPr>
      </w:pPr>
      <w:r>
        <w:rPr>
          <w:b/>
          <w:bCs/>
          <w:sz w:val="36"/>
          <w:szCs w:val="36"/>
        </w:rPr>
        <w:t xml:space="preserve">                                                 </w:t>
      </w:r>
      <w:r w:rsidR="008E7A95" w:rsidRPr="00E05A29">
        <w:rPr>
          <w:b/>
          <w:bCs/>
          <w:sz w:val="36"/>
          <w:szCs w:val="36"/>
        </w:rPr>
        <w:t>TASK:1</w:t>
      </w:r>
    </w:p>
    <w:p w14:paraId="399EF5A3" w14:textId="521DDD60" w:rsidR="00842E9C" w:rsidRPr="00DF782E" w:rsidRDefault="00842E9C" w:rsidP="00E97B39">
      <w:pPr>
        <w:ind w:left="360"/>
        <w:rPr>
          <w:rFonts w:ascii="Arial" w:hAnsi="Arial" w:cs="Arial"/>
          <w:b/>
          <w:bCs/>
          <w:sz w:val="24"/>
          <w:szCs w:val="24"/>
        </w:rPr>
      </w:pPr>
      <w:r w:rsidRPr="00DF782E">
        <w:rPr>
          <w:rFonts w:ascii="Arial" w:hAnsi="Arial" w:cs="Arial"/>
          <w:b/>
          <w:bCs/>
          <w:sz w:val="24"/>
          <w:szCs w:val="24"/>
        </w:rPr>
        <w:t>Governance of AI and Machine Learning Systems: Strategies for Risk, Ethics, and Compliance</w:t>
      </w:r>
    </w:p>
    <w:p w14:paraId="22425205" w14:textId="77777777" w:rsidR="00842E9C" w:rsidRPr="00DF782E" w:rsidRDefault="00842E9C" w:rsidP="00D6128D">
      <w:pPr>
        <w:ind w:left="360"/>
        <w:rPr>
          <w:rFonts w:ascii="Arial" w:hAnsi="Arial" w:cs="Arial"/>
          <w:b/>
          <w:bCs/>
          <w:sz w:val="24"/>
          <w:szCs w:val="24"/>
        </w:rPr>
      </w:pPr>
      <w:r w:rsidRPr="00DF782E">
        <w:rPr>
          <w:rFonts w:ascii="Arial" w:hAnsi="Arial" w:cs="Arial"/>
          <w:b/>
          <w:bCs/>
          <w:sz w:val="24"/>
          <w:szCs w:val="24"/>
        </w:rPr>
        <w:t>Abstract</w:t>
      </w:r>
    </w:p>
    <w:p w14:paraId="6551618E"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Artificial Intelligence (AI) and Machine Learning (ML) systems are transforming organisational decision-making across healthcare, finance, retail, and government sectors. However, these technologies introduce risks including algorithmic bias, privacy violations, cybersecurity threats, and regulatory non-compliance. Without structured governance mechanisms, organisations risk deploying systems that undermine trust, violate legal frameworks, and produce harmful automated decisions. This paper critically evaluates how modern organisations can develop governance environments that anticipate, protect, detect, and automatically respond to risks across the AI lifecycle. It examines key governance frameworks including the NIST AI Risk Management Framework [1], the EU AI Act [2], and ISO/IEC 42001 [3], alongside organisational strategies such as model lifecycle monitoring, explainable AI, automated compliance auditing, and adversarial defence mechanisms. Industry case studies from healthcare, finance, and cloud computing sectors illustrate real-world implementation practices. The paper concludes that proactive governance architectures combining technical safeguards with ethical oversight and regulatory compliance mechanisms are essential to ensure trustworthy AI deployment.</w:t>
      </w:r>
    </w:p>
    <w:p w14:paraId="7E187952" w14:textId="39041E5A" w:rsidR="00842E9C" w:rsidRPr="00DF782E" w:rsidRDefault="00842E9C" w:rsidP="00D6128D">
      <w:pPr>
        <w:rPr>
          <w:rFonts w:ascii="Arial" w:hAnsi="Arial" w:cs="Arial"/>
          <w:sz w:val="24"/>
          <w:szCs w:val="24"/>
        </w:rPr>
      </w:pPr>
    </w:p>
    <w:p w14:paraId="0BF33ED8" w14:textId="4C6CC0DE" w:rsidR="00842E9C" w:rsidRPr="00DF782E" w:rsidRDefault="00842E9C" w:rsidP="00D6128D">
      <w:pPr>
        <w:ind w:left="360"/>
        <w:rPr>
          <w:rFonts w:ascii="Arial" w:hAnsi="Arial" w:cs="Arial"/>
          <w:b/>
          <w:bCs/>
          <w:sz w:val="24"/>
          <w:szCs w:val="24"/>
        </w:rPr>
      </w:pPr>
      <w:r w:rsidRPr="00DF782E">
        <w:rPr>
          <w:rFonts w:ascii="Arial" w:hAnsi="Arial" w:cs="Arial"/>
          <w:b/>
          <w:bCs/>
          <w:sz w:val="24"/>
          <w:szCs w:val="24"/>
        </w:rPr>
        <w:t>Introduction</w:t>
      </w:r>
    </w:p>
    <w:p w14:paraId="0DBEA848"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Artificial Intelligence and Machine Learning technologies increasingly support high-impact decisions in modern organisations, including clinical diagnostics, fraud detection, predictive analytics, and recruitment screening. While these systems enable automation and efficiency improvements, they also introduce governance challenges that differ significantly from traditional IT systems [7].</w:t>
      </w:r>
    </w:p>
    <w:p w14:paraId="664A9464"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Unlike conventional software, AI systems learn from data, evolve dynamically after deployment, and may produce opaque decision outputs. Consequently, unmanaged AI introduces risks such as discriminatory predictions, adversarial manipulation, regulatory violations, and operational instability [8].</w:t>
      </w:r>
    </w:p>
    <w:p w14:paraId="562BB00C"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Modern organisations therefore require governance environments capable of:</w:t>
      </w:r>
    </w:p>
    <w:p w14:paraId="650D8F87" w14:textId="7236B05D" w:rsidR="00842E9C" w:rsidRPr="00DF782E" w:rsidRDefault="00842E9C" w:rsidP="00D6128D">
      <w:pPr>
        <w:ind w:left="1080"/>
        <w:rPr>
          <w:rFonts w:ascii="Arial" w:hAnsi="Arial" w:cs="Arial"/>
          <w:sz w:val="24"/>
          <w:szCs w:val="24"/>
        </w:rPr>
      </w:pPr>
      <w:r w:rsidRPr="00DF782E">
        <w:rPr>
          <w:rFonts w:ascii="Arial" w:hAnsi="Arial" w:cs="Arial"/>
          <w:sz w:val="24"/>
          <w:szCs w:val="24"/>
        </w:rPr>
        <w:t>anticipating emerging risks before deployment</w:t>
      </w:r>
      <w:r w:rsidRPr="00DF782E">
        <w:rPr>
          <w:rFonts w:ascii="Arial" w:hAnsi="Arial" w:cs="Arial"/>
          <w:sz w:val="24"/>
          <w:szCs w:val="24"/>
        </w:rPr>
        <w:br/>
        <w:t>• protecting datasets and models during operation</w:t>
      </w:r>
      <w:r w:rsidRPr="00DF782E">
        <w:rPr>
          <w:rFonts w:ascii="Arial" w:hAnsi="Arial" w:cs="Arial"/>
          <w:sz w:val="24"/>
          <w:szCs w:val="24"/>
        </w:rPr>
        <w:br/>
        <w:t>• detecting anomalies and misuse in real time</w:t>
      </w:r>
      <w:r w:rsidRPr="00DF782E">
        <w:rPr>
          <w:rFonts w:ascii="Arial" w:hAnsi="Arial" w:cs="Arial"/>
          <w:sz w:val="24"/>
          <w:szCs w:val="24"/>
        </w:rPr>
        <w:br/>
        <w:t>• automatically responding to performance, security, and compliance failures</w:t>
      </w:r>
    </w:p>
    <w:p w14:paraId="54481FB5"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lastRenderedPageBreak/>
        <w:t>This research critically evaluates governance strategies supporting secure and ethical AI deployment through lifecycle-based monitoring and automated risk management frameworks aligned with global AI governance principles [6].</w:t>
      </w:r>
    </w:p>
    <w:p w14:paraId="6DF551A5" w14:textId="6E0D2D8C" w:rsidR="00842E9C" w:rsidRPr="00DF782E" w:rsidRDefault="00842E9C" w:rsidP="00D6128D">
      <w:pPr>
        <w:rPr>
          <w:rFonts w:ascii="Arial" w:hAnsi="Arial" w:cs="Arial"/>
          <w:sz w:val="24"/>
          <w:szCs w:val="24"/>
        </w:rPr>
      </w:pPr>
    </w:p>
    <w:p w14:paraId="774A208C" w14:textId="1A3F129E" w:rsidR="00842E9C" w:rsidRPr="00DF782E" w:rsidRDefault="00CC46CC" w:rsidP="00D6128D">
      <w:pPr>
        <w:ind w:left="360"/>
        <w:rPr>
          <w:rFonts w:ascii="Arial" w:hAnsi="Arial" w:cs="Arial"/>
          <w:b/>
          <w:bCs/>
          <w:sz w:val="24"/>
          <w:szCs w:val="24"/>
        </w:rPr>
      </w:pPr>
      <w:r w:rsidRPr="00CC46CC">
        <w:rPr>
          <w:rFonts w:ascii="Arial" w:hAnsi="Arial" w:cs="Arial"/>
          <w:b/>
          <w:bCs/>
          <w:sz w:val="24"/>
          <w:szCs w:val="24"/>
        </w:rPr>
        <w:t>AI Oversight and Governance Models</w:t>
      </w:r>
    </w:p>
    <w:p w14:paraId="71CF9391" w14:textId="7A70F4FE" w:rsidR="00842E9C" w:rsidRPr="00DF782E" w:rsidRDefault="00842E9C" w:rsidP="00D6128D">
      <w:pPr>
        <w:ind w:left="360"/>
        <w:rPr>
          <w:rFonts w:ascii="Arial" w:hAnsi="Arial" w:cs="Arial"/>
          <w:b/>
          <w:bCs/>
          <w:sz w:val="24"/>
          <w:szCs w:val="24"/>
        </w:rPr>
      </w:pPr>
      <w:r w:rsidRPr="00DF782E">
        <w:rPr>
          <w:rFonts w:ascii="Arial" w:hAnsi="Arial" w:cs="Arial"/>
          <w:b/>
          <w:bCs/>
          <w:sz w:val="24"/>
          <w:szCs w:val="24"/>
        </w:rPr>
        <w:t>Definition of AI Governance</w:t>
      </w:r>
    </w:p>
    <w:p w14:paraId="435D137E"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AI governance refers to organisational policies, technical controls, and oversight structures that ensure AI systems operate transparently, ethically, securely, and in compliance with regulatory expectations [4].</w:t>
      </w:r>
    </w:p>
    <w:p w14:paraId="64C19F50"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Effective governance integrates:</w:t>
      </w:r>
    </w:p>
    <w:p w14:paraId="7309B865" w14:textId="6086DF59" w:rsidR="00842E9C" w:rsidRPr="00DF782E" w:rsidRDefault="00842E9C" w:rsidP="00D6128D">
      <w:pPr>
        <w:ind w:left="1080"/>
        <w:rPr>
          <w:rFonts w:ascii="Arial" w:hAnsi="Arial" w:cs="Arial"/>
          <w:sz w:val="24"/>
          <w:szCs w:val="24"/>
        </w:rPr>
      </w:pPr>
      <w:r w:rsidRPr="00DF782E">
        <w:rPr>
          <w:rFonts w:ascii="Arial" w:hAnsi="Arial" w:cs="Arial"/>
          <w:sz w:val="24"/>
          <w:szCs w:val="24"/>
        </w:rPr>
        <w:t>technical safeguards</w:t>
      </w:r>
      <w:r w:rsidRPr="00DF782E">
        <w:rPr>
          <w:rFonts w:ascii="Arial" w:hAnsi="Arial" w:cs="Arial"/>
          <w:sz w:val="24"/>
          <w:szCs w:val="24"/>
        </w:rPr>
        <w:br/>
        <w:t>• regulatory compliance monitoring</w:t>
      </w:r>
      <w:r w:rsidRPr="00DF782E">
        <w:rPr>
          <w:rFonts w:ascii="Arial" w:hAnsi="Arial" w:cs="Arial"/>
          <w:sz w:val="24"/>
          <w:szCs w:val="24"/>
        </w:rPr>
        <w:br/>
        <w:t>• ethical accountability mechanisms</w:t>
      </w:r>
      <w:r w:rsidRPr="00DF782E">
        <w:rPr>
          <w:rFonts w:ascii="Arial" w:hAnsi="Arial" w:cs="Arial"/>
          <w:sz w:val="24"/>
          <w:szCs w:val="24"/>
        </w:rPr>
        <w:br/>
        <w:t>• automated lifecycle validation controls</w:t>
      </w:r>
    </w:p>
    <w:p w14:paraId="56F3EFF4"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Rather than acting as a compliance checklist, governance operates as a continuous assurance process spanning development, deployment, and post-deployment monitoring phases.</w:t>
      </w:r>
    </w:p>
    <w:p w14:paraId="674947D1" w14:textId="0A993F4F" w:rsidR="00842E9C" w:rsidRPr="00DF782E" w:rsidRDefault="00842E9C" w:rsidP="00D6128D">
      <w:pPr>
        <w:rPr>
          <w:rFonts w:ascii="Arial" w:hAnsi="Arial" w:cs="Arial"/>
          <w:sz w:val="24"/>
          <w:szCs w:val="24"/>
        </w:rPr>
      </w:pPr>
    </w:p>
    <w:p w14:paraId="01551783" w14:textId="7F90C657" w:rsidR="00842E9C" w:rsidRPr="00DF782E" w:rsidRDefault="00842E9C" w:rsidP="00D6128D">
      <w:pPr>
        <w:ind w:left="360"/>
        <w:rPr>
          <w:rFonts w:ascii="Arial" w:hAnsi="Arial" w:cs="Arial"/>
          <w:b/>
          <w:bCs/>
          <w:sz w:val="24"/>
          <w:szCs w:val="24"/>
        </w:rPr>
      </w:pPr>
      <w:r w:rsidRPr="00DF782E">
        <w:rPr>
          <w:rFonts w:ascii="Arial" w:hAnsi="Arial" w:cs="Arial"/>
          <w:b/>
          <w:bCs/>
          <w:sz w:val="24"/>
          <w:szCs w:val="24"/>
        </w:rPr>
        <w:t>Key Governance Framework Standards</w:t>
      </w:r>
    </w:p>
    <w:p w14:paraId="3873B65C"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Several international frameworks guide modern governance strategies.</w:t>
      </w:r>
    </w:p>
    <w:p w14:paraId="4A27C2FC" w14:textId="77777777" w:rsidR="00842E9C" w:rsidRPr="00DF782E" w:rsidRDefault="00842E9C" w:rsidP="00D6128D">
      <w:pPr>
        <w:ind w:left="360"/>
        <w:rPr>
          <w:rFonts w:ascii="Arial" w:hAnsi="Arial" w:cs="Arial"/>
          <w:b/>
          <w:bCs/>
          <w:sz w:val="24"/>
          <w:szCs w:val="24"/>
        </w:rPr>
      </w:pPr>
      <w:r w:rsidRPr="00DF782E">
        <w:rPr>
          <w:rFonts w:ascii="Arial" w:hAnsi="Arial" w:cs="Arial"/>
          <w:b/>
          <w:bCs/>
          <w:sz w:val="24"/>
          <w:szCs w:val="24"/>
        </w:rPr>
        <w:t>NIST AI Risk Management Framework (AI RMF)</w:t>
      </w:r>
    </w:p>
    <w:p w14:paraId="72702180"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The NIST framework supports organisations in managing AI risks using four lifecycle pillars:</w:t>
      </w:r>
    </w:p>
    <w:p w14:paraId="52C2112D" w14:textId="2F886A73" w:rsidR="00842E9C" w:rsidRPr="00DF782E" w:rsidRDefault="00842E9C" w:rsidP="00D6128D">
      <w:pPr>
        <w:ind w:left="1080"/>
        <w:rPr>
          <w:rFonts w:ascii="Arial" w:hAnsi="Arial" w:cs="Arial"/>
          <w:sz w:val="24"/>
          <w:szCs w:val="24"/>
        </w:rPr>
      </w:pPr>
      <w:r w:rsidRPr="00DF782E">
        <w:rPr>
          <w:rFonts w:ascii="Arial" w:hAnsi="Arial" w:cs="Arial"/>
          <w:sz w:val="24"/>
          <w:szCs w:val="24"/>
        </w:rPr>
        <w:t>Govern</w:t>
      </w:r>
      <w:r w:rsidRPr="00DF782E">
        <w:rPr>
          <w:rFonts w:ascii="Arial" w:hAnsi="Arial" w:cs="Arial"/>
          <w:sz w:val="24"/>
          <w:szCs w:val="24"/>
        </w:rPr>
        <w:br/>
        <w:t>• Map</w:t>
      </w:r>
      <w:r w:rsidRPr="00DF782E">
        <w:rPr>
          <w:rFonts w:ascii="Arial" w:hAnsi="Arial" w:cs="Arial"/>
          <w:sz w:val="24"/>
          <w:szCs w:val="24"/>
        </w:rPr>
        <w:br/>
        <w:t>• Measure</w:t>
      </w:r>
      <w:r w:rsidRPr="00DF782E">
        <w:rPr>
          <w:rFonts w:ascii="Arial" w:hAnsi="Arial" w:cs="Arial"/>
          <w:sz w:val="24"/>
          <w:szCs w:val="24"/>
        </w:rPr>
        <w:br/>
        <w:t>• Manage</w:t>
      </w:r>
    </w:p>
    <w:p w14:paraId="7A19D7EA"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These align closely with anticipate-protect-detect-respond security architecture models [1].</w:t>
      </w:r>
    </w:p>
    <w:p w14:paraId="4C7D33C7" w14:textId="341E7F75" w:rsidR="00842E9C" w:rsidRPr="00DF782E" w:rsidRDefault="00842E9C" w:rsidP="00D6128D">
      <w:pPr>
        <w:rPr>
          <w:rFonts w:ascii="Arial" w:hAnsi="Arial" w:cs="Arial"/>
          <w:sz w:val="24"/>
          <w:szCs w:val="24"/>
        </w:rPr>
      </w:pPr>
    </w:p>
    <w:p w14:paraId="7A383839" w14:textId="77777777" w:rsidR="00842E9C" w:rsidRPr="00DF782E" w:rsidRDefault="00842E9C" w:rsidP="00D6128D">
      <w:pPr>
        <w:ind w:left="360"/>
        <w:rPr>
          <w:rFonts w:ascii="Arial" w:hAnsi="Arial" w:cs="Arial"/>
          <w:b/>
          <w:bCs/>
          <w:sz w:val="24"/>
          <w:szCs w:val="24"/>
        </w:rPr>
      </w:pPr>
      <w:r w:rsidRPr="00DF782E">
        <w:rPr>
          <w:rFonts w:ascii="Arial" w:hAnsi="Arial" w:cs="Arial"/>
          <w:b/>
          <w:bCs/>
          <w:sz w:val="24"/>
          <w:szCs w:val="24"/>
        </w:rPr>
        <w:t>EU AI Act</w:t>
      </w:r>
    </w:p>
    <w:p w14:paraId="59D1E83A"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The EU AI Act introduces risk-based classification categories:</w:t>
      </w:r>
    </w:p>
    <w:p w14:paraId="64C6ED48" w14:textId="6A5C6DEE" w:rsidR="00842E9C" w:rsidRPr="00DF782E" w:rsidRDefault="00842E9C" w:rsidP="00D6128D">
      <w:pPr>
        <w:ind w:left="1080"/>
        <w:rPr>
          <w:rFonts w:ascii="Arial" w:hAnsi="Arial" w:cs="Arial"/>
          <w:sz w:val="24"/>
          <w:szCs w:val="24"/>
        </w:rPr>
      </w:pPr>
      <w:r w:rsidRPr="00DF782E">
        <w:rPr>
          <w:rFonts w:ascii="Arial" w:hAnsi="Arial" w:cs="Arial"/>
          <w:sz w:val="24"/>
          <w:szCs w:val="24"/>
        </w:rPr>
        <w:t>unacceptable-risk AI (prohibited)</w:t>
      </w:r>
      <w:r w:rsidRPr="00DF782E">
        <w:rPr>
          <w:rFonts w:ascii="Arial" w:hAnsi="Arial" w:cs="Arial"/>
          <w:sz w:val="24"/>
          <w:szCs w:val="24"/>
        </w:rPr>
        <w:br/>
        <w:t>• high-risk AI (strictly regulated)</w:t>
      </w:r>
      <w:r w:rsidRPr="00DF782E">
        <w:rPr>
          <w:rFonts w:ascii="Arial" w:hAnsi="Arial" w:cs="Arial"/>
          <w:sz w:val="24"/>
          <w:szCs w:val="24"/>
        </w:rPr>
        <w:br/>
        <w:t>• limited-risk AI (transparency requirements)</w:t>
      </w:r>
      <w:r w:rsidRPr="00DF782E">
        <w:rPr>
          <w:rFonts w:ascii="Arial" w:hAnsi="Arial" w:cs="Arial"/>
          <w:sz w:val="24"/>
          <w:szCs w:val="24"/>
        </w:rPr>
        <w:br/>
        <w:t>• minimal-risk AI (light governance)</w:t>
      </w:r>
    </w:p>
    <w:p w14:paraId="3E89D8CB"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This regulatory model encourages proactive compliance monitoring throughout deployment pipelines [2].</w:t>
      </w:r>
    </w:p>
    <w:p w14:paraId="494EC454" w14:textId="110C8978" w:rsidR="00842E9C" w:rsidRPr="00DF782E" w:rsidRDefault="00842E9C" w:rsidP="00D6128D">
      <w:pPr>
        <w:rPr>
          <w:rFonts w:ascii="Arial" w:hAnsi="Arial" w:cs="Arial"/>
          <w:sz w:val="24"/>
          <w:szCs w:val="24"/>
        </w:rPr>
      </w:pPr>
    </w:p>
    <w:p w14:paraId="6DCEA986" w14:textId="77777777" w:rsidR="00842E9C" w:rsidRPr="00DF782E" w:rsidRDefault="00842E9C" w:rsidP="00D6128D">
      <w:pPr>
        <w:ind w:left="360"/>
        <w:rPr>
          <w:rFonts w:ascii="Arial" w:hAnsi="Arial" w:cs="Arial"/>
          <w:b/>
          <w:bCs/>
          <w:sz w:val="24"/>
          <w:szCs w:val="24"/>
        </w:rPr>
      </w:pPr>
      <w:r w:rsidRPr="00DF782E">
        <w:rPr>
          <w:rFonts w:ascii="Arial" w:hAnsi="Arial" w:cs="Arial"/>
          <w:b/>
          <w:bCs/>
          <w:sz w:val="24"/>
          <w:szCs w:val="24"/>
        </w:rPr>
        <w:t>ISO/IEC 42001</w:t>
      </w:r>
    </w:p>
    <w:p w14:paraId="2C4A5FCF"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ISO 42001 provides the first global AI management system standard supporting:</w:t>
      </w:r>
    </w:p>
    <w:p w14:paraId="3C4A51DB" w14:textId="02CADC32" w:rsidR="00842E9C" w:rsidRPr="00DF782E" w:rsidRDefault="00842E9C" w:rsidP="00D6128D">
      <w:pPr>
        <w:ind w:left="1080"/>
        <w:rPr>
          <w:rFonts w:ascii="Arial" w:hAnsi="Arial" w:cs="Arial"/>
          <w:sz w:val="24"/>
          <w:szCs w:val="24"/>
        </w:rPr>
      </w:pPr>
      <w:r w:rsidRPr="00DF782E">
        <w:rPr>
          <w:rFonts w:ascii="Arial" w:hAnsi="Arial" w:cs="Arial"/>
          <w:sz w:val="24"/>
          <w:szCs w:val="24"/>
        </w:rPr>
        <w:t>accountability frameworks</w:t>
      </w:r>
      <w:r w:rsidRPr="00DF782E">
        <w:rPr>
          <w:rFonts w:ascii="Arial" w:hAnsi="Arial" w:cs="Arial"/>
          <w:sz w:val="24"/>
          <w:szCs w:val="24"/>
        </w:rPr>
        <w:br/>
        <w:t>• audit readiness</w:t>
      </w:r>
      <w:r w:rsidRPr="00DF782E">
        <w:rPr>
          <w:rFonts w:ascii="Arial" w:hAnsi="Arial" w:cs="Arial"/>
          <w:sz w:val="24"/>
          <w:szCs w:val="24"/>
        </w:rPr>
        <w:br/>
        <w:t>• model lifecycle tracking</w:t>
      </w:r>
      <w:r w:rsidRPr="00DF782E">
        <w:rPr>
          <w:rFonts w:ascii="Arial" w:hAnsi="Arial" w:cs="Arial"/>
          <w:sz w:val="24"/>
          <w:szCs w:val="24"/>
        </w:rPr>
        <w:br/>
        <w:t>• risk-based governance architecture</w:t>
      </w:r>
    </w:p>
    <w:p w14:paraId="0A33073E"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Together these frameworks form the foundation of enterprise AI governance environments [3].</w:t>
      </w:r>
    </w:p>
    <w:p w14:paraId="62A99057" w14:textId="29026B88" w:rsidR="00842E9C" w:rsidRPr="00DF782E" w:rsidRDefault="00842E9C" w:rsidP="00D6128D">
      <w:pPr>
        <w:rPr>
          <w:rFonts w:ascii="Arial" w:hAnsi="Arial" w:cs="Arial"/>
          <w:sz w:val="24"/>
          <w:szCs w:val="24"/>
        </w:rPr>
      </w:pPr>
    </w:p>
    <w:p w14:paraId="1E134A00" w14:textId="47FEEB41" w:rsidR="00842E9C" w:rsidRPr="00DF782E" w:rsidRDefault="001856A5" w:rsidP="00D6128D">
      <w:pPr>
        <w:ind w:left="360"/>
        <w:rPr>
          <w:rFonts w:ascii="Arial" w:hAnsi="Arial" w:cs="Arial"/>
          <w:b/>
          <w:bCs/>
          <w:sz w:val="24"/>
          <w:szCs w:val="24"/>
        </w:rPr>
      </w:pPr>
      <w:r>
        <w:rPr>
          <w:rFonts w:ascii="Arial" w:hAnsi="Arial" w:cs="Arial"/>
          <w:b/>
          <w:bCs/>
          <w:sz w:val="24"/>
          <w:szCs w:val="24"/>
        </w:rPr>
        <w:t xml:space="preserve"> </w:t>
      </w:r>
      <w:r w:rsidRPr="001856A5">
        <w:rPr>
          <w:rFonts w:ascii="Arial" w:hAnsi="Arial" w:cs="Arial"/>
          <w:b/>
          <w:bCs/>
          <w:sz w:val="24"/>
          <w:szCs w:val="24"/>
        </w:rPr>
        <w:t>AI Threat Assessment and Forecasting</w:t>
      </w:r>
    </w:p>
    <w:p w14:paraId="650AA728"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Risk anticipation represents the most critical stage of AI governance because early mitigation reduces lifecycle vulnerabilities [1].</w:t>
      </w:r>
    </w:p>
    <w:p w14:paraId="64BB9C78" w14:textId="5CE3F6F4" w:rsidR="00842E9C" w:rsidRPr="00DF782E" w:rsidRDefault="00842E9C" w:rsidP="00D6128D">
      <w:pPr>
        <w:rPr>
          <w:rFonts w:ascii="Arial" w:hAnsi="Arial" w:cs="Arial"/>
          <w:sz w:val="24"/>
          <w:szCs w:val="24"/>
        </w:rPr>
      </w:pPr>
    </w:p>
    <w:p w14:paraId="0C6E99DD" w14:textId="540CEDBD" w:rsidR="00842E9C" w:rsidRPr="00DF782E" w:rsidRDefault="00842E9C" w:rsidP="00D6128D">
      <w:pPr>
        <w:ind w:left="360"/>
        <w:rPr>
          <w:rFonts w:ascii="Arial" w:hAnsi="Arial" w:cs="Arial"/>
          <w:b/>
          <w:bCs/>
          <w:sz w:val="24"/>
          <w:szCs w:val="24"/>
        </w:rPr>
      </w:pPr>
      <w:r w:rsidRPr="00DF782E">
        <w:rPr>
          <w:rFonts w:ascii="Arial" w:hAnsi="Arial" w:cs="Arial"/>
          <w:b/>
          <w:bCs/>
          <w:sz w:val="24"/>
          <w:szCs w:val="24"/>
        </w:rPr>
        <w:t>Bias and Fairness Risks</w:t>
      </w:r>
    </w:p>
    <w:p w14:paraId="0A1166D7"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Bias frequently originates from historical training data containing demographic imbalances or structural inequalities [7].</w:t>
      </w:r>
    </w:p>
    <w:p w14:paraId="58A2F862"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Organisations increasingly implement:</w:t>
      </w:r>
    </w:p>
    <w:p w14:paraId="7F1F9CDE" w14:textId="53028484" w:rsidR="00842E9C" w:rsidRPr="00DF782E" w:rsidRDefault="00842E9C" w:rsidP="00D6128D">
      <w:pPr>
        <w:ind w:left="1080"/>
        <w:rPr>
          <w:rFonts w:ascii="Arial" w:hAnsi="Arial" w:cs="Arial"/>
          <w:sz w:val="24"/>
          <w:szCs w:val="24"/>
        </w:rPr>
      </w:pPr>
      <w:r w:rsidRPr="00DF782E">
        <w:rPr>
          <w:rFonts w:ascii="Arial" w:hAnsi="Arial" w:cs="Arial"/>
          <w:sz w:val="24"/>
          <w:szCs w:val="24"/>
        </w:rPr>
        <w:t>fairness metrics testing</w:t>
      </w:r>
      <w:r w:rsidRPr="00DF782E">
        <w:rPr>
          <w:rFonts w:ascii="Arial" w:hAnsi="Arial" w:cs="Arial"/>
          <w:sz w:val="24"/>
          <w:szCs w:val="24"/>
        </w:rPr>
        <w:br/>
        <w:t>• dataset balancing procedures</w:t>
      </w:r>
      <w:r w:rsidRPr="00DF782E">
        <w:rPr>
          <w:rFonts w:ascii="Arial" w:hAnsi="Arial" w:cs="Arial"/>
          <w:sz w:val="24"/>
          <w:szCs w:val="24"/>
        </w:rPr>
        <w:br/>
        <w:t>• protected-attribute masking</w:t>
      </w:r>
      <w:r w:rsidRPr="00DF782E">
        <w:rPr>
          <w:rFonts w:ascii="Arial" w:hAnsi="Arial" w:cs="Arial"/>
          <w:sz w:val="24"/>
          <w:szCs w:val="24"/>
        </w:rPr>
        <w:br/>
        <w:t>• bias simulation modelling</w:t>
      </w:r>
    </w:p>
    <w:p w14:paraId="7AD1E59C"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Financial institutions deploying credit scoring models now routinely evaluate disparate impact ratios before deployment approval.</w:t>
      </w:r>
    </w:p>
    <w:p w14:paraId="61628057"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However, fairness metrics alone cannot eliminate bias entirely. Governance boards must therefore include interdisciplinary oversight combining technical evaluation with ethical judgement [8].</w:t>
      </w:r>
    </w:p>
    <w:p w14:paraId="27E77E77" w14:textId="77777777" w:rsidR="00A34B72" w:rsidRPr="00DF782E" w:rsidRDefault="00A34B72" w:rsidP="00D6128D">
      <w:pPr>
        <w:rPr>
          <w:rFonts w:ascii="Arial" w:hAnsi="Arial" w:cs="Arial"/>
          <w:sz w:val="24"/>
          <w:szCs w:val="24"/>
        </w:rPr>
      </w:pPr>
    </w:p>
    <w:p w14:paraId="7BB18B33" w14:textId="32E11800" w:rsidR="00842E9C" w:rsidRPr="00DF782E" w:rsidRDefault="00793488" w:rsidP="00D6128D">
      <w:pPr>
        <w:ind w:left="360"/>
        <w:rPr>
          <w:rFonts w:ascii="Arial" w:hAnsi="Arial" w:cs="Arial"/>
          <w:b/>
          <w:bCs/>
          <w:sz w:val="24"/>
          <w:szCs w:val="24"/>
        </w:rPr>
      </w:pPr>
      <w:r>
        <w:rPr>
          <w:rFonts w:ascii="Arial" w:hAnsi="Arial" w:cs="Arial"/>
          <w:b/>
          <w:bCs/>
          <w:sz w:val="24"/>
          <w:szCs w:val="24"/>
        </w:rPr>
        <w:t xml:space="preserve"> </w:t>
      </w:r>
      <w:r w:rsidRPr="00793488">
        <w:rPr>
          <w:rFonts w:ascii="Arial" w:hAnsi="Arial" w:cs="Arial"/>
          <w:b/>
          <w:bCs/>
          <w:sz w:val="24"/>
          <w:szCs w:val="24"/>
        </w:rPr>
        <w:t>Data Governance and Privacy Risk Landscape</w:t>
      </w:r>
    </w:p>
    <w:p w14:paraId="65362F6B"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AI systems depend heavily on sensitive training data, making privacy governance essential.</w:t>
      </w:r>
    </w:p>
    <w:p w14:paraId="6AC5FA81"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Preventive strategies include:</w:t>
      </w:r>
    </w:p>
    <w:p w14:paraId="48281083" w14:textId="1421B03C" w:rsidR="00842E9C" w:rsidRPr="00DF782E" w:rsidRDefault="00842E9C" w:rsidP="00D6128D">
      <w:pPr>
        <w:ind w:left="1080"/>
        <w:rPr>
          <w:rFonts w:ascii="Arial" w:hAnsi="Arial" w:cs="Arial"/>
          <w:sz w:val="24"/>
          <w:szCs w:val="24"/>
        </w:rPr>
      </w:pPr>
      <w:r w:rsidRPr="00DF782E">
        <w:rPr>
          <w:rFonts w:ascii="Arial" w:hAnsi="Arial" w:cs="Arial"/>
          <w:sz w:val="24"/>
          <w:szCs w:val="24"/>
        </w:rPr>
        <w:t>Data Protection Impact Assessments (DPIA)</w:t>
      </w:r>
      <w:r w:rsidRPr="00DF782E">
        <w:rPr>
          <w:rFonts w:ascii="Arial" w:hAnsi="Arial" w:cs="Arial"/>
          <w:sz w:val="24"/>
          <w:szCs w:val="24"/>
        </w:rPr>
        <w:br/>
        <w:t>• synthetic data generation</w:t>
      </w:r>
      <w:r w:rsidRPr="00DF782E">
        <w:rPr>
          <w:rFonts w:ascii="Arial" w:hAnsi="Arial" w:cs="Arial"/>
          <w:sz w:val="24"/>
          <w:szCs w:val="24"/>
        </w:rPr>
        <w:br/>
        <w:t>• federated learning deployment</w:t>
      </w:r>
      <w:r w:rsidRPr="00DF782E">
        <w:rPr>
          <w:rFonts w:ascii="Arial" w:hAnsi="Arial" w:cs="Arial"/>
          <w:sz w:val="24"/>
          <w:szCs w:val="24"/>
        </w:rPr>
        <w:br/>
        <w:t>• differential privacy techniques</w:t>
      </w:r>
    </w:p>
    <w:p w14:paraId="440E4FED"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These controls support regulatory obligations defined under GDPR and AI data protection guidance [5], [4].</w:t>
      </w:r>
    </w:p>
    <w:p w14:paraId="4AC24E53" w14:textId="77777777" w:rsidR="00A34B72" w:rsidRPr="00DF782E" w:rsidRDefault="00A34B72" w:rsidP="00D6128D">
      <w:pPr>
        <w:rPr>
          <w:rFonts w:ascii="Arial" w:hAnsi="Arial" w:cs="Arial"/>
          <w:sz w:val="24"/>
          <w:szCs w:val="24"/>
        </w:rPr>
      </w:pPr>
    </w:p>
    <w:p w14:paraId="1850CDAF" w14:textId="6B3E2946" w:rsidR="00842E9C" w:rsidRPr="00DF782E" w:rsidRDefault="00842E9C" w:rsidP="00D6128D">
      <w:pPr>
        <w:ind w:left="360"/>
        <w:rPr>
          <w:rFonts w:ascii="Arial" w:hAnsi="Arial" w:cs="Arial"/>
          <w:b/>
          <w:bCs/>
          <w:sz w:val="24"/>
          <w:szCs w:val="24"/>
        </w:rPr>
      </w:pPr>
      <w:r w:rsidRPr="00DF782E">
        <w:rPr>
          <w:rFonts w:ascii="Arial" w:hAnsi="Arial" w:cs="Arial"/>
          <w:b/>
          <w:bCs/>
          <w:sz w:val="24"/>
          <w:szCs w:val="24"/>
        </w:rPr>
        <w:t>Adversarial Machine Learning Threats</w:t>
      </w:r>
    </w:p>
    <w:p w14:paraId="6EEF70FD"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AI-specific cybersecurity risks differ from conventional threats.</w:t>
      </w:r>
    </w:p>
    <w:p w14:paraId="72CE7F83"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Examples include:</w:t>
      </w:r>
    </w:p>
    <w:p w14:paraId="76FEAA1D" w14:textId="732BA379" w:rsidR="00842E9C" w:rsidRPr="00DF782E" w:rsidRDefault="00842E9C" w:rsidP="00D6128D">
      <w:pPr>
        <w:ind w:left="1080"/>
        <w:rPr>
          <w:rFonts w:ascii="Arial" w:hAnsi="Arial" w:cs="Arial"/>
          <w:sz w:val="24"/>
          <w:szCs w:val="24"/>
        </w:rPr>
      </w:pPr>
      <w:r w:rsidRPr="00DF782E">
        <w:rPr>
          <w:rFonts w:ascii="Arial" w:hAnsi="Arial" w:cs="Arial"/>
          <w:sz w:val="24"/>
          <w:szCs w:val="24"/>
        </w:rPr>
        <w:t>adversarial input manipulation</w:t>
      </w:r>
      <w:r w:rsidRPr="00DF782E">
        <w:rPr>
          <w:rFonts w:ascii="Arial" w:hAnsi="Arial" w:cs="Arial"/>
          <w:sz w:val="24"/>
          <w:szCs w:val="24"/>
        </w:rPr>
        <w:br/>
        <w:t>• model inversion attacks</w:t>
      </w:r>
      <w:r w:rsidRPr="00DF782E">
        <w:rPr>
          <w:rFonts w:ascii="Arial" w:hAnsi="Arial" w:cs="Arial"/>
          <w:sz w:val="24"/>
          <w:szCs w:val="24"/>
        </w:rPr>
        <w:br/>
        <w:t>• data poisoning attacks</w:t>
      </w:r>
      <w:r w:rsidRPr="00DF782E">
        <w:rPr>
          <w:rFonts w:ascii="Arial" w:hAnsi="Arial" w:cs="Arial"/>
          <w:sz w:val="24"/>
          <w:szCs w:val="24"/>
        </w:rPr>
        <w:br/>
        <w:t>• membership inference attacks</w:t>
      </w:r>
    </w:p>
    <w:p w14:paraId="22D11F89"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These threats are widely documented within adversarial ML security research literature [9], [10].</w:t>
      </w:r>
    </w:p>
    <w:p w14:paraId="4BB38E21"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Threat modelling exercises therefore extend beyond infrastructure security to include algorithmic attack surfaces.</w:t>
      </w:r>
    </w:p>
    <w:p w14:paraId="42606D24" w14:textId="5FA86753" w:rsidR="00842E9C" w:rsidRPr="00DF782E" w:rsidRDefault="00842E9C" w:rsidP="00D6128D">
      <w:pPr>
        <w:rPr>
          <w:rFonts w:ascii="Arial" w:hAnsi="Arial" w:cs="Arial"/>
          <w:sz w:val="24"/>
          <w:szCs w:val="24"/>
        </w:rPr>
      </w:pPr>
    </w:p>
    <w:p w14:paraId="0847E02A" w14:textId="2FB205F6" w:rsidR="00842E9C" w:rsidRPr="00DF782E" w:rsidRDefault="00842E9C" w:rsidP="00D6128D">
      <w:pPr>
        <w:ind w:left="360"/>
        <w:rPr>
          <w:rFonts w:ascii="Arial" w:hAnsi="Arial" w:cs="Arial"/>
          <w:b/>
          <w:bCs/>
          <w:sz w:val="24"/>
          <w:szCs w:val="24"/>
        </w:rPr>
      </w:pPr>
      <w:r w:rsidRPr="00DF782E">
        <w:rPr>
          <w:rFonts w:ascii="Arial" w:hAnsi="Arial" w:cs="Arial"/>
          <w:b/>
          <w:bCs/>
          <w:sz w:val="24"/>
          <w:szCs w:val="24"/>
        </w:rPr>
        <w:t>Model Drift and Operational Failure</w:t>
      </w:r>
    </w:p>
    <w:p w14:paraId="486F55D1"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Machine learning systems degrade when real-world data distributions change.</w:t>
      </w:r>
    </w:p>
    <w:p w14:paraId="723C135B"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Organisations mitigate drift using:</w:t>
      </w:r>
    </w:p>
    <w:p w14:paraId="05BF8180" w14:textId="1557FD22" w:rsidR="00842E9C" w:rsidRPr="00DF782E" w:rsidRDefault="00842E9C" w:rsidP="00D6128D">
      <w:pPr>
        <w:ind w:left="1080"/>
        <w:rPr>
          <w:rFonts w:ascii="Arial" w:hAnsi="Arial" w:cs="Arial"/>
          <w:sz w:val="24"/>
          <w:szCs w:val="24"/>
        </w:rPr>
      </w:pPr>
      <w:r w:rsidRPr="00DF782E">
        <w:rPr>
          <w:rFonts w:ascii="Arial" w:hAnsi="Arial" w:cs="Arial"/>
          <w:sz w:val="24"/>
          <w:szCs w:val="24"/>
        </w:rPr>
        <w:t>shadow model testing</w:t>
      </w:r>
      <w:r w:rsidRPr="00DF782E">
        <w:rPr>
          <w:rFonts w:ascii="Arial" w:hAnsi="Arial" w:cs="Arial"/>
          <w:sz w:val="24"/>
          <w:szCs w:val="24"/>
        </w:rPr>
        <w:br/>
        <w:t>• synthetic stress scenarios</w:t>
      </w:r>
      <w:r w:rsidRPr="00DF782E">
        <w:rPr>
          <w:rFonts w:ascii="Arial" w:hAnsi="Arial" w:cs="Arial"/>
          <w:sz w:val="24"/>
          <w:szCs w:val="24"/>
        </w:rPr>
        <w:br/>
        <w:t>• continuous benchmarking pipelines</w:t>
      </w:r>
      <w:r w:rsidRPr="00DF782E">
        <w:rPr>
          <w:rFonts w:ascii="Arial" w:hAnsi="Arial" w:cs="Arial"/>
          <w:sz w:val="24"/>
          <w:szCs w:val="24"/>
        </w:rPr>
        <w:br/>
        <w:t>• rollback deployment strategies</w:t>
      </w:r>
    </w:p>
    <w:p w14:paraId="1ED7AD4C"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Anticipatory monitoring prevents silent decision degradation in production systems [1].</w:t>
      </w:r>
    </w:p>
    <w:p w14:paraId="531FED03" w14:textId="5A90D655" w:rsidR="00842E9C" w:rsidRPr="00DF782E" w:rsidRDefault="00842E9C" w:rsidP="00D6128D">
      <w:pPr>
        <w:rPr>
          <w:rFonts w:ascii="Arial" w:hAnsi="Arial" w:cs="Arial"/>
          <w:sz w:val="24"/>
          <w:szCs w:val="24"/>
        </w:rPr>
      </w:pPr>
    </w:p>
    <w:p w14:paraId="0AD472F8" w14:textId="2E8EBBB4" w:rsidR="00842E9C" w:rsidRPr="00DF782E" w:rsidRDefault="00842E9C" w:rsidP="00D6128D">
      <w:pPr>
        <w:ind w:left="360"/>
        <w:rPr>
          <w:rFonts w:ascii="Arial" w:hAnsi="Arial" w:cs="Arial"/>
          <w:b/>
          <w:bCs/>
          <w:sz w:val="24"/>
          <w:szCs w:val="24"/>
        </w:rPr>
      </w:pPr>
      <w:r w:rsidRPr="00DF782E">
        <w:rPr>
          <w:rFonts w:ascii="Arial" w:hAnsi="Arial" w:cs="Arial"/>
          <w:b/>
          <w:bCs/>
          <w:sz w:val="24"/>
          <w:szCs w:val="24"/>
        </w:rPr>
        <w:t>Protecting AI Systems</w:t>
      </w:r>
    </w:p>
    <w:p w14:paraId="134B56A2"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Protection mechanisms secure models, infrastructure, and training datasets against compromise.</w:t>
      </w:r>
    </w:p>
    <w:p w14:paraId="64FDAC87" w14:textId="137E392C" w:rsidR="00842E9C" w:rsidRPr="00DF782E" w:rsidRDefault="00842E9C" w:rsidP="00D6128D">
      <w:pPr>
        <w:ind w:left="360"/>
        <w:rPr>
          <w:rFonts w:ascii="Arial" w:hAnsi="Arial" w:cs="Arial"/>
          <w:b/>
          <w:bCs/>
          <w:sz w:val="24"/>
          <w:szCs w:val="24"/>
        </w:rPr>
      </w:pPr>
      <w:r w:rsidRPr="00DF782E">
        <w:rPr>
          <w:rFonts w:ascii="Arial" w:hAnsi="Arial" w:cs="Arial"/>
          <w:b/>
          <w:bCs/>
          <w:sz w:val="24"/>
          <w:szCs w:val="24"/>
        </w:rPr>
        <w:t>Role-Based Access Control</w:t>
      </w:r>
    </w:p>
    <w:p w14:paraId="72D0AA34"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Modern governance frameworks restrict access to:</w:t>
      </w:r>
    </w:p>
    <w:p w14:paraId="4A1E9410" w14:textId="42629357" w:rsidR="00842E9C" w:rsidRPr="00DF782E" w:rsidRDefault="00842E9C" w:rsidP="00D6128D">
      <w:pPr>
        <w:ind w:left="1080"/>
        <w:rPr>
          <w:rFonts w:ascii="Arial" w:hAnsi="Arial" w:cs="Arial"/>
          <w:sz w:val="24"/>
          <w:szCs w:val="24"/>
        </w:rPr>
      </w:pPr>
      <w:r w:rsidRPr="00DF782E">
        <w:rPr>
          <w:rFonts w:ascii="Arial" w:hAnsi="Arial" w:cs="Arial"/>
          <w:sz w:val="24"/>
          <w:szCs w:val="24"/>
        </w:rPr>
        <w:t>training datasets</w:t>
      </w:r>
      <w:r w:rsidRPr="00DF782E">
        <w:rPr>
          <w:rFonts w:ascii="Arial" w:hAnsi="Arial" w:cs="Arial"/>
          <w:sz w:val="24"/>
          <w:szCs w:val="24"/>
        </w:rPr>
        <w:br/>
        <w:t>• model parameters</w:t>
      </w:r>
      <w:r w:rsidRPr="00DF782E">
        <w:rPr>
          <w:rFonts w:ascii="Arial" w:hAnsi="Arial" w:cs="Arial"/>
          <w:sz w:val="24"/>
          <w:szCs w:val="24"/>
        </w:rPr>
        <w:br/>
        <w:t>• inference pipelines</w:t>
      </w:r>
      <w:r w:rsidRPr="00DF782E">
        <w:rPr>
          <w:rFonts w:ascii="Arial" w:hAnsi="Arial" w:cs="Arial"/>
          <w:sz w:val="24"/>
          <w:szCs w:val="24"/>
        </w:rPr>
        <w:br/>
        <w:t>• deployment dashboards</w:t>
      </w:r>
    </w:p>
    <w:p w14:paraId="1222F75E"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This prevents insider misuse and unauthorised modification consistent with secure AI governance guidance [3].</w:t>
      </w:r>
    </w:p>
    <w:p w14:paraId="4481DFED" w14:textId="599A4B0B" w:rsidR="00842E9C" w:rsidRPr="00DF782E" w:rsidRDefault="00842E9C" w:rsidP="00D6128D">
      <w:pPr>
        <w:ind w:left="360"/>
        <w:rPr>
          <w:rFonts w:ascii="Arial" w:hAnsi="Arial" w:cs="Arial"/>
          <w:b/>
          <w:bCs/>
          <w:sz w:val="24"/>
          <w:szCs w:val="24"/>
        </w:rPr>
      </w:pPr>
      <w:r w:rsidRPr="00DF782E">
        <w:rPr>
          <w:rFonts w:ascii="Arial" w:hAnsi="Arial" w:cs="Arial"/>
          <w:b/>
          <w:bCs/>
          <w:sz w:val="24"/>
          <w:szCs w:val="24"/>
        </w:rPr>
        <w:t>Encryption and Secure Storage</w:t>
      </w:r>
    </w:p>
    <w:p w14:paraId="4578649C"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Organisations increasingly deploy:</w:t>
      </w:r>
    </w:p>
    <w:p w14:paraId="36B88286" w14:textId="2D3F713E" w:rsidR="00842E9C" w:rsidRPr="00DF782E" w:rsidRDefault="00842E9C" w:rsidP="00D6128D">
      <w:pPr>
        <w:ind w:left="1080"/>
        <w:rPr>
          <w:rFonts w:ascii="Arial" w:hAnsi="Arial" w:cs="Arial"/>
          <w:sz w:val="24"/>
          <w:szCs w:val="24"/>
        </w:rPr>
      </w:pPr>
      <w:r w:rsidRPr="00DF782E">
        <w:rPr>
          <w:rFonts w:ascii="Arial" w:hAnsi="Arial" w:cs="Arial"/>
          <w:sz w:val="24"/>
          <w:szCs w:val="24"/>
        </w:rPr>
        <w:lastRenderedPageBreak/>
        <w:t>encrypted training pipelines</w:t>
      </w:r>
      <w:r w:rsidRPr="00DF782E">
        <w:rPr>
          <w:rFonts w:ascii="Arial" w:hAnsi="Arial" w:cs="Arial"/>
          <w:sz w:val="24"/>
          <w:szCs w:val="24"/>
        </w:rPr>
        <w:br/>
        <w:t>• confidential computing environments</w:t>
      </w:r>
      <w:r w:rsidRPr="00DF782E">
        <w:rPr>
          <w:rFonts w:ascii="Arial" w:hAnsi="Arial" w:cs="Arial"/>
          <w:sz w:val="24"/>
          <w:szCs w:val="24"/>
        </w:rPr>
        <w:br/>
        <w:t>• secure multi-party computation architectures</w:t>
      </w:r>
    </w:p>
    <w:p w14:paraId="5F741DF4"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These techniques protect intellectual property embedded within models [11].</w:t>
      </w:r>
    </w:p>
    <w:p w14:paraId="21653BB8" w14:textId="100A9D63" w:rsidR="00842E9C" w:rsidRPr="00DF782E" w:rsidRDefault="00842E9C" w:rsidP="00D6128D">
      <w:pPr>
        <w:ind w:left="360"/>
        <w:rPr>
          <w:rFonts w:ascii="Arial" w:hAnsi="Arial" w:cs="Arial"/>
          <w:b/>
          <w:bCs/>
          <w:sz w:val="24"/>
          <w:szCs w:val="24"/>
        </w:rPr>
      </w:pPr>
      <w:r w:rsidRPr="00DF782E">
        <w:rPr>
          <w:rFonts w:ascii="Arial" w:hAnsi="Arial" w:cs="Arial"/>
          <w:b/>
          <w:bCs/>
          <w:sz w:val="24"/>
          <w:szCs w:val="24"/>
        </w:rPr>
        <w:t>Regulatory Compliance Integration</w:t>
      </w:r>
    </w:p>
    <w:p w14:paraId="43B0C19C"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Compliance automation ensures alignment with legal obligations such as:</w:t>
      </w:r>
    </w:p>
    <w:p w14:paraId="6F004740" w14:textId="3B11C53E" w:rsidR="00842E9C" w:rsidRPr="00DF782E" w:rsidRDefault="00842E9C" w:rsidP="00D6128D">
      <w:pPr>
        <w:ind w:left="1080"/>
        <w:rPr>
          <w:rFonts w:ascii="Arial" w:hAnsi="Arial" w:cs="Arial"/>
          <w:sz w:val="24"/>
          <w:szCs w:val="24"/>
        </w:rPr>
      </w:pPr>
      <w:r w:rsidRPr="00DF782E">
        <w:rPr>
          <w:rFonts w:ascii="Arial" w:hAnsi="Arial" w:cs="Arial"/>
          <w:sz w:val="24"/>
          <w:szCs w:val="24"/>
        </w:rPr>
        <w:t>GDPR</w:t>
      </w:r>
      <w:r w:rsidRPr="00DF782E">
        <w:rPr>
          <w:rFonts w:ascii="Arial" w:hAnsi="Arial" w:cs="Arial"/>
          <w:sz w:val="24"/>
          <w:szCs w:val="24"/>
        </w:rPr>
        <w:br/>
        <w:t>• UK Data Protection Act</w:t>
      </w:r>
      <w:r w:rsidRPr="00DF782E">
        <w:rPr>
          <w:rFonts w:ascii="Arial" w:hAnsi="Arial" w:cs="Arial"/>
          <w:sz w:val="24"/>
          <w:szCs w:val="24"/>
        </w:rPr>
        <w:br/>
        <w:t>• HIPAA</w:t>
      </w:r>
    </w:p>
    <w:p w14:paraId="78BA4A53"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Compliance pipelines automatically flag violations before production deployment approval [5].</w:t>
      </w:r>
    </w:p>
    <w:p w14:paraId="3ED92D1B" w14:textId="0E872F97" w:rsidR="00842E9C" w:rsidRPr="00DF782E" w:rsidRDefault="00842E9C" w:rsidP="00D6128D">
      <w:pPr>
        <w:ind w:left="360"/>
        <w:rPr>
          <w:rFonts w:ascii="Arial" w:hAnsi="Arial" w:cs="Arial"/>
          <w:b/>
          <w:bCs/>
          <w:sz w:val="24"/>
          <w:szCs w:val="24"/>
        </w:rPr>
      </w:pPr>
      <w:r w:rsidRPr="00DF782E">
        <w:rPr>
          <w:rFonts w:ascii="Arial" w:hAnsi="Arial" w:cs="Arial"/>
          <w:b/>
          <w:bCs/>
          <w:sz w:val="24"/>
          <w:szCs w:val="24"/>
        </w:rPr>
        <w:t>Governance Oversight Committees</w:t>
      </w:r>
    </w:p>
    <w:p w14:paraId="2CA43056"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High-maturity organisations implement AI ethics review boards including:</w:t>
      </w:r>
    </w:p>
    <w:p w14:paraId="31DF30AE" w14:textId="74324316" w:rsidR="00842E9C" w:rsidRPr="00DF782E" w:rsidRDefault="00842E9C" w:rsidP="00D6128D">
      <w:pPr>
        <w:ind w:left="1080"/>
        <w:rPr>
          <w:rFonts w:ascii="Arial" w:hAnsi="Arial" w:cs="Arial"/>
          <w:sz w:val="24"/>
          <w:szCs w:val="24"/>
        </w:rPr>
      </w:pPr>
      <w:r w:rsidRPr="00DF782E">
        <w:rPr>
          <w:rFonts w:ascii="Arial" w:hAnsi="Arial" w:cs="Arial"/>
          <w:sz w:val="24"/>
          <w:szCs w:val="24"/>
        </w:rPr>
        <w:t>legal advisors</w:t>
      </w:r>
      <w:r w:rsidRPr="00DF782E">
        <w:rPr>
          <w:rFonts w:ascii="Arial" w:hAnsi="Arial" w:cs="Arial"/>
          <w:sz w:val="24"/>
          <w:szCs w:val="24"/>
        </w:rPr>
        <w:br/>
        <w:t>• cybersecurity specialists</w:t>
      </w:r>
      <w:r w:rsidRPr="00DF782E">
        <w:rPr>
          <w:rFonts w:ascii="Arial" w:hAnsi="Arial" w:cs="Arial"/>
          <w:sz w:val="24"/>
          <w:szCs w:val="24"/>
        </w:rPr>
        <w:br/>
        <w:t>• domain experts</w:t>
      </w:r>
      <w:r w:rsidRPr="00DF782E">
        <w:rPr>
          <w:rFonts w:ascii="Arial" w:hAnsi="Arial" w:cs="Arial"/>
          <w:sz w:val="24"/>
          <w:szCs w:val="24"/>
        </w:rPr>
        <w:br/>
        <w:t>• data scientists</w:t>
      </w:r>
    </w:p>
    <w:p w14:paraId="5A5B4A18"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This multidisciplinary approach strengthens accountability mechanisms aligned with international AI ethics frameworks [6].</w:t>
      </w:r>
    </w:p>
    <w:p w14:paraId="7B364E1C" w14:textId="548AFC01" w:rsidR="00842E9C" w:rsidRPr="00DF782E" w:rsidRDefault="00842E9C" w:rsidP="00D6128D">
      <w:pPr>
        <w:rPr>
          <w:rFonts w:ascii="Arial" w:hAnsi="Arial" w:cs="Arial"/>
          <w:sz w:val="24"/>
          <w:szCs w:val="24"/>
        </w:rPr>
      </w:pPr>
    </w:p>
    <w:p w14:paraId="6D5F8EBE" w14:textId="7B8E81C7" w:rsidR="00842E9C" w:rsidRPr="00DF782E" w:rsidRDefault="00842E9C" w:rsidP="00D6128D">
      <w:pPr>
        <w:ind w:left="360"/>
        <w:rPr>
          <w:rFonts w:ascii="Arial" w:hAnsi="Arial" w:cs="Arial"/>
          <w:b/>
          <w:bCs/>
          <w:sz w:val="24"/>
          <w:szCs w:val="24"/>
        </w:rPr>
      </w:pPr>
      <w:r w:rsidRPr="00DF782E">
        <w:rPr>
          <w:rFonts w:ascii="Arial" w:hAnsi="Arial" w:cs="Arial"/>
          <w:b/>
          <w:bCs/>
          <w:sz w:val="24"/>
          <w:szCs w:val="24"/>
        </w:rPr>
        <w:t>Detecting AI Governance Failures</w:t>
      </w:r>
    </w:p>
    <w:p w14:paraId="05F3F18F"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Continuous detection mechanisms ensure real-time oversight after deployment [1].</w:t>
      </w:r>
    </w:p>
    <w:p w14:paraId="1B0F6695" w14:textId="0D04BC7B" w:rsidR="00842E9C" w:rsidRPr="00DF782E" w:rsidRDefault="00842E9C" w:rsidP="00D6128D">
      <w:pPr>
        <w:ind w:left="360"/>
        <w:rPr>
          <w:rFonts w:ascii="Arial" w:hAnsi="Arial" w:cs="Arial"/>
          <w:b/>
          <w:bCs/>
          <w:sz w:val="24"/>
          <w:szCs w:val="24"/>
        </w:rPr>
      </w:pPr>
      <w:r w:rsidRPr="00DF782E">
        <w:rPr>
          <w:rFonts w:ascii="Arial" w:hAnsi="Arial" w:cs="Arial"/>
          <w:b/>
          <w:bCs/>
          <w:sz w:val="24"/>
          <w:szCs w:val="24"/>
        </w:rPr>
        <w:t>Automated Model Monitoring</w:t>
      </w:r>
    </w:p>
    <w:p w14:paraId="38DF317B"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Monitoring platforms track:</w:t>
      </w:r>
    </w:p>
    <w:p w14:paraId="6579FCDF" w14:textId="308877DC" w:rsidR="00842E9C" w:rsidRPr="00DF782E" w:rsidRDefault="00842E9C" w:rsidP="00D6128D">
      <w:pPr>
        <w:ind w:left="1080"/>
        <w:rPr>
          <w:rFonts w:ascii="Arial" w:hAnsi="Arial" w:cs="Arial"/>
          <w:sz w:val="24"/>
          <w:szCs w:val="24"/>
        </w:rPr>
      </w:pPr>
      <w:r w:rsidRPr="00DF782E">
        <w:rPr>
          <w:rFonts w:ascii="Arial" w:hAnsi="Arial" w:cs="Arial"/>
          <w:sz w:val="24"/>
          <w:szCs w:val="24"/>
        </w:rPr>
        <w:t>accuracy drift</w:t>
      </w:r>
      <w:r w:rsidRPr="00DF782E">
        <w:rPr>
          <w:rFonts w:ascii="Arial" w:hAnsi="Arial" w:cs="Arial"/>
          <w:sz w:val="24"/>
          <w:szCs w:val="24"/>
        </w:rPr>
        <w:br/>
        <w:t>• fairness drift</w:t>
      </w:r>
      <w:r w:rsidRPr="00DF782E">
        <w:rPr>
          <w:rFonts w:ascii="Arial" w:hAnsi="Arial" w:cs="Arial"/>
          <w:sz w:val="24"/>
          <w:szCs w:val="24"/>
        </w:rPr>
        <w:br/>
        <w:t>• anomaly predictions</w:t>
      </w:r>
      <w:r w:rsidRPr="00DF782E">
        <w:rPr>
          <w:rFonts w:ascii="Arial" w:hAnsi="Arial" w:cs="Arial"/>
          <w:sz w:val="24"/>
          <w:szCs w:val="24"/>
        </w:rPr>
        <w:br/>
        <w:t>• confidence threshold violations</w:t>
      </w:r>
    </w:p>
    <w:p w14:paraId="13E6D1E7"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These signals indicate early performance instability.</w:t>
      </w:r>
    </w:p>
    <w:p w14:paraId="7ABF4481" w14:textId="526D5519" w:rsidR="00842E9C" w:rsidRPr="00DF782E" w:rsidRDefault="00842E9C" w:rsidP="00D6128D">
      <w:pPr>
        <w:ind w:left="360"/>
        <w:rPr>
          <w:rFonts w:ascii="Arial" w:hAnsi="Arial" w:cs="Arial"/>
          <w:b/>
          <w:bCs/>
          <w:sz w:val="24"/>
          <w:szCs w:val="24"/>
        </w:rPr>
      </w:pPr>
      <w:r w:rsidRPr="00DF782E">
        <w:rPr>
          <w:rFonts w:ascii="Arial" w:hAnsi="Arial" w:cs="Arial"/>
          <w:b/>
          <w:bCs/>
          <w:sz w:val="24"/>
          <w:szCs w:val="24"/>
        </w:rPr>
        <w:t>Audit Logging Infrastructure</w:t>
      </w:r>
    </w:p>
    <w:p w14:paraId="16B402B3"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Transparent logging supports regulatory defensibility by recording:</w:t>
      </w:r>
    </w:p>
    <w:p w14:paraId="12D84DFE" w14:textId="22EFE824" w:rsidR="00842E9C" w:rsidRPr="00DF782E" w:rsidRDefault="00842E9C" w:rsidP="00D6128D">
      <w:pPr>
        <w:ind w:left="1080"/>
        <w:rPr>
          <w:rFonts w:ascii="Arial" w:hAnsi="Arial" w:cs="Arial"/>
          <w:sz w:val="24"/>
          <w:szCs w:val="24"/>
        </w:rPr>
      </w:pPr>
      <w:r w:rsidRPr="00DF782E">
        <w:rPr>
          <w:rFonts w:ascii="Arial" w:hAnsi="Arial" w:cs="Arial"/>
          <w:sz w:val="24"/>
          <w:szCs w:val="24"/>
        </w:rPr>
        <w:t>dataset access activity</w:t>
      </w:r>
      <w:r w:rsidRPr="00DF782E">
        <w:rPr>
          <w:rFonts w:ascii="Arial" w:hAnsi="Arial" w:cs="Arial"/>
          <w:sz w:val="24"/>
          <w:szCs w:val="24"/>
        </w:rPr>
        <w:br/>
        <w:t>• inference outputs</w:t>
      </w:r>
      <w:r w:rsidRPr="00DF782E">
        <w:rPr>
          <w:rFonts w:ascii="Arial" w:hAnsi="Arial" w:cs="Arial"/>
          <w:sz w:val="24"/>
          <w:szCs w:val="24"/>
        </w:rPr>
        <w:br/>
        <w:t>• model version changes</w:t>
      </w:r>
      <w:r w:rsidRPr="00DF782E">
        <w:rPr>
          <w:rFonts w:ascii="Arial" w:hAnsi="Arial" w:cs="Arial"/>
          <w:sz w:val="24"/>
          <w:szCs w:val="24"/>
        </w:rPr>
        <w:br/>
        <w:t>• retraining events</w:t>
      </w:r>
    </w:p>
    <w:p w14:paraId="0F34CF43"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Auditability improves trust in automated decision systems under accountability principles defined within GDPR governance frameworks [5].</w:t>
      </w:r>
    </w:p>
    <w:p w14:paraId="2EC6AA9E" w14:textId="2187466D" w:rsidR="00842E9C" w:rsidRPr="00DF782E" w:rsidRDefault="00D02696" w:rsidP="00D6128D">
      <w:pPr>
        <w:ind w:left="360"/>
        <w:rPr>
          <w:rFonts w:ascii="Arial" w:hAnsi="Arial" w:cs="Arial"/>
          <w:b/>
          <w:bCs/>
          <w:sz w:val="24"/>
          <w:szCs w:val="24"/>
        </w:rPr>
      </w:pPr>
      <w:r>
        <w:rPr>
          <w:rFonts w:ascii="Arial" w:hAnsi="Arial" w:cs="Arial"/>
          <w:b/>
          <w:bCs/>
          <w:sz w:val="24"/>
          <w:szCs w:val="24"/>
        </w:rPr>
        <w:lastRenderedPageBreak/>
        <w:t xml:space="preserve"> </w:t>
      </w:r>
      <w:r w:rsidRPr="00D02696">
        <w:rPr>
          <w:rFonts w:ascii="Arial" w:hAnsi="Arial" w:cs="Arial"/>
          <w:b/>
          <w:bCs/>
          <w:sz w:val="24"/>
          <w:szCs w:val="24"/>
        </w:rPr>
        <w:t>Detection of Adversarial Behavior</w:t>
      </w:r>
    </w:p>
    <w:p w14:paraId="168C4D70"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Security platforms identify malicious inputs through:</w:t>
      </w:r>
    </w:p>
    <w:p w14:paraId="1F837398" w14:textId="3B500E53" w:rsidR="00842E9C" w:rsidRPr="00DF782E" w:rsidRDefault="00842E9C" w:rsidP="00D6128D">
      <w:pPr>
        <w:ind w:left="1080"/>
        <w:rPr>
          <w:rFonts w:ascii="Arial" w:hAnsi="Arial" w:cs="Arial"/>
          <w:sz w:val="24"/>
          <w:szCs w:val="24"/>
        </w:rPr>
      </w:pPr>
      <w:r w:rsidRPr="00DF782E">
        <w:rPr>
          <w:rFonts w:ascii="Arial" w:hAnsi="Arial" w:cs="Arial"/>
          <w:sz w:val="24"/>
          <w:szCs w:val="24"/>
        </w:rPr>
        <w:t>confidence-score irregularities</w:t>
      </w:r>
      <w:r w:rsidRPr="00DF782E">
        <w:rPr>
          <w:rFonts w:ascii="Arial" w:hAnsi="Arial" w:cs="Arial"/>
          <w:sz w:val="24"/>
          <w:szCs w:val="24"/>
        </w:rPr>
        <w:br/>
        <w:t>• input perturbation detection</w:t>
      </w:r>
      <w:r w:rsidRPr="00DF782E">
        <w:rPr>
          <w:rFonts w:ascii="Arial" w:hAnsi="Arial" w:cs="Arial"/>
          <w:sz w:val="24"/>
          <w:szCs w:val="24"/>
        </w:rPr>
        <w:br/>
        <w:t>• behaviour-pattern anomaly monitoring</w:t>
      </w:r>
    </w:p>
    <w:p w14:paraId="10F640A6"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These techniques protect models deployed in public-facing environments [9].</w:t>
      </w:r>
    </w:p>
    <w:p w14:paraId="6BA2C129" w14:textId="7139D463" w:rsidR="00842E9C" w:rsidRPr="00DF782E" w:rsidRDefault="00661D80" w:rsidP="00D6128D">
      <w:pPr>
        <w:ind w:left="360"/>
        <w:rPr>
          <w:rFonts w:ascii="Arial" w:hAnsi="Arial" w:cs="Arial"/>
          <w:b/>
          <w:bCs/>
          <w:sz w:val="24"/>
          <w:szCs w:val="24"/>
        </w:rPr>
      </w:pPr>
      <w:r>
        <w:rPr>
          <w:rFonts w:ascii="Arial" w:hAnsi="Arial" w:cs="Arial"/>
          <w:b/>
          <w:bCs/>
          <w:sz w:val="24"/>
          <w:szCs w:val="24"/>
        </w:rPr>
        <w:t xml:space="preserve"> </w:t>
      </w:r>
      <w:r w:rsidRPr="00661D80">
        <w:rPr>
          <w:rFonts w:ascii="Arial" w:hAnsi="Arial" w:cs="Arial"/>
          <w:b/>
          <w:bCs/>
          <w:sz w:val="24"/>
          <w:szCs w:val="24"/>
        </w:rPr>
        <w:t>Regulatory Compliance Dashboards</w:t>
      </w:r>
    </w:p>
    <w:p w14:paraId="5DD9313D"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Modern governance architectures integrate compliance dashboards that detect:</w:t>
      </w:r>
    </w:p>
    <w:p w14:paraId="7042C800" w14:textId="3E43C46F" w:rsidR="00842E9C" w:rsidRPr="00DF782E" w:rsidRDefault="00842E9C" w:rsidP="00D6128D">
      <w:pPr>
        <w:ind w:left="1080"/>
        <w:rPr>
          <w:rFonts w:ascii="Arial" w:hAnsi="Arial" w:cs="Arial"/>
          <w:sz w:val="24"/>
          <w:szCs w:val="24"/>
        </w:rPr>
      </w:pPr>
      <w:r w:rsidRPr="00DF782E">
        <w:rPr>
          <w:rFonts w:ascii="Arial" w:hAnsi="Arial" w:cs="Arial"/>
          <w:sz w:val="24"/>
          <w:szCs w:val="24"/>
        </w:rPr>
        <w:t>privacy violations</w:t>
      </w:r>
      <w:r w:rsidRPr="00DF782E">
        <w:rPr>
          <w:rFonts w:ascii="Arial" w:hAnsi="Arial" w:cs="Arial"/>
          <w:sz w:val="24"/>
          <w:szCs w:val="24"/>
        </w:rPr>
        <w:br/>
        <w:t>• fairness deviations</w:t>
      </w:r>
      <w:r w:rsidRPr="00DF782E">
        <w:rPr>
          <w:rFonts w:ascii="Arial" w:hAnsi="Arial" w:cs="Arial"/>
          <w:sz w:val="24"/>
          <w:szCs w:val="24"/>
        </w:rPr>
        <w:br/>
        <w:t>• regulatory threshold breaches</w:t>
      </w:r>
    </w:p>
    <w:p w14:paraId="4CFF95D8"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Automated alerts enable rapid intervention aligned with lifecycle monitoring expectations defined within AI RMF governance structures [1].</w:t>
      </w:r>
    </w:p>
    <w:p w14:paraId="04246467" w14:textId="1C918094" w:rsidR="00842E9C" w:rsidRPr="00DF782E" w:rsidRDefault="00842E9C" w:rsidP="00D6128D">
      <w:pPr>
        <w:rPr>
          <w:rFonts w:ascii="Arial" w:hAnsi="Arial" w:cs="Arial"/>
          <w:sz w:val="24"/>
          <w:szCs w:val="24"/>
        </w:rPr>
      </w:pPr>
    </w:p>
    <w:p w14:paraId="032C6A3C" w14:textId="2D3872BB" w:rsidR="00842E9C" w:rsidRPr="00DF782E" w:rsidRDefault="00962C16" w:rsidP="00D6128D">
      <w:pPr>
        <w:ind w:left="360"/>
        <w:rPr>
          <w:rFonts w:ascii="Arial" w:hAnsi="Arial" w:cs="Arial"/>
          <w:b/>
          <w:bCs/>
          <w:sz w:val="24"/>
          <w:szCs w:val="24"/>
        </w:rPr>
      </w:pPr>
      <w:r>
        <w:rPr>
          <w:rFonts w:ascii="Arial" w:hAnsi="Arial" w:cs="Arial"/>
          <w:b/>
          <w:bCs/>
          <w:sz w:val="24"/>
          <w:szCs w:val="24"/>
        </w:rPr>
        <w:t xml:space="preserve"> </w:t>
      </w:r>
      <w:r w:rsidRPr="00962C16">
        <w:rPr>
          <w:rFonts w:ascii="Arial" w:hAnsi="Arial" w:cs="Arial"/>
          <w:b/>
          <w:bCs/>
          <w:sz w:val="24"/>
          <w:szCs w:val="24"/>
        </w:rPr>
        <w:t>Adaptive Response Mechanisms for AI Systems</w:t>
      </w:r>
    </w:p>
    <w:p w14:paraId="59F436B8"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Automated response capabilities distinguish modern governance environments from traditional oversight approaches [1].</w:t>
      </w:r>
    </w:p>
    <w:p w14:paraId="304C9ACF" w14:textId="7109F4D8" w:rsidR="00842E9C" w:rsidRPr="00DF782E" w:rsidRDefault="00842E9C" w:rsidP="00D6128D">
      <w:pPr>
        <w:ind w:left="360"/>
        <w:rPr>
          <w:rFonts w:ascii="Arial" w:hAnsi="Arial" w:cs="Arial"/>
          <w:b/>
          <w:bCs/>
          <w:sz w:val="24"/>
          <w:szCs w:val="24"/>
        </w:rPr>
      </w:pPr>
      <w:r w:rsidRPr="00DF782E">
        <w:rPr>
          <w:rFonts w:ascii="Arial" w:hAnsi="Arial" w:cs="Arial"/>
          <w:b/>
          <w:bCs/>
          <w:sz w:val="24"/>
          <w:szCs w:val="24"/>
        </w:rPr>
        <w:t>Fail-Safe Decision Controls</w:t>
      </w:r>
    </w:p>
    <w:p w14:paraId="05DBCD98"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Safety-critical AI systems revert to fallback logic when confidence thresholds drop below acceptable ranges.</w:t>
      </w:r>
    </w:p>
    <w:p w14:paraId="5C6B0441"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Examples include:</w:t>
      </w:r>
    </w:p>
    <w:p w14:paraId="108F08C2" w14:textId="16426BCB" w:rsidR="00842E9C" w:rsidRPr="00DF782E" w:rsidRDefault="00842E9C" w:rsidP="00D6128D">
      <w:pPr>
        <w:ind w:left="1080"/>
        <w:rPr>
          <w:rFonts w:ascii="Arial" w:hAnsi="Arial" w:cs="Arial"/>
          <w:sz w:val="24"/>
          <w:szCs w:val="24"/>
        </w:rPr>
      </w:pPr>
      <w:r w:rsidRPr="00DF782E">
        <w:rPr>
          <w:rFonts w:ascii="Arial" w:hAnsi="Arial" w:cs="Arial"/>
          <w:sz w:val="24"/>
          <w:szCs w:val="24"/>
        </w:rPr>
        <w:t>manual review escalation</w:t>
      </w:r>
      <w:r w:rsidRPr="00DF782E">
        <w:rPr>
          <w:rFonts w:ascii="Arial" w:hAnsi="Arial" w:cs="Arial"/>
          <w:sz w:val="24"/>
          <w:szCs w:val="24"/>
        </w:rPr>
        <w:br/>
        <w:t>• rule-based override activation</w:t>
      </w:r>
      <w:r w:rsidRPr="00DF782E">
        <w:rPr>
          <w:rFonts w:ascii="Arial" w:hAnsi="Arial" w:cs="Arial"/>
          <w:sz w:val="24"/>
          <w:szCs w:val="24"/>
        </w:rPr>
        <w:br/>
        <w:t>• safe output substitution</w:t>
      </w:r>
    </w:p>
    <w:p w14:paraId="5A4FB778"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These mechanisms prevent harmful automated decisions consistent with responsible AI deployment frameworks [6].</w:t>
      </w:r>
    </w:p>
    <w:p w14:paraId="53CBCD91" w14:textId="68695357" w:rsidR="00842E9C" w:rsidRPr="00DF782E" w:rsidRDefault="000C5337" w:rsidP="00D6128D">
      <w:pPr>
        <w:ind w:left="360"/>
        <w:rPr>
          <w:rFonts w:ascii="Arial" w:hAnsi="Arial" w:cs="Arial"/>
          <w:b/>
          <w:bCs/>
          <w:sz w:val="24"/>
          <w:szCs w:val="24"/>
        </w:rPr>
      </w:pPr>
      <w:r>
        <w:rPr>
          <w:rFonts w:ascii="Arial" w:hAnsi="Arial" w:cs="Arial"/>
          <w:b/>
          <w:bCs/>
          <w:sz w:val="24"/>
          <w:szCs w:val="24"/>
        </w:rPr>
        <w:t xml:space="preserve"> </w:t>
      </w:r>
      <w:r w:rsidRPr="000C5337">
        <w:rPr>
          <w:rFonts w:ascii="Arial" w:hAnsi="Arial" w:cs="Arial"/>
          <w:b/>
          <w:bCs/>
          <w:sz w:val="24"/>
          <w:szCs w:val="24"/>
        </w:rPr>
        <w:t>Automated Access Revocation</w:t>
      </w:r>
    </w:p>
    <w:p w14:paraId="4C9A0B1E"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Security orchestration platforms automatically revoke credentials following suspicious behaviour detection.</w:t>
      </w:r>
    </w:p>
    <w:p w14:paraId="4CA956C3"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This limits insider threat escalation risks.</w:t>
      </w:r>
    </w:p>
    <w:p w14:paraId="1A0098B1" w14:textId="5D500FE9" w:rsidR="00842E9C" w:rsidRPr="00DF782E" w:rsidRDefault="00EC0373" w:rsidP="00D6128D">
      <w:pPr>
        <w:ind w:left="360"/>
        <w:rPr>
          <w:rFonts w:ascii="Arial" w:hAnsi="Arial" w:cs="Arial"/>
          <w:b/>
          <w:bCs/>
          <w:sz w:val="24"/>
          <w:szCs w:val="24"/>
        </w:rPr>
      </w:pPr>
      <w:r>
        <w:rPr>
          <w:rFonts w:ascii="Arial" w:hAnsi="Arial" w:cs="Arial"/>
          <w:b/>
          <w:bCs/>
          <w:sz w:val="24"/>
          <w:szCs w:val="24"/>
        </w:rPr>
        <w:t xml:space="preserve"> </w:t>
      </w:r>
      <w:r w:rsidRPr="00EC0373">
        <w:rPr>
          <w:rFonts w:ascii="Arial" w:hAnsi="Arial" w:cs="Arial"/>
          <w:b/>
          <w:bCs/>
          <w:sz w:val="24"/>
          <w:szCs w:val="24"/>
        </w:rPr>
        <w:t>Self-Recovering AI Pipelines</w:t>
      </w:r>
    </w:p>
    <w:p w14:paraId="23EE87A8"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Continuous integration pipelines support automatic retraining when:</w:t>
      </w:r>
    </w:p>
    <w:p w14:paraId="10D70B34" w14:textId="1961BFF5" w:rsidR="00842E9C" w:rsidRPr="00DF782E" w:rsidRDefault="00842E9C" w:rsidP="00D6128D">
      <w:pPr>
        <w:ind w:left="1080"/>
        <w:rPr>
          <w:rFonts w:ascii="Arial" w:hAnsi="Arial" w:cs="Arial"/>
          <w:sz w:val="24"/>
          <w:szCs w:val="24"/>
        </w:rPr>
      </w:pPr>
      <w:r w:rsidRPr="00DF782E">
        <w:rPr>
          <w:rFonts w:ascii="Arial" w:hAnsi="Arial" w:cs="Arial"/>
          <w:sz w:val="24"/>
          <w:szCs w:val="24"/>
        </w:rPr>
        <w:t>dataset drift exceeds tolerance thresholds</w:t>
      </w:r>
      <w:r w:rsidRPr="00DF782E">
        <w:rPr>
          <w:rFonts w:ascii="Arial" w:hAnsi="Arial" w:cs="Arial"/>
          <w:sz w:val="24"/>
          <w:szCs w:val="24"/>
        </w:rPr>
        <w:br/>
        <w:t>• prediction accuracy declines</w:t>
      </w:r>
      <w:r w:rsidRPr="00DF782E">
        <w:rPr>
          <w:rFonts w:ascii="Arial" w:hAnsi="Arial" w:cs="Arial"/>
          <w:sz w:val="24"/>
          <w:szCs w:val="24"/>
        </w:rPr>
        <w:br/>
        <w:t>• fairness imbalance increases</w:t>
      </w:r>
    </w:p>
    <w:p w14:paraId="24D59532"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Self-healing architectures maintain model reliability without manual intervention [1].</w:t>
      </w:r>
    </w:p>
    <w:p w14:paraId="399BEAE9" w14:textId="55C71FE0" w:rsidR="00842E9C" w:rsidRPr="00DF782E" w:rsidRDefault="00842E9C" w:rsidP="00D6128D">
      <w:pPr>
        <w:ind w:left="360"/>
        <w:rPr>
          <w:rFonts w:ascii="Arial" w:hAnsi="Arial" w:cs="Arial"/>
          <w:b/>
          <w:bCs/>
          <w:sz w:val="24"/>
          <w:szCs w:val="24"/>
        </w:rPr>
      </w:pPr>
      <w:r w:rsidRPr="00DF782E">
        <w:rPr>
          <w:rFonts w:ascii="Arial" w:hAnsi="Arial" w:cs="Arial"/>
          <w:b/>
          <w:bCs/>
          <w:sz w:val="24"/>
          <w:szCs w:val="24"/>
        </w:rPr>
        <w:lastRenderedPageBreak/>
        <w:t>SOC Integration for AI Monitoring</w:t>
      </w:r>
    </w:p>
    <w:p w14:paraId="2D8FBEEB"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Security Operations Centres increasingly integrate AI telemetry streams with:</w:t>
      </w:r>
    </w:p>
    <w:p w14:paraId="7E9C01C7" w14:textId="3826C440" w:rsidR="00842E9C" w:rsidRPr="00DF782E" w:rsidRDefault="00842E9C" w:rsidP="00D6128D">
      <w:pPr>
        <w:ind w:left="1080"/>
        <w:rPr>
          <w:rFonts w:ascii="Arial" w:hAnsi="Arial" w:cs="Arial"/>
          <w:sz w:val="24"/>
          <w:szCs w:val="24"/>
        </w:rPr>
      </w:pPr>
      <w:r w:rsidRPr="00DF782E">
        <w:rPr>
          <w:rFonts w:ascii="Arial" w:hAnsi="Arial" w:cs="Arial"/>
          <w:sz w:val="24"/>
          <w:szCs w:val="24"/>
        </w:rPr>
        <w:t>SIEM platforms</w:t>
      </w:r>
      <w:r w:rsidRPr="00DF782E">
        <w:rPr>
          <w:rFonts w:ascii="Arial" w:hAnsi="Arial" w:cs="Arial"/>
          <w:sz w:val="24"/>
          <w:szCs w:val="24"/>
        </w:rPr>
        <w:br/>
        <w:t>• behavioural analytics engines</w:t>
      </w:r>
      <w:r w:rsidRPr="00DF782E">
        <w:rPr>
          <w:rFonts w:ascii="Arial" w:hAnsi="Arial" w:cs="Arial"/>
          <w:sz w:val="24"/>
          <w:szCs w:val="24"/>
        </w:rPr>
        <w:br/>
        <w:t>• threat intelligence feeds</w:t>
      </w:r>
    </w:p>
    <w:p w14:paraId="41FD2947"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This enables automated cross-system response coordination [11].</w:t>
      </w:r>
    </w:p>
    <w:p w14:paraId="2825578B" w14:textId="48C9CD3F" w:rsidR="00842E9C" w:rsidRPr="00DF782E" w:rsidRDefault="00842E9C" w:rsidP="00D6128D">
      <w:pPr>
        <w:rPr>
          <w:rFonts w:ascii="Arial" w:hAnsi="Arial" w:cs="Arial"/>
          <w:sz w:val="24"/>
          <w:szCs w:val="24"/>
        </w:rPr>
      </w:pPr>
    </w:p>
    <w:p w14:paraId="3B9C45AA" w14:textId="0DC8E976" w:rsidR="00842E9C" w:rsidRPr="00DF782E" w:rsidRDefault="00842E9C" w:rsidP="00D6128D">
      <w:pPr>
        <w:ind w:left="360"/>
        <w:rPr>
          <w:rFonts w:ascii="Arial" w:hAnsi="Arial" w:cs="Arial"/>
          <w:b/>
          <w:bCs/>
          <w:sz w:val="24"/>
          <w:szCs w:val="24"/>
        </w:rPr>
      </w:pPr>
      <w:r w:rsidRPr="00DF782E">
        <w:rPr>
          <w:rFonts w:ascii="Arial" w:hAnsi="Arial" w:cs="Arial"/>
          <w:b/>
          <w:bCs/>
          <w:sz w:val="24"/>
          <w:szCs w:val="24"/>
        </w:rPr>
        <w:t>Industry Case Studies</w:t>
      </w:r>
    </w:p>
    <w:p w14:paraId="75296040" w14:textId="4699E184" w:rsidR="00842E9C" w:rsidRPr="00DF782E" w:rsidRDefault="00842E9C" w:rsidP="00D6128D">
      <w:pPr>
        <w:ind w:left="360"/>
        <w:rPr>
          <w:rFonts w:ascii="Arial" w:hAnsi="Arial" w:cs="Arial"/>
          <w:b/>
          <w:bCs/>
          <w:sz w:val="24"/>
          <w:szCs w:val="24"/>
        </w:rPr>
      </w:pPr>
      <w:r w:rsidRPr="00DF782E">
        <w:rPr>
          <w:rFonts w:ascii="Arial" w:hAnsi="Arial" w:cs="Arial"/>
          <w:b/>
          <w:bCs/>
          <w:sz w:val="24"/>
          <w:szCs w:val="24"/>
        </w:rPr>
        <w:t>Financial Services Sector</w:t>
      </w:r>
    </w:p>
    <w:p w14:paraId="5B9D16A4" w14:textId="77777777" w:rsidR="00A7169F" w:rsidRPr="00DF782E" w:rsidRDefault="00842E9C" w:rsidP="00D6128D">
      <w:pPr>
        <w:ind w:left="360"/>
        <w:rPr>
          <w:rFonts w:ascii="Arial" w:hAnsi="Arial" w:cs="Arial"/>
          <w:sz w:val="24"/>
          <w:szCs w:val="24"/>
        </w:rPr>
      </w:pPr>
      <w:r w:rsidRPr="00DF782E">
        <w:rPr>
          <w:rFonts w:ascii="Arial" w:hAnsi="Arial" w:cs="Arial"/>
          <w:sz w:val="24"/>
          <w:szCs w:val="24"/>
        </w:rPr>
        <w:t>Banks deploying credit scoring models implement automated fairness auditing pipelines ensuring compliance with anti-discrimination regulations [7].</w:t>
      </w:r>
    </w:p>
    <w:p w14:paraId="4D648ED4" w14:textId="09C4BD41" w:rsidR="00842E9C" w:rsidRPr="00DF782E" w:rsidRDefault="00842E9C" w:rsidP="00D6128D">
      <w:pPr>
        <w:ind w:left="360"/>
        <w:rPr>
          <w:rFonts w:ascii="Arial" w:hAnsi="Arial" w:cs="Arial"/>
          <w:sz w:val="24"/>
          <w:szCs w:val="24"/>
        </w:rPr>
      </w:pPr>
      <w:r w:rsidRPr="00DF782E">
        <w:rPr>
          <w:rFonts w:ascii="Arial" w:hAnsi="Arial" w:cs="Arial"/>
          <w:b/>
          <w:bCs/>
          <w:sz w:val="24"/>
          <w:szCs w:val="24"/>
        </w:rPr>
        <w:t>Healthcare Sector</w:t>
      </w:r>
    </w:p>
    <w:p w14:paraId="25C8335C"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Clinical decision-support platforms incorporate explainable AI layers enabling physicians to verify recommendations before execution, supporting ethical accountability requirements in healthcare AI deployment [4].</w:t>
      </w:r>
    </w:p>
    <w:p w14:paraId="67F07602" w14:textId="668F2980" w:rsidR="00842E9C" w:rsidRPr="00DF782E" w:rsidRDefault="00842E9C" w:rsidP="00D6128D">
      <w:pPr>
        <w:ind w:left="360"/>
        <w:rPr>
          <w:rFonts w:ascii="Arial" w:hAnsi="Arial" w:cs="Arial"/>
          <w:b/>
          <w:bCs/>
          <w:sz w:val="24"/>
          <w:szCs w:val="24"/>
        </w:rPr>
      </w:pPr>
      <w:r w:rsidRPr="00DF782E">
        <w:rPr>
          <w:rFonts w:ascii="Arial" w:hAnsi="Arial" w:cs="Arial"/>
          <w:b/>
          <w:bCs/>
          <w:sz w:val="24"/>
          <w:szCs w:val="24"/>
        </w:rPr>
        <w:t>Cloud Technology Providers</w:t>
      </w:r>
    </w:p>
    <w:p w14:paraId="0EEC17D3"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Major cloud platforms deploy adversarial detection monitoring within ML-as-a-Service environments to prevent malicious model exploitation [11].</w:t>
      </w:r>
    </w:p>
    <w:p w14:paraId="125ABF1D" w14:textId="128992D5" w:rsidR="00842E9C" w:rsidRPr="00DF782E" w:rsidRDefault="00842E9C" w:rsidP="00D6128D">
      <w:pPr>
        <w:rPr>
          <w:rFonts w:ascii="Arial" w:hAnsi="Arial" w:cs="Arial"/>
          <w:sz w:val="24"/>
          <w:szCs w:val="24"/>
        </w:rPr>
      </w:pPr>
    </w:p>
    <w:p w14:paraId="3E627D9F" w14:textId="7D5B5F10" w:rsidR="00842E9C" w:rsidRPr="00DF782E" w:rsidRDefault="00842E9C" w:rsidP="00D6128D">
      <w:pPr>
        <w:ind w:left="360"/>
        <w:rPr>
          <w:rFonts w:ascii="Arial" w:hAnsi="Arial" w:cs="Arial"/>
          <w:b/>
          <w:bCs/>
          <w:sz w:val="24"/>
          <w:szCs w:val="24"/>
        </w:rPr>
      </w:pPr>
      <w:r w:rsidRPr="00DF782E">
        <w:rPr>
          <w:rFonts w:ascii="Arial" w:hAnsi="Arial" w:cs="Arial"/>
          <w:b/>
          <w:bCs/>
          <w:sz w:val="24"/>
          <w:szCs w:val="24"/>
        </w:rPr>
        <w:t>Challenges and Future Directions</w:t>
      </w:r>
    </w:p>
    <w:p w14:paraId="637A1E8B"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Despite governance improvements, several unresolved challenges remain.</w:t>
      </w:r>
    </w:p>
    <w:p w14:paraId="1B6DD633" w14:textId="1E24BBB7" w:rsidR="00842E9C" w:rsidRPr="00DF782E" w:rsidRDefault="00BD1890" w:rsidP="00D6128D">
      <w:pPr>
        <w:ind w:left="360"/>
        <w:rPr>
          <w:rFonts w:ascii="Arial" w:hAnsi="Arial" w:cs="Arial"/>
          <w:b/>
          <w:bCs/>
          <w:sz w:val="24"/>
          <w:szCs w:val="24"/>
        </w:rPr>
      </w:pPr>
      <w:r>
        <w:rPr>
          <w:rFonts w:ascii="Arial" w:hAnsi="Arial" w:cs="Arial"/>
          <w:b/>
          <w:bCs/>
          <w:sz w:val="24"/>
          <w:szCs w:val="24"/>
        </w:rPr>
        <w:t xml:space="preserve"> </w:t>
      </w:r>
      <w:r w:rsidRPr="00BD1890">
        <w:rPr>
          <w:rFonts w:ascii="Arial" w:hAnsi="Arial" w:cs="Arial"/>
          <w:b/>
          <w:bCs/>
          <w:sz w:val="24"/>
          <w:szCs w:val="24"/>
        </w:rPr>
        <w:t>Explainability Challenges in AI Systems</w:t>
      </w:r>
    </w:p>
    <w:p w14:paraId="5FBF3219"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Deep neural networks remain difficult to interpret despite advances in explainable AI research [8].</w:t>
      </w:r>
    </w:p>
    <w:p w14:paraId="0EFFADA9" w14:textId="56BBC61E" w:rsidR="00842E9C" w:rsidRPr="00DF782E" w:rsidRDefault="00842E9C" w:rsidP="00D6128D">
      <w:pPr>
        <w:ind w:left="360"/>
        <w:rPr>
          <w:rFonts w:ascii="Arial" w:hAnsi="Arial" w:cs="Arial"/>
          <w:b/>
          <w:bCs/>
          <w:sz w:val="24"/>
          <w:szCs w:val="24"/>
        </w:rPr>
      </w:pPr>
      <w:r w:rsidRPr="00DF782E">
        <w:rPr>
          <w:rFonts w:ascii="Arial" w:hAnsi="Arial" w:cs="Arial"/>
          <w:b/>
          <w:bCs/>
          <w:sz w:val="24"/>
          <w:szCs w:val="24"/>
        </w:rPr>
        <w:t>Regulatory Fragmentation</w:t>
      </w:r>
    </w:p>
    <w:p w14:paraId="01B5EDA9"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Global regulatory environments differ significantly between jurisdictions, complicating multinational governance strategies [2].</w:t>
      </w:r>
    </w:p>
    <w:p w14:paraId="3B6B27E3" w14:textId="09E78E97" w:rsidR="00842E9C" w:rsidRPr="00DF782E" w:rsidRDefault="00842E9C" w:rsidP="00D6128D">
      <w:pPr>
        <w:rPr>
          <w:rFonts w:ascii="Arial" w:hAnsi="Arial" w:cs="Arial"/>
          <w:sz w:val="24"/>
          <w:szCs w:val="24"/>
        </w:rPr>
      </w:pPr>
    </w:p>
    <w:p w14:paraId="18E611DA" w14:textId="309AC808" w:rsidR="00842E9C" w:rsidRPr="00DF782E" w:rsidRDefault="00842E9C" w:rsidP="00D6128D">
      <w:pPr>
        <w:ind w:left="360"/>
        <w:rPr>
          <w:rFonts w:ascii="Arial" w:hAnsi="Arial" w:cs="Arial"/>
          <w:b/>
          <w:bCs/>
          <w:sz w:val="24"/>
          <w:szCs w:val="24"/>
        </w:rPr>
      </w:pPr>
      <w:r w:rsidRPr="00DF782E">
        <w:rPr>
          <w:rFonts w:ascii="Arial" w:hAnsi="Arial" w:cs="Arial"/>
          <w:b/>
          <w:bCs/>
          <w:sz w:val="24"/>
          <w:szCs w:val="24"/>
        </w:rPr>
        <w:t>Model Supply-Chain Risks</w:t>
      </w:r>
    </w:p>
    <w:p w14:paraId="4D478F44"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Third-party pretrained models introduce external dependencies that may contain hidden vulnerabilities or licensing conflicts [11].</w:t>
      </w:r>
    </w:p>
    <w:p w14:paraId="4D5010F3"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Supply-chain auditing frameworks are emerging as a governance priority.</w:t>
      </w:r>
    </w:p>
    <w:p w14:paraId="13A70DAD" w14:textId="1355DD86" w:rsidR="00842E9C" w:rsidRPr="00DF782E" w:rsidRDefault="00842E9C" w:rsidP="00D6128D">
      <w:pPr>
        <w:rPr>
          <w:rFonts w:ascii="Arial" w:hAnsi="Arial" w:cs="Arial"/>
          <w:sz w:val="24"/>
          <w:szCs w:val="24"/>
        </w:rPr>
      </w:pPr>
    </w:p>
    <w:p w14:paraId="0E667C8F" w14:textId="77777777" w:rsidR="006D6099" w:rsidRDefault="006D6099" w:rsidP="00D6128D">
      <w:pPr>
        <w:ind w:left="360"/>
        <w:rPr>
          <w:rFonts w:ascii="Arial" w:hAnsi="Arial" w:cs="Arial"/>
          <w:b/>
          <w:bCs/>
          <w:sz w:val="24"/>
          <w:szCs w:val="24"/>
        </w:rPr>
      </w:pPr>
    </w:p>
    <w:p w14:paraId="03192406" w14:textId="77777777" w:rsidR="006D6099" w:rsidRDefault="006D6099" w:rsidP="00D6128D">
      <w:pPr>
        <w:ind w:left="360"/>
        <w:rPr>
          <w:rFonts w:ascii="Arial" w:hAnsi="Arial" w:cs="Arial"/>
          <w:b/>
          <w:bCs/>
          <w:sz w:val="24"/>
          <w:szCs w:val="24"/>
        </w:rPr>
      </w:pPr>
    </w:p>
    <w:p w14:paraId="0AC45FB2" w14:textId="0CC52B41" w:rsidR="00842E9C" w:rsidRPr="00DF782E" w:rsidRDefault="00842E9C" w:rsidP="00D6128D">
      <w:pPr>
        <w:ind w:left="360"/>
        <w:rPr>
          <w:rFonts w:ascii="Arial" w:hAnsi="Arial" w:cs="Arial"/>
          <w:b/>
          <w:bCs/>
          <w:sz w:val="24"/>
          <w:szCs w:val="24"/>
        </w:rPr>
      </w:pPr>
      <w:r w:rsidRPr="00DF782E">
        <w:rPr>
          <w:rFonts w:ascii="Arial" w:hAnsi="Arial" w:cs="Arial"/>
          <w:b/>
          <w:bCs/>
          <w:sz w:val="24"/>
          <w:szCs w:val="24"/>
        </w:rPr>
        <w:lastRenderedPageBreak/>
        <w:t>Futur</w:t>
      </w:r>
      <w:r w:rsidR="00A7169F" w:rsidRPr="00DF782E">
        <w:rPr>
          <w:rFonts w:ascii="Arial" w:hAnsi="Arial" w:cs="Arial"/>
          <w:b/>
          <w:bCs/>
          <w:sz w:val="24"/>
          <w:szCs w:val="24"/>
        </w:rPr>
        <w:t>istic</w:t>
      </w:r>
      <w:r w:rsidRPr="00DF782E">
        <w:rPr>
          <w:rFonts w:ascii="Arial" w:hAnsi="Arial" w:cs="Arial"/>
          <w:b/>
          <w:bCs/>
          <w:sz w:val="24"/>
          <w:szCs w:val="24"/>
        </w:rPr>
        <w:t xml:space="preserve"> Governance Trends</w:t>
      </w:r>
    </w:p>
    <w:p w14:paraId="2A97EBD5"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Emerging governance innovations include:</w:t>
      </w:r>
    </w:p>
    <w:p w14:paraId="213F1EC0" w14:textId="6B0794F7" w:rsidR="00842E9C" w:rsidRPr="00DF782E" w:rsidRDefault="00842E9C" w:rsidP="00D6128D">
      <w:pPr>
        <w:ind w:left="1080"/>
        <w:rPr>
          <w:rFonts w:ascii="Arial" w:hAnsi="Arial" w:cs="Arial"/>
          <w:sz w:val="24"/>
          <w:szCs w:val="24"/>
        </w:rPr>
      </w:pPr>
      <w:r w:rsidRPr="00DF782E">
        <w:rPr>
          <w:rFonts w:ascii="Arial" w:hAnsi="Arial" w:cs="Arial"/>
          <w:sz w:val="24"/>
          <w:szCs w:val="24"/>
        </w:rPr>
        <w:t>AI regulatory sandboxes</w:t>
      </w:r>
      <w:r w:rsidRPr="00DF782E">
        <w:rPr>
          <w:rFonts w:ascii="Arial" w:hAnsi="Arial" w:cs="Arial"/>
          <w:sz w:val="24"/>
          <w:szCs w:val="24"/>
        </w:rPr>
        <w:br/>
        <w:t>• ethics certification frameworks</w:t>
      </w:r>
      <w:r w:rsidRPr="00DF782E">
        <w:rPr>
          <w:rFonts w:ascii="Arial" w:hAnsi="Arial" w:cs="Arial"/>
          <w:sz w:val="24"/>
          <w:szCs w:val="24"/>
        </w:rPr>
        <w:br/>
        <w:t>• automated compliance scoring systems</w:t>
      </w:r>
      <w:r w:rsidRPr="00DF782E">
        <w:rPr>
          <w:rFonts w:ascii="Arial" w:hAnsi="Arial" w:cs="Arial"/>
          <w:sz w:val="24"/>
          <w:szCs w:val="24"/>
        </w:rPr>
        <w:br/>
        <w:t>• real-time risk dashboards</w:t>
      </w:r>
    </w:p>
    <w:p w14:paraId="0D8B7376" w14:textId="77777777" w:rsidR="00842E9C" w:rsidRPr="00DF782E" w:rsidRDefault="00842E9C" w:rsidP="00D6128D">
      <w:pPr>
        <w:ind w:left="360"/>
        <w:rPr>
          <w:rFonts w:ascii="Arial" w:hAnsi="Arial" w:cs="Arial"/>
          <w:sz w:val="24"/>
          <w:szCs w:val="24"/>
        </w:rPr>
      </w:pPr>
      <w:r w:rsidRPr="00DF782E">
        <w:rPr>
          <w:rFonts w:ascii="Arial" w:hAnsi="Arial" w:cs="Arial"/>
          <w:sz w:val="24"/>
          <w:szCs w:val="24"/>
        </w:rPr>
        <w:t>These tools support continuous assurance ecosystems rather than static governance processes [12].</w:t>
      </w:r>
    </w:p>
    <w:p w14:paraId="41B30D30" w14:textId="3226D2D0" w:rsidR="009710B2" w:rsidRPr="00DF782E" w:rsidRDefault="009710B2" w:rsidP="00D6128D">
      <w:pPr>
        <w:rPr>
          <w:rFonts w:ascii="Arial" w:hAnsi="Arial" w:cs="Arial"/>
          <w:sz w:val="24"/>
          <w:szCs w:val="24"/>
        </w:rPr>
      </w:pPr>
    </w:p>
    <w:p w14:paraId="4EB630DA" w14:textId="77777777" w:rsidR="006D6099" w:rsidRDefault="006D6099" w:rsidP="00D6128D">
      <w:pPr>
        <w:ind w:left="360"/>
        <w:rPr>
          <w:rFonts w:ascii="Arial" w:hAnsi="Arial" w:cs="Arial"/>
          <w:b/>
          <w:bCs/>
          <w:sz w:val="24"/>
          <w:szCs w:val="24"/>
        </w:rPr>
      </w:pPr>
    </w:p>
    <w:p w14:paraId="5A35F2EC" w14:textId="77777777" w:rsidR="006D6099" w:rsidRDefault="006D6099" w:rsidP="00D6128D">
      <w:pPr>
        <w:ind w:left="360"/>
        <w:rPr>
          <w:rFonts w:ascii="Arial" w:hAnsi="Arial" w:cs="Arial"/>
          <w:b/>
          <w:bCs/>
          <w:sz w:val="24"/>
          <w:szCs w:val="24"/>
        </w:rPr>
      </w:pPr>
    </w:p>
    <w:p w14:paraId="5E5F21D3" w14:textId="77777777" w:rsidR="006D6099" w:rsidRDefault="006D6099" w:rsidP="00D6128D">
      <w:pPr>
        <w:ind w:left="360"/>
        <w:rPr>
          <w:rFonts w:ascii="Arial" w:hAnsi="Arial" w:cs="Arial"/>
          <w:b/>
          <w:bCs/>
          <w:sz w:val="24"/>
          <w:szCs w:val="24"/>
        </w:rPr>
      </w:pPr>
    </w:p>
    <w:p w14:paraId="0A894D64" w14:textId="77777777" w:rsidR="006D6099" w:rsidRDefault="006D6099" w:rsidP="00D6128D">
      <w:pPr>
        <w:ind w:left="360"/>
        <w:rPr>
          <w:rFonts w:ascii="Arial" w:hAnsi="Arial" w:cs="Arial"/>
          <w:b/>
          <w:bCs/>
          <w:sz w:val="24"/>
          <w:szCs w:val="24"/>
        </w:rPr>
      </w:pPr>
    </w:p>
    <w:p w14:paraId="29FFAB4B" w14:textId="77777777" w:rsidR="006D6099" w:rsidRDefault="006D6099" w:rsidP="00D6128D">
      <w:pPr>
        <w:ind w:left="360"/>
        <w:rPr>
          <w:rFonts w:ascii="Arial" w:hAnsi="Arial" w:cs="Arial"/>
          <w:b/>
          <w:bCs/>
          <w:sz w:val="24"/>
          <w:szCs w:val="24"/>
        </w:rPr>
      </w:pPr>
    </w:p>
    <w:p w14:paraId="520C4BA5" w14:textId="77777777" w:rsidR="006D6099" w:rsidRDefault="006D6099" w:rsidP="00D6128D">
      <w:pPr>
        <w:ind w:left="360"/>
        <w:rPr>
          <w:rFonts w:ascii="Arial" w:hAnsi="Arial" w:cs="Arial"/>
          <w:b/>
          <w:bCs/>
          <w:sz w:val="24"/>
          <w:szCs w:val="24"/>
        </w:rPr>
      </w:pPr>
    </w:p>
    <w:p w14:paraId="7EC03ECD" w14:textId="77777777" w:rsidR="006D6099" w:rsidRDefault="006D6099" w:rsidP="00D6128D">
      <w:pPr>
        <w:ind w:left="360"/>
        <w:rPr>
          <w:rFonts w:ascii="Arial" w:hAnsi="Arial" w:cs="Arial"/>
          <w:b/>
          <w:bCs/>
          <w:sz w:val="24"/>
          <w:szCs w:val="24"/>
        </w:rPr>
      </w:pPr>
    </w:p>
    <w:p w14:paraId="2A463915" w14:textId="77777777" w:rsidR="006D6099" w:rsidRDefault="006D6099" w:rsidP="00D6128D">
      <w:pPr>
        <w:ind w:left="360"/>
        <w:rPr>
          <w:rFonts w:ascii="Arial" w:hAnsi="Arial" w:cs="Arial"/>
          <w:b/>
          <w:bCs/>
          <w:sz w:val="24"/>
          <w:szCs w:val="24"/>
        </w:rPr>
      </w:pPr>
    </w:p>
    <w:p w14:paraId="6064CCBD" w14:textId="77777777" w:rsidR="006D6099" w:rsidRDefault="006D6099" w:rsidP="00D6128D">
      <w:pPr>
        <w:ind w:left="360"/>
        <w:rPr>
          <w:rFonts w:ascii="Arial" w:hAnsi="Arial" w:cs="Arial"/>
          <w:b/>
          <w:bCs/>
          <w:sz w:val="24"/>
          <w:szCs w:val="24"/>
        </w:rPr>
      </w:pPr>
    </w:p>
    <w:p w14:paraId="64AD790A" w14:textId="77777777" w:rsidR="006D6099" w:rsidRDefault="006D6099" w:rsidP="00D6128D">
      <w:pPr>
        <w:ind w:left="360"/>
        <w:rPr>
          <w:rFonts w:ascii="Arial" w:hAnsi="Arial" w:cs="Arial"/>
          <w:b/>
          <w:bCs/>
          <w:sz w:val="24"/>
          <w:szCs w:val="24"/>
        </w:rPr>
      </w:pPr>
    </w:p>
    <w:p w14:paraId="787E4DD2" w14:textId="77777777" w:rsidR="006D6099" w:rsidRDefault="006D6099" w:rsidP="00D6128D">
      <w:pPr>
        <w:ind w:left="360"/>
        <w:rPr>
          <w:rFonts w:ascii="Arial" w:hAnsi="Arial" w:cs="Arial"/>
          <w:b/>
          <w:bCs/>
          <w:sz w:val="24"/>
          <w:szCs w:val="24"/>
        </w:rPr>
      </w:pPr>
    </w:p>
    <w:p w14:paraId="607F8781" w14:textId="77777777" w:rsidR="006D6099" w:rsidRDefault="006D6099" w:rsidP="00D6128D">
      <w:pPr>
        <w:ind w:left="360"/>
        <w:rPr>
          <w:rFonts w:ascii="Arial" w:hAnsi="Arial" w:cs="Arial"/>
          <w:b/>
          <w:bCs/>
          <w:sz w:val="24"/>
          <w:szCs w:val="24"/>
        </w:rPr>
      </w:pPr>
    </w:p>
    <w:p w14:paraId="604D6200" w14:textId="77777777" w:rsidR="006D6099" w:rsidRDefault="006D6099" w:rsidP="00D6128D">
      <w:pPr>
        <w:ind w:left="360"/>
        <w:rPr>
          <w:rFonts w:ascii="Arial" w:hAnsi="Arial" w:cs="Arial"/>
          <w:b/>
          <w:bCs/>
          <w:sz w:val="24"/>
          <w:szCs w:val="24"/>
        </w:rPr>
      </w:pPr>
    </w:p>
    <w:p w14:paraId="369C4913" w14:textId="77777777" w:rsidR="006D6099" w:rsidRDefault="006D6099" w:rsidP="00D6128D">
      <w:pPr>
        <w:ind w:left="360"/>
        <w:rPr>
          <w:rFonts w:ascii="Arial" w:hAnsi="Arial" w:cs="Arial"/>
          <w:b/>
          <w:bCs/>
          <w:sz w:val="24"/>
          <w:szCs w:val="24"/>
        </w:rPr>
      </w:pPr>
    </w:p>
    <w:p w14:paraId="7DF1A50C" w14:textId="77777777" w:rsidR="006D6099" w:rsidRDefault="006D6099" w:rsidP="00D6128D">
      <w:pPr>
        <w:ind w:left="360"/>
        <w:rPr>
          <w:rFonts w:ascii="Arial" w:hAnsi="Arial" w:cs="Arial"/>
          <w:b/>
          <w:bCs/>
          <w:sz w:val="24"/>
          <w:szCs w:val="24"/>
        </w:rPr>
      </w:pPr>
    </w:p>
    <w:p w14:paraId="032E537B" w14:textId="77777777" w:rsidR="006D6099" w:rsidRDefault="006D6099" w:rsidP="00D6128D">
      <w:pPr>
        <w:ind w:left="360"/>
        <w:rPr>
          <w:rFonts w:ascii="Arial" w:hAnsi="Arial" w:cs="Arial"/>
          <w:b/>
          <w:bCs/>
          <w:sz w:val="24"/>
          <w:szCs w:val="24"/>
        </w:rPr>
      </w:pPr>
    </w:p>
    <w:p w14:paraId="316B3A38" w14:textId="77777777" w:rsidR="006D6099" w:rsidRDefault="006D6099" w:rsidP="00D6128D">
      <w:pPr>
        <w:ind w:left="360"/>
        <w:rPr>
          <w:rFonts w:ascii="Arial" w:hAnsi="Arial" w:cs="Arial"/>
          <w:b/>
          <w:bCs/>
          <w:sz w:val="24"/>
          <w:szCs w:val="24"/>
        </w:rPr>
      </w:pPr>
    </w:p>
    <w:p w14:paraId="5646E9A4" w14:textId="77777777" w:rsidR="006D6099" w:rsidRDefault="006D6099" w:rsidP="00D6128D">
      <w:pPr>
        <w:ind w:left="360"/>
        <w:rPr>
          <w:rFonts w:ascii="Arial" w:hAnsi="Arial" w:cs="Arial"/>
          <w:b/>
          <w:bCs/>
          <w:sz w:val="24"/>
          <w:szCs w:val="24"/>
        </w:rPr>
      </w:pPr>
    </w:p>
    <w:p w14:paraId="76F6C91F" w14:textId="77777777" w:rsidR="006D6099" w:rsidRDefault="006D6099" w:rsidP="00D6128D">
      <w:pPr>
        <w:ind w:left="360"/>
        <w:rPr>
          <w:rFonts w:ascii="Arial" w:hAnsi="Arial" w:cs="Arial"/>
          <w:b/>
          <w:bCs/>
          <w:sz w:val="24"/>
          <w:szCs w:val="24"/>
        </w:rPr>
      </w:pPr>
    </w:p>
    <w:p w14:paraId="21705A7F" w14:textId="77777777" w:rsidR="006D6099" w:rsidRDefault="006D6099" w:rsidP="00D6128D">
      <w:pPr>
        <w:ind w:left="360"/>
        <w:rPr>
          <w:rFonts w:ascii="Arial" w:hAnsi="Arial" w:cs="Arial"/>
          <w:b/>
          <w:bCs/>
          <w:sz w:val="24"/>
          <w:szCs w:val="24"/>
        </w:rPr>
      </w:pPr>
    </w:p>
    <w:p w14:paraId="05E4E866" w14:textId="77777777" w:rsidR="006D6099" w:rsidRDefault="006D6099" w:rsidP="00D6128D">
      <w:pPr>
        <w:ind w:left="360"/>
        <w:rPr>
          <w:rFonts w:ascii="Arial" w:hAnsi="Arial" w:cs="Arial"/>
          <w:b/>
          <w:bCs/>
          <w:sz w:val="24"/>
          <w:szCs w:val="24"/>
        </w:rPr>
      </w:pPr>
    </w:p>
    <w:p w14:paraId="55315602" w14:textId="77777777" w:rsidR="006D6099" w:rsidRDefault="006D6099" w:rsidP="00D6128D">
      <w:pPr>
        <w:ind w:left="360"/>
        <w:rPr>
          <w:rFonts w:ascii="Arial" w:hAnsi="Arial" w:cs="Arial"/>
          <w:b/>
          <w:bCs/>
          <w:sz w:val="24"/>
          <w:szCs w:val="24"/>
        </w:rPr>
      </w:pPr>
    </w:p>
    <w:p w14:paraId="5BAE2D05" w14:textId="77777777" w:rsidR="006D6099" w:rsidRDefault="006D6099" w:rsidP="00D6128D">
      <w:pPr>
        <w:ind w:left="360"/>
        <w:rPr>
          <w:rFonts w:ascii="Arial" w:hAnsi="Arial" w:cs="Arial"/>
          <w:b/>
          <w:bCs/>
          <w:sz w:val="24"/>
          <w:szCs w:val="24"/>
        </w:rPr>
      </w:pPr>
    </w:p>
    <w:p w14:paraId="1CBDC690" w14:textId="77777777" w:rsidR="006D6099" w:rsidRDefault="006D6099" w:rsidP="00D6128D">
      <w:pPr>
        <w:ind w:left="360"/>
        <w:rPr>
          <w:rFonts w:ascii="Arial" w:hAnsi="Arial" w:cs="Arial"/>
          <w:b/>
          <w:bCs/>
          <w:sz w:val="24"/>
          <w:szCs w:val="24"/>
        </w:rPr>
      </w:pPr>
    </w:p>
    <w:p w14:paraId="76F4EE69" w14:textId="77777777" w:rsidR="006D6099" w:rsidRDefault="006D6099" w:rsidP="00D6128D">
      <w:pPr>
        <w:ind w:left="360"/>
        <w:rPr>
          <w:rFonts w:ascii="Arial" w:hAnsi="Arial" w:cs="Arial"/>
          <w:b/>
          <w:bCs/>
          <w:sz w:val="24"/>
          <w:szCs w:val="24"/>
        </w:rPr>
      </w:pPr>
    </w:p>
    <w:p w14:paraId="432351B9" w14:textId="37774DEA" w:rsidR="009710B2" w:rsidRPr="00DF782E" w:rsidRDefault="009710B2" w:rsidP="00D6128D">
      <w:pPr>
        <w:ind w:left="360"/>
        <w:rPr>
          <w:rFonts w:ascii="Arial" w:hAnsi="Arial" w:cs="Arial"/>
          <w:b/>
          <w:bCs/>
          <w:sz w:val="24"/>
          <w:szCs w:val="24"/>
        </w:rPr>
      </w:pPr>
      <w:r w:rsidRPr="00DF782E">
        <w:rPr>
          <w:rFonts w:ascii="Arial" w:hAnsi="Arial" w:cs="Arial"/>
          <w:b/>
          <w:bCs/>
          <w:sz w:val="24"/>
          <w:szCs w:val="24"/>
        </w:rPr>
        <w:lastRenderedPageBreak/>
        <w:t>Conclusion</w:t>
      </w:r>
    </w:p>
    <w:p w14:paraId="3D02F841" w14:textId="77777777" w:rsidR="009710B2" w:rsidRPr="00DF782E" w:rsidRDefault="009710B2" w:rsidP="00D6128D">
      <w:pPr>
        <w:ind w:left="360"/>
        <w:rPr>
          <w:rFonts w:ascii="Arial" w:hAnsi="Arial" w:cs="Arial"/>
          <w:sz w:val="24"/>
          <w:szCs w:val="24"/>
        </w:rPr>
      </w:pPr>
      <w:r w:rsidRPr="00DF782E">
        <w:rPr>
          <w:rFonts w:ascii="Arial" w:hAnsi="Arial" w:cs="Arial"/>
          <w:sz w:val="24"/>
          <w:szCs w:val="24"/>
        </w:rPr>
        <w:t>AI governance frameworks are essential for ensuring trustworthy deployment of machine learning systems within modern organisations. Effective governance environments anticipate risks through fairness testing, threat modelling, and privacy assessment procedures before deployment occurs. Protection mechanisms such as encryption, access control policies, and regulatory compliance pipelines reduce operational exposure. Detection infrastructures continuously monitor performance drift, adversarial behaviour, and compliance violations during system operation. Automated response mechanisms including fail-safe logic, retraining pipelines, and SOC integration enable rapid mitigation of emerging threats without requiring constant human intervention.</w:t>
      </w:r>
    </w:p>
    <w:p w14:paraId="35FAAB7B" w14:textId="77777777" w:rsidR="009710B2" w:rsidRPr="00DF782E" w:rsidRDefault="009710B2" w:rsidP="00D6128D">
      <w:pPr>
        <w:ind w:left="360"/>
        <w:rPr>
          <w:rFonts w:ascii="Arial" w:hAnsi="Arial" w:cs="Arial"/>
          <w:sz w:val="24"/>
          <w:szCs w:val="24"/>
        </w:rPr>
      </w:pPr>
      <w:r w:rsidRPr="00DF782E">
        <w:rPr>
          <w:rFonts w:ascii="Arial" w:hAnsi="Arial" w:cs="Arial"/>
          <w:sz w:val="24"/>
          <w:szCs w:val="24"/>
        </w:rPr>
        <w:t>Organisations adopting lifecycle-integrated governance architectures can therefore balance innovation with accountability while maintaining compliance with evolving regulatory expectations. As AI adoption accelerates across critical sectors, proactive governance strategies will remain central to maintaining organisational resilience, public trust, and ethical responsibility in automated decision-making environments.</w:t>
      </w:r>
    </w:p>
    <w:p w14:paraId="0101F9EA" w14:textId="77777777" w:rsidR="006D6099" w:rsidRDefault="006D6099" w:rsidP="00D6128D">
      <w:pPr>
        <w:ind w:left="360"/>
        <w:rPr>
          <w:rFonts w:ascii="Arial" w:hAnsi="Arial" w:cs="Arial"/>
          <w:b/>
          <w:bCs/>
          <w:sz w:val="24"/>
          <w:szCs w:val="24"/>
        </w:rPr>
      </w:pPr>
    </w:p>
    <w:p w14:paraId="1A6BAAC8" w14:textId="77777777" w:rsidR="006D6099" w:rsidRDefault="006D6099" w:rsidP="00D6128D">
      <w:pPr>
        <w:ind w:left="360"/>
        <w:rPr>
          <w:rFonts w:ascii="Arial" w:hAnsi="Arial" w:cs="Arial"/>
          <w:b/>
          <w:bCs/>
          <w:sz w:val="24"/>
          <w:szCs w:val="24"/>
        </w:rPr>
      </w:pPr>
    </w:p>
    <w:p w14:paraId="616111CC" w14:textId="77777777" w:rsidR="006D6099" w:rsidRDefault="006D6099" w:rsidP="00D6128D">
      <w:pPr>
        <w:ind w:left="360"/>
        <w:rPr>
          <w:rFonts w:ascii="Arial" w:hAnsi="Arial" w:cs="Arial"/>
          <w:b/>
          <w:bCs/>
          <w:sz w:val="24"/>
          <w:szCs w:val="24"/>
        </w:rPr>
      </w:pPr>
    </w:p>
    <w:p w14:paraId="3A996892" w14:textId="77777777" w:rsidR="006D6099" w:rsidRDefault="006D6099" w:rsidP="00D6128D">
      <w:pPr>
        <w:ind w:left="360"/>
        <w:rPr>
          <w:rFonts w:ascii="Arial" w:hAnsi="Arial" w:cs="Arial"/>
          <w:b/>
          <w:bCs/>
          <w:sz w:val="24"/>
          <w:szCs w:val="24"/>
        </w:rPr>
      </w:pPr>
    </w:p>
    <w:p w14:paraId="77F6A230" w14:textId="77777777" w:rsidR="006D6099" w:rsidRDefault="006D6099" w:rsidP="00D6128D">
      <w:pPr>
        <w:ind w:left="360"/>
        <w:rPr>
          <w:rFonts w:ascii="Arial" w:hAnsi="Arial" w:cs="Arial"/>
          <w:b/>
          <w:bCs/>
          <w:sz w:val="24"/>
          <w:szCs w:val="24"/>
        </w:rPr>
      </w:pPr>
    </w:p>
    <w:p w14:paraId="127101D0" w14:textId="77777777" w:rsidR="006D6099" w:rsidRDefault="006D6099" w:rsidP="00D6128D">
      <w:pPr>
        <w:ind w:left="360"/>
        <w:rPr>
          <w:rFonts w:ascii="Arial" w:hAnsi="Arial" w:cs="Arial"/>
          <w:b/>
          <w:bCs/>
          <w:sz w:val="24"/>
          <w:szCs w:val="24"/>
        </w:rPr>
      </w:pPr>
    </w:p>
    <w:p w14:paraId="285D9177" w14:textId="77777777" w:rsidR="006D6099" w:rsidRDefault="006D6099" w:rsidP="00D6128D">
      <w:pPr>
        <w:ind w:left="360"/>
        <w:rPr>
          <w:rFonts w:ascii="Arial" w:hAnsi="Arial" w:cs="Arial"/>
          <w:b/>
          <w:bCs/>
          <w:sz w:val="24"/>
          <w:szCs w:val="24"/>
        </w:rPr>
      </w:pPr>
    </w:p>
    <w:p w14:paraId="753D6C88" w14:textId="77777777" w:rsidR="006D6099" w:rsidRDefault="006D6099" w:rsidP="00D6128D">
      <w:pPr>
        <w:ind w:left="360"/>
        <w:rPr>
          <w:rFonts w:ascii="Arial" w:hAnsi="Arial" w:cs="Arial"/>
          <w:b/>
          <w:bCs/>
          <w:sz w:val="24"/>
          <w:szCs w:val="24"/>
        </w:rPr>
      </w:pPr>
    </w:p>
    <w:p w14:paraId="61D47BB2" w14:textId="77777777" w:rsidR="006D6099" w:rsidRDefault="006D6099" w:rsidP="00D6128D">
      <w:pPr>
        <w:ind w:left="360"/>
        <w:rPr>
          <w:rFonts w:ascii="Arial" w:hAnsi="Arial" w:cs="Arial"/>
          <w:b/>
          <w:bCs/>
          <w:sz w:val="24"/>
          <w:szCs w:val="24"/>
        </w:rPr>
      </w:pPr>
    </w:p>
    <w:p w14:paraId="4A9600F0" w14:textId="77777777" w:rsidR="006D6099" w:rsidRDefault="006D6099" w:rsidP="00D6128D">
      <w:pPr>
        <w:ind w:left="360"/>
        <w:rPr>
          <w:rFonts w:ascii="Arial" w:hAnsi="Arial" w:cs="Arial"/>
          <w:b/>
          <w:bCs/>
          <w:sz w:val="24"/>
          <w:szCs w:val="24"/>
        </w:rPr>
      </w:pPr>
    </w:p>
    <w:p w14:paraId="0B840977" w14:textId="77777777" w:rsidR="006D6099" w:rsidRDefault="006D6099" w:rsidP="00D6128D">
      <w:pPr>
        <w:ind w:left="360"/>
        <w:rPr>
          <w:rFonts w:ascii="Arial" w:hAnsi="Arial" w:cs="Arial"/>
          <w:b/>
          <w:bCs/>
          <w:sz w:val="24"/>
          <w:szCs w:val="24"/>
        </w:rPr>
      </w:pPr>
    </w:p>
    <w:p w14:paraId="397A6D88" w14:textId="77777777" w:rsidR="006D6099" w:rsidRDefault="006D6099" w:rsidP="00D6128D">
      <w:pPr>
        <w:ind w:left="360"/>
        <w:rPr>
          <w:rFonts w:ascii="Arial" w:hAnsi="Arial" w:cs="Arial"/>
          <w:b/>
          <w:bCs/>
          <w:sz w:val="24"/>
          <w:szCs w:val="24"/>
        </w:rPr>
      </w:pPr>
    </w:p>
    <w:p w14:paraId="39052345" w14:textId="77777777" w:rsidR="006D6099" w:rsidRDefault="006D6099" w:rsidP="00D6128D">
      <w:pPr>
        <w:ind w:left="360"/>
        <w:rPr>
          <w:rFonts w:ascii="Arial" w:hAnsi="Arial" w:cs="Arial"/>
          <w:b/>
          <w:bCs/>
          <w:sz w:val="24"/>
          <w:szCs w:val="24"/>
        </w:rPr>
      </w:pPr>
    </w:p>
    <w:p w14:paraId="0FAA0BD2" w14:textId="77777777" w:rsidR="006D6099" w:rsidRDefault="006D6099" w:rsidP="00D6128D">
      <w:pPr>
        <w:ind w:left="360"/>
        <w:rPr>
          <w:rFonts w:ascii="Arial" w:hAnsi="Arial" w:cs="Arial"/>
          <w:b/>
          <w:bCs/>
          <w:sz w:val="24"/>
          <w:szCs w:val="24"/>
        </w:rPr>
      </w:pPr>
    </w:p>
    <w:p w14:paraId="144AB21A" w14:textId="77777777" w:rsidR="006D6099" w:rsidRDefault="006D6099" w:rsidP="00D6128D">
      <w:pPr>
        <w:ind w:left="360"/>
        <w:rPr>
          <w:rFonts w:ascii="Arial" w:hAnsi="Arial" w:cs="Arial"/>
          <w:b/>
          <w:bCs/>
          <w:sz w:val="24"/>
          <w:szCs w:val="24"/>
        </w:rPr>
      </w:pPr>
    </w:p>
    <w:p w14:paraId="4AD112A5" w14:textId="77777777" w:rsidR="006D6099" w:rsidRDefault="006D6099" w:rsidP="00D6128D">
      <w:pPr>
        <w:ind w:left="360"/>
        <w:rPr>
          <w:rFonts w:ascii="Arial" w:hAnsi="Arial" w:cs="Arial"/>
          <w:b/>
          <w:bCs/>
          <w:sz w:val="24"/>
          <w:szCs w:val="24"/>
        </w:rPr>
      </w:pPr>
    </w:p>
    <w:p w14:paraId="128D0DE6" w14:textId="77777777" w:rsidR="006D6099" w:rsidRDefault="006D6099" w:rsidP="00D6128D">
      <w:pPr>
        <w:ind w:left="360"/>
        <w:rPr>
          <w:rFonts w:ascii="Arial" w:hAnsi="Arial" w:cs="Arial"/>
          <w:b/>
          <w:bCs/>
          <w:sz w:val="24"/>
          <w:szCs w:val="24"/>
        </w:rPr>
      </w:pPr>
    </w:p>
    <w:p w14:paraId="64A83905" w14:textId="77777777" w:rsidR="006D6099" w:rsidRDefault="006D6099" w:rsidP="00D6128D">
      <w:pPr>
        <w:ind w:left="360"/>
        <w:rPr>
          <w:rFonts w:ascii="Arial" w:hAnsi="Arial" w:cs="Arial"/>
          <w:b/>
          <w:bCs/>
          <w:sz w:val="24"/>
          <w:szCs w:val="24"/>
        </w:rPr>
      </w:pPr>
    </w:p>
    <w:p w14:paraId="396E613B" w14:textId="77777777" w:rsidR="006D6099" w:rsidRDefault="006D6099" w:rsidP="00D6128D">
      <w:pPr>
        <w:ind w:left="360"/>
        <w:rPr>
          <w:rFonts w:ascii="Arial" w:hAnsi="Arial" w:cs="Arial"/>
          <w:b/>
          <w:bCs/>
          <w:sz w:val="24"/>
          <w:szCs w:val="24"/>
        </w:rPr>
      </w:pPr>
    </w:p>
    <w:p w14:paraId="1FDEB596" w14:textId="77777777" w:rsidR="006D6099" w:rsidRDefault="006D6099" w:rsidP="00D6128D">
      <w:pPr>
        <w:ind w:left="360"/>
        <w:rPr>
          <w:rFonts w:ascii="Arial" w:hAnsi="Arial" w:cs="Arial"/>
          <w:b/>
          <w:bCs/>
          <w:sz w:val="24"/>
          <w:szCs w:val="24"/>
        </w:rPr>
      </w:pPr>
    </w:p>
    <w:p w14:paraId="3CF7629F" w14:textId="5A94F743" w:rsidR="00241974" w:rsidRPr="00DF782E" w:rsidRDefault="00241974" w:rsidP="00D6128D">
      <w:pPr>
        <w:ind w:left="360"/>
        <w:rPr>
          <w:rFonts w:ascii="Arial" w:hAnsi="Arial" w:cs="Arial"/>
          <w:b/>
          <w:bCs/>
          <w:sz w:val="24"/>
          <w:szCs w:val="24"/>
        </w:rPr>
      </w:pPr>
      <w:r w:rsidRPr="00DF782E">
        <w:rPr>
          <w:rFonts w:ascii="Arial" w:hAnsi="Arial" w:cs="Arial"/>
          <w:b/>
          <w:bCs/>
          <w:sz w:val="24"/>
          <w:szCs w:val="24"/>
        </w:rPr>
        <w:lastRenderedPageBreak/>
        <w:t>References (IEEE Style)</w:t>
      </w:r>
    </w:p>
    <w:p w14:paraId="798F38D6" w14:textId="77777777" w:rsidR="00241974" w:rsidRPr="00DF782E" w:rsidRDefault="00241974" w:rsidP="00D6128D">
      <w:pPr>
        <w:ind w:left="360"/>
        <w:rPr>
          <w:rFonts w:ascii="Arial" w:hAnsi="Arial" w:cs="Arial"/>
          <w:sz w:val="24"/>
          <w:szCs w:val="24"/>
        </w:rPr>
      </w:pPr>
      <w:r w:rsidRPr="00DF782E">
        <w:rPr>
          <w:rFonts w:ascii="Arial" w:hAnsi="Arial" w:cs="Arial"/>
          <w:sz w:val="24"/>
          <w:szCs w:val="24"/>
        </w:rPr>
        <w:t xml:space="preserve">[1] National Institute of Standards and Technology (NIST), </w:t>
      </w:r>
      <w:r w:rsidRPr="00DF782E">
        <w:rPr>
          <w:rFonts w:ascii="Arial" w:hAnsi="Arial" w:cs="Arial"/>
          <w:i/>
          <w:iCs/>
          <w:sz w:val="24"/>
          <w:szCs w:val="24"/>
        </w:rPr>
        <w:t>AI Risk Management Framework (AI RMF 1.0)</w:t>
      </w:r>
      <w:r w:rsidRPr="00DF782E">
        <w:rPr>
          <w:rFonts w:ascii="Arial" w:hAnsi="Arial" w:cs="Arial"/>
          <w:sz w:val="24"/>
          <w:szCs w:val="24"/>
        </w:rPr>
        <w:t>, Gaithersburg, MD, USA, Jan. 2023.</w:t>
      </w:r>
    </w:p>
    <w:p w14:paraId="06846A19" w14:textId="77777777" w:rsidR="00241974" w:rsidRPr="00DF782E" w:rsidRDefault="00241974" w:rsidP="00D6128D">
      <w:pPr>
        <w:ind w:left="360"/>
        <w:rPr>
          <w:rFonts w:ascii="Arial" w:hAnsi="Arial" w:cs="Arial"/>
          <w:sz w:val="24"/>
          <w:szCs w:val="24"/>
        </w:rPr>
      </w:pPr>
      <w:r w:rsidRPr="00DF782E">
        <w:rPr>
          <w:rFonts w:ascii="Arial" w:hAnsi="Arial" w:cs="Arial"/>
          <w:sz w:val="24"/>
          <w:szCs w:val="24"/>
        </w:rPr>
        <w:t xml:space="preserve">[2] European Commission, </w:t>
      </w:r>
      <w:r w:rsidRPr="00DF782E">
        <w:rPr>
          <w:rFonts w:ascii="Arial" w:hAnsi="Arial" w:cs="Arial"/>
          <w:i/>
          <w:iCs/>
          <w:sz w:val="24"/>
          <w:szCs w:val="24"/>
        </w:rPr>
        <w:t>Proposal for a Regulation Laying Down Harmonised Rules on Artificial Intelligence (Artificial Intelligence Act)</w:t>
      </w:r>
      <w:r w:rsidRPr="00DF782E">
        <w:rPr>
          <w:rFonts w:ascii="Arial" w:hAnsi="Arial" w:cs="Arial"/>
          <w:sz w:val="24"/>
          <w:szCs w:val="24"/>
        </w:rPr>
        <w:t>, Brussels, Belgium, Apr. 2021.</w:t>
      </w:r>
    </w:p>
    <w:p w14:paraId="20E6FA68" w14:textId="77777777" w:rsidR="00241974" w:rsidRPr="00DF782E" w:rsidRDefault="00241974" w:rsidP="00D6128D">
      <w:pPr>
        <w:ind w:left="360"/>
        <w:rPr>
          <w:rFonts w:ascii="Arial" w:hAnsi="Arial" w:cs="Arial"/>
          <w:sz w:val="24"/>
          <w:szCs w:val="24"/>
        </w:rPr>
      </w:pPr>
      <w:r w:rsidRPr="00DF782E">
        <w:rPr>
          <w:rFonts w:ascii="Arial" w:hAnsi="Arial" w:cs="Arial"/>
          <w:sz w:val="24"/>
          <w:szCs w:val="24"/>
        </w:rPr>
        <w:t xml:space="preserve">[3] ISO/IEC, </w:t>
      </w:r>
      <w:r w:rsidRPr="00DF782E">
        <w:rPr>
          <w:rFonts w:ascii="Arial" w:hAnsi="Arial" w:cs="Arial"/>
          <w:i/>
          <w:iCs/>
          <w:sz w:val="24"/>
          <w:szCs w:val="24"/>
        </w:rPr>
        <w:t>ISO/IEC 42001:2023 Information Technology — Artificial Intelligence — Management System</w:t>
      </w:r>
      <w:r w:rsidRPr="00DF782E">
        <w:rPr>
          <w:rFonts w:ascii="Arial" w:hAnsi="Arial" w:cs="Arial"/>
          <w:sz w:val="24"/>
          <w:szCs w:val="24"/>
        </w:rPr>
        <w:t>, Geneva, Switzerland, 2023.</w:t>
      </w:r>
    </w:p>
    <w:p w14:paraId="58211988" w14:textId="77777777" w:rsidR="00241974" w:rsidRPr="00DF782E" w:rsidRDefault="00241974" w:rsidP="00D6128D">
      <w:pPr>
        <w:ind w:left="360"/>
        <w:rPr>
          <w:rFonts w:ascii="Arial" w:hAnsi="Arial" w:cs="Arial"/>
          <w:sz w:val="24"/>
          <w:szCs w:val="24"/>
        </w:rPr>
      </w:pPr>
      <w:r w:rsidRPr="00DF782E">
        <w:rPr>
          <w:rFonts w:ascii="Arial" w:hAnsi="Arial" w:cs="Arial"/>
          <w:sz w:val="24"/>
          <w:szCs w:val="24"/>
        </w:rPr>
        <w:t xml:space="preserve">[4] Information Commissioner’s Office (ICO), </w:t>
      </w:r>
      <w:r w:rsidRPr="00DF782E">
        <w:rPr>
          <w:rFonts w:ascii="Arial" w:hAnsi="Arial" w:cs="Arial"/>
          <w:i/>
          <w:iCs/>
          <w:sz w:val="24"/>
          <w:szCs w:val="24"/>
        </w:rPr>
        <w:t>Guidance on AI and Data Protection</w:t>
      </w:r>
      <w:r w:rsidRPr="00DF782E">
        <w:rPr>
          <w:rFonts w:ascii="Arial" w:hAnsi="Arial" w:cs="Arial"/>
          <w:sz w:val="24"/>
          <w:szCs w:val="24"/>
        </w:rPr>
        <w:t>, Wilmslow, UK, 2023.</w:t>
      </w:r>
    </w:p>
    <w:p w14:paraId="08DD67A0" w14:textId="77777777" w:rsidR="00241974" w:rsidRPr="00DF782E" w:rsidRDefault="00241974" w:rsidP="00D6128D">
      <w:pPr>
        <w:ind w:left="360"/>
        <w:rPr>
          <w:rFonts w:ascii="Arial" w:hAnsi="Arial" w:cs="Arial"/>
          <w:sz w:val="24"/>
          <w:szCs w:val="24"/>
        </w:rPr>
      </w:pPr>
      <w:r w:rsidRPr="00DF782E">
        <w:rPr>
          <w:rFonts w:ascii="Arial" w:hAnsi="Arial" w:cs="Arial"/>
          <w:sz w:val="24"/>
          <w:szCs w:val="24"/>
        </w:rPr>
        <w:t xml:space="preserve">[5] European Parliament and Council of the European Union, </w:t>
      </w:r>
      <w:r w:rsidRPr="00DF782E">
        <w:rPr>
          <w:rFonts w:ascii="Arial" w:hAnsi="Arial" w:cs="Arial"/>
          <w:i/>
          <w:iCs/>
          <w:sz w:val="24"/>
          <w:szCs w:val="24"/>
        </w:rPr>
        <w:t>General Data Protection Regulation (GDPR)</w:t>
      </w:r>
      <w:r w:rsidRPr="00DF782E">
        <w:rPr>
          <w:rFonts w:ascii="Arial" w:hAnsi="Arial" w:cs="Arial"/>
          <w:sz w:val="24"/>
          <w:szCs w:val="24"/>
        </w:rPr>
        <w:t>, Regulation (EU) 2016/679, 2016.</w:t>
      </w:r>
    </w:p>
    <w:p w14:paraId="30DD2A36" w14:textId="77777777" w:rsidR="00241974" w:rsidRPr="00DF782E" w:rsidRDefault="00241974" w:rsidP="00D6128D">
      <w:pPr>
        <w:ind w:left="360"/>
        <w:rPr>
          <w:rFonts w:ascii="Arial" w:hAnsi="Arial" w:cs="Arial"/>
          <w:sz w:val="24"/>
          <w:szCs w:val="24"/>
        </w:rPr>
      </w:pPr>
      <w:r w:rsidRPr="00DF782E">
        <w:rPr>
          <w:rFonts w:ascii="Arial" w:hAnsi="Arial" w:cs="Arial"/>
          <w:sz w:val="24"/>
          <w:szCs w:val="24"/>
        </w:rPr>
        <w:t xml:space="preserve">[6] OECD, </w:t>
      </w:r>
      <w:r w:rsidRPr="00DF782E">
        <w:rPr>
          <w:rFonts w:ascii="Arial" w:hAnsi="Arial" w:cs="Arial"/>
          <w:i/>
          <w:iCs/>
          <w:sz w:val="24"/>
          <w:szCs w:val="24"/>
        </w:rPr>
        <w:t>OECD Principles on Artificial Intelligence</w:t>
      </w:r>
      <w:r w:rsidRPr="00DF782E">
        <w:rPr>
          <w:rFonts w:ascii="Arial" w:hAnsi="Arial" w:cs="Arial"/>
          <w:sz w:val="24"/>
          <w:szCs w:val="24"/>
        </w:rPr>
        <w:t>, Paris, France, 2019.</w:t>
      </w:r>
    </w:p>
    <w:p w14:paraId="2FA91F3A" w14:textId="77777777" w:rsidR="00241974" w:rsidRPr="00DF782E" w:rsidRDefault="00241974" w:rsidP="00D6128D">
      <w:pPr>
        <w:ind w:left="360"/>
        <w:rPr>
          <w:rFonts w:ascii="Arial" w:hAnsi="Arial" w:cs="Arial"/>
          <w:sz w:val="24"/>
          <w:szCs w:val="24"/>
        </w:rPr>
      </w:pPr>
      <w:r w:rsidRPr="00DF782E">
        <w:rPr>
          <w:rFonts w:ascii="Arial" w:hAnsi="Arial" w:cs="Arial"/>
          <w:sz w:val="24"/>
          <w:szCs w:val="24"/>
        </w:rPr>
        <w:t xml:space="preserve">[7] A. Jobin, M. Ienca, and E. Vayena, “The global landscape of AI ethics guidelines,” </w:t>
      </w:r>
      <w:r w:rsidRPr="00DF782E">
        <w:rPr>
          <w:rFonts w:ascii="Arial" w:hAnsi="Arial" w:cs="Arial"/>
          <w:i/>
          <w:iCs/>
          <w:sz w:val="24"/>
          <w:szCs w:val="24"/>
        </w:rPr>
        <w:t>Nature Machine Intelligence</w:t>
      </w:r>
      <w:r w:rsidRPr="00DF782E">
        <w:rPr>
          <w:rFonts w:ascii="Arial" w:hAnsi="Arial" w:cs="Arial"/>
          <w:sz w:val="24"/>
          <w:szCs w:val="24"/>
        </w:rPr>
        <w:t>, vol. 1, no. 9, pp. 389–399, 2019.</w:t>
      </w:r>
    </w:p>
    <w:p w14:paraId="061FC419" w14:textId="77777777" w:rsidR="00241974" w:rsidRPr="00DF782E" w:rsidRDefault="00241974" w:rsidP="00D6128D">
      <w:pPr>
        <w:ind w:left="360"/>
        <w:rPr>
          <w:rFonts w:ascii="Arial" w:hAnsi="Arial" w:cs="Arial"/>
          <w:sz w:val="24"/>
          <w:szCs w:val="24"/>
        </w:rPr>
      </w:pPr>
      <w:r w:rsidRPr="00DF782E">
        <w:rPr>
          <w:rFonts w:ascii="Arial" w:hAnsi="Arial" w:cs="Arial"/>
          <w:sz w:val="24"/>
          <w:szCs w:val="24"/>
        </w:rPr>
        <w:t xml:space="preserve">[8] B. Mittelstadt, P. Allo, M. Taddeo, S. Wachter, and L. Floridi, “The ethics of algorithms: Mapping the debate,” </w:t>
      </w:r>
      <w:r w:rsidRPr="00DF782E">
        <w:rPr>
          <w:rFonts w:ascii="Arial" w:hAnsi="Arial" w:cs="Arial"/>
          <w:i/>
          <w:iCs/>
          <w:sz w:val="24"/>
          <w:szCs w:val="24"/>
        </w:rPr>
        <w:t>Big Data &amp; Society</w:t>
      </w:r>
      <w:r w:rsidRPr="00DF782E">
        <w:rPr>
          <w:rFonts w:ascii="Arial" w:hAnsi="Arial" w:cs="Arial"/>
          <w:sz w:val="24"/>
          <w:szCs w:val="24"/>
        </w:rPr>
        <w:t>, vol. 3, no. 2, 2016.</w:t>
      </w:r>
    </w:p>
    <w:p w14:paraId="0BB2A643" w14:textId="77777777" w:rsidR="00241974" w:rsidRPr="00DF782E" w:rsidRDefault="00241974" w:rsidP="00D6128D">
      <w:pPr>
        <w:ind w:left="360"/>
        <w:rPr>
          <w:rFonts w:ascii="Arial" w:hAnsi="Arial" w:cs="Arial"/>
          <w:sz w:val="24"/>
          <w:szCs w:val="24"/>
        </w:rPr>
      </w:pPr>
      <w:r w:rsidRPr="00DF782E">
        <w:rPr>
          <w:rFonts w:ascii="Arial" w:hAnsi="Arial" w:cs="Arial"/>
          <w:sz w:val="24"/>
          <w:szCs w:val="24"/>
        </w:rPr>
        <w:t xml:space="preserve">[9] I. Goodfellow, J. Shlens, and C. Szegedy, “Explaining and harnessing adversarial examples,” in </w:t>
      </w:r>
      <w:r w:rsidRPr="00DF782E">
        <w:rPr>
          <w:rFonts w:ascii="Arial" w:hAnsi="Arial" w:cs="Arial"/>
          <w:i/>
          <w:iCs/>
          <w:sz w:val="24"/>
          <w:szCs w:val="24"/>
        </w:rPr>
        <w:t>Proc. International Conference on Learning Representations (ICLR)</w:t>
      </w:r>
      <w:r w:rsidRPr="00DF782E">
        <w:rPr>
          <w:rFonts w:ascii="Arial" w:hAnsi="Arial" w:cs="Arial"/>
          <w:sz w:val="24"/>
          <w:szCs w:val="24"/>
        </w:rPr>
        <w:t>, 2015.</w:t>
      </w:r>
    </w:p>
    <w:p w14:paraId="5FA10E23" w14:textId="77777777" w:rsidR="00241974" w:rsidRPr="00DF782E" w:rsidRDefault="00241974" w:rsidP="00D6128D">
      <w:pPr>
        <w:ind w:left="360"/>
        <w:rPr>
          <w:rFonts w:ascii="Arial" w:hAnsi="Arial" w:cs="Arial"/>
          <w:sz w:val="24"/>
          <w:szCs w:val="24"/>
        </w:rPr>
      </w:pPr>
      <w:r w:rsidRPr="00DF782E">
        <w:rPr>
          <w:rFonts w:ascii="Arial" w:hAnsi="Arial" w:cs="Arial"/>
          <w:sz w:val="24"/>
          <w:szCs w:val="24"/>
        </w:rPr>
        <w:t xml:space="preserve">[10] N. Papernot et al., “Practical black-box attacks against machine learning,” in </w:t>
      </w:r>
      <w:r w:rsidRPr="00DF782E">
        <w:rPr>
          <w:rFonts w:ascii="Arial" w:hAnsi="Arial" w:cs="Arial"/>
          <w:i/>
          <w:iCs/>
          <w:sz w:val="24"/>
          <w:szCs w:val="24"/>
        </w:rPr>
        <w:t>Proc. Asia Conference on Computer and Communications Security</w:t>
      </w:r>
      <w:r w:rsidRPr="00DF782E">
        <w:rPr>
          <w:rFonts w:ascii="Arial" w:hAnsi="Arial" w:cs="Arial"/>
          <w:sz w:val="24"/>
          <w:szCs w:val="24"/>
        </w:rPr>
        <w:t>, 2017.</w:t>
      </w:r>
    </w:p>
    <w:p w14:paraId="40A83E97" w14:textId="77777777" w:rsidR="00241974" w:rsidRPr="00DF782E" w:rsidRDefault="00241974" w:rsidP="00D6128D">
      <w:pPr>
        <w:ind w:left="360"/>
        <w:rPr>
          <w:rFonts w:ascii="Arial" w:hAnsi="Arial" w:cs="Arial"/>
          <w:sz w:val="24"/>
          <w:szCs w:val="24"/>
        </w:rPr>
      </w:pPr>
      <w:r w:rsidRPr="00DF782E">
        <w:rPr>
          <w:rFonts w:ascii="Arial" w:hAnsi="Arial" w:cs="Arial"/>
          <w:sz w:val="24"/>
          <w:szCs w:val="24"/>
        </w:rPr>
        <w:t>[11] M. Brundage et al., “The malicious use of artificial intelligence: Forecasting, prevention, and mitigation,” University of Oxford &amp; Future of Humanity Institute, 2018.</w:t>
      </w:r>
    </w:p>
    <w:p w14:paraId="1175F396" w14:textId="77777777" w:rsidR="00241974" w:rsidRPr="00DF782E" w:rsidRDefault="00241974" w:rsidP="00D6128D">
      <w:pPr>
        <w:ind w:left="360"/>
        <w:rPr>
          <w:rFonts w:ascii="Arial" w:hAnsi="Arial" w:cs="Arial"/>
          <w:sz w:val="24"/>
          <w:szCs w:val="24"/>
        </w:rPr>
      </w:pPr>
      <w:r w:rsidRPr="00DF782E">
        <w:rPr>
          <w:rFonts w:ascii="Arial" w:hAnsi="Arial" w:cs="Arial"/>
          <w:sz w:val="24"/>
          <w:szCs w:val="24"/>
        </w:rPr>
        <w:t xml:space="preserve">[12] UK Government, </w:t>
      </w:r>
      <w:r w:rsidRPr="00DF782E">
        <w:rPr>
          <w:rFonts w:ascii="Arial" w:hAnsi="Arial" w:cs="Arial"/>
          <w:i/>
          <w:iCs/>
          <w:sz w:val="24"/>
          <w:szCs w:val="24"/>
        </w:rPr>
        <w:t>National AI Strategy</w:t>
      </w:r>
      <w:r w:rsidRPr="00DF782E">
        <w:rPr>
          <w:rFonts w:ascii="Arial" w:hAnsi="Arial" w:cs="Arial"/>
          <w:sz w:val="24"/>
          <w:szCs w:val="24"/>
        </w:rPr>
        <w:t>, London, UK, 2021.</w:t>
      </w:r>
    </w:p>
    <w:p w14:paraId="25951C50" w14:textId="77777777" w:rsidR="008E7A95" w:rsidRPr="00DF782E" w:rsidRDefault="008E7A95" w:rsidP="00D6128D">
      <w:pPr>
        <w:rPr>
          <w:rFonts w:ascii="Arial" w:hAnsi="Arial" w:cs="Arial"/>
          <w:sz w:val="24"/>
          <w:szCs w:val="24"/>
        </w:rPr>
      </w:pPr>
    </w:p>
    <w:p w14:paraId="0349E497" w14:textId="77777777" w:rsidR="00D038DC" w:rsidRPr="00DF782E" w:rsidRDefault="00D038DC" w:rsidP="00D6128D">
      <w:pPr>
        <w:rPr>
          <w:rFonts w:ascii="Arial" w:hAnsi="Arial" w:cs="Arial"/>
          <w:sz w:val="24"/>
          <w:szCs w:val="24"/>
        </w:rPr>
      </w:pPr>
    </w:p>
    <w:p w14:paraId="71D94C68" w14:textId="77777777" w:rsidR="00D038DC" w:rsidRPr="00DF782E" w:rsidRDefault="00D038DC" w:rsidP="00D6128D">
      <w:pPr>
        <w:rPr>
          <w:rFonts w:ascii="Arial" w:hAnsi="Arial" w:cs="Arial"/>
          <w:sz w:val="24"/>
          <w:szCs w:val="24"/>
        </w:rPr>
      </w:pPr>
    </w:p>
    <w:p w14:paraId="35EFF35E" w14:textId="77777777" w:rsidR="00D038DC" w:rsidRPr="00DF782E" w:rsidRDefault="00D038DC" w:rsidP="00D6128D">
      <w:pPr>
        <w:rPr>
          <w:rFonts w:ascii="Arial" w:hAnsi="Arial" w:cs="Arial"/>
          <w:sz w:val="24"/>
          <w:szCs w:val="24"/>
        </w:rPr>
      </w:pPr>
    </w:p>
    <w:p w14:paraId="3C8524A6" w14:textId="77777777" w:rsidR="00D038DC" w:rsidRPr="00DF782E" w:rsidRDefault="00D038DC" w:rsidP="00D6128D">
      <w:pPr>
        <w:rPr>
          <w:rFonts w:ascii="Arial" w:hAnsi="Arial" w:cs="Arial"/>
          <w:sz w:val="24"/>
          <w:szCs w:val="24"/>
        </w:rPr>
      </w:pPr>
    </w:p>
    <w:p w14:paraId="3C1EA305" w14:textId="77777777" w:rsidR="00D038DC" w:rsidRPr="00DF782E" w:rsidRDefault="00D038DC" w:rsidP="00D6128D">
      <w:pPr>
        <w:rPr>
          <w:rFonts w:ascii="Arial" w:hAnsi="Arial" w:cs="Arial"/>
          <w:sz w:val="24"/>
          <w:szCs w:val="24"/>
        </w:rPr>
      </w:pPr>
    </w:p>
    <w:p w14:paraId="6459A161" w14:textId="77777777" w:rsidR="00D038DC" w:rsidRPr="00DF782E" w:rsidRDefault="00D038DC" w:rsidP="00D6128D">
      <w:pPr>
        <w:rPr>
          <w:rFonts w:ascii="Arial" w:hAnsi="Arial" w:cs="Arial"/>
          <w:sz w:val="24"/>
          <w:szCs w:val="24"/>
        </w:rPr>
      </w:pPr>
    </w:p>
    <w:p w14:paraId="77B09F4C" w14:textId="77777777" w:rsidR="008E7A95" w:rsidRPr="00DF782E" w:rsidRDefault="008E7A95" w:rsidP="00D6128D">
      <w:pPr>
        <w:rPr>
          <w:rFonts w:ascii="Arial" w:hAnsi="Arial" w:cs="Arial"/>
          <w:sz w:val="24"/>
          <w:szCs w:val="24"/>
        </w:rPr>
      </w:pPr>
    </w:p>
    <w:p w14:paraId="13173C4F" w14:textId="77777777" w:rsidR="008E7A95" w:rsidRPr="00DF782E" w:rsidRDefault="008E7A95" w:rsidP="00D6128D">
      <w:pPr>
        <w:rPr>
          <w:rFonts w:ascii="Arial" w:hAnsi="Arial" w:cs="Arial"/>
          <w:sz w:val="24"/>
          <w:szCs w:val="24"/>
        </w:rPr>
      </w:pPr>
    </w:p>
    <w:p w14:paraId="6FA8A17C" w14:textId="77777777" w:rsidR="00E05A29" w:rsidRDefault="00E05A29" w:rsidP="00E05A29">
      <w:pPr>
        <w:tabs>
          <w:tab w:val="left" w:pos="4170"/>
        </w:tabs>
        <w:rPr>
          <w:rFonts w:ascii="Arial" w:hAnsi="Arial" w:cs="Arial"/>
          <w:sz w:val="24"/>
          <w:szCs w:val="24"/>
        </w:rPr>
      </w:pPr>
    </w:p>
    <w:p w14:paraId="68D07552" w14:textId="08A13B1B" w:rsidR="008E7A95" w:rsidRPr="00E05A29" w:rsidRDefault="00E05A29" w:rsidP="00E05A29">
      <w:pPr>
        <w:tabs>
          <w:tab w:val="left" w:pos="4170"/>
        </w:tabs>
        <w:rPr>
          <w:rFonts w:ascii="Arial" w:hAnsi="Arial" w:cs="Arial"/>
          <w:b/>
          <w:bCs/>
          <w:sz w:val="36"/>
          <w:szCs w:val="36"/>
        </w:rPr>
      </w:pPr>
      <w:r w:rsidRPr="00E05A29">
        <w:rPr>
          <w:rFonts w:ascii="Arial" w:hAnsi="Arial" w:cs="Arial"/>
          <w:sz w:val="36"/>
          <w:szCs w:val="36"/>
        </w:rPr>
        <w:lastRenderedPageBreak/>
        <w:t xml:space="preserve"> </w:t>
      </w:r>
      <w:r>
        <w:rPr>
          <w:rFonts w:ascii="Arial" w:hAnsi="Arial" w:cs="Arial"/>
          <w:sz w:val="36"/>
          <w:szCs w:val="36"/>
        </w:rPr>
        <w:t xml:space="preserve">                               </w:t>
      </w:r>
      <w:r w:rsidRPr="00E05A29">
        <w:rPr>
          <w:rFonts w:ascii="Arial" w:hAnsi="Arial" w:cs="Arial"/>
          <w:sz w:val="36"/>
          <w:szCs w:val="36"/>
        </w:rPr>
        <w:t xml:space="preserve">   </w:t>
      </w:r>
      <w:r w:rsidR="0056309F" w:rsidRPr="00E05A29">
        <w:rPr>
          <w:rFonts w:ascii="Arial" w:hAnsi="Arial" w:cs="Arial"/>
          <w:b/>
          <w:bCs/>
          <w:sz w:val="36"/>
          <w:szCs w:val="36"/>
        </w:rPr>
        <w:t>TASK 2</w:t>
      </w:r>
    </w:p>
    <w:p w14:paraId="4B4A8F15" w14:textId="1992E07D" w:rsidR="00A8738F" w:rsidRPr="00DF782E" w:rsidRDefault="00A8738F" w:rsidP="00D6128D">
      <w:pPr>
        <w:tabs>
          <w:tab w:val="left" w:pos="4170"/>
        </w:tabs>
        <w:ind w:left="360"/>
        <w:rPr>
          <w:rFonts w:ascii="Arial" w:hAnsi="Arial" w:cs="Arial"/>
          <w:b/>
          <w:bCs/>
          <w:sz w:val="24"/>
          <w:szCs w:val="24"/>
        </w:rPr>
      </w:pPr>
      <w:r w:rsidRPr="00DF782E">
        <w:rPr>
          <w:rFonts w:ascii="Arial" w:hAnsi="Arial" w:cs="Arial"/>
          <w:b/>
          <w:bCs/>
          <w:sz w:val="24"/>
          <w:szCs w:val="24"/>
        </w:rPr>
        <w:t xml:space="preserve">Zero-Trust Security Programme </w:t>
      </w:r>
      <w:r w:rsidR="00BD1890" w:rsidRPr="00DF782E">
        <w:rPr>
          <w:rFonts w:ascii="Arial" w:hAnsi="Arial" w:cs="Arial"/>
          <w:b/>
          <w:bCs/>
          <w:sz w:val="24"/>
          <w:szCs w:val="24"/>
        </w:rPr>
        <w:t>Design</w:t>
      </w:r>
      <w:r w:rsidR="00BD1890">
        <w:rPr>
          <w:rFonts w:ascii="Arial" w:hAnsi="Arial" w:cs="Arial"/>
          <w:b/>
          <w:bCs/>
          <w:sz w:val="24"/>
          <w:szCs w:val="24"/>
        </w:rPr>
        <w:t xml:space="preserve">ing </w:t>
      </w:r>
      <w:r w:rsidR="00BD1890" w:rsidRPr="00DF782E">
        <w:rPr>
          <w:rFonts w:ascii="Arial" w:hAnsi="Arial" w:cs="Arial"/>
          <w:b/>
          <w:bCs/>
          <w:sz w:val="24"/>
          <w:szCs w:val="24"/>
        </w:rPr>
        <w:t>for</w:t>
      </w:r>
      <w:r w:rsidRPr="00DF782E">
        <w:rPr>
          <w:rFonts w:ascii="Arial" w:hAnsi="Arial" w:cs="Arial"/>
          <w:b/>
          <w:bCs/>
          <w:sz w:val="24"/>
          <w:szCs w:val="24"/>
        </w:rPr>
        <w:t xml:space="preserve"> MediTrust Analytics Ltd</w:t>
      </w:r>
    </w:p>
    <w:p w14:paraId="065FEB81" w14:textId="55E61A20" w:rsidR="00A8738F" w:rsidRPr="00DF782E" w:rsidRDefault="00A8738F" w:rsidP="00D6128D">
      <w:pPr>
        <w:tabs>
          <w:tab w:val="left" w:pos="4170"/>
        </w:tabs>
        <w:ind w:left="360"/>
        <w:rPr>
          <w:rFonts w:ascii="Arial" w:hAnsi="Arial" w:cs="Arial"/>
          <w:b/>
          <w:bCs/>
          <w:sz w:val="24"/>
          <w:szCs w:val="24"/>
        </w:rPr>
      </w:pPr>
      <w:r w:rsidRPr="00DF782E">
        <w:rPr>
          <w:rFonts w:ascii="Arial" w:hAnsi="Arial" w:cs="Arial"/>
          <w:b/>
          <w:bCs/>
          <w:sz w:val="24"/>
          <w:szCs w:val="24"/>
        </w:rPr>
        <w:t>Introduction</w:t>
      </w:r>
    </w:p>
    <w:p w14:paraId="28DA634B" w14:textId="77777777" w:rsidR="00A8738F" w:rsidRPr="00DF782E" w:rsidRDefault="00A8738F" w:rsidP="00D6128D">
      <w:pPr>
        <w:tabs>
          <w:tab w:val="left" w:pos="4170"/>
        </w:tabs>
        <w:ind w:left="360"/>
        <w:rPr>
          <w:rFonts w:ascii="Arial" w:hAnsi="Arial" w:cs="Arial"/>
          <w:sz w:val="24"/>
          <w:szCs w:val="24"/>
        </w:rPr>
      </w:pPr>
      <w:r w:rsidRPr="00DF782E">
        <w:rPr>
          <w:rFonts w:ascii="Arial" w:hAnsi="Arial" w:cs="Arial"/>
          <w:sz w:val="24"/>
          <w:szCs w:val="24"/>
        </w:rPr>
        <w:t>MediTrust Analytics Ltd develops AI-powered clinical decision-support platforms processing highly sensitive healthcare datasets including diagnostic imaging, electronic patient records, and IoT telemetry from medical devices. Expansion into the European healthcare market introduces new regulatory obligations under the General Data Protection Regulation (GDPR), Digital Operational Resilience Act (DORA), and Network and Information Security Directive (NIS2).</w:t>
      </w:r>
    </w:p>
    <w:p w14:paraId="5D200D42" w14:textId="77777777" w:rsidR="00A8738F" w:rsidRPr="00DF782E" w:rsidRDefault="00A8738F" w:rsidP="00D6128D">
      <w:pPr>
        <w:tabs>
          <w:tab w:val="left" w:pos="4170"/>
        </w:tabs>
        <w:ind w:left="360"/>
        <w:rPr>
          <w:rFonts w:ascii="Arial" w:hAnsi="Arial" w:cs="Arial"/>
          <w:sz w:val="24"/>
          <w:szCs w:val="24"/>
        </w:rPr>
      </w:pPr>
      <w:r w:rsidRPr="00DF782E">
        <w:rPr>
          <w:rFonts w:ascii="Arial" w:hAnsi="Arial" w:cs="Arial"/>
          <w:sz w:val="24"/>
          <w:szCs w:val="24"/>
        </w:rPr>
        <w:t>Operating within a hybrid workforce environment supported by multi-cloud infrastructure and third-party research collaboration increases exposure to software supply-chain threats, credential compromise risks, cloud misconfiguration vulnerabilities, and adversarial manipulation of AI training pipelines. Traditional perimeter-based security models are insufficient in such distributed architectures.</w:t>
      </w:r>
    </w:p>
    <w:p w14:paraId="31A99516" w14:textId="6E2C60EB" w:rsidR="00A8738F" w:rsidRPr="00DF782E" w:rsidRDefault="00A8738F" w:rsidP="00D6128D">
      <w:pPr>
        <w:tabs>
          <w:tab w:val="left" w:pos="4170"/>
        </w:tabs>
        <w:ind w:left="360"/>
        <w:rPr>
          <w:rFonts w:ascii="Arial" w:hAnsi="Arial" w:cs="Arial"/>
          <w:sz w:val="24"/>
          <w:szCs w:val="24"/>
        </w:rPr>
      </w:pPr>
      <w:r w:rsidRPr="00DF782E">
        <w:rPr>
          <w:rFonts w:ascii="Arial" w:hAnsi="Arial" w:cs="Arial"/>
          <w:sz w:val="24"/>
          <w:szCs w:val="24"/>
        </w:rPr>
        <w:t>This report proposes a forward-looking Zero-Trust-aligned security programme designed to support regulatory compliance, protect intellectual property, secure sensitive healthcare datasets, and ensure operational resilience across MediTrust’s new EU operational</w:t>
      </w:r>
      <w:r w:rsidR="009A0C11" w:rsidRPr="00DF782E">
        <w:rPr>
          <w:rFonts w:ascii="Arial" w:hAnsi="Arial" w:cs="Arial"/>
          <w:sz w:val="24"/>
          <w:szCs w:val="24"/>
        </w:rPr>
        <w:t xml:space="preserve"> unit.</w:t>
      </w:r>
    </w:p>
    <w:p w14:paraId="5AED492D"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A </w:t>
      </w:r>
      <w:r w:rsidRPr="00DF782E">
        <w:rPr>
          <w:rFonts w:ascii="Arial" w:hAnsi="Arial" w:cs="Arial"/>
          <w:b/>
          <w:bCs/>
          <w:sz w:val="24"/>
          <w:szCs w:val="24"/>
        </w:rPr>
        <w:t>Zero-Trust security architecture</w:t>
      </w:r>
      <w:r w:rsidRPr="00DF782E">
        <w:rPr>
          <w:rFonts w:ascii="Arial" w:hAnsi="Arial" w:cs="Arial"/>
          <w:sz w:val="24"/>
          <w:szCs w:val="24"/>
        </w:rPr>
        <w:t xml:space="preserve"> represents a modern cybersecurity model based on the principle of </w:t>
      </w:r>
      <w:r w:rsidRPr="00DF782E">
        <w:rPr>
          <w:rFonts w:ascii="Arial" w:hAnsi="Arial" w:cs="Arial"/>
          <w:b/>
          <w:bCs/>
          <w:sz w:val="24"/>
          <w:szCs w:val="24"/>
        </w:rPr>
        <w:t>“never trust, always verify.”</w:t>
      </w:r>
      <w:r w:rsidRPr="00DF782E">
        <w:rPr>
          <w:rFonts w:ascii="Arial" w:hAnsi="Arial" w:cs="Arial"/>
          <w:sz w:val="24"/>
          <w:szCs w:val="24"/>
        </w:rPr>
        <w:t xml:space="preserve"> Unlike traditional perimeter-based security approaches that assume internal networks are inherently secure once access is granted, Zero Trust continuously validates every user, device, workload, and application attempting to access organisational resources regardless of location.</w:t>
      </w:r>
    </w:p>
    <w:p w14:paraId="5C1D3490"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For MediTrust Analytics Ltd, adopting a Zero-Trust strategy is essential due to the organisation’s hybrid workforce structure, reliance on multi-cloud platforms, involvement in AI model development pipelines, and handling of highly sensitive healthcare datasets subject to strict European regulatory requirements.</w:t>
      </w:r>
    </w:p>
    <w:p w14:paraId="677663C2"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Within this architecture, access decisions are not static but dynamically evaluated using multiple security signals and contextual attributes.</w:t>
      </w:r>
    </w:p>
    <w:p w14:paraId="43DDF573" w14:textId="77777777" w:rsidR="009A0C11" w:rsidRPr="00DF782E" w:rsidRDefault="009A0C11" w:rsidP="00D6128D">
      <w:pPr>
        <w:tabs>
          <w:tab w:val="left" w:pos="4170"/>
        </w:tabs>
        <w:ind w:left="360"/>
        <w:rPr>
          <w:rFonts w:ascii="Arial" w:hAnsi="Arial" w:cs="Arial"/>
          <w:b/>
          <w:bCs/>
          <w:sz w:val="24"/>
          <w:szCs w:val="24"/>
        </w:rPr>
      </w:pPr>
      <w:r w:rsidRPr="00DF782E">
        <w:rPr>
          <w:rFonts w:ascii="Arial" w:hAnsi="Arial" w:cs="Arial"/>
          <w:b/>
          <w:bCs/>
          <w:sz w:val="24"/>
          <w:szCs w:val="24"/>
        </w:rPr>
        <w:t>Identity Verification</w:t>
      </w:r>
    </w:p>
    <w:p w14:paraId="351E0CCD"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Identity forms the foundation of the Zero-Trust model. Every user—including developers, clinical analysts, administrators, and external research collaborators—must be strongly authenticated before accessing systems or datasets.</w:t>
      </w:r>
    </w:p>
    <w:p w14:paraId="5CDDEE03"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MediTrust should implement:</w:t>
      </w:r>
    </w:p>
    <w:p w14:paraId="4900C540"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Multi-Factor Authentication (MFA) across all environments </w:t>
      </w:r>
    </w:p>
    <w:p w14:paraId="3D9C1220"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Role-Based Access Control (RBAC) aligned with clinical and technical job functions </w:t>
      </w:r>
    </w:p>
    <w:p w14:paraId="2770225A"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lastRenderedPageBreak/>
        <w:t xml:space="preserve">Identity federation for trusted research partners </w:t>
      </w:r>
    </w:p>
    <w:p w14:paraId="13E2B08A"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Just-in-Time (JIT) privileged access for administrators </w:t>
      </w:r>
    </w:p>
    <w:p w14:paraId="7A9B4970"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Continuous behavioural identity monitoring </w:t>
      </w:r>
    </w:p>
    <w:p w14:paraId="325D4D71"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These controls reduce the risk of credential compromise, which remains one of the primary causes of healthcare data breaches.</w:t>
      </w:r>
    </w:p>
    <w:p w14:paraId="4070B65A"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Additionally, integration with identity governance platforms enables automated provisioning and de-provisioning aligned with employment lifecycle events, supporting compliance with </w:t>
      </w:r>
      <w:r w:rsidRPr="00DF782E">
        <w:rPr>
          <w:rFonts w:ascii="Arial" w:hAnsi="Arial" w:cs="Arial"/>
          <w:b/>
          <w:bCs/>
          <w:sz w:val="24"/>
          <w:szCs w:val="24"/>
        </w:rPr>
        <w:t>GDPR accountability principles</w:t>
      </w:r>
      <w:r w:rsidRPr="00DF782E">
        <w:rPr>
          <w:rFonts w:ascii="Arial" w:hAnsi="Arial" w:cs="Arial"/>
          <w:sz w:val="24"/>
          <w:szCs w:val="24"/>
        </w:rPr>
        <w:t>.</w:t>
      </w:r>
    </w:p>
    <w:p w14:paraId="3F106D6B" w14:textId="620E6ACF" w:rsidR="009A0C11" w:rsidRPr="00DF782E" w:rsidRDefault="009A0C11" w:rsidP="00D6128D">
      <w:pPr>
        <w:tabs>
          <w:tab w:val="left" w:pos="4170"/>
        </w:tabs>
        <w:ind w:left="360"/>
        <w:rPr>
          <w:rFonts w:ascii="Arial" w:hAnsi="Arial" w:cs="Arial"/>
          <w:sz w:val="24"/>
          <w:szCs w:val="24"/>
        </w:rPr>
      </w:pPr>
    </w:p>
    <w:p w14:paraId="744269B9" w14:textId="77777777" w:rsidR="009A0C11" w:rsidRPr="00DF782E" w:rsidRDefault="009A0C11" w:rsidP="00D6128D">
      <w:pPr>
        <w:tabs>
          <w:tab w:val="left" w:pos="4170"/>
        </w:tabs>
        <w:ind w:left="360"/>
        <w:rPr>
          <w:rFonts w:ascii="Arial" w:hAnsi="Arial" w:cs="Arial"/>
          <w:b/>
          <w:bCs/>
          <w:sz w:val="24"/>
          <w:szCs w:val="24"/>
        </w:rPr>
      </w:pPr>
      <w:r w:rsidRPr="00DF782E">
        <w:rPr>
          <w:rFonts w:ascii="Arial" w:hAnsi="Arial" w:cs="Arial"/>
          <w:b/>
          <w:bCs/>
          <w:sz w:val="24"/>
          <w:szCs w:val="24"/>
        </w:rPr>
        <w:t>Device Posture Validation</w:t>
      </w:r>
    </w:p>
    <w:p w14:paraId="32DEE5D4"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Zero Trust requires continuous verification that devices requesting access meet defined security standards before they connect to organisational systems.</w:t>
      </w:r>
    </w:p>
    <w:p w14:paraId="2C23C72A"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For MediTrust’s hybrid workforce environment, endpoint posture validation should include:</w:t>
      </w:r>
    </w:p>
    <w:p w14:paraId="739C653B"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Endpoint Detection and Response (EDR) deployment </w:t>
      </w:r>
    </w:p>
    <w:p w14:paraId="51E47381"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Operating system patch compliance monitoring </w:t>
      </w:r>
    </w:p>
    <w:p w14:paraId="44300B6E"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Encryption enforcement on all clinical data endpoints </w:t>
      </w:r>
    </w:p>
    <w:p w14:paraId="02336690"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Secure configuration baselines for developer environments </w:t>
      </w:r>
    </w:p>
    <w:p w14:paraId="08F24F7F"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Detection of jailbroken or unmanaged devices </w:t>
      </w:r>
    </w:p>
    <w:p w14:paraId="52E082EB"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This ensures that compromised or non-compliant endpoints cannot access sensitive AI training datasets or patient information systems.</w:t>
      </w:r>
    </w:p>
    <w:p w14:paraId="0A0B62A8"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Such protections are especially important when handling </w:t>
      </w:r>
      <w:r w:rsidRPr="00DF782E">
        <w:rPr>
          <w:rFonts w:ascii="Arial" w:hAnsi="Arial" w:cs="Arial"/>
          <w:b/>
          <w:bCs/>
          <w:sz w:val="24"/>
          <w:szCs w:val="24"/>
        </w:rPr>
        <w:t>IoT medical telemetry streams</w:t>
      </w:r>
      <w:r w:rsidRPr="00DF782E">
        <w:rPr>
          <w:rFonts w:ascii="Arial" w:hAnsi="Arial" w:cs="Arial"/>
          <w:sz w:val="24"/>
          <w:szCs w:val="24"/>
        </w:rPr>
        <w:t>, which expand the organisation’s attack surface significantly.</w:t>
      </w:r>
    </w:p>
    <w:p w14:paraId="71D483CC" w14:textId="5E247F4F" w:rsidR="009A0C11" w:rsidRPr="00DF782E" w:rsidRDefault="009A0C11" w:rsidP="00D6128D">
      <w:pPr>
        <w:tabs>
          <w:tab w:val="left" w:pos="4170"/>
        </w:tabs>
        <w:ind w:left="360"/>
        <w:rPr>
          <w:rFonts w:ascii="Arial" w:hAnsi="Arial" w:cs="Arial"/>
          <w:sz w:val="24"/>
          <w:szCs w:val="24"/>
        </w:rPr>
      </w:pPr>
    </w:p>
    <w:p w14:paraId="00D10EDE" w14:textId="07FD6D4B" w:rsidR="009A0C11" w:rsidRPr="00DF782E" w:rsidRDefault="006900D9" w:rsidP="00D6128D">
      <w:pPr>
        <w:tabs>
          <w:tab w:val="left" w:pos="4170"/>
        </w:tabs>
        <w:ind w:left="360"/>
        <w:rPr>
          <w:rFonts w:ascii="Arial" w:hAnsi="Arial" w:cs="Arial"/>
          <w:b/>
          <w:bCs/>
          <w:sz w:val="24"/>
          <w:szCs w:val="24"/>
        </w:rPr>
      </w:pPr>
      <w:r>
        <w:rPr>
          <w:rFonts w:ascii="Arial" w:hAnsi="Arial" w:cs="Arial"/>
          <w:b/>
          <w:bCs/>
          <w:sz w:val="24"/>
          <w:szCs w:val="24"/>
        </w:rPr>
        <w:t xml:space="preserve"> </w:t>
      </w:r>
      <w:r w:rsidRPr="006900D9">
        <w:rPr>
          <w:rFonts w:ascii="Arial" w:hAnsi="Arial" w:cs="Arial"/>
          <w:b/>
          <w:bCs/>
          <w:sz w:val="24"/>
          <w:szCs w:val="24"/>
        </w:rPr>
        <w:t>Risk Scoring and Contextual Decisioning</w:t>
      </w:r>
    </w:p>
    <w:p w14:paraId="6F340189"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Unlike static authentication approaches, Zero-Trust environments evaluate access requests dynamically using contextual intelligence.</w:t>
      </w:r>
    </w:p>
    <w:p w14:paraId="392BC907"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Access decisions should consider:</w:t>
      </w:r>
    </w:p>
    <w:p w14:paraId="5FCBD1E8"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geographic login location </w:t>
      </w:r>
    </w:p>
    <w:p w14:paraId="29408C3F"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time of access request </w:t>
      </w:r>
    </w:p>
    <w:p w14:paraId="2C5113FF"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device trust level </w:t>
      </w:r>
    </w:p>
    <w:p w14:paraId="3D78DF93"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behavioural anomalies </w:t>
      </w:r>
    </w:p>
    <w:p w14:paraId="6125DE3F"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sensitivity classification of requested resource </w:t>
      </w:r>
    </w:p>
    <w:p w14:paraId="04CBFA8C"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For example, access to anonymised training datasets may be permitted under standard authentication controls, whereas access to identifiable patient records </w:t>
      </w:r>
      <w:r w:rsidRPr="00DF782E">
        <w:rPr>
          <w:rFonts w:ascii="Arial" w:hAnsi="Arial" w:cs="Arial"/>
          <w:sz w:val="24"/>
          <w:szCs w:val="24"/>
        </w:rPr>
        <w:lastRenderedPageBreak/>
        <w:t>should trigger stronger verification requirements such as step-up authentication or session monitoring.</w:t>
      </w:r>
    </w:p>
    <w:p w14:paraId="2057704D"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Context-aware access decisions support </w:t>
      </w:r>
      <w:r w:rsidRPr="00DF782E">
        <w:rPr>
          <w:rFonts w:ascii="Arial" w:hAnsi="Arial" w:cs="Arial"/>
          <w:b/>
          <w:bCs/>
          <w:sz w:val="24"/>
          <w:szCs w:val="24"/>
        </w:rPr>
        <w:t>adaptive security enforcement</w:t>
      </w:r>
      <w:r w:rsidRPr="00DF782E">
        <w:rPr>
          <w:rFonts w:ascii="Arial" w:hAnsi="Arial" w:cs="Arial"/>
          <w:sz w:val="24"/>
          <w:szCs w:val="24"/>
        </w:rPr>
        <w:t xml:space="preserve">, which is strongly aligned with expectations under </w:t>
      </w:r>
      <w:r w:rsidRPr="00DF782E">
        <w:rPr>
          <w:rFonts w:ascii="Arial" w:hAnsi="Arial" w:cs="Arial"/>
          <w:b/>
          <w:bCs/>
          <w:sz w:val="24"/>
          <w:szCs w:val="24"/>
        </w:rPr>
        <w:t>NIS2 cyber-risk management frameworks</w:t>
      </w:r>
      <w:r w:rsidRPr="00DF782E">
        <w:rPr>
          <w:rFonts w:ascii="Arial" w:hAnsi="Arial" w:cs="Arial"/>
          <w:sz w:val="24"/>
          <w:szCs w:val="24"/>
        </w:rPr>
        <w:t>.</w:t>
      </w:r>
    </w:p>
    <w:p w14:paraId="557C1097" w14:textId="3934DA0F" w:rsidR="009A0C11" w:rsidRPr="00DF782E" w:rsidRDefault="009A0C11" w:rsidP="00D6128D">
      <w:pPr>
        <w:tabs>
          <w:tab w:val="left" w:pos="4170"/>
        </w:tabs>
        <w:ind w:left="360"/>
        <w:rPr>
          <w:rFonts w:ascii="Arial" w:hAnsi="Arial" w:cs="Arial"/>
          <w:sz w:val="24"/>
          <w:szCs w:val="24"/>
        </w:rPr>
      </w:pPr>
    </w:p>
    <w:p w14:paraId="139549CC" w14:textId="77777777" w:rsidR="009A0C11" w:rsidRPr="00DF782E" w:rsidRDefault="009A0C11" w:rsidP="00D6128D">
      <w:pPr>
        <w:tabs>
          <w:tab w:val="left" w:pos="4170"/>
        </w:tabs>
        <w:ind w:left="360"/>
        <w:rPr>
          <w:rFonts w:ascii="Arial" w:hAnsi="Arial" w:cs="Arial"/>
          <w:b/>
          <w:bCs/>
          <w:sz w:val="24"/>
          <w:szCs w:val="24"/>
        </w:rPr>
      </w:pPr>
      <w:r w:rsidRPr="00DF782E">
        <w:rPr>
          <w:rFonts w:ascii="Arial" w:hAnsi="Arial" w:cs="Arial"/>
          <w:b/>
          <w:bCs/>
          <w:sz w:val="24"/>
          <w:szCs w:val="24"/>
        </w:rPr>
        <w:t>Continuous Monitoring and Session Verification</w:t>
      </w:r>
    </w:p>
    <w:p w14:paraId="613CE1E3"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Zero Trust assumes that threats may already exist inside the network. Therefore, monitoring must continue even after access is granted.</w:t>
      </w:r>
    </w:p>
    <w:p w14:paraId="77B2A5F1"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MediTrust should deploy:</w:t>
      </w:r>
    </w:p>
    <w:p w14:paraId="1B94FEA5"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Security Information and Event Management (SIEM) </w:t>
      </w:r>
    </w:p>
    <w:p w14:paraId="3DF9CF97"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User and Entity Behaviour Analytics (UEBA) </w:t>
      </w:r>
    </w:p>
    <w:p w14:paraId="339DB0EB"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Cloud activity monitoring </w:t>
      </w:r>
    </w:p>
    <w:p w14:paraId="4398F1C6"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API-level logging for SaaS clinical platforms </w:t>
      </w:r>
    </w:p>
    <w:p w14:paraId="5D8020EE"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AI pipeline integrity monitoring </w:t>
      </w:r>
    </w:p>
    <w:p w14:paraId="177C28CC"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Continuous monitoring allows detection of insider threats, compromised developer credentials, and adversarial manipulation attempts targeting machine-learning workflows.</w:t>
      </w:r>
    </w:p>
    <w:p w14:paraId="1135E7E3"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This capability directly supports </w:t>
      </w:r>
      <w:r w:rsidRPr="00DF782E">
        <w:rPr>
          <w:rFonts w:ascii="Arial" w:hAnsi="Arial" w:cs="Arial"/>
          <w:b/>
          <w:bCs/>
          <w:sz w:val="24"/>
          <w:szCs w:val="24"/>
        </w:rPr>
        <w:t>Digital Operational Resilience Act (DORA)</w:t>
      </w:r>
      <w:r w:rsidRPr="00DF782E">
        <w:rPr>
          <w:rFonts w:ascii="Arial" w:hAnsi="Arial" w:cs="Arial"/>
          <w:sz w:val="24"/>
          <w:szCs w:val="24"/>
        </w:rPr>
        <w:t xml:space="preserve"> requirements for real-time ICT risk detection and incident response readiness.</w:t>
      </w:r>
    </w:p>
    <w:p w14:paraId="5C0DB7C5" w14:textId="3B9E3B8E" w:rsidR="009A0C11" w:rsidRPr="00DF782E" w:rsidRDefault="009A0C11" w:rsidP="00D6128D">
      <w:pPr>
        <w:tabs>
          <w:tab w:val="left" w:pos="4170"/>
        </w:tabs>
        <w:ind w:left="360"/>
        <w:rPr>
          <w:rFonts w:ascii="Arial" w:hAnsi="Arial" w:cs="Arial"/>
          <w:sz w:val="24"/>
          <w:szCs w:val="24"/>
        </w:rPr>
      </w:pPr>
    </w:p>
    <w:p w14:paraId="154FE546" w14:textId="77777777" w:rsidR="009A0C11" w:rsidRPr="00DF782E" w:rsidRDefault="009A0C11" w:rsidP="00D6128D">
      <w:pPr>
        <w:tabs>
          <w:tab w:val="left" w:pos="4170"/>
        </w:tabs>
        <w:ind w:left="360"/>
        <w:rPr>
          <w:rFonts w:ascii="Arial" w:hAnsi="Arial" w:cs="Arial"/>
          <w:b/>
          <w:bCs/>
          <w:sz w:val="24"/>
          <w:szCs w:val="24"/>
        </w:rPr>
      </w:pPr>
      <w:r w:rsidRPr="00DF782E">
        <w:rPr>
          <w:rFonts w:ascii="Arial" w:hAnsi="Arial" w:cs="Arial"/>
          <w:b/>
          <w:bCs/>
          <w:sz w:val="24"/>
          <w:szCs w:val="24"/>
        </w:rPr>
        <w:t>Least-Privilege Access Enforcement</w:t>
      </w:r>
    </w:p>
    <w:p w14:paraId="351B66B4"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Least-privilege principles ensure users receive only the minimum access necessary to perform their roles.</w:t>
      </w:r>
    </w:p>
    <w:p w14:paraId="773FCAAC"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For MediTrust, this includes:</w:t>
      </w:r>
    </w:p>
    <w:p w14:paraId="654F2D08"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restricting developers from accessing live patient datasets </w:t>
      </w:r>
    </w:p>
    <w:p w14:paraId="297F722F"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isolating training pipelines from production environments </w:t>
      </w:r>
    </w:p>
    <w:p w14:paraId="194C4C98"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segmenting research collaboration environments </w:t>
      </w:r>
    </w:p>
    <w:p w14:paraId="1F231CB1"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limiting third-party vendor permissions </w:t>
      </w:r>
    </w:p>
    <w:p w14:paraId="211071FE"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enforcing privilege elevation approval workflows </w:t>
      </w:r>
    </w:p>
    <w:p w14:paraId="0EF1DFE3"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These controls significantly reduce lateral movement opportunities for attackers within cloud-hosted healthcare environments.</w:t>
      </w:r>
    </w:p>
    <w:p w14:paraId="7026CD4C"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Least-privilege enforcement also supports </w:t>
      </w:r>
      <w:r w:rsidRPr="00DF782E">
        <w:rPr>
          <w:rFonts w:ascii="Arial" w:hAnsi="Arial" w:cs="Arial"/>
          <w:b/>
          <w:bCs/>
          <w:sz w:val="24"/>
          <w:szCs w:val="24"/>
        </w:rPr>
        <w:t>GDPR data minimisation requirements</w:t>
      </w:r>
      <w:r w:rsidRPr="00DF782E">
        <w:rPr>
          <w:rFonts w:ascii="Arial" w:hAnsi="Arial" w:cs="Arial"/>
          <w:sz w:val="24"/>
          <w:szCs w:val="24"/>
        </w:rPr>
        <w:t>, which mandate restricting access to personal data only where operationally necessary.</w:t>
      </w:r>
    </w:p>
    <w:p w14:paraId="1B9EC18A" w14:textId="405F82B7" w:rsidR="009A0C11" w:rsidRPr="00DF782E" w:rsidRDefault="009A0C11" w:rsidP="00D6128D">
      <w:pPr>
        <w:tabs>
          <w:tab w:val="left" w:pos="4170"/>
        </w:tabs>
        <w:ind w:left="360"/>
        <w:rPr>
          <w:rFonts w:ascii="Arial" w:hAnsi="Arial" w:cs="Arial"/>
          <w:sz w:val="24"/>
          <w:szCs w:val="24"/>
        </w:rPr>
      </w:pPr>
    </w:p>
    <w:p w14:paraId="34739863" w14:textId="77777777" w:rsidR="009A0C11" w:rsidRPr="00DF782E" w:rsidRDefault="009A0C11" w:rsidP="00D6128D">
      <w:pPr>
        <w:tabs>
          <w:tab w:val="left" w:pos="4170"/>
        </w:tabs>
        <w:ind w:left="360"/>
        <w:rPr>
          <w:rFonts w:ascii="Arial" w:hAnsi="Arial" w:cs="Arial"/>
          <w:b/>
          <w:bCs/>
          <w:sz w:val="24"/>
          <w:szCs w:val="24"/>
        </w:rPr>
      </w:pPr>
      <w:r w:rsidRPr="00DF782E">
        <w:rPr>
          <w:rFonts w:ascii="Arial" w:hAnsi="Arial" w:cs="Arial"/>
          <w:b/>
          <w:bCs/>
          <w:sz w:val="24"/>
          <w:szCs w:val="24"/>
        </w:rPr>
        <w:lastRenderedPageBreak/>
        <w:t>Protection of AI Model Training Pipelines</w:t>
      </w:r>
    </w:p>
    <w:p w14:paraId="51A9CBDB"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AI systems represent high-value intellectual property assets and critical clinical decision-support components.</w:t>
      </w:r>
    </w:p>
    <w:p w14:paraId="79FE6BBE"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Zero-Trust protections for MediTrust’s AI pipelines should include:</w:t>
      </w:r>
    </w:p>
    <w:p w14:paraId="30785A66"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dataset integrity verification mechanisms </w:t>
      </w:r>
    </w:p>
    <w:p w14:paraId="1430D6FF"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cryptographic signing of model artefacts </w:t>
      </w:r>
    </w:p>
    <w:p w14:paraId="30B4A33E"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version-controlled training environments </w:t>
      </w:r>
    </w:p>
    <w:p w14:paraId="1CE75A9E"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secure containerised development pipelines </w:t>
      </w:r>
    </w:p>
    <w:p w14:paraId="728C11BF"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monitoring against adversarial data-poisoning attempts </w:t>
      </w:r>
    </w:p>
    <w:p w14:paraId="0291CEFE"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These safeguards protect against manipulation that could degrade diagnostic reliability or introduce bias into automated recommendations.</w:t>
      </w:r>
    </w:p>
    <w:p w14:paraId="2EBE8A77" w14:textId="2B266EF0" w:rsidR="009A0C11" w:rsidRPr="00DF782E" w:rsidRDefault="009A0C11" w:rsidP="00D6128D">
      <w:pPr>
        <w:tabs>
          <w:tab w:val="left" w:pos="4170"/>
        </w:tabs>
        <w:ind w:left="360"/>
        <w:rPr>
          <w:rFonts w:ascii="Arial" w:hAnsi="Arial" w:cs="Arial"/>
          <w:sz w:val="24"/>
          <w:szCs w:val="24"/>
        </w:rPr>
      </w:pPr>
    </w:p>
    <w:p w14:paraId="5ED2C6CE" w14:textId="77777777" w:rsidR="009A0C11" w:rsidRPr="00DF782E" w:rsidRDefault="009A0C11" w:rsidP="00D6128D">
      <w:pPr>
        <w:tabs>
          <w:tab w:val="left" w:pos="4170"/>
        </w:tabs>
        <w:ind w:left="360"/>
        <w:rPr>
          <w:rFonts w:ascii="Arial" w:hAnsi="Arial" w:cs="Arial"/>
          <w:b/>
          <w:bCs/>
          <w:sz w:val="24"/>
          <w:szCs w:val="24"/>
        </w:rPr>
      </w:pPr>
      <w:r w:rsidRPr="00DF782E">
        <w:rPr>
          <w:rFonts w:ascii="Arial" w:hAnsi="Arial" w:cs="Arial"/>
          <w:b/>
          <w:bCs/>
          <w:sz w:val="24"/>
          <w:szCs w:val="24"/>
        </w:rPr>
        <w:t>Multi-Cloud Infrastructure Protection</w:t>
      </w:r>
    </w:p>
    <w:p w14:paraId="5721B9EE"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MediTrust’s distributed cloud architecture introduces configuration complexity and increased exposure to attack vectors.</w:t>
      </w:r>
    </w:p>
    <w:p w14:paraId="43E6CB48"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A Zero-Trust cloud security approach should include:</w:t>
      </w:r>
    </w:p>
    <w:p w14:paraId="0811719C"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Cloud Security Posture Management (CSPM) </w:t>
      </w:r>
    </w:p>
    <w:p w14:paraId="20402918"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identity-centric workload authentication </w:t>
      </w:r>
    </w:p>
    <w:p w14:paraId="587532C4"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micro-segmentation between environments </w:t>
      </w:r>
    </w:p>
    <w:p w14:paraId="23297A1F"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encryption of data in transit and at rest </w:t>
      </w:r>
    </w:p>
    <w:p w14:paraId="093EC6D7"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automated compliance monitoring across providers </w:t>
      </w:r>
    </w:p>
    <w:p w14:paraId="485ED5D6"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This ensures consistent security enforcement across AWS, Azure, or other healthcare-hosting platforms supporting EU expansion.</w:t>
      </w:r>
    </w:p>
    <w:p w14:paraId="793E4144" w14:textId="7C7AB976" w:rsidR="009A0C11" w:rsidRPr="00DF782E" w:rsidRDefault="009A0C11" w:rsidP="00D6128D">
      <w:pPr>
        <w:tabs>
          <w:tab w:val="left" w:pos="4170"/>
        </w:tabs>
        <w:ind w:left="360"/>
        <w:rPr>
          <w:rFonts w:ascii="Arial" w:hAnsi="Arial" w:cs="Arial"/>
          <w:sz w:val="24"/>
          <w:szCs w:val="24"/>
        </w:rPr>
      </w:pPr>
    </w:p>
    <w:p w14:paraId="645AB554" w14:textId="77777777" w:rsidR="009A0C11" w:rsidRPr="00DF782E" w:rsidRDefault="009A0C11" w:rsidP="00D6128D">
      <w:pPr>
        <w:tabs>
          <w:tab w:val="left" w:pos="4170"/>
        </w:tabs>
        <w:ind w:left="360"/>
        <w:rPr>
          <w:rFonts w:ascii="Arial" w:hAnsi="Arial" w:cs="Arial"/>
          <w:b/>
          <w:bCs/>
          <w:sz w:val="24"/>
          <w:szCs w:val="24"/>
        </w:rPr>
      </w:pPr>
      <w:r w:rsidRPr="00DF782E">
        <w:rPr>
          <w:rFonts w:ascii="Arial" w:hAnsi="Arial" w:cs="Arial"/>
          <w:b/>
          <w:bCs/>
          <w:sz w:val="24"/>
          <w:szCs w:val="24"/>
        </w:rPr>
        <w:t>Remote Workforce Endpoint Protection</w:t>
      </w:r>
    </w:p>
    <w:p w14:paraId="06EB3973"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Because MediTrust operates with remote developers and analysts, endpoint trust cannot be assumed based on network location alone.</w:t>
      </w:r>
    </w:p>
    <w:p w14:paraId="0907B3C4"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Zero-Trust endpoint protections include:</w:t>
      </w:r>
    </w:p>
    <w:p w14:paraId="07882885"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device trust scoring </w:t>
      </w:r>
    </w:p>
    <w:p w14:paraId="0D872048"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VPN replacement with identity-aware access proxies </w:t>
      </w:r>
    </w:p>
    <w:p w14:paraId="13EE12D8"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browser-based secure access gateways </w:t>
      </w:r>
    </w:p>
    <w:p w14:paraId="2F55B426"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secure developer sandbox environments </w:t>
      </w:r>
    </w:p>
    <w:p w14:paraId="05ECDAD1"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continuous posture verification during active sessions </w:t>
      </w:r>
    </w:p>
    <w:p w14:paraId="6A934290"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These protections reduce risk from credential theft and unmanaged home-network exposure.</w:t>
      </w:r>
    </w:p>
    <w:p w14:paraId="2E6D88D2" w14:textId="0B29E0A0" w:rsidR="009A0C11" w:rsidRPr="00DF782E" w:rsidRDefault="009A0C11" w:rsidP="00D6128D">
      <w:pPr>
        <w:tabs>
          <w:tab w:val="left" w:pos="4170"/>
        </w:tabs>
        <w:ind w:left="360"/>
        <w:rPr>
          <w:rFonts w:ascii="Arial" w:hAnsi="Arial" w:cs="Arial"/>
          <w:sz w:val="24"/>
          <w:szCs w:val="24"/>
        </w:rPr>
      </w:pPr>
    </w:p>
    <w:p w14:paraId="3B26B974" w14:textId="77777777" w:rsidR="009A0C11" w:rsidRPr="00DF782E" w:rsidRDefault="009A0C11" w:rsidP="00D6128D">
      <w:pPr>
        <w:tabs>
          <w:tab w:val="left" w:pos="4170"/>
        </w:tabs>
        <w:ind w:left="360"/>
        <w:rPr>
          <w:rFonts w:ascii="Arial" w:hAnsi="Arial" w:cs="Arial"/>
          <w:b/>
          <w:bCs/>
          <w:sz w:val="24"/>
          <w:szCs w:val="24"/>
        </w:rPr>
      </w:pPr>
      <w:r w:rsidRPr="00DF782E">
        <w:rPr>
          <w:rFonts w:ascii="Arial" w:hAnsi="Arial" w:cs="Arial"/>
          <w:b/>
          <w:bCs/>
          <w:sz w:val="24"/>
          <w:szCs w:val="24"/>
        </w:rPr>
        <w:t>SaaS Clinical Platform Security</w:t>
      </w:r>
    </w:p>
    <w:p w14:paraId="57A576D3"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Clinical decision-support systems delivered via SaaS platforms must maintain strict confidentiality, integrity, and availability guarantees.</w:t>
      </w:r>
    </w:p>
    <w:p w14:paraId="01CC54C6"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Zero-Trust enforcement supports:</w:t>
      </w:r>
    </w:p>
    <w:p w14:paraId="16DCD46C"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granular API authentication </w:t>
      </w:r>
    </w:p>
    <w:p w14:paraId="30CDF852"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encrypted telemetry streaming </w:t>
      </w:r>
    </w:p>
    <w:p w14:paraId="68BC3E66"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tenant-level isolation </w:t>
      </w:r>
    </w:p>
    <w:p w14:paraId="18B2BC61"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identity-driven access to dashboards </w:t>
      </w:r>
    </w:p>
    <w:p w14:paraId="1BF1893E"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automated anomaly detection for clinical usage patterns </w:t>
      </w:r>
    </w:p>
    <w:p w14:paraId="1C2AC540"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These controls are essential for maintaining regulatory trust across EU healthcare partners.</w:t>
      </w:r>
    </w:p>
    <w:p w14:paraId="2FDDE4CB" w14:textId="609B1E3C" w:rsidR="009A0C11" w:rsidRPr="00DF782E" w:rsidRDefault="009A0C11" w:rsidP="00D6128D">
      <w:pPr>
        <w:tabs>
          <w:tab w:val="left" w:pos="4170"/>
        </w:tabs>
        <w:ind w:left="360"/>
        <w:rPr>
          <w:rFonts w:ascii="Arial" w:hAnsi="Arial" w:cs="Arial"/>
          <w:sz w:val="24"/>
          <w:szCs w:val="24"/>
        </w:rPr>
      </w:pPr>
    </w:p>
    <w:p w14:paraId="6E9F1097" w14:textId="77777777" w:rsidR="009A0C11" w:rsidRPr="00DF782E" w:rsidRDefault="009A0C11" w:rsidP="00D6128D">
      <w:pPr>
        <w:tabs>
          <w:tab w:val="left" w:pos="4170"/>
        </w:tabs>
        <w:ind w:left="360"/>
        <w:rPr>
          <w:rFonts w:ascii="Arial" w:hAnsi="Arial" w:cs="Arial"/>
          <w:b/>
          <w:bCs/>
          <w:sz w:val="24"/>
          <w:szCs w:val="24"/>
        </w:rPr>
      </w:pPr>
      <w:r w:rsidRPr="00DF782E">
        <w:rPr>
          <w:rFonts w:ascii="Arial" w:hAnsi="Arial" w:cs="Arial"/>
          <w:b/>
          <w:bCs/>
          <w:sz w:val="24"/>
          <w:szCs w:val="24"/>
        </w:rPr>
        <w:t>Software Supply-Chain Dependency Protection</w:t>
      </w:r>
    </w:p>
    <w:p w14:paraId="674C70AE"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Modern AI development relies heavily on open-source libraries and third-party components.</w:t>
      </w:r>
    </w:p>
    <w:p w14:paraId="7A8BBEEA"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Zero-Trust supply-chain protections include:</w:t>
      </w:r>
    </w:p>
    <w:p w14:paraId="5E2812F0"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dependency vulnerability scanning </w:t>
      </w:r>
    </w:p>
    <w:p w14:paraId="426B6BD0"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signed software artefacts </w:t>
      </w:r>
    </w:p>
    <w:p w14:paraId="2E13D03F"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Software Bill of Materials (SBOM) tracking </w:t>
      </w:r>
    </w:p>
    <w:p w14:paraId="4928D7E1"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secure CI/CD pipeline validation </w:t>
      </w:r>
    </w:p>
    <w:p w14:paraId="3EEEA828"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restricted repository access permissions </w:t>
      </w:r>
    </w:p>
    <w:p w14:paraId="64B5E311"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These measures reduce exposure to compromised third-party packages and support compliance with </w:t>
      </w:r>
      <w:r w:rsidRPr="00DF782E">
        <w:rPr>
          <w:rFonts w:ascii="Arial" w:hAnsi="Arial" w:cs="Arial"/>
          <w:b/>
          <w:bCs/>
          <w:sz w:val="24"/>
          <w:szCs w:val="24"/>
        </w:rPr>
        <w:t>NIS2 software integrity expectations</w:t>
      </w:r>
      <w:r w:rsidRPr="00DF782E">
        <w:rPr>
          <w:rFonts w:ascii="Arial" w:hAnsi="Arial" w:cs="Arial"/>
          <w:sz w:val="24"/>
          <w:szCs w:val="24"/>
        </w:rPr>
        <w:t>.</w:t>
      </w:r>
    </w:p>
    <w:p w14:paraId="30D4E987" w14:textId="39E3C1E8" w:rsidR="009A0C11" w:rsidRPr="00DF782E" w:rsidRDefault="009A0C11" w:rsidP="00D6128D">
      <w:pPr>
        <w:tabs>
          <w:tab w:val="left" w:pos="4170"/>
        </w:tabs>
        <w:ind w:left="360"/>
        <w:rPr>
          <w:rFonts w:ascii="Arial" w:hAnsi="Arial" w:cs="Arial"/>
          <w:sz w:val="24"/>
          <w:szCs w:val="24"/>
        </w:rPr>
      </w:pPr>
    </w:p>
    <w:p w14:paraId="730FBE86" w14:textId="77777777" w:rsidR="009A0C11" w:rsidRPr="00DF782E" w:rsidRDefault="009A0C11" w:rsidP="00D6128D">
      <w:pPr>
        <w:tabs>
          <w:tab w:val="left" w:pos="4170"/>
        </w:tabs>
        <w:ind w:left="360"/>
        <w:rPr>
          <w:rFonts w:ascii="Arial" w:hAnsi="Arial" w:cs="Arial"/>
          <w:b/>
          <w:bCs/>
          <w:sz w:val="24"/>
          <w:szCs w:val="24"/>
        </w:rPr>
      </w:pPr>
      <w:r w:rsidRPr="00DF782E">
        <w:rPr>
          <w:rFonts w:ascii="Arial" w:hAnsi="Arial" w:cs="Arial"/>
          <w:b/>
          <w:bCs/>
          <w:sz w:val="24"/>
          <w:szCs w:val="24"/>
        </w:rPr>
        <w:t>Strategic Value for EU Healthcare Expansion</w:t>
      </w:r>
    </w:p>
    <w:p w14:paraId="3E0D1CC1"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Implementing a Zero-Trust security programme enables MediTrust to securely scale its services across European healthcare environments by:</w:t>
      </w:r>
    </w:p>
    <w:p w14:paraId="1814FE8B"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strengthening protection of sensitive patient datasets </w:t>
      </w:r>
    </w:p>
    <w:p w14:paraId="7875D995"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supporting compliance with GDPR data-protection obligations </w:t>
      </w:r>
    </w:p>
    <w:p w14:paraId="5C292715"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meeting DORA operational resilience requirements </w:t>
      </w:r>
    </w:p>
    <w:p w14:paraId="31CD3782"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aligning with NIS2 cybersecurity risk-management expectations </w:t>
      </w:r>
    </w:p>
    <w:p w14:paraId="28D738C4"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t xml:space="preserve">improving trust among hospitals, regulators, and research partners </w:t>
      </w:r>
    </w:p>
    <w:p w14:paraId="63A97611" w14:textId="77777777" w:rsidR="009A0C11" w:rsidRPr="00DF782E" w:rsidRDefault="009A0C11" w:rsidP="00D6128D">
      <w:pPr>
        <w:tabs>
          <w:tab w:val="left" w:pos="4170"/>
        </w:tabs>
        <w:ind w:left="360"/>
        <w:rPr>
          <w:rFonts w:ascii="Arial" w:hAnsi="Arial" w:cs="Arial"/>
          <w:sz w:val="24"/>
          <w:szCs w:val="24"/>
        </w:rPr>
      </w:pPr>
      <w:r w:rsidRPr="00DF782E">
        <w:rPr>
          <w:rFonts w:ascii="Arial" w:hAnsi="Arial" w:cs="Arial"/>
          <w:sz w:val="24"/>
          <w:szCs w:val="24"/>
        </w:rPr>
        <w:lastRenderedPageBreak/>
        <w:t>As a result, Zero Trust becomes not only a defensive security framework but also a strategic enabler of secure digital-health innovation across regulated EU clinical ecosystems.</w:t>
      </w:r>
    </w:p>
    <w:p w14:paraId="06A7FE3E" w14:textId="77777777" w:rsidR="009A0C11" w:rsidRPr="00DF782E" w:rsidRDefault="009A0C11" w:rsidP="00D6128D">
      <w:pPr>
        <w:tabs>
          <w:tab w:val="left" w:pos="4170"/>
        </w:tabs>
        <w:rPr>
          <w:rFonts w:ascii="Arial" w:hAnsi="Arial" w:cs="Arial"/>
          <w:sz w:val="24"/>
          <w:szCs w:val="24"/>
        </w:rPr>
      </w:pPr>
    </w:p>
    <w:p w14:paraId="235C8607" w14:textId="64299203" w:rsidR="00A8738F" w:rsidRPr="00DF782E" w:rsidRDefault="00A8738F" w:rsidP="00D6128D">
      <w:pPr>
        <w:tabs>
          <w:tab w:val="left" w:pos="4170"/>
        </w:tabs>
        <w:ind w:left="60"/>
        <w:rPr>
          <w:rFonts w:ascii="Arial" w:hAnsi="Arial" w:cs="Arial"/>
          <w:sz w:val="24"/>
          <w:szCs w:val="24"/>
        </w:rPr>
      </w:pPr>
    </w:p>
    <w:p w14:paraId="62917435" w14:textId="29D362EB" w:rsidR="00A8738F" w:rsidRPr="00DF782E" w:rsidRDefault="00A8738F" w:rsidP="00D6128D">
      <w:pPr>
        <w:tabs>
          <w:tab w:val="left" w:pos="4170"/>
        </w:tabs>
        <w:ind w:left="360"/>
        <w:rPr>
          <w:rFonts w:ascii="Arial" w:hAnsi="Arial" w:cs="Arial"/>
          <w:b/>
          <w:bCs/>
          <w:sz w:val="24"/>
          <w:szCs w:val="24"/>
        </w:rPr>
      </w:pPr>
      <w:r w:rsidRPr="00DF782E">
        <w:rPr>
          <w:rFonts w:ascii="Arial" w:hAnsi="Arial" w:cs="Arial"/>
          <w:b/>
          <w:bCs/>
          <w:sz w:val="24"/>
          <w:szCs w:val="24"/>
        </w:rPr>
        <w:t>Organisational Structure for the New Security Unit (10%)</w:t>
      </w:r>
    </w:p>
    <w:p w14:paraId="01240666" w14:textId="77777777" w:rsidR="00A8738F" w:rsidRPr="00DF782E" w:rsidRDefault="00A8738F" w:rsidP="00D6128D">
      <w:pPr>
        <w:tabs>
          <w:tab w:val="left" w:pos="4170"/>
        </w:tabs>
        <w:ind w:left="360"/>
        <w:rPr>
          <w:rFonts w:ascii="Arial" w:hAnsi="Arial" w:cs="Arial"/>
          <w:sz w:val="24"/>
          <w:szCs w:val="24"/>
        </w:rPr>
      </w:pPr>
      <w:r w:rsidRPr="00DF782E">
        <w:rPr>
          <w:rFonts w:ascii="Arial" w:hAnsi="Arial" w:cs="Arial"/>
          <w:sz w:val="24"/>
          <w:szCs w:val="24"/>
        </w:rPr>
        <w:t>A dedicated Information Security Unit should support both regulatory compliance and AI infrastructure protection.</w:t>
      </w:r>
    </w:p>
    <w:p w14:paraId="5E16352B" w14:textId="77777777" w:rsidR="00A8738F" w:rsidRPr="00DF782E" w:rsidRDefault="00A8738F" w:rsidP="00D6128D">
      <w:pPr>
        <w:tabs>
          <w:tab w:val="left" w:pos="4170"/>
        </w:tabs>
        <w:ind w:left="360"/>
        <w:rPr>
          <w:rFonts w:ascii="Arial" w:hAnsi="Arial" w:cs="Arial"/>
          <w:b/>
          <w:bCs/>
          <w:sz w:val="24"/>
          <w:szCs w:val="24"/>
        </w:rPr>
      </w:pPr>
      <w:r w:rsidRPr="00DF782E">
        <w:rPr>
          <w:rFonts w:ascii="Arial" w:hAnsi="Arial" w:cs="Arial"/>
          <w:b/>
          <w:bCs/>
          <w:sz w:val="24"/>
          <w:szCs w:val="24"/>
        </w:rPr>
        <w:t>Proposed Structure</w:t>
      </w:r>
    </w:p>
    <w:p w14:paraId="21140B2C" w14:textId="7984B7CA" w:rsidR="00A8738F" w:rsidRPr="00DF782E" w:rsidRDefault="00A8738F" w:rsidP="00D6128D">
      <w:pPr>
        <w:tabs>
          <w:tab w:val="left" w:pos="4170"/>
        </w:tabs>
        <w:ind w:left="1080"/>
        <w:rPr>
          <w:rFonts w:ascii="Arial" w:hAnsi="Arial" w:cs="Arial"/>
          <w:sz w:val="24"/>
          <w:szCs w:val="24"/>
        </w:rPr>
      </w:pPr>
      <w:r w:rsidRPr="00DF782E">
        <w:rPr>
          <w:rFonts w:ascii="Arial" w:hAnsi="Arial" w:cs="Arial"/>
          <w:sz w:val="24"/>
          <w:szCs w:val="24"/>
        </w:rPr>
        <w:t>Chief Information Security Officer (CISO)</w:t>
      </w:r>
    </w:p>
    <w:p w14:paraId="18FD65A9" w14:textId="7ED7A3F8" w:rsidR="00A8738F" w:rsidRPr="00DF782E" w:rsidRDefault="00A8738F" w:rsidP="00D6128D">
      <w:pPr>
        <w:tabs>
          <w:tab w:val="left" w:pos="4170"/>
        </w:tabs>
        <w:ind w:left="1980"/>
        <w:rPr>
          <w:rFonts w:ascii="Arial" w:hAnsi="Arial" w:cs="Arial"/>
          <w:sz w:val="24"/>
          <w:szCs w:val="24"/>
        </w:rPr>
      </w:pPr>
      <w:r w:rsidRPr="00DF782E">
        <w:rPr>
          <w:rFonts w:ascii="Arial" w:hAnsi="Arial" w:cs="Arial"/>
          <w:sz w:val="24"/>
          <w:szCs w:val="24"/>
        </w:rPr>
        <w:t>|</w:t>
      </w:r>
    </w:p>
    <w:p w14:paraId="4C31D398" w14:textId="3C317F65" w:rsidR="00A8738F" w:rsidRPr="00DF782E" w:rsidRDefault="00A8738F" w:rsidP="00D6128D">
      <w:pPr>
        <w:tabs>
          <w:tab w:val="left" w:pos="4170"/>
        </w:tabs>
        <w:ind w:left="1980"/>
        <w:rPr>
          <w:rFonts w:ascii="Arial" w:hAnsi="Arial" w:cs="Arial"/>
          <w:sz w:val="24"/>
          <w:szCs w:val="24"/>
        </w:rPr>
      </w:pPr>
      <w:r w:rsidRPr="00DF782E">
        <w:rPr>
          <w:rFonts w:ascii="Arial" w:hAnsi="Arial" w:cs="Arial"/>
          <w:sz w:val="24"/>
          <w:szCs w:val="24"/>
        </w:rPr>
        <w:t>Security Governance Manager</w:t>
      </w:r>
    </w:p>
    <w:p w14:paraId="2E8F47D6" w14:textId="72FC5DA6" w:rsidR="00A8738F" w:rsidRPr="00DF782E" w:rsidRDefault="00A8738F" w:rsidP="00D6128D">
      <w:pPr>
        <w:tabs>
          <w:tab w:val="left" w:pos="4170"/>
        </w:tabs>
        <w:ind w:left="1980"/>
        <w:rPr>
          <w:rFonts w:ascii="Arial" w:hAnsi="Arial" w:cs="Arial"/>
          <w:sz w:val="24"/>
          <w:szCs w:val="24"/>
        </w:rPr>
      </w:pPr>
      <w:r w:rsidRPr="00DF782E">
        <w:rPr>
          <w:rFonts w:ascii="Arial" w:hAnsi="Arial" w:cs="Arial"/>
          <w:sz w:val="24"/>
          <w:szCs w:val="24"/>
        </w:rPr>
        <w:t>|</w:t>
      </w:r>
    </w:p>
    <w:p w14:paraId="49C39982" w14:textId="37A35D4D" w:rsidR="00A8738F" w:rsidRPr="00DF782E" w:rsidRDefault="00A8738F" w:rsidP="00D6128D">
      <w:pPr>
        <w:tabs>
          <w:tab w:val="left" w:pos="4170"/>
        </w:tabs>
        <w:ind w:left="360"/>
        <w:rPr>
          <w:rFonts w:ascii="Arial" w:hAnsi="Arial" w:cs="Arial"/>
          <w:sz w:val="24"/>
          <w:szCs w:val="24"/>
        </w:rPr>
      </w:pPr>
      <w:r w:rsidRPr="00DF782E">
        <w:rPr>
          <w:rFonts w:ascii="Arial" w:hAnsi="Arial" w:cs="Arial"/>
          <w:sz w:val="24"/>
          <w:szCs w:val="24"/>
        </w:rPr>
        <w:t>-----------------------------------------------------</w:t>
      </w:r>
    </w:p>
    <w:p w14:paraId="6FE4F5FA" w14:textId="5880320D" w:rsidR="00A8738F" w:rsidRPr="00DF782E" w:rsidRDefault="00A8738F" w:rsidP="00D6128D">
      <w:pPr>
        <w:tabs>
          <w:tab w:val="left" w:pos="4170"/>
        </w:tabs>
        <w:ind w:left="360"/>
        <w:rPr>
          <w:rFonts w:ascii="Arial" w:hAnsi="Arial" w:cs="Arial"/>
          <w:sz w:val="24"/>
          <w:szCs w:val="24"/>
        </w:rPr>
      </w:pPr>
      <w:r w:rsidRPr="00DF782E">
        <w:rPr>
          <w:rFonts w:ascii="Arial" w:hAnsi="Arial" w:cs="Arial"/>
          <w:sz w:val="24"/>
          <w:szCs w:val="24"/>
        </w:rPr>
        <w:t>|                         |                         |</w:t>
      </w:r>
    </w:p>
    <w:p w14:paraId="3DBD6B49" w14:textId="77777777" w:rsidR="00A8738F" w:rsidRPr="00DF782E" w:rsidRDefault="00A8738F" w:rsidP="00D6128D">
      <w:pPr>
        <w:tabs>
          <w:tab w:val="left" w:pos="4170"/>
        </w:tabs>
        <w:ind w:left="360"/>
        <w:rPr>
          <w:rFonts w:ascii="Arial" w:hAnsi="Arial" w:cs="Arial"/>
          <w:sz w:val="24"/>
          <w:szCs w:val="24"/>
        </w:rPr>
      </w:pPr>
      <w:r w:rsidRPr="00DF782E">
        <w:rPr>
          <w:rFonts w:ascii="Arial" w:hAnsi="Arial" w:cs="Arial"/>
          <w:sz w:val="24"/>
          <w:szCs w:val="24"/>
        </w:rPr>
        <w:t>Cloud Security            DevSecOps Lead        Security Operations Lead</w:t>
      </w:r>
    </w:p>
    <w:p w14:paraId="2C405DC1" w14:textId="26C9A5EA" w:rsidR="008E7A95" w:rsidRPr="00DF782E" w:rsidRDefault="00A8738F" w:rsidP="00D6128D">
      <w:pPr>
        <w:tabs>
          <w:tab w:val="left" w:pos="4170"/>
        </w:tabs>
        <w:ind w:left="360"/>
        <w:rPr>
          <w:rFonts w:ascii="Arial" w:hAnsi="Arial" w:cs="Arial"/>
          <w:sz w:val="24"/>
          <w:szCs w:val="24"/>
        </w:rPr>
      </w:pPr>
      <w:r w:rsidRPr="00DF782E">
        <w:rPr>
          <w:rFonts w:ascii="Arial" w:hAnsi="Arial" w:cs="Arial"/>
          <w:sz w:val="24"/>
          <w:szCs w:val="24"/>
        </w:rPr>
        <w:t>Architect</w:t>
      </w:r>
    </w:p>
    <w:p w14:paraId="52D697EC" w14:textId="77777777" w:rsidR="008E7A95" w:rsidRPr="00DF782E" w:rsidRDefault="008E7A95" w:rsidP="00D6128D">
      <w:pPr>
        <w:tabs>
          <w:tab w:val="left" w:pos="4170"/>
        </w:tabs>
        <w:rPr>
          <w:rFonts w:ascii="Arial" w:hAnsi="Arial" w:cs="Arial"/>
          <w:sz w:val="24"/>
          <w:szCs w:val="24"/>
        </w:rPr>
      </w:pPr>
    </w:p>
    <w:p w14:paraId="489C96F9" w14:textId="77777777" w:rsidR="008E7A95" w:rsidRPr="00DF782E" w:rsidRDefault="008E7A95" w:rsidP="00D6128D">
      <w:pPr>
        <w:tabs>
          <w:tab w:val="left" w:pos="4170"/>
        </w:tabs>
        <w:rPr>
          <w:rFonts w:ascii="Arial" w:hAnsi="Arial" w:cs="Arial"/>
          <w:sz w:val="24"/>
          <w:szCs w:val="24"/>
        </w:rPr>
      </w:pPr>
    </w:p>
    <w:p w14:paraId="333D00BF" w14:textId="77777777" w:rsidR="00DB21DA" w:rsidRPr="00DF782E" w:rsidRDefault="00DB21DA" w:rsidP="00D6128D">
      <w:pPr>
        <w:tabs>
          <w:tab w:val="left" w:pos="4170"/>
        </w:tabs>
        <w:ind w:left="360"/>
        <w:rPr>
          <w:rFonts w:ascii="Arial" w:hAnsi="Arial" w:cs="Arial"/>
          <w:b/>
          <w:bCs/>
          <w:sz w:val="24"/>
          <w:szCs w:val="24"/>
        </w:rPr>
      </w:pPr>
      <w:r w:rsidRPr="00DF782E">
        <w:rPr>
          <w:rFonts w:ascii="Arial" w:hAnsi="Arial" w:cs="Arial"/>
          <w:b/>
          <w:bCs/>
          <w:sz w:val="24"/>
          <w:szCs w:val="24"/>
        </w:rPr>
        <w:t>Cloud Security Architect Role</w:t>
      </w:r>
    </w:p>
    <w:p w14:paraId="4652752E"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Responsible for:</w:t>
      </w:r>
    </w:p>
    <w:p w14:paraId="64663EB9"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 xml:space="preserve">multi-cloud security architecture </w:t>
      </w:r>
    </w:p>
    <w:p w14:paraId="41813751"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 xml:space="preserve">CSPM deployment oversight </w:t>
      </w:r>
    </w:p>
    <w:p w14:paraId="1533FEC9"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 xml:space="preserve">encryption governance </w:t>
      </w:r>
    </w:p>
    <w:p w14:paraId="06C22F21"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 xml:space="preserve">identity federation design </w:t>
      </w:r>
    </w:p>
    <w:p w14:paraId="6296AAC0"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 xml:space="preserve">Zero-Trust network segmentation </w:t>
      </w:r>
    </w:p>
    <w:p w14:paraId="49217692"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 xml:space="preserve">secure API gateway integration </w:t>
      </w:r>
    </w:p>
    <w:p w14:paraId="23CE8B51"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This role ensures compliance with DORA resilience expectations and GDPR data-handling protections.</w:t>
      </w:r>
    </w:p>
    <w:p w14:paraId="1201C651" w14:textId="77777777" w:rsidR="00DB21DA" w:rsidRPr="00DF782E" w:rsidRDefault="00DB21DA" w:rsidP="00D6128D">
      <w:pPr>
        <w:tabs>
          <w:tab w:val="left" w:pos="4170"/>
        </w:tabs>
        <w:ind w:left="360"/>
        <w:rPr>
          <w:rFonts w:ascii="Arial" w:hAnsi="Arial" w:cs="Arial"/>
          <w:b/>
          <w:bCs/>
          <w:sz w:val="24"/>
          <w:szCs w:val="24"/>
        </w:rPr>
      </w:pPr>
      <w:r w:rsidRPr="00DF782E">
        <w:rPr>
          <w:rFonts w:ascii="Arial" w:hAnsi="Arial" w:cs="Arial"/>
          <w:b/>
          <w:bCs/>
          <w:sz w:val="24"/>
          <w:szCs w:val="24"/>
        </w:rPr>
        <w:t>DevSecOps Lead Role</w:t>
      </w:r>
    </w:p>
    <w:p w14:paraId="6921C3B3"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Responsible for:</w:t>
      </w:r>
    </w:p>
    <w:p w14:paraId="4F5DA5A9"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 xml:space="preserve">secure CI/CD pipelines </w:t>
      </w:r>
    </w:p>
    <w:p w14:paraId="56A912FE"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 xml:space="preserve">dependency scanning </w:t>
      </w:r>
    </w:p>
    <w:p w14:paraId="2F4A88DE"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 xml:space="preserve">container image validation </w:t>
      </w:r>
    </w:p>
    <w:p w14:paraId="59718A62"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lastRenderedPageBreak/>
        <w:t xml:space="preserve">SBOM generation </w:t>
      </w:r>
    </w:p>
    <w:p w14:paraId="73D6B45B"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 xml:space="preserve">infrastructure-as-code security enforcement </w:t>
      </w:r>
    </w:p>
    <w:p w14:paraId="0ED1F056"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 xml:space="preserve">AI model integrity validation </w:t>
      </w:r>
    </w:p>
    <w:p w14:paraId="26FDCEAA"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This role directly mitigates supply-chain risks identified in the scenario.</w:t>
      </w:r>
    </w:p>
    <w:p w14:paraId="3F9FE900" w14:textId="77777777" w:rsidR="00DB21DA" w:rsidRPr="00DF782E" w:rsidRDefault="00DB21DA" w:rsidP="00D6128D">
      <w:pPr>
        <w:tabs>
          <w:tab w:val="left" w:pos="4170"/>
        </w:tabs>
        <w:ind w:left="360"/>
        <w:rPr>
          <w:rFonts w:ascii="Arial" w:hAnsi="Arial" w:cs="Arial"/>
          <w:b/>
          <w:bCs/>
          <w:sz w:val="24"/>
          <w:szCs w:val="24"/>
        </w:rPr>
      </w:pPr>
      <w:r w:rsidRPr="00DF782E">
        <w:rPr>
          <w:rFonts w:ascii="Arial" w:hAnsi="Arial" w:cs="Arial"/>
          <w:b/>
          <w:bCs/>
          <w:sz w:val="24"/>
          <w:szCs w:val="24"/>
        </w:rPr>
        <w:t>Security Operations Lead Role</w:t>
      </w:r>
    </w:p>
    <w:p w14:paraId="74BA770B"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Responsible for:</w:t>
      </w:r>
    </w:p>
    <w:p w14:paraId="3075DD3A"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 xml:space="preserve">SIEM monitoring </w:t>
      </w:r>
    </w:p>
    <w:p w14:paraId="34B4DA34"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 xml:space="preserve">threat detection automation </w:t>
      </w:r>
    </w:p>
    <w:p w14:paraId="1923D875"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 xml:space="preserve">NIS2 incident reporting coordination </w:t>
      </w:r>
    </w:p>
    <w:p w14:paraId="0F33B2A2"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 xml:space="preserve">SOC workflow orchestration </w:t>
      </w:r>
    </w:p>
    <w:p w14:paraId="4D58B82F"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Supports 24/7 detection capability.</w:t>
      </w:r>
    </w:p>
    <w:p w14:paraId="28AD7F67" w14:textId="418AACC4" w:rsidR="00DB21DA" w:rsidRPr="00DF782E" w:rsidRDefault="00DB21DA" w:rsidP="00D6128D">
      <w:pPr>
        <w:tabs>
          <w:tab w:val="left" w:pos="4170"/>
        </w:tabs>
        <w:ind w:left="360"/>
        <w:rPr>
          <w:rFonts w:ascii="Arial" w:hAnsi="Arial" w:cs="Arial"/>
          <w:b/>
          <w:bCs/>
          <w:sz w:val="24"/>
          <w:szCs w:val="24"/>
        </w:rPr>
      </w:pPr>
      <w:r w:rsidRPr="00DF782E">
        <w:rPr>
          <w:rFonts w:ascii="Arial" w:hAnsi="Arial" w:cs="Arial"/>
          <w:b/>
          <w:bCs/>
          <w:sz w:val="24"/>
          <w:szCs w:val="24"/>
        </w:rPr>
        <w:t>Governance Model Using NIST CSF 2.0 (20%)</w:t>
      </w:r>
    </w:p>
    <w:p w14:paraId="22FD667D"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 xml:space="preserve">The programme aligns with the </w:t>
      </w:r>
      <w:r w:rsidRPr="00DF782E">
        <w:rPr>
          <w:rFonts w:ascii="Arial" w:hAnsi="Arial" w:cs="Arial"/>
          <w:b/>
          <w:bCs/>
          <w:sz w:val="24"/>
          <w:szCs w:val="24"/>
        </w:rPr>
        <w:t>NIST Cybersecurity Framework 2.0 core functions</w:t>
      </w:r>
      <w:r w:rsidRPr="00DF782E">
        <w:rPr>
          <w:rFonts w:ascii="Arial" w:hAnsi="Arial" w:cs="Arial"/>
          <w:sz w:val="24"/>
          <w:szCs w:val="24"/>
        </w:rPr>
        <w: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261"/>
        <w:gridCol w:w="4051"/>
      </w:tblGrid>
      <w:tr w:rsidR="00DB21DA" w:rsidRPr="00DF782E" w14:paraId="40A29005" w14:textId="77777777" w:rsidTr="00985C84">
        <w:trPr>
          <w:trHeight w:val="1370"/>
          <w:tblHeader/>
          <w:tblCellSpacing w:w="15" w:type="dxa"/>
        </w:trPr>
        <w:tc>
          <w:tcPr>
            <w:tcW w:w="3216" w:type="dxa"/>
            <w:vAlign w:val="center"/>
            <w:hideMark/>
          </w:tcPr>
          <w:p w14:paraId="0040CFB0" w14:textId="77777777" w:rsidR="00DB21DA" w:rsidRPr="00DF782E" w:rsidRDefault="00DB21DA" w:rsidP="00D6128D">
            <w:pPr>
              <w:tabs>
                <w:tab w:val="left" w:pos="4170"/>
              </w:tabs>
              <w:ind w:left="360"/>
              <w:rPr>
                <w:rFonts w:ascii="Arial" w:hAnsi="Arial" w:cs="Arial"/>
                <w:b/>
                <w:bCs/>
                <w:sz w:val="24"/>
                <w:szCs w:val="24"/>
              </w:rPr>
            </w:pPr>
            <w:r w:rsidRPr="00DF782E">
              <w:rPr>
                <w:rFonts w:ascii="Arial" w:hAnsi="Arial" w:cs="Arial"/>
                <w:b/>
                <w:bCs/>
                <w:sz w:val="24"/>
                <w:szCs w:val="24"/>
              </w:rPr>
              <w:t>CSF Function</w:t>
            </w:r>
          </w:p>
        </w:tc>
        <w:tc>
          <w:tcPr>
            <w:tcW w:w="4006" w:type="dxa"/>
            <w:vAlign w:val="center"/>
            <w:hideMark/>
          </w:tcPr>
          <w:p w14:paraId="516C3E65" w14:textId="380BE927" w:rsidR="00DB21DA" w:rsidRPr="00DF782E" w:rsidRDefault="00DB21DA" w:rsidP="00D6128D">
            <w:pPr>
              <w:tabs>
                <w:tab w:val="left" w:pos="4170"/>
              </w:tabs>
              <w:ind w:left="360"/>
              <w:rPr>
                <w:rFonts w:ascii="Arial" w:hAnsi="Arial" w:cs="Arial"/>
                <w:b/>
                <w:bCs/>
                <w:sz w:val="24"/>
                <w:szCs w:val="24"/>
              </w:rPr>
            </w:pPr>
            <w:r w:rsidRPr="00DF782E">
              <w:rPr>
                <w:rFonts w:ascii="Arial" w:hAnsi="Arial" w:cs="Arial"/>
                <w:b/>
                <w:bCs/>
                <w:sz w:val="24"/>
                <w:szCs w:val="24"/>
              </w:rPr>
              <w:t>Medi Trust Implementation</w:t>
            </w:r>
          </w:p>
        </w:tc>
      </w:tr>
      <w:tr w:rsidR="00DB21DA" w:rsidRPr="00DF782E" w14:paraId="0BE3D7C4" w14:textId="77777777" w:rsidTr="00985C84">
        <w:trPr>
          <w:tblCellSpacing w:w="15" w:type="dxa"/>
        </w:trPr>
        <w:tc>
          <w:tcPr>
            <w:tcW w:w="3216" w:type="dxa"/>
            <w:vAlign w:val="center"/>
            <w:hideMark/>
          </w:tcPr>
          <w:p w14:paraId="377BE430"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Govern</w:t>
            </w:r>
          </w:p>
        </w:tc>
        <w:tc>
          <w:tcPr>
            <w:tcW w:w="4006" w:type="dxa"/>
            <w:vAlign w:val="center"/>
            <w:hideMark/>
          </w:tcPr>
          <w:p w14:paraId="26EDCD25"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AI governance committee + compliance oversight</w:t>
            </w:r>
          </w:p>
        </w:tc>
      </w:tr>
      <w:tr w:rsidR="00DB21DA" w:rsidRPr="00DF782E" w14:paraId="0DB1915E" w14:textId="77777777" w:rsidTr="00985C84">
        <w:trPr>
          <w:tblCellSpacing w:w="15" w:type="dxa"/>
        </w:trPr>
        <w:tc>
          <w:tcPr>
            <w:tcW w:w="3216" w:type="dxa"/>
            <w:vAlign w:val="center"/>
            <w:hideMark/>
          </w:tcPr>
          <w:p w14:paraId="3ED92D14"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Identify</w:t>
            </w:r>
          </w:p>
        </w:tc>
        <w:tc>
          <w:tcPr>
            <w:tcW w:w="4006" w:type="dxa"/>
            <w:vAlign w:val="center"/>
            <w:hideMark/>
          </w:tcPr>
          <w:p w14:paraId="2CA33EEB"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Supply-chain and cloud risk mapping</w:t>
            </w:r>
          </w:p>
        </w:tc>
      </w:tr>
      <w:tr w:rsidR="00DB21DA" w:rsidRPr="00DF782E" w14:paraId="0108EFEB" w14:textId="77777777" w:rsidTr="00985C84">
        <w:trPr>
          <w:tblCellSpacing w:w="15" w:type="dxa"/>
        </w:trPr>
        <w:tc>
          <w:tcPr>
            <w:tcW w:w="3216" w:type="dxa"/>
            <w:vAlign w:val="center"/>
            <w:hideMark/>
          </w:tcPr>
          <w:p w14:paraId="70228E60"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Protect</w:t>
            </w:r>
          </w:p>
        </w:tc>
        <w:tc>
          <w:tcPr>
            <w:tcW w:w="4006" w:type="dxa"/>
            <w:vAlign w:val="center"/>
            <w:hideMark/>
          </w:tcPr>
          <w:p w14:paraId="78BCE0CC"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Zero-Trust IAM + encryption + segmentation</w:t>
            </w:r>
          </w:p>
        </w:tc>
      </w:tr>
      <w:tr w:rsidR="00DB21DA" w:rsidRPr="00DF782E" w14:paraId="5554E607" w14:textId="77777777" w:rsidTr="00985C84">
        <w:trPr>
          <w:tblCellSpacing w:w="15" w:type="dxa"/>
        </w:trPr>
        <w:tc>
          <w:tcPr>
            <w:tcW w:w="3216" w:type="dxa"/>
            <w:vAlign w:val="center"/>
            <w:hideMark/>
          </w:tcPr>
          <w:p w14:paraId="4EE8BCF2"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Detect</w:t>
            </w:r>
          </w:p>
        </w:tc>
        <w:tc>
          <w:tcPr>
            <w:tcW w:w="4006" w:type="dxa"/>
            <w:vAlign w:val="center"/>
            <w:hideMark/>
          </w:tcPr>
          <w:p w14:paraId="51A5810E"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SIEM + anomaly detection</w:t>
            </w:r>
          </w:p>
        </w:tc>
      </w:tr>
      <w:tr w:rsidR="00DB21DA" w:rsidRPr="00DF782E" w14:paraId="0C8DDF0C" w14:textId="77777777" w:rsidTr="00985C84">
        <w:trPr>
          <w:tblCellSpacing w:w="15" w:type="dxa"/>
        </w:trPr>
        <w:tc>
          <w:tcPr>
            <w:tcW w:w="3216" w:type="dxa"/>
            <w:vAlign w:val="center"/>
            <w:hideMark/>
          </w:tcPr>
          <w:p w14:paraId="3509829F"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Respond</w:t>
            </w:r>
          </w:p>
        </w:tc>
        <w:tc>
          <w:tcPr>
            <w:tcW w:w="4006" w:type="dxa"/>
            <w:vAlign w:val="center"/>
            <w:hideMark/>
          </w:tcPr>
          <w:p w14:paraId="48E4CCB4"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automated containment workflows</w:t>
            </w:r>
          </w:p>
        </w:tc>
      </w:tr>
      <w:tr w:rsidR="00DB21DA" w:rsidRPr="00DF782E" w14:paraId="211653F5" w14:textId="77777777" w:rsidTr="00985C84">
        <w:trPr>
          <w:tblCellSpacing w:w="15" w:type="dxa"/>
        </w:trPr>
        <w:tc>
          <w:tcPr>
            <w:tcW w:w="3216" w:type="dxa"/>
            <w:vAlign w:val="center"/>
            <w:hideMark/>
          </w:tcPr>
          <w:p w14:paraId="39B2980A"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Recover</w:t>
            </w:r>
          </w:p>
        </w:tc>
        <w:tc>
          <w:tcPr>
            <w:tcW w:w="4006" w:type="dxa"/>
            <w:vAlign w:val="center"/>
            <w:hideMark/>
          </w:tcPr>
          <w:p w14:paraId="137F98D1"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ransomware recovery architecture</w:t>
            </w:r>
          </w:p>
        </w:tc>
      </w:tr>
    </w:tbl>
    <w:p w14:paraId="784B459D" w14:textId="77777777" w:rsidR="008E7A95" w:rsidRPr="00DF782E" w:rsidRDefault="008E7A95" w:rsidP="00D6128D">
      <w:pPr>
        <w:tabs>
          <w:tab w:val="left" w:pos="4170"/>
        </w:tabs>
        <w:rPr>
          <w:rFonts w:ascii="Arial" w:hAnsi="Arial" w:cs="Arial"/>
          <w:sz w:val="24"/>
          <w:szCs w:val="24"/>
        </w:rPr>
      </w:pPr>
    </w:p>
    <w:p w14:paraId="5F953A30" w14:textId="77777777" w:rsidR="008E7A95" w:rsidRDefault="008E7A95" w:rsidP="00D6128D">
      <w:pPr>
        <w:tabs>
          <w:tab w:val="left" w:pos="4170"/>
        </w:tabs>
        <w:rPr>
          <w:rFonts w:ascii="Arial" w:hAnsi="Arial" w:cs="Arial"/>
          <w:sz w:val="24"/>
          <w:szCs w:val="24"/>
        </w:rPr>
      </w:pPr>
    </w:p>
    <w:p w14:paraId="6485FE55" w14:textId="77777777" w:rsidR="00735344" w:rsidRDefault="00735344" w:rsidP="00D6128D">
      <w:pPr>
        <w:tabs>
          <w:tab w:val="left" w:pos="4170"/>
        </w:tabs>
        <w:rPr>
          <w:rFonts w:ascii="Arial" w:hAnsi="Arial" w:cs="Arial"/>
          <w:sz w:val="24"/>
          <w:szCs w:val="24"/>
        </w:rPr>
      </w:pPr>
    </w:p>
    <w:p w14:paraId="20A534A4" w14:textId="77777777" w:rsidR="00735344" w:rsidRDefault="00735344" w:rsidP="00D6128D">
      <w:pPr>
        <w:tabs>
          <w:tab w:val="left" w:pos="4170"/>
        </w:tabs>
        <w:rPr>
          <w:rFonts w:ascii="Arial" w:hAnsi="Arial" w:cs="Arial"/>
          <w:sz w:val="24"/>
          <w:szCs w:val="24"/>
        </w:rPr>
      </w:pPr>
    </w:p>
    <w:p w14:paraId="66B05913" w14:textId="77777777" w:rsidR="00735344" w:rsidRPr="00DF782E" w:rsidRDefault="00735344" w:rsidP="00D6128D">
      <w:pPr>
        <w:tabs>
          <w:tab w:val="left" w:pos="4170"/>
        </w:tabs>
        <w:rPr>
          <w:rFonts w:ascii="Arial" w:hAnsi="Arial" w:cs="Arial"/>
          <w:sz w:val="24"/>
          <w:szCs w:val="24"/>
        </w:rPr>
      </w:pPr>
    </w:p>
    <w:p w14:paraId="0996809A" w14:textId="77777777" w:rsidR="00DB21DA" w:rsidRPr="00DF782E" w:rsidRDefault="00DB21DA" w:rsidP="00D6128D">
      <w:pPr>
        <w:tabs>
          <w:tab w:val="left" w:pos="4170"/>
        </w:tabs>
        <w:ind w:left="360"/>
        <w:rPr>
          <w:rFonts w:ascii="Arial" w:hAnsi="Arial" w:cs="Arial"/>
          <w:b/>
          <w:bCs/>
          <w:sz w:val="24"/>
          <w:szCs w:val="24"/>
        </w:rPr>
      </w:pPr>
      <w:r w:rsidRPr="00DF782E">
        <w:rPr>
          <w:rFonts w:ascii="Arial" w:hAnsi="Arial" w:cs="Arial"/>
          <w:b/>
          <w:bCs/>
          <w:sz w:val="24"/>
          <w:szCs w:val="24"/>
        </w:rPr>
        <w:lastRenderedPageBreak/>
        <w:t>Business Alignment Strategy</w:t>
      </w:r>
    </w:p>
    <w:p w14:paraId="6DD04911"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Security supports business objectives: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828"/>
        <w:gridCol w:w="2965"/>
      </w:tblGrid>
      <w:tr w:rsidR="00DB21DA" w:rsidRPr="00DF782E" w14:paraId="529FC1FB" w14:textId="77777777" w:rsidTr="00735344">
        <w:trPr>
          <w:tblHeader/>
          <w:tblCellSpacing w:w="15" w:type="dxa"/>
        </w:trPr>
        <w:tc>
          <w:tcPr>
            <w:tcW w:w="3783" w:type="dxa"/>
            <w:vAlign w:val="center"/>
            <w:hideMark/>
          </w:tcPr>
          <w:p w14:paraId="23BDC2F9" w14:textId="77777777" w:rsidR="00DB21DA" w:rsidRPr="00DF782E" w:rsidRDefault="00DB21DA" w:rsidP="00D6128D">
            <w:pPr>
              <w:tabs>
                <w:tab w:val="left" w:pos="4170"/>
              </w:tabs>
              <w:ind w:left="360"/>
              <w:rPr>
                <w:rFonts w:ascii="Arial" w:hAnsi="Arial" w:cs="Arial"/>
                <w:b/>
                <w:bCs/>
                <w:sz w:val="24"/>
                <w:szCs w:val="24"/>
              </w:rPr>
            </w:pPr>
            <w:r w:rsidRPr="00DF782E">
              <w:rPr>
                <w:rFonts w:ascii="Arial" w:hAnsi="Arial" w:cs="Arial"/>
                <w:b/>
                <w:bCs/>
                <w:sz w:val="24"/>
                <w:szCs w:val="24"/>
              </w:rPr>
              <w:t>Business Goal</w:t>
            </w:r>
          </w:p>
        </w:tc>
        <w:tc>
          <w:tcPr>
            <w:tcW w:w="2920" w:type="dxa"/>
            <w:vAlign w:val="center"/>
            <w:hideMark/>
          </w:tcPr>
          <w:p w14:paraId="41ED95FC" w14:textId="77777777" w:rsidR="00DB21DA" w:rsidRPr="00DF782E" w:rsidRDefault="00DB21DA" w:rsidP="00D6128D">
            <w:pPr>
              <w:tabs>
                <w:tab w:val="left" w:pos="4170"/>
              </w:tabs>
              <w:ind w:left="360"/>
              <w:rPr>
                <w:rFonts w:ascii="Arial" w:hAnsi="Arial" w:cs="Arial"/>
                <w:b/>
                <w:bCs/>
                <w:sz w:val="24"/>
                <w:szCs w:val="24"/>
              </w:rPr>
            </w:pPr>
            <w:r w:rsidRPr="00DF782E">
              <w:rPr>
                <w:rFonts w:ascii="Arial" w:hAnsi="Arial" w:cs="Arial"/>
                <w:b/>
                <w:bCs/>
                <w:sz w:val="24"/>
                <w:szCs w:val="24"/>
              </w:rPr>
              <w:t>Security Support</w:t>
            </w:r>
          </w:p>
        </w:tc>
      </w:tr>
      <w:tr w:rsidR="00DB21DA" w:rsidRPr="00DF782E" w14:paraId="6DF15544" w14:textId="77777777" w:rsidTr="00735344">
        <w:trPr>
          <w:tblCellSpacing w:w="15" w:type="dxa"/>
        </w:trPr>
        <w:tc>
          <w:tcPr>
            <w:tcW w:w="3783" w:type="dxa"/>
            <w:vAlign w:val="center"/>
            <w:hideMark/>
          </w:tcPr>
          <w:p w14:paraId="55E1A76E"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EU market expansion</w:t>
            </w:r>
          </w:p>
        </w:tc>
        <w:tc>
          <w:tcPr>
            <w:tcW w:w="2920" w:type="dxa"/>
            <w:vAlign w:val="center"/>
            <w:hideMark/>
          </w:tcPr>
          <w:p w14:paraId="4CE0FA5B"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GDPR compliance architecture</w:t>
            </w:r>
          </w:p>
        </w:tc>
      </w:tr>
      <w:tr w:rsidR="00DB21DA" w:rsidRPr="00DF782E" w14:paraId="6972F732" w14:textId="77777777" w:rsidTr="00735344">
        <w:trPr>
          <w:tblCellSpacing w:w="15" w:type="dxa"/>
        </w:trPr>
        <w:tc>
          <w:tcPr>
            <w:tcW w:w="3783" w:type="dxa"/>
            <w:vAlign w:val="center"/>
            <w:hideMark/>
          </w:tcPr>
          <w:p w14:paraId="5E60F43B"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Clinical trust</w:t>
            </w:r>
          </w:p>
        </w:tc>
        <w:tc>
          <w:tcPr>
            <w:tcW w:w="2920" w:type="dxa"/>
            <w:vAlign w:val="center"/>
            <w:hideMark/>
          </w:tcPr>
          <w:p w14:paraId="4886763E"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explainable AI governance</w:t>
            </w:r>
          </w:p>
        </w:tc>
      </w:tr>
      <w:tr w:rsidR="00DB21DA" w:rsidRPr="00DF782E" w14:paraId="22814135" w14:textId="77777777" w:rsidTr="00735344">
        <w:trPr>
          <w:tblCellSpacing w:w="15" w:type="dxa"/>
        </w:trPr>
        <w:tc>
          <w:tcPr>
            <w:tcW w:w="3783" w:type="dxa"/>
            <w:vAlign w:val="center"/>
            <w:hideMark/>
          </w:tcPr>
          <w:p w14:paraId="7A822EB9"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IP protection</w:t>
            </w:r>
          </w:p>
        </w:tc>
        <w:tc>
          <w:tcPr>
            <w:tcW w:w="2920" w:type="dxa"/>
            <w:vAlign w:val="center"/>
            <w:hideMark/>
          </w:tcPr>
          <w:p w14:paraId="6F476F2F"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encrypted model storage</w:t>
            </w:r>
          </w:p>
        </w:tc>
      </w:tr>
      <w:tr w:rsidR="00DB21DA" w:rsidRPr="00DF782E" w14:paraId="0B7D6635" w14:textId="77777777" w:rsidTr="00735344">
        <w:trPr>
          <w:tblCellSpacing w:w="15" w:type="dxa"/>
        </w:trPr>
        <w:tc>
          <w:tcPr>
            <w:tcW w:w="3783" w:type="dxa"/>
            <w:vAlign w:val="center"/>
            <w:hideMark/>
          </w:tcPr>
          <w:p w14:paraId="53AF4DB8"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uptime guarantees</w:t>
            </w:r>
          </w:p>
        </w:tc>
        <w:tc>
          <w:tcPr>
            <w:tcW w:w="2920" w:type="dxa"/>
            <w:vAlign w:val="center"/>
            <w:hideMark/>
          </w:tcPr>
          <w:p w14:paraId="07455FEB"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DORA resilience planning</w:t>
            </w:r>
          </w:p>
        </w:tc>
      </w:tr>
    </w:tbl>
    <w:p w14:paraId="1F989DE3" w14:textId="77777777" w:rsidR="008E7A95" w:rsidRPr="00DF782E" w:rsidRDefault="008E7A95" w:rsidP="00D6128D">
      <w:pPr>
        <w:tabs>
          <w:tab w:val="left" w:pos="4170"/>
        </w:tabs>
        <w:rPr>
          <w:rFonts w:ascii="Arial" w:hAnsi="Arial" w:cs="Arial"/>
          <w:sz w:val="24"/>
          <w:szCs w:val="24"/>
        </w:rPr>
      </w:pPr>
    </w:p>
    <w:p w14:paraId="4A7AED0C" w14:textId="1C5432E5" w:rsidR="00A7169F" w:rsidRPr="00DF782E" w:rsidRDefault="00DB21DA" w:rsidP="00D6128D">
      <w:pPr>
        <w:tabs>
          <w:tab w:val="left" w:pos="4170"/>
        </w:tabs>
        <w:ind w:left="360"/>
        <w:rPr>
          <w:rFonts w:ascii="Arial" w:hAnsi="Arial" w:cs="Arial"/>
          <w:b/>
          <w:bCs/>
          <w:sz w:val="24"/>
          <w:szCs w:val="24"/>
        </w:rPr>
      </w:pPr>
      <w:r w:rsidRPr="00DF782E">
        <w:rPr>
          <w:rFonts w:ascii="Arial" w:hAnsi="Arial" w:cs="Arial"/>
          <w:b/>
          <w:bCs/>
          <w:sz w:val="24"/>
          <w:szCs w:val="24"/>
        </w:rPr>
        <w:t>Policy Framework Design (20%)</w:t>
      </w:r>
    </w:p>
    <w:p w14:paraId="77362FB0" w14:textId="321AD570" w:rsidR="00DB21DA" w:rsidRPr="00DF782E" w:rsidRDefault="00DB21DA" w:rsidP="00D6128D">
      <w:pPr>
        <w:tabs>
          <w:tab w:val="left" w:pos="4170"/>
        </w:tabs>
        <w:ind w:left="360"/>
        <w:rPr>
          <w:rFonts w:ascii="Arial" w:hAnsi="Arial" w:cs="Arial"/>
          <w:b/>
          <w:bCs/>
          <w:sz w:val="24"/>
          <w:szCs w:val="24"/>
        </w:rPr>
      </w:pPr>
      <w:r w:rsidRPr="00DF782E">
        <w:rPr>
          <w:rFonts w:ascii="Arial" w:hAnsi="Arial" w:cs="Arial"/>
          <w:b/>
          <w:bCs/>
          <w:sz w:val="24"/>
          <w:szCs w:val="24"/>
        </w:rPr>
        <w:t>AI Usage Policy</w:t>
      </w:r>
    </w:p>
    <w:p w14:paraId="74D05BE9"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Defines acceptable and secure AI lifecycle management.</w:t>
      </w:r>
    </w:p>
    <w:p w14:paraId="7862E5EA"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Includes:</w:t>
      </w:r>
    </w:p>
    <w:p w14:paraId="051B2DFC"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 xml:space="preserve">dataset provenance validation </w:t>
      </w:r>
    </w:p>
    <w:p w14:paraId="7EBFC647"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 xml:space="preserve">bias testing requirements </w:t>
      </w:r>
    </w:p>
    <w:p w14:paraId="1E2698AB"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 xml:space="preserve">explainability thresholds </w:t>
      </w:r>
    </w:p>
    <w:p w14:paraId="49BB89CC"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 xml:space="preserve">adversarial robustness testing </w:t>
      </w:r>
    </w:p>
    <w:p w14:paraId="3AA2415C"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 xml:space="preserve">human oversight for clinical decisions </w:t>
      </w:r>
    </w:p>
    <w:p w14:paraId="7DB22FA0"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Supports GDPR Article 22 automated decision safeguards.</w:t>
      </w:r>
    </w:p>
    <w:p w14:paraId="38517418" w14:textId="05111E38" w:rsidR="00DB21DA" w:rsidRPr="00DF782E" w:rsidRDefault="00DB21DA" w:rsidP="00D6128D">
      <w:pPr>
        <w:tabs>
          <w:tab w:val="left" w:pos="4170"/>
        </w:tabs>
        <w:ind w:left="360"/>
        <w:rPr>
          <w:rFonts w:ascii="Arial" w:hAnsi="Arial" w:cs="Arial"/>
          <w:b/>
          <w:bCs/>
          <w:sz w:val="24"/>
          <w:szCs w:val="24"/>
        </w:rPr>
      </w:pPr>
      <w:r w:rsidRPr="00DF782E">
        <w:rPr>
          <w:rFonts w:ascii="Arial" w:hAnsi="Arial" w:cs="Arial"/>
          <w:b/>
          <w:bCs/>
          <w:sz w:val="24"/>
          <w:szCs w:val="24"/>
        </w:rPr>
        <w:t>Secure SaaS Configuration Policy</w:t>
      </w:r>
    </w:p>
    <w:p w14:paraId="27DF97E9"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Protects cloud-hosted clinical platforms.</w:t>
      </w:r>
    </w:p>
    <w:p w14:paraId="47D37B4B"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Requires:</w:t>
      </w:r>
    </w:p>
    <w:p w14:paraId="172DC830"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 xml:space="preserve">SSO integration </w:t>
      </w:r>
    </w:p>
    <w:p w14:paraId="5265880B"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 xml:space="preserve">least-privilege access </w:t>
      </w:r>
    </w:p>
    <w:p w14:paraId="1C20E717"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 xml:space="preserve">encrypted storage enforcement </w:t>
      </w:r>
    </w:p>
    <w:p w14:paraId="354E0FB5"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 xml:space="preserve">tenant isolation verification </w:t>
      </w:r>
    </w:p>
    <w:p w14:paraId="0EBD6EFE"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 xml:space="preserve">API token rotation policies </w:t>
      </w:r>
    </w:p>
    <w:p w14:paraId="1457D0C1" w14:textId="77777777" w:rsidR="00DB21DA" w:rsidRDefault="00DB21DA" w:rsidP="00D6128D">
      <w:pPr>
        <w:tabs>
          <w:tab w:val="left" w:pos="4170"/>
        </w:tabs>
        <w:ind w:left="360"/>
        <w:rPr>
          <w:rFonts w:ascii="Arial" w:hAnsi="Arial" w:cs="Arial"/>
          <w:sz w:val="24"/>
          <w:szCs w:val="24"/>
        </w:rPr>
      </w:pPr>
      <w:r w:rsidRPr="00DF782E">
        <w:rPr>
          <w:rFonts w:ascii="Arial" w:hAnsi="Arial" w:cs="Arial"/>
          <w:sz w:val="24"/>
          <w:szCs w:val="24"/>
        </w:rPr>
        <w:t>Reduces exposure from misconfigured SaaS environments.</w:t>
      </w:r>
    </w:p>
    <w:p w14:paraId="7E374CE6" w14:textId="77777777" w:rsidR="00735344" w:rsidRDefault="00735344" w:rsidP="00D6128D">
      <w:pPr>
        <w:tabs>
          <w:tab w:val="left" w:pos="4170"/>
        </w:tabs>
        <w:ind w:left="360"/>
        <w:rPr>
          <w:rFonts w:ascii="Arial" w:hAnsi="Arial" w:cs="Arial"/>
          <w:sz w:val="24"/>
          <w:szCs w:val="24"/>
        </w:rPr>
      </w:pPr>
    </w:p>
    <w:p w14:paraId="25C7202D" w14:textId="77777777" w:rsidR="00735344" w:rsidRPr="00DF782E" w:rsidRDefault="00735344" w:rsidP="00D6128D">
      <w:pPr>
        <w:tabs>
          <w:tab w:val="left" w:pos="4170"/>
        </w:tabs>
        <w:ind w:left="360"/>
        <w:rPr>
          <w:rFonts w:ascii="Arial" w:hAnsi="Arial" w:cs="Arial"/>
          <w:sz w:val="24"/>
          <w:szCs w:val="24"/>
        </w:rPr>
      </w:pPr>
    </w:p>
    <w:p w14:paraId="6331E766" w14:textId="167678DA" w:rsidR="00DB21DA" w:rsidRPr="00DF782E" w:rsidRDefault="00DB21DA" w:rsidP="00D6128D">
      <w:pPr>
        <w:tabs>
          <w:tab w:val="left" w:pos="4170"/>
        </w:tabs>
        <w:ind w:left="360"/>
        <w:rPr>
          <w:rFonts w:ascii="Arial" w:hAnsi="Arial" w:cs="Arial"/>
          <w:b/>
          <w:bCs/>
          <w:sz w:val="24"/>
          <w:szCs w:val="24"/>
        </w:rPr>
      </w:pPr>
      <w:r w:rsidRPr="00DF782E">
        <w:rPr>
          <w:rFonts w:ascii="Arial" w:hAnsi="Arial" w:cs="Arial"/>
          <w:b/>
          <w:bCs/>
          <w:sz w:val="24"/>
          <w:szCs w:val="24"/>
        </w:rPr>
        <w:lastRenderedPageBreak/>
        <w:t>BYOD Security Policy</w:t>
      </w:r>
    </w:p>
    <w:p w14:paraId="3948C105" w14:textId="5CFBFA76" w:rsidR="00DB21DA" w:rsidRPr="00DF782E" w:rsidRDefault="00DB21DA" w:rsidP="004D19AB">
      <w:pPr>
        <w:tabs>
          <w:tab w:val="left" w:pos="4170"/>
        </w:tabs>
        <w:ind w:left="360"/>
        <w:rPr>
          <w:rFonts w:ascii="Arial" w:hAnsi="Arial" w:cs="Arial"/>
          <w:sz w:val="24"/>
          <w:szCs w:val="24"/>
        </w:rPr>
      </w:pPr>
      <w:r w:rsidRPr="00DF782E">
        <w:rPr>
          <w:rFonts w:ascii="Arial" w:hAnsi="Arial" w:cs="Arial"/>
          <w:sz w:val="24"/>
          <w:szCs w:val="24"/>
        </w:rPr>
        <w:t>Hybrid workforce introduces endpoint variability risk.</w:t>
      </w:r>
      <w:r w:rsidR="004D19AB">
        <w:rPr>
          <w:rFonts w:ascii="Arial" w:hAnsi="Arial" w:cs="Arial"/>
          <w:sz w:val="24"/>
          <w:szCs w:val="24"/>
        </w:rPr>
        <w:t xml:space="preserve"> </w:t>
      </w:r>
      <w:r w:rsidRPr="00DF782E">
        <w:rPr>
          <w:rFonts w:ascii="Arial" w:hAnsi="Arial" w:cs="Arial"/>
          <w:sz w:val="24"/>
          <w:szCs w:val="24"/>
        </w:rPr>
        <w:t>Controls include:</w:t>
      </w:r>
    </w:p>
    <w:p w14:paraId="3721BAED"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 xml:space="preserve">mandatory device encryption </w:t>
      </w:r>
    </w:p>
    <w:p w14:paraId="240CF555"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 xml:space="preserve">EDR installation </w:t>
      </w:r>
    </w:p>
    <w:p w14:paraId="202C928D"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 xml:space="preserve">conditional access enforcement </w:t>
      </w:r>
    </w:p>
    <w:p w14:paraId="68FEE870"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 xml:space="preserve">containerised workspace isolation </w:t>
      </w:r>
    </w:p>
    <w:p w14:paraId="1627F9E4"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 xml:space="preserve">phishing-resistant MFA login requirement </w:t>
      </w:r>
    </w:p>
    <w:p w14:paraId="16AA5435"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Ensures clinical datasets remain protected outside corporate networks.</w:t>
      </w:r>
    </w:p>
    <w:p w14:paraId="7BAA780E" w14:textId="1EE2BA45" w:rsidR="00DB21DA" w:rsidRPr="00DF782E" w:rsidRDefault="00DB21DA" w:rsidP="00D6128D">
      <w:pPr>
        <w:tabs>
          <w:tab w:val="left" w:pos="4170"/>
        </w:tabs>
        <w:ind w:left="360"/>
        <w:rPr>
          <w:rFonts w:ascii="Arial" w:hAnsi="Arial" w:cs="Arial"/>
          <w:b/>
          <w:bCs/>
          <w:sz w:val="24"/>
          <w:szCs w:val="24"/>
        </w:rPr>
      </w:pPr>
      <w:r w:rsidRPr="00DF782E">
        <w:rPr>
          <w:rFonts w:ascii="Arial" w:hAnsi="Arial" w:cs="Arial"/>
          <w:b/>
          <w:bCs/>
          <w:sz w:val="24"/>
          <w:szCs w:val="24"/>
        </w:rPr>
        <w:t>Compliance Strategy for DORA and NIS2 (10%)</w:t>
      </w:r>
    </w:p>
    <w:p w14:paraId="55CC9EA1" w14:textId="77777777" w:rsidR="00DB21DA" w:rsidRPr="00DF782E" w:rsidRDefault="00DB21DA" w:rsidP="00D6128D">
      <w:pPr>
        <w:tabs>
          <w:tab w:val="left" w:pos="4170"/>
        </w:tabs>
        <w:ind w:left="360"/>
        <w:rPr>
          <w:rFonts w:ascii="Arial" w:hAnsi="Arial" w:cs="Arial"/>
          <w:b/>
          <w:bCs/>
          <w:sz w:val="24"/>
          <w:szCs w:val="24"/>
        </w:rPr>
      </w:pPr>
      <w:r w:rsidRPr="00DF782E">
        <w:rPr>
          <w:rFonts w:ascii="Arial" w:hAnsi="Arial" w:cs="Arial"/>
          <w:b/>
          <w:bCs/>
          <w:sz w:val="24"/>
          <w:szCs w:val="24"/>
        </w:rPr>
        <w:t>DORA Alignment</w:t>
      </w:r>
    </w:p>
    <w:p w14:paraId="25EE75E9"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DORA requires operational resilience in digital financial and critical service environments.</w:t>
      </w:r>
    </w:p>
    <w:p w14:paraId="482E22F1"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Although healthcare-focused, MediTrust qualifies through infrastructure service delivery dependencies.</w:t>
      </w:r>
    </w:p>
    <w:p w14:paraId="2CFF5357"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Compliance actions include:</w:t>
      </w:r>
    </w:p>
    <w:p w14:paraId="5A2CF7A3"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 xml:space="preserve">ICT risk management framework deployment </w:t>
      </w:r>
    </w:p>
    <w:p w14:paraId="0A25098D"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 xml:space="preserve">resilience testing exercises </w:t>
      </w:r>
    </w:p>
    <w:p w14:paraId="49EC17D3"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 xml:space="preserve">third-party risk monitoring </w:t>
      </w:r>
    </w:p>
    <w:p w14:paraId="015ADCF0"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cyber-incident reporting automation</w:t>
      </w:r>
    </w:p>
    <w:p w14:paraId="65026ED3" w14:textId="77777777" w:rsidR="00DB21DA" w:rsidRPr="00DF782E" w:rsidRDefault="00DB21DA" w:rsidP="00D6128D">
      <w:pPr>
        <w:spacing w:before="100" w:beforeAutospacing="1" w:after="100" w:afterAutospacing="1" w:line="240" w:lineRule="auto"/>
        <w:ind w:left="360"/>
        <w:outlineLvl w:val="1"/>
        <w:rPr>
          <w:rFonts w:ascii="Times New Roman" w:eastAsia="Times New Roman" w:hAnsi="Times New Roman" w:cs="Times New Roman"/>
          <w:b/>
          <w:bCs/>
          <w:sz w:val="24"/>
          <w:szCs w:val="24"/>
          <w:lang w:eastAsia="en-GB"/>
        </w:rPr>
      </w:pPr>
      <w:r w:rsidRPr="00DF782E">
        <w:rPr>
          <w:rFonts w:ascii="Times New Roman" w:eastAsia="Times New Roman" w:hAnsi="Times New Roman" w:cs="Times New Roman"/>
          <w:b/>
          <w:bCs/>
          <w:sz w:val="24"/>
          <w:szCs w:val="24"/>
          <w:lang w:eastAsia="en-GB"/>
        </w:rPr>
        <w:t>NIS2 Alignment</w:t>
      </w:r>
    </w:p>
    <w:p w14:paraId="296271DD" w14:textId="77777777" w:rsidR="00DB21DA" w:rsidRPr="00DF782E" w:rsidRDefault="00DB21DA" w:rsidP="00D6128D">
      <w:pPr>
        <w:spacing w:before="100" w:beforeAutospacing="1" w:after="100" w:afterAutospacing="1" w:line="240" w:lineRule="auto"/>
        <w:ind w:left="360"/>
        <w:rPr>
          <w:rFonts w:ascii="Times New Roman" w:eastAsia="Times New Roman" w:hAnsi="Times New Roman" w:cs="Times New Roman"/>
          <w:sz w:val="24"/>
          <w:szCs w:val="24"/>
          <w:lang w:eastAsia="en-GB"/>
        </w:rPr>
      </w:pPr>
      <w:r w:rsidRPr="00DF782E">
        <w:rPr>
          <w:rFonts w:ascii="Times New Roman" w:eastAsia="Times New Roman" w:hAnsi="Times New Roman" w:cs="Times New Roman"/>
          <w:sz w:val="24"/>
          <w:szCs w:val="24"/>
          <w:lang w:eastAsia="en-GB"/>
        </w:rPr>
        <w:t>NIS2 introduces mandatory reporting requirements for essential digital service providers.</w:t>
      </w:r>
    </w:p>
    <w:p w14:paraId="40B703A0" w14:textId="77777777" w:rsidR="00DB21DA" w:rsidRPr="00DF782E" w:rsidRDefault="00DB21DA" w:rsidP="00D6128D">
      <w:pPr>
        <w:spacing w:before="100" w:beforeAutospacing="1" w:after="100" w:afterAutospacing="1" w:line="240" w:lineRule="auto"/>
        <w:ind w:left="360"/>
        <w:rPr>
          <w:rFonts w:ascii="Times New Roman" w:eastAsia="Times New Roman" w:hAnsi="Times New Roman" w:cs="Times New Roman"/>
          <w:sz w:val="24"/>
          <w:szCs w:val="24"/>
          <w:lang w:eastAsia="en-GB"/>
        </w:rPr>
      </w:pPr>
      <w:r w:rsidRPr="00DF782E">
        <w:rPr>
          <w:rFonts w:ascii="Times New Roman" w:eastAsia="Times New Roman" w:hAnsi="Times New Roman" w:cs="Times New Roman"/>
          <w:sz w:val="24"/>
          <w:szCs w:val="24"/>
          <w:lang w:eastAsia="en-GB"/>
        </w:rPr>
        <w:t>Programme includes: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820"/>
        <w:gridCol w:w="3343"/>
      </w:tblGrid>
      <w:tr w:rsidR="00DB21DA" w:rsidRPr="00DF782E" w14:paraId="28BE7410" w14:textId="77777777" w:rsidTr="00A13EE5">
        <w:trPr>
          <w:tblHeader/>
          <w:tblCellSpacing w:w="15" w:type="dxa"/>
        </w:trPr>
        <w:tc>
          <w:tcPr>
            <w:tcW w:w="4775" w:type="dxa"/>
            <w:vAlign w:val="center"/>
            <w:hideMark/>
          </w:tcPr>
          <w:p w14:paraId="341D0DA7" w14:textId="77777777" w:rsidR="00DB21DA" w:rsidRPr="00DF782E" w:rsidRDefault="00DB21DA" w:rsidP="00D6128D">
            <w:pPr>
              <w:tabs>
                <w:tab w:val="left" w:pos="4170"/>
              </w:tabs>
              <w:ind w:left="360"/>
              <w:rPr>
                <w:rFonts w:ascii="Arial" w:hAnsi="Arial" w:cs="Arial"/>
                <w:b/>
                <w:bCs/>
                <w:sz w:val="24"/>
                <w:szCs w:val="24"/>
              </w:rPr>
            </w:pPr>
            <w:r w:rsidRPr="00DF782E">
              <w:rPr>
                <w:rFonts w:ascii="Arial" w:hAnsi="Arial" w:cs="Arial"/>
                <w:b/>
                <w:bCs/>
                <w:sz w:val="24"/>
                <w:szCs w:val="24"/>
              </w:rPr>
              <w:t>Requirement</w:t>
            </w:r>
          </w:p>
        </w:tc>
        <w:tc>
          <w:tcPr>
            <w:tcW w:w="3298" w:type="dxa"/>
            <w:vAlign w:val="center"/>
            <w:hideMark/>
          </w:tcPr>
          <w:p w14:paraId="59A1A186" w14:textId="77777777" w:rsidR="00DB21DA" w:rsidRPr="00DF782E" w:rsidRDefault="00DB21DA" w:rsidP="00D6128D">
            <w:pPr>
              <w:tabs>
                <w:tab w:val="left" w:pos="4170"/>
              </w:tabs>
              <w:ind w:left="360"/>
              <w:rPr>
                <w:rFonts w:ascii="Arial" w:hAnsi="Arial" w:cs="Arial"/>
                <w:b/>
                <w:bCs/>
                <w:sz w:val="24"/>
                <w:szCs w:val="24"/>
              </w:rPr>
            </w:pPr>
            <w:r w:rsidRPr="00DF782E">
              <w:rPr>
                <w:rFonts w:ascii="Arial" w:hAnsi="Arial" w:cs="Arial"/>
                <w:b/>
                <w:bCs/>
                <w:sz w:val="24"/>
                <w:szCs w:val="24"/>
              </w:rPr>
              <w:t>Implementation</w:t>
            </w:r>
          </w:p>
        </w:tc>
      </w:tr>
      <w:tr w:rsidR="00DB21DA" w:rsidRPr="00DF782E" w14:paraId="387FF450" w14:textId="77777777" w:rsidTr="00A13EE5">
        <w:trPr>
          <w:tblCellSpacing w:w="15" w:type="dxa"/>
        </w:trPr>
        <w:tc>
          <w:tcPr>
            <w:tcW w:w="4775" w:type="dxa"/>
            <w:vAlign w:val="center"/>
            <w:hideMark/>
          </w:tcPr>
          <w:p w14:paraId="2D77503F"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incident reporting</w:t>
            </w:r>
          </w:p>
        </w:tc>
        <w:tc>
          <w:tcPr>
            <w:tcW w:w="3298" w:type="dxa"/>
            <w:vAlign w:val="center"/>
            <w:hideMark/>
          </w:tcPr>
          <w:p w14:paraId="554E50D6"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SIEM-triggered alert workflow</w:t>
            </w:r>
          </w:p>
        </w:tc>
      </w:tr>
      <w:tr w:rsidR="00DB21DA" w:rsidRPr="00DF782E" w14:paraId="051E29D9" w14:textId="77777777" w:rsidTr="00A13EE5">
        <w:trPr>
          <w:tblCellSpacing w:w="15" w:type="dxa"/>
        </w:trPr>
        <w:tc>
          <w:tcPr>
            <w:tcW w:w="4775" w:type="dxa"/>
            <w:vAlign w:val="center"/>
            <w:hideMark/>
          </w:tcPr>
          <w:p w14:paraId="1FCC8159"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supply-chain monitoring</w:t>
            </w:r>
          </w:p>
        </w:tc>
        <w:tc>
          <w:tcPr>
            <w:tcW w:w="3298" w:type="dxa"/>
            <w:vAlign w:val="center"/>
            <w:hideMark/>
          </w:tcPr>
          <w:p w14:paraId="038AF679"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SBOM dependency scanning</w:t>
            </w:r>
          </w:p>
        </w:tc>
      </w:tr>
      <w:tr w:rsidR="00DB21DA" w:rsidRPr="00DF782E" w14:paraId="7A47DAE3" w14:textId="77777777" w:rsidTr="00A13EE5">
        <w:trPr>
          <w:tblCellSpacing w:w="15" w:type="dxa"/>
        </w:trPr>
        <w:tc>
          <w:tcPr>
            <w:tcW w:w="4775" w:type="dxa"/>
            <w:vAlign w:val="center"/>
            <w:hideMark/>
          </w:tcPr>
          <w:p w14:paraId="71380B8C"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governance accountability</w:t>
            </w:r>
          </w:p>
        </w:tc>
        <w:tc>
          <w:tcPr>
            <w:tcW w:w="3298" w:type="dxa"/>
            <w:vAlign w:val="center"/>
            <w:hideMark/>
          </w:tcPr>
          <w:p w14:paraId="0E1FF006"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CISO oversight structure</w:t>
            </w:r>
          </w:p>
        </w:tc>
      </w:tr>
      <w:tr w:rsidR="00DB21DA" w:rsidRPr="00DF782E" w14:paraId="5B277A84" w14:textId="77777777" w:rsidTr="00A13EE5">
        <w:trPr>
          <w:tblCellSpacing w:w="15" w:type="dxa"/>
        </w:trPr>
        <w:tc>
          <w:tcPr>
            <w:tcW w:w="4775" w:type="dxa"/>
            <w:vAlign w:val="center"/>
            <w:hideMark/>
          </w:tcPr>
          <w:p w14:paraId="31A525F6"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risk management</w:t>
            </w:r>
          </w:p>
        </w:tc>
        <w:tc>
          <w:tcPr>
            <w:tcW w:w="3298" w:type="dxa"/>
            <w:vAlign w:val="center"/>
            <w:hideMark/>
          </w:tcPr>
          <w:p w14:paraId="27AE0CA2"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Zero-Trust segmentation</w:t>
            </w:r>
          </w:p>
        </w:tc>
      </w:tr>
      <w:tr w:rsidR="00DB21DA" w:rsidRPr="00DF782E" w14:paraId="371FA01D" w14:textId="77777777" w:rsidTr="00A13EE5">
        <w:trPr>
          <w:tblCellSpacing w:w="15" w:type="dxa"/>
        </w:trPr>
        <w:tc>
          <w:tcPr>
            <w:tcW w:w="4775" w:type="dxa"/>
            <w:vAlign w:val="center"/>
            <w:hideMark/>
          </w:tcPr>
          <w:p w14:paraId="59BFF6B8"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Requirement</w:t>
            </w:r>
          </w:p>
        </w:tc>
        <w:tc>
          <w:tcPr>
            <w:tcW w:w="3298" w:type="dxa"/>
            <w:vAlign w:val="center"/>
            <w:hideMark/>
          </w:tcPr>
          <w:p w14:paraId="3468E4D5"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Implementation</w:t>
            </w:r>
          </w:p>
        </w:tc>
      </w:tr>
      <w:tr w:rsidR="00DB21DA" w:rsidRPr="00DF782E" w14:paraId="3213CC59" w14:textId="77777777" w:rsidTr="00A13EE5">
        <w:trPr>
          <w:tblCellSpacing w:w="15" w:type="dxa"/>
        </w:trPr>
        <w:tc>
          <w:tcPr>
            <w:tcW w:w="4775" w:type="dxa"/>
            <w:vAlign w:val="center"/>
            <w:hideMark/>
          </w:tcPr>
          <w:p w14:paraId="534E3F1E" w14:textId="54657CF6" w:rsidR="00DB21DA" w:rsidRPr="00DF782E" w:rsidRDefault="00125CCA" w:rsidP="00D6128D">
            <w:pPr>
              <w:tabs>
                <w:tab w:val="left" w:pos="4170"/>
              </w:tabs>
              <w:ind w:left="360"/>
              <w:rPr>
                <w:rFonts w:ascii="Arial" w:hAnsi="Arial" w:cs="Arial"/>
                <w:sz w:val="24"/>
                <w:szCs w:val="24"/>
              </w:rPr>
            </w:pPr>
            <w:r>
              <w:rPr>
                <w:rFonts w:ascii="Arial" w:hAnsi="Arial" w:cs="Arial"/>
                <w:sz w:val="24"/>
                <w:szCs w:val="24"/>
              </w:rPr>
              <w:t xml:space="preserve"> </w:t>
            </w:r>
          </w:p>
        </w:tc>
        <w:tc>
          <w:tcPr>
            <w:tcW w:w="3298" w:type="dxa"/>
            <w:vAlign w:val="center"/>
            <w:hideMark/>
          </w:tcPr>
          <w:p w14:paraId="7BD83FC8"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SIEM-triggered alert workflow</w:t>
            </w:r>
          </w:p>
        </w:tc>
      </w:tr>
      <w:tr w:rsidR="00DB21DA" w:rsidRPr="00DF782E" w14:paraId="2FF38CED" w14:textId="77777777" w:rsidTr="00A13EE5">
        <w:trPr>
          <w:tblCellSpacing w:w="15" w:type="dxa"/>
        </w:trPr>
        <w:tc>
          <w:tcPr>
            <w:tcW w:w="4775" w:type="dxa"/>
            <w:vAlign w:val="center"/>
            <w:hideMark/>
          </w:tcPr>
          <w:p w14:paraId="3C93535D" w14:textId="40B962E4" w:rsidR="00DB21DA" w:rsidRPr="00DF782E" w:rsidRDefault="00A13EE5" w:rsidP="00D6128D">
            <w:pPr>
              <w:tabs>
                <w:tab w:val="left" w:pos="4170"/>
              </w:tabs>
              <w:ind w:left="360"/>
              <w:rPr>
                <w:rFonts w:ascii="Arial" w:hAnsi="Arial" w:cs="Arial"/>
                <w:sz w:val="24"/>
                <w:szCs w:val="24"/>
              </w:rPr>
            </w:pPr>
            <w:r>
              <w:rPr>
                <w:rFonts w:ascii="Arial" w:hAnsi="Arial" w:cs="Arial"/>
                <w:sz w:val="24"/>
                <w:szCs w:val="24"/>
              </w:rPr>
              <w:lastRenderedPageBreak/>
              <w:t xml:space="preserve"> </w:t>
            </w:r>
          </w:p>
        </w:tc>
        <w:tc>
          <w:tcPr>
            <w:tcW w:w="3298" w:type="dxa"/>
            <w:vAlign w:val="center"/>
            <w:hideMark/>
          </w:tcPr>
          <w:p w14:paraId="7AF1F93D" w14:textId="2AD025E5" w:rsidR="00DB21DA" w:rsidRPr="00DF782E" w:rsidRDefault="00DB21DA" w:rsidP="00A13EE5">
            <w:pPr>
              <w:tabs>
                <w:tab w:val="left" w:pos="4170"/>
              </w:tabs>
              <w:rPr>
                <w:rFonts w:ascii="Arial" w:hAnsi="Arial" w:cs="Arial"/>
                <w:sz w:val="24"/>
                <w:szCs w:val="24"/>
              </w:rPr>
            </w:pPr>
          </w:p>
        </w:tc>
      </w:tr>
      <w:tr w:rsidR="00DB21DA" w:rsidRPr="00DF782E" w14:paraId="24314AA6" w14:textId="77777777" w:rsidTr="00A13EE5">
        <w:trPr>
          <w:tblCellSpacing w:w="15" w:type="dxa"/>
        </w:trPr>
        <w:tc>
          <w:tcPr>
            <w:tcW w:w="4775" w:type="dxa"/>
            <w:vAlign w:val="center"/>
            <w:hideMark/>
          </w:tcPr>
          <w:p w14:paraId="2D722C00" w14:textId="198D86EC" w:rsidR="00DB21DA" w:rsidRPr="00DF782E" w:rsidRDefault="00A13EE5" w:rsidP="00D6128D">
            <w:pPr>
              <w:tabs>
                <w:tab w:val="left" w:pos="4170"/>
              </w:tabs>
              <w:ind w:left="360"/>
              <w:rPr>
                <w:rFonts w:ascii="Arial" w:hAnsi="Arial" w:cs="Arial"/>
                <w:sz w:val="24"/>
                <w:szCs w:val="24"/>
              </w:rPr>
            </w:pPr>
            <w:r>
              <w:rPr>
                <w:rFonts w:ascii="Arial" w:hAnsi="Arial" w:cs="Arial"/>
                <w:sz w:val="24"/>
                <w:szCs w:val="24"/>
              </w:rPr>
              <w:t xml:space="preserve"> </w:t>
            </w:r>
          </w:p>
        </w:tc>
        <w:tc>
          <w:tcPr>
            <w:tcW w:w="3298" w:type="dxa"/>
            <w:vAlign w:val="center"/>
            <w:hideMark/>
          </w:tcPr>
          <w:p w14:paraId="100ED5EB" w14:textId="33B30E24" w:rsidR="00DB21DA" w:rsidRPr="00DF782E" w:rsidRDefault="00A13EE5" w:rsidP="00D6128D">
            <w:pPr>
              <w:tabs>
                <w:tab w:val="left" w:pos="4170"/>
              </w:tabs>
              <w:ind w:left="360"/>
              <w:rPr>
                <w:rFonts w:ascii="Arial" w:hAnsi="Arial" w:cs="Arial"/>
                <w:sz w:val="24"/>
                <w:szCs w:val="24"/>
              </w:rPr>
            </w:pPr>
            <w:r>
              <w:rPr>
                <w:rFonts w:ascii="Arial" w:hAnsi="Arial" w:cs="Arial"/>
                <w:sz w:val="24"/>
                <w:szCs w:val="24"/>
              </w:rPr>
              <w:t xml:space="preserve"> </w:t>
            </w:r>
          </w:p>
        </w:tc>
      </w:tr>
      <w:tr w:rsidR="00DB21DA" w:rsidRPr="00DF782E" w14:paraId="097B3B99" w14:textId="77777777" w:rsidTr="00A13EE5">
        <w:trPr>
          <w:tblCellSpacing w:w="15" w:type="dxa"/>
        </w:trPr>
        <w:tc>
          <w:tcPr>
            <w:tcW w:w="4775" w:type="dxa"/>
            <w:vAlign w:val="center"/>
            <w:hideMark/>
          </w:tcPr>
          <w:p w14:paraId="12099794" w14:textId="41E9013C" w:rsidR="00DB21DA" w:rsidRPr="00DF782E" w:rsidRDefault="00A13EE5" w:rsidP="00D6128D">
            <w:pPr>
              <w:tabs>
                <w:tab w:val="left" w:pos="4170"/>
              </w:tabs>
              <w:ind w:left="360"/>
              <w:rPr>
                <w:rFonts w:ascii="Arial" w:hAnsi="Arial" w:cs="Arial"/>
                <w:sz w:val="24"/>
                <w:szCs w:val="24"/>
              </w:rPr>
            </w:pPr>
            <w:r>
              <w:rPr>
                <w:rFonts w:ascii="Arial" w:hAnsi="Arial" w:cs="Arial"/>
                <w:sz w:val="24"/>
                <w:szCs w:val="24"/>
              </w:rPr>
              <w:t xml:space="preserve"> </w:t>
            </w:r>
          </w:p>
        </w:tc>
        <w:tc>
          <w:tcPr>
            <w:tcW w:w="3298" w:type="dxa"/>
            <w:vAlign w:val="center"/>
            <w:hideMark/>
          </w:tcPr>
          <w:p w14:paraId="1508B101" w14:textId="5D1C5924" w:rsidR="00DB21DA" w:rsidRPr="00DF782E" w:rsidRDefault="00A13EE5" w:rsidP="00D6128D">
            <w:pPr>
              <w:tabs>
                <w:tab w:val="left" w:pos="4170"/>
              </w:tabs>
              <w:ind w:left="360"/>
              <w:rPr>
                <w:rFonts w:ascii="Arial" w:hAnsi="Arial" w:cs="Arial"/>
                <w:sz w:val="24"/>
                <w:szCs w:val="24"/>
              </w:rPr>
            </w:pPr>
            <w:r>
              <w:rPr>
                <w:rFonts w:ascii="Arial" w:hAnsi="Arial" w:cs="Arial"/>
                <w:sz w:val="24"/>
                <w:szCs w:val="24"/>
              </w:rPr>
              <w:t xml:space="preserve"> </w:t>
            </w:r>
          </w:p>
        </w:tc>
      </w:tr>
    </w:tbl>
    <w:p w14:paraId="24EFBCF0" w14:textId="795852BB" w:rsidR="00DB21DA" w:rsidRPr="00DF782E" w:rsidRDefault="00DB21DA" w:rsidP="00D6128D">
      <w:pPr>
        <w:tabs>
          <w:tab w:val="left" w:pos="4170"/>
        </w:tabs>
        <w:ind w:left="360"/>
        <w:rPr>
          <w:rFonts w:ascii="Arial" w:hAnsi="Arial" w:cs="Arial"/>
          <w:b/>
          <w:bCs/>
          <w:sz w:val="24"/>
          <w:szCs w:val="24"/>
        </w:rPr>
      </w:pPr>
      <w:r w:rsidRPr="00DF782E">
        <w:rPr>
          <w:rFonts w:ascii="Arial" w:hAnsi="Arial" w:cs="Arial"/>
          <w:b/>
          <w:bCs/>
          <w:sz w:val="24"/>
          <w:szCs w:val="24"/>
        </w:rPr>
        <w:t>Risk Assessment: Supply Chain and Cloud Risks (10%)</w:t>
      </w:r>
    </w:p>
    <w:p w14:paraId="1C2FF910" w14:textId="77777777" w:rsidR="00DB21DA" w:rsidRPr="00DF782E" w:rsidRDefault="00DB21DA" w:rsidP="00D6128D">
      <w:pPr>
        <w:tabs>
          <w:tab w:val="left" w:pos="4170"/>
        </w:tabs>
        <w:ind w:left="360"/>
        <w:rPr>
          <w:rFonts w:ascii="Arial" w:hAnsi="Arial" w:cs="Arial"/>
          <w:b/>
          <w:bCs/>
          <w:sz w:val="24"/>
          <w:szCs w:val="24"/>
        </w:rPr>
      </w:pPr>
      <w:r w:rsidRPr="00DF782E">
        <w:rPr>
          <w:rFonts w:ascii="Arial" w:hAnsi="Arial" w:cs="Arial"/>
          <w:b/>
          <w:bCs/>
          <w:sz w:val="24"/>
          <w:szCs w:val="24"/>
        </w:rPr>
        <w:t>Software Supply-Chain Threats</w:t>
      </w:r>
    </w:p>
    <w:p w14:paraId="7772A54A" w14:textId="77777777" w:rsidR="00DB21DA" w:rsidRPr="00DF782E" w:rsidRDefault="00DB21DA" w:rsidP="00D6128D">
      <w:pPr>
        <w:tabs>
          <w:tab w:val="left" w:pos="4170"/>
        </w:tabs>
        <w:ind w:left="360"/>
        <w:rPr>
          <w:rFonts w:ascii="Arial" w:hAnsi="Arial" w:cs="Arial"/>
          <w:sz w:val="24"/>
          <w:szCs w:val="24"/>
        </w:rPr>
      </w:pPr>
      <w:r w:rsidRPr="00DF782E">
        <w:rPr>
          <w:rFonts w:ascii="Arial" w:hAnsi="Arial" w:cs="Arial"/>
          <w:sz w:val="24"/>
          <w:szCs w:val="24"/>
        </w:rPr>
        <w:t>Key risks include: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954"/>
        <w:gridCol w:w="2343"/>
      </w:tblGrid>
      <w:tr w:rsidR="009E335B" w:rsidRPr="00DF782E" w14:paraId="7E784047" w14:textId="77777777" w:rsidTr="009E335B">
        <w:trPr>
          <w:tblHeader/>
          <w:tblCellSpacing w:w="15" w:type="dxa"/>
        </w:trPr>
        <w:tc>
          <w:tcPr>
            <w:tcW w:w="5909" w:type="dxa"/>
            <w:vAlign w:val="center"/>
            <w:hideMark/>
          </w:tcPr>
          <w:p w14:paraId="1BFEBB31" w14:textId="77777777" w:rsidR="009E335B" w:rsidRPr="00DF782E" w:rsidRDefault="009E335B" w:rsidP="00D6128D">
            <w:pPr>
              <w:tabs>
                <w:tab w:val="left" w:pos="4170"/>
              </w:tabs>
              <w:ind w:left="360"/>
              <w:rPr>
                <w:rFonts w:ascii="Arial" w:hAnsi="Arial" w:cs="Arial"/>
                <w:b/>
                <w:bCs/>
                <w:sz w:val="24"/>
                <w:szCs w:val="24"/>
              </w:rPr>
            </w:pPr>
            <w:r w:rsidRPr="00DF782E">
              <w:rPr>
                <w:rFonts w:ascii="Arial" w:hAnsi="Arial" w:cs="Arial"/>
                <w:b/>
                <w:bCs/>
                <w:sz w:val="24"/>
                <w:szCs w:val="24"/>
              </w:rPr>
              <w:t>Risk</w:t>
            </w:r>
          </w:p>
        </w:tc>
        <w:tc>
          <w:tcPr>
            <w:tcW w:w="1934" w:type="dxa"/>
            <w:vAlign w:val="center"/>
            <w:hideMark/>
          </w:tcPr>
          <w:p w14:paraId="166010FC" w14:textId="77777777" w:rsidR="009E335B" w:rsidRPr="00DF782E" w:rsidRDefault="009E335B" w:rsidP="00D6128D">
            <w:pPr>
              <w:tabs>
                <w:tab w:val="left" w:pos="4170"/>
              </w:tabs>
              <w:ind w:left="360"/>
              <w:rPr>
                <w:rFonts w:ascii="Arial" w:hAnsi="Arial" w:cs="Arial"/>
                <w:b/>
                <w:bCs/>
                <w:sz w:val="24"/>
                <w:szCs w:val="24"/>
              </w:rPr>
            </w:pPr>
            <w:r w:rsidRPr="00DF782E">
              <w:rPr>
                <w:rFonts w:ascii="Arial" w:hAnsi="Arial" w:cs="Arial"/>
                <w:b/>
                <w:bCs/>
                <w:sz w:val="24"/>
                <w:szCs w:val="24"/>
              </w:rPr>
              <w:t>Impact</w:t>
            </w:r>
          </w:p>
        </w:tc>
      </w:tr>
      <w:tr w:rsidR="009E335B" w:rsidRPr="00DF782E" w14:paraId="6F211C77" w14:textId="77777777" w:rsidTr="009E335B">
        <w:trPr>
          <w:tblCellSpacing w:w="15" w:type="dxa"/>
        </w:trPr>
        <w:tc>
          <w:tcPr>
            <w:tcW w:w="5909" w:type="dxa"/>
            <w:vAlign w:val="center"/>
            <w:hideMark/>
          </w:tcPr>
          <w:p w14:paraId="6646CE7D"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Poisoned AI training datasets</w:t>
            </w:r>
          </w:p>
        </w:tc>
        <w:tc>
          <w:tcPr>
            <w:tcW w:w="1934" w:type="dxa"/>
            <w:vAlign w:val="center"/>
            <w:hideMark/>
          </w:tcPr>
          <w:p w14:paraId="456C846D"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incorrect clinical recommendations</w:t>
            </w:r>
          </w:p>
        </w:tc>
      </w:tr>
      <w:tr w:rsidR="009E335B" w:rsidRPr="00DF782E" w14:paraId="281C29CE" w14:textId="77777777" w:rsidTr="009E335B">
        <w:trPr>
          <w:tblCellSpacing w:w="15" w:type="dxa"/>
        </w:trPr>
        <w:tc>
          <w:tcPr>
            <w:tcW w:w="5909" w:type="dxa"/>
            <w:vAlign w:val="center"/>
            <w:hideMark/>
          </w:tcPr>
          <w:p w14:paraId="644DFD62"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Malicious dependencies</w:t>
            </w:r>
          </w:p>
        </w:tc>
        <w:tc>
          <w:tcPr>
            <w:tcW w:w="1934" w:type="dxa"/>
            <w:vAlign w:val="center"/>
            <w:hideMark/>
          </w:tcPr>
          <w:p w14:paraId="1EFE980F"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remote code execution</w:t>
            </w:r>
          </w:p>
        </w:tc>
      </w:tr>
      <w:tr w:rsidR="009E335B" w:rsidRPr="00DF782E" w14:paraId="6C21872F" w14:textId="77777777" w:rsidTr="009E335B">
        <w:trPr>
          <w:tblCellSpacing w:w="15" w:type="dxa"/>
        </w:trPr>
        <w:tc>
          <w:tcPr>
            <w:tcW w:w="5909" w:type="dxa"/>
            <w:vAlign w:val="center"/>
            <w:hideMark/>
          </w:tcPr>
          <w:p w14:paraId="5B7C79B5"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Compromised model repositories</w:t>
            </w:r>
          </w:p>
        </w:tc>
        <w:tc>
          <w:tcPr>
            <w:tcW w:w="1934" w:type="dxa"/>
            <w:vAlign w:val="center"/>
            <w:hideMark/>
          </w:tcPr>
          <w:p w14:paraId="51560598"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IP theft</w:t>
            </w:r>
          </w:p>
        </w:tc>
      </w:tr>
      <w:tr w:rsidR="009E335B" w:rsidRPr="00DF782E" w14:paraId="6C5D8712" w14:textId="77777777" w:rsidTr="009E335B">
        <w:trPr>
          <w:tblCellSpacing w:w="15" w:type="dxa"/>
        </w:trPr>
        <w:tc>
          <w:tcPr>
            <w:tcW w:w="5909" w:type="dxa"/>
            <w:vAlign w:val="center"/>
            <w:hideMark/>
          </w:tcPr>
          <w:p w14:paraId="5D4C16A6"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Open-source vulnerabilities</w:t>
            </w:r>
          </w:p>
        </w:tc>
        <w:tc>
          <w:tcPr>
            <w:tcW w:w="1934" w:type="dxa"/>
            <w:vAlign w:val="center"/>
            <w:hideMark/>
          </w:tcPr>
          <w:p w14:paraId="4B0DD2D1"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infrastructure compromise</w:t>
            </w:r>
          </w:p>
        </w:tc>
      </w:tr>
    </w:tbl>
    <w:p w14:paraId="0944C700"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Mitigation controls:</w:t>
      </w:r>
    </w:p>
    <w:p w14:paraId="2E92F6D6"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 xml:space="preserve">SBOM scanning </w:t>
      </w:r>
    </w:p>
    <w:p w14:paraId="57142D2F"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 xml:space="preserve">signed container images </w:t>
      </w:r>
    </w:p>
    <w:p w14:paraId="3C163BD1"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 xml:space="preserve">dependency pinning </w:t>
      </w:r>
    </w:p>
    <w:p w14:paraId="3C018F4D"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model integrity hashing</w:t>
      </w:r>
    </w:p>
    <w:p w14:paraId="04A80094" w14:textId="77777777" w:rsidR="009E335B" w:rsidRPr="00DF782E" w:rsidRDefault="009E335B" w:rsidP="00D6128D">
      <w:pPr>
        <w:spacing w:before="100" w:beforeAutospacing="1" w:after="100" w:afterAutospacing="1" w:line="240" w:lineRule="auto"/>
        <w:ind w:left="360"/>
        <w:outlineLvl w:val="1"/>
        <w:rPr>
          <w:rFonts w:ascii="Times New Roman" w:eastAsia="Times New Roman" w:hAnsi="Times New Roman" w:cs="Times New Roman"/>
          <w:b/>
          <w:bCs/>
          <w:sz w:val="24"/>
          <w:szCs w:val="24"/>
          <w:lang w:eastAsia="en-GB"/>
        </w:rPr>
      </w:pPr>
      <w:r w:rsidRPr="00DF782E">
        <w:rPr>
          <w:rFonts w:ascii="Times New Roman" w:eastAsia="Times New Roman" w:hAnsi="Times New Roman" w:cs="Times New Roman"/>
          <w:b/>
          <w:bCs/>
          <w:sz w:val="24"/>
          <w:szCs w:val="24"/>
          <w:lang w:eastAsia="en-GB"/>
        </w:rPr>
        <w:t>Cloud Misconfiguration Risks</w:t>
      </w:r>
    </w:p>
    <w:p w14:paraId="3C2AF313" w14:textId="77777777" w:rsidR="009E335B" w:rsidRPr="00DF782E" w:rsidRDefault="009E335B" w:rsidP="00D6128D">
      <w:pPr>
        <w:spacing w:before="100" w:beforeAutospacing="1" w:after="100" w:afterAutospacing="1" w:line="240" w:lineRule="auto"/>
        <w:ind w:left="360"/>
        <w:rPr>
          <w:rFonts w:ascii="Times New Roman" w:eastAsia="Times New Roman" w:hAnsi="Times New Roman" w:cs="Times New Roman"/>
          <w:sz w:val="24"/>
          <w:szCs w:val="24"/>
          <w:lang w:eastAsia="en-GB"/>
        </w:rPr>
      </w:pPr>
      <w:r w:rsidRPr="00DF782E">
        <w:rPr>
          <w:rFonts w:ascii="Times New Roman" w:eastAsia="Times New Roman" w:hAnsi="Times New Roman" w:cs="Times New Roman"/>
          <w:sz w:val="24"/>
          <w:szCs w:val="24"/>
          <w:lang w:eastAsia="en-GB"/>
        </w:rPr>
        <w:t>Multi-cloud expansion increases attack surface.</w:t>
      </w:r>
    </w:p>
    <w:p w14:paraId="56BBFA6A" w14:textId="77777777" w:rsidR="009E335B" w:rsidRPr="00DF782E" w:rsidRDefault="009E335B" w:rsidP="00D6128D">
      <w:pPr>
        <w:spacing w:before="100" w:beforeAutospacing="1" w:after="100" w:afterAutospacing="1" w:line="240" w:lineRule="auto"/>
        <w:ind w:left="360"/>
        <w:rPr>
          <w:rFonts w:ascii="Times New Roman" w:eastAsia="Times New Roman" w:hAnsi="Times New Roman" w:cs="Times New Roman"/>
          <w:sz w:val="24"/>
          <w:szCs w:val="24"/>
          <w:lang w:eastAsia="en-GB"/>
        </w:rPr>
      </w:pPr>
      <w:r w:rsidRPr="00DF782E">
        <w:rPr>
          <w:rFonts w:ascii="Times New Roman" w:eastAsia="Times New Roman" w:hAnsi="Times New Roman" w:cs="Times New Roman"/>
          <w:sz w:val="24"/>
          <w:szCs w:val="24"/>
          <w:lang w:eastAsia="en-GB"/>
        </w:rPr>
        <w:t>Typical risks: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242"/>
        <w:gridCol w:w="1476"/>
      </w:tblGrid>
      <w:tr w:rsidR="009E335B" w:rsidRPr="00DF782E" w14:paraId="374D4662" w14:textId="77777777" w:rsidTr="009E335B">
        <w:trPr>
          <w:tblHeader/>
          <w:tblCellSpacing w:w="15" w:type="dxa"/>
        </w:trPr>
        <w:tc>
          <w:tcPr>
            <w:tcW w:w="4197" w:type="dxa"/>
            <w:vAlign w:val="center"/>
            <w:hideMark/>
          </w:tcPr>
          <w:p w14:paraId="44716188" w14:textId="77777777" w:rsidR="009E335B" w:rsidRPr="00DF782E" w:rsidRDefault="009E335B" w:rsidP="00D6128D">
            <w:pPr>
              <w:tabs>
                <w:tab w:val="left" w:pos="4170"/>
              </w:tabs>
              <w:ind w:left="360"/>
              <w:rPr>
                <w:rFonts w:ascii="Arial" w:hAnsi="Arial" w:cs="Arial"/>
                <w:b/>
                <w:bCs/>
                <w:sz w:val="24"/>
                <w:szCs w:val="24"/>
              </w:rPr>
            </w:pPr>
            <w:r w:rsidRPr="00DF782E">
              <w:rPr>
                <w:rFonts w:ascii="Arial" w:hAnsi="Arial" w:cs="Arial"/>
                <w:b/>
                <w:bCs/>
                <w:sz w:val="24"/>
                <w:szCs w:val="24"/>
              </w:rPr>
              <w:t>Misconfiguration</w:t>
            </w:r>
          </w:p>
        </w:tc>
        <w:tc>
          <w:tcPr>
            <w:tcW w:w="1068" w:type="dxa"/>
            <w:vAlign w:val="center"/>
            <w:hideMark/>
          </w:tcPr>
          <w:p w14:paraId="4CB783EF" w14:textId="77777777" w:rsidR="009E335B" w:rsidRPr="00DF782E" w:rsidRDefault="009E335B" w:rsidP="00D6128D">
            <w:pPr>
              <w:tabs>
                <w:tab w:val="left" w:pos="4170"/>
              </w:tabs>
              <w:ind w:left="360"/>
              <w:rPr>
                <w:rFonts w:ascii="Arial" w:hAnsi="Arial" w:cs="Arial"/>
                <w:b/>
                <w:bCs/>
                <w:sz w:val="24"/>
                <w:szCs w:val="24"/>
              </w:rPr>
            </w:pPr>
            <w:r w:rsidRPr="00DF782E">
              <w:rPr>
                <w:rFonts w:ascii="Arial" w:hAnsi="Arial" w:cs="Arial"/>
                <w:b/>
                <w:bCs/>
                <w:sz w:val="24"/>
                <w:szCs w:val="24"/>
              </w:rPr>
              <w:t>Example</w:t>
            </w:r>
          </w:p>
        </w:tc>
      </w:tr>
      <w:tr w:rsidR="009E335B" w:rsidRPr="00DF782E" w14:paraId="2CE210B2" w14:textId="77777777" w:rsidTr="009E335B">
        <w:trPr>
          <w:tblCellSpacing w:w="15" w:type="dxa"/>
        </w:trPr>
        <w:tc>
          <w:tcPr>
            <w:tcW w:w="4197" w:type="dxa"/>
            <w:vAlign w:val="center"/>
            <w:hideMark/>
          </w:tcPr>
          <w:p w14:paraId="2A920049"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Public storage buckets</w:t>
            </w:r>
          </w:p>
        </w:tc>
        <w:tc>
          <w:tcPr>
            <w:tcW w:w="1068" w:type="dxa"/>
            <w:vAlign w:val="center"/>
            <w:hideMark/>
          </w:tcPr>
          <w:p w14:paraId="3E21AC76"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exposed patient records</w:t>
            </w:r>
          </w:p>
        </w:tc>
      </w:tr>
      <w:tr w:rsidR="009E335B" w:rsidRPr="00DF782E" w14:paraId="3725DBA7" w14:textId="77777777" w:rsidTr="009E335B">
        <w:trPr>
          <w:tblCellSpacing w:w="15" w:type="dxa"/>
        </w:trPr>
        <w:tc>
          <w:tcPr>
            <w:tcW w:w="4197" w:type="dxa"/>
            <w:vAlign w:val="center"/>
            <w:hideMark/>
          </w:tcPr>
          <w:p w14:paraId="77A750BB"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excessive IAM privileges</w:t>
            </w:r>
          </w:p>
        </w:tc>
        <w:tc>
          <w:tcPr>
            <w:tcW w:w="1068" w:type="dxa"/>
            <w:vAlign w:val="center"/>
            <w:hideMark/>
          </w:tcPr>
          <w:p w14:paraId="68D10E7E"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insider abuse</w:t>
            </w:r>
          </w:p>
        </w:tc>
      </w:tr>
      <w:tr w:rsidR="009E335B" w:rsidRPr="00DF782E" w14:paraId="5005F6D6" w14:textId="77777777" w:rsidTr="009E335B">
        <w:trPr>
          <w:tblCellSpacing w:w="15" w:type="dxa"/>
        </w:trPr>
        <w:tc>
          <w:tcPr>
            <w:tcW w:w="4197" w:type="dxa"/>
            <w:vAlign w:val="center"/>
            <w:hideMark/>
          </w:tcPr>
          <w:p w14:paraId="42687461"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open API endpoints</w:t>
            </w:r>
          </w:p>
        </w:tc>
        <w:tc>
          <w:tcPr>
            <w:tcW w:w="1068" w:type="dxa"/>
            <w:vAlign w:val="center"/>
            <w:hideMark/>
          </w:tcPr>
          <w:p w14:paraId="3C45777E"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credential leakage</w:t>
            </w:r>
          </w:p>
        </w:tc>
      </w:tr>
    </w:tbl>
    <w:p w14:paraId="6624BBFB"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lastRenderedPageBreak/>
        <w:t>Mitigation:</w:t>
      </w:r>
    </w:p>
    <w:p w14:paraId="2A4C7CCD"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CSPM continuous monitoring.</w:t>
      </w:r>
    </w:p>
    <w:p w14:paraId="0283CD91" w14:textId="20A0852C" w:rsidR="009E335B" w:rsidRPr="00DF782E" w:rsidRDefault="009E335B" w:rsidP="00D6128D">
      <w:pPr>
        <w:tabs>
          <w:tab w:val="left" w:pos="4170"/>
        </w:tabs>
        <w:ind w:left="360"/>
        <w:rPr>
          <w:rFonts w:ascii="Arial" w:hAnsi="Arial" w:cs="Arial"/>
          <w:b/>
          <w:bCs/>
          <w:sz w:val="24"/>
          <w:szCs w:val="24"/>
        </w:rPr>
      </w:pPr>
      <w:r w:rsidRPr="00DF782E">
        <w:rPr>
          <w:rFonts w:ascii="Arial" w:hAnsi="Arial" w:cs="Arial"/>
          <w:b/>
          <w:bCs/>
          <w:sz w:val="24"/>
          <w:szCs w:val="24"/>
        </w:rPr>
        <w:t>Protection Mechanisms (10%)</w:t>
      </w:r>
    </w:p>
    <w:p w14:paraId="1571F6AA"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Recommended modern controls include:</w:t>
      </w:r>
    </w:p>
    <w:p w14:paraId="50109A12" w14:textId="77777777" w:rsidR="009E335B" w:rsidRPr="00DF782E" w:rsidRDefault="009E335B" w:rsidP="00D6128D">
      <w:pPr>
        <w:tabs>
          <w:tab w:val="left" w:pos="4170"/>
        </w:tabs>
        <w:ind w:left="360"/>
        <w:rPr>
          <w:rFonts w:ascii="Arial" w:hAnsi="Arial" w:cs="Arial"/>
          <w:b/>
          <w:bCs/>
          <w:sz w:val="24"/>
          <w:szCs w:val="24"/>
        </w:rPr>
      </w:pPr>
      <w:r w:rsidRPr="00DF782E">
        <w:rPr>
          <w:rFonts w:ascii="Arial" w:hAnsi="Arial" w:cs="Arial"/>
          <w:b/>
          <w:bCs/>
          <w:sz w:val="24"/>
          <w:szCs w:val="24"/>
        </w:rPr>
        <w:t>Cloud Security Posture Management (CSPM)</w:t>
      </w:r>
    </w:p>
    <w:p w14:paraId="27F38BDE"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Detects:</w:t>
      </w:r>
    </w:p>
    <w:p w14:paraId="454989A2"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 xml:space="preserve">insecure storage </w:t>
      </w:r>
    </w:p>
    <w:p w14:paraId="3131D85B"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 xml:space="preserve">privilege escalation exposure </w:t>
      </w:r>
    </w:p>
    <w:p w14:paraId="6045DFFE"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 xml:space="preserve">policy violations </w:t>
      </w:r>
    </w:p>
    <w:p w14:paraId="73AEF14E"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Ensures continuous compliance monitoring.</w:t>
      </w:r>
    </w:p>
    <w:p w14:paraId="31967E57" w14:textId="77777777" w:rsidR="009E335B" w:rsidRPr="00DF782E" w:rsidRDefault="009E335B" w:rsidP="00D6128D">
      <w:pPr>
        <w:tabs>
          <w:tab w:val="left" w:pos="4170"/>
        </w:tabs>
        <w:ind w:left="360"/>
        <w:rPr>
          <w:rFonts w:ascii="Arial" w:hAnsi="Arial" w:cs="Arial"/>
          <w:b/>
          <w:bCs/>
          <w:sz w:val="24"/>
          <w:szCs w:val="24"/>
        </w:rPr>
      </w:pPr>
      <w:r w:rsidRPr="00DF782E">
        <w:rPr>
          <w:rFonts w:ascii="Arial" w:hAnsi="Arial" w:cs="Arial"/>
          <w:b/>
          <w:bCs/>
          <w:sz w:val="24"/>
          <w:szCs w:val="24"/>
        </w:rPr>
        <w:t>Security Information and Event Management (SIEM)</w:t>
      </w:r>
    </w:p>
    <w:p w14:paraId="75799F54"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Centralises telemetry from:</w:t>
      </w:r>
    </w:p>
    <w:p w14:paraId="55E23D8B"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 xml:space="preserve">endpoints </w:t>
      </w:r>
    </w:p>
    <w:p w14:paraId="635FEA37"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 xml:space="preserve">cloud infrastructure </w:t>
      </w:r>
    </w:p>
    <w:p w14:paraId="71A92F52"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 xml:space="preserve">AI pipelines </w:t>
      </w:r>
    </w:p>
    <w:p w14:paraId="028959D9"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 xml:space="preserve">identity providers </w:t>
      </w:r>
    </w:p>
    <w:p w14:paraId="6A489373"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Supports automated incident detection.</w:t>
      </w:r>
    </w:p>
    <w:p w14:paraId="1283EF1E" w14:textId="77777777" w:rsidR="009E335B" w:rsidRPr="00DF782E" w:rsidRDefault="009E335B" w:rsidP="00D6128D">
      <w:pPr>
        <w:tabs>
          <w:tab w:val="left" w:pos="4170"/>
        </w:tabs>
        <w:ind w:left="360"/>
        <w:rPr>
          <w:rFonts w:ascii="Arial" w:hAnsi="Arial" w:cs="Arial"/>
          <w:b/>
          <w:bCs/>
          <w:sz w:val="24"/>
          <w:szCs w:val="24"/>
        </w:rPr>
      </w:pPr>
      <w:r w:rsidRPr="00DF782E">
        <w:rPr>
          <w:rFonts w:ascii="Arial" w:hAnsi="Arial" w:cs="Arial"/>
          <w:b/>
          <w:bCs/>
          <w:sz w:val="24"/>
          <w:szCs w:val="24"/>
        </w:rPr>
        <w:t>Endpoint Detection and Response (EDR)</w:t>
      </w:r>
    </w:p>
    <w:p w14:paraId="6A790F0A"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Provides:</w:t>
      </w:r>
    </w:p>
    <w:p w14:paraId="4142D4DD"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 xml:space="preserve">ransomware behaviour detection </w:t>
      </w:r>
    </w:p>
    <w:p w14:paraId="3BED0125"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 xml:space="preserve">lateral movement blocking </w:t>
      </w:r>
    </w:p>
    <w:p w14:paraId="0E51C0A3"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 xml:space="preserve">automatic isolation capability </w:t>
      </w:r>
    </w:p>
    <w:p w14:paraId="7157D8AC"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Critical for hybrid workforce protection.</w:t>
      </w:r>
    </w:p>
    <w:p w14:paraId="2F4FF7CE" w14:textId="77777777" w:rsidR="009E335B" w:rsidRPr="00DF782E" w:rsidRDefault="009E335B" w:rsidP="00D6128D">
      <w:pPr>
        <w:tabs>
          <w:tab w:val="left" w:pos="4170"/>
        </w:tabs>
        <w:ind w:left="360"/>
        <w:rPr>
          <w:rFonts w:ascii="Arial" w:hAnsi="Arial" w:cs="Arial"/>
          <w:b/>
          <w:bCs/>
          <w:sz w:val="24"/>
          <w:szCs w:val="24"/>
        </w:rPr>
      </w:pPr>
      <w:r w:rsidRPr="00DF782E">
        <w:rPr>
          <w:rFonts w:ascii="Arial" w:hAnsi="Arial" w:cs="Arial"/>
          <w:b/>
          <w:bCs/>
          <w:sz w:val="24"/>
          <w:szCs w:val="24"/>
        </w:rPr>
        <w:t>Phishing-Resistant MFA</w:t>
      </w:r>
    </w:p>
    <w:p w14:paraId="29E25EEC"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Implements:</w:t>
      </w:r>
    </w:p>
    <w:p w14:paraId="6C604957"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 xml:space="preserve">FIDO2 hardware authentication </w:t>
      </w:r>
    </w:p>
    <w:p w14:paraId="44EA84FE"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 xml:space="preserve">certificate-based authentication </w:t>
      </w:r>
    </w:p>
    <w:p w14:paraId="73FCDDCF"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 xml:space="preserve">biometric verification </w:t>
      </w:r>
    </w:p>
    <w:p w14:paraId="46D650B9"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Prevents credential harvesting attacks.</w:t>
      </w:r>
    </w:p>
    <w:p w14:paraId="6C6E0695" w14:textId="77777777" w:rsidR="00BF1210" w:rsidRDefault="00BF1210" w:rsidP="00D6128D">
      <w:pPr>
        <w:tabs>
          <w:tab w:val="left" w:pos="4170"/>
        </w:tabs>
        <w:ind w:left="360"/>
        <w:rPr>
          <w:rFonts w:ascii="Arial" w:hAnsi="Arial" w:cs="Arial"/>
          <w:b/>
          <w:bCs/>
          <w:sz w:val="24"/>
          <w:szCs w:val="24"/>
        </w:rPr>
      </w:pPr>
    </w:p>
    <w:p w14:paraId="086C3457" w14:textId="77777777" w:rsidR="00BF1210" w:rsidRDefault="00BF1210" w:rsidP="00D6128D">
      <w:pPr>
        <w:tabs>
          <w:tab w:val="left" w:pos="4170"/>
        </w:tabs>
        <w:ind w:left="360"/>
        <w:rPr>
          <w:rFonts w:ascii="Arial" w:hAnsi="Arial" w:cs="Arial"/>
          <w:b/>
          <w:bCs/>
          <w:sz w:val="24"/>
          <w:szCs w:val="24"/>
        </w:rPr>
      </w:pPr>
    </w:p>
    <w:p w14:paraId="1390B49E" w14:textId="77777777" w:rsidR="00BF1210" w:rsidRDefault="00BF1210" w:rsidP="00D6128D">
      <w:pPr>
        <w:tabs>
          <w:tab w:val="left" w:pos="4170"/>
        </w:tabs>
        <w:ind w:left="360"/>
        <w:rPr>
          <w:rFonts w:ascii="Arial" w:hAnsi="Arial" w:cs="Arial"/>
          <w:b/>
          <w:bCs/>
          <w:sz w:val="24"/>
          <w:szCs w:val="24"/>
        </w:rPr>
      </w:pPr>
    </w:p>
    <w:p w14:paraId="5F008AB0" w14:textId="77777777" w:rsidR="00BF1210" w:rsidRDefault="00BF1210" w:rsidP="00D6128D">
      <w:pPr>
        <w:tabs>
          <w:tab w:val="left" w:pos="4170"/>
        </w:tabs>
        <w:ind w:left="360"/>
        <w:rPr>
          <w:rFonts w:ascii="Arial" w:hAnsi="Arial" w:cs="Arial"/>
          <w:b/>
          <w:bCs/>
          <w:sz w:val="24"/>
          <w:szCs w:val="24"/>
        </w:rPr>
      </w:pPr>
    </w:p>
    <w:p w14:paraId="3F008986" w14:textId="77777777" w:rsidR="00BF1210" w:rsidRDefault="00BF1210" w:rsidP="00D6128D">
      <w:pPr>
        <w:tabs>
          <w:tab w:val="left" w:pos="4170"/>
        </w:tabs>
        <w:ind w:left="360"/>
        <w:rPr>
          <w:rFonts w:ascii="Arial" w:hAnsi="Arial" w:cs="Arial"/>
          <w:b/>
          <w:bCs/>
          <w:sz w:val="24"/>
          <w:szCs w:val="24"/>
        </w:rPr>
      </w:pPr>
    </w:p>
    <w:p w14:paraId="2E3BCF41" w14:textId="32D5613F" w:rsidR="009E335B" w:rsidRPr="00DF782E" w:rsidRDefault="009E335B" w:rsidP="00D6128D">
      <w:pPr>
        <w:tabs>
          <w:tab w:val="left" w:pos="4170"/>
        </w:tabs>
        <w:ind w:left="360"/>
        <w:rPr>
          <w:rFonts w:ascii="Arial" w:hAnsi="Arial" w:cs="Arial"/>
          <w:b/>
          <w:bCs/>
          <w:sz w:val="24"/>
          <w:szCs w:val="24"/>
        </w:rPr>
      </w:pPr>
      <w:r w:rsidRPr="00DF782E">
        <w:rPr>
          <w:rFonts w:ascii="Arial" w:hAnsi="Arial" w:cs="Arial"/>
          <w:b/>
          <w:bCs/>
          <w:sz w:val="24"/>
          <w:szCs w:val="24"/>
        </w:rPr>
        <w:t>Disaster Recovery Plan: Ransomware Scenario (10%)</w:t>
      </w:r>
    </w:p>
    <w:p w14:paraId="478ACC2D"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Scenario:</w:t>
      </w:r>
    </w:p>
    <w:p w14:paraId="32C7B2D7"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Attack encrypts:</w:t>
      </w:r>
    </w:p>
    <w:p w14:paraId="3224A970"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 xml:space="preserve">AI training datasets </w:t>
      </w:r>
    </w:p>
    <w:p w14:paraId="43850488"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 xml:space="preserve">Git repositories </w:t>
      </w:r>
    </w:p>
    <w:p w14:paraId="610B9CE3"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 xml:space="preserve">container registry </w:t>
      </w:r>
    </w:p>
    <w:p w14:paraId="158E953F"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Recovery plan includes layered response.</w:t>
      </w:r>
    </w:p>
    <w:p w14:paraId="2693C155" w14:textId="77777777" w:rsidR="009E335B" w:rsidRPr="00DF782E" w:rsidRDefault="009E335B" w:rsidP="00D6128D">
      <w:pPr>
        <w:tabs>
          <w:tab w:val="left" w:pos="4170"/>
        </w:tabs>
        <w:ind w:left="360"/>
        <w:rPr>
          <w:rFonts w:ascii="Arial" w:hAnsi="Arial" w:cs="Arial"/>
          <w:b/>
          <w:bCs/>
          <w:sz w:val="24"/>
          <w:szCs w:val="24"/>
        </w:rPr>
      </w:pPr>
      <w:r w:rsidRPr="00DF782E">
        <w:rPr>
          <w:rFonts w:ascii="Arial" w:hAnsi="Arial" w:cs="Arial"/>
          <w:b/>
          <w:bCs/>
          <w:sz w:val="24"/>
          <w:szCs w:val="24"/>
        </w:rPr>
        <w:t>Step 1:</w:t>
      </w:r>
    </w:p>
    <w:p w14:paraId="2B5DD187" w14:textId="0F739727" w:rsidR="009E335B" w:rsidRPr="00DF782E" w:rsidRDefault="009E335B" w:rsidP="00D6128D">
      <w:pPr>
        <w:tabs>
          <w:tab w:val="left" w:pos="4170"/>
        </w:tabs>
        <w:ind w:left="360"/>
        <w:rPr>
          <w:rFonts w:ascii="Arial" w:hAnsi="Arial" w:cs="Arial"/>
          <w:b/>
          <w:bCs/>
          <w:sz w:val="24"/>
          <w:szCs w:val="24"/>
        </w:rPr>
      </w:pPr>
      <w:r w:rsidRPr="00DF782E">
        <w:rPr>
          <w:rFonts w:ascii="Arial" w:hAnsi="Arial" w:cs="Arial"/>
          <w:b/>
          <w:bCs/>
          <w:sz w:val="24"/>
          <w:szCs w:val="24"/>
        </w:rPr>
        <w:t>Detection</w:t>
      </w:r>
    </w:p>
    <w:p w14:paraId="493BECD4"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EDR identifies encryption behaviour.</w:t>
      </w:r>
    </w:p>
    <w:p w14:paraId="1AF9511E"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Triggers:</w:t>
      </w:r>
    </w:p>
    <w:p w14:paraId="69A9A60A"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automatic containment workflow.</w:t>
      </w:r>
    </w:p>
    <w:p w14:paraId="1C126438" w14:textId="77777777" w:rsidR="009E335B" w:rsidRPr="00DF782E" w:rsidRDefault="009E335B" w:rsidP="00D6128D">
      <w:pPr>
        <w:tabs>
          <w:tab w:val="left" w:pos="4170"/>
        </w:tabs>
        <w:ind w:left="360"/>
        <w:rPr>
          <w:rFonts w:ascii="Arial" w:hAnsi="Arial" w:cs="Arial"/>
          <w:b/>
          <w:bCs/>
          <w:sz w:val="24"/>
          <w:szCs w:val="24"/>
        </w:rPr>
      </w:pPr>
      <w:r w:rsidRPr="00DF782E">
        <w:rPr>
          <w:rFonts w:ascii="Arial" w:hAnsi="Arial" w:cs="Arial"/>
          <w:b/>
          <w:bCs/>
          <w:sz w:val="24"/>
          <w:szCs w:val="24"/>
        </w:rPr>
        <w:t xml:space="preserve">Step 2: </w:t>
      </w:r>
    </w:p>
    <w:p w14:paraId="75282DEF" w14:textId="0D6CA569" w:rsidR="009E335B" w:rsidRPr="00DF782E" w:rsidRDefault="009E335B" w:rsidP="00D6128D">
      <w:pPr>
        <w:tabs>
          <w:tab w:val="left" w:pos="4170"/>
        </w:tabs>
        <w:ind w:left="360"/>
        <w:rPr>
          <w:rFonts w:ascii="Arial" w:hAnsi="Arial" w:cs="Arial"/>
          <w:b/>
          <w:bCs/>
          <w:sz w:val="24"/>
          <w:szCs w:val="24"/>
        </w:rPr>
      </w:pPr>
      <w:r w:rsidRPr="00DF782E">
        <w:rPr>
          <w:rFonts w:ascii="Arial" w:hAnsi="Arial" w:cs="Arial"/>
          <w:b/>
          <w:bCs/>
          <w:sz w:val="24"/>
          <w:szCs w:val="24"/>
        </w:rPr>
        <w:t>Isolation</w:t>
      </w:r>
    </w:p>
    <w:p w14:paraId="217723F6"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Zero-Trust segmentation blocks lateral spread.</w:t>
      </w:r>
    </w:p>
    <w:p w14:paraId="72AB4AD6"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Compromised endpoints quarantined automatically.</w:t>
      </w:r>
    </w:p>
    <w:p w14:paraId="756A14A8" w14:textId="77777777" w:rsidR="009E335B" w:rsidRPr="00DF782E" w:rsidRDefault="009E335B" w:rsidP="00D6128D">
      <w:pPr>
        <w:tabs>
          <w:tab w:val="left" w:pos="4170"/>
        </w:tabs>
        <w:ind w:left="360"/>
        <w:rPr>
          <w:rFonts w:ascii="Arial" w:hAnsi="Arial" w:cs="Arial"/>
          <w:b/>
          <w:bCs/>
          <w:sz w:val="24"/>
          <w:szCs w:val="24"/>
        </w:rPr>
      </w:pPr>
      <w:r w:rsidRPr="00DF782E">
        <w:rPr>
          <w:rFonts w:ascii="Arial" w:hAnsi="Arial" w:cs="Arial"/>
          <w:b/>
          <w:bCs/>
          <w:sz w:val="24"/>
          <w:szCs w:val="24"/>
        </w:rPr>
        <w:t xml:space="preserve">Step 3: </w:t>
      </w:r>
    </w:p>
    <w:p w14:paraId="5B0C5EB1" w14:textId="2EAB1C51" w:rsidR="009E335B" w:rsidRPr="00DF782E" w:rsidRDefault="009E335B" w:rsidP="00D6128D">
      <w:pPr>
        <w:tabs>
          <w:tab w:val="left" w:pos="4170"/>
        </w:tabs>
        <w:ind w:left="360"/>
        <w:rPr>
          <w:rFonts w:ascii="Arial" w:hAnsi="Arial" w:cs="Arial"/>
          <w:b/>
          <w:bCs/>
          <w:sz w:val="24"/>
          <w:szCs w:val="24"/>
        </w:rPr>
      </w:pPr>
      <w:r w:rsidRPr="00DF782E">
        <w:rPr>
          <w:rFonts w:ascii="Arial" w:hAnsi="Arial" w:cs="Arial"/>
          <w:b/>
          <w:bCs/>
          <w:sz w:val="24"/>
          <w:szCs w:val="24"/>
        </w:rPr>
        <w:t>Backup Restoration</w:t>
      </w:r>
    </w:p>
    <w:p w14:paraId="049995E1"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Restore from:</w:t>
      </w:r>
    </w:p>
    <w:p w14:paraId="13178998"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immutable offline storage snapshots</w:t>
      </w:r>
    </w:p>
    <w:p w14:paraId="1082E500" w14:textId="4362E19A" w:rsidR="00DB21DA"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stored separately from production cloud tenanTS.</w:t>
      </w:r>
    </w:p>
    <w:p w14:paraId="5A3F63CB" w14:textId="77777777" w:rsidR="009E335B" w:rsidRPr="00DF782E" w:rsidRDefault="009E335B" w:rsidP="00D6128D">
      <w:pPr>
        <w:tabs>
          <w:tab w:val="left" w:pos="4170"/>
        </w:tabs>
        <w:ind w:left="360"/>
        <w:rPr>
          <w:rFonts w:ascii="Arial" w:hAnsi="Arial" w:cs="Arial"/>
          <w:b/>
          <w:bCs/>
          <w:sz w:val="24"/>
          <w:szCs w:val="24"/>
        </w:rPr>
      </w:pPr>
      <w:r w:rsidRPr="00DF782E">
        <w:rPr>
          <w:rFonts w:ascii="Arial" w:hAnsi="Arial" w:cs="Arial"/>
          <w:b/>
          <w:bCs/>
          <w:sz w:val="24"/>
          <w:szCs w:val="24"/>
        </w:rPr>
        <w:t>Step 4:</w:t>
      </w:r>
    </w:p>
    <w:p w14:paraId="1F5911C2" w14:textId="4FD2C6C8" w:rsidR="009E335B" w:rsidRPr="00DF782E" w:rsidRDefault="009E335B" w:rsidP="00D6128D">
      <w:pPr>
        <w:tabs>
          <w:tab w:val="left" w:pos="4170"/>
        </w:tabs>
        <w:ind w:left="360"/>
        <w:rPr>
          <w:rFonts w:ascii="Arial" w:hAnsi="Arial" w:cs="Arial"/>
          <w:b/>
          <w:bCs/>
          <w:sz w:val="24"/>
          <w:szCs w:val="24"/>
        </w:rPr>
      </w:pPr>
      <w:r w:rsidRPr="00DF782E">
        <w:rPr>
          <w:rFonts w:ascii="Arial" w:hAnsi="Arial" w:cs="Arial"/>
          <w:b/>
          <w:bCs/>
          <w:sz w:val="24"/>
          <w:szCs w:val="24"/>
        </w:rPr>
        <w:t>Integrity Validation</w:t>
      </w:r>
    </w:p>
    <w:p w14:paraId="370B1485"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Before restoration:</w:t>
      </w:r>
    </w:p>
    <w:p w14:paraId="3F1F1260"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verify model hash signatures.</w:t>
      </w:r>
    </w:p>
    <w:p w14:paraId="2610C179"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Ensures training pipelines remain trustworthy.</w:t>
      </w:r>
    </w:p>
    <w:p w14:paraId="6A73BDFB" w14:textId="77777777" w:rsidR="009E335B" w:rsidRPr="00DF782E" w:rsidRDefault="009E335B" w:rsidP="00D6128D">
      <w:pPr>
        <w:tabs>
          <w:tab w:val="left" w:pos="4170"/>
        </w:tabs>
        <w:ind w:left="360"/>
        <w:rPr>
          <w:rFonts w:ascii="Arial" w:hAnsi="Arial" w:cs="Arial"/>
          <w:b/>
          <w:bCs/>
          <w:sz w:val="24"/>
          <w:szCs w:val="24"/>
        </w:rPr>
      </w:pPr>
      <w:r w:rsidRPr="00DF782E">
        <w:rPr>
          <w:rFonts w:ascii="Arial" w:hAnsi="Arial" w:cs="Arial"/>
          <w:b/>
          <w:bCs/>
          <w:sz w:val="24"/>
          <w:szCs w:val="24"/>
        </w:rPr>
        <w:t xml:space="preserve">Step 5: </w:t>
      </w:r>
    </w:p>
    <w:p w14:paraId="2667E5AD" w14:textId="4CE43936" w:rsidR="009E335B" w:rsidRPr="00DF782E" w:rsidRDefault="009E335B" w:rsidP="00D6128D">
      <w:pPr>
        <w:tabs>
          <w:tab w:val="left" w:pos="4170"/>
        </w:tabs>
        <w:ind w:left="360"/>
        <w:rPr>
          <w:rFonts w:ascii="Arial" w:hAnsi="Arial" w:cs="Arial"/>
          <w:b/>
          <w:bCs/>
          <w:sz w:val="24"/>
          <w:szCs w:val="24"/>
        </w:rPr>
      </w:pPr>
      <w:r w:rsidRPr="00DF782E">
        <w:rPr>
          <w:rFonts w:ascii="Arial" w:hAnsi="Arial" w:cs="Arial"/>
          <w:b/>
          <w:bCs/>
          <w:sz w:val="24"/>
          <w:szCs w:val="24"/>
        </w:rPr>
        <w:t>Regulatory Notification</w:t>
      </w:r>
    </w:p>
    <w:p w14:paraId="7AE2F2F7"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Report incident within:</w:t>
      </w:r>
    </w:p>
    <w:p w14:paraId="6F8FD4C1"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24 hours (NIS2 requirement).</w:t>
      </w:r>
    </w:p>
    <w:p w14:paraId="6DD35D49" w14:textId="77777777" w:rsidR="00BF1210" w:rsidRDefault="00BF1210" w:rsidP="00D6128D">
      <w:pPr>
        <w:tabs>
          <w:tab w:val="left" w:pos="4170"/>
        </w:tabs>
        <w:ind w:left="360"/>
        <w:rPr>
          <w:rFonts w:ascii="Arial" w:hAnsi="Arial" w:cs="Arial"/>
          <w:b/>
          <w:bCs/>
          <w:sz w:val="24"/>
          <w:szCs w:val="24"/>
        </w:rPr>
      </w:pPr>
    </w:p>
    <w:p w14:paraId="29B32468" w14:textId="77777777" w:rsidR="00BF1210" w:rsidRDefault="00BF1210" w:rsidP="00D6128D">
      <w:pPr>
        <w:tabs>
          <w:tab w:val="left" w:pos="4170"/>
        </w:tabs>
        <w:ind w:left="360"/>
        <w:rPr>
          <w:rFonts w:ascii="Arial" w:hAnsi="Arial" w:cs="Arial"/>
          <w:b/>
          <w:bCs/>
          <w:sz w:val="24"/>
          <w:szCs w:val="24"/>
        </w:rPr>
      </w:pPr>
    </w:p>
    <w:p w14:paraId="06BB6D1F" w14:textId="77777777" w:rsidR="00BF1210" w:rsidRDefault="00BF1210" w:rsidP="00D6128D">
      <w:pPr>
        <w:tabs>
          <w:tab w:val="left" w:pos="4170"/>
        </w:tabs>
        <w:ind w:left="360"/>
        <w:rPr>
          <w:rFonts w:ascii="Arial" w:hAnsi="Arial" w:cs="Arial"/>
          <w:b/>
          <w:bCs/>
          <w:sz w:val="24"/>
          <w:szCs w:val="24"/>
        </w:rPr>
      </w:pPr>
    </w:p>
    <w:p w14:paraId="1D1CA9A4" w14:textId="588879F4" w:rsidR="009E335B" w:rsidRPr="00DF782E" w:rsidRDefault="009E335B" w:rsidP="00D6128D">
      <w:pPr>
        <w:tabs>
          <w:tab w:val="left" w:pos="4170"/>
        </w:tabs>
        <w:ind w:left="360"/>
        <w:rPr>
          <w:rFonts w:ascii="Arial" w:hAnsi="Arial" w:cs="Arial"/>
          <w:b/>
          <w:bCs/>
          <w:sz w:val="24"/>
          <w:szCs w:val="24"/>
        </w:rPr>
      </w:pPr>
      <w:r w:rsidRPr="00DF782E">
        <w:rPr>
          <w:rFonts w:ascii="Arial" w:hAnsi="Arial" w:cs="Arial"/>
          <w:b/>
          <w:bCs/>
          <w:sz w:val="24"/>
          <w:szCs w:val="24"/>
        </w:rPr>
        <w:t xml:space="preserve">Zero-Trust Architecture Diagram </w:t>
      </w:r>
    </w:p>
    <w:p w14:paraId="6FA4ADB3" w14:textId="4D583201"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 xml:space="preserve">We can use this diagram in </w:t>
      </w:r>
      <w:r w:rsidRPr="00DF782E">
        <w:rPr>
          <w:rFonts w:ascii="Arial" w:hAnsi="Arial" w:cs="Arial"/>
          <w:b/>
          <w:bCs/>
          <w:sz w:val="24"/>
          <w:szCs w:val="24"/>
        </w:rPr>
        <w:t xml:space="preserve"> Visio:</w:t>
      </w:r>
    </w:p>
    <w:p w14:paraId="76A7274F" w14:textId="184EED5F" w:rsidR="009E335B" w:rsidRPr="00DF782E" w:rsidRDefault="009E335B" w:rsidP="00D6128D">
      <w:pPr>
        <w:tabs>
          <w:tab w:val="left" w:pos="4170"/>
        </w:tabs>
        <w:ind w:left="1980"/>
        <w:rPr>
          <w:rFonts w:ascii="Arial" w:hAnsi="Arial" w:cs="Arial"/>
          <w:sz w:val="24"/>
          <w:szCs w:val="24"/>
        </w:rPr>
      </w:pPr>
      <w:r w:rsidRPr="00DF782E">
        <w:rPr>
          <w:rFonts w:ascii="Arial" w:hAnsi="Arial" w:cs="Arial"/>
          <w:sz w:val="24"/>
          <w:szCs w:val="24"/>
        </w:rPr>
        <w:t>Users</w:t>
      </w:r>
    </w:p>
    <w:p w14:paraId="059BF325" w14:textId="37C6ACB2"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(Developers / Analysts / Partners)</w:t>
      </w:r>
    </w:p>
    <w:p w14:paraId="4ACB8637" w14:textId="041CE1EA" w:rsidR="009E335B" w:rsidRPr="00DF782E" w:rsidRDefault="009E335B" w:rsidP="00D6128D">
      <w:pPr>
        <w:tabs>
          <w:tab w:val="left" w:pos="4170"/>
        </w:tabs>
        <w:ind w:left="1980"/>
        <w:rPr>
          <w:rFonts w:ascii="Arial" w:hAnsi="Arial" w:cs="Arial"/>
          <w:sz w:val="24"/>
          <w:szCs w:val="24"/>
        </w:rPr>
      </w:pPr>
      <w:r w:rsidRPr="00DF782E">
        <w:rPr>
          <w:rFonts w:ascii="Arial" w:hAnsi="Arial" w:cs="Arial"/>
          <w:sz w:val="24"/>
          <w:szCs w:val="24"/>
        </w:rPr>
        <w:t>|</w:t>
      </w:r>
    </w:p>
    <w:p w14:paraId="7CE8D986" w14:textId="3CFFD1B4" w:rsidR="009E335B" w:rsidRPr="00DF782E" w:rsidRDefault="009E335B" w:rsidP="00D6128D">
      <w:pPr>
        <w:tabs>
          <w:tab w:val="left" w:pos="4170"/>
        </w:tabs>
        <w:ind w:left="1980"/>
        <w:rPr>
          <w:rFonts w:ascii="Arial" w:hAnsi="Arial" w:cs="Arial"/>
          <w:sz w:val="24"/>
          <w:szCs w:val="24"/>
        </w:rPr>
      </w:pPr>
      <w:r w:rsidRPr="00DF782E">
        <w:rPr>
          <w:rFonts w:ascii="Arial" w:hAnsi="Arial" w:cs="Arial"/>
          <w:sz w:val="24"/>
          <w:szCs w:val="24"/>
        </w:rPr>
        <w:t>v</w:t>
      </w:r>
    </w:p>
    <w:p w14:paraId="0BEDD8F4" w14:textId="0ACC52F3" w:rsidR="009E335B" w:rsidRPr="00DF782E" w:rsidRDefault="009E335B" w:rsidP="00D6128D">
      <w:pPr>
        <w:tabs>
          <w:tab w:val="left" w:pos="4170"/>
        </w:tabs>
        <w:ind w:left="1080"/>
        <w:rPr>
          <w:rFonts w:ascii="Arial" w:hAnsi="Arial" w:cs="Arial"/>
          <w:sz w:val="24"/>
          <w:szCs w:val="24"/>
        </w:rPr>
      </w:pPr>
      <w:r w:rsidRPr="00DF782E">
        <w:rPr>
          <w:rFonts w:ascii="Arial" w:hAnsi="Arial" w:cs="Arial"/>
          <w:sz w:val="24"/>
          <w:szCs w:val="24"/>
        </w:rPr>
        <w:t>+----------------------------------+</w:t>
      </w:r>
    </w:p>
    <w:p w14:paraId="3EA8B214" w14:textId="6ED3EFA6" w:rsidR="009E335B" w:rsidRPr="00DF782E" w:rsidRDefault="009E335B" w:rsidP="00D6128D">
      <w:pPr>
        <w:tabs>
          <w:tab w:val="left" w:pos="4170"/>
        </w:tabs>
        <w:ind w:left="1080"/>
        <w:rPr>
          <w:rFonts w:ascii="Arial" w:hAnsi="Arial" w:cs="Arial"/>
          <w:sz w:val="24"/>
          <w:szCs w:val="24"/>
        </w:rPr>
      </w:pPr>
      <w:r w:rsidRPr="00DF782E">
        <w:rPr>
          <w:rFonts w:ascii="Arial" w:hAnsi="Arial" w:cs="Arial"/>
          <w:sz w:val="24"/>
          <w:szCs w:val="24"/>
        </w:rPr>
        <w:t>|  Phishing</w:t>
      </w:r>
      <w:r w:rsidRPr="00DF782E">
        <w:rPr>
          <w:rFonts w:ascii="Cambria Math" w:hAnsi="Cambria Math" w:cs="Cambria Math"/>
          <w:sz w:val="24"/>
          <w:szCs w:val="24"/>
        </w:rPr>
        <w:t>‑</w:t>
      </w:r>
      <w:r w:rsidRPr="00DF782E">
        <w:rPr>
          <w:rFonts w:ascii="Arial" w:hAnsi="Arial" w:cs="Arial"/>
          <w:sz w:val="24"/>
          <w:szCs w:val="24"/>
        </w:rPr>
        <w:t>Resistant MFA Identity  |</w:t>
      </w:r>
    </w:p>
    <w:p w14:paraId="68C46DE6" w14:textId="2E7C30C4" w:rsidR="009E335B" w:rsidRPr="00DF782E" w:rsidRDefault="009E335B" w:rsidP="00D6128D">
      <w:pPr>
        <w:tabs>
          <w:tab w:val="left" w:pos="4170"/>
        </w:tabs>
        <w:ind w:left="1080"/>
        <w:rPr>
          <w:rFonts w:ascii="Arial" w:hAnsi="Arial" w:cs="Arial"/>
          <w:sz w:val="24"/>
          <w:szCs w:val="24"/>
        </w:rPr>
      </w:pPr>
      <w:r w:rsidRPr="00DF782E">
        <w:rPr>
          <w:rFonts w:ascii="Arial" w:hAnsi="Arial" w:cs="Arial"/>
          <w:sz w:val="24"/>
          <w:szCs w:val="24"/>
        </w:rPr>
        <w:t>|              Layer                |</w:t>
      </w:r>
    </w:p>
    <w:p w14:paraId="52B8F914" w14:textId="50EDE552" w:rsidR="009E335B" w:rsidRPr="00DF782E" w:rsidRDefault="009E335B" w:rsidP="00D6128D">
      <w:pPr>
        <w:tabs>
          <w:tab w:val="left" w:pos="4170"/>
        </w:tabs>
        <w:ind w:left="1080"/>
        <w:rPr>
          <w:rFonts w:ascii="Arial" w:hAnsi="Arial" w:cs="Arial"/>
          <w:sz w:val="24"/>
          <w:szCs w:val="24"/>
        </w:rPr>
      </w:pPr>
      <w:r w:rsidRPr="00DF782E">
        <w:rPr>
          <w:rFonts w:ascii="Arial" w:hAnsi="Arial" w:cs="Arial"/>
          <w:sz w:val="24"/>
          <w:szCs w:val="24"/>
        </w:rPr>
        <w:t>+----------------------------------+</w:t>
      </w:r>
    </w:p>
    <w:p w14:paraId="1D385D05" w14:textId="77BC91A6" w:rsidR="009E335B" w:rsidRPr="00DF782E" w:rsidRDefault="009E335B" w:rsidP="00D6128D">
      <w:pPr>
        <w:tabs>
          <w:tab w:val="left" w:pos="4170"/>
        </w:tabs>
        <w:ind w:left="1980"/>
        <w:rPr>
          <w:rFonts w:ascii="Arial" w:hAnsi="Arial" w:cs="Arial"/>
          <w:sz w:val="24"/>
          <w:szCs w:val="24"/>
        </w:rPr>
      </w:pPr>
      <w:r w:rsidRPr="00DF782E">
        <w:rPr>
          <w:rFonts w:ascii="Arial" w:hAnsi="Arial" w:cs="Arial"/>
          <w:sz w:val="24"/>
          <w:szCs w:val="24"/>
        </w:rPr>
        <w:t>|</w:t>
      </w:r>
    </w:p>
    <w:p w14:paraId="165539BF" w14:textId="29D5F48F" w:rsidR="009E335B" w:rsidRPr="00DF782E" w:rsidRDefault="009E335B" w:rsidP="00D6128D">
      <w:pPr>
        <w:tabs>
          <w:tab w:val="left" w:pos="4170"/>
        </w:tabs>
        <w:ind w:left="1980"/>
        <w:rPr>
          <w:rFonts w:ascii="Arial" w:hAnsi="Arial" w:cs="Arial"/>
          <w:sz w:val="24"/>
          <w:szCs w:val="24"/>
        </w:rPr>
      </w:pPr>
      <w:r w:rsidRPr="00DF782E">
        <w:rPr>
          <w:rFonts w:ascii="Arial" w:hAnsi="Arial" w:cs="Arial"/>
          <w:sz w:val="24"/>
          <w:szCs w:val="24"/>
        </w:rPr>
        <w:t>v</w:t>
      </w:r>
    </w:p>
    <w:p w14:paraId="5E951F50" w14:textId="5958F179" w:rsidR="009E335B" w:rsidRPr="00DF782E" w:rsidRDefault="009E335B" w:rsidP="00D6128D">
      <w:pPr>
        <w:tabs>
          <w:tab w:val="left" w:pos="4170"/>
        </w:tabs>
        <w:ind w:left="1080"/>
        <w:rPr>
          <w:rFonts w:ascii="Arial" w:hAnsi="Arial" w:cs="Arial"/>
          <w:sz w:val="24"/>
          <w:szCs w:val="24"/>
        </w:rPr>
      </w:pPr>
      <w:r w:rsidRPr="00DF782E">
        <w:rPr>
          <w:rFonts w:ascii="Arial" w:hAnsi="Arial" w:cs="Arial"/>
          <w:sz w:val="24"/>
          <w:szCs w:val="24"/>
        </w:rPr>
        <w:t>+----------------------------------+</w:t>
      </w:r>
    </w:p>
    <w:p w14:paraId="19DF327B" w14:textId="07D97F2D" w:rsidR="009E335B" w:rsidRPr="00DF782E" w:rsidRDefault="009E335B" w:rsidP="00D6128D">
      <w:pPr>
        <w:tabs>
          <w:tab w:val="left" w:pos="4170"/>
        </w:tabs>
        <w:ind w:left="1080"/>
        <w:rPr>
          <w:rFonts w:ascii="Arial" w:hAnsi="Arial" w:cs="Arial"/>
          <w:sz w:val="24"/>
          <w:szCs w:val="24"/>
        </w:rPr>
      </w:pPr>
      <w:r w:rsidRPr="00DF782E">
        <w:rPr>
          <w:rFonts w:ascii="Arial" w:hAnsi="Arial" w:cs="Arial"/>
          <w:sz w:val="24"/>
          <w:szCs w:val="24"/>
        </w:rPr>
        <w:t>|      Zero</w:t>
      </w:r>
      <w:r w:rsidRPr="00DF782E">
        <w:rPr>
          <w:rFonts w:ascii="Cambria Math" w:hAnsi="Cambria Math" w:cs="Cambria Math"/>
          <w:sz w:val="24"/>
          <w:szCs w:val="24"/>
        </w:rPr>
        <w:t>‑</w:t>
      </w:r>
      <w:r w:rsidRPr="00DF782E">
        <w:rPr>
          <w:rFonts w:ascii="Arial" w:hAnsi="Arial" w:cs="Arial"/>
          <w:sz w:val="24"/>
          <w:szCs w:val="24"/>
        </w:rPr>
        <w:t>Trust Access Gateway    |</w:t>
      </w:r>
    </w:p>
    <w:p w14:paraId="22A05A2C" w14:textId="5E6BEC6C" w:rsidR="009E335B" w:rsidRPr="00DF782E" w:rsidRDefault="009E335B" w:rsidP="00D6128D">
      <w:pPr>
        <w:tabs>
          <w:tab w:val="left" w:pos="4170"/>
        </w:tabs>
        <w:ind w:left="1080"/>
        <w:rPr>
          <w:rFonts w:ascii="Arial" w:hAnsi="Arial" w:cs="Arial"/>
          <w:sz w:val="24"/>
          <w:szCs w:val="24"/>
        </w:rPr>
      </w:pPr>
      <w:r w:rsidRPr="00DF782E">
        <w:rPr>
          <w:rFonts w:ascii="Arial" w:hAnsi="Arial" w:cs="Arial"/>
          <w:sz w:val="24"/>
          <w:szCs w:val="24"/>
        </w:rPr>
        <w:t>+----------------------------------+</w:t>
      </w:r>
    </w:p>
    <w:p w14:paraId="7CB01A61" w14:textId="7B7F0808" w:rsidR="009E335B" w:rsidRPr="00DF782E" w:rsidRDefault="009E335B" w:rsidP="00D6128D">
      <w:pPr>
        <w:tabs>
          <w:tab w:val="left" w:pos="4170"/>
        </w:tabs>
        <w:ind w:left="1980"/>
        <w:rPr>
          <w:rFonts w:ascii="Arial" w:hAnsi="Arial" w:cs="Arial"/>
          <w:sz w:val="24"/>
          <w:szCs w:val="24"/>
        </w:rPr>
      </w:pPr>
      <w:r w:rsidRPr="00DF782E">
        <w:rPr>
          <w:rFonts w:ascii="Arial" w:hAnsi="Arial" w:cs="Arial"/>
          <w:sz w:val="24"/>
          <w:szCs w:val="24"/>
        </w:rPr>
        <w:t>|</w:t>
      </w:r>
    </w:p>
    <w:p w14:paraId="0AF0F79F" w14:textId="76D7F099"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w:t>
      </w:r>
    </w:p>
    <w:p w14:paraId="59585651" w14:textId="46A341F9" w:rsidR="009E335B" w:rsidRPr="00DF782E" w:rsidRDefault="009E335B" w:rsidP="00D6128D">
      <w:pPr>
        <w:ind w:left="360"/>
        <w:rPr>
          <w:sz w:val="24"/>
          <w:szCs w:val="24"/>
        </w:rPr>
      </w:pPr>
      <w:r w:rsidRPr="00DF782E">
        <w:rPr>
          <w:sz w:val="24"/>
          <w:szCs w:val="24"/>
        </w:rPr>
        <w:t>|                               |                               |</w:t>
      </w:r>
    </w:p>
    <w:p w14:paraId="2CF44D2D" w14:textId="54C082A8"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v                               v                               v</w:t>
      </w:r>
    </w:p>
    <w:p w14:paraId="33417278"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     +-----------------------+      +------------------------+</w:t>
      </w:r>
    </w:p>
    <w:p w14:paraId="70D12521"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   Cloud AI        |     |     SaaS Platform     |      |   DevSecOps Pipeline  |</w:t>
      </w:r>
    </w:p>
    <w:p w14:paraId="228A6464"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 Training Env      |     |    Clinical Apps      |      |     Secure CI/CD      |</w:t>
      </w:r>
    </w:p>
    <w:p w14:paraId="323A1E7B"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     +-----------------------+      +------------------------+</w:t>
      </w:r>
    </w:p>
    <w:p w14:paraId="7AB01977" w14:textId="3C279B15" w:rsidR="009E335B" w:rsidRPr="00DF782E" w:rsidRDefault="009E335B" w:rsidP="00D6128D">
      <w:pPr>
        <w:tabs>
          <w:tab w:val="left" w:pos="4170"/>
        </w:tabs>
        <w:ind w:left="1980"/>
        <w:rPr>
          <w:rFonts w:ascii="Arial" w:hAnsi="Arial" w:cs="Arial"/>
          <w:sz w:val="24"/>
          <w:szCs w:val="24"/>
        </w:rPr>
      </w:pPr>
      <w:r w:rsidRPr="00DF782E">
        <w:rPr>
          <w:rFonts w:ascii="Arial" w:hAnsi="Arial" w:cs="Arial"/>
          <w:sz w:val="24"/>
          <w:szCs w:val="24"/>
        </w:rPr>
        <w:t>|</w:t>
      </w:r>
    </w:p>
    <w:p w14:paraId="50CDE0B1" w14:textId="771A4EC2" w:rsidR="009E335B" w:rsidRPr="00DF782E" w:rsidRDefault="009E335B" w:rsidP="00D6128D">
      <w:pPr>
        <w:tabs>
          <w:tab w:val="left" w:pos="4170"/>
        </w:tabs>
        <w:ind w:left="1980"/>
        <w:rPr>
          <w:rFonts w:ascii="Arial" w:hAnsi="Arial" w:cs="Arial"/>
          <w:sz w:val="24"/>
          <w:szCs w:val="24"/>
        </w:rPr>
      </w:pPr>
      <w:r w:rsidRPr="00DF782E">
        <w:rPr>
          <w:rFonts w:ascii="Arial" w:hAnsi="Arial" w:cs="Arial"/>
          <w:sz w:val="24"/>
          <w:szCs w:val="24"/>
        </w:rPr>
        <w:t>v</w:t>
      </w:r>
    </w:p>
    <w:p w14:paraId="0531C6E3" w14:textId="63901CE3" w:rsidR="009E335B" w:rsidRPr="00DF782E" w:rsidRDefault="009E335B" w:rsidP="00D6128D">
      <w:pPr>
        <w:tabs>
          <w:tab w:val="left" w:pos="4170"/>
        </w:tabs>
        <w:ind w:left="1080"/>
        <w:rPr>
          <w:rFonts w:ascii="Arial" w:hAnsi="Arial" w:cs="Arial"/>
          <w:sz w:val="24"/>
          <w:szCs w:val="24"/>
        </w:rPr>
      </w:pPr>
      <w:r w:rsidRPr="00DF782E">
        <w:rPr>
          <w:rFonts w:ascii="Arial" w:hAnsi="Arial" w:cs="Arial"/>
          <w:sz w:val="24"/>
          <w:szCs w:val="24"/>
        </w:rPr>
        <w:t>+----------------------------------+</w:t>
      </w:r>
    </w:p>
    <w:p w14:paraId="61A7AB1C" w14:textId="3959D959" w:rsidR="009E335B" w:rsidRPr="00DF782E" w:rsidRDefault="009E335B" w:rsidP="00D6128D">
      <w:pPr>
        <w:tabs>
          <w:tab w:val="left" w:pos="4170"/>
        </w:tabs>
        <w:ind w:left="1080"/>
        <w:rPr>
          <w:rFonts w:ascii="Arial" w:hAnsi="Arial" w:cs="Arial"/>
          <w:sz w:val="24"/>
          <w:szCs w:val="24"/>
        </w:rPr>
      </w:pPr>
      <w:r w:rsidRPr="00DF782E">
        <w:rPr>
          <w:rFonts w:ascii="Arial" w:hAnsi="Arial" w:cs="Arial"/>
          <w:sz w:val="24"/>
          <w:szCs w:val="24"/>
        </w:rPr>
        <w:t>|   Encrypted Data Storage Layer    |</w:t>
      </w:r>
    </w:p>
    <w:p w14:paraId="785C374C" w14:textId="277B7619" w:rsidR="009E335B" w:rsidRPr="00DF782E" w:rsidRDefault="009E335B" w:rsidP="00D6128D">
      <w:pPr>
        <w:tabs>
          <w:tab w:val="left" w:pos="4170"/>
        </w:tabs>
        <w:ind w:left="1080"/>
        <w:rPr>
          <w:rFonts w:ascii="Arial" w:hAnsi="Arial" w:cs="Arial"/>
          <w:sz w:val="24"/>
          <w:szCs w:val="24"/>
        </w:rPr>
      </w:pPr>
      <w:r w:rsidRPr="00DF782E">
        <w:rPr>
          <w:rFonts w:ascii="Arial" w:hAnsi="Arial" w:cs="Arial"/>
          <w:sz w:val="24"/>
          <w:szCs w:val="24"/>
        </w:rPr>
        <w:t>+----------------------------------+</w:t>
      </w:r>
    </w:p>
    <w:p w14:paraId="04C24E8E" w14:textId="2D9BAE7F" w:rsidR="009E335B" w:rsidRPr="00DF782E" w:rsidRDefault="009E335B" w:rsidP="00D6128D">
      <w:pPr>
        <w:tabs>
          <w:tab w:val="left" w:pos="4170"/>
        </w:tabs>
        <w:ind w:left="1980"/>
        <w:rPr>
          <w:rFonts w:ascii="Arial" w:hAnsi="Arial" w:cs="Arial"/>
          <w:sz w:val="24"/>
          <w:szCs w:val="24"/>
        </w:rPr>
      </w:pPr>
      <w:r w:rsidRPr="00DF782E">
        <w:rPr>
          <w:rFonts w:ascii="Arial" w:hAnsi="Arial" w:cs="Arial"/>
          <w:sz w:val="24"/>
          <w:szCs w:val="24"/>
        </w:rPr>
        <w:t>|</w:t>
      </w:r>
    </w:p>
    <w:p w14:paraId="2D4C5F73" w14:textId="263FEFD0" w:rsidR="009E335B" w:rsidRPr="00DF782E" w:rsidRDefault="009E335B" w:rsidP="00D6128D">
      <w:pPr>
        <w:tabs>
          <w:tab w:val="left" w:pos="4170"/>
        </w:tabs>
        <w:ind w:left="1980"/>
        <w:rPr>
          <w:rFonts w:ascii="Arial" w:hAnsi="Arial" w:cs="Arial"/>
          <w:sz w:val="24"/>
          <w:szCs w:val="24"/>
        </w:rPr>
      </w:pPr>
      <w:r w:rsidRPr="00DF782E">
        <w:rPr>
          <w:rFonts w:ascii="Arial" w:hAnsi="Arial" w:cs="Arial"/>
          <w:sz w:val="24"/>
          <w:szCs w:val="24"/>
        </w:rPr>
        <w:t>v</w:t>
      </w:r>
    </w:p>
    <w:p w14:paraId="65F68BA7" w14:textId="1C7AF81D" w:rsidR="009E335B" w:rsidRPr="00DF782E" w:rsidRDefault="009E335B" w:rsidP="00D6128D">
      <w:pPr>
        <w:tabs>
          <w:tab w:val="left" w:pos="4170"/>
        </w:tabs>
        <w:ind w:left="1080"/>
        <w:rPr>
          <w:rFonts w:ascii="Arial" w:hAnsi="Arial" w:cs="Arial"/>
          <w:sz w:val="24"/>
          <w:szCs w:val="24"/>
        </w:rPr>
      </w:pPr>
      <w:r w:rsidRPr="00DF782E">
        <w:rPr>
          <w:rFonts w:ascii="Arial" w:hAnsi="Arial" w:cs="Arial"/>
          <w:sz w:val="24"/>
          <w:szCs w:val="24"/>
        </w:rPr>
        <w:t>+----------------------------------+</w:t>
      </w:r>
    </w:p>
    <w:p w14:paraId="3E586D72" w14:textId="4C28E6E1" w:rsidR="009E335B" w:rsidRPr="00DF782E" w:rsidRDefault="009E335B" w:rsidP="00D6128D">
      <w:pPr>
        <w:tabs>
          <w:tab w:val="left" w:pos="4170"/>
        </w:tabs>
        <w:ind w:left="1080"/>
        <w:rPr>
          <w:rFonts w:ascii="Arial" w:hAnsi="Arial" w:cs="Arial"/>
          <w:sz w:val="24"/>
          <w:szCs w:val="24"/>
        </w:rPr>
      </w:pPr>
      <w:r w:rsidRPr="00DF782E">
        <w:rPr>
          <w:rFonts w:ascii="Arial" w:hAnsi="Arial" w:cs="Arial"/>
          <w:sz w:val="24"/>
          <w:szCs w:val="24"/>
        </w:rPr>
        <w:t>|   SIEM + CSPM + EDR Monitoring    |</w:t>
      </w:r>
    </w:p>
    <w:p w14:paraId="616B77D8" w14:textId="44DC3B07" w:rsidR="009E335B" w:rsidRPr="00DF782E" w:rsidRDefault="009E335B" w:rsidP="00D6128D">
      <w:pPr>
        <w:tabs>
          <w:tab w:val="left" w:pos="4170"/>
        </w:tabs>
        <w:ind w:left="1080"/>
        <w:rPr>
          <w:rFonts w:ascii="Arial" w:hAnsi="Arial" w:cs="Arial"/>
          <w:sz w:val="24"/>
          <w:szCs w:val="24"/>
        </w:rPr>
      </w:pPr>
      <w:r w:rsidRPr="00DF782E">
        <w:rPr>
          <w:rFonts w:ascii="Arial" w:hAnsi="Arial" w:cs="Arial"/>
          <w:sz w:val="24"/>
          <w:szCs w:val="24"/>
        </w:rPr>
        <w:lastRenderedPageBreak/>
        <w:t>|               Layer                |</w:t>
      </w:r>
    </w:p>
    <w:p w14:paraId="72E1739B" w14:textId="605E573E" w:rsidR="009E335B" w:rsidRPr="00DF782E" w:rsidRDefault="009E335B" w:rsidP="00D6128D">
      <w:pPr>
        <w:tabs>
          <w:tab w:val="left" w:pos="4170"/>
        </w:tabs>
        <w:ind w:left="1080"/>
        <w:rPr>
          <w:rFonts w:ascii="Arial" w:hAnsi="Arial" w:cs="Arial"/>
          <w:sz w:val="24"/>
          <w:szCs w:val="24"/>
        </w:rPr>
      </w:pPr>
      <w:r w:rsidRPr="00DF782E">
        <w:rPr>
          <w:rFonts w:ascii="Arial" w:hAnsi="Arial" w:cs="Arial"/>
          <w:sz w:val="24"/>
          <w:szCs w:val="24"/>
        </w:rPr>
        <w:t>+----------------------------------+</w:t>
      </w:r>
    </w:p>
    <w:p w14:paraId="4E1CEEDA" w14:textId="72FF96D6" w:rsidR="009E335B" w:rsidRPr="00DF782E" w:rsidRDefault="009E335B" w:rsidP="00D6128D">
      <w:pPr>
        <w:tabs>
          <w:tab w:val="left" w:pos="4170"/>
        </w:tabs>
        <w:ind w:left="1980"/>
        <w:rPr>
          <w:rFonts w:ascii="Arial" w:hAnsi="Arial" w:cs="Arial"/>
          <w:sz w:val="24"/>
          <w:szCs w:val="24"/>
        </w:rPr>
      </w:pPr>
      <w:r w:rsidRPr="00DF782E">
        <w:rPr>
          <w:rFonts w:ascii="Arial" w:hAnsi="Arial" w:cs="Arial"/>
          <w:sz w:val="24"/>
          <w:szCs w:val="24"/>
        </w:rPr>
        <w:t>|</w:t>
      </w:r>
    </w:p>
    <w:p w14:paraId="4704109D" w14:textId="5DCBE5F1" w:rsidR="009E335B" w:rsidRPr="00DF782E" w:rsidRDefault="009E335B" w:rsidP="00D6128D">
      <w:pPr>
        <w:tabs>
          <w:tab w:val="left" w:pos="4170"/>
        </w:tabs>
        <w:ind w:left="1980"/>
        <w:rPr>
          <w:rFonts w:ascii="Arial" w:hAnsi="Arial" w:cs="Arial"/>
          <w:sz w:val="24"/>
          <w:szCs w:val="24"/>
        </w:rPr>
      </w:pPr>
      <w:r w:rsidRPr="00DF782E">
        <w:rPr>
          <w:rFonts w:ascii="Arial" w:hAnsi="Arial" w:cs="Arial"/>
          <w:sz w:val="24"/>
          <w:szCs w:val="24"/>
        </w:rPr>
        <w:t>v</w:t>
      </w:r>
    </w:p>
    <w:p w14:paraId="01FE34B3" w14:textId="3910B814" w:rsidR="009E335B" w:rsidRPr="00DF782E" w:rsidRDefault="009E335B" w:rsidP="00D6128D">
      <w:pPr>
        <w:tabs>
          <w:tab w:val="left" w:pos="4170"/>
        </w:tabs>
        <w:ind w:left="1080"/>
        <w:rPr>
          <w:rFonts w:ascii="Arial" w:hAnsi="Arial" w:cs="Arial"/>
          <w:sz w:val="24"/>
          <w:szCs w:val="24"/>
        </w:rPr>
      </w:pPr>
      <w:r w:rsidRPr="00DF782E">
        <w:rPr>
          <w:rFonts w:ascii="Arial" w:hAnsi="Arial" w:cs="Arial"/>
          <w:sz w:val="24"/>
          <w:szCs w:val="24"/>
        </w:rPr>
        <w:t>+----------------------------------+</w:t>
      </w:r>
    </w:p>
    <w:p w14:paraId="10386C74" w14:textId="59A07106" w:rsidR="009E335B" w:rsidRPr="00DF782E" w:rsidRDefault="009E335B" w:rsidP="00D6128D">
      <w:pPr>
        <w:tabs>
          <w:tab w:val="left" w:pos="4170"/>
        </w:tabs>
        <w:ind w:left="1080"/>
        <w:rPr>
          <w:rFonts w:ascii="Arial" w:hAnsi="Arial" w:cs="Arial"/>
          <w:sz w:val="24"/>
          <w:szCs w:val="24"/>
        </w:rPr>
      </w:pPr>
      <w:r w:rsidRPr="00DF782E">
        <w:rPr>
          <w:rFonts w:ascii="Arial" w:hAnsi="Arial" w:cs="Arial"/>
          <w:sz w:val="24"/>
          <w:szCs w:val="24"/>
        </w:rPr>
        <w:t>|   Security Operations Centre      |</w:t>
      </w:r>
    </w:p>
    <w:p w14:paraId="13E0B5CC" w14:textId="64990C38" w:rsidR="009E335B" w:rsidRPr="00DF782E" w:rsidRDefault="009E335B" w:rsidP="00D6128D">
      <w:pPr>
        <w:tabs>
          <w:tab w:val="left" w:pos="4170"/>
        </w:tabs>
        <w:ind w:left="1080"/>
        <w:rPr>
          <w:rFonts w:ascii="Arial" w:hAnsi="Arial" w:cs="Arial"/>
          <w:sz w:val="24"/>
          <w:szCs w:val="24"/>
        </w:rPr>
      </w:pPr>
      <w:r w:rsidRPr="00DF782E">
        <w:rPr>
          <w:rFonts w:ascii="Arial" w:hAnsi="Arial" w:cs="Arial"/>
          <w:sz w:val="24"/>
          <w:szCs w:val="24"/>
        </w:rPr>
        <w:t>+----------------------------------+</w:t>
      </w:r>
    </w:p>
    <w:p w14:paraId="4C63B65A"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Diagram justification:</w:t>
      </w:r>
    </w:p>
    <w:p w14:paraId="28577AAE" w14:textId="77777777" w:rsidR="009E335B" w:rsidRPr="00DF782E" w:rsidRDefault="009E335B" w:rsidP="00D6128D">
      <w:pPr>
        <w:tabs>
          <w:tab w:val="left" w:pos="4170"/>
        </w:tabs>
        <w:ind w:left="360"/>
        <w:rPr>
          <w:rFonts w:ascii="Arial" w:hAnsi="Arial" w:cs="Arial"/>
          <w:sz w:val="24"/>
          <w:szCs w:val="24"/>
        </w:rPr>
      </w:pPr>
      <w:r w:rsidRPr="00DF782E">
        <w:rPr>
          <w:rFonts w:ascii="Arial" w:hAnsi="Arial" w:cs="Arial"/>
          <w:sz w:val="24"/>
          <w:szCs w:val="24"/>
        </w:rPr>
        <w:t>Implements identity-centric security enforcement rather than perimeter defence.</w:t>
      </w:r>
    </w:p>
    <w:p w14:paraId="685D2525" w14:textId="6328579C" w:rsidR="006124AE" w:rsidRPr="00DF782E" w:rsidRDefault="006124AE" w:rsidP="00D6128D">
      <w:pPr>
        <w:tabs>
          <w:tab w:val="left" w:pos="4170"/>
        </w:tabs>
        <w:ind w:left="360"/>
        <w:rPr>
          <w:rFonts w:ascii="Arial" w:hAnsi="Arial" w:cs="Arial"/>
          <w:b/>
          <w:bCs/>
          <w:sz w:val="24"/>
          <w:szCs w:val="24"/>
        </w:rPr>
      </w:pPr>
      <w:r w:rsidRPr="00DF782E">
        <w:rPr>
          <w:rFonts w:ascii="Arial" w:hAnsi="Arial" w:cs="Arial"/>
          <w:b/>
          <w:bCs/>
          <w:sz w:val="24"/>
          <w:szCs w:val="24"/>
        </w:rPr>
        <w:t>Strategic Benefits of the Programme</w:t>
      </w:r>
    </w:p>
    <w:p w14:paraId="5866F29A" w14:textId="77777777" w:rsidR="006124AE" w:rsidRPr="00DF782E" w:rsidRDefault="006124AE" w:rsidP="00D6128D">
      <w:pPr>
        <w:tabs>
          <w:tab w:val="left" w:pos="4170"/>
        </w:tabs>
        <w:ind w:left="360"/>
        <w:rPr>
          <w:rFonts w:ascii="Arial" w:hAnsi="Arial" w:cs="Arial"/>
          <w:sz w:val="24"/>
          <w:szCs w:val="24"/>
        </w:rPr>
      </w:pPr>
      <w:r w:rsidRPr="00DF782E">
        <w:rPr>
          <w:rFonts w:ascii="Arial" w:hAnsi="Arial" w:cs="Arial"/>
          <w:sz w:val="24"/>
          <w:szCs w:val="24"/>
        </w:rPr>
        <w:t>Programme enables: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828"/>
        <w:gridCol w:w="2419"/>
      </w:tblGrid>
      <w:tr w:rsidR="006124AE" w:rsidRPr="00DF782E" w14:paraId="6CA31FE3" w14:textId="77777777" w:rsidTr="00467DB3">
        <w:trPr>
          <w:tblHeader/>
          <w:tblCellSpacing w:w="15" w:type="dxa"/>
        </w:trPr>
        <w:tc>
          <w:tcPr>
            <w:tcW w:w="3783" w:type="dxa"/>
            <w:vAlign w:val="center"/>
            <w:hideMark/>
          </w:tcPr>
          <w:p w14:paraId="12761CF6" w14:textId="77777777" w:rsidR="006124AE" w:rsidRPr="00DF782E" w:rsidRDefault="006124AE" w:rsidP="00D6128D">
            <w:pPr>
              <w:tabs>
                <w:tab w:val="left" w:pos="4170"/>
              </w:tabs>
              <w:ind w:left="360"/>
              <w:rPr>
                <w:rFonts w:ascii="Arial" w:hAnsi="Arial" w:cs="Arial"/>
                <w:b/>
                <w:bCs/>
                <w:sz w:val="24"/>
                <w:szCs w:val="24"/>
              </w:rPr>
            </w:pPr>
            <w:r w:rsidRPr="00DF782E">
              <w:rPr>
                <w:rFonts w:ascii="Arial" w:hAnsi="Arial" w:cs="Arial"/>
                <w:b/>
                <w:bCs/>
                <w:sz w:val="24"/>
                <w:szCs w:val="24"/>
              </w:rPr>
              <w:t>Benefit</w:t>
            </w:r>
          </w:p>
        </w:tc>
        <w:tc>
          <w:tcPr>
            <w:tcW w:w="2374" w:type="dxa"/>
            <w:vAlign w:val="center"/>
            <w:hideMark/>
          </w:tcPr>
          <w:p w14:paraId="5841BAAB" w14:textId="77777777" w:rsidR="006124AE" w:rsidRPr="00DF782E" w:rsidRDefault="006124AE" w:rsidP="00D6128D">
            <w:pPr>
              <w:tabs>
                <w:tab w:val="left" w:pos="4170"/>
              </w:tabs>
              <w:ind w:left="360"/>
              <w:rPr>
                <w:rFonts w:ascii="Arial" w:hAnsi="Arial" w:cs="Arial"/>
                <w:b/>
                <w:bCs/>
                <w:sz w:val="24"/>
                <w:szCs w:val="24"/>
              </w:rPr>
            </w:pPr>
            <w:r w:rsidRPr="00DF782E">
              <w:rPr>
                <w:rFonts w:ascii="Arial" w:hAnsi="Arial" w:cs="Arial"/>
                <w:b/>
                <w:bCs/>
                <w:sz w:val="24"/>
                <w:szCs w:val="24"/>
              </w:rPr>
              <w:t>Outcome</w:t>
            </w:r>
          </w:p>
        </w:tc>
      </w:tr>
      <w:tr w:rsidR="006124AE" w:rsidRPr="00DF782E" w14:paraId="27C1FD58" w14:textId="77777777" w:rsidTr="00467DB3">
        <w:trPr>
          <w:tblCellSpacing w:w="15" w:type="dxa"/>
        </w:trPr>
        <w:tc>
          <w:tcPr>
            <w:tcW w:w="3783" w:type="dxa"/>
            <w:vAlign w:val="center"/>
            <w:hideMark/>
          </w:tcPr>
          <w:p w14:paraId="490B4BA3" w14:textId="77777777" w:rsidR="006124AE" w:rsidRPr="00DF782E" w:rsidRDefault="006124AE" w:rsidP="00D6128D">
            <w:pPr>
              <w:tabs>
                <w:tab w:val="left" w:pos="4170"/>
              </w:tabs>
              <w:ind w:left="360"/>
              <w:rPr>
                <w:rFonts w:ascii="Arial" w:hAnsi="Arial" w:cs="Arial"/>
                <w:sz w:val="24"/>
                <w:szCs w:val="24"/>
              </w:rPr>
            </w:pPr>
            <w:r w:rsidRPr="00DF782E">
              <w:rPr>
                <w:rFonts w:ascii="Arial" w:hAnsi="Arial" w:cs="Arial"/>
                <w:sz w:val="24"/>
                <w:szCs w:val="24"/>
              </w:rPr>
              <w:t>Zero-Trust enforcement</w:t>
            </w:r>
          </w:p>
        </w:tc>
        <w:tc>
          <w:tcPr>
            <w:tcW w:w="2374" w:type="dxa"/>
            <w:vAlign w:val="center"/>
            <w:hideMark/>
          </w:tcPr>
          <w:p w14:paraId="516195F0" w14:textId="77777777" w:rsidR="006124AE" w:rsidRPr="00DF782E" w:rsidRDefault="006124AE" w:rsidP="00D6128D">
            <w:pPr>
              <w:tabs>
                <w:tab w:val="left" w:pos="4170"/>
              </w:tabs>
              <w:ind w:left="360"/>
              <w:rPr>
                <w:rFonts w:ascii="Arial" w:hAnsi="Arial" w:cs="Arial"/>
                <w:sz w:val="24"/>
                <w:szCs w:val="24"/>
              </w:rPr>
            </w:pPr>
            <w:r w:rsidRPr="00DF782E">
              <w:rPr>
                <w:rFonts w:ascii="Arial" w:hAnsi="Arial" w:cs="Arial"/>
                <w:sz w:val="24"/>
                <w:szCs w:val="24"/>
              </w:rPr>
              <w:t>reduced lateral movement risk</w:t>
            </w:r>
          </w:p>
        </w:tc>
      </w:tr>
      <w:tr w:rsidR="006124AE" w:rsidRPr="00DF782E" w14:paraId="63D4BC5A" w14:textId="77777777" w:rsidTr="00467DB3">
        <w:trPr>
          <w:tblCellSpacing w:w="15" w:type="dxa"/>
        </w:trPr>
        <w:tc>
          <w:tcPr>
            <w:tcW w:w="3783" w:type="dxa"/>
            <w:vAlign w:val="center"/>
            <w:hideMark/>
          </w:tcPr>
          <w:p w14:paraId="5820D4AF" w14:textId="77777777" w:rsidR="006124AE" w:rsidRPr="00DF782E" w:rsidRDefault="006124AE" w:rsidP="00D6128D">
            <w:pPr>
              <w:tabs>
                <w:tab w:val="left" w:pos="4170"/>
              </w:tabs>
              <w:ind w:left="360"/>
              <w:rPr>
                <w:rFonts w:ascii="Arial" w:hAnsi="Arial" w:cs="Arial"/>
                <w:sz w:val="24"/>
                <w:szCs w:val="24"/>
              </w:rPr>
            </w:pPr>
            <w:r w:rsidRPr="00DF782E">
              <w:rPr>
                <w:rFonts w:ascii="Arial" w:hAnsi="Arial" w:cs="Arial"/>
                <w:sz w:val="24"/>
                <w:szCs w:val="24"/>
              </w:rPr>
              <w:t>automated monitoring</w:t>
            </w:r>
          </w:p>
        </w:tc>
        <w:tc>
          <w:tcPr>
            <w:tcW w:w="2374" w:type="dxa"/>
            <w:vAlign w:val="center"/>
            <w:hideMark/>
          </w:tcPr>
          <w:p w14:paraId="7E8C34DB" w14:textId="77777777" w:rsidR="006124AE" w:rsidRPr="00DF782E" w:rsidRDefault="006124AE" w:rsidP="00D6128D">
            <w:pPr>
              <w:tabs>
                <w:tab w:val="left" w:pos="4170"/>
              </w:tabs>
              <w:ind w:left="360"/>
              <w:rPr>
                <w:rFonts w:ascii="Arial" w:hAnsi="Arial" w:cs="Arial"/>
                <w:sz w:val="24"/>
                <w:szCs w:val="24"/>
              </w:rPr>
            </w:pPr>
            <w:r w:rsidRPr="00DF782E">
              <w:rPr>
                <w:rFonts w:ascii="Arial" w:hAnsi="Arial" w:cs="Arial"/>
                <w:sz w:val="24"/>
                <w:szCs w:val="24"/>
              </w:rPr>
              <w:t>faster incident detection</w:t>
            </w:r>
          </w:p>
        </w:tc>
      </w:tr>
      <w:tr w:rsidR="006124AE" w:rsidRPr="00DF782E" w14:paraId="7B901C4A" w14:textId="77777777" w:rsidTr="00467DB3">
        <w:trPr>
          <w:tblCellSpacing w:w="15" w:type="dxa"/>
        </w:trPr>
        <w:tc>
          <w:tcPr>
            <w:tcW w:w="3783" w:type="dxa"/>
            <w:vAlign w:val="center"/>
            <w:hideMark/>
          </w:tcPr>
          <w:p w14:paraId="734AC034" w14:textId="77777777" w:rsidR="006124AE" w:rsidRPr="00DF782E" w:rsidRDefault="006124AE" w:rsidP="00D6128D">
            <w:pPr>
              <w:tabs>
                <w:tab w:val="left" w:pos="4170"/>
              </w:tabs>
              <w:ind w:left="360"/>
              <w:rPr>
                <w:rFonts w:ascii="Arial" w:hAnsi="Arial" w:cs="Arial"/>
                <w:sz w:val="24"/>
                <w:szCs w:val="24"/>
              </w:rPr>
            </w:pPr>
            <w:r w:rsidRPr="00DF782E">
              <w:rPr>
                <w:rFonts w:ascii="Arial" w:hAnsi="Arial" w:cs="Arial"/>
                <w:sz w:val="24"/>
                <w:szCs w:val="24"/>
              </w:rPr>
              <w:t>DORA compliance</w:t>
            </w:r>
          </w:p>
        </w:tc>
        <w:tc>
          <w:tcPr>
            <w:tcW w:w="2374" w:type="dxa"/>
            <w:vAlign w:val="center"/>
            <w:hideMark/>
          </w:tcPr>
          <w:p w14:paraId="15BC803B" w14:textId="77777777" w:rsidR="006124AE" w:rsidRPr="00DF782E" w:rsidRDefault="006124AE" w:rsidP="00D6128D">
            <w:pPr>
              <w:tabs>
                <w:tab w:val="left" w:pos="4170"/>
              </w:tabs>
              <w:ind w:left="360"/>
              <w:rPr>
                <w:rFonts w:ascii="Arial" w:hAnsi="Arial" w:cs="Arial"/>
                <w:sz w:val="24"/>
                <w:szCs w:val="24"/>
              </w:rPr>
            </w:pPr>
            <w:r w:rsidRPr="00DF782E">
              <w:rPr>
                <w:rFonts w:ascii="Arial" w:hAnsi="Arial" w:cs="Arial"/>
                <w:sz w:val="24"/>
                <w:szCs w:val="24"/>
              </w:rPr>
              <w:t>operational resilience readiness</w:t>
            </w:r>
          </w:p>
        </w:tc>
      </w:tr>
      <w:tr w:rsidR="006124AE" w:rsidRPr="00DF782E" w14:paraId="2FBCE8EF" w14:textId="77777777" w:rsidTr="00467DB3">
        <w:trPr>
          <w:tblCellSpacing w:w="15" w:type="dxa"/>
        </w:trPr>
        <w:tc>
          <w:tcPr>
            <w:tcW w:w="3783" w:type="dxa"/>
            <w:vAlign w:val="center"/>
            <w:hideMark/>
          </w:tcPr>
          <w:p w14:paraId="629A4050" w14:textId="77777777" w:rsidR="006124AE" w:rsidRPr="00DF782E" w:rsidRDefault="006124AE" w:rsidP="00D6128D">
            <w:pPr>
              <w:tabs>
                <w:tab w:val="left" w:pos="4170"/>
              </w:tabs>
              <w:ind w:left="360"/>
              <w:rPr>
                <w:rFonts w:ascii="Arial" w:hAnsi="Arial" w:cs="Arial"/>
                <w:sz w:val="24"/>
                <w:szCs w:val="24"/>
              </w:rPr>
            </w:pPr>
            <w:r w:rsidRPr="00DF782E">
              <w:rPr>
                <w:rFonts w:ascii="Arial" w:hAnsi="Arial" w:cs="Arial"/>
                <w:sz w:val="24"/>
                <w:szCs w:val="24"/>
              </w:rPr>
              <w:t>NIS2 compliance</w:t>
            </w:r>
          </w:p>
        </w:tc>
        <w:tc>
          <w:tcPr>
            <w:tcW w:w="2374" w:type="dxa"/>
            <w:vAlign w:val="center"/>
            <w:hideMark/>
          </w:tcPr>
          <w:p w14:paraId="52A21999" w14:textId="77777777" w:rsidR="006124AE" w:rsidRPr="00DF782E" w:rsidRDefault="006124AE" w:rsidP="00D6128D">
            <w:pPr>
              <w:tabs>
                <w:tab w:val="left" w:pos="4170"/>
              </w:tabs>
              <w:ind w:left="360"/>
              <w:rPr>
                <w:rFonts w:ascii="Arial" w:hAnsi="Arial" w:cs="Arial"/>
                <w:sz w:val="24"/>
                <w:szCs w:val="24"/>
              </w:rPr>
            </w:pPr>
            <w:r w:rsidRPr="00DF782E">
              <w:rPr>
                <w:rFonts w:ascii="Arial" w:hAnsi="Arial" w:cs="Arial"/>
                <w:sz w:val="24"/>
                <w:szCs w:val="24"/>
              </w:rPr>
              <w:t>regulatory reporting readiness</w:t>
            </w:r>
          </w:p>
        </w:tc>
      </w:tr>
      <w:tr w:rsidR="006124AE" w:rsidRPr="00DF782E" w14:paraId="34DE3B93" w14:textId="77777777" w:rsidTr="00467DB3">
        <w:trPr>
          <w:tblCellSpacing w:w="15" w:type="dxa"/>
        </w:trPr>
        <w:tc>
          <w:tcPr>
            <w:tcW w:w="3783" w:type="dxa"/>
            <w:vAlign w:val="center"/>
            <w:hideMark/>
          </w:tcPr>
          <w:p w14:paraId="7D40F74E" w14:textId="77777777" w:rsidR="006124AE" w:rsidRPr="00DF782E" w:rsidRDefault="006124AE" w:rsidP="00D6128D">
            <w:pPr>
              <w:tabs>
                <w:tab w:val="left" w:pos="4170"/>
              </w:tabs>
              <w:ind w:left="360"/>
              <w:rPr>
                <w:rFonts w:ascii="Arial" w:hAnsi="Arial" w:cs="Arial"/>
                <w:sz w:val="24"/>
                <w:szCs w:val="24"/>
              </w:rPr>
            </w:pPr>
            <w:r w:rsidRPr="00DF782E">
              <w:rPr>
                <w:rFonts w:ascii="Arial" w:hAnsi="Arial" w:cs="Arial"/>
                <w:sz w:val="24"/>
                <w:szCs w:val="24"/>
              </w:rPr>
              <w:t>AI governance integration</w:t>
            </w:r>
          </w:p>
        </w:tc>
        <w:tc>
          <w:tcPr>
            <w:tcW w:w="2374" w:type="dxa"/>
            <w:vAlign w:val="center"/>
            <w:hideMark/>
          </w:tcPr>
          <w:p w14:paraId="405C6D69" w14:textId="77777777" w:rsidR="006124AE" w:rsidRPr="00DF782E" w:rsidRDefault="006124AE" w:rsidP="00D6128D">
            <w:pPr>
              <w:tabs>
                <w:tab w:val="left" w:pos="4170"/>
              </w:tabs>
              <w:ind w:left="360"/>
              <w:rPr>
                <w:rFonts w:ascii="Arial" w:hAnsi="Arial" w:cs="Arial"/>
                <w:sz w:val="24"/>
                <w:szCs w:val="24"/>
              </w:rPr>
            </w:pPr>
            <w:r w:rsidRPr="00DF782E">
              <w:rPr>
                <w:rFonts w:ascii="Arial" w:hAnsi="Arial" w:cs="Arial"/>
                <w:sz w:val="24"/>
                <w:szCs w:val="24"/>
              </w:rPr>
              <w:t>trustworthy clinical outputs</w:t>
            </w:r>
          </w:p>
        </w:tc>
      </w:tr>
      <w:tr w:rsidR="006124AE" w:rsidRPr="00DF782E" w14:paraId="3E02E14B" w14:textId="77777777" w:rsidTr="00467DB3">
        <w:trPr>
          <w:tblCellSpacing w:w="15" w:type="dxa"/>
        </w:trPr>
        <w:tc>
          <w:tcPr>
            <w:tcW w:w="3783" w:type="dxa"/>
            <w:vAlign w:val="center"/>
            <w:hideMark/>
          </w:tcPr>
          <w:p w14:paraId="28247BFD" w14:textId="77777777" w:rsidR="006124AE" w:rsidRPr="00DF782E" w:rsidRDefault="006124AE" w:rsidP="00D6128D">
            <w:pPr>
              <w:tabs>
                <w:tab w:val="left" w:pos="4170"/>
              </w:tabs>
              <w:ind w:left="360"/>
              <w:rPr>
                <w:rFonts w:ascii="Arial" w:hAnsi="Arial" w:cs="Arial"/>
                <w:sz w:val="24"/>
                <w:szCs w:val="24"/>
              </w:rPr>
            </w:pPr>
            <w:r w:rsidRPr="00DF782E">
              <w:rPr>
                <w:rFonts w:ascii="Arial" w:hAnsi="Arial" w:cs="Arial"/>
                <w:sz w:val="24"/>
                <w:szCs w:val="24"/>
              </w:rPr>
              <w:t>Benefit</w:t>
            </w:r>
          </w:p>
        </w:tc>
        <w:tc>
          <w:tcPr>
            <w:tcW w:w="2374" w:type="dxa"/>
            <w:vAlign w:val="center"/>
            <w:hideMark/>
          </w:tcPr>
          <w:p w14:paraId="1AB572D4" w14:textId="77777777" w:rsidR="006124AE" w:rsidRPr="00DF782E" w:rsidRDefault="006124AE" w:rsidP="00D6128D">
            <w:pPr>
              <w:tabs>
                <w:tab w:val="left" w:pos="4170"/>
              </w:tabs>
              <w:ind w:left="360"/>
              <w:rPr>
                <w:rFonts w:ascii="Arial" w:hAnsi="Arial" w:cs="Arial"/>
                <w:sz w:val="24"/>
                <w:szCs w:val="24"/>
              </w:rPr>
            </w:pPr>
            <w:r w:rsidRPr="00DF782E">
              <w:rPr>
                <w:rFonts w:ascii="Arial" w:hAnsi="Arial" w:cs="Arial"/>
                <w:sz w:val="24"/>
                <w:szCs w:val="24"/>
              </w:rPr>
              <w:t>Outcome</w:t>
            </w:r>
          </w:p>
        </w:tc>
      </w:tr>
      <w:tr w:rsidR="006124AE" w:rsidRPr="00DF782E" w14:paraId="2E4314D1" w14:textId="77777777" w:rsidTr="00467DB3">
        <w:trPr>
          <w:tblCellSpacing w:w="15" w:type="dxa"/>
        </w:trPr>
        <w:tc>
          <w:tcPr>
            <w:tcW w:w="3783" w:type="dxa"/>
            <w:vAlign w:val="center"/>
            <w:hideMark/>
          </w:tcPr>
          <w:p w14:paraId="0F89CF85" w14:textId="77777777" w:rsidR="006124AE" w:rsidRPr="00DF782E" w:rsidRDefault="006124AE" w:rsidP="00D6128D">
            <w:pPr>
              <w:tabs>
                <w:tab w:val="left" w:pos="4170"/>
              </w:tabs>
              <w:ind w:left="360"/>
              <w:rPr>
                <w:rFonts w:ascii="Arial" w:hAnsi="Arial" w:cs="Arial"/>
                <w:sz w:val="24"/>
                <w:szCs w:val="24"/>
              </w:rPr>
            </w:pPr>
            <w:r w:rsidRPr="00DF782E">
              <w:rPr>
                <w:rFonts w:ascii="Arial" w:hAnsi="Arial" w:cs="Arial"/>
                <w:sz w:val="24"/>
                <w:szCs w:val="24"/>
              </w:rPr>
              <w:t>Zero-Trust enforcement</w:t>
            </w:r>
          </w:p>
        </w:tc>
        <w:tc>
          <w:tcPr>
            <w:tcW w:w="2374" w:type="dxa"/>
            <w:vAlign w:val="center"/>
            <w:hideMark/>
          </w:tcPr>
          <w:p w14:paraId="34EAC98E" w14:textId="77777777" w:rsidR="006124AE" w:rsidRPr="00DF782E" w:rsidRDefault="006124AE" w:rsidP="00D6128D">
            <w:pPr>
              <w:tabs>
                <w:tab w:val="left" w:pos="4170"/>
              </w:tabs>
              <w:ind w:left="360"/>
              <w:rPr>
                <w:rFonts w:ascii="Arial" w:hAnsi="Arial" w:cs="Arial"/>
                <w:sz w:val="24"/>
                <w:szCs w:val="24"/>
              </w:rPr>
            </w:pPr>
            <w:r w:rsidRPr="00DF782E">
              <w:rPr>
                <w:rFonts w:ascii="Arial" w:hAnsi="Arial" w:cs="Arial"/>
                <w:sz w:val="24"/>
                <w:szCs w:val="24"/>
              </w:rPr>
              <w:t>reduced lateral movement risk</w:t>
            </w:r>
          </w:p>
        </w:tc>
      </w:tr>
      <w:tr w:rsidR="006124AE" w:rsidRPr="00DF782E" w14:paraId="744B8413" w14:textId="77777777" w:rsidTr="00467DB3">
        <w:trPr>
          <w:tblCellSpacing w:w="15" w:type="dxa"/>
        </w:trPr>
        <w:tc>
          <w:tcPr>
            <w:tcW w:w="3783" w:type="dxa"/>
            <w:vAlign w:val="center"/>
            <w:hideMark/>
          </w:tcPr>
          <w:p w14:paraId="5E8273A9" w14:textId="77777777" w:rsidR="006124AE" w:rsidRPr="00DF782E" w:rsidRDefault="006124AE" w:rsidP="00D6128D">
            <w:pPr>
              <w:tabs>
                <w:tab w:val="left" w:pos="4170"/>
              </w:tabs>
              <w:ind w:left="360"/>
              <w:rPr>
                <w:rFonts w:ascii="Arial" w:hAnsi="Arial" w:cs="Arial"/>
                <w:sz w:val="24"/>
                <w:szCs w:val="24"/>
              </w:rPr>
            </w:pPr>
            <w:r w:rsidRPr="00DF782E">
              <w:rPr>
                <w:rFonts w:ascii="Arial" w:hAnsi="Arial" w:cs="Arial"/>
                <w:sz w:val="24"/>
                <w:szCs w:val="24"/>
              </w:rPr>
              <w:t>automated monitoring</w:t>
            </w:r>
          </w:p>
        </w:tc>
        <w:tc>
          <w:tcPr>
            <w:tcW w:w="2374" w:type="dxa"/>
            <w:vAlign w:val="center"/>
            <w:hideMark/>
          </w:tcPr>
          <w:p w14:paraId="4D9BFD26" w14:textId="77777777" w:rsidR="006124AE" w:rsidRPr="00DF782E" w:rsidRDefault="006124AE" w:rsidP="00D6128D">
            <w:pPr>
              <w:tabs>
                <w:tab w:val="left" w:pos="4170"/>
              </w:tabs>
              <w:ind w:left="360"/>
              <w:rPr>
                <w:rFonts w:ascii="Arial" w:hAnsi="Arial" w:cs="Arial"/>
                <w:sz w:val="24"/>
                <w:szCs w:val="24"/>
              </w:rPr>
            </w:pPr>
            <w:r w:rsidRPr="00DF782E">
              <w:rPr>
                <w:rFonts w:ascii="Arial" w:hAnsi="Arial" w:cs="Arial"/>
                <w:sz w:val="24"/>
                <w:szCs w:val="24"/>
              </w:rPr>
              <w:t>faster incident detection</w:t>
            </w:r>
          </w:p>
        </w:tc>
      </w:tr>
      <w:tr w:rsidR="006124AE" w:rsidRPr="00DF782E" w14:paraId="162EF498" w14:textId="77777777" w:rsidTr="00467DB3">
        <w:trPr>
          <w:tblCellSpacing w:w="15" w:type="dxa"/>
        </w:trPr>
        <w:tc>
          <w:tcPr>
            <w:tcW w:w="3783" w:type="dxa"/>
            <w:vAlign w:val="center"/>
            <w:hideMark/>
          </w:tcPr>
          <w:p w14:paraId="1016D4FA" w14:textId="77777777" w:rsidR="006124AE" w:rsidRPr="00DF782E" w:rsidRDefault="006124AE" w:rsidP="00D6128D">
            <w:pPr>
              <w:tabs>
                <w:tab w:val="left" w:pos="4170"/>
              </w:tabs>
              <w:ind w:left="360"/>
              <w:rPr>
                <w:rFonts w:ascii="Arial" w:hAnsi="Arial" w:cs="Arial"/>
                <w:sz w:val="24"/>
                <w:szCs w:val="24"/>
              </w:rPr>
            </w:pPr>
            <w:r w:rsidRPr="00DF782E">
              <w:rPr>
                <w:rFonts w:ascii="Arial" w:hAnsi="Arial" w:cs="Arial"/>
                <w:sz w:val="24"/>
                <w:szCs w:val="24"/>
              </w:rPr>
              <w:t>DORA compliance</w:t>
            </w:r>
          </w:p>
        </w:tc>
        <w:tc>
          <w:tcPr>
            <w:tcW w:w="2374" w:type="dxa"/>
            <w:vAlign w:val="center"/>
            <w:hideMark/>
          </w:tcPr>
          <w:p w14:paraId="56F528E6" w14:textId="77777777" w:rsidR="006124AE" w:rsidRPr="00DF782E" w:rsidRDefault="006124AE" w:rsidP="00D6128D">
            <w:pPr>
              <w:tabs>
                <w:tab w:val="left" w:pos="4170"/>
              </w:tabs>
              <w:ind w:left="360"/>
              <w:rPr>
                <w:rFonts w:ascii="Arial" w:hAnsi="Arial" w:cs="Arial"/>
                <w:sz w:val="24"/>
                <w:szCs w:val="24"/>
              </w:rPr>
            </w:pPr>
            <w:r w:rsidRPr="00DF782E">
              <w:rPr>
                <w:rFonts w:ascii="Arial" w:hAnsi="Arial" w:cs="Arial"/>
                <w:sz w:val="24"/>
                <w:szCs w:val="24"/>
              </w:rPr>
              <w:t>operational resilience readiness</w:t>
            </w:r>
          </w:p>
        </w:tc>
      </w:tr>
      <w:tr w:rsidR="006124AE" w:rsidRPr="00DF782E" w14:paraId="76631C2D" w14:textId="77777777" w:rsidTr="00467DB3">
        <w:trPr>
          <w:tblCellSpacing w:w="15" w:type="dxa"/>
        </w:trPr>
        <w:tc>
          <w:tcPr>
            <w:tcW w:w="3783" w:type="dxa"/>
            <w:vAlign w:val="center"/>
            <w:hideMark/>
          </w:tcPr>
          <w:p w14:paraId="226A3A6C" w14:textId="77777777" w:rsidR="006124AE" w:rsidRPr="00DF782E" w:rsidRDefault="006124AE" w:rsidP="00D6128D">
            <w:pPr>
              <w:tabs>
                <w:tab w:val="left" w:pos="4170"/>
              </w:tabs>
              <w:ind w:left="360"/>
              <w:rPr>
                <w:rFonts w:ascii="Arial" w:hAnsi="Arial" w:cs="Arial"/>
                <w:sz w:val="24"/>
                <w:szCs w:val="24"/>
              </w:rPr>
            </w:pPr>
            <w:r w:rsidRPr="00DF782E">
              <w:rPr>
                <w:rFonts w:ascii="Arial" w:hAnsi="Arial" w:cs="Arial"/>
                <w:sz w:val="24"/>
                <w:szCs w:val="24"/>
              </w:rPr>
              <w:t>NIS2 compliance</w:t>
            </w:r>
          </w:p>
        </w:tc>
        <w:tc>
          <w:tcPr>
            <w:tcW w:w="2374" w:type="dxa"/>
            <w:vAlign w:val="center"/>
            <w:hideMark/>
          </w:tcPr>
          <w:p w14:paraId="604FF47C" w14:textId="77777777" w:rsidR="006124AE" w:rsidRPr="00DF782E" w:rsidRDefault="006124AE" w:rsidP="00D6128D">
            <w:pPr>
              <w:tabs>
                <w:tab w:val="left" w:pos="4170"/>
              </w:tabs>
              <w:ind w:left="360"/>
              <w:rPr>
                <w:rFonts w:ascii="Arial" w:hAnsi="Arial" w:cs="Arial"/>
                <w:sz w:val="24"/>
                <w:szCs w:val="24"/>
              </w:rPr>
            </w:pPr>
            <w:r w:rsidRPr="00DF782E">
              <w:rPr>
                <w:rFonts w:ascii="Arial" w:hAnsi="Arial" w:cs="Arial"/>
                <w:sz w:val="24"/>
                <w:szCs w:val="24"/>
              </w:rPr>
              <w:t>regulatory reporting readiness</w:t>
            </w:r>
          </w:p>
        </w:tc>
      </w:tr>
      <w:tr w:rsidR="006124AE" w:rsidRPr="00DF782E" w14:paraId="5AF38AEB" w14:textId="77777777" w:rsidTr="00467DB3">
        <w:trPr>
          <w:tblCellSpacing w:w="15" w:type="dxa"/>
        </w:trPr>
        <w:tc>
          <w:tcPr>
            <w:tcW w:w="3783" w:type="dxa"/>
            <w:vAlign w:val="center"/>
            <w:hideMark/>
          </w:tcPr>
          <w:p w14:paraId="533CD019" w14:textId="77777777" w:rsidR="006124AE" w:rsidRPr="00DF782E" w:rsidRDefault="006124AE" w:rsidP="00D6128D">
            <w:pPr>
              <w:tabs>
                <w:tab w:val="left" w:pos="4170"/>
              </w:tabs>
              <w:ind w:left="360"/>
              <w:rPr>
                <w:rFonts w:ascii="Arial" w:hAnsi="Arial" w:cs="Arial"/>
                <w:sz w:val="24"/>
                <w:szCs w:val="24"/>
              </w:rPr>
            </w:pPr>
            <w:r w:rsidRPr="00DF782E">
              <w:rPr>
                <w:rFonts w:ascii="Arial" w:hAnsi="Arial" w:cs="Arial"/>
                <w:sz w:val="24"/>
                <w:szCs w:val="24"/>
              </w:rPr>
              <w:lastRenderedPageBreak/>
              <w:t>AI governance integration</w:t>
            </w:r>
          </w:p>
        </w:tc>
        <w:tc>
          <w:tcPr>
            <w:tcW w:w="2374" w:type="dxa"/>
            <w:vAlign w:val="center"/>
            <w:hideMark/>
          </w:tcPr>
          <w:p w14:paraId="5F0842B2" w14:textId="77777777" w:rsidR="006124AE" w:rsidRPr="00DF782E" w:rsidRDefault="006124AE" w:rsidP="00D6128D">
            <w:pPr>
              <w:tabs>
                <w:tab w:val="left" w:pos="4170"/>
              </w:tabs>
              <w:ind w:left="360"/>
              <w:rPr>
                <w:rFonts w:ascii="Arial" w:hAnsi="Arial" w:cs="Arial"/>
                <w:sz w:val="24"/>
                <w:szCs w:val="24"/>
              </w:rPr>
            </w:pPr>
            <w:r w:rsidRPr="00DF782E">
              <w:rPr>
                <w:rFonts w:ascii="Arial" w:hAnsi="Arial" w:cs="Arial"/>
                <w:sz w:val="24"/>
                <w:szCs w:val="24"/>
              </w:rPr>
              <w:t>trustworthy clinical outputs</w:t>
            </w:r>
          </w:p>
        </w:tc>
      </w:tr>
    </w:tbl>
    <w:p w14:paraId="03752D5E" w14:textId="188B3E19" w:rsidR="009E335B" w:rsidRDefault="006124AE" w:rsidP="00D6128D">
      <w:pPr>
        <w:tabs>
          <w:tab w:val="left" w:pos="4170"/>
        </w:tabs>
        <w:ind w:left="360"/>
        <w:rPr>
          <w:rFonts w:ascii="Arial" w:hAnsi="Arial" w:cs="Arial"/>
          <w:sz w:val="24"/>
          <w:szCs w:val="24"/>
        </w:rPr>
      </w:pPr>
      <w:r w:rsidRPr="00DF782E">
        <w:rPr>
          <w:rFonts w:ascii="Arial" w:hAnsi="Arial" w:cs="Arial"/>
          <w:sz w:val="24"/>
          <w:szCs w:val="24"/>
        </w:rPr>
        <w:t>Supports safe EU expansion strategy.</w:t>
      </w:r>
    </w:p>
    <w:p w14:paraId="71CF991D" w14:textId="77777777" w:rsidR="00467DB3" w:rsidRDefault="00467DB3" w:rsidP="00D6128D">
      <w:pPr>
        <w:tabs>
          <w:tab w:val="left" w:pos="4170"/>
        </w:tabs>
        <w:ind w:left="360"/>
        <w:rPr>
          <w:rFonts w:ascii="Arial" w:hAnsi="Arial" w:cs="Arial"/>
          <w:sz w:val="24"/>
          <w:szCs w:val="24"/>
        </w:rPr>
      </w:pPr>
    </w:p>
    <w:p w14:paraId="488333F7" w14:textId="77777777" w:rsidR="00467DB3" w:rsidRDefault="00467DB3" w:rsidP="00D6128D">
      <w:pPr>
        <w:tabs>
          <w:tab w:val="left" w:pos="4170"/>
        </w:tabs>
        <w:ind w:left="360"/>
        <w:rPr>
          <w:rFonts w:ascii="Arial" w:hAnsi="Arial" w:cs="Arial"/>
          <w:sz w:val="24"/>
          <w:szCs w:val="24"/>
        </w:rPr>
      </w:pPr>
    </w:p>
    <w:p w14:paraId="3A7EB4CF" w14:textId="77777777" w:rsidR="00467DB3" w:rsidRDefault="00467DB3" w:rsidP="00D6128D">
      <w:pPr>
        <w:tabs>
          <w:tab w:val="left" w:pos="4170"/>
        </w:tabs>
        <w:ind w:left="360"/>
        <w:rPr>
          <w:rFonts w:ascii="Arial" w:hAnsi="Arial" w:cs="Arial"/>
          <w:sz w:val="24"/>
          <w:szCs w:val="24"/>
        </w:rPr>
      </w:pPr>
    </w:p>
    <w:p w14:paraId="3FBCFC39" w14:textId="77777777" w:rsidR="00467DB3" w:rsidRDefault="00467DB3" w:rsidP="00D6128D">
      <w:pPr>
        <w:tabs>
          <w:tab w:val="left" w:pos="4170"/>
        </w:tabs>
        <w:ind w:left="360"/>
        <w:rPr>
          <w:rFonts w:ascii="Arial" w:hAnsi="Arial" w:cs="Arial"/>
          <w:sz w:val="24"/>
          <w:szCs w:val="24"/>
        </w:rPr>
      </w:pPr>
    </w:p>
    <w:p w14:paraId="317B1B92" w14:textId="77777777" w:rsidR="00467DB3" w:rsidRDefault="00467DB3" w:rsidP="00D6128D">
      <w:pPr>
        <w:tabs>
          <w:tab w:val="left" w:pos="4170"/>
        </w:tabs>
        <w:ind w:left="360"/>
        <w:rPr>
          <w:rFonts w:ascii="Arial" w:hAnsi="Arial" w:cs="Arial"/>
          <w:sz w:val="24"/>
          <w:szCs w:val="24"/>
        </w:rPr>
      </w:pPr>
    </w:p>
    <w:p w14:paraId="7EAC1DAB" w14:textId="77777777" w:rsidR="00467DB3" w:rsidRDefault="00467DB3" w:rsidP="00D6128D">
      <w:pPr>
        <w:tabs>
          <w:tab w:val="left" w:pos="4170"/>
        </w:tabs>
        <w:ind w:left="360"/>
        <w:rPr>
          <w:rFonts w:ascii="Arial" w:hAnsi="Arial" w:cs="Arial"/>
          <w:sz w:val="24"/>
          <w:szCs w:val="24"/>
        </w:rPr>
      </w:pPr>
    </w:p>
    <w:p w14:paraId="5B7EBD24" w14:textId="77777777" w:rsidR="00467DB3" w:rsidRDefault="00467DB3" w:rsidP="00D6128D">
      <w:pPr>
        <w:tabs>
          <w:tab w:val="left" w:pos="4170"/>
        </w:tabs>
        <w:ind w:left="360"/>
        <w:rPr>
          <w:rFonts w:ascii="Arial" w:hAnsi="Arial" w:cs="Arial"/>
          <w:sz w:val="24"/>
          <w:szCs w:val="24"/>
        </w:rPr>
      </w:pPr>
    </w:p>
    <w:p w14:paraId="14C7693D" w14:textId="77777777" w:rsidR="00467DB3" w:rsidRDefault="00467DB3" w:rsidP="00D6128D">
      <w:pPr>
        <w:tabs>
          <w:tab w:val="left" w:pos="4170"/>
        </w:tabs>
        <w:ind w:left="360"/>
        <w:rPr>
          <w:rFonts w:ascii="Arial" w:hAnsi="Arial" w:cs="Arial"/>
          <w:sz w:val="24"/>
          <w:szCs w:val="24"/>
        </w:rPr>
      </w:pPr>
    </w:p>
    <w:p w14:paraId="12900E4F" w14:textId="77777777" w:rsidR="00467DB3" w:rsidRDefault="00467DB3" w:rsidP="00D6128D">
      <w:pPr>
        <w:tabs>
          <w:tab w:val="left" w:pos="4170"/>
        </w:tabs>
        <w:ind w:left="360"/>
        <w:rPr>
          <w:rFonts w:ascii="Arial" w:hAnsi="Arial" w:cs="Arial"/>
          <w:sz w:val="24"/>
          <w:szCs w:val="24"/>
        </w:rPr>
      </w:pPr>
    </w:p>
    <w:p w14:paraId="7857BF98" w14:textId="77777777" w:rsidR="00467DB3" w:rsidRDefault="00467DB3" w:rsidP="00D6128D">
      <w:pPr>
        <w:tabs>
          <w:tab w:val="left" w:pos="4170"/>
        </w:tabs>
        <w:ind w:left="360"/>
        <w:rPr>
          <w:rFonts w:ascii="Arial" w:hAnsi="Arial" w:cs="Arial"/>
          <w:sz w:val="24"/>
          <w:szCs w:val="24"/>
        </w:rPr>
      </w:pPr>
    </w:p>
    <w:p w14:paraId="08CB4E3C" w14:textId="77777777" w:rsidR="00467DB3" w:rsidRDefault="00467DB3" w:rsidP="00D6128D">
      <w:pPr>
        <w:tabs>
          <w:tab w:val="left" w:pos="4170"/>
        </w:tabs>
        <w:ind w:left="360"/>
        <w:rPr>
          <w:rFonts w:ascii="Arial" w:hAnsi="Arial" w:cs="Arial"/>
          <w:sz w:val="24"/>
          <w:szCs w:val="24"/>
        </w:rPr>
      </w:pPr>
    </w:p>
    <w:p w14:paraId="5C4F7BC8" w14:textId="77777777" w:rsidR="00467DB3" w:rsidRDefault="00467DB3" w:rsidP="00D6128D">
      <w:pPr>
        <w:tabs>
          <w:tab w:val="left" w:pos="4170"/>
        </w:tabs>
        <w:ind w:left="360"/>
        <w:rPr>
          <w:rFonts w:ascii="Arial" w:hAnsi="Arial" w:cs="Arial"/>
          <w:sz w:val="24"/>
          <w:szCs w:val="24"/>
        </w:rPr>
      </w:pPr>
    </w:p>
    <w:p w14:paraId="4449DD34" w14:textId="77777777" w:rsidR="00467DB3" w:rsidRDefault="00467DB3" w:rsidP="00D6128D">
      <w:pPr>
        <w:tabs>
          <w:tab w:val="left" w:pos="4170"/>
        </w:tabs>
        <w:ind w:left="360"/>
        <w:rPr>
          <w:rFonts w:ascii="Arial" w:hAnsi="Arial" w:cs="Arial"/>
          <w:sz w:val="24"/>
          <w:szCs w:val="24"/>
        </w:rPr>
      </w:pPr>
    </w:p>
    <w:p w14:paraId="098A033B" w14:textId="77777777" w:rsidR="00467DB3" w:rsidRDefault="00467DB3" w:rsidP="00D6128D">
      <w:pPr>
        <w:tabs>
          <w:tab w:val="left" w:pos="4170"/>
        </w:tabs>
        <w:ind w:left="360"/>
        <w:rPr>
          <w:rFonts w:ascii="Arial" w:hAnsi="Arial" w:cs="Arial"/>
          <w:sz w:val="24"/>
          <w:szCs w:val="24"/>
        </w:rPr>
      </w:pPr>
    </w:p>
    <w:p w14:paraId="45B2DB0E" w14:textId="77777777" w:rsidR="00467DB3" w:rsidRDefault="00467DB3" w:rsidP="00D6128D">
      <w:pPr>
        <w:tabs>
          <w:tab w:val="left" w:pos="4170"/>
        </w:tabs>
        <w:ind w:left="360"/>
        <w:rPr>
          <w:rFonts w:ascii="Arial" w:hAnsi="Arial" w:cs="Arial"/>
          <w:sz w:val="24"/>
          <w:szCs w:val="24"/>
        </w:rPr>
      </w:pPr>
    </w:p>
    <w:p w14:paraId="50CCBC99" w14:textId="77777777" w:rsidR="00467DB3" w:rsidRDefault="00467DB3" w:rsidP="00D6128D">
      <w:pPr>
        <w:tabs>
          <w:tab w:val="left" w:pos="4170"/>
        </w:tabs>
        <w:ind w:left="360"/>
        <w:rPr>
          <w:rFonts w:ascii="Arial" w:hAnsi="Arial" w:cs="Arial"/>
          <w:sz w:val="24"/>
          <w:szCs w:val="24"/>
        </w:rPr>
      </w:pPr>
    </w:p>
    <w:p w14:paraId="2317DD90" w14:textId="77777777" w:rsidR="00467DB3" w:rsidRDefault="00467DB3" w:rsidP="00D6128D">
      <w:pPr>
        <w:tabs>
          <w:tab w:val="left" w:pos="4170"/>
        </w:tabs>
        <w:ind w:left="360"/>
        <w:rPr>
          <w:rFonts w:ascii="Arial" w:hAnsi="Arial" w:cs="Arial"/>
          <w:sz w:val="24"/>
          <w:szCs w:val="24"/>
        </w:rPr>
      </w:pPr>
    </w:p>
    <w:p w14:paraId="1E530CEF" w14:textId="77777777" w:rsidR="00467DB3" w:rsidRDefault="00467DB3" w:rsidP="00D6128D">
      <w:pPr>
        <w:tabs>
          <w:tab w:val="left" w:pos="4170"/>
        </w:tabs>
        <w:ind w:left="360"/>
        <w:rPr>
          <w:rFonts w:ascii="Arial" w:hAnsi="Arial" w:cs="Arial"/>
          <w:sz w:val="24"/>
          <w:szCs w:val="24"/>
        </w:rPr>
      </w:pPr>
    </w:p>
    <w:p w14:paraId="440A2881" w14:textId="77777777" w:rsidR="00467DB3" w:rsidRDefault="00467DB3" w:rsidP="00D6128D">
      <w:pPr>
        <w:tabs>
          <w:tab w:val="left" w:pos="4170"/>
        </w:tabs>
        <w:ind w:left="360"/>
        <w:rPr>
          <w:rFonts w:ascii="Arial" w:hAnsi="Arial" w:cs="Arial"/>
          <w:sz w:val="24"/>
          <w:szCs w:val="24"/>
        </w:rPr>
      </w:pPr>
    </w:p>
    <w:p w14:paraId="00B7E2DC" w14:textId="77777777" w:rsidR="00467DB3" w:rsidRDefault="00467DB3" w:rsidP="00D6128D">
      <w:pPr>
        <w:tabs>
          <w:tab w:val="left" w:pos="4170"/>
        </w:tabs>
        <w:ind w:left="360"/>
        <w:rPr>
          <w:rFonts w:ascii="Arial" w:hAnsi="Arial" w:cs="Arial"/>
          <w:sz w:val="24"/>
          <w:szCs w:val="24"/>
        </w:rPr>
      </w:pPr>
    </w:p>
    <w:p w14:paraId="315876DA" w14:textId="77777777" w:rsidR="00467DB3" w:rsidRDefault="00467DB3" w:rsidP="00D6128D">
      <w:pPr>
        <w:tabs>
          <w:tab w:val="left" w:pos="4170"/>
        </w:tabs>
        <w:ind w:left="360"/>
        <w:rPr>
          <w:rFonts w:ascii="Arial" w:hAnsi="Arial" w:cs="Arial"/>
          <w:sz w:val="24"/>
          <w:szCs w:val="24"/>
        </w:rPr>
      </w:pPr>
    </w:p>
    <w:p w14:paraId="512F114D" w14:textId="77777777" w:rsidR="00467DB3" w:rsidRDefault="00467DB3" w:rsidP="00D6128D">
      <w:pPr>
        <w:tabs>
          <w:tab w:val="left" w:pos="4170"/>
        </w:tabs>
        <w:ind w:left="360"/>
        <w:rPr>
          <w:rFonts w:ascii="Arial" w:hAnsi="Arial" w:cs="Arial"/>
          <w:sz w:val="24"/>
          <w:szCs w:val="24"/>
        </w:rPr>
      </w:pPr>
    </w:p>
    <w:p w14:paraId="415339A5" w14:textId="77777777" w:rsidR="00467DB3" w:rsidRDefault="00467DB3" w:rsidP="00D6128D">
      <w:pPr>
        <w:tabs>
          <w:tab w:val="left" w:pos="4170"/>
        </w:tabs>
        <w:ind w:left="360"/>
        <w:rPr>
          <w:rFonts w:ascii="Arial" w:hAnsi="Arial" w:cs="Arial"/>
          <w:sz w:val="24"/>
          <w:szCs w:val="24"/>
        </w:rPr>
      </w:pPr>
    </w:p>
    <w:p w14:paraId="4B191478" w14:textId="77777777" w:rsidR="00467DB3" w:rsidRDefault="00467DB3" w:rsidP="00D6128D">
      <w:pPr>
        <w:tabs>
          <w:tab w:val="left" w:pos="4170"/>
        </w:tabs>
        <w:ind w:left="360"/>
        <w:rPr>
          <w:rFonts w:ascii="Arial" w:hAnsi="Arial" w:cs="Arial"/>
          <w:sz w:val="24"/>
          <w:szCs w:val="24"/>
        </w:rPr>
      </w:pPr>
    </w:p>
    <w:p w14:paraId="716331F9" w14:textId="77777777" w:rsidR="00467DB3" w:rsidRDefault="00467DB3" w:rsidP="00D6128D">
      <w:pPr>
        <w:tabs>
          <w:tab w:val="left" w:pos="4170"/>
        </w:tabs>
        <w:ind w:left="360"/>
        <w:rPr>
          <w:rFonts w:ascii="Arial" w:hAnsi="Arial" w:cs="Arial"/>
          <w:sz w:val="24"/>
          <w:szCs w:val="24"/>
        </w:rPr>
      </w:pPr>
    </w:p>
    <w:p w14:paraId="449836EF" w14:textId="77777777" w:rsidR="00467DB3" w:rsidRDefault="00467DB3" w:rsidP="00D6128D">
      <w:pPr>
        <w:tabs>
          <w:tab w:val="left" w:pos="4170"/>
        </w:tabs>
        <w:ind w:left="360"/>
        <w:rPr>
          <w:rFonts w:ascii="Arial" w:hAnsi="Arial" w:cs="Arial"/>
          <w:sz w:val="24"/>
          <w:szCs w:val="24"/>
        </w:rPr>
      </w:pPr>
    </w:p>
    <w:p w14:paraId="3D2AF401" w14:textId="77777777" w:rsidR="00467DB3" w:rsidRDefault="00467DB3" w:rsidP="00D6128D">
      <w:pPr>
        <w:tabs>
          <w:tab w:val="left" w:pos="4170"/>
        </w:tabs>
        <w:ind w:left="360"/>
        <w:rPr>
          <w:rFonts w:ascii="Arial" w:hAnsi="Arial" w:cs="Arial"/>
          <w:sz w:val="24"/>
          <w:szCs w:val="24"/>
        </w:rPr>
      </w:pPr>
    </w:p>
    <w:p w14:paraId="25019832" w14:textId="77777777" w:rsidR="00467DB3" w:rsidRDefault="00467DB3" w:rsidP="00D6128D">
      <w:pPr>
        <w:tabs>
          <w:tab w:val="left" w:pos="4170"/>
        </w:tabs>
        <w:ind w:left="360"/>
        <w:rPr>
          <w:rFonts w:ascii="Arial" w:hAnsi="Arial" w:cs="Arial"/>
          <w:sz w:val="24"/>
          <w:szCs w:val="24"/>
        </w:rPr>
      </w:pPr>
    </w:p>
    <w:p w14:paraId="3FC3BDAA" w14:textId="77777777" w:rsidR="00467DB3" w:rsidRPr="00DF782E" w:rsidRDefault="00467DB3" w:rsidP="00D6128D">
      <w:pPr>
        <w:tabs>
          <w:tab w:val="left" w:pos="4170"/>
        </w:tabs>
        <w:ind w:left="360"/>
        <w:rPr>
          <w:rFonts w:ascii="Arial" w:hAnsi="Arial" w:cs="Arial"/>
          <w:sz w:val="24"/>
          <w:szCs w:val="24"/>
        </w:rPr>
      </w:pPr>
    </w:p>
    <w:p w14:paraId="320B981A" w14:textId="0FD72C7F" w:rsidR="006124AE" w:rsidRPr="00DF782E" w:rsidRDefault="006124AE" w:rsidP="00D6128D">
      <w:pPr>
        <w:tabs>
          <w:tab w:val="left" w:pos="4170"/>
        </w:tabs>
        <w:ind w:left="360"/>
        <w:rPr>
          <w:rFonts w:ascii="Arial" w:hAnsi="Arial" w:cs="Arial"/>
          <w:b/>
          <w:bCs/>
          <w:sz w:val="24"/>
          <w:szCs w:val="24"/>
        </w:rPr>
      </w:pPr>
      <w:r w:rsidRPr="00DF782E">
        <w:rPr>
          <w:rFonts w:ascii="Arial" w:hAnsi="Arial" w:cs="Arial"/>
          <w:b/>
          <w:bCs/>
          <w:sz w:val="24"/>
          <w:szCs w:val="24"/>
        </w:rPr>
        <w:lastRenderedPageBreak/>
        <w:t>Conclusion</w:t>
      </w:r>
    </w:p>
    <w:p w14:paraId="01D6F916" w14:textId="4C8B74CB" w:rsidR="006124AE" w:rsidRPr="00DF782E" w:rsidRDefault="006124AE" w:rsidP="00D6128D">
      <w:pPr>
        <w:tabs>
          <w:tab w:val="left" w:pos="4170"/>
        </w:tabs>
        <w:ind w:left="360"/>
        <w:rPr>
          <w:rFonts w:ascii="Arial" w:hAnsi="Arial" w:cs="Arial"/>
          <w:sz w:val="24"/>
          <w:szCs w:val="24"/>
        </w:rPr>
      </w:pPr>
      <w:r w:rsidRPr="00DF782E">
        <w:rPr>
          <w:rFonts w:ascii="Arial" w:hAnsi="Arial" w:cs="Arial"/>
          <w:sz w:val="24"/>
          <w:szCs w:val="24"/>
        </w:rPr>
        <w:t>Medi Trust’s expansion into the European healthcare market requires a security architecture capable of protecting sensitive clinical datasets, ensuring AI model integrity, and satisfying strict regulatory obligations under GDPR, DORA, and NIS2. The proposed Zero-Trust-aligned security programme integrates governance, monitoring, supply-chain protection, identity-centric access control, and automated response capabilities into a unified operational model.</w:t>
      </w:r>
    </w:p>
    <w:p w14:paraId="2F1E7A17" w14:textId="77777777" w:rsidR="006124AE" w:rsidRDefault="006124AE" w:rsidP="00D6128D">
      <w:pPr>
        <w:tabs>
          <w:tab w:val="left" w:pos="4170"/>
        </w:tabs>
        <w:ind w:left="360"/>
        <w:rPr>
          <w:rFonts w:ascii="Arial" w:hAnsi="Arial" w:cs="Arial"/>
          <w:sz w:val="24"/>
          <w:szCs w:val="24"/>
        </w:rPr>
      </w:pPr>
      <w:r w:rsidRPr="00DF782E">
        <w:rPr>
          <w:rFonts w:ascii="Arial" w:hAnsi="Arial" w:cs="Arial"/>
          <w:sz w:val="24"/>
          <w:szCs w:val="24"/>
        </w:rPr>
        <w:t>By aligning organisational structure with NIST CSF 2.0 functions and implementing modern detection and protection mechanisms such as CSPM, SIEM, EDR, and phishing-resistant MFA, MediTrust can proactively mitigate emerging cybersecurity threats while supporting regulatory compliance and operational resilience. This strategic approach ensures long-term protection of intellectual property, clinical partnerships, and patient trust across its expanding European operations.</w:t>
      </w:r>
    </w:p>
    <w:p w14:paraId="6337F00D" w14:textId="77777777" w:rsidR="00467DB3" w:rsidRDefault="00467DB3" w:rsidP="00D6128D">
      <w:pPr>
        <w:tabs>
          <w:tab w:val="left" w:pos="4170"/>
        </w:tabs>
        <w:ind w:left="360"/>
        <w:rPr>
          <w:rFonts w:ascii="Arial" w:hAnsi="Arial" w:cs="Arial"/>
          <w:sz w:val="24"/>
          <w:szCs w:val="24"/>
        </w:rPr>
      </w:pPr>
    </w:p>
    <w:p w14:paraId="69807CF5" w14:textId="77777777" w:rsidR="00467DB3" w:rsidRDefault="00467DB3" w:rsidP="00D6128D">
      <w:pPr>
        <w:tabs>
          <w:tab w:val="left" w:pos="4170"/>
        </w:tabs>
        <w:ind w:left="360"/>
        <w:rPr>
          <w:rFonts w:ascii="Arial" w:hAnsi="Arial" w:cs="Arial"/>
          <w:sz w:val="24"/>
          <w:szCs w:val="24"/>
        </w:rPr>
      </w:pPr>
    </w:p>
    <w:p w14:paraId="126B1D8D" w14:textId="77777777" w:rsidR="00467DB3" w:rsidRDefault="00467DB3" w:rsidP="00D6128D">
      <w:pPr>
        <w:tabs>
          <w:tab w:val="left" w:pos="4170"/>
        </w:tabs>
        <w:ind w:left="360"/>
        <w:rPr>
          <w:rFonts w:ascii="Arial" w:hAnsi="Arial" w:cs="Arial"/>
          <w:sz w:val="24"/>
          <w:szCs w:val="24"/>
        </w:rPr>
      </w:pPr>
    </w:p>
    <w:p w14:paraId="2966B976" w14:textId="77777777" w:rsidR="00467DB3" w:rsidRDefault="00467DB3" w:rsidP="00D6128D">
      <w:pPr>
        <w:tabs>
          <w:tab w:val="left" w:pos="4170"/>
        </w:tabs>
        <w:ind w:left="360"/>
        <w:rPr>
          <w:rFonts w:ascii="Arial" w:hAnsi="Arial" w:cs="Arial"/>
          <w:sz w:val="24"/>
          <w:szCs w:val="24"/>
        </w:rPr>
      </w:pPr>
    </w:p>
    <w:p w14:paraId="5A48C5E8" w14:textId="77777777" w:rsidR="00467DB3" w:rsidRDefault="00467DB3" w:rsidP="00D6128D">
      <w:pPr>
        <w:tabs>
          <w:tab w:val="left" w:pos="4170"/>
        </w:tabs>
        <w:ind w:left="360"/>
        <w:rPr>
          <w:rFonts w:ascii="Arial" w:hAnsi="Arial" w:cs="Arial"/>
          <w:sz w:val="24"/>
          <w:szCs w:val="24"/>
        </w:rPr>
      </w:pPr>
    </w:p>
    <w:p w14:paraId="2634551D" w14:textId="77777777" w:rsidR="00467DB3" w:rsidRDefault="00467DB3" w:rsidP="00D6128D">
      <w:pPr>
        <w:tabs>
          <w:tab w:val="left" w:pos="4170"/>
        </w:tabs>
        <w:ind w:left="360"/>
        <w:rPr>
          <w:rFonts w:ascii="Arial" w:hAnsi="Arial" w:cs="Arial"/>
          <w:sz w:val="24"/>
          <w:szCs w:val="24"/>
        </w:rPr>
      </w:pPr>
    </w:p>
    <w:p w14:paraId="08DACFDB" w14:textId="77777777" w:rsidR="00467DB3" w:rsidRDefault="00467DB3" w:rsidP="00D6128D">
      <w:pPr>
        <w:tabs>
          <w:tab w:val="left" w:pos="4170"/>
        </w:tabs>
        <w:ind w:left="360"/>
        <w:rPr>
          <w:rFonts w:ascii="Arial" w:hAnsi="Arial" w:cs="Arial"/>
          <w:sz w:val="24"/>
          <w:szCs w:val="24"/>
        </w:rPr>
      </w:pPr>
    </w:p>
    <w:p w14:paraId="2B1D6CA4" w14:textId="77777777" w:rsidR="00467DB3" w:rsidRDefault="00467DB3" w:rsidP="00D6128D">
      <w:pPr>
        <w:tabs>
          <w:tab w:val="left" w:pos="4170"/>
        </w:tabs>
        <w:ind w:left="360"/>
        <w:rPr>
          <w:rFonts w:ascii="Arial" w:hAnsi="Arial" w:cs="Arial"/>
          <w:sz w:val="24"/>
          <w:szCs w:val="24"/>
        </w:rPr>
      </w:pPr>
    </w:p>
    <w:p w14:paraId="2CFB5C92" w14:textId="77777777" w:rsidR="00467DB3" w:rsidRDefault="00467DB3" w:rsidP="00D6128D">
      <w:pPr>
        <w:tabs>
          <w:tab w:val="left" w:pos="4170"/>
        </w:tabs>
        <w:ind w:left="360"/>
        <w:rPr>
          <w:rFonts w:ascii="Arial" w:hAnsi="Arial" w:cs="Arial"/>
          <w:sz w:val="24"/>
          <w:szCs w:val="24"/>
        </w:rPr>
      </w:pPr>
    </w:p>
    <w:p w14:paraId="23E9575B" w14:textId="77777777" w:rsidR="00467DB3" w:rsidRDefault="00467DB3" w:rsidP="00D6128D">
      <w:pPr>
        <w:tabs>
          <w:tab w:val="left" w:pos="4170"/>
        </w:tabs>
        <w:ind w:left="360"/>
        <w:rPr>
          <w:rFonts w:ascii="Arial" w:hAnsi="Arial" w:cs="Arial"/>
          <w:sz w:val="24"/>
          <w:szCs w:val="24"/>
        </w:rPr>
      </w:pPr>
    </w:p>
    <w:p w14:paraId="3FE663E9" w14:textId="77777777" w:rsidR="00467DB3" w:rsidRDefault="00467DB3" w:rsidP="00D6128D">
      <w:pPr>
        <w:tabs>
          <w:tab w:val="left" w:pos="4170"/>
        </w:tabs>
        <w:ind w:left="360"/>
        <w:rPr>
          <w:rFonts w:ascii="Arial" w:hAnsi="Arial" w:cs="Arial"/>
          <w:sz w:val="24"/>
          <w:szCs w:val="24"/>
        </w:rPr>
      </w:pPr>
    </w:p>
    <w:p w14:paraId="344FA16A" w14:textId="77777777" w:rsidR="00467DB3" w:rsidRDefault="00467DB3" w:rsidP="00D6128D">
      <w:pPr>
        <w:tabs>
          <w:tab w:val="left" w:pos="4170"/>
        </w:tabs>
        <w:ind w:left="360"/>
        <w:rPr>
          <w:rFonts w:ascii="Arial" w:hAnsi="Arial" w:cs="Arial"/>
          <w:sz w:val="24"/>
          <w:szCs w:val="24"/>
        </w:rPr>
      </w:pPr>
    </w:p>
    <w:p w14:paraId="3489F4DB" w14:textId="77777777" w:rsidR="00467DB3" w:rsidRDefault="00467DB3" w:rsidP="00D6128D">
      <w:pPr>
        <w:tabs>
          <w:tab w:val="left" w:pos="4170"/>
        </w:tabs>
        <w:ind w:left="360"/>
        <w:rPr>
          <w:rFonts w:ascii="Arial" w:hAnsi="Arial" w:cs="Arial"/>
          <w:sz w:val="24"/>
          <w:szCs w:val="24"/>
        </w:rPr>
      </w:pPr>
    </w:p>
    <w:p w14:paraId="68D17EFB" w14:textId="77777777" w:rsidR="00467DB3" w:rsidRDefault="00467DB3" w:rsidP="00D6128D">
      <w:pPr>
        <w:tabs>
          <w:tab w:val="left" w:pos="4170"/>
        </w:tabs>
        <w:ind w:left="360"/>
        <w:rPr>
          <w:rFonts w:ascii="Arial" w:hAnsi="Arial" w:cs="Arial"/>
          <w:sz w:val="24"/>
          <w:szCs w:val="24"/>
        </w:rPr>
      </w:pPr>
    </w:p>
    <w:p w14:paraId="76D32FB4" w14:textId="77777777" w:rsidR="00467DB3" w:rsidRDefault="00467DB3" w:rsidP="00D6128D">
      <w:pPr>
        <w:tabs>
          <w:tab w:val="left" w:pos="4170"/>
        </w:tabs>
        <w:ind w:left="360"/>
        <w:rPr>
          <w:rFonts w:ascii="Arial" w:hAnsi="Arial" w:cs="Arial"/>
          <w:sz w:val="24"/>
          <w:szCs w:val="24"/>
        </w:rPr>
      </w:pPr>
    </w:p>
    <w:p w14:paraId="2F1929D8" w14:textId="77777777" w:rsidR="00467DB3" w:rsidRDefault="00467DB3" w:rsidP="00D6128D">
      <w:pPr>
        <w:tabs>
          <w:tab w:val="left" w:pos="4170"/>
        </w:tabs>
        <w:ind w:left="360"/>
        <w:rPr>
          <w:rFonts w:ascii="Arial" w:hAnsi="Arial" w:cs="Arial"/>
          <w:sz w:val="24"/>
          <w:szCs w:val="24"/>
        </w:rPr>
      </w:pPr>
    </w:p>
    <w:p w14:paraId="557795E6" w14:textId="77777777" w:rsidR="00467DB3" w:rsidRDefault="00467DB3" w:rsidP="00D6128D">
      <w:pPr>
        <w:tabs>
          <w:tab w:val="left" w:pos="4170"/>
        </w:tabs>
        <w:ind w:left="360"/>
        <w:rPr>
          <w:rFonts w:ascii="Arial" w:hAnsi="Arial" w:cs="Arial"/>
          <w:sz w:val="24"/>
          <w:szCs w:val="24"/>
        </w:rPr>
      </w:pPr>
    </w:p>
    <w:p w14:paraId="0EC76EEC" w14:textId="77777777" w:rsidR="00467DB3" w:rsidRDefault="00467DB3" w:rsidP="00D6128D">
      <w:pPr>
        <w:tabs>
          <w:tab w:val="left" w:pos="4170"/>
        </w:tabs>
        <w:ind w:left="360"/>
        <w:rPr>
          <w:rFonts w:ascii="Arial" w:hAnsi="Arial" w:cs="Arial"/>
          <w:sz w:val="24"/>
          <w:szCs w:val="24"/>
        </w:rPr>
      </w:pPr>
    </w:p>
    <w:p w14:paraId="055B459F" w14:textId="77777777" w:rsidR="00467DB3" w:rsidRDefault="00467DB3" w:rsidP="00D6128D">
      <w:pPr>
        <w:tabs>
          <w:tab w:val="left" w:pos="4170"/>
        </w:tabs>
        <w:ind w:left="360"/>
        <w:rPr>
          <w:rFonts w:ascii="Arial" w:hAnsi="Arial" w:cs="Arial"/>
          <w:sz w:val="24"/>
          <w:szCs w:val="24"/>
        </w:rPr>
      </w:pPr>
    </w:p>
    <w:p w14:paraId="7732947B" w14:textId="77777777" w:rsidR="00467DB3" w:rsidRDefault="00467DB3" w:rsidP="00D6128D">
      <w:pPr>
        <w:tabs>
          <w:tab w:val="left" w:pos="4170"/>
        </w:tabs>
        <w:ind w:left="360"/>
        <w:rPr>
          <w:rFonts w:ascii="Arial" w:hAnsi="Arial" w:cs="Arial"/>
          <w:sz w:val="24"/>
          <w:szCs w:val="24"/>
        </w:rPr>
      </w:pPr>
    </w:p>
    <w:p w14:paraId="7986449B" w14:textId="77777777" w:rsidR="00467DB3" w:rsidRDefault="00467DB3" w:rsidP="00D6128D">
      <w:pPr>
        <w:tabs>
          <w:tab w:val="left" w:pos="4170"/>
        </w:tabs>
        <w:ind w:left="360"/>
        <w:rPr>
          <w:rFonts w:ascii="Arial" w:hAnsi="Arial" w:cs="Arial"/>
          <w:sz w:val="24"/>
          <w:szCs w:val="24"/>
        </w:rPr>
      </w:pPr>
    </w:p>
    <w:p w14:paraId="196AB9B6" w14:textId="77777777" w:rsidR="00467DB3" w:rsidRPr="00DF782E" w:rsidRDefault="00467DB3" w:rsidP="00D6128D">
      <w:pPr>
        <w:tabs>
          <w:tab w:val="left" w:pos="4170"/>
        </w:tabs>
        <w:ind w:left="360"/>
        <w:rPr>
          <w:rFonts w:ascii="Arial" w:hAnsi="Arial" w:cs="Arial"/>
          <w:sz w:val="24"/>
          <w:szCs w:val="24"/>
        </w:rPr>
      </w:pPr>
    </w:p>
    <w:p w14:paraId="6CCDC956" w14:textId="54B09238" w:rsidR="006124AE" w:rsidRPr="00DF782E" w:rsidRDefault="006124AE" w:rsidP="00D6128D">
      <w:pPr>
        <w:tabs>
          <w:tab w:val="left" w:pos="4170"/>
        </w:tabs>
        <w:ind w:left="360"/>
        <w:rPr>
          <w:rFonts w:ascii="Arial" w:hAnsi="Arial" w:cs="Arial"/>
          <w:b/>
          <w:bCs/>
          <w:sz w:val="24"/>
          <w:szCs w:val="24"/>
        </w:rPr>
      </w:pPr>
      <w:r w:rsidRPr="00DF782E">
        <w:rPr>
          <w:rFonts w:ascii="Arial" w:hAnsi="Arial" w:cs="Arial"/>
          <w:b/>
          <w:bCs/>
          <w:sz w:val="24"/>
          <w:szCs w:val="24"/>
        </w:rPr>
        <w:lastRenderedPageBreak/>
        <w:t>References for Task 2</w:t>
      </w:r>
    </w:p>
    <w:p w14:paraId="2DB1EB5E" w14:textId="77777777" w:rsidR="006124AE" w:rsidRPr="00DF782E" w:rsidRDefault="006124AE" w:rsidP="00D6128D">
      <w:pPr>
        <w:tabs>
          <w:tab w:val="left" w:pos="4170"/>
        </w:tabs>
        <w:ind w:left="360"/>
        <w:rPr>
          <w:rFonts w:ascii="Arial" w:hAnsi="Arial" w:cs="Arial"/>
          <w:sz w:val="24"/>
          <w:szCs w:val="24"/>
        </w:rPr>
      </w:pPr>
      <w:r w:rsidRPr="00DF782E">
        <w:rPr>
          <w:rFonts w:ascii="Arial" w:hAnsi="Arial" w:cs="Arial"/>
          <w:sz w:val="24"/>
          <w:szCs w:val="24"/>
        </w:rPr>
        <w:t xml:space="preserve">[1] National Institute of Standards and Technology (NIST), </w:t>
      </w:r>
      <w:r w:rsidRPr="00DF782E">
        <w:rPr>
          <w:rFonts w:ascii="Arial" w:hAnsi="Arial" w:cs="Arial"/>
          <w:i/>
          <w:iCs/>
          <w:sz w:val="24"/>
          <w:szCs w:val="24"/>
        </w:rPr>
        <w:t>NIST Cybersecurity Framework (CSF) 2.0</w:t>
      </w:r>
      <w:r w:rsidRPr="00DF782E">
        <w:rPr>
          <w:rFonts w:ascii="Arial" w:hAnsi="Arial" w:cs="Arial"/>
          <w:sz w:val="24"/>
          <w:szCs w:val="24"/>
        </w:rPr>
        <w:t>, Gaithersburg, MD, USA, Feb. 2024.</w:t>
      </w:r>
    </w:p>
    <w:p w14:paraId="1D9F4A32" w14:textId="77777777" w:rsidR="006124AE" w:rsidRPr="00DF782E" w:rsidRDefault="006124AE" w:rsidP="00D6128D">
      <w:pPr>
        <w:tabs>
          <w:tab w:val="left" w:pos="4170"/>
        </w:tabs>
        <w:ind w:left="360"/>
        <w:rPr>
          <w:rFonts w:ascii="Arial" w:hAnsi="Arial" w:cs="Arial"/>
          <w:sz w:val="24"/>
          <w:szCs w:val="24"/>
        </w:rPr>
      </w:pPr>
      <w:r w:rsidRPr="00DF782E">
        <w:rPr>
          <w:rFonts w:ascii="Arial" w:hAnsi="Arial" w:cs="Arial"/>
          <w:sz w:val="24"/>
          <w:szCs w:val="24"/>
        </w:rPr>
        <w:t xml:space="preserve">[2] National Institute of Standards and Technology (NIST), </w:t>
      </w:r>
      <w:r w:rsidRPr="00DF782E">
        <w:rPr>
          <w:rFonts w:ascii="Arial" w:hAnsi="Arial" w:cs="Arial"/>
          <w:i/>
          <w:iCs/>
          <w:sz w:val="24"/>
          <w:szCs w:val="24"/>
        </w:rPr>
        <w:t>Zero Trust Architecture</w:t>
      </w:r>
      <w:r w:rsidRPr="00DF782E">
        <w:rPr>
          <w:rFonts w:ascii="Arial" w:hAnsi="Arial" w:cs="Arial"/>
          <w:sz w:val="24"/>
          <w:szCs w:val="24"/>
        </w:rPr>
        <w:t>, Special Publication 800-207, Aug. 2020.</w:t>
      </w:r>
    </w:p>
    <w:p w14:paraId="02EE19DD" w14:textId="77777777" w:rsidR="006124AE" w:rsidRPr="00DF782E" w:rsidRDefault="006124AE" w:rsidP="00D6128D">
      <w:pPr>
        <w:tabs>
          <w:tab w:val="left" w:pos="4170"/>
        </w:tabs>
        <w:ind w:left="360"/>
        <w:rPr>
          <w:rFonts w:ascii="Arial" w:hAnsi="Arial" w:cs="Arial"/>
          <w:sz w:val="24"/>
          <w:szCs w:val="24"/>
        </w:rPr>
      </w:pPr>
      <w:r w:rsidRPr="00DF782E">
        <w:rPr>
          <w:rFonts w:ascii="Arial" w:hAnsi="Arial" w:cs="Arial"/>
          <w:sz w:val="24"/>
          <w:szCs w:val="24"/>
        </w:rPr>
        <w:t xml:space="preserve">[3] European Union, </w:t>
      </w:r>
      <w:r w:rsidRPr="00DF782E">
        <w:rPr>
          <w:rFonts w:ascii="Arial" w:hAnsi="Arial" w:cs="Arial"/>
          <w:i/>
          <w:iCs/>
          <w:sz w:val="24"/>
          <w:szCs w:val="24"/>
        </w:rPr>
        <w:t>Regulation (EU) 2022/2554 on Digital Operational Resilience for the Financial Sector (DORA)</w:t>
      </w:r>
      <w:r w:rsidRPr="00DF782E">
        <w:rPr>
          <w:rFonts w:ascii="Arial" w:hAnsi="Arial" w:cs="Arial"/>
          <w:sz w:val="24"/>
          <w:szCs w:val="24"/>
        </w:rPr>
        <w:t>, Brussels, Belgium, 2022.</w:t>
      </w:r>
    </w:p>
    <w:p w14:paraId="0362E185" w14:textId="77777777" w:rsidR="006124AE" w:rsidRPr="00DF782E" w:rsidRDefault="006124AE" w:rsidP="00D6128D">
      <w:pPr>
        <w:tabs>
          <w:tab w:val="left" w:pos="4170"/>
        </w:tabs>
        <w:ind w:left="360"/>
        <w:rPr>
          <w:rFonts w:ascii="Arial" w:hAnsi="Arial" w:cs="Arial"/>
          <w:sz w:val="24"/>
          <w:szCs w:val="24"/>
        </w:rPr>
      </w:pPr>
      <w:r w:rsidRPr="00DF782E">
        <w:rPr>
          <w:rFonts w:ascii="Arial" w:hAnsi="Arial" w:cs="Arial"/>
          <w:sz w:val="24"/>
          <w:szCs w:val="24"/>
        </w:rPr>
        <w:t xml:space="preserve">[4] European Parliament and Council of the European Union, </w:t>
      </w:r>
      <w:r w:rsidRPr="00DF782E">
        <w:rPr>
          <w:rFonts w:ascii="Arial" w:hAnsi="Arial" w:cs="Arial"/>
          <w:i/>
          <w:iCs/>
          <w:sz w:val="24"/>
          <w:szCs w:val="24"/>
        </w:rPr>
        <w:t>Directive (EU) 2022/2555 on Measures for a High Common Level of Cybersecurity Across the Union (NIS2 Directive)</w:t>
      </w:r>
      <w:r w:rsidRPr="00DF782E">
        <w:rPr>
          <w:rFonts w:ascii="Arial" w:hAnsi="Arial" w:cs="Arial"/>
          <w:sz w:val="24"/>
          <w:szCs w:val="24"/>
        </w:rPr>
        <w:t>, Brussels, Belgium, 2022.</w:t>
      </w:r>
    </w:p>
    <w:p w14:paraId="03726192" w14:textId="77777777" w:rsidR="006124AE" w:rsidRPr="00DF782E" w:rsidRDefault="006124AE" w:rsidP="00D6128D">
      <w:pPr>
        <w:tabs>
          <w:tab w:val="left" w:pos="4170"/>
        </w:tabs>
        <w:ind w:left="360"/>
        <w:rPr>
          <w:rFonts w:ascii="Arial" w:hAnsi="Arial" w:cs="Arial"/>
          <w:sz w:val="24"/>
          <w:szCs w:val="24"/>
        </w:rPr>
      </w:pPr>
      <w:r w:rsidRPr="00DF782E">
        <w:rPr>
          <w:rFonts w:ascii="Arial" w:hAnsi="Arial" w:cs="Arial"/>
          <w:sz w:val="24"/>
          <w:szCs w:val="24"/>
        </w:rPr>
        <w:t xml:space="preserve">[5] European Parliament and Council of the European Union, </w:t>
      </w:r>
      <w:r w:rsidRPr="00DF782E">
        <w:rPr>
          <w:rFonts w:ascii="Arial" w:hAnsi="Arial" w:cs="Arial"/>
          <w:i/>
          <w:iCs/>
          <w:sz w:val="24"/>
          <w:szCs w:val="24"/>
        </w:rPr>
        <w:t>General Data Protection Regulation (GDPR)</w:t>
      </w:r>
      <w:r w:rsidRPr="00DF782E">
        <w:rPr>
          <w:rFonts w:ascii="Arial" w:hAnsi="Arial" w:cs="Arial"/>
          <w:sz w:val="24"/>
          <w:szCs w:val="24"/>
        </w:rPr>
        <w:t>, Regulation (EU) 2016/679, 2016.</w:t>
      </w:r>
    </w:p>
    <w:p w14:paraId="5615D5A0" w14:textId="77777777" w:rsidR="006124AE" w:rsidRPr="00DF782E" w:rsidRDefault="006124AE" w:rsidP="00D6128D">
      <w:pPr>
        <w:tabs>
          <w:tab w:val="left" w:pos="4170"/>
        </w:tabs>
        <w:ind w:left="360"/>
        <w:rPr>
          <w:rFonts w:ascii="Arial" w:hAnsi="Arial" w:cs="Arial"/>
          <w:sz w:val="24"/>
          <w:szCs w:val="24"/>
        </w:rPr>
      </w:pPr>
      <w:r w:rsidRPr="00DF782E">
        <w:rPr>
          <w:rFonts w:ascii="Arial" w:hAnsi="Arial" w:cs="Arial"/>
          <w:sz w:val="24"/>
          <w:szCs w:val="24"/>
        </w:rPr>
        <w:t xml:space="preserve">[6] UK National Cyber Security Centre (NCSC), </w:t>
      </w:r>
      <w:r w:rsidRPr="00DF782E">
        <w:rPr>
          <w:rFonts w:ascii="Arial" w:hAnsi="Arial" w:cs="Arial"/>
          <w:i/>
          <w:iCs/>
          <w:sz w:val="24"/>
          <w:szCs w:val="24"/>
        </w:rPr>
        <w:t>Zero Trust Architecture Design Principles</w:t>
      </w:r>
      <w:r w:rsidRPr="00DF782E">
        <w:rPr>
          <w:rFonts w:ascii="Arial" w:hAnsi="Arial" w:cs="Arial"/>
          <w:sz w:val="24"/>
          <w:szCs w:val="24"/>
        </w:rPr>
        <w:t>, London, UK, 2023.</w:t>
      </w:r>
    </w:p>
    <w:p w14:paraId="1EB14388" w14:textId="77777777" w:rsidR="006124AE" w:rsidRPr="00DF782E" w:rsidRDefault="006124AE" w:rsidP="00D6128D">
      <w:pPr>
        <w:tabs>
          <w:tab w:val="left" w:pos="4170"/>
        </w:tabs>
        <w:ind w:left="360"/>
        <w:rPr>
          <w:rFonts w:ascii="Arial" w:hAnsi="Arial" w:cs="Arial"/>
          <w:sz w:val="24"/>
          <w:szCs w:val="24"/>
        </w:rPr>
      </w:pPr>
      <w:r w:rsidRPr="00DF782E">
        <w:rPr>
          <w:rFonts w:ascii="Arial" w:hAnsi="Arial" w:cs="Arial"/>
          <w:sz w:val="24"/>
          <w:szCs w:val="24"/>
        </w:rPr>
        <w:t xml:space="preserve">[7] European Union Agency for Cybersecurity (ENISA), </w:t>
      </w:r>
      <w:r w:rsidRPr="00DF782E">
        <w:rPr>
          <w:rFonts w:ascii="Arial" w:hAnsi="Arial" w:cs="Arial"/>
          <w:i/>
          <w:iCs/>
          <w:sz w:val="24"/>
          <w:szCs w:val="24"/>
        </w:rPr>
        <w:t>Threat Landscape for Supply Chain Attacks</w:t>
      </w:r>
      <w:r w:rsidRPr="00DF782E">
        <w:rPr>
          <w:rFonts w:ascii="Arial" w:hAnsi="Arial" w:cs="Arial"/>
          <w:sz w:val="24"/>
          <w:szCs w:val="24"/>
        </w:rPr>
        <w:t>, Athens, Greece, 2023.</w:t>
      </w:r>
    </w:p>
    <w:p w14:paraId="11787447" w14:textId="77777777" w:rsidR="006124AE" w:rsidRPr="00DF782E" w:rsidRDefault="006124AE" w:rsidP="00D6128D">
      <w:pPr>
        <w:tabs>
          <w:tab w:val="left" w:pos="4170"/>
        </w:tabs>
        <w:ind w:left="360"/>
        <w:rPr>
          <w:rFonts w:ascii="Arial" w:hAnsi="Arial" w:cs="Arial"/>
          <w:sz w:val="24"/>
          <w:szCs w:val="24"/>
        </w:rPr>
      </w:pPr>
      <w:r w:rsidRPr="00DF782E">
        <w:rPr>
          <w:rFonts w:ascii="Arial" w:hAnsi="Arial" w:cs="Arial"/>
          <w:sz w:val="24"/>
          <w:szCs w:val="24"/>
        </w:rPr>
        <w:t xml:space="preserve">[8] ENISA, </w:t>
      </w:r>
      <w:r w:rsidRPr="00DF782E">
        <w:rPr>
          <w:rFonts w:ascii="Arial" w:hAnsi="Arial" w:cs="Arial"/>
          <w:i/>
          <w:iCs/>
          <w:sz w:val="24"/>
          <w:szCs w:val="24"/>
        </w:rPr>
        <w:t>Cloud Security for Healthcare Services</w:t>
      </w:r>
      <w:r w:rsidRPr="00DF782E">
        <w:rPr>
          <w:rFonts w:ascii="Arial" w:hAnsi="Arial" w:cs="Arial"/>
          <w:sz w:val="24"/>
          <w:szCs w:val="24"/>
        </w:rPr>
        <w:t>, Athens, Greece, 2021.</w:t>
      </w:r>
    </w:p>
    <w:p w14:paraId="5511804A" w14:textId="77777777" w:rsidR="006124AE" w:rsidRPr="00DF782E" w:rsidRDefault="006124AE" w:rsidP="00D6128D">
      <w:pPr>
        <w:tabs>
          <w:tab w:val="left" w:pos="4170"/>
        </w:tabs>
        <w:ind w:left="360"/>
        <w:rPr>
          <w:rFonts w:ascii="Arial" w:hAnsi="Arial" w:cs="Arial"/>
          <w:sz w:val="24"/>
          <w:szCs w:val="24"/>
        </w:rPr>
      </w:pPr>
      <w:r w:rsidRPr="00DF782E">
        <w:rPr>
          <w:rFonts w:ascii="Arial" w:hAnsi="Arial" w:cs="Arial"/>
          <w:sz w:val="24"/>
          <w:szCs w:val="24"/>
        </w:rPr>
        <w:t xml:space="preserve">[9] National Cyber Security Centre (NCSC), </w:t>
      </w:r>
      <w:r w:rsidRPr="00DF782E">
        <w:rPr>
          <w:rFonts w:ascii="Arial" w:hAnsi="Arial" w:cs="Arial"/>
          <w:i/>
          <w:iCs/>
          <w:sz w:val="24"/>
          <w:szCs w:val="24"/>
        </w:rPr>
        <w:t>Secure Development and Deployment Guidance</w:t>
      </w:r>
      <w:r w:rsidRPr="00DF782E">
        <w:rPr>
          <w:rFonts w:ascii="Arial" w:hAnsi="Arial" w:cs="Arial"/>
          <w:sz w:val="24"/>
          <w:szCs w:val="24"/>
        </w:rPr>
        <w:t>, London, UK, 2022.</w:t>
      </w:r>
    </w:p>
    <w:p w14:paraId="1B736F13" w14:textId="77777777" w:rsidR="006124AE" w:rsidRPr="00DF782E" w:rsidRDefault="006124AE" w:rsidP="00D6128D">
      <w:pPr>
        <w:tabs>
          <w:tab w:val="left" w:pos="4170"/>
        </w:tabs>
        <w:ind w:left="360"/>
        <w:rPr>
          <w:rFonts w:ascii="Arial" w:hAnsi="Arial" w:cs="Arial"/>
          <w:sz w:val="24"/>
          <w:szCs w:val="24"/>
        </w:rPr>
      </w:pPr>
      <w:r w:rsidRPr="00DF782E">
        <w:rPr>
          <w:rFonts w:ascii="Arial" w:hAnsi="Arial" w:cs="Arial"/>
          <w:sz w:val="24"/>
          <w:szCs w:val="24"/>
        </w:rPr>
        <w:t xml:space="preserve">[10] National Institute of Standards and Technology (NIST), </w:t>
      </w:r>
      <w:r w:rsidRPr="00DF782E">
        <w:rPr>
          <w:rFonts w:ascii="Arial" w:hAnsi="Arial" w:cs="Arial"/>
          <w:i/>
          <w:iCs/>
          <w:sz w:val="24"/>
          <w:szCs w:val="24"/>
        </w:rPr>
        <w:t>Secure Software Development Framework (SSDF)</w:t>
      </w:r>
      <w:r w:rsidRPr="00DF782E">
        <w:rPr>
          <w:rFonts w:ascii="Arial" w:hAnsi="Arial" w:cs="Arial"/>
          <w:sz w:val="24"/>
          <w:szCs w:val="24"/>
        </w:rPr>
        <w:t>, SP 800-218, Feb. 2022.</w:t>
      </w:r>
    </w:p>
    <w:p w14:paraId="3678FDBA" w14:textId="77777777" w:rsidR="006124AE" w:rsidRPr="00DF782E" w:rsidRDefault="006124AE" w:rsidP="00D6128D">
      <w:pPr>
        <w:tabs>
          <w:tab w:val="left" w:pos="4170"/>
        </w:tabs>
        <w:ind w:left="360"/>
        <w:rPr>
          <w:rFonts w:ascii="Arial" w:hAnsi="Arial" w:cs="Arial"/>
          <w:sz w:val="24"/>
          <w:szCs w:val="24"/>
        </w:rPr>
      </w:pPr>
      <w:r w:rsidRPr="00DF782E">
        <w:rPr>
          <w:rFonts w:ascii="Arial" w:hAnsi="Arial" w:cs="Arial"/>
          <w:sz w:val="24"/>
          <w:szCs w:val="24"/>
        </w:rPr>
        <w:t xml:space="preserve">[11] U.S. Cybersecurity and Infrastructure Security Agency (CISA), </w:t>
      </w:r>
      <w:r w:rsidRPr="00DF782E">
        <w:rPr>
          <w:rFonts w:ascii="Arial" w:hAnsi="Arial" w:cs="Arial"/>
          <w:i/>
          <w:iCs/>
          <w:sz w:val="24"/>
          <w:szCs w:val="24"/>
        </w:rPr>
        <w:t>Defending Against Software Supply Chain Attacks</w:t>
      </w:r>
      <w:r w:rsidRPr="00DF782E">
        <w:rPr>
          <w:rFonts w:ascii="Arial" w:hAnsi="Arial" w:cs="Arial"/>
          <w:sz w:val="24"/>
          <w:szCs w:val="24"/>
        </w:rPr>
        <w:t>, Washington, DC, USA, 2023.</w:t>
      </w:r>
    </w:p>
    <w:p w14:paraId="5AAA8988" w14:textId="77777777" w:rsidR="006124AE" w:rsidRPr="00DF782E" w:rsidRDefault="006124AE" w:rsidP="00D6128D">
      <w:pPr>
        <w:tabs>
          <w:tab w:val="left" w:pos="4170"/>
        </w:tabs>
        <w:ind w:left="360"/>
        <w:rPr>
          <w:rFonts w:ascii="Arial" w:hAnsi="Arial" w:cs="Arial"/>
          <w:sz w:val="24"/>
          <w:szCs w:val="24"/>
        </w:rPr>
      </w:pPr>
      <w:r w:rsidRPr="00DF782E">
        <w:rPr>
          <w:rFonts w:ascii="Arial" w:hAnsi="Arial" w:cs="Arial"/>
          <w:sz w:val="24"/>
          <w:szCs w:val="24"/>
        </w:rPr>
        <w:t xml:space="preserve">[12] National Institute of Standards and Technology (NIST), </w:t>
      </w:r>
      <w:r w:rsidRPr="00DF782E">
        <w:rPr>
          <w:rFonts w:ascii="Arial" w:hAnsi="Arial" w:cs="Arial"/>
          <w:i/>
          <w:iCs/>
          <w:sz w:val="24"/>
          <w:szCs w:val="24"/>
        </w:rPr>
        <w:t>Security and Privacy Controls for Information Systems and Organizations</w:t>
      </w:r>
      <w:r w:rsidRPr="00DF782E">
        <w:rPr>
          <w:rFonts w:ascii="Arial" w:hAnsi="Arial" w:cs="Arial"/>
          <w:sz w:val="24"/>
          <w:szCs w:val="24"/>
        </w:rPr>
        <w:t>, SP 800-53 Rev. 5, 2020.</w:t>
      </w:r>
    </w:p>
    <w:p w14:paraId="5B6B12C0" w14:textId="77777777" w:rsidR="006124AE" w:rsidRPr="00DF782E" w:rsidRDefault="006124AE" w:rsidP="00D6128D">
      <w:pPr>
        <w:tabs>
          <w:tab w:val="left" w:pos="4170"/>
        </w:tabs>
        <w:ind w:left="360"/>
        <w:rPr>
          <w:rFonts w:ascii="Arial" w:hAnsi="Arial" w:cs="Arial"/>
          <w:sz w:val="24"/>
          <w:szCs w:val="24"/>
        </w:rPr>
      </w:pPr>
      <w:r w:rsidRPr="00DF782E">
        <w:rPr>
          <w:rFonts w:ascii="Arial" w:hAnsi="Arial" w:cs="Arial"/>
          <w:sz w:val="24"/>
          <w:szCs w:val="24"/>
        </w:rPr>
        <w:t xml:space="preserve">[13] Cloud Security Alliance (CSA), </w:t>
      </w:r>
      <w:r w:rsidRPr="00DF782E">
        <w:rPr>
          <w:rFonts w:ascii="Arial" w:hAnsi="Arial" w:cs="Arial"/>
          <w:i/>
          <w:iCs/>
          <w:sz w:val="24"/>
          <w:szCs w:val="24"/>
        </w:rPr>
        <w:t>Security Guidance for Critical Areas of Focus in Cloud Computing v4.0</w:t>
      </w:r>
      <w:r w:rsidRPr="00DF782E">
        <w:rPr>
          <w:rFonts w:ascii="Arial" w:hAnsi="Arial" w:cs="Arial"/>
          <w:sz w:val="24"/>
          <w:szCs w:val="24"/>
        </w:rPr>
        <w:t>, 2021.</w:t>
      </w:r>
    </w:p>
    <w:p w14:paraId="35BB429E" w14:textId="77777777" w:rsidR="006124AE" w:rsidRPr="00DF782E" w:rsidRDefault="006124AE" w:rsidP="00D6128D">
      <w:pPr>
        <w:tabs>
          <w:tab w:val="left" w:pos="4170"/>
        </w:tabs>
        <w:ind w:left="360"/>
        <w:rPr>
          <w:rFonts w:ascii="Arial" w:hAnsi="Arial" w:cs="Arial"/>
          <w:sz w:val="24"/>
          <w:szCs w:val="24"/>
        </w:rPr>
      </w:pPr>
      <w:r w:rsidRPr="00DF782E">
        <w:rPr>
          <w:rFonts w:ascii="Arial" w:hAnsi="Arial" w:cs="Arial"/>
          <w:sz w:val="24"/>
          <w:szCs w:val="24"/>
        </w:rPr>
        <w:t xml:space="preserve">[14] European Commission, </w:t>
      </w:r>
      <w:r w:rsidRPr="00DF782E">
        <w:rPr>
          <w:rFonts w:ascii="Arial" w:hAnsi="Arial" w:cs="Arial"/>
          <w:i/>
          <w:iCs/>
          <w:sz w:val="24"/>
          <w:szCs w:val="24"/>
        </w:rPr>
        <w:t>Guidelines on Cybersecurity Measures for Hospitals and Healthcare Providers</w:t>
      </w:r>
      <w:r w:rsidRPr="00DF782E">
        <w:rPr>
          <w:rFonts w:ascii="Arial" w:hAnsi="Arial" w:cs="Arial"/>
          <w:sz w:val="24"/>
          <w:szCs w:val="24"/>
        </w:rPr>
        <w:t>, Brussels, Belgium, 2023.</w:t>
      </w:r>
    </w:p>
    <w:p w14:paraId="04B6CBC9" w14:textId="1F4070EF" w:rsidR="006124AE" w:rsidRPr="00DF782E" w:rsidRDefault="006124AE" w:rsidP="00D6128D">
      <w:pPr>
        <w:tabs>
          <w:tab w:val="left" w:pos="4170"/>
        </w:tabs>
        <w:ind w:left="60"/>
        <w:rPr>
          <w:rFonts w:ascii="Arial" w:hAnsi="Arial" w:cs="Arial"/>
          <w:sz w:val="24"/>
          <w:szCs w:val="24"/>
        </w:rPr>
      </w:pPr>
    </w:p>
    <w:p w14:paraId="0155247F" w14:textId="77777777" w:rsidR="006124AE" w:rsidRPr="00DF782E" w:rsidRDefault="006124AE" w:rsidP="00D6128D">
      <w:pPr>
        <w:tabs>
          <w:tab w:val="left" w:pos="4170"/>
        </w:tabs>
        <w:rPr>
          <w:rFonts w:ascii="Arial" w:hAnsi="Arial" w:cs="Arial"/>
          <w:sz w:val="24"/>
          <w:szCs w:val="24"/>
        </w:rPr>
      </w:pPr>
    </w:p>
    <w:p w14:paraId="731E2D56" w14:textId="77777777" w:rsidR="006124AE" w:rsidRPr="00DF782E" w:rsidRDefault="006124AE" w:rsidP="00D6128D">
      <w:pPr>
        <w:tabs>
          <w:tab w:val="left" w:pos="4170"/>
        </w:tabs>
        <w:rPr>
          <w:rFonts w:ascii="Arial" w:hAnsi="Arial" w:cs="Arial"/>
          <w:sz w:val="24"/>
          <w:szCs w:val="24"/>
        </w:rPr>
      </w:pPr>
    </w:p>
    <w:sectPr w:rsidR="006124AE" w:rsidRPr="00DF782E" w:rsidSect="00D068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635147" w14:textId="77777777" w:rsidR="003D2107" w:rsidRDefault="003D2107" w:rsidP="0056309F">
      <w:pPr>
        <w:spacing w:after="0" w:line="240" w:lineRule="auto"/>
      </w:pPr>
      <w:r>
        <w:separator/>
      </w:r>
    </w:p>
  </w:endnote>
  <w:endnote w:type="continuationSeparator" w:id="0">
    <w:p w14:paraId="0A3528E7" w14:textId="77777777" w:rsidR="003D2107" w:rsidRDefault="003D2107" w:rsidP="005630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5FF770" w14:textId="77777777" w:rsidR="0056309F" w:rsidRDefault="0056309F">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2F7A5C52" w14:textId="77777777" w:rsidR="0056309F" w:rsidRDefault="005630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171811" w14:textId="77777777" w:rsidR="003D2107" w:rsidRDefault="003D2107" w:rsidP="0056309F">
      <w:pPr>
        <w:spacing w:after="0" w:line="240" w:lineRule="auto"/>
      </w:pPr>
      <w:r>
        <w:separator/>
      </w:r>
    </w:p>
  </w:footnote>
  <w:footnote w:type="continuationSeparator" w:id="0">
    <w:p w14:paraId="389D9162" w14:textId="77777777" w:rsidR="003D2107" w:rsidRDefault="003D2107" w:rsidP="005630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5C91AC" w14:textId="4C08846C" w:rsidR="0056309F" w:rsidRDefault="0056309F" w:rsidP="0056309F">
    <w:r>
      <w:rPr>
        <w:noProof/>
        <w:color w:val="000000"/>
      </w:rPr>
      <mc:AlternateContent>
        <mc:Choice Requires="wps">
          <w:drawing>
            <wp:anchor distT="0" distB="0" distL="114300" distR="114300" simplePos="0" relativeHeight="251659264" behindDoc="0" locked="0" layoutInCell="1" allowOverlap="1" wp14:anchorId="523817C9" wp14:editId="4CF553EF">
              <wp:simplePos x="0" y="0"/>
              <wp:positionH relativeFrom="page">
                <wp:align>center</wp:align>
              </wp:positionH>
              <wp:positionV relativeFrom="page">
                <wp:align>center</wp:align>
              </wp:positionV>
              <wp:extent cx="7376160" cy="9555480"/>
              <wp:effectExtent l="0" t="0" r="26670" b="26670"/>
              <wp:wrapNone/>
              <wp:docPr id="222" name="Rectangle 233"/>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2A554E1" id="Rectangle 233"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737373 [1614]" strokeweight="1.25pt">
              <w10:wrap anchorx="page" anchory="page"/>
            </v:rect>
          </w:pict>
        </mc:Fallback>
      </mc:AlternateContent>
    </w:r>
    <w:r>
      <w:rPr>
        <w:color w:val="156082" w:themeColor="accent1"/>
      </w:rPr>
      <w:t xml:space="preserve">Data Security and Compliance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41CB0"/>
    <w:multiLevelType w:val="multilevel"/>
    <w:tmpl w:val="65002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053B2E"/>
    <w:multiLevelType w:val="hybridMultilevel"/>
    <w:tmpl w:val="27F088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E71DB7"/>
    <w:multiLevelType w:val="multilevel"/>
    <w:tmpl w:val="3DBCB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9808A4"/>
    <w:multiLevelType w:val="multilevel"/>
    <w:tmpl w:val="7D7A1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A3629E"/>
    <w:multiLevelType w:val="multilevel"/>
    <w:tmpl w:val="3102A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8831CA"/>
    <w:multiLevelType w:val="multilevel"/>
    <w:tmpl w:val="973EA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A77EEA"/>
    <w:multiLevelType w:val="hybridMultilevel"/>
    <w:tmpl w:val="67548CAC"/>
    <w:lvl w:ilvl="0" w:tplc="0809000F">
      <w:start w:val="1"/>
      <w:numFmt w:val="decimal"/>
      <w:lvlText w:val="%1."/>
      <w:lvlJc w:val="left"/>
      <w:pPr>
        <w:ind w:left="1001" w:hanging="360"/>
      </w:pPr>
    </w:lvl>
    <w:lvl w:ilvl="1" w:tplc="08090019" w:tentative="1">
      <w:start w:val="1"/>
      <w:numFmt w:val="lowerLetter"/>
      <w:lvlText w:val="%2."/>
      <w:lvlJc w:val="left"/>
      <w:pPr>
        <w:ind w:left="1721" w:hanging="360"/>
      </w:pPr>
    </w:lvl>
    <w:lvl w:ilvl="2" w:tplc="0809001B" w:tentative="1">
      <w:start w:val="1"/>
      <w:numFmt w:val="lowerRoman"/>
      <w:lvlText w:val="%3."/>
      <w:lvlJc w:val="right"/>
      <w:pPr>
        <w:ind w:left="2441" w:hanging="180"/>
      </w:pPr>
    </w:lvl>
    <w:lvl w:ilvl="3" w:tplc="0809000F" w:tentative="1">
      <w:start w:val="1"/>
      <w:numFmt w:val="decimal"/>
      <w:lvlText w:val="%4."/>
      <w:lvlJc w:val="left"/>
      <w:pPr>
        <w:ind w:left="3161" w:hanging="360"/>
      </w:pPr>
    </w:lvl>
    <w:lvl w:ilvl="4" w:tplc="08090019" w:tentative="1">
      <w:start w:val="1"/>
      <w:numFmt w:val="lowerLetter"/>
      <w:lvlText w:val="%5."/>
      <w:lvlJc w:val="left"/>
      <w:pPr>
        <w:ind w:left="3881" w:hanging="360"/>
      </w:pPr>
    </w:lvl>
    <w:lvl w:ilvl="5" w:tplc="0809001B" w:tentative="1">
      <w:start w:val="1"/>
      <w:numFmt w:val="lowerRoman"/>
      <w:lvlText w:val="%6."/>
      <w:lvlJc w:val="right"/>
      <w:pPr>
        <w:ind w:left="4601" w:hanging="180"/>
      </w:pPr>
    </w:lvl>
    <w:lvl w:ilvl="6" w:tplc="0809000F" w:tentative="1">
      <w:start w:val="1"/>
      <w:numFmt w:val="decimal"/>
      <w:lvlText w:val="%7."/>
      <w:lvlJc w:val="left"/>
      <w:pPr>
        <w:ind w:left="5321" w:hanging="360"/>
      </w:pPr>
    </w:lvl>
    <w:lvl w:ilvl="7" w:tplc="08090019" w:tentative="1">
      <w:start w:val="1"/>
      <w:numFmt w:val="lowerLetter"/>
      <w:lvlText w:val="%8."/>
      <w:lvlJc w:val="left"/>
      <w:pPr>
        <w:ind w:left="6041" w:hanging="360"/>
      </w:pPr>
    </w:lvl>
    <w:lvl w:ilvl="8" w:tplc="0809001B" w:tentative="1">
      <w:start w:val="1"/>
      <w:numFmt w:val="lowerRoman"/>
      <w:lvlText w:val="%9."/>
      <w:lvlJc w:val="right"/>
      <w:pPr>
        <w:ind w:left="6761" w:hanging="180"/>
      </w:pPr>
    </w:lvl>
  </w:abstractNum>
  <w:abstractNum w:abstractNumId="7" w15:restartNumberingAfterBreak="0">
    <w:nsid w:val="18CD2BB9"/>
    <w:multiLevelType w:val="hybridMultilevel"/>
    <w:tmpl w:val="1BEA3EF0"/>
    <w:lvl w:ilvl="0" w:tplc="0809000F">
      <w:start w:val="1"/>
      <w:numFmt w:val="decimal"/>
      <w:lvlText w:val="%1."/>
      <w:lvlJc w:val="left"/>
      <w:pPr>
        <w:ind w:left="1001" w:hanging="360"/>
      </w:pPr>
    </w:lvl>
    <w:lvl w:ilvl="1" w:tplc="08090019" w:tentative="1">
      <w:start w:val="1"/>
      <w:numFmt w:val="lowerLetter"/>
      <w:lvlText w:val="%2."/>
      <w:lvlJc w:val="left"/>
      <w:pPr>
        <w:ind w:left="1721" w:hanging="360"/>
      </w:pPr>
    </w:lvl>
    <w:lvl w:ilvl="2" w:tplc="0809001B" w:tentative="1">
      <w:start w:val="1"/>
      <w:numFmt w:val="lowerRoman"/>
      <w:lvlText w:val="%3."/>
      <w:lvlJc w:val="right"/>
      <w:pPr>
        <w:ind w:left="2441" w:hanging="180"/>
      </w:pPr>
    </w:lvl>
    <w:lvl w:ilvl="3" w:tplc="0809000F" w:tentative="1">
      <w:start w:val="1"/>
      <w:numFmt w:val="decimal"/>
      <w:lvlText w:val="%4."/>
      <w:lvlJc w:val="left"/>
      <w:pPr>
        <w:ind w:left="3161" w:hanging="360"/>
      </w:pPr>
    </w:lvl>
    <w:lvl w:ilvl="4" w:tplc="08090019" w:tentative="1">
      <w:start w:val="1"/>
      <w:numFmt w:val="lowerLetter"/>
      <w:lvlText w:val="%5."/>
      <w:lvlJc w:val="left"/>
      <w:pPr>
        <w:ind w:left="3881" w:hanging="360"/>
      </w:pPr>
    </w:lvl>
    <w:lvl w:ilvl="5" w:tplc="0809001B" w:tentative="1">
      <w:start w:val="1"/>
      <w:numFmt w:val="lowerRoman"/>
      <w:lvlText w:val="%6."/>
      <w:lvlJc w:val="right"/>
      <w:pPr>
        <w:ind w:left="4601" w:hanging="180"/>
      </w:pPr>
    </w:lvl>
    <w:lvl w:ilvl="6" w:tplc="0809000F" w:tentative="1">
      <w:start w:val="1"/>
      <w:numFmt w:val="decimal"/>
      <w:lvlText w:val="%7."/>
      <w:lvlJc w:val="left"/>
      <w:pPr>
        <w:ind w:left="5321" w:hanging="360"/>
      </w:pPr>
    </w:lvl>
    <w:lvl w:ilvl="7" w:tplc="08090019" w:tentative="1">
      <w:start w:val="1"/>
      <w:numFmt w:val="lowerLetter"/>
      <w:lvlText w:val="%8."/>
      <w:lvlJc w:val="left"/>
      <w:pPr>
        <w:ind w:left="6041" w:hanging="360"/>
      </w:pPr>
    </w:lvl>
    <w:lvl w:ilvl="8" w:tplc="0809001B" w:tentative="1">
      <w:start w:val="1"/>
      <w:numFmt w:val="lowerRoman"/>
      <w:lvlText w:val="%9."/>
      <w:lvlJc w:val="right"/>
      <w:pPr>
        <w:ind w:left="6761" w:hanging="180"/>
      </w:pPr>
    </w:lvl>
  </w:abstractNum>
  <w:abstractNum w:abstractNumId="8" w15:restartNumberingAfterBreak="0">
    <w:nsid w:val="1ED745B5"/>
    <w:multiLevelType w:val="multilevel"/>
    <w:tmpl w:val="D8408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2D631B"/>
    <w:multiLevelType w:val="multilevel"/>
    <w:tmpl w:val="7868A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E92A2E"/>
    <w:multiLevelType w:val="multilevel"/>
    <w:tmpl w:val="DE0CF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2931725"/>
    <w:multiLevelType w:val="multilevel"/>
    <w:tmpl w:val="210A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32A4322"/>
    <w:multiLevelType w:val="multilevel"/>
    <w:tmpl w:val="65EC9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4923DDF"/>
    <w:multiLevelType w:val="multilevel"/>
    <w:tmpl w:val="CEE84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4D115C0"/>
    <w:multiLevelType w:val="multilevel"/>
    <w:tmpl w:val="3C98E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5B37D3B"/>
    <w:multiLevelType w:val="multilevel"/>
    <w:tmpl w:val="1590B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C0D28E7"/>
    <w:multiLevelType w:val="multilevel"/>
    <w:tmpl w:val="A1780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C45050D"/>
    <w:multiLevelType w:val="multilevel"/>
    <w:tmpl w:val="024ED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C6D0D84"/>
    <w:multiLevelType w:val="multilevel"/>
    <w:tmpl w:val="707CE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D17134A"/>
    <w:multiLevelType w:val="multilevel"/>
    <w:tmpl w:val="70665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D845F4A"/>
    <w:multiLevelType w:val="multilevel"/>
    <w:tmpl w:val="ED346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F5D3C31"/>
    <w:multiLevelType w:val="multilevel"/>
    <w:tmpl w:val="BAE0B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0532342"/>
    <w:multiLevelType w:val="multilevel"/>
    <w:tmpl w:val="84C4D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3480155"/>
    <w:multiLevelType w:val="multilevel"/>
    <w:tmpl w:val="AE020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4457FDA"/>
    <w:multiLevelType w:val="multilevel"/>
    <w:tmpl w:val="66D43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57450EE"/>
    <w:multiLevelType w:val="multilevel"/>
    <w:tmpl w:val="12688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76E38DE"/>
    <w:multiLevelType w:val="multilevel"/>
    <w:tmpl w:val="9C887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BC77CE6"/>
    <w:multiLevelType w:val="multilevel"/>
    <w:tmpl w:val="B2420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C177235"/>
    <w:multiLevelType w:val="multilevel"/>
    <w:tmpl w:val="4D007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D5061AB"/>
    <w:multiLevelType w:val="multilevel"/>
    <w:tmpl w:val="6CEAC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E2C5BD8"/>
    <w:multiLevelType w:val="hybridMultilevel"/>
    <w:tmpl w:val="8048D7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3EB43EA7"/>
    <w:multiLevelType w:val="multilevel"/>
    <w:tmpl w:val="BFBE8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00963E5"/>
    <w:multiLevelType w:val="multilevel"/>
    <w:tmpl w:val="1E725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92846DE"/>
    <w:multiLevelType w:val="multilevel"/>
    <w:tmpl w:val="10223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B2B6C10"/>
    <w:multiLevelType w:val="multilevel"/>
    <w:tmpl w:val="DDC6A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DD8289C"/>
    <w:multiLevelType w:val="hybridMultilevel"/>
    <w:tmpl w:val="98267316"/>
    <w:lvl w:ilvl="0" w:tplc="0809000F">
      <w:start w:val="1"/>
      <w:numFmt w:val="decimal"/>
      <w:lvlText w:val="%1."/>
      <w:lvlJc w:val="left"/>
      <w:pPr>
        <w:ind w:left="720" w:hanging="360"/>
      </w:pPr>
    </w:lvl>
    <w:lvl w:ilvl="1" w:tplc="AD04E74C">
      <w:start w:val="1"/>
      <w:numFmt w:val="bullet"/>
      <w:lvlText w:val="•"/>
      <w:lvlJc w:val="left"/>
      <w:pPr>
        <w:ind w:left="1440" w:hanging="360"/>
      </w:pPr>
      <w:rPr>
        <w:rFonts w:ascii="Arial" w:eastAsiaTheme="minorEastAsia" w:hAnsi="Arial" w:cs="Arial" w:hint="default"/>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4E891756"/>
    <w:multiLevelType w:val="multilevel"/>
    <w:tmpl w:val="0C069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EB70B08"/>
    <w:multiLevelType w:val="multilevel"/>
    <w:tmpl w:val="DA70B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3FE7936"/>
    <w:multiLevelType w:val="multilevel"/>
    <w:tmpl w:val="C380A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49E6BCF"/>
    <w:multiLevelType w:val="multilevel"/>
    <w:tmpl w:val="6E38C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4F32ACB"/>
    <w:multiLevelType w:val="multilevel"/>
    <w:tmpl w:val="B3C07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5EF66E5"/>
    <w:multiLevelType w:val="multilevel"/>
    <w:tmpl w:val="3C0CE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13A2A90"/>
    <w:multiLevelType w:val="multilevel"/>
    <w:tmpl w:val="31529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1890BE4"/>
    <w:multiLevelType w:val="multilevel"/>
    <w:tmpl w:val="AECA2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B795ED4"/>
    <w:multiLevelType w:val="multilevel"/>
    <w:tmpl w:val="4F749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BAC7078"/>
    <w:multiLevelType w:val="multilevel"/>
    <w:tmpl w:val="FA761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C7C16C0"/>
    <w:multiLevelType w:val="multilevel"/>
    <w:tmpl w:val="D9E00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6E8C3345"/>
    <w:multiLevelType w:val="multilevel"/>
    <w:tmpl w:val="43F6A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AFF6B1A"/>
    <w:multiLevelType w:val="multilevel"/>
    <w:tmpl w:val="2D86D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B73365E"/>
    <w:multiLevelType w:val="multilevel"/>
    <w:tmpl w:val="E2B84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E5440D3"/>
    <w:multiLevelType w:val="multilevel"/>
    <w:tmpl w:val="2C368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7F0A7E3A"/>
    <w:multiLevelType w:val="multilevel"/>
    <w:tmpl w:val="89A27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F6A493A"/>
    <w:multiLevelType w:val="hybridMultilevel"/>
    <w:tmpl w:val="6BDE9B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8329282">
    <w:abstractNumId w:val="25"/>
  </w:num>
  <w:num w:numId="2" w16cid:durableId="635530064">
    <w:abstractNumId w:val="8"/>
  </w:num>
  <w:num w:numId="3" w16cid:durableId="1439839287">
    <w:abstractNumId w:val="32"/>
  </w:num>
  <w:num w:numId="4" w16cid:durableId="251668082">
    <w:abstractNumId w:val="9"/>
  </w:num>
  <w:num w:numId="5" w16cid:durableId="902368421">
    <w:abstractNumId w:val="42"/>
  </w:num>
  <w:num w:numId="6" w16cid:durableId="155078976">
    <w:abstractNumId w:val="3"/>
  </w:num>
  <w:num w:numId="7" w16cid:durableId="1783458384">
    <w:abstractNumId w:val="36"/>
  </w:num>
  <w:num w:numId="8" w16cid:durableId="102071178">
    <w:abstractNumId w:val="33"/>
  </w:num>
  <w:num w:numId="9" w16cid:durableId="2119907430">
    <w:abstractNumId w:val="46"/>
  </w:num>
  <w:num w:numId="10" w16cid:durableId="2063670676">
    <w:abstractNumId w:val="24"/>
  </w:num>
  <w:num w:numId="11" w16cid:durableId="1960137756">
    <w:abstractNumId w:val="43"/>
  </w:num>
  <w:num w:numId="12" w16cid:durableId="401608140">
    <w:abstractNumId w:val="11"/>
  </w:num>
  <w:num w:numId="13" w16cid:durableId="1176386640">
    <w:abstractNumId w:val="22"/>
  </w:num>
  <w:num w:numId="14" w16cid:durableId="1442146430">
    <w:abstractNumId w:val="4"/>
  </w:num>
  <w:num w:numId="15" w16cid:durableId="1819568884">
    <w:abstractNumId w:val="48"/>
  </w:num>
  <w:num w:numId="16" w16cid:durableId="729351025">
    <w:abstractNumId w:val="10"/>
  </w:num>
  <w:num w:numId="17" w16cid:durableId="1828472178">
    <w:abstractNumId w:val="20"/>
  </w:num>
  <w:num w:numId="18" w16cid:durableId="1287616893">
    <w:abstractNumId w:val="0"/>
  </w:num>
  <w:num w:numId="19" w16cid:durableId="795029701">
    <w:abstractNumId w:val="45"/>
  </w:num>
  <w:num w:numId="20" w16cid:durableId="2141610402">
    <w:abstractNumId w:val="37"/>
  </w:num>
  <w:num w:numId="21" w16cid:durableId="1300650516">
    <w:abstractNumId w:val="23"/>
  </w:num>
  <w:num w:numId="22" w16cid:durableId="1628656399">
    <w:abstractNumId w:val="15"/>
  </w:num>
  <w:num w:numId="23" w16cid:durableId="1382706549">
    <w:abstractNumId w:val="31"/>
  </w:num>
  <w:num w:numId="24" w16cid:durableId="713507370">
    <w:abstractNumId w:val="47"/>
  </w:num>
  <w:num w:numId="25" w16cid:durableId="58748535">
    <w:abstractNumId w:val="26"/>
  </w:num>
  <w:num w:numId="26" w16cid:durableId="1439257375">
    <w:abstractNumId w:val="12"/>
  </w:num>
  <w:num w:numId="27" w16cid:durableId="4021498">
    <w:abstractNumId w:val="44"/>
  </w:num>
  <w:num w:numId="28" w16cid:durableId="988288359">
    <w:abstractNumId w:val="40"/>
  </w:num>
  <w:num w:numId="29" w16cid:durableId="494228344">
    <w:abstractNumId w:val="2"/>
  </w:num>
  <w:num w:numId="30" w16cid:durableId="1566915386">
    <w:abstractNumId w:val="21"/>
  </w:num>
  <w:num w:numId="31" w16cid:durableId="2024741242">
    <w:abstractNumId w:val="41"/>
  </w:num>
  <w:num w:numId="32" w16cid:durableId="1252817492">
    <w:abstractNumId w:val="49"/>
  </w:num>
  <w:num w:numId="33" w16cid:durableId="701441844">
    <w:abstractNumId w:val="5"/>
  </w:num>
  <w:num w:numId="34" w16cid:durableId="1217276498">
    <w:abstractNumId w:val="16"/>
  </w:num>
  <w:num w:numId="35" w16cid:durableId="1448085339">
    <w:abstractNumId w:val="13"/>
  </w:num>
  <w:num w:numId="36" w16cid:durableId="1982803754">
    <w:abstractNumId w:val="14"/>
  </w:num>
  <w:num w:numId="37" w16cid:durableId="1954364494">
    <w:abstractNumId w:val="28"/>
  </w:num>
  <w:num w:numId="38" w16cid:durableId="543055962">
    <w:abstractNumId w:val="27"/>
  </w:num>
  <w:num w:numId="39" w16cid:durableId="2041003904">
    <w:abstractNumId w:val="18"/>
  </w:num>
  <w:num w:numId="40" w16cid:durableId="2031031075">
    <w:abstractNumId w:val="34"/>
  </w:num>
  <w:num w:numId="41" w16cid:durableId="669328966">
    <w:abstractNumId w:val="38"/>
  </w:num>
  <w:num w:numId="42" w16cid:durableId="2115009188">
    <w:abstractNumId w:val="50"/>
  </w:num>
  <w:num w:numId="43" w16cid:durableId="1625849139">
    <w:abstractNumId w:val="19"/>
  </w:num>
  <w:num w:numId="44" w16cid:durableId="988561930">
    <w:abstractNumId w:val="39"/>
  </w:num>
  <w:num w:numId="45" w16cid:durableId="973024842">
    <w:abstractNumId w:val="17"/>
  </w:num>
  <w:num w:numId="46" w16cid:durableId="128941389">
    <w:abstractNumId w:val="51"/>
  </w:num>
  <w:num w:numId="47" w16cid:durableId="1360012899">
    <w:abstractNumId w:val="29"/>
  </w:num>
  <w:num w:numId="48" w16cid:durableId="1731155043">
    <w:abstractNumId w:val="7"/>
  </w:num>
  <w:num w:numId="49" w16cid:durableId="689528231">
    <w:abstractNumId w:val="6"/>
  </w:num>
  <w:num w:numId="50" w16cid:durableId="1172181271">
    <w:abstractNumId w:val="35"/>
  </w:num>
  <w:num w:numId="51" w16cid:durableId="748775788">
    <w:abstractNumId w:val="1"/>
  </w:num>
  <w:num w:numId="52" w16cid:durableId="1628855396">
    <w:abstractNumId w:val="52"/>
  </w:num>
  <w:num w:numId="53" w16cid:durableId="1845902768">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displayBackgroundShap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7A95"/>
    <w:rsid w:val="000052F9"/>
    <w:rsid w:val="00054465"/>
    <w:rsid w:val="00065EB6"/>
    <w:rsid w:val="000A4D07"/>
    <w:rsid w:val="000B628F"/>
    <w:rsid w:val="000B747E"/>
    <w:rsid w:val="000C5337"/>
    <w:rsid w:val="00125CCA"/>
    <w:rsid w:val="00147D19"/>
    <w:rsid w:val="001856A5"/>
    <w:rsid w:val="001B4017"/>
    <w:rsid w:val="001D1F14"/>
    <w:rsid w:val="00241974"/>
    <w:rsid w:val="002978D6"/>
    <w:rsid w:val="00303A10"/>
    <w:rsid w:val="003107C2"/>
    <w:rsid w:val="0037128D"/>
    <w:rsid w:val="003C4BD0"/>
    <w:rsid w:val="003D2107"/>
    <w:rsid w:val="00467DB3"/>
    <w:rsid w:val="0047529A"/>
    <w:rsid w:val="004D19AB"/>
    <w:rsid w:val="005269DB"/>
    <w:rsid w:val="0056309F"/>
    <w:rsid w:val="006124AE"/>
    <w:rsid w:val="0063322F"/>
    <w:rsid w:val="006528B6"/>
    <w:rsid w:val="00661D80"/>
    <w:rsid w:val="006900D9"/>
    <w:rsid w:val="006B1325"/>
    <w:rsid w:val="006B7979"/>
    <w:rsid w:val="006D459D"/>
    <w:rsid w:val="006D6099"/>
    <w:rsid w:val="00735344"/>
    <w:rsid w:val="007726D7"/>
    <w:rsid w:val="00774280"/>
    <w:rsid w:val="00793488"/>
    <w:rsid w:val="007C5403"/>
    <w:rsid w:val="007F2EB1"/>
    <w:rsid w:val="00842E9C"/>
    <w:rsid w:val="008E7A95"/>
    <w:rsid w:val="00927B93"/>
    <w:rsid w:val="00962C16"/>
    <w:rsid w:val="009710B2"/>
    <w:rsid w:val="00985C84"/>
    <w:rsid w:val="009A0C11"/>
    <w:rsid w:val="009E335B"/>
    <w:rsid w:val="00A13EE5"/>
    <w:rsid w:val="00A34B72"/>
    <w:rsid w:val="00A7169F"/>
    <w:rsid w:val="00A8738F"/>
    <w:rsid w:val="00B12BE7"/>
    <w:rsid w:val="00BD1890"/>
    <w:rsid w:val="00BF1210"/>
    <w:rsid w:val="00C507F3"/>
    <w:rsid w:val="00CC46CC"/>
    <w:rsid w:val="00CE2B2C"/>
    <w:rsid w:val="00D02696"/>
    <w:rsid w:val="00D038DC"/>
    <w:rsid w:val="00D068D7"/>
    <w:rsid w:val="00D4742B"/>
    <w:rsid w:val="00D6128D"/>
    <w:rsid w:val="00DB21DA"/>
    <w:rsid w:val="00DD298E"/>
    <w:rsid w:val="00DF782E"/>
    <w:rsid w:val="00E048C6"/>
    <w:rsid w:val="00E05A29"/>
    <w:rsid w:val="00E508EA"/>
    <w:rsid w:val="00E97B39"/>
    <w:rsid w:val="00EC0373"/>
    <w:rsid w:val="00EC0E82"/>
    <w:rsid w:val="00EE0F93"/>
    <w:rsid w:val="00F7484E"/>
    <w:rsid w:val="00F927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7EDC74"/>
  <w15:chartTrackingRefBased/>
  <w15:docId w15:val="{8585C16B-BC10-4224-A635-C3090095FA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2BE7"/>
  </w:style>
  <w:style w:type="paragraph" w:styleId="Heading1">
    <w:name w:val="heading 1"/>
    <w:basedOn w:val="Normal"/>
    <w:next w:val="Normal"/>
    <w:link w:val="Heading1Char"/>
    <w:uiPriority w:val="9"/>
    <w:qFormat/>
    <w:rsid w:val="00B12BE7"/>
    <w:pPr>
      <w:keepNext/>
      <w:keepLines/>
      <w:spacing w:before="320" w:after="0" w:line="240" w:lineRule="auto"/>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B12BE7"/>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B12BE7"/>
    <w:pPr>
      <w:keepNext/>
      <w:keepLines/>
      <w:spacing w:before="40" w:after="0" w:line="240" w:lineRule="auto"/>
      <w:outlineLvl w:val="2"/>
    </w:pPr>
    <w:rPr>
      <w:rFonts w:asciiTheme="majorHAnsi" w:eastAsiaTheme="majorEastAsia" w:hAnsiTheme="majorHAnsi" w:cstheme="majorBidi"/>
      <w:color w:val="0E2841" w:themeColor="text2"/>
      <w:sz w:val="24"/>
      <w:szCs w:val="24"/>
    </w:rPr>
  </w:style>
  <w:style w:type="paragraph" w:styleId="Heading4">
    <w:name w:val="heading 4"/>
    <w:basedOn w:val="Normal"/>
    <w:next w:val="Normal"/>
    <w:link w:val="Heading4Char"/>
    <w:uiPriority w:val="9"/>
    <w:semiHidden/>
    <w:unhideWhenUsed/>
    <w:qFormat/>
    <w:rsid w:val="00B12BE7"/>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B12BE7"/>
    <w:pPr>
      <w:keepNext/>
      <w:keepLines/>
      <w:spacing w:before="40" w:after="0"/>
      <w:outlineLvl w:val="4"/>
    </w:pPr>
    <w:rPr>
      <w:rFonts w:asciiTheme="majorHAnsi" w:eastAsiaTheme="majorEastAsia" w:hAnsiTheme="majorHAnsi" w:cstheme="majorBidi"/>
      <w:color w:val="0E2841" w:themeColor="text2"/>
      <w:sz w:val="22"/>
      <w:szCs w:val="22"/>
    </w:rPr>
  </w:style>
  <w:style w:type="paragraph" w:styleId="Heading6">
    <w:name w:val="heading 6"/>
    <w:basedOn w:val="Normal"/>
    <w:next w:val="Normal"/>
    <w:link w:val="Heading6Char"/>
    <w:uiPriority w:val="9"/>
    <w:semiHidden/>
    <w:unhideWhenUsed/>
    <w:qFormat/>
    <w:rsid w:val="00B12BE7"/>
    <w:pPr>
      <w:keepNext/>
      <w:keepLines/>
      <w:spacing w:before="40" w:after="0"/>
      <w:outlineLvl w:val="5"/>
    </w:pPr>
    <w:rPr>
      <w:rFonts w:asciiTheme="majorHAnsi" w:eastAsiaTheme="majorEastAsia" w:hAnsiTheme="majorHAnsi" w:cstheme="majorBidi"/>
      <w:i/>
      <w:iCs/>
      <w:color w:val="0E2841" w:themeColor="text2"/>
      <w:sz w:val="21"/>
      <w:szCs w:val="21"/>
    </w:rPr>
  </w:style>
  <w:style w:type="paragraph" w:styleId="Heading7">
    <w:name w:val="heading 7"/>
    <w:basedOn w:val="Normal"/>
    <w:next w:val="Normal"/>
    <w:link w:val="Heading7Char"/>
    <w:uiPriority w:val="9"/>
    <w:semiHidden/>
    <w:unhideWhenUsed/>
    <w:qFormat/>
    <w:rsid w:val="00B12BE7"/>
    <w:pPr>
      <w:keepNext/>
      <w:keepLines/>
      <w:spacing w:before="40" w:after="0"/>
      <w:outlineLvl w:val="6"/>
    </w:pPr>
    <w:rPr>
      <w:rFonts w:asciiTheme="majorHAnsi" w:eastAsiaTheme="majorEastAsia" w:hAnsiTheme="majorHAnsi" w:cstheme="majorBidi"/>
      <w:i/>
      <w:iCs/>
      <w:color w:val="0A2F41" w:themeColor="accent1" w:themeShade="80"/>
      <w:sz w:val="21"/>
      <w:szCs w:val="21"/>
    </w:rPr>
  </w:style>
  <w:style w:type="paragraph" w:styleId="Heading8">
    <w:name w:val="heading 8"/>
    <w:basedOn w:val="Normal"/>
    <w:next w:val="Normal"/>
    <w:link w:val="Heading8Char"/>
    <w:uiPriority w:val="9"/>
    <w:semiHidden/>
    <w:unhideWhenUsed/>
    <w:qFormat/>
    <w:rsid w:val="00B12BE7"/>
    <w:pPr>
      <w:keepNext/>
      <w:keepLines/>
      <w:spacing w:before="40" w:after="0"/>
      <w:outlineLvl w:val="7"/>
    </w:pPr>
    <w:rPr>
      <w:rFonts w:asciiTheme="majorHAnsi" w:eastAsiaTheme="majorEastAsia" w:hAnsiTheme="majorHAnsi" w:cstheme="majorBidi"/>
      <w:b/>
      <w:bCs/>
      <w:color w:val="0E2841" w:themeColor="text2"/>
    </w:rPr>
  </w:style>
  <w:style w:type="paragraph" w:styleId="Heading9">
    <w:name w:val="heading 9"/>
    <w:basedOn w:val="Normal"/>
    <w:next w:val="Normal"/>
    <w:link w:val="Heading9Char"/>
    <w:uiPriority w:val="9"/>
    <w:semiHidden/>
    <w:unhideWhenUsed/>
    <w:qFormat/>
    <w:rsid w:val="00B12BE7"/>
    <w:pPr>
      <w:keepNext/>
      <w:keepLines/>
      <w:spacing w:before="40" w:after="0"/>
      <w:outlineLvl w:val="8"/>
    </w:pPr>
    <w:rPr>
      <w:rFonts w:asciiTheme="majorHAnsi" w:eastAsiaTheme="majorEastAsia" w:hAnsiTheme="majorHAnsi" w:cstheme="majorBidi"/>
      <w:b/>
      <w:bCs/>
      <w:i/>
      <w:iCs/>
      <w:color w:val="0E2841"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2BE7"/>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rsid w:val="00B12BE7"/>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B12BE7"/>
    <w:rPr>
      <w:rFonts w:asciiTheme="majorHAnsi" w:eastAsiaTheme="majorEastAsia" w:hAnsiTheme="majorHAnsi" w:cstheme="majorBidi"/>
      <w:color w:val="0E2841" w:themeColor="text2"/>
      <w:sz w:val="24"/>
      <w:szCs w:val="24"/>
    </w:rPr>
  </w:style>
  <w:style w:type="character" w:customStyle="1" w:styleId="Heading4Char">
    <w:name w:val="Heading 4 Char"/>
    <w:basedOn w:val="DefaultParagraphFont"/>
    <w:link w:val="Heading4"/>
    <w:uiPriority w:val="9"/>
    <w:semiHidden/>
    <w:rsid w:val="00B12BE7"/>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B12BE7"/>
    <w:rPr>
      <w:rFonts w:asciiTheme="majorHAnsi" w:eastAsiaTheme="majorEastAsia" w:hAnsiTheme="majorHAnsi" w:cstheme="majorBidi"/>
      <w:color w:val="0E2841" w:themeColor="text2"/>
      <w:sz w:val="22"/>
      <w:szCs w:val="22"/>
    </w:rPr>
  </w:style>
  <w:style w:type="character" w:customStyle="1" w:styleId="Heading6Char">
    <w:name w:val="Heading 6 Char"/>
    <w:basedOn w:val="DefaultParagraphFont"/>
    <w:link w:val="Heading6"/>
    <w:uiPriority w:val="9"/>
    <w:semiHidden/>
    <w:rsid w:val="00B12BE7"/>
    <w:rPr>
      <w:rFonts w:asciiTheme="majorHAnsi" w:eastAsiaTheme="majorEastAsia" w:hAnsiTheme="majorHAnsi" w:cstheme="majorBidi"/>
      <w:i/>
      <w:iCs/>
      <w:color w:val="0E2841" w:themeColor="text2"/>
      <w:sz w:val="21"/>
      <w:szCs w:val="21"/>
    </w:rPr>
  </w:style>
  <w:style w:type="character" w:customStyle="1" w:styleId="Heading7Char">
    <w:name w:val="Heading 7 Char"/>
    <w:basedOn w:val="DefaultParagraphFont"/>
    <w:link w:val="Heading7"/>
    <w:uiPriority w:val="9"/>
    <w:semiHidden/>
    <w:rsid w:val="00B12BE7"/>
    <w:rPr>
      <w:rFonts w:asciiTheme="majorHAnsi" w:eastAsiaTheme="majorEastAsia" w:hAnsiTheme="majorHAnsi" w:cstheme="majorBidi"/>
      <w:i/>
      <w:iCs/>
      <w:color w:val="0A2F41" w:themeColor="accent1" w:themeShade="80"/>
      <w:sz w:val="21"/>
      <w:szCs w:val="21"/>
    </w:rPr>
  </w:style>
  <w:style w:type="character" w:customStyle="1" w:styleId="Heading8Char">
    <w:name w:val="Heading 8 Char"/>
    <w:basedOn w:val="DefaultParagraphFont"/>
    <w:link w:val="Heading8"/>
    <w:uiPriority w:val="9"/>
    <w:semiHidden/>
    <w:rsid w:val="00B12BE7"/>
    <w:rPr>
      <w:rFonts w:asciiTheme="majorHAnsi" w:eastAsiaTheme="majorEastAsia" w:hAnsiTheme="majorHAnsi" w:cstheme="majorBidi"/>
      <w:b/>
      <w:bCs/>
      <w:color w:val="0E2841" w:themeColor="text2"/>
    </w:rPr>
  </w:style>
  <w:style w:type="character" w:customStyle="1" w:styleId="Heading9Char">
    <w:name w:val="Heading 9 Char"/>
    <w:basedOn w:val="DefaultParagraphFont"/>
    <w:link w:val="Heading9"/>
    <w:uiPriority w:val="9"/>
    <w:semiHidden/>
    <w:rsid w:val="00B12BE7"/>
    <w:rPr>
      <w:rFonts w:asciiTheme="majorHAnsi" w:eastAsiaTheme="majorEastAsia" w:hAnsiTheme="majorHAnsi" w:cstheme="majorBidi"/>
      <w:b/>
      <w:bCs/>
      <w:i/>
      <w:iCs/>
      <w:color w:val="0E2841" w:themeColor="text2"/>
    </w:rPr>
  </w:style>
  <w:style w:type="paragraph" w:styleId="Title">
    <w:name w:val="Title"/>
    <w:basedOn w:val="Normal"/>
    <w:next w:val="Normal"/>
    <w:link w:val="TitleChar"/>
    <w:uiPriority w:val="10"/>
    <w:qFormat/>
    <w:rsid w:val="00B12BE7"/>
    <w:pPr>
      <w:spacing w:after="0" w:line="240" w:lineRule="auto"/>
      <w:contextualSpacing/>
    </w:pPr>
    <w:rPr>
      <w:rFonts w:asciiTheme="majorHAnsi" w:eastAsiaTheme="majorEastAsia" w:hAnsiTheme="majorHAnsi" w:cstheme="majorBidi"/>
      <w:color w:val="156082" w:themeColor="accent1"/>
      <w:spacing w:val="-10"/>
      <w:sz w:val="56"/>
      <w:szCs w:val="56"/>
    </w:rPr>
  </w:style>
  <w:style w:type="character" w:customStyle="1" w:styleId="TitleChar">
    <w:name w:val="Title Char"/>
    <w:basedOn w:val="DefaultParagraphFont"/>
    <w:link w:val="Title"/>
    <w:uiPriority w:val="10"/>
    <w:rsid w:val="00B12BE7"/>
    <w:rPr>
      <w:rFonts w:asciiTheme="majorHAnsi" w:eastAsiaTheme="majorEastAsia" w:hAnsiTheme="majorHAnsi" w:cstheme="majorBidi"/>
      <w:color w:val="156082" w:themeColor="accent1"/>
      <w:spacing w:val="-10"/>
      <w:sz w:val="56"/>
      <w:szCs w:val="56"/>
    </w:rPr>
  </w:style>
  <w:style w:type="paragraph" w:styleId="Subtitle">
    <w:name w:val="Subtitle"/>
    <w:basedOn w:val="Normal"/>
    <w:next w:val="Normal"/>
    <w:link w:val="SubtitleChar"/>
    <w:uiPriority w:val="11"/>
    <w:qFormat/>
    <w:rsid w:val="00B12BE7"/>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B12BE7"/>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B12BE7"/>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B12BE7"/>
    <w:rPr>
      <w:i/>
      <w:iCs/>
      <w:color w:val="404040" w:themeColor="text1" w:themeTint="BF"/>
    </w:rPr>
  </w:style>
  <w:style w:type="paragraph" w:styleId="ListParagraph">
    <w:name w:val="List Paragraph"/>
    <w:basedOn w:val="Normal"/>
    <w:uiPriority w:val="34"/>
    <w:qFormat/>
    <w:rsid w:val="008E7A95"/>
    <w:pPr>
      <w:ind w:left="720"/>
      <w:contextualSpacing/>
    </w:pPr>
  </w:style>
  <w:style w:type="character" w:styleId="IntenseEmphasis">
    <w:name w:val="Intense Emphasis"/>
    <w:basedOn w:val="DefaultParagraphFont"/>
    <w:uiPriority w:val="21"/>
    <w:qFormat/>
    <w:rsid w:val="00B12BE7"/>
    <w:rPr>
      <w:b/>
      <w:bCs/>
      <w:i/>
      <w:iCs/>
    </w:rPr>
  </w:style>
  <w:style w:type="paragraph" w:styleId="IntenseQuote">
    <w:name w:val="Intense Quote"/>
    <w:basedOn w:val="Normal"/>
    <w:next w:val="Normal"/>
    <w:link w:val="IntenseQuoteChar"/>
    <w:uiPriority w:val="30"/>
    <w:qFormat/>
    <w:rsid w:val="00B12BE7"/>
    <w:pPr>
      <w:pBdr>
        <w:left w:val="single" w:sz="18" w:space="12" w:color="156082" w:themeColor="accent1"/>
      </w:pBdr>
      <w:spacing w:before="100" w:beforeAutospacing="1" w:line="300" w:lineRule="auto"/>
      <w:ind w:left="1224" w:right="1224"/>
    </w:pPr>
    <w:rPr>
      <w:rFonts w:asciiTheme="majorHAnsi" w:eastAsiaTheme="majorEastAsia" w:hAnsiTheme="majorHAnsi" w:cstheme="majorBidi"/>
      <w:color w:val="156082" w:themeColor="accent1"/>
      <w:sz w:val="28"/>
      <w:szCs w:val="28"/>
    </w:rPr>
  </w:style>
  <w:style w:type="character" w:customStyle="1" w:styleId="IntenseQuoteChar">
    <w:name w:val="Intense Quote Char"/>
    <w:basedOn w:val="DefaultParagraphFont"/>
    <w:link w:val="IntenseQuote"/>
    <w:uiPriority w:val="30"/>
    <w:rsid w:val="00B12BE7"/>
    <w:rPr>
      <w:rFonts w:asciiTheme="majorHAnsi" w:eastAsiaTheme="majorEastAsia" w:hAnsiTheme="majorHAnsi" w:cstheme="majorBidi"/>
      <w:color w:val="156082" w:themeColor="accent1"/>
      <w:sz w:val="28"/>
      <w:szCs w:val="28"/>
    </w:rPr>
  </w:style>
  <w:style w:type="character" w:styleId="IntenseReference">
    <w:name w:val="Intense Reference"/>
    <w:basedOn w:val="DefaultParagraphFont"/>
    <w:uiPriority w:val="32"/>
    <w:qFormat/>
    <w:rsid w:val="00B12BE7"/>
    <w:rPr>
      <w:b/>
      <w:bCs/>
      <w:smallCaps/>
      <w:spacing w:val="5"/>
      <w:u w:val="single"/>
    </w:rPr>
  </w:style>
  <w:style w:type="character" w:styleId="LineNumber">
    <w:name w:val="line number"/>
    <w:basedOn w:val="DefaultParagraphFont"/>
    <w:uiPriority w:val="99"/>
    <w:semiHidden/>
    <w:unhideWhenUsed/>
    <w:rsid w:val="008E7A95"/>
  </w:style>
  <w:style w:type="paragraph" w:styleId="Header">
    <w:name w:val="header"/>
    <w:basedOn w:val="Normal"/>
    <w:link w:val="HeaderChar"/>
    <w:uiPriority w:val="99"/>
    <w:unhideWhenUsed/>
    <w:rsid w:val="005630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309F"/>
  </w:style>
  <w:style w:type="paragraph" w:styleId="Footer">
    <w:name w:val="footer"/>
    <w:basedOn w:val="Normal"/>
    <w:link w:val="FooterChar"/>
    <w:uiPriority w:val="99"/>
    <w:unhideWhenUsed/>
    <w:rsid w:val="005630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309F"/>
  </w:style>
  <w:style w:type="paragraph" w:styleId="NormalWeb">
    <w:name w:val="Normal (Web)"/>
    <w:basedOn w:val="Normal"/>
    <w:uiPriority w:val="99"/>
    <w:semiHidden/>
    <w:unhideWhenUsed/>
    <w:rsid w:val="00DB21DA"/>
    <w:pPr>
      <w:spacing w:before="100" w:beforeAutospacing="1" w:after="100" w:afterAutospacing="1" w:line="240" w:lineRule="auto"/>
    </w:pPr>
    <w:rPr>
      <w:rFonts w:ascii="Times New Roman" w:eastAsia="Times New Roman" w:hAnsi="Times New Roman" w:cs="Times New Roman"/>
      <w:lang w:eastAsia="en-GB"/>
    </w:rPr>
  </w:style>
  <w:style w:type="table" w:styleId="TableGrid">
    <w:name w:val="Table Grid"/>
    <w:basedOn w:val="TableNormal"/>
    <w:uiPriority w:val="39"/>
    <w:rsid w:val="009E33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semiHidden/>
    <w:unhideWhenUsed/>
    <w:qFormat/>
    <w:rsid w:val="00B12BE7"/>
    <w:pPr>
      <w:spacing w:line="240" w:lineRule="auto"/>
    </w:pPr>
    <w:rPr>
      <w:b/>
      <w:bCs/>
      <w:smallCaps/>
      <w:color w:val="595959" w:themeColor="text1" w:themeTint="A6"/>
      <w:spacing w:val="6"/>
    </w:rPr>
  </w:style>
  <w:style w:type="character" w:styleId="Strong">
    <w:name w:val="Strong"/>
    <w:basedOn w:val="DefaultParagraphFont"/>
    <w:uiPriority w:val="22"/>
    <w:qFormat/>
    <w:rsid w:val="00B12BE7"/>
    <w:rPr>
      <w:b/>
      <w:bCs/>
    </w:rPr>
  </w:style>
  <w:style w:type="character" w:styleId="Emphasis">
    <w:name w:val="Emphasis"/>
    <w:basedOn w:val="DefaultParagraphFont"/>
    <w:uiPriority w:val="20"/>
    <w:qFormat/>
    <w:rsid w:val="00B12BE7"/>
    <w:rPr>
      <w:i/>
      <w:iCs/>
    </w:rPr>
  </w:style>
  <w:style w:type="paragraph" w:styleId="NoSpacing">
    <w:name w:val="No Spacing"/>
    <w:uiPriority w:val="1"/>
    <w:qFormat/>
    <w:rsid w:val="00B12BE7"/>
    <w:pPr>
      <w:spacing w:after="0" w:line="240" w:lineRule="auto"/>
    </w:pPr>
  </w:style>
  <w:style w:type="character" w:styleId="SubtleEmphasis">
    <w:name w:val="Subtle Emphasis"/>
    <w:basedOn w:val="DefaultParagraphFont"/>
    <w:uiPriority w:val="19"/>
    <w:qFormat/>
    <w:rsid w:val="00B12BE7"/>
    <w:rPr>
      <w:i/>
      <w:iCs/>
      <w:color w:val="404040" w:themeColor="text1" w:themeTint="BF"/>
    </w:rPr>
  </w:style>
  <w:style w:type="character" w:styleId="SubtleReference">
    <w:name w:val="Subtle Reference"/>
    <w:basedOn w:val="DefaultParagraphFont"/>
    <w:uiPriority w:val="31"/>
    <w:qFormat/>
    <w:rsid w:val="00B12BE7"/>
    <w:rPr>
      <w:smallCaps/>
      <w:color w:val="404040" w:themeColor="text1" w:themeTint="BF"/>
      <w:u w:val="single" w:color="7F7F7F" w:themeColor="text1" w:themeTint="80"/>
    </w:rPr>
  </w:style>
  <w:style w:type="character" w:styleId="BookTitle">
    <w:name w:val="Book Title"/>
    <w:basedOn w:val="DefaultParagraphFont"/>
    <w:uiPriority w:val="33"/>
    <w:qFormat/>
    <w:rsid w:val="00B12BE7"/>
    <w:rPr>
      <w:b/>
      <w:bCs/>
      <w:smallCaps/>
    </w:rPr>
  </w:style>
  <w:style w:type="paragraph" w:styleId="TOCHeading">
    <w:name w:val="TOC Heading"/>
    <w:basedOn w:val="Heading1"/>
    <w:next w:val="Normal"/>
    <w:uiPriority w:val="39"/>
    <w:semiHidden/>
    <w:unhideWhenUsed/>
    <w:qFormat/>
    <w:rsid w:val="00B12BE7"/>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74F9AC8A53AC34BAF7C2C36A66B8887" ma:contentTypeVersion="10" ma:contentTypeDescription="Create a new document." ma:contentTypeScope="" ma:versionID="444341b043fdba64b07ce0757f1f487f">
  <xsd:schema xmlns:xsd="http://www.w3.org/2001/XMLSchema" xmlns:xs="http://www.w3.org/2001/XMLSchema" xmlns:p="http://schemas.microsoft.com/office/2006/metadata/properties" xmlns:ns3="9c9529bf-c7ef-4b08-96bb-bac4f53910d7" targetNamespace="http://schemas.microsoft.com/office/2006/metadata/properties" ma:root="true" ma:fieldsID="ea3dd14b29afbb35eb44903645d8598e" ns3:_="">
    <xsd:import namespace="9c9529bf-c7ef-4b08-96bb-bac4f53910d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9529bf-c7ef-4b08-96bb-bac4f53910d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c9529bf-c7ef-4b08-96bb-bac4f53910d7"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EDAD6D-AA04-4C5E-82B5-5FF34CDDD5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9529bf-c7ef-4b08-96bb-bac4f53910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2D8152D-E647-40BC-AF00-80C476C9BBF3}">
  <ds:schemaRefs>
    <ds:schemaRef ds:uri="http://schemas.microsoft.com/sharepoint/v3/contenttype/forms"/>
  </ds:schemaRefs>
</ds:datastoreItem>
</file>

<file path=customXml/itemProps3.xml><?xml version="1.0" encoding="utf-8"?>
<ds:datastoreItem xmlns:ds="http://schemas.openxmlformats.org/officeDocument/2006/customXml" ds:itemID="{31ACB634-455A-4A62-9449-47A682A851F1}">
  <ds:schemaRefs>
    <ds:schemaRef ds:uri="http://schemas.microsoft.com/office/2006/metadata/properties"/>
    <ds:schemaRef ds:uri="http://schemas.microsoft.com/office/infopath/2007/PartnerControls"/>
    <ds:schemaRef ds:uri="9c9529bf-c7ef-4b08-96bb-bac4f53910d7"/>
  </ds:schemaRefs>
</ds:datastoreItem>
</file>

<file path=customXml/itemProps4.xml><?xml version="1.0" encoding="utf-8"?>
<ds:datastoreItem xmlns:ds="http://schemas.openxmlformats.org/officeDocument/2006/customXml" ds:itemID="{9B07CDD7-DFB3-45C5-B43B-4746F5255A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5204</Words>
  <Characters>29667</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Ameer Faisal (2335795)</dc:creator>
  <cp:keywords/>
  <dc:description/>
  <cp:lastModifiedBy>Muhammad Ameer Faisal (2335795)</cp:lastModifiedBy>
  <cp:revision>2</cp:revision>
  <dcterms:created xsi:type="dcterms:W3CDTF">2026-04-30T09:32:00Z</dcterms:created>
  <dcterms:modified xsi:type="dcterms:W3CDTF">2026-04-30T09:32:00Z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0x010100174F9AC8A53AC34BAF7C2C36A66B8887</vt:lpwstr>
  </property>
</Properties>
</file>