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39CA04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B57437">
              <w:rPr>
                <w:rFonts w:ascii="Tahoma" w:hAnsi="Tahoma" w:cs="Tahoma"/>
                <w:b/>
                <w:sz w:val="20"/>
                <w:szCs w:val="20"/>
              </w:rPr>
              <w:t>Catalin</w:t>
            </w:r>
            <w:proofErr w:type="spellEnd"/>
            <w:r w:rsidR="00B57437">
              <w:rPr>
                <w:rFonts w:ascii="Tahoma" w:hAnsi="Tahoma" w:cs="Tahoma"/>
                <w:b/>
                <w:sz w:val="20"/>
                <w:szCs w:val="20"/>
              </w:rPr>
              <w:t xml:space="preserve"> Constantin </w:t>
            </w:r>
            <w:proofErr w:type="spellStart"/>
            <w:r w:rsidR="00B57437">
              <w:rPr>
                <w:rFonts w:ascii="Tahoma" w:hAnsi="Tahoma" w:cs="Tahoma"/>
                <w:b/>
                <w:sz w:val="20"/>
                <w:szCs w:val="20"/>
              </w:rPr>
              <w:t>Chirila</w:t>
            </w:r>
            <w:proofErr w:type="spellEnd"/>
          </w:p>
          <w:p w14:paraId="498F0B10" w14:textId="77777777" w:rsidR="001B69C8" w:rsidRPr="003C3341" w:rsidRDefault="001B69C8">
            <w:pPr>
              <w:rPr>
                <w:rFonts w:ascii="Tahoma" w:hAnsi="Tahoma" w:cs="Tahoma"/>
                <w:b/>
                <w:sz w:val="20"/>
                <w:szCs w:val="20"/>
              </w:rPr>
            </w:pPr>
          </w:p>
          <w:p w14:paraId="69E1F0CF" w14:textId="0C5A1E3C"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57437">
              <w:rPr>
                <w:rFonts w:ascii="Tahoma" w:hAnsi="Tahoma" w:cs="Tahoma"/>
                <w:b/>
                <w:sz w:val="20"/>
                <w:szCs w:val="20"/>
              </w:rPr>
              <w:t>2123931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688635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57437">
              <w:rPr>
                <w:rFonts w:ascii="Tahoma" w:hAnsi="Tahoma" w:cs="Tahoma"/>
                <w:b/>
                <w:sz w:val="20"/>
                <w:szCs w:val="20"/>
              </w:rPr>
              <w:t xml:space="preserve">Hotel </w:t>
            </w:r>
            <w:r w:rsidR="00FC7B5F">
              <w:rPr>
                <w:rFonts w:ascii="Tahoma" w:hAnsi="Tahoma" w:cs="Tahoma"/>
                <w:b/>
                <w:sz w:val="20"/>
                <w:szCs w:val="20"/>
              </w:rPr>
              <w:t>Placement</w:t>
            </w:r>
            <w:r w:rsidR="00B57437">
              <w:rPr>
                <w:rFonts w:ascii="Tahoma" w:hAnsi="Tahoma" w:cs="Tahoma"/>
                <w:b/>
                <w:sz w:val="20"/>
                <w:szCs w:val="20"/>
              </w:rPr>
              <w:t xml:space="preserve"> &amp; Beverage Operations (BMIH4002)</w:t>
            </w:r>
          </w:p>
          <w:p w14:paraId="2019D1B6" w14:textId="77777777" w:rsidR="00B21F2E" w:rsidRDefault="00B21F2E" w:rsidP="00B21F2E">
            <w:pPr>
              <w:rPr>
                <w:rFonts w:ascii="Tahoma" w:hAnsi="Tahoma" w:cs="Tahoma"/>
                <w:b/>
                <w:sz w:val="20"/>
                <w:szCs w:val="20"/>
              </w:rPr>
            </w:pPr>
          </w:p>
          <w:p w14:paraId="450FE136" w14:textId="2F47FA76"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7B7D39">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FC7B5F">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35D46AC0" w:rsidR="00B21F2E" w:rsidRDefault="007B7D39" w:rsidP="00B21F2E">
            <w:pPr>
              <w:jc w:val="center"/>
              <w:rPr>
                <w:rFonts w:ascii="Tahoma" w:hAnsi="Tahoma" w:cs="Tahoma"/>
                <w:b/>
                <w:sz w:val="20"/>
                <w:szCs w:val="20"/>
              </w:rPr>
            </w:pPr>
            <w:r>
              <w:rPr>
                <w:rFonts w:ascii="Tahoma" w:hAnsi="Tahoma" w:cs="Tahoma"/>
                <w:b/>
                <w:sz w:val="20"/>
                <w:szCs w:val="20"/>
              </w:rPr>
              <w:t>Allergies and Intolerance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FC7B5F">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796E202" w14:textId="20C8F0E4" w:rsidR="00BD0E39" w:rsidRPr="00BD0E39" w:rsidRDefault="00BD0E39" w:rsidP="00BD0E39">
            <w:pPr>
              <w:spacing w:line="360" w:lineRule="auto"/>
              <w:jc w:val="both"/>
            </w:pPr>
            <w:r w:rsidRPr="00BD0E39">
              <w:t xml:space="preserve">Food and beverage service is a valuable skill that I've </w:t>
            </w:r>
            <w:proofErr w:type="spellStart"/>
            <w:r>
              <w:t>aquired</w:t>
            </w:r>
            <w:proofErr w:type="spellEnd"/>
            <w:r w:rsidRPr="00BD0E39">
              <w:t xml:space="preserve"> </w:t>
            </w:r>
            <w:r>
              <w:t xml:space="preserve">in order </w:t>
            </w:r>
            <w:r w:rsidRPr="00BD0E39">
              <w:t>to provide exceptional client service. A hotel's or restaurant's service separates it from the competitors.</w:t>
            </w:r>
          </w:p>
          <w:p w14:paraId="31742AB4" w14:textId="5B7F0592" w:rsidR="00F51904" w:rsidRDefault="00BD0E39" w:rsidP="00BD0E39">
            <w:pPr>
              <w:spacing w:line="360" w:lineRule="auto"/>
              <w:jc w:val="both"/>
            </w:pPr>
            <w:r w:rsidRPr="00BD0E39">
              <w:t>Working in such a fast-paced industry as hospitality needs ongoing innovation and keeping up with current trends. The industrial placement helps me to apply what I learnt in the first semester as a student. Simultaneously, it is necessary for the student to have a complete understanding of their strengths and limitations based on the WIL skills in order to design a SMART approach to remedy any deficiencies. This report will concentrate on my objectives in this industry placement and how I intend to achieve them.</w:t>
            </w:r>
          </w:p>
          <w:p w14:paraId="33058D27" w14:textId="39151298" w:rsidR="00BD0E39" w:rsidRPr="00BD0E39" w:rsidRDefault="00BD0E39" w:rsidP="00BD0E39">
            <w:pPr>
              <w:spacing w:line="360" w:lineRule="auto"/>
              <w:jc w:val="both"/>
            </w:pPr>
            <w:r w:rsidRPr="00BD0E39">
              <w:t>Food allergies are the immune system's reaction to foods that the body identifies as alien and potentially dangerous. To defend itself, the body produces substances that trigger allergic reactions in the respiratory, gastrointestinal, cutaneous, and cardiovascular systems. The reaction can range from moderate fever, skin rashes, and flu-like symptoms to more serious illnesses such as anaphylactic shock, which can be deadly, depending on the person's susceptibility to the allergen.</w:t>
            </w:r>
          </w:p>
          <w:p w14:paraId="118C058B" w14:textId="7DBFAC8C" w:rsidR="007B7D39" w:rsidRDefault="007B7D39" w:rsidP="00BD0E39">
            <w:pPr>
              <w:spacing w:line="360" w:lineRule="auto"/>
            </w:pPr>
            <w:r w:rsidRPr="00A54476">
              <w:t>Individuals may be allergic to the entire product or the ingredients it contains, primarily proteins. According to a study by Elucidate Limited, up to 150 million people worldwide suffer from food allergies. To explain the growing severity of the problem, the European Commission's Rapid Food and Feed Warning System (RASFF) has 102 allergen-related public health cases during the first nine months of 2017. Listed. Of the 102,100, they were classified as "serious", with 15% coming from consumers. In 2016, the USDA reported that there were more allergen recalls than E. Contamination of coli, salmonella, listeria</w:t>
            </w:r>
            <w:r>
              <w:t xml:space="preserve"> contamination.</w:t>
            </w:r>
          </w:p>
          <w:p w14:paraId="03D2CBE5" w14:textId="77777777" w:rsidR="007B7D39" w:rsidRPr="003951EE" w:rsidRDefault="007B7D39" w:rsidP="007B7D39">
            <w:pPr>
              <w:pStyle w:val="Heading3"/>
              <w:spacing w:before="600" w:after="450" w:line="240" w:lineRule="auto"/>
              <w:rPr>
                <w:rFonts w:asciiTheme="minorHAnsi" w:hAnsiTheme="minorHAnsi" w:cstheme="minorHAnsi"/>
                <w:spacing w:val="-4"/>
              </w:rPr>
            </w:pPr>
            <w:r w:rsidRPr="003951EE">
              <w:rPr>
                <w:rFonts w:asciiTheme="minorHAnsi" w:hAnsiTheme="minorHAnsi" w:cstheme="minorHAnsi"/>
                <w:b/>
                <w:bCs/>
                <w:spacing w:val="-4"/>
              </w:rPr>
              <w:t>The 14 major food allergens are:</w:t>
            </w:r>
          </w:p>
          <w:p w14:paraId="48E4AF96"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Celery</w:t>
            </w:r>
          </w:p>
          <w:p w14:paraId="0830EB75"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Cereals containing wheat</w:t>
            </w:r>
          </w:p>
          <w:p w14:paraId="57C59270"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Crustaceans</w:t>
            </w:r>
          </w:p>
          <w:p w14:paraId="518FAF99"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Eggs</w:t>
            </w:r>
          </w:p>
          <w:p w14:paraId="1050636A"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Fish</w:t>
            </w:r>
          </w:p>
          <w:p w14:paraId="7702A362"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Lupin</w:t>
            </w:r>
          </w:p>
          <w:p w14:paraId="3B42EA8D"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Milk</w:t>
            </w:r>
          </w:p>
          <w:p w14:paraId="112CF81F"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Molluscs</w:t>
            </w:r>
          </w:p>
          <w:p w14:paraId="05376906"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Mustard</w:t>
            </w:r>
          </w:p>
          <w:p w14:paraId="39C4C1A7"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Nuts (tree nuts)</w:t>
            </w:r>
          </w:p>
          <w:p w14:paraId="4C45FF88"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Peanuts</w:t>
            </w:r>
          </w:p>
          <w:p w14:paraId="3468D268"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Sesame</w:t>
            </w:r>
          </w:p>
          <w:p w14:paraId="345CBCFE"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Soya</w:t>
            </w:r>
          </w:p>
          <w:p w14:paraId="64CB349D" w14:textId="77777777" w:rsidR="007B7D39" w:rsidRPr="003951EE" w:rsidRDefault="007B7D39" w:rsidP="007B7D39">
            <w:pPr>
              <w:numPr>
                <w:ilvl w:val="0"/>
                <w:numId w:val="29"/>
              </w:numPr>
              <w:spacing w:before="100" w:beforeAutospacing="1" w:after="300"/>
              <w:ind w:left="1020"/>
              <w:rPr>
                <w:rFonts w:asciiTheme="minorHAnsi" w:hAnsiTheme="minorHAnsi" w:cstheme="minorHAnsi"/>
              </w:rPr>
            </w:pPr>
            <w:r w:rsidRPr="003951EE">
              <w:rPr>
                <w:rFonts w:asciiTheme="minorHAnsi" w:hAnsiTheme="minorHAnsi" w:cstheme="minorHAnsi"/>
              </w:rPr>
              <w:t>Sulphur dioxide (sulphates)</w:t>
            </w:r>
          </w:p>
          <w:p w14:paraId="62AE4ACB" w14:textId="77777777" w:rsidR="007B7D39" w:rsidRDefault="007B7D39" w:rsidP="007B7D39">
            <w:pPr>
              <w:rPr>
                <w:rFonts w:ascii="Helvetica" w:hAnsi="Helvetica"/>
              </w:rPr>
            </w:pPr>
          </w:p>
          <w:p w14:paraId="7214FE27" w14:textId="7BD5BBD0" w:rsidR="007B7D39" w:rsidRDefault="00DC376A" w:rsidP="007B7D39">
            <w:r>
              <w:rPr>
                <w:noProof/>
              </w:rPr>
              <w:drawing>
                <wp:inline distT="0" distB="0" distL="0" distR="0" wp14:anchorId="51932148" wp14:editId="3A01EF25">
                  <wp:extent cx="6938586" cy="6393977"/>
                  <wp:effectExtent l="0" t="0" r="0" b="6985"/>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001453" cy="6451910"/>
                          </a:xfrm>
                          <a:prstGeom prst="rect">
                            <a:avLst/>
                          </a:prstGeom>
                        </pic:spPr>
                      </pic:pic>
                    </a:graphicData>
                  </a:graphic>
                </wp:inline>
              </w:drawing>
            </w:r>
          </w:p>
          <w:p w14:paraId="4FDCE181" w14:textId="77777777" w:rsidR="007B7D39" w:rsidRDefault="007B7D39" w:rsidP="007B7D39"/>
          <w:p w14:paraId="76387A01" w14:textId="77777777" w:rsidR="007B7D39" w:rsidRDefault="007B7D39" w:rsidP="007B7D39"/>
          <w:p w14:paraId="6FAD7318" w14:textId="77777777" w:rsidR="007B7D39" w:rsidRPr="00F5088B" w:rsidRDefault="007B7D39" w:rsidP="007B7D39">
            <w:pPr>
              <w:rPr>
                <w:b/>
                <w:bCs/>
                <w:color w:val="365F91" w:themeColor="accent1" w:themeShade="BF"/>
              </w:rPr>
            </w:pPr>
            <w:r w:rsidRPr="00F5088B">
              <w:rPr>
                <w:b/>
                <w:bCs/>
                <w:color w:val="365F91" w:themeColor="accent1" w:themeShade="BF"/>
              </w:rPr>
              <w:t>Appropriate labelled packaging</w:t>
            </w:r>
          </w:p>
          <w:p w14:paraId="6C254DF0" w14:textId="77777777" w:rsidR="007B7D39" w:rsidRPr="00713D57" w:rsidRDefault="007B7D39" w:rsidP="007B7D39">
            <w:r w:rsidRPr="00713D57">
              <w:t xml:space="preserve">Packaging can be an issue if the formulation is not understood. If employees are unaware of products containing allergens, they can change the packaging and put it in a non-allergenic </w:t>
            </w:r>
            <w:proofErr w:type="spellStart"/>
            <w:r w:rsidRPr="00713D57">
              <w:t>labeled</w:t>
            </w:r>
            <w:proofErr w:type="spellEnd"/>
            <w:r w:rsidRPr="00713D57">
              <w:t xml:space="preserve"> package without considering cleaning.</w:t>
            </w:r>
          </w:p>
          <w:p w14:paraId="6E2BD184" w14:textId="77777777" w:rsidR="007B7D39" w:rsidRDefault="007B7D39" w:rsidP="007B7D39">
            <w:r>
              <w:t>Depending on the growing circumstances, bacteria may cause sickness and pollution. Bacteria such as E.coli and salmonella might be present in the meal. Physical contamination of food can occur when persons with any form of sickness or pathogens come into close touch with it. As a result, employees must wear protective equipment such as masks and gloves. Chemicals such as metals, dioxins, and pesticides may be present in the food, causing food poisoning.</w:t>
            </w:r>
            <w:r w:rsidRPr="00466341">
              <w:t xml:space="preserve"> Proper storage and packaging are critical in preventing chemical contamination. The symptoms, causes, and time </w:t>
            </w:r>
            <w:r>
              <w:t xml:space="preserve">period </w:t>
            </w:r>
            <w:r w:rsidRPr="00466341">
              <w:t>of food poisoning must be assessed, and preventative actions such as adequate cleanliness, storage conditions, and good cause these issues must be ruled out.</w:t>
            </w:r>
          </w:p>
          <w:p w14:paraId="2211B35C" w14:textId="77777777" w:rsidR="007B7D39" w:rsidRDefault="007B7D39" w:rsidP="007B7D39">
            <w:r>
              <w:t xml:space="preserve">In food safety management, it is important to understand the process that acts as a precautionary measure. It is necessary to identify the spoilage of foods such as bacteria and </w:t>
            </w:r>
            <w:proofErr w:type="spellStart"/>
            <w:r>
              <w:t>molds</w:t>
            </w:r>
            <w:proofErr w:type="spellEnd"/>
            <w:r>
              <w:t xml:space="preserve"> and to implement appropriate storage methods at various temperatures and chemical and physical methods depending on the spoilage. Special types of storage techniques using blasting and vacuum packaging can be further implemented for food safety management.</w:t>
            </w:r>
          </w:p>
          <w:p w14:paraId="1C1A9462" w14:textId="77777777" w:rsidR="007B7D39" w:rsidRDefault="007B7D39" w:rsidP="007B7D39">
            <w:pPr>
              <w:rPr>
                <w:rFonts w:cstheme="minorHAnsi"/>
                <w:color w:val="000000" w:themeColor="text1"/>
              </w:rPr>
            </w:pPr>
            <w:r>
              <w:t xml:space="preserve">Temperature plays a very important role in effectively preventing food contamination. The main factors that prevent food poisoning are storage and cooking techniques such as cooking, refrigeration, and thawing. Storage methods also affect preventive systems by storing food in consideration of factors such as humidity, cleanliness, and inventory turnover. It makes it easier to keep food from rotting. Hygiene, cleanliness, disinfection methods, pest control methods, and staff training are some of the measures </w:t>
            </w:r>
            <w:r w:rsidRPr="000F5ECD">
              <w:rPr>
                <w:rFonts w:asciiTheme="minorHAnsi" w:hAnsiTheme="minorHAnsi" w:cstheme="minorHAnsi"/>
                <w:color w:val="000000" w:themeColor="text1"/>
              </w:rPr>
              <w:t>that could be implemented for the prevention of food.</w:t>
            </w:r>
          </w:p>
          <w:p w14:paraId="42BB43C6" w14:textId="77777777" w:rsidR="007B7D39" w:rsidRDefault="007B7D39" w:rsidP="007B7D39">
            <w:pPr>
              <w:rPr>
                <w:rFonts w:cstheme="minorHAnsi"/>
                <w:color w:val="000000" w:themeColor="text1"/>
              </w:rPr>
            </w:pPr>
          </w:p>
          <w:p w14:paraId="2523EA68" w14:textId="77777777" w:rsidR="007B7D39" w:rsidRDefault="007B7D39" w:rsidP="007B7D39">
            <w:pPr>
              <w:rPr>
                <w:rFonts w:cstheme="minorHAnsi"/>
                <w:color w:val="000000" w:themeColor="text1"/>
              </w:rPr>
            </w:pPr>
            <w:r w:rsidRPr="007475A7">
              <w:rPr>
                <w:rFonts w:cstheme="minorHAnsi"/>
                <w:color w:val="000000" w:themeColor="text1"/>
              </w:rPr>
              <w:t>Safe food management can be achieved by implementing appropriate management systems in terms of supplier safety measures, better manufacturing processes, and records management. You can carry out better business of safe food, analysis of harmful substances, monitoring and evaluation, training of staff and so on. Legislative bodies such as the Food Safety Act of 1990 have set appropriate regulations, and institutions such as the Health Protection Agency protect against the threat of infectious foods.</w:t>
            </w:r>
          </w:p>
          <w:p w14:paraId="3D4B65C1" w14:textId="77777777" w:rsidR="007B7D39" w:rsidRDefault="007B7D39" w:rsidP="007B7D39"/>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3B344F1E" w14:textId="04FBDDB9" w:rsidR="00375882" w:rsidRPr="003C3341" w:rsidRDefault="00375882" w:rsidP="00FC7B5F">
            <w:pPr>
              <w:tabs>
                <w:tab w:val="left" w:pos="1423"/>
              </w:tabs>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C8BD91B" w14:textId="77777777" w:rsidR="00FC7B5F" w:rsidRDefault="00FC7B5F" w:rsidP="00FC7B5F">
            <w:pPr>
              <w:pStyle w:val="Heading4"/>
              <w:spacing w:before="0" w:after="300" w:line="360" w:lineRule="auto"/>
              <w:textAlignment w:val="baseline"/>
              <w:rPr>
                <w:rFonts w:asciiTheme="minorHAnsi" w:hAnsiTheme="minorHAnsi" w:cstheme="minorHAnsi"/>
                <w:color w:val="000000" w:themeColor="text1"/>
                <w:sz w:val="24"/>
                <w:szCs w:val="24"/>
              </w:rPr>
            </w:pPr>
            <w:r w:rsidRPr="00D43516">
              <w:rPr>
                <w:rFonts w:asciiTheme="minorHAnsi" w:hAnsiTheme="minorHAnsi" w:cstheme="minorHAnsi"/>
                <w:color w:val="000000" w:themeColor="text1"/>
                <w:sz w:val="24"/>
                <w:szCs w:val="24"/>
              </w:rPr>
              <w:t>References</w:t>
            </w:r>
          </w:p>
          <w:p w14:paraId="1C14CBBC" w14:textId="77777777" w:rsidR="00FC7B5F" w:rsidRDefault="00FC7B5F" w:rsidP="00FC7B5F">
            <w:pPr>
              <w:shd w:val="clear" w:color="auto" w:fill="FFFFFF"/>
              <w:ind w:left="720"/>
              <w:rPr>
                <w:rFonts w:cstheme="minorHAnsi"/>
                <w:color w:val="333333"/>
              </w:rPr>
            </w:pPr>
            <w:r>
              <w:rPr>
                <w:rFonts w:cstheme="minorHAnsi"/>
                <w:color w:val="333333"/>
              </w:rPr>
              <w:t>,,Sampson HA . Update on food allergy. J Allergy clin Immunol. 2004;113 (5):805-820 (</w:t>
            </w:r>
            <w:proofErr w:type="spellStart"/>
            <w:r w:rsidRPr="008B114A">
              <w:rPr>
                <w:rFonts w:cstheme="minorHAnsi"/>
                <w:color w:val="00B0F0"/>
              </w:rPr>
              <w:t>CrossRef</w:t>
            </w:r>
            <w:proofErr w:type="spellEnd"/>
            <w:r w:rsidRPr="008B114A">
              <w:rPr>
                <w:rFonts w:cstheme="minorHAnsi"/>
                <w:color w:val="00B0F0"/>
              </w:rPr>
              <w:t>)(Web of Science)</w:t>
            </w:r>
          </w:p>
          <w:p w14:paraId="64D8A690" w14:textId="77777777" w:rsidR="00FC7B5F" w:rsidRDefault="00FC7B5F" w:rsidP="00FC7B5F">
            <w:pPr>
              <w:shd w:val="clear" w:color="auto" w:fill="FFFFFF"/>
              <w:ind w:left="360"/>
              <w:rPr>
                <w:rFonts w:cstheme="minorHAnsi"/>
                <w:color w:val="333333"/>
              </w:rPr>
            </w:pPr>
            <w:proofErr w:type="spellStart"/>
            <w:r>
              <w:t>Dack</w:t>
            </w:r>
            <w:proofErr w:type="spellEnd"/>
            <w:r>
              <w:t>, G. M. Food Poisoning. University of Chicago Press. 1943. pp. 124-127. ‘’</w:t>
            </w:r>
          </w:p>
          <w:p w14:paraId="667AD626" w14:textId="77777777" w:rsidR="00FC7B5F" w:rsidRDefault="00FC7B5F" w:rsidP="00FC7B5F">
            <w:pPr>
              <w:shd w:val="clear" w:color="auto" w:fill="FFFFFF"/>
              <w:ind w:left="720"/>
              <w:rPr>
                <w:rFonts w:cstheme="minorHAnsi"/>
                <w:color w:val="333333"/>
              </w:rPr>
            </w:pPr>
          </w:p>
          <w:p w14:paraId="117668F8" w14:textId="77777777" w:rsidR="00FC7B5F" w:rsidRDefault="00FC7B5F" w:rsidP="00FC7B5F">
            <w:pPr>
              <w:shd w:val="clear" w:color="auto" w:fill="FFFFFF"/>
              <w:ind w:left="720"/>
              <w:rPr>
                <w:rFonts w:cstheme="minorHAnsi"/>
                <w:color w:val="333333"/>
              </w:rPr>
            </w:pPr>
            <w:r>
              <w:rPr>
                <w:rFonts w:cstheme="minorHAnsi"/>
                <w:color w:val="333333"/>
              </w:rPr>
              <w:t>,,</w:t>
            </w:r>
            <w:r w:rsidRPr="004842F1">
              <w:rPr>
                <w:rFonts w:asciiTheme="minorHAnsi" w:hAnsiTheme="minorHAnsi" w:cstheme="minorHAnsi"/>
                <w:color w:val="333333"/>
              </w:rPr>
              <w:t>The Nationwide Microbiological Baseline Data Collection Program: Young turkey Survey, August 2008 - July 2009." USDA Food Safety and Inspection Service. Available at: </w:t>
            </w:r>
            <w:hyperlink r:id="rId9" w:history="1">
              <w:r w:rsidRPr="004842F1">
                <w:rPr>
                  <w:rFonts w:asciiTheme="minorHAnsi" w:hAnsiTheme="minorHAnsi" w:cstheme="minorHAnsi"/>
                  <w:color w:val="0FACF3"/>
                  <w:u w:val="single"/>
                </w:rPr>
                <w:t>https://pregunteleakaren.gov/w...</w:t>
              </w:r>
            </w:hyperlink>
            <w:r>
              <w:rPr>
                <w:rFonts w:cstheme="minorHAnsi"/>
                <w:color w:val="333333"/>
              </w:rPr>
              <w:t>’’</w:t>
            </w:r>
          </w:p>
          <w:p w14:paraId="06A59A8F" w14:textId="77777777" w:rsidR="00FC7B5F" w:rsidRPr="004842F1" w:rsidRDefault="00FC7B5F" w:rsidP="00FC7B5F">
            <w:pPr>
              <w:shd w:val="clear" w:color="auto" w:fill="FFFFFF"/>
              <w:ind w:left="720"/>
              <w:rPr>
                <w:rFonts w:asciiTheme="minorHAnsi" w:hAnsiTheme="minorHAnsi" w:cstheme="minorHAnsi"/>
                <w:color w:val="333333"/>
              </w:rPr>
            </w:pPr>
          </w:p>
          <w:p w14:paraId="1A2716B9" w14:textId="77777777" w:rsidR="00FC7B5F" w:rsidRDefault="00FC7B5F" w:rsidP="00FC7B5F">
            <w:pPr>
              <w:shd w:val="clear" w:color="auto" w:fill="FFFFFF"/>
              <w:rPr>
                <w:rFonts w:cstheme="minorHAnsi"/>
                <w:color w:val="333333"/>
              </w:rPr>
            </w:pPr>
            <w:r>
              <w:rPr>
                <w:rFonts w:cstheme="minorHAnsi"/>
                <w:color w:val="333333"/>
              </w:rPr>
              <w:t xml:space="preserve">            </w:t>
            </w:r>
            <w:r w:rsidRPr="004842F1">
              <w:rPr>
                <w:rFonts w:asciiTheme="minorHAnsi" w:hAnsiTheme="minorHAnsi" w:cstheme="minorHAnsi"/>
                <w:color w:val="333333"/>
              </w:rPr>
              <w:t xml:space="preserve"> "Safe Minimum Internal Temperature Chart." USDA Food Safety and Inspection </w:t>
            </w:r>
            <w:r>
              <w:rPr>
                <w:rFonts w:cstheme="minorHAnsi"/>
                <w:color w:val="333333"/>
              </w:rPr>
              <w:t xml:space="preserve">        </w:t>
            </w:r>
            <w:r w:rsidRPr="004842F1">
              <w:rPr>
                <w:rFonts w:asciiTheme="minorHAnsi" w:hAnsiTheme="minorHAnsi" w:cstheme="minorHAnsi"/>
                <w:color w:val="333333"/>
              </w:rPr>
              <w:t>Service, 2020. Available at: </w:t>
            </w:r>
            <w:hyperlink r:id="rId10" w:history="1">
              <w:r w:rsidRPr="004842F1">
                <w:rPr>
                  <w:rFonts w:asciiTheme="minorHAnsi" w:hAnsiTheme="minorHAnsi" w:cstheme="minorHAnsi"/>
                  <w:color w:val="0FACF3"/>
                  <w:u w:val="single"/>
                </w:rPr>
                <w:t>https://www.fsis.usda.gov/food...</w:t>
              </w:r>
            </w:hyperlink>
            <w:r>
              <w:rPr>
                <w:rFonts w:cstheme="minorHAnsi"/>
                <w:color w:val="333333"/>
              </w:rPr>
              <w:t>’’</w:t>
            </w:r>
          </w:p>
          <w:p w14:paraId="689F8894" w14:textId="77777777" w:rsidR="00FC7B5F" w:rsidRPr="004842F1" w:rsidRDefault="00FC7B5F" w:rsidP="00FC7B5F">
            <w:pPr>
              <w:shd w:val="clear" w:color="auto" w:fill="FFFFFF"/>
              <w:rPr>
                <w:rFonts w:asciiTheme="minorHAnsi" w:hAnsiTheme="minorHAnsi" w:cstheme="minorHAnsi"/>
                <w:color w:val="333333"/>
              </w:rPr>
            </w:pPr>
          </w:p>
          <w:p w14:paraId="4B4779A5" w14:textId="77777777" w:rsidR="00FC7B5F" w:rsidRDefault="00FC7B5F" w:rsidP="00FC7B5F">
            <w:pPr>
              <w:pStyle w:val="NormalWeb"/>
              <w:wordWrap w:val="0"/>
              <w:spacing w:before="0" w:beforeAutospacing="0" w:after="0" w:afterAutospacing="0" w:line="360" w:lineRule="auto"/>
              <w:jc w:val="both"/>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            ,,</w:t>
            </w:r>
            <w:r w:rsidRPr="00D43516">
              <w:rPr>
                <w:rFonts w:asciiTheme="minorHAnsi" w:hAnsiTheme="minorHAnsi" w:cstheme="minorHAnsi"/>
                <w:color w:val="000000" w:themeColor="text1"/>
              </w:rPr>
              <w:t>DiPietro, R. (2017). Restaurant and foodservice research. </w:t>
            </w:r>
            <w:r w:rsidRPr="00D43516">
              <w:rPr>
                <w:rStyle w:val="Emphasis"/>
                <w:rFonts w:asciiTheme="minorHAnsi" w:hAnsiTheme="minorHAnsi" w:cstheme="minorHAnsi"/>
                <w:color w:val="000000" w:themeColor="text1"/>
                <w:bdr w:val="none" w:sz="0" w:space="0" w:color="auto" w:frame="1"/>
              </w:rPr>
              <w:t>International Journal of Contemporary Hospitality Management</w:t>
            </w:r>
            <w:r w:rsidRPr="00D43516">
              <w:rPr>
                <w:rFonts w:asciiTheme="minorHAnsi" w:hAnsiTheme="minorHAnsi" w:cstheme="minorHAnsi"/>
                <w:color w:val="000000" w:themeColor="text1"/>
              </w:rPr>
              <w:t>, </w:t>
            </w:r>
            <w:r w:rsidRPr="00D43516">
              <w:rPr>
                <w:rStyle w:val="Emphasis"/>
                <w:rFonts w:asciiTheme="minorHAnsi" w:hAnsiTheme="minorHAnsi" w:cstheme="minorHAnsi"/>
                <w:color w:val="000000" w:themeColor="text1"/>
                <w:bdr w:val="none" w:sz="0" w:space="0" w:color="auto" w:frame="1"/>
              </w:rPr>
              <w:t>29</w:t>
            </w:r>
            <w:r w:rsidRPr="00D43516">
              <w:rPr>
                <w:rFonts w:asciiTheme="minorHAnsi" w:hAnsiTheme="minorHAnsi" w:cstheme="minorHAnsi"/>
                <w:color w:val="000000" w:themeColor="text1"/>
              </w:rPr>
              <w:t>(4), 1203-1234. </w:t>
            </w:r>
            <w:hyperlink r:id="rId11" w:history="1">
              <w:r w:rsidRPr="00D86879">
                <w:rPr>
                  <w:rStyle w:val="Hyperlink"/>
                  <w:rFonts w:asciiTheme="minorHAnsi" w:hAnsiTheme="minorHAnsi" w:cstheme="minorHAnsi"/>
                  <w:b/>
                  <w:bCs/>
                  <w:color w:val="00B0F0"/>
                  <w:bdr w:val="none" w:sz="0" w:space="0" w:color="auto" w:frame="1"/>
                </w:rPr>
                <w:t>https://doi.org/10.1108/IJCHM-01-2016-00</w:t>
              </w:r>
              <w:r w:rsidRPr="00D43516">
                <w:rPr>
                  <w:rStyle w:val="Hyperlink"/>
                  <w:rFonts w:asciiTheme="minorHAnsi" w:hAnsiTheme="minorHAnsi" w:cstheme="minorHAnsi"/>
                  <w:b/>
                  <w:bCs/>
                  <w:color w:val="000000" w:themeColor="text1"/>
                  <w:bdr w:val="none" w:sz="0" w:space="0" w:color="auto" w:frame="1"/>
                </w:rPr>
                <w:t>46</w:t>
              </w:r>
            </w:hyperlink>
            <w:r>
              <w:rPr>
                <w:rFonts w:asciiTheme="minorHAnsi" w:hAnsiTheme="minorHAnsi" w:cstheme="minorHAnsi"/>
                <w:color w:val="000000" w:themeColor="text1"/>
              </w:rPr>
              <w:t>’’</w:t>
            </w:r>
          </w:p>
          <w:p w14:paraId="10128DA7" w14:textId="77777777" w:rsidR="00FC7B5F" w:rsidRPr="00D43516" w:rsidRDefault="00FC7B5F" w:rsidP="00FC7B5F">
            <w:pPr>
              <w:pStyle w:val="NormalWeb"/>
              <w:wordWrap w:val="0"/>
              <w:spacing w:before="0" w:beforeAutospacing="0" w:after="0" w:afterAutospacing="0" w:line="360" w:lineRule="auto"/>
              <w:jc w:val="both"/>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            </w:t>
            </w:r>
            <w:proofErr w:type="spellStart"/>
            <w:r w:rsidRPr="00D43516">
              <w:rPr>
                <w:rFonts w:asciiTheme="minorHAnsi" w:hAnsiTheme="minorHAnsi" w:cstheme="minorHAnsi"/>
                <w:color w:val="000000" w:themeColor="text1"/>
              </w:rPr>
              <w:t>Raab</w:t>
            </w:r>
            <w:proofErr w:type="spellEnd"/>
            <w:r w:rsidRPr="00D43516">
              <w:rPr>
                <w:rFonts w:asciiTheme="minorHAnsi" w:hAnsiTheme="minorHAnsi" w:cstheme="minorHAnsi"/>
                <w:color w:val="000000" w:themeColor="text1"/>
              </w:rPr>
              <w:t>, C., Mayer, K., &amp; Shoemaker, S. (2010). Menu engineering using activity-based costing: an exploratory study using a profit factor comparison approach. </w:t>
            </w:r>
            <w:r w:rsidRPr="00D43516">
              <w:rPr>
                <w:rStyle w:val="Emphasis"/>
                <w:rFonts w:asciiTheme="minorHAnsi" w:hAnsiTheme="minorHAnsi" w:cstheme="minorHAnsi"/>
                <w:color w:val="000000" w:themeColor="text1"/>
                <w:bdr w:val="none" w:sz="0" w:space="0" w:color="auto" w:frame="1"/>
              </w:rPr>
              <w:t>Journal of Hospitality &amp; Tourism Research</w:t>
            </w:r>
            <w:r w:rsidRPr="00D43516">
              <w:rPr>
                <w:rFonts w:asciiTheme="minorHAnsi" w:hAnsiTheme="minorHAnsi" w:cstheme="minorHAnsi"/>
                <w:color w:val="000000" w:themeColor="text1"/>
              </w:rPr>
              <w:t>, </w:t>
            </w:r>
            <w:r w:rsidRPr="00D43516">
              <w:rPr>
                <w:rStyle w:val="Emphasis"/>
                <w:rFonts w:asciiTheme="minorHAnsi" w:hAnsiTheme="minorHAnsi" w:cstheme="minorHAnsi"/>
                <w:color w:val="000000" w:themeColor="text1"/>
                <w:bdr w:val="none" w:sz="0" w:space="0" w:color="auto" w:frame="1"/>
              </w:rPr>
              <w:t>34</w:t>
            </w:r>
            <w:r w:rsidRPr="00D43516">
              <w:rPr>
                <w:rFonts w:asciiTheme="minorHAnsi" w:hAnsiTheme="minorHAnsi" w:cstheme="minorHAnsi"/>
                <w:color w:val="000000" w:themeColor="text1"/>
              </w:rPr>
              <w:t>(2), 204-224.</w:t>
            </w:r>
          </w:p>
          <w:p w14:paraId="32D109EC" w14:textId="77777777" w:rsidR="00FC7B5F" w:rsidRPr="00D43516" w:rsidRDefault="00FC7B5F" w:rsidP="00FC7B5F">
            <w:pPr>
              <w:pStyle w:val="NormalWeb"/>
              <w:wordWrap w:val="0"/>
              <w:spacing w:before="0" w:beforeAutospacing="0" w:after="0" w:afterAutospacing="0" w:line="360" w:lineRule="auto"/>
              <w:jc w:val="both"/>
              <w:textAlignment w:val="baseline"/>
              <w:rPr>
                <w:rFonts w:asciiTheme="minorHAnsi" w:hAnsiTheme="minorHAnsi" w:cstheme="minorHAnsi"/>
                <w:color w:val="000000" w:themeColor="text1"/>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BF01B" w14:textId="77777777" w:rsidR="00457F2E" w:rsidRDefault="00457F2E">
      <w:r>
        <w:separator/>
      </w:r>
    </w:p>
  </w:endnote>
  <w:endnote w:type="continuationSeparator" w:id="0">
    <w:p w14:paraId="5AC6AE52" w14:textId="77777777" w:rsidR="00457F2E" w:rsidRDefault="00457F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Helvetica">
    <w:altName w:val="Arial"/>
    <w:panose1 w:val="020B05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D56C7" w14:textId="77777777" w:rsidR="00457F2E" w:rsidRDefault="00457F2E">
      <w:r>
        <w:separator/>
      </w:r>
    </w:p>
  </w:footnote>
  <w:footnote w:type="continuationSeparator" w:id="0">
    <w:p w14:paraId="371DE0A5" w14:textId="77777777" w:rsidR="00457F2E" w:rsidRDefault="00457F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916179"/>
    <w:multiLevelType w:val="multilevel"/>
    <w:tmpl w:val="43FA22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5"/>
  </w:num>
  <w:num w:numId="3">
    <w:abstractNumId w:val="28"/>
  </w:num>
  <w:num w:numId="4">
    <w:abstractNumId w:val="6"/>
  </w:num>
  <w:num w:numId="5">
    <w:abstractNumId w:val="24"/>
  </w:num>
  <w:num w:numId="6">
    <w:abstractNumId w:val="7"/>
  </w:num>
  <w:num w:numId="7">
    <w:abstractNumId w:val="0"/>
  </w:num>
  <w:num w:numId="8">
    <w:abstractNumId w:val="27"/>
  </w:num>
  <w:num w:numId="9">
    <w:abstractNumId w:val="16"/>
  </w:num>
  <w:num w:numId="10">
    <w:abstractNumId w:val="19"/>
  </w:num>
  <w:num w:numId="11">
    <w:abstractNumId w:val="3"/>
  </w:num>
  <w:num w:numId="12">
    <w:abstractNumId w:val="14"/>
  </w:num>
  <w:num w:numId="13">
    <w:abstractNumId w:val="2"/>
  </w:num>
  <w:num w:numId="14">
    <w:abstractNumId w:val="10"/>
  </w:num>
  <w:num w:numId="15">
    <w:abstractNumId w:val="18"/>
  </w:num>
  <w:num w:numId="16">
    <w:abstractNumId w:val="20"/>
  </w:num>
  <w:num w:numId="17">
    <w:abstractNumId w:val="1"/>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36879"/>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2717A"/>
    <w:rsid w:val="004325B5"/>
    <w:rsid w:val="00433DBF"/>
    <w:rsid w:val="004341F2"/>
    <w:rsid w:val="00442F02"/>
    <w:rsid w:val="0044343A"/>
    <w:rsid w:val="00444EC9"/>
    <w:rsid w:val="00445A58"/>
    <w:rsid w:val="00447AEC"/>
    <w:rsid w:val="00451947"/>
    <w:rsid w:val="00456590"/>
    <w:rsid w:val="00457F2E"/>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B7D39"/>
    <w:rsid w:val="007D18CA"/>
    <w:rsid w:val="007E500C"/>
    <w:rsid w:val="007E7BB4"/>
    <w:rsid w:val="007F055A"/>
    <w:rsid w:val="007F418B"/>
    <w:rsid w:val="008068B1"/>
    <w:rsid w:val="00814801"/>
    <w:rsid w:val="0082407E"/>
    <w:rsid w:val="00826699"/>
    <w:rsid w:val="00895843"/>
    <w:rsid w:val="008B4B9C"/>
    <w:rsid w:val="008B534C"/>
    <w:rsid w:val="008E2A5A"/>
    <w:rsid w:val="008E70A1"/>
    <w:rsid w:val="008F0B0D"/>
    <w:rsid w:val="008F0D83"/>
    <w:rsid w:val="009061F1"/>
    <w:rsid w:val="00911C43"/>
    <w:rsid w:val="009139BF"/>
    <w:rsid w:val="00923E76"/>
    <w:rsid w:val="00925B3C"/>
    <w:rsid w:val="009448FE"/>
    <w:rsid w:val="00946B23"/>
    <w:rsid w:val="0095769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57437"/>
    <w:rsid w:val="00B60FDF"/>
    <w:rsid w:val="00B61256"/>
    <w:rsid w:val="00B73A1C"/>
    <w:rsid w:val="00B945EA"/>
    <w:rsid w:val="00B949BC"/>
    <w:rsid w:val="00BA53CD"/>
    <w:rsid w:val="00BB5FB3"/>
    <w:rsid w:val="00BC4D17"/>
    <w:rsid w:val="00BC7F1B"/>
    <w:rsid w:val="00BD0E39"/>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C376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24EB"/>
    <w:rsid w:val="00F34E01"/>
    <w:rsid w:val="00F37A71"/>
    <w:rsid w:val="00F43CED"/>
    <w:rsid w:val="00F51904"/>
    <w:rsid w:val="00F537E9"/>
    <w:rsid w:val="00F720CF"/>
    <w:rsid w:val="00F94390"/>
    <w:rsid w:val="00FB2CA9"/>
    <w:rsid w:val="00FB3B29"/>
    <w:rsid w:val="00FC7773"/>
    <w:rsid w:val="00FC7B5F"/>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3">
    <w:name w:val="heading 3"/>
    <w:basedOn w:val="Normal"/>
    <w:next w:val="Normal"/>
    <w:link w:val="Heading3Char"/>
    <w:uiPriority w:val="9"/>
    <w:semiHidden/>
    <w:unhideWhenUsed/>
    <w:qFormat/>
    <w:rsid w:val="007B7D39"/>
    <w:pPr>
      <w:keepNext/>
      <w:keepLines/>
      <w:spacing w:before="40" w:line="259" w:lineRule="auto"/>
      <w:outlineLvl w:val="2"/>
    </w:pPr>
    <w:rPr>
      <w:rFonts w:asciiTheme="majorHAnsi" w:eastAsiaTheme="majorEastAsia" w:hAnsiTheme="majorHAnsi" w:cstheme="majorBidi"/>
      <w:color w:val="243F60" w:themeColor="accent1" w:themeShade="7F"/>
      <w:lang w:eastAsia="en-US"/>
    </w:rPr>
  </w:style>
  <w:style w:type="paragraph" w:styleId="Heading4">
    <w:name w:val="heading 4"/>
    <w:basedOn w:val="Normal"/>
    <w:next w:val="Normal"/>
    <w:link w:val="Heading4Char"/>
    <w:uiPriority w:val="9"/>
    <w:semiHidden/>
    <w:unhideWhenUsed/>
    <w:qFormat/>
    <w:rsid w:val="00FC7B5F"/>
    <w:pPr>
      <w:keepNext/>
      <w:keepLines/>
      <w:spacing w:before="40" w:line="259" w:lineRule="auto"/>
      <w:outlineLvl w:val="3"/>
    </w:pPr>
    <w:rPr>
      <w:rFonts w:asciiTheme="majorHAnsi" w:eastAsiaTheme="majorEastAsia" w:hAnsiTheme="majorHAnsi" w:cstheme="majorBidi"/>
      <w:i/>
      <w:iCs/>
      <w:color w:val="365F91"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3Char">
    <w:name w:val="Heading 3 Char"/>
    <w:basedOn w:val="DefaultParagraphFont"/>
    <w:link w:val="Heading3"/>
    <w:uiPriority w:val="9"/>
    <w:semiHidden/>
    <w:rsid w:val="007B7D39"/>
    <w:rPr>
      <w:rFonts w:asciiTheme="majorHAnsi" w:eastAsiaTheme="majorEastAsia" w:hAnsiTheme="majorHAnsi" w:cstheme="majorBidi"/>
      <w:color w:val="243F60" w:themeColor="accent1" w:themeShade="7F"/>
      <w:sz w:val="24"/>
      <w:szCs w:val="24"/>
      <w:lang w:eastAsia="en-US"/>
    </w:rPr>
  </w:style>
  <w:style w:type="character" w:customStyle="1" w:styleId="Heading4Char">
    <w:name w:val="Heading 4 Char"/>
    <w:basedOn w:val="DefaultParagraphFont"/>
    <w:link w:val="Heading4"/>
    <w:uiPriority w:val="9"/>
    <w:semiHidden/>
    <w:rsid w:val="00FC7B5F"/>
    <w:rPr>
      <w:rFonts w:asciiTheme="majorHAnsi" w:eastAsiaTheme="majorEastAsia" w:hAnsiTheme="majorHAnsi" w:cstheme="majorBidi"/>
      <w:i/>
      <w:iCs/>
      <w:color w:val="365F91" w:themeColor="accent1" w:themeShade="BF"/>
      <w:sz w:val="22"/>
      <w:szCs w:val="22"/>
      <w:lang w:eastAsia="en-US"/>
    </w:rPr>
  </w:style>
  <w:style w:type="character" w:styleId="Emphasis">
    <w:name w:val="Emphasis"/>
    <w:basedOn w:val="DefaultParagraphFont"/>
    <w:uiPriority w:val="20"/>
    <w:qFormat/>
    <w:rsid w:val="00FC7B5F"/>
    <w:rPr>
      <w:i/>
      <w:iCs/>
    </w:rPr>
  </w:style>
  <w:style w:type="character" w:styleId="Hyperlink">
    <w:name w:val="Hyperlink"/>
    <w:basedOn w:val="DefaultParagraphFont"/>
    <w:uiPriority w:val="99"/>
    <w:semiHidden/>
    <w:unhideWhenUsed/>
    <w:rsid w:val="00FC7B5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08/IJCHM-01-2016-0046"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fsis.usda.gov/food-safety/safe-food-handling-and-preparation/food-safety-basics/safe-temperature-chart" TargetMode="External" /><Relationship Id="rId4" Type="http://schemas.openxmlformats.org/officeDocument/2006/relationships/settings" Target="settings.xml" /><Relationship Id="rId9" Type="http://schemas.openxmlformats.org/officeDocument/2006/relationships/hyperlink" Target="https://pregunteleakaren.gov/wps/wcm/connect/92af6a03-c85d-4270-bf27-2243c49f6290/Baseline_Data_Young_Turkey_2008-2009.pdf?MOD=AJPERES" TargetMode="External" /><Relationship Id="rId14"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2.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89030D-7A83-4024-9F79-A3DE787B21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830</Words>
  <Characters>5360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bianca penisoara</cp:lastModifiedBy>
  <cp:revision>2</cp:revision>
  <cp:lastPrinted>2020-09-28T20:53:00Z</cp:lastPrinted>
  <dcterms:created xsi:type="dcterms:W3CDTF">2022-06-03T10:05:00Z</dcterms:created>
  <dcterms:modified xsi:type="dcterms:W3CDTF">2022-06-03T10:05:00Z</dcterms:modified>
</cp:coreProperties>
</file>