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Qualification: CIPD Diploma in Applied Human Resources</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Module Name: </w:t>
      </w:r>
      <w:r>
        <w:rPr>
          <w:rFonts w:cs="Arial"/>
          <w:color w:val="58595B"/>
          <w:sz w:val="36"/>
          <w:szCs w:val="36"/>
        </w:rPr>
        <w:t>Un</w:t>
      </w:r>
      <w:r>
        <w:rPr>
          <w:rFonts w:cs="Arial"/>
          <w:color w:val="58595B"/>
          <w:sz w:val="36"/>
          <w:szCs w:val="36"/>
        </w:rPr>
        <w:t>derstanding Employee Engagement</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A</w:t>
      </w:r>
      <w:r>
        <w:rPr>
          <w:rFonts w:cs="Arial"/>
          <w:color w:val="58595B"/>
          <w:sz w:val="36"/>
          <w:szCs w:val="36"/>
        </w:rPr>
        <w:t>s</w:t>
      </w:r>
      <w:r>
        <w:rPr>
          <w:rFonts w:cs="Arial"/>
          <w:color w:val="58595B"/>
          <w:sz w:val="36"/>
          <w:szCs w:val="36"/>
        </w:rPr>
        <w:t>signment 1:  Briefing Paper</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Word Count: </w:t>
      </w:r>
      <w:r>
        <w:rPr>
          <w:rFonts w:cs="Arial"/>
          <w:color w:val="58595B"/>
          <w:sz w:val="36"/>
          <w:szCs w:val="36"/>
        </w:rPr>
        <w:t>3588</w:t>
      </w:r>
      <w:bookmarkStart w:id="0" w:name="_GoBack"/>
      <w:bookmarkEnd w:id="0"/>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Student Name:  Mrs Angela May Procter</w:t>
      </w: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Student Number:  2015609  </w:t>
      </w: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CIPD Membership Number:  54466106  </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8A4057" w:rsidRPr="00A86A6A" w:rsidRDefault="008A4057" w:rsidP="008A4057">
      <w:pPr>
        <w:pStyle w:val="ListParagraph"/>
        <w:numPr>
          <w:ilvl w:val="0"/>
          <w:numId w:val="13"/>
        </w:numPr>
        <w:spacing w:line="240" w:lineRule="auto"/>
        <w:rPr>
          <w:rFonts w:cs="Arial"/>
          <w:color w:val="58595B"/>
          <w:sz w:val="36"/>
          <w:szCs w:val="36"/>
        </w:rPr>
      </w:pP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Signed:  A M Procter</w:t>
      </w:r>
    </w:p>
    <w:p w:rsidR="008A4057" w:rsidRPr="00A86A6A" w:rsidRDefault="008A4057" w:rsidP="008A4057">
      <w:pPr>
        <w:pStyle w:val="ListParagraph"/>
        <w:numPr>
          <w:ilvl w:val="0"/>
          <w:numId w:val="13"/>
        </w:numPr>
        <w:spacing w:line="240" w:lineRule="auto"/>
        <w:rPr>
          <w:rFonts w:cs="Arial"/>
          <w:color w:val="58595B"/>
          <w:sz w:val="36"/>
          <w:szCs w:val="36"/>
        </w:rPr>
      </w:pPr>
      <w:r w:rsidRPr="00A86A6A">
        <w:rPr>
          <w:rFonts w:cs="Arial"/>
          <w:color w:val="58595B"/>
          <w:sz w:val="36"/>
          <w:szCs w:val="36"/>
        </w:rPr>
        <w:t xml:space="preserve">Date:   </w:t>
      </w:r>
      <w:r>
        <w:rPr>
          <w:rFonts w:cs="Arial"/>
          <w:color w:val="58595B"/>
          <w:sz w:val="36"/>
          <w:szCs w:val="36"/>
        </w:rPr>
        <w:t>07/02/2022</w:t>
      </w:r>
    </w:p>
    <w:p w:rsidR="008A4057" w:rsidRPr="003360FE" w:rsidRDefault="008A4057" w:rsidP="008A4057">
      <w:pPr>
        <w:pStyle w:val="ListParagraph"/>
        <w:numPr>
          <w:ilvl w:val="0"/>
          <w:numId w:val="13"/>
        </w:numPr>
        <w:spacing w:after="0" w:line="240" w:lineRule="auto"/>
        <w:rPr>
          <w:rFonts w:ascii="Arial" w:hAnsi="Arial" w:cs="Arial"/>
          <w:sz w:val="20"/>
          <w:szCs w:val="20"/>
        </w:rPr>
      </w:pPr>
      <w:r w:rsidRPr="003360FE">
        <w:rPr>
          <w:rFonts w:ascii="Arial" w:hAnsi="Arial" w:cs="Arial"/>
          <w:sz w:val="20"/>
          <w:szCs w:val="20"/>
        </w:rPr>
        <w:t>.</w:t>
      </w:r>
    </w:p>
    <w:p w:rsidR="008A4057" w:rsidRDefault="008A4057" w:rsidP="008A4057"/>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8A4057" w:rsidRDefault="008A4057" w:rsidP="0061293E"/>
    <w:p w:rsidR="0061293E" w:rsidRDefault="008C2A2B" w:rsidP="0061293E">
      <w:r>
        <w:lastRenderedPageBreak/>
        <w:t>Employee Engagement</w:t>
      </w:r>
    </w:p>
    <w:p w:rsidR="00AD0DD9" w:rsidRDefault="008D3EE8" w:rsidP="0061293E">
      <w:r>
        <w:t xml:space="preserve">This briefing </w:t>
      </w:r>
      <w:r w:rsidR="0061293E">
        <w:t>paper sets out to define</w:t>
      </w:r>
      <w:r w:rsidR="004220E2" w:rsidRPr="0061293E">
        <w:t xml:space="preserve"> employee engagement and explain</w:t>
      </w:r>
      <w:r w:rsidR="008005F7">
        <w:t>s</w:t>
      </w:r>
      <w:r w:rsidR="004220E2" w:rsidRPr="0061293E">
        <w:t xml:space="preserve"> how it rel</w:t>
      </w:r>
      <w:r w:rsidR="0061293E">
        <w:t>ates to o</w:t>
      </w:r>
      <w:r w:rsidR="008005F7">
        <w:t>ther similar concepts, describing</w:t>
      </w:r>
      <w:r w:rsidR="0061293E">
        <w:t xml:space="preserve"> the HR, leadership and cultural elements of </w:t>
      </w:r>
      <w:proofErr w:type="spellStart"/>
      <w:r w:rsidR="0061293E">
        <w:t>organistions</w:t>
      </w:r>
      <w:proofErr w:type="spellEnd"/>
      <w:r w:rsidR="0061293E">
        <w:t xml:space="preserve"> which have hig</w:t>
      </w:r>
      <w:r w:rsidR="008005F7">
        <w:t xml:space="preserve">h levels of employee engagement.  It explains </w:t>
      </w:r>
      <w:r w:rsidR="0061293E">
        <w:t xml:space="preserve">why employee engagement is increasingly a vital dimension of HR strategy and practice and provides a summary of key </w:t>
      </w:r>
      <w:proofErr w:type="gramStart"/>
      <w:r w:rsidR="0061293E">
        <w:t xml:space="preserve">sources </w:t>
      </w:r>
      <w:r w:rsidR="008005F7">
        <w:t xml:space="preserve"> of</w:t>
      </w:r>
      <w:proofErr w:type="gramEnd"/>
      <w:r w:rsidR="008005F7">
        <w:t xml:space="preserve"> related data  and outlines the findings of recent studies concluding with a balanced evaluative summary of the future of employee engagement.</w:t>
      </w:r>
    </w:p>
    <w:p w:rsidR="00181A3F" w:rsidRDefault="00534106">
      <w:r>
        <w:t>Defining employee engagement is far from being straightforward given that MacLeod and Clarke (2009) identified 50 different definitions through their review ‘Engaging for success: enhancing performance throug</w:t>
      </w:r>
      <w:r w:rsidR="005E20A0">
        <w:t xml:space="preserve">h employee engagement’.  </w:t>
      </w:r>
      <w:r>
        <w:t xml:space="preserve"> </w:t>
      </w:r>
    </w:p>
    <w:p w:rsidR="00534106" w:rsidRDefault="00534106">
      <w:r>
        <w:t xml:space="preserve">Christian, Garza and Slaughter (2011) found through their meta-analytic review that a good definition was “a relatively enduring state of mind referring to the simultaneous investment of personal energies in the experience of performance of work” and measured engagement by examining the willingness to invest in </w:t>
      </w:r>
      <w:r w:rsidR="005E20A0">
        <w:t>the three dimensional aspects that</w:t>
      </w:r>
      <w:r>
        <w:t xml:space="preserve"> Kahn (1990) </w:t>
      </w:r>
      <w:r w:rsidR="005E20A0">
        <w:t xml:space="preserve">identified: </w:t>
      </w:r>
      <w:r>
        <w:t>phys</w:t>
      </w:r>
      <w:r w:rsidR="005E20A0">
        <w:t>ical; cognitively; emotionally - i</w:t>
      </w:r>
      <w:r w:rsidR="0051530F">
        <w:t>n other words, bringing the whole of themselves to work.</w:t>
      </w:r>
    </w:p>
    <w:p w:rsidR="00AD0DD9" w:rsidRDefault="00D654CD">
      <w:r>
        <w:t>A simpler definition is provided by CIPD (2014) which describes</w:t>
      </w:r>
      <w:r w:rsidR="0051530F">
        <w:t xml:space="preserve"> it as ‘a combination of commitment to the organisation and its values plus a willingness to help out colleagues (organisational citizenship)’ which extends beyond job satisfaction and motivation, and is something that the employee has to offer as opposed to being a requirem</w:t>
      </w:r>
      <w:r w:rsidR="00416ECB">
        <w:t xml:space="preserve">ent of the employment contract </w:t>
      </w:r>
      <w:proofErr w:type="spellStart"/>
      <w:r w:rsidR="00416ECB">
        <w:t>ie</w:t>
      </w:r>
      <w:proofErr w:type="spellEnd"/>
      <w:r w:rsidR="00416ECB">
        <w:t xml:space="preserve"> providing discretionary effort and working to deliver more than</w:t>
      </w:r>
      <w:r w:rsidR="0061293E">
        <w:t xml:space="preserve"> the</w:t>
      </w:r>
      <w:r w:rsidR="00416ECB">
        <w:t xml:space="preserve"> job description requires of them.  </w:t>
      </w:r>
    </w:p>
    <w:p w:rsidR="00B06E0A" w:rsidRDefault="00D654CD">
      <w:r>
        <w:t xml:space="preserve">A similar concept to engagement is organisational commitment.  </w:t>
      </w:r>
      <w:r w:rsidR="00B06E0A">
        <w:t xml:space="preserve">According to </w:t>
      </w:r>
      <w:proofErr w:type="spellStart"/>
      <w:r w:rsidR="00B06E0A">
        <w:t>Legge</w:t>
      </w:r>
      <w:proofErr w:type="spellEnd"/>
      <w:r w:rsidR="00B06E0A">
        <w:t xml:space="preserve"> (1995, p174)</w:t>
      </w:r>
      <w:r w:rsidR="00D65F36">
        <w:t xml:space="preserve"> commitment can be considered as an internalised belief which leads to cons</w:t>
      </w:r>
      <w:r w:rsidR="008706FD">
        <w:t>tructive proactivity, resulting in</w:t>
      </w:r>
      <w:r w:rsidR="00D65F36">
        <w:t xml:space="preserve"> the em</w:t>
      </w:r>
      <w:r w:rsidR="0074402B">
        <w:t>ployee ‘going one step further’</w:t>
      </w:r>
      <w:r>
        <w:t>, h</w:t>
      </w:r>
      <w:r w:rsidR="008706FD">
        <w:t xml:space="preserve">owever, this relies on the assumption that ‘attitudinal commitment’ </w:t>
      </w:r>
      <w:proofErr w:type="spellStart"/>
      <w:r w:rsidR="008706FD">
        <w:t>ie</w:t>
      </w:r>
      <w:proofErr w:type="spellEnd"/>
      <w:r w:rsidR="008706FD">
        <w:t xml:space="preserve"> sharing of the organisations values and beliefs, leads to ‘behavioural commitment’ which is</w:t>
      </w:r>
      <w:r w:rsidR="005540D5">
        <w:t xml:space="preserve"> required to exert the effort</w:t>
      </w:r>
      <w:r>
        <w:t xml:space="preserve"> to go above and beyond’</w:t>
      </w:r>
      <w:proofErr w:type="gramStart"/>
      <w:r>
        <w:t>,  otherwise</w:t>
      </w:r>
      <w:proofErr w:type="gramEnd"/>
      <w:r>
        <w:t xml:space="preserve"> known as discretionary effort.</w:t>
      </w:r>
      <w:r w:rsidR="008706FD">
        <w:t xml:space="preserve"> </w:t>
      </w:r>
      <w:r w:rsidR="005540D5">
        <w:t xml:space="preserve">  There may well be a reciprocal relationship between attitudinal and </w:t>
      </w:r>
      <w:r>
        <w:t>behavioural commitment but,</w:t>
      </w:r>
      <w:r w:rsidR="005540D5">
        <w:t xml:space="preserve"> according to </w:t>
      </w:r>
      <w:proofErr w:type="spellStart"/>
      <w:r w:rsidR="005540D5">
        <w:t>Mowday</w:t>
      </w:r>
      <w:proofErr w:type="spellEnd"/>
      <w:r w:rsidR="005540D5">
        <w:t xml:space="preserve"> et al (1982)</w:t>
      </w:r>
      <w:r>
        <w:t>,</w:t>
      </w:r>
      <w:r w:rsidR="005540D5">
        <w:t xml:space="preserve"> other factors such as lack of employment options could give the impression of true commitment when this is only a temporary notion.</w:t>
      </w:r>
    </w:p>
    <w:p w:rsidR="00225DAD" w:rsidRDefault="00D654CD">
      <w:r>
        <w:t>Johns and Ellis (2016) identified</w:t>
      </w:r>
      <w:r w:rsidR="00225DAD">
        <w:t xml:space="preserve"> </w:t>
      </w:r>
      <w:r w:rsidR="00DF094B">
        <w:t xml:space="preserve">three </w:t>
      </w:r>
      <w:proofErr w:type="spellStart"/>
      <w:r w:rsidR="00DF094B">
        <w:t>mindsets</w:t>
      </w:r>
      <w:proofErr w:type="spellEnd"/>
      <w:r w:rsidR="00DF094B">
        <w:t xml:space="preserve"> of commitment</w:t>
      </w:r>
      <w:r w:rsidR="00225DAD">
        <w:t xml:space="preserve">: </w:t>
      </w:r>
    </w:p>
    <w:p w:rsidR="00225DAD" w:rsidRDefault="00225DAD" w:rsidP="00225DAD">
      <w:pPr>
        <w:pStyle w:val="ListParagraph"/>
        <w:numPr>
          <w:ilvl w:val="0"/>
          <w:numId w:val="10"/>
        </w:numPr>
      </w:pPr>
      <w:r>
        <w:t>Affective Commitment - employees</w:t>
      </w:r>
      <w:r w:rsidR="00DF094B">
        <w:t xml:space="preserve"> strongly identify with the goals of the b</w:t>
      </w:r>
      <w:r w:rsidR="00E27D21">
        <w:t>usin</w:t>
      </w:r>
      <w:r w:rsidR="00DF094B">
        <w:t xml:space="preserve">ess and wish </w:t>
      </w:r>
      <w:r>
        <w:t>to remain part of it.</w:t>
      </w:r>
    </w:p>
    <w:p w:rsidR="00225DAD" w:rsidRDefault="00225DAD" w:rsidP="00225DAD">
      <w:pPr>
        <w:pStyle w:val="ListParagraph"/>
        <w:numPr>
          <w:ilvl w:val="0"/>
          <w:numId w:val="10"/>
        </w:numPr>
      </w:pPr>
      <w:r>
        <w:t>C</w:t>
      </w:r>
      <w:r w:rsidR="00E27D21">
        <w:t>ontinuan</w:t>
      </w:r>
      <w:r w:rsidR="00DF094B">
        <w:t>ce</w:t>
      </w:r>
      <w:r>
        <w:t xml:space="preserve"> C</w:t>
      </w:r>
      <w:r w:rsidR="00DF094B">
        <w:t>ommitment</w:t>
      </w:r>
      <w:r>
        <w:t xml:space="preserve"> </w:t>
      </w:r>
      <w:proofErr w:type="gramStart"/>
      <w:r>
        <w:t xml:space="preserve">- </w:t>
      </w:r>
      <w:r w:rsidR="00DF094B">
        <w:t xml:space="preserve"> </w:t>
      </w:r>
      <w:r>
        <w:t>employees</w:t>
      </w:r>
      <w:proofErr w:type="gramEnd"/>
      <w:r>
        <w:t xml:space="preserve"> feel the</w:t>
      </w:r>
      <w:r w:rsidR="00DF094B">
        <w:t xml:space="preserve"> need</w:t>
      </w:r>
      <w:r w:rsidR="00E27D21">
        <w:t xml:space="preserve"> </w:t>
      </w:r>
      <w:r w:rsidR="00416ECB">
        <w:t xml:space="preserve">to remain </w:t>
      </w:r>
      <w:r w:rsidR="00CF1CE4">
        <w:t>due to</w:t>
      </w:r>
      <w:r w:rsidR="00E27D21">
        <w:t xml:space="preserve"> the costs of depart</w:t>
      </w:r>
      <w:r>
        <w:t xml:space="preserve">ure </w:t>
      </w:r>
      <w:proofErr w:type="spellStart"/>
      <w:r>
        <w:t>ie</w:t>
      </w:r>
      <w:proofErr w:type="spellEnd"/>
      <w:r w:rsidR="0074402B">
        <w:t xml:space="preserve">. </w:t>
      </w:r>
      <w:proofErr w:type="gramStart"/>
      <w:r w:rsidR="00DF094B">
        <w:t>los</w:t>
      </w:r>
      <w:r>
        <w:t>s</w:t>
      </w:r>
      <w:proofErr w:type="gramEnd"/>
      <w:r>
        <w:t xml:space="preserve"> of benefits, friendships etc.</w:t>
      </w:r>
    </w:p>
    <w:p w:rsidR="001E2F2C" w:rsidRDefault="00225DAD" w:rsidP="00225DAD">
      <w:pPr>
        <w:pStyle w:val="ListParagraph"/>
        <w:numPr>
          <w:ilvl w:val="0"/>
          <w:numId w:val="10"/>
        </w:numPr>
      </w:pPr>
      <w:r>
        <w:t>N</w:t>
      </w:r>
      <w:r w:rsidR="00DF094B">
        <w:t>ormative</w:t>
      </w:r>
      <w:r>
        <w:t xml:space="preserve"> C</w:t>
      </w:r>
      <w:r w:rsidR="00DF094B">
        <w:t>omm</w:t>
      </w:r>
      <w:r w:rsidR="00E27D21">
        <w:t>i</w:t>
      </w:r>
      <w:r w:rsidR="00DF094B">
        <w:t>tme</w:t>
      </w:r>
      <w:r w:rsidR="00E27D21">
        <w:t>n</w:t>
      </w:r>
      <w:r w:rsidR="00DF094B">
        <w:t xml:space="preserve">t </w:t>
      </w:r>
      <w:r>
        <w:t xml:space="preserve">– employees </w:t>
      </w:r>
      <w:r w:rsidR="00E27D21">
        <w:t>fe</w:t>
      </w:r>
      <w:r>
        <w:t>el morally obliged to remain due to being</w:t>
      </w:r>
      <w:r w:rsidR="00CF1CE4">
        <w:t xml:space="preserve"> i</w:t>
      </w:r>
      <w:r>
        <w:t>ndebted but will leave when they consider the debt has been repaid.</w:t>
      </w:r>
    </w:p>
    <w:p w:rsidR="004D5101" w:rsidRDefault="001E2F2C">
      <w:r>
        <w:t>This would suggest that organisational commitment</w:t>
      </w:r>
      <w:r w:rsidR="00CF1CE4">
        <w:t xml:space="preserve"> is not set at the same level of</w:t>
      </w:r>
      <w:r>
        <w:t xml:space="preserve"> depth </w:t>
      </w:r>
      <w:r w:rsidR="00E27D21">
        <w:t xml:space="preserve">or breadth </w:t>
      </w:r>
      <w:r>
        <w:t xml:space="preserve">that employee engagement is.  </w:t>
      </w:r>
    </w:p>
    <w:p w:rsidR="00642DC5" w:rsidRDefault="001E2F2C">
      <w:proofErr w:type="spellStart"/>
      <w:r>
        <w:lastRenderedPageBreak/>
        <w:t>Gennard</w:t>
      </w:r>
      <w:proofErr w:type="spellEnd"/>
      <w:r>
        <w:t xml:space="preserve"> and Judge (2002) </w:t>
      </w:r>
      <w:r w:rsidR="004D5101">
        <w:t xml:space="preserve">consider that managers have an important role </w:t>
      </w:r>
      <w:r w:rsidR="0074402B">
        <w:t xml:space="preserve">in </w:t>
      </w:r>
      <w:r w:rsidR="004D5101">
        <w:t xml:space="preserve">securing this commitment in order to deliver on strategic objectives, after all, </w:t>
      </w:r>
      <w:r w:rsidR="003A06F5">
        <w:t>committed employees are considered to</w:t>
      </w:r>
      <w:r w:rsidR="00DE6D7F">
        <w:t xml:space="preserve"> work harder and be more concerned about the quality of their output and customer satisfaction</w:t>
      </w:r>
      <w:r w:rsidR="003A06F5">
        <w:t xml:space="preserve">.  </w:t>
      </w:r>
      <w:r w:rsidR="0074402B">
        <w:t xml:space="preserve">  </w:t>
      </w:r>
    </w:p>
    <w:p w:rsidR="00F23962" w:rsidRPr="0074402B" w:rsidRDefault="0074402B">
      <w:r>
        <w:t>Given that attitudinal commitment does not necessarily lead to behavioural commitment, discretionary effort is only likely to be achieved when managers apply employee engagement techniques as articulate</w:t>
      </w:r>
      <w:r w:rsidR="003C795F">
        <w:t>d</w:t>
      </w:r>
      <w:r>
        <w:t xml:space="preserve"> by Macleod and Clarke (2009).  </w:t>
      </w:r>
      <w:r w:rsidR="00E27D21">
        <w:t>Having said that, engagement itself has two aspects: emotional and transactional with emotional engagement bein</w:t>
      </w:r>
      <w:r w:rsidR="00642DC5">
        <w:t>g the stronger where employees</w:t>
      </w:r>
      <w:r w:rsidR="00E27D21">
        <w:t xml:space="preserve"> are emotionally attached to one or more aspects of their work, whereas transactional engagement sees employees </w:t>
      </w:r>
      <w:r w:rsidR="00CF1CE4" w:rsidRPr="00BA25D8">
        <w:rPr>
          <w:lang w:val="en-US"/>
        </w:rPr>
        <w:t xml:space="preserve">‘happy to exhibit the </w:t>
      </w:r>
      <w:proofErr w:type="spellStart"/>
      <w:r w:rsidR="00CF1CE4" w:rsidRPr="00BA25D8">
        <w:rPr>
          <w:lang w:val="en-US"/>
        </w:rPr>
        <w:t>behaviour</w:t>
      </w:r>
      <w:proofErr w:type="spellEnd"/>
      <w:r w:rsidR="00CF1CE4" w:rsidRPr="00BA25D8">
        <w:rPr>
          <w:lang w:val="en-US"/>
        </w:rPr>
        <w:t xml:space="preserve"> of engagement … but not committed to the job or the </w:t>
      </w:r>
      <w:proofErr w:type="spellStart"/>
      <w:r w:rsidR="00CF1CE4" w:rsidRPr="00BA25D8">
        <w:rPr>
          <w:lang w:val="en-US"/>
        </w:rPr>
        <w:t>organisation</w:t>
      </w:r>
      <w:proofErr w:type="spellEnd"/>
      <w:r w:rsidR="00CF1CE4" w:rsidRPr="00BA25D8">
        <w:rPr>
          <w:lang w:val="en-US"/>
        </w:rPr>
        <w:t xml:space="preserve"> and willing to leave if a better offer appears elsewhere’</w:t>
      </w:r>
      <w:r w:rsidR="00642DC5">
        <w:rPr>
          <w:lang w:val="en-US"/>
        </w:rPr>
        <w:t xml:space="preserve"> (CIPD, 2012), thus making it difficult for managers to </w:t>
      </w:r>
      <w:proofErr w:type="spellStart"/>
      <w:r w:rsidR="00642DC5">
        <w:rPr>
          <w:lang w:val="en-US"/>
        </w:rPr>
        <w:t>guage</w:t>
      </w:r>
      <w:proofErr w:type="spellEnd"/>
      <w:r w:rsidR="00642DC5">
        <w:rPr>
          <w:lang w:val="en-US"/>
        </w:rPr>
        <w:t xml:space="preserve"> whether their employees are either committed or engaged. </w:t>
      </w:r>
    </w:p>
    <w:p w:rsidR="00F52168" w:rsidRDefault="00A9153B">
      <w:pPr>
        <w:rPr>
          <w:lang w:val="en-US"/>
        </w:rPr>
      </w:pPr>
      <w:r>
        <w:rPr>
          <w:lang w:val="en-US"/>
        </w:rPr>
        <w:t>Another concept to be exp</w:t>
      </w:r>
      <w:r w:rsidR="00F52168">
        <w:rPr>
          <w:lang w:val="en-US"/>
        </w:rPr>
        <w:t xml:space="preserve">lored is Employment Involvement.  </w:t>
      </w:r>
      <w:r w:rsidR="00D31446">
        <w:rPr>
          <w:lang w:val="en-US"/>
        </w:rPr>
        <w:t>Unlike employee engagement, t</w:t>
      </w:r>
      <w:r w:rsidR="002165E2">
        <w:rPr>
          <w:lang w:val="en-US"/>
        </w:rPr>
        <w:t>his is covered by legislation</w:t>
      </w:r>
      <w:r w:rsidR="00D31446">
        <w:rPr>
          <w:lang w:val="en-US"/>
        </w:rPr>
        <w:t xml:space="preserve">. </w:t>
      </w:r>
      <w:r w:rsidR="002165E2">
        <w:rPr>
          <w:lang w:val="en-US"/>
        </w:rPr>
        <w:t>The Information and Consultation of E</w:t>
      </w:r>
      <w:r w:rsidR="00D31446">
        <w:rPr>
          <w:lang w:val="en-US"/>
        </w:rPr>
        <w:t xml:space="preserve">mployees Regulations 2004 </w:t>
      </w:r>
      <w:r w:rsidR="002165E2">
        <w:rPr>
          <w:lang w:val="en-US"/>
        </w:rPr>
        <w:t>originally required companies with 150 employees or more ‘to establish arrangements for informing and consulting thei</w:t>
      </w:r>
      <w:r w:rsidR="00D31446">
        <w:rPr>
          <w:lang w:val="en-US"/>
        </w:rPr>
        <w:t xml:space="preserve">r employees’ </w:t>
      </w:r>
      <w:r w:rsidR="007106D1">
        <w:rPr>
          <w:lang w:val="en-US"/>
        </w:rPr>
        <w:t>(</w:t>
      </w:r>
      <w:r w:rsidR="007106D1">
        <w:rPr>
          <w:rFonts w:eastAsia="Times New Roman" w:cstheme="minorHAnsi"/>
          <w:lang w:eastAsia="en-GB"/>
        </w:rPr>
        <w:t xml:space="preserve">Great Britain, </w:t>
      </w:r>
      <w:r w:rsidR="007106D1" w:rsidRPr="007106D1">
        <w:rPr>
          <w:rFonts w:eastAsia="Times New Roman" w:cstheme="minorHAnsi"/>
          <w:lang w:eastAsia="en-GB"/>
        </w:rPr>
        <w:t>Central Arbitration Committee</w:t>
      </w:r>
      <w:proofErr w:type="gramStart"/>
      <w:r w:rsidR="007106D1">
        <w:rPr>
          <w:rFonts w:eastAsia="Times New Roman" w:cstheme="minorHAnsi"/>
          <w:i/>
          <w:lang w:eastAsia="en-GB"/>
        </w:rPr>
        <w:t>,</w:t>
      </w:r>
      <w:r w:rsidR="007106D1">
        <w:rPr>
          <w:rFonts w:eastAsia="Times New Roman" w:cstheme="minorHAnsi"/>
          <w:lang w:eastAsia="en-GB"/>
        </w:rPr>
        <w:t>2020</w:t>
      </w:r>
      <w:proofErr w:type="gramEnd"/>
      <w:r w:rsidR="007106D1">
        <w:rPr>
          <w:rFonts w:eastAsia="Times New Roman" w:cstheme="minorHAnsi"/>
          <w:lang w:eastAsia="en-GB"/>
        </w:rPr>
        <w:t xml:space="preserve">) </w:t>
      </w:r>
      <w:r w:rsidR="00D31446">
        <w:rPr>
          <w:lang w:val="en-US"/>
        </w:rPr>
        <w:t>and are required to revise that provision for involvement if they not acceptable to their workforce</w:t>
      </w:r>
      <w:r w:rsidR="00922B6E">
        <w:rPr>
          <w:lang w:val="en-US"/>
        </w:rPr>
        <w:t>.  This number reduced to</w:t>
      </w:r>
      <w:r w:rsidR="007106D1">
        <w:rPr>
          <w:lang w:val="en-US"/>
        </w:rPr>
        <w:t xml:space="preserve"> 50 or more employees</w:t>
      </w:r>
      <w:r w:rsidR="00922B6E">
        <w:rPr>
          <w:lang w:val="en-US"/>
        </w:rPr>
        <w:t xml:space="preserve"> in 2008.</w:t>
      </w:r>
      <w:r w:rsidR="007106D1">
        <w:rPr>
          <w:lang w:val="en-US"/>
        </w:rPr>
        <w:t xml:space="preserve"> </w:t>
      </w:r>
    </w:p>
    <w:p w:rsidR="00A9153B" w:rsidRDefault="007106D1">
      <w:pPr>
        <w:rPr>
          <w:lang w:val="en-US"/>
        </w:rPr>
      </w:pPr>
      <w:r>
        <w:rPr>
          <w:lang w:val="en-US"/>
        </w:rPr>
        <w:t>Employee involvement has been popular in the UK as the</w:t>
      </w:r>
      <w:r w:rsidR="00A9153B">
        <w:rPr>
          <w:lang w:val="en-US"/>
        </w:rPr>
        <w:t xml:space="preserve"> assumption has been made th</w:t>
      </w:r>
      <w:r w:rsidR="006F7C35">
        <w:rPr>
          <w:lang w:val="en-US"/>
        </w:rPr>
        <w:t>a</w:t>
      </w:r>
      <w:r w:rsidR="00A9153B">
        <w:rPr>
          <w:lang w:val="en-US"/>
        </w:rPr>
        <w:t>t b</w:t>
      </w:r>
      <w:r w:rsidR="006F7C35">
        <w:rPr>
          <w:lang w:val="en-US"/>
        </w:rPr>
        <w:t>e</w:t>
      </w:r>
      <w:r w:rsidR="00A9153B">
        <w:rPr>
          <w:lang w:val="en-US"/>
        </w:rPr>
        <w:t xml:space="preserve">ing involved will </w:t>
      </w:r>
      <w:r>
        <w:rPr>
          <w:lang w:val="en-US"/>
        </w:rPr>
        <w:t xml:space="preserve">not only </w:t>
      </w:r>
      <w:r w:rsidR="00A9153B">
        <w:rPr>
          <w:lang w:val="en-US"/>
        </w:rPr>
        <w:t xml:space="preserve">encourage </w:t>
      </w:r>
      <w:r>
        <w:rPr>
          <w:lang w:val="en-US"/>
        </w:rPr>
        <w:t xml:space="preserve">employees but </w:t>
      </w:r>
      <w:r w:rsidR="006F7C35">
        <w:rPr>
          <w:lang w:val="en-US"/>
        </w:rPr>
        <w:t xml:space="preserve"> provide </w:t>
      </w:r>
      <w:r>
        <w:rPr>
          <w:lang w:val="en-US"/>
        </w:rPr>
        <w:t xml:space="preserve">them with </w:t>
      </w:r>
      <w:r w:rsidR="006F7C35">
        <w:rPr>
          <w:lang w:val="en-US"/>
        </w:rPr>
        <w:t>greater</w:t>
      </w:r>
      <w:r w:rsidR="00A9153B">
        <w:rPr>
          <w:lang w:val="en-US"/>
        </w:rPr>
        <w:t xml:space="preserve"> job satisfaction which, in turn, will </w:t>
      </w:r>
      <w:r w:rsidR="00717C3B">
        <w:rPr>
          <w:lang w:val="en-US"/>
        </w:rPr>
        <w:t>lead to greater commitment and,</w:t>
      </w:r>
      <w:r w:rsidR="00922B6E">
        <w:rPr>
          <w:lang w:val="en-US"/>
        </w:rPr>
        <w:t xml:space="preserve"> as described</w:t>
      </w:r>
      <w:r w:rsidR="00A9153B">
        <w:rPr>
          <w:lang w:val="en-US"/>
        </w:rPr>
        <w:t xml:space="preserve"> above</w:t>
      </w:r>
      <w:r w:rsidR="00717C3B">
        <w:rPr>
          <w:lang w:val="en-US"/>
        </w:rPr>
        <w:t>,</w:t>
      </w:r>
      <w:r w:rsidR="00A9153B">
        <w:rPr>
          <w:lang w:val="en-US"/>
        </w:rPr>
        <w:t xml:space="preserve"> is thought to lead to greater interest in their own output and the impact on customer satisfaction. </w:t>
      </w:r>
      <w:r w:rsidR="00425A06">
        <w:rPr>
          <w:lang w:val="en-US"/>
        </w:rPr>
        <w:t xml:space="preserve">The idea of employee involvement can vary considerably from purely being kept informed to actually being involved in decision-making. </w:t>
      </w:r>
    </w:p>
    <w:p w:rsidR="00045852" w:rsidRDefault="00045852">
      <w:pPr>
        <w:rPr>
          <w:lang w:val="en-US"/>
        </w:rPr>
      </w:pPr>
      <w:r>
        <w:rPr>
          <w:lang w:val="en-US"/>
        </w:rPr>
        <w:t xml:space="preserve">This links to the cultural aspects of employee engagement and the </w:t>
      </w:r>
      <w:proofErr w:type="spellStart"/>
      <w:r>
        <w:rPr>
          <w:lang w:val="en-US"/>
        </w:rPr>
        <w:t>organisational</w:t>
      </w:r>
      <w:proofErr w:type="spellEnd"/>
      <w:r>
        <w:rPr>
          <w:lang w:val="en-US"/>
        </w:rPr>
        <w:t xml:space="preserve"> citizenship </w:t>
      </w:r>
      <w:proofErr w:type="spellStart"/>
      <w:r>
        <w:rPr>
          <w:lang w:val="en-US"/>
        </w:rPr>
        <w:t>behaviour</w:t>
      </w:r>
      <w:proofErr w:type="spellEnd"/>
      <w:r w:rsidR="003C6559">
        <w:rPr>
          <w:lang w:val="en-US"/>
        </w:rPr>
        <w:t xml:space="preserve"> (the positive and constructive employee actions and </w:t>
      </w:r>
      <w:proofErr w:type="spellStart"/>
      <w:r w:rsidR="003C6559">
        <w:rPr>
          <w:lang w:val="en-US"/>
        </w:rPr>
        <w:t>behaviours</w:t>
      </w:r>
      <w:proofErr w:type="spellEnd"/>
      <w:r w:rsidR="003C6559">
        <w:rPr>
          <w:lang w:val="en-US"/>
        </w:rPr>
        <w:t xml:space="preserve"> that do not form part of their formal job description) </w:t>
      </w:r>
      <w:r w:rsidR="00DE0EC7">
        <w:rPr>
          <w:lang w:val="en-US"/>
        </w:rPr>
        <w:t xml:space="preserve">which demonstrates their interest within their work and the work of the </w:t>
      </w:r>
      <w:proofErr w:type="spellStart"/>
      <w:r w:rsidR="00DE0EC7">
        <w:rPr>
          <w:lang w:val="en-US"/>
        </w:rPr>
        <w:t>organisation</w:t>
      </w:r>
      <w:proofErr w:type="spellEnd"/>
      <w:r w:rsidR="003C6559">
        <w:rPr>
          <w:lang w:val="en-US"/>
        </w:rPr>
        <w:t xml:space="preserve">.  </w:t>
      </w:r>
      <w:r w:rsidR="00DE0EC7">
        <w:rPr>
          <w:lang w:val="en-US"/>
        </w:rPr>
        <w:t>As a consequence of this, Gifford et al (2005) suggests that developing employee involvement initiatives such as providing employees a greater level of discretion, may be ‘an important precursor to improving employee engagement’.</w:t>
      </w:r>
    </w:p>
    <w:p w:rsidR="00515AC4" w:rsidRDefault="006F7C35" w:rsidP="00D66595">
      <w:pPr>
        <w:spacing w:line="240" w:lineRule="auto"/>
      </w:pPr>
      <w:r>
        <w:t>Ag</w:t>
      </w:r>
      <w:r w:rsidR="003C795F">
        <w:t xml:space="preserve">ain, the similarities </w:t>
      </w:r>
      <w:r>
        <w:t xml:space="preserve">with employee engagement </w:t>
      </w:r>
      <w:r w:rsidR="003C795F">
        <w:t xml:space="preserve">are there </w:t>
      </w:r>
      <w:r>
        <w:t>where different levels of involvement can be applied and therefore the impact of this can vary widely.   It is likely that those who are fully involved will show a high level of engagement and those only be</w:t>
      </w:r>
      <w:r w:rsidR="00416ECB">
        <w:t>ing</w:t>
      </w:r>
      <w:r>
        <w:t xml:space="preserve"> afforded the minimum amo</w:t>
      </w:r>
      <w:r w:rsidR="00416ECB">
        <w:t>unt of involvement will demonstrate</w:t>
      </w:r>
      <w:r>
        <w:t xml:space="preserve"> a lack of engagement and commitment to the organisation, after all, if they do </w:t>
      </w:r>
      <w:r w:rsidR="00416ECB">
        <w:t xml:space="preserve">not </w:t>
      </w:r>
      <w:r>
        <w:t>feel valued by the organ</w:t>
      </w:r>
      <w:r w:rsidR="00416ECB">
        <w:t>isation then it is likely that their level of engagement will also be minimal</w:t>
      </w:r>
      <w:r w:rsidR="00717C3B">
        <w:t xml:space="preserve">. </w:t>
      </w:r>
    </w:p>
    <w:p w:rsidR="00D24373" w:rsidRDefault="00D24373" w:rsidP="00515AC4">
      <w:pPr>
        <w:autoSpaceDE w:val="0"/>
        <w:autoSpaceDN w:val="0"/>
        <w:adjustRightInd w:val="0"/>
      </w:pPr>
      <w:r>
        <w:t>There are a number of drivers which help to facilitate good employee engagement within a company which Purcell (2010) considers as the building blocks required</w:t>
      </w:r>
      <w:r w:rsidR="003E4099">
        <w:t xml:space="preserve"> </w:t>
      </w:r>
      <w:proofErr w:type="gramStart"/>
      <w:r w:rsidR="003E4099">
        <w:t>to achieve</w:t>
      </w:r>
      <w:proofErr w:type="gramEnd"/>
      <w:r w:rsidR="003E4099">
        <w:t xml:space="preserve"> this</w:t>
      </w:r>
      <w:r>
        <w:t>.  These are listed below:</w:t>
      </w:r>
    </w:p>
    <w:p w:rsidR="00D24373" w:rsidRDefault="00D24373" w:rsidP="00D24373">
      <w:pPr>
        <w:pStyle w:val="ListParagraph"/>
        <w:numPr>
          <w:ilvl w:val="0"/>
          <w:numId w:val="6"/>
        </w:numPr>
        <w:autoSpaceDE w:val="0"/>
        <w:autoSpaceDN w:val="0"/>
        <w:adjustRightInd w:val="0"/>
      </w:pPr>
      <w:r>
        <w:t>Trust in management</w:t>
      </w:r>
    </w:p>
    <w:p w:rsidR="00D24373" w:rsidRDefault="00D24373" w:rsidP="00D24373">
      <w:pPr>
        <w:pStyle w:val="ListParagraph"/>
        <w:numPr>
          <w:ilvl w:val="0"/>
          <w:numId w:val="6"/>
        </w:numPr>
        <w:autoSpaceDE w:val="0"/>
        <w:autoSpaceDN w:val="0"/>
        <w:adjustRightInd w:val="0"/>
      </w:pPr>
      <w:r>
        <w:t>Relationship between the manager and staff</w:t>
      </w:r>
    </w:p>
    <w:p w:rsidR="00D24373" w:rsidRDefault="00D24373" w:rsidP="00D24373">
      <w:pPr>
        <w:pStyle w:val="ListParagraph"/>
        <w:numPr>
          <w:ilvl w:val="0"/>
          <w:numId w:val="6"/>
        </w:numPr>
        <w:autoSpaceDE w:val="0"/>
        <w:autoSpaceDN w:val="0"/>
        <w:adjustRightInd w:val="0"/>
      </w:pPr>
      <w:r>
        <w:lastRenderedPageBreak/>
        <w:t>Level of pay awarded</w:t>
      </w:r>
    </w:p>
    <w:p w:rsidR="00D24373" w:rsidRDefault="00D24373" w:rsidP="00D24373">
      <w:pPr>
        <w:pStyle w:val="ListParagraph"/>
        <w:numPr>
          <w:ilvl w:val="0"/>
          <w:numId w:val="6"/>
        </w:numPr>
        <w:autoSpaceDE w:val="0"/>
        <w:autoSpaceDN w:val="0"/>
        <w:adjustRightInd w:val="0"/>
      </w:pPr>
      <w:r>
        <w:t>Job satisfaction</w:t>
      </w:r>
    </w:p>
    <w:p w:rsidR="00D24373" w:rsidRDefault="00D24373" w:rsidP="00D24373">
      <w:pPr>
        <w:pStyle w:val="ListParagraph"/>
        <w:numPr>
          <w:ilvl w:val="0"/>
          <w:numId w:val="6"/>
        </w:numPr>
        <w:autoSpaceDE w:val="0"/>
        <w:autoSpaceDN w:val="0"/>
        <w:adjustRightInd w:val="0"/>
      </w:pPr>
      <w:r>
        <w:t>Involvement in decision-making</w:t>
      </w:r>
    </w:p>
    <w:p w:rsidR="00D24373" w:rsidRDefault="00D24373" w:rsidP="00D24373">
      <w:pPr>
        <w:pStyle w:val="ListParagraph"/>
        <w:numPr>
          <w:ilvl w:val="0"/>
          <w:numId w:val="6"/>
        </w:numPr>
        <w:autoSpaceDE w:val="0"/>
        <w:autoSpaceDN w:val="0"/>
        <w:adjustRightInd w:val="0"/>
      </w:pPr>
      <w:r>
        <w:t>Level of challenge within the work</w:t>
      </w:r>
    </w:p>
    <w:p w:rsidR="00D24373" w:rsidRDefault="00D24373" w:rsidP="00D24373">
      <w:pPr>
        <w:pStyle w:val="ListParagraph"/>
        <w:numPr>
          <w:ilvl w:val="0"/>
          <w:numId w:val="6"/>
        </w:numPr>
        <w:autoSpaceDE w:val="0"/>
        <w:autoSpaceDN w:val="0"/>
        <w:adjustRightInd w:val="0"/>
      </w:pPr>
      <w:r>
        <w:t>Sense of achievement</w:t>
      </w:r>
    </w:p>
    <w:p w:rsidR="008B2011" w:rsidRDefault="00080AF6" w:rsidP="003E4099">
      <w:pPr>
        <w:autoSpaceDE w:val="0"/>
        <w:autoSpaceDN w:val="0"/>
        <w:adjustRightInd w:val="0"/>
      </w:pPr>
      <w:r>
        <w:t>These drivers are likely to be found in an organisation which is characterised by high levels of employe</w:t>
      </w:r>
      <w:r w:rsidR="00566DF6">
        <w:t xml:space="preserve">e engagement.  For instance, Flint and Hearn (2015) </w:t>
      </w:r>
      <w:r w:rsidR="00B66209">
        <w:t xml:space="preserve">illustrate the measures being undertaken by Google to encourage a creative culture which is about how things get done. Google focuses on transparency which leads to trust and the feeling of inclusion, and with its flatter structure where symbols associated with management are removed, employees are expected to spend 20% of their time </w:t>
      </w:r>
      <w:r w:rsidR="00667535">
        <w:t xml:space="preserve">doing something outside of their normal work function.  This demonstrates that the organisation lives by its values and ethos. </w:t>
      </w:r>
      <w:r w:rsidR="000F0247">
        <w:t xml:space="preserve"> </w:t>
      </w:r>
      <w:proofErr w:type="spellStart"/>
      <w:r w:rsidR="00174088">
        <w:t>Mariya</w:t>
      </w:r>
      <w:proofErr w:type="spellEnd"/>
      <w:r w:rsidR="00174088">
        <w:t xml:space="preserve"> (2021) also </w:t>
      </w:r>
      <w:r w:rsidR="00740086">
        <w:t xml:space="preserve">identified Inclusion as being one of the 3 drivers that have propelled </w:t>
      </w:r>
      <w:proofErr w:type="spellStart"/>
      <w:r w:rsidR="00740086">
        <w:t>Mastercard</w:t>
      </w:r>
      <w:proofErr w:type="spellEnd"/>
      <w:r w:rsidR="00740086">
        <w:t xml:space="preserve"> to become a leader among employee e</w:t>
      </w:r>
      <w:r w:rsidR="00667535">
        <w:t>ngagement companies</w:t>
      </w:r>
      <w:r w:rsidR="00740086">
        <w:t>.</w:t>
      </w:r>
      <w:r w:rsidR="003C64C5">
        <w:t xml:space="preserve"> </w:t>
      </w:r>
    </w:p>
    <w:p w:rsidR="008F2027" w:rsidRDefault="00740086" w:rsidP="003E4099">
      <w:pPr>
        <w:autoSpaceDE w:val="0"/>
        <w:autoSpaceDN w:val="0"/>
        <w:adjustRightInd w:val="0"/>
      </w:pPr>
      <w:r>
        <w:t xml:space="preserve">In addition to key drivers identified in organisations that have high level of employee engagement, </w:t>
      </w:r>
      <w:r w:rsidR="00270425">
        <w:t>MacLeod (2015) cites 4 e</w:t>
      </w:r>
      <w:r w:rsidR="00174088">
        <w:t>nablers to achieve good</w:t>
      </w:r>
      <w:r w:rsidR="00270425">
        <w:t xml:space="preserve"> engageme</w:t>
      </w:r>
      <w:r w:rsidR="008F2027">
        <w:t xml:space="preserve">nt: </w:t>
      </w:r>
    </w:p>
    <w:p w:rsidR="006650CB" w:rsidRDefault="00F40B9F" w:rsidP="008F2027">
      <w:pPr>
        <w:pStyle w:val="ListParagraph"/>
        <w:numPr>
          <w:ilvl w:val="0"/>
          <w:numId w:val="11"/>
        </w:numPr>
        <w:autoSpaceDE w:val="0"/>
        <w:autoSpaceDN w:val="0"/>
        <w:adjustRightInd w:val="0"/>
      </w:pPr>
      <w:r w:rsidRPr="008F2027">
        <w:rPr>
          <w:u w:val="single"/>
        </w:rPr>
        <w:t>S</w:t>
      </w:r>
      <w:r w:rsidR="00270425" w:rsidRPr="008F2027">
        <w:rPr>
          <w:u w:val="single"/>
        </w:rPr>
        <w:t>tra</w:t>
      </w:r>
      <w:r w:rsidR="00763910" w:rsidRPr="008F2027">
        <w:rPr>
          <w:u w:val="single"/>
        </w:rPr>
        <w:t>tegic narrative</w:t>
      </w:r>
      <w:r w:rsidR="006650CB">
        <w:t xml:space="preserve"> </w:t>
      </w:r>
      <w:r w:rsidR="00174088">
        <w:t>to allow everyone to be involved in the vision and share success in the journey, creating a culture of inclusion</w:t>
      </w:r>
      <w:r w:rsidR="00270425">
        <w:t xml:space="preserve">.  </w:t>
      </w:r>
    </w:p>
    <w:p w:rsidR="00270425" w:rsidRDefault="00763910" w:rsidP="008F2027">
      <w:pPr>
        <w:pStyle w:val="ListParagraph"/>
        <w:numPr>
          <w:ilvl w:val="0"/>
          <w:numId w:val="11"/>
        </w:numPr>
        <w:autoSpaceDE w:val="0"/>
        <w:autoSpaceDN w:val="0"/>
        <w:adjustRightInd w:val="0"/>
      </w:pPr>
      <w:r w:rsidRPr="008F2027">
        <w:rPr>
          <w:u w:val="single"/>
        </w:rPr>
        <w:t>Engaging managers</w:t>
      </w:r>
      <w:r w:rsidR="00174088">
        <w:t xml:space="preserve"> inspire those</w:t>
      </w:r>
      <w:r w:rsidR="00270425">
        <w:t xml:space="preserve"> to become creative, innovative and delivering the servi</w:t>
      </w:r>
      <w:r>
        <w:t>ce in a new and efficient wa</w:t>
      </w:r>
      <w:r w:rsidR="00174088">
        <w:t xml:space="preserve">y, </w:t>
      </w:r>
      <w:r w:rsidR="00270425">
        <w:t>treating people as individuals</w:t>
      </w:r>
      <w:r w:rsidR="00174088">
        <w:t>, encouraging them to achieve their best</w:t>
      </w:r>
      <w:r w:rsidR="00270425">
        <w:t xml:space="preserve"> and</w:t>
      </w:r>
      <w:r w:rsidR="00174088">
        <w:t xml:space="preserve"> providing them with the autonomy to make decisions.</w:t>
      </w:r>
      <w:r w:rsidR="00270425">
        <w:t xml:space="preserve">  </w:t>
      </w:r>
    </w:p>
    <w:p w:rsidR="00270425" w:rsidRDefault="006650CB" w:rsidP="008F2027">
      <w:pPr>
        <w:pStyle w:val="ListParagraph"/>
        <w:numPr>
          <w:ilvl w:val="0"/>
          <w:numId w:val="11"/>
        </w:numPr>
        <w:autoSpaceDE w:val="0"/>
        <w:autoSpaceDN w:val="0"/>
        <w:adjustRightInd w:val="0"/>
      </w:pPr>
      <w:r w:rsidRPr="008F2027">
        <w:rPr>
          <w:u w:val="single"/>
        </w:rPr>
        <w:t>Employee voice</w:t>
      </w:r>
      <w:r>
        <w:t xml:space="preserve"> </w:t>
      </w:r>
      <w:r w:rsidR="00763910">
        <w:t>can be used</w:t>
      </w:r>
      <w:r>
        <w:t xml:space="preserve"> to h</w:t>
      </w:r>
      <w:r w:rsidR="00763910">
        <w:t>arness discretionary effort so</w:t>
      </w:r>
      <w:r>
        <w:t xml:space="preserve"> it’s impor</w:t>
      </w:r>
      <w:r w:rsidR="00763910">
        <w:t>tant that everyone is heard as this</w:t>
      </w:r>
      <w:r>
        <w:t xml:space="preserve"> serves to embrace creativity and innovation that</w:t>
      </w:r>
      <w:r w:rsidR="00763910">
        <w:t xml:space="preserve"> leads to change which works. It can</w:t>
      </w:r>
      <w:r>
        <w:t xml:space="preserve"> also act as a fire alarm when things are not working which allows for interventions to take place early on.</w:t>
      </w:r>
    </w:p>
    <w:p w:rsidR="008634E7" w:rsidRDefault="00763910" w:rsidP="008F2027">
      <w:pPr>
        <w:pStyle w:val="ListParagraph"/>
        <w:numPr>
          <w:ilvl w:val="0"/>
          <w:numId w:val="11"/>
        </w:numPr>
        <w:autoSpaceDE w:val="0"/>
        <w:autoSpaceDN w:val="0"/>
        <w:adjustRightInd w:val="0"/>
      </w:pPr>
      <w:r w:rsidRPr="008F2027">
        <w:rPr>
          <w:u w:val="single"/>
        </w:rPr>
        <w:t>Integrity</w:t>
      </w:r>
      <w:r>
        <w:t xml:space="preserve"> relies on the values and behaviours to be observed.  When these are aligned this leads to</w:t>
      </w:r>
      <w:r w:rsidR="006650CB">
        <w:t xml:space="preserve"> trust and integrity and therefore frees up time which would otherwise be involved in checks and balances associated with a</w:t>
      </w:r>
      <w:r>
        <w:t xml:space="preserve"> distrusted workforce, from the top to all the way down.</w:t>
      </w:r>
    </w:p>
    <w:p w:rsidR="00667535" w:rsidRDefault="00667535" w:rsidP="00667535">
      <w:pPr>
        <w:pStyle w:val="ListParagraph"/>
        <w:autoSpaceDE w:val="0"/>
        <w:autoSpaceDN w:val="0"/>
        <w:adjustRightInd w:val="0"/>
        <w:ind w:left="0"/>
        <w:rPr>
          <w:u w:val="single"/>
        </w:rPr>
      </w:pPr>
    </w:p>
    <w:p w:rsidR="00667535" w:rsidRDefault="005B14E7" w:rsidP="00667535">
      <w:pPr>
        <w:pStyle w:val="ListParagraph"/>
        <w:autoSpaceDE w:val="0"/>
        <w:autoSpaceDN w:val="0"/>
        <w:adjustRightInd w:val="0"/>
        <w:ind w:left="0"/>
      </w:pPr>
      <w:r>
        <w:t xml:space="preserve">The opposite </w:t>
      </w:r>
      <w:proofErr w:type="gramStart"/>
      <w:r>
        <w:t>to</w:t>
      </w:r>
      <w:proofErr w:type="gramEnd"/>
      <w:r>
        <w:t xml:space="preserve"> enablers are ba</w:t>
      </w:r>
      <w:r w:rsidR="0062730B">
        <w:t>rriers</w:t>
      </w:r>
      <w:r>
        <w:t xml:space="preserve">.  </w:t>
      </w:r>
      <w:proofErr w:type="spellStart"/>
      <w:r w:rsidR="0062730B">
        <w:t>Rothwell</w:t>
      </w:r>
      <w:proofErr w:type="spellEnd"/>
      <w:r w:rsidR="0062730B">
        <w:t xml:space="preserve"> (2016) considers there to be 5 potential barriers to good employee engagement.  These are:</w:t>
      </w:r>
    </w:p>
    <w:p w:rsidR="0062730B" w:rsidRDefault="0062730B" w:rsidP="00667535">
      <w:pPr>
        <w:pStyle w:val="ListParagraph"/>
        <w:autoSpaceDE w:val="0"/>
        <w:autoSpaceDN w:val="0"/>
        <w:adjustRightInd w:val="0"/>
        <w:ind w:left="0"/>
      </w:pPr>
    </w:p>
    <w:p w:rsidR="0062730B" w:rsidRDefault="0062730B" w:rsidP="0062730B">
      <w:pPr>
        <w:pStyle w:val="ListParagraph"/>
        <w:numPr>
          <w:ilvl w:val="0"/>
          <w:numId w:val="12"/>
        </w:numPr>
        <w:autoSpaceDE w:val="0"/>
        <w:autoSpaceDN w:val="0"/>
        <w:adjustRightInd w:val="0"/>
      </w:pPr>
      <w:r>
        <w:t>Clarity – and unclear understanding between employees and managers of what employee engagement is</w:t>
      </w:r>
    </w:p>
    <w:p w:rsidR="0062730B" w:rsidRDefault="0062730B" w:rsidP="0062730B">
      <w:pPr>
        <w:pStyle w:val="ListParagraph"/>
        <w:numPr>
          <w:ilvl w:val="0"/>
          <w:numId w:val="12"/>
        </w:numPr>
        <w:autoSpaceDE w:val="0"/>
        <w:autoSpaceDN w:val="0"/>
        <w:adjustRightInd w:val="0"/>
      </w:pPr>
      <w:r>
        <w:t>Cynicism – will not see engagement as a genuine effort but as the latest management trick to get employees to work harder for less</w:t>
      </w:r>
    </w:p>
    <w:p w:rsidR="0062730B" w:rsidRDefault="0062730B" w:rsidP="0062730B">
      <w:pPr>
        <w:pStyle w:val="ListParagraph"/>
        <w:numPr>
          <w:ilvl w:val="0"/>
          <w:numId w:val="12"/>
        </w:numPr>
        <w:autoSpaceDE w:val="0"/>
        <w:autoSpaceDN w:val="0"/>
        <w:adjustRightInd w:val="0"/>
      </w:pPr>
      <w:r>
        <w:t>Bureaucracy – rules and processes must be followed despite the relevance with the view that employees need to be controlled which can lead to frustration with the employee’s voice not being heard or used to affect change</w:t>
      </w:r>
    </w:p>
    <w:p w:rsidR="0062730B" w:rsidRDefault="001522F4" w:rsidP="0062730B">
      <w:pPr>
        <w:pStyle w:val="ListParagraph"/>
        <w:numPr>
          <w:ilvl w:val="0"/>
          <w:numId w:val="12"/>
        </w:numPr>
        <w:autoSpaceDE w:val="0"/>
        <w:autoSpaceDN w:val="0"/>
        <w:adjustRightInd w:val="0"/>
      </w:pPr>
      <w:r>
        <w:t>Lack of work-life balance – employees who are expected to put their lives on hold whilst focusing on attendance in the workplace is ignoring the potential of productivity</w:t>
      </w:r>
    </w:p>
    <w:p w:rsidR="000F0247" w:rsidRDefault="001522F4" w:rsidP="000F0247">
      <w:pPr>
        <w:pStyle w:val="ListParagraph"/>
        <w:numPr>
          <w:ilvl w:val="0"/>
          <w:numId w:val="12"/>
        </w:numPr>
        <w:autoSpaceDE w:val="0"/>
        <w:autoSpaceDN w:val="0"/>
        <w:adjustRightInd w:val="0"/>
      </w:pPr>
      <w:r>
        <w:lastRenderedPageBreak/>
        <w:t>Poor management decisions -  employees are not involved in the decisions and the rationale for those decisions are unclear, le</w:t>
      </w:r>
      <w:r w:rsidR="00594F9A">
        <w:t>ading to a disengaged workforce</w:t>
      </w:r>
    </w:p>
    <w:p w:rsidR="0076484B" w:rsidRDefault="0076484B" w:rsidP="000F0247">
      <w:r>
        <w:t>There are a number of organisational factors which can impact on employee engagement despite ackno</w:t>
      </w:r>
      <w:r w:rsidR="00B440DB">
        <w:t>wledging the need</w:t>
      </w:r>
      <w:r>
        <w:t>.  Therefore it is essential that these are aligned to employee engagement as this can affect the overall success of the organisation.</w:t>
      </w:r>
    </w:p>
    <w:p w:rsidR="006B35F3" w:rsidRDefault="00416ECB" w:rsidP="006B35F3">
      <w:r>
        <w:t xml:space="preserve">There is the suggestion that employee engagement is universally beneficial:  a win for the individual, for the service and for the country (Macleod, 2009) and the reason for wanting engaged employees </w:t>
      </w:r>
      <w:proofErr w:type="gramStart"/>
      <w:r>
        <w:t>is</w:t>
      </w:r>
      <w:proofErr w:type="gramEnd"/>
      <w:r>
        <w:t xml:space="preserve"> not only because they are happier, healthier and more fulfilled, ‘they deliver improved business performance (CIPD, 2014).</w:t>
      </w:r>
      <w:r w:rsidR="000F0247">
        <w:t xml:space="preserve">  The link between</w:t>
      </w:r>
      <w:r w:rsidR="006B35F3">
        <w:t xml:space="preserve"> engagement and performance is demonstrated in the engagement data from Gallup which show</w:t>
      </w:r>
      <w:r w:rsidR="000F0247">
        <w:t>s</w:t>
      </w:r>
      <w:r w:rsidR="006B35F3">
        <w:t xml:space="preserve"> that highly engaged teams were 21% more profitable and 17% more productive (</w:t>
      </w:r>
      <w:r w:rsidR="006B35F3" w:rsidRPr="006B35F3">
        <w:t>Przystanski,2020)</w:t>
      </w:r>
      <w:r w:rsidR="000F0247">
        <w:t>.  It also showed that</w:t>
      </w:r>
      <w:r w:rsidR="006B35F3">
        <w:t xml:space="preserve"> 41% </w:t>
      </w:r>
      <w:r w:rsidR="000F0247">
        <w:t xml:space="preserve">of engaged employees were </w:t>
      </w:r>
      <w:r w:rsidR="006B35F3">
        <w:t xml:space="preserve">less likely to be absent from work. </w:t>
      </w:r>
    </w:p>
    <w:p w:rsidR="00F511B4" w:rsidRDefault="00F511B4" w:rsidP="006B35F3">
      <w:r>
        <w:t>As already identified, the line manager plays a pivotal role, supported by HR, in the level of employee engagement achieved as both a driver and enabler for engagement.  The relationship between management and employees relies heavily on management</w:t>
      </w:r>
      <w:r w:rsidR="00015E36">
        <w:t xml:space="preserve"> commitment and participation with </w:t>
      </w:r>
      <w:proofErr w:type="spellStart"/>
      <w:r w:rsidR="00015E36">
        <w:t>SoGoSurvey</w:t>
      </w:r>
      <w:proofErr w:type="spellEnd"/>
      <w:r w:rsidR="00015E36">
        <w:t xml:space="preserve"> (2021) reporting that 70% of discrepancies within employee engagement in the US relates to the manager.  The ‘do as I say, not as I do’ is becoming increasingly outdated with successful companies showing tha</w:t>
      </w:r>
      <w:r w:rsidR="009C524E">
        <w:t xml:space="preserve">t managers need to lead by example in order to achieve success. </w:t>
      </w:r>
      <w:r w:rsidR="00015E36">
        <w:t xml:space="preserve"> </w:t>
      </w:r>
    </w:p>
    <w:p w:rsidR="0044172C" w:rsidRDefault="0044172C" w:rsidP="006B35F3">
      <w:r>
        <w:t xml:space="preserve">The engaging manager needs to be a good communicator who listens, values and involves the team, and is supportive, backing up team members when required.  More importantly, they need to be respected and display good leadership skills to help the team to make a positive contribution to the strategic vision (People Management, 2009). </w:t>
      </w:r>
      <w:r w:rsidR="000A5C6B">
        <w:t xml:space="preserve"> </w:t>
      </w:r>
      <w:r>
        <w:t xml:space="preserve">Robinson and </w:t>
      </w:r>
      <w:proofErr w:type="spellStart"/>
      <w:r>
        <w:t>Hayday</w:t>
      </w:r>
      <w:proofErr w:type="spellEnd"/>
      <w:r>
        <w:t xml:space="preserve"> (2009) carried out a research project for the Institute of Employment Studies (IES) </w:t>
      </w:r>
      <w:r w:rsidR="00C85EEA">
        <w:t xml:space="preserve">entitled ‘The Engaging Manager’ and concluded that honesty and openness were essential, along with empathy and the ability to demonstrate understanding of the possible impact on staff, particularly in relation to their own actions. </w:t>
      </w:r>
    </w:p>
    <w:p w:rsidR="00C85EEA" w:rsidRDefault="00C85EEA" w:rsidP="006B35F3">
      <w:r>
        <w:t xml:space="preserve">The reverse is true of the disengaging manager who is self-centred, fails to listen, communicate and motivate, blaming others and not taking responsibility. </w:t>
      </w:r>
    </w:p>
    <w:p w:rsidR="000D671A" w:rsidRDefault="00B440DB" w:rsidP="000D671A">
      <w:pPr>
        <w:spacing w:line="240" w:lineRule="auto"/>
      </w:pPr>
      <w:r>
        <w:rPr>
          <w:lang w:val="en-US"/>
        </w:rPr>
        <w:t xml:space="preserve">John </w:t>
      </w:r>
      <w:proofErr w:type="spellStart"/>
      <w:r>
        <w:rPr>
          <w:lang w:val="en-US"/>
        </w:rPr>
        <w:t>Seddon’s</w:t>
      </w:r>
      <w:proofErr w:type="spellEnd"/>
      <w:r>
        <w:rPr>
          <w:lang w:val="en-US"/>
        </w:rPr>
        <w:t xml:space="preserve"> (2010</w:t>
      </w:r>
      <w:r w:rsidR="000D671A">
        <w:rPr>
          <w:lang w:val="en-US"/>
        </w:rPr>
        <w:t xml:space="preserve">) </w:t>
      </w:r>
      <w:r>
        <w:rPr>
          <w:lang w:val="en-US"/>
        </w:rPr>
        <w:t>view is that manager’s role is not to manage their staff but to improve the systems which creates the barriers to success and that by doing so the performance of the staff</w:t>
      </w:r>
      <w:r w:rsidR="00FC6242">
        <w:rPr>
          <w:lang w:val="en-US"/>
        </w:rPr>
        <w:t xml:space="preserve"> will automatically be improved</w:t>
      </w:r>
      <w:r w:rsidR="000D671A">
        <w:rPr>
          <w:lang w:val="en-US"/>
        </w:rPr>
        <w:t>(</w:t>
      </w:r>
      <w:r w:rsidR="000D671A">
        <w:t>Seddon,2008)</w:t>
      </w:r>
      <w:r w:rsidR="00FC6242">
        <w:t xml:space="preserve">.  He goes further to say that the assumption should be made that </w:t>
      </w:r>
      <w:r w:rsidR="000D671A">
        <w:t>people come to work to do a good job but are prohibited from doing so by the systems the managers put in place (Seddon</w:t>
      </w:r>
      <w:proofErr w:type="gramStart"/>
      <w:r w:rsidR="000D671A">
        <w:t>,2008</w:t>
      </w:r>
      <w:proofErr w:type="gramEnd"/>
      <w:r w:rsidR="000D671A">
        <w:t xml:space="preserve">, </w:t>
      </w:r>
      <w:proofErr w:type="spellStart"/>
      <w:r w:rsidR="000D671A">
        <w:t>Guilfoyle</w:t>
      </w:r>
      <w:proofErr w:type="spellEnd"/>
      <w:r w:rsidR="000D671A">
        <w:t xml:space="preserve"> 2013).  Decisions are often made at a higher level when in fact those fully immersed in the business often know the problems and the best approach to take to resolve those which is why employee engagement is essential to organisational success. </w:t>
      </w:r>
    </w:p>
    <w:p w:rsidR="00515AC4" w:rsidRDefault="00172554" w:rsidP="00FC6242">
      <w:r>
        <w:t>Organisational justice is an important factor in employee engagement as it provides a foundation for trust which helps employees to engage.  A</w:t>
      </w:r>
      <w:r w:rsidR="00C85EEA">
        <w:t xml:space="preserve"> study conducted by </w:t>
      </w:r>
      <w:proofErr w:type="spellStart"/>
      <w:r w:rsidR="00C85EEA">
        <w:t>Yarlagadda</w:t>
      </w:r>
      <w:proofErr w:type="spellEnd"/>
      <w:r w:rsidR="00C85EEA">
        <w:t xml:space="preserve"> et al</w:t>
      </w:r>
      <w:r>
        <w:t xml:space="preserve"> (2015) argued that there are strong links between policies and practices that</w:t>
      </w:r>
      <w:r w:rsidR="000D671A">
        <w:t xml:space="preserve"> aimed to increase diversity with</w:t>
      </w:r>
      <w:r>
        <w:t xml:space="preserve"> employee engagement, </w:t>
      </w:r>
      <w:proofErr w:type="spellStart"/>
      <w:r>
        <w:t>ie</w:t>
      </w:r>
      <w:proofErr w:type="spellEnd"/>
      <w:r>
        <w:t xml:space="preserve"> flexible working</w:t>
      </w:r>
      <w:r w:rsidR="000D671A">
        <w:t>,</w:t>
      </w:r>
      <w:r>
        <w:t xml:space="preserve"> and that discrimination can undermine and erode this engagement.</w:t>
      </w:r>
      <w:r w:rsidR="0076484B">
        <w:t xml:space="preserve">  </w:t>
      </w:r>
      <w:proofErr w:type="spellStart"/>
      <w:r w:rsidR="000D671A">
        <w:t>Yarlagadda</w:t>
      </w:r>
      <w:proofErr w:type="spellEnd"/>
      <w:r w:rsidR="000D671A">
        <w:t xml:space="preserve"> et al (2015) illustrated within their study how this had been used within </w:t>
      </w:r>
      <w:r w:rsidR="0076484B">
        <w:t>Northern Gas Networks to resolve issues within the organisation</w:t>
      </w:r>
      <w:r w:rsidR="00926F6D">
        <w:t xml:space="preserve">.  </w:t>
      </w:r>
      <w:r w:rsidR="00B3025C">
        <w:t>By empowering its staff to address issues within problem-solving forums, it found that e</w:t>
      </w:r>
      <w:r w:rsidR="00926F6D">
        <w:t xml:space="preserve">mploying a diverse and inclusive workforce </w:t>
      </w:r>
      <w:r w:rsidR="00B3025C">
        <w:t xml:space="preserve">was a </w:t>
      </w:r>
      <w:r w:rsidR="00B3025C">
        <w:lastRenderedPageBreak/>
        <w:t xml:space="preserve">contributory factor in achieving key business benefits as each individual brought a wealth of diversity to these problems leading to innovative ideas which were </w:t>
      </w:r>
      <w:r w:rsidR="00FC6242">
        <w:t xml:space="preserve">successfully </w:t>
      </w:r>
      <w:proofErr w:type="gramStart"/>
      <w:r w:rsidR="00B3025C">
        <w:t xml:space="preserve">implemented </w:t>
      </w:r>
      <w:r w:rsidR="0076484B">
        <w:t>.</w:t>
      </w:r>
      <w:proofErr w:type="gramEnd"/>
      <w:r w:rsidR="0076484B">
        <w:t xml:space="preserve"> </w:t>
      </w:r>
      <w:r w:rsidR="00515AC4">
        <w:t xml:space="preserve"> </w:t>
      </w:r>
    </w:p>
    <w:p w:rsidR="008163D7" w:rsidRDefault="006570F9" w:rsidP="00515AC4">
      <w:pPr>
        <w:autoSpaceDE w:val="0"/>
        <w:autoSpaceDN w:val="0"/>
        <w:adjustRightInd w:val="0"/>
      </w:pPr>
      <w:r>
        <w:t>The world of w</w:t>
      </w:r>
      <w:r w:rsidR="004E5990">
        <w:t xml:space="preserve">ork is continually changing, challenged by changes in technology and the speed these occur, the change in demographics and other outside influences.  The most </w:t>
      </w:r>
      <w:proofErr w:type="spellStart"/>
      <w:r w:rsidR="004E5990">
        <w:t>impactive</w:t>
      </w:r>
      <w:proofErr w:type="spellEnd"/>
      <w:r w:rsidR="004E5990">
        <w:t xml:space="preserve"> in recent times is the pandemic which has forced organisations to change in the way they operate with the more successful companies embracing the change by moving to a more hybrid way in working.  Other big changes include the environmental agenda and the growing demand for Equality and Diversity (women’s rights and Black Lives Matter) which affects the workplace.    </w:t>
      </w:r>
    </w:p>
    <w:p w:rsidR="006570F9" w:rsidRDefault="008163D7" w:rsidP="00515AC4">
      <w:pPr>
        <w:autoSpaceDE w:val="0"/>
        <w:autoSpaceDN w:val="0"/>
        <w:adjustRightInd w:val="0"/>
      </w:pPr>
      <w:r>
        <w:t>Employee engagement is an increasingly vital dimension of HR strategy and practice as people management and HR systems can get in the way</w:t>
      </w:r>
      <w:r w:rsidR="00B42BB1">
        <w:t xml:space="preserve"> (Gifford and Young</w:t>
      </w:r>
      <w:r>
        <w:t xml:space="preserve">, </w:t>
      </w:r>
      <w:r w:rsidR="00B42BB1">
        <w:t>2021)</w:t>
      </w:r>
      <w:r>
        <w:t xml:space="preserve"> if they a</w:t>
      </w:r>
      <w:r w:rsidR="00B42BB1">
        <w:t>re not adapted in-line</w:t>
      </w:r>
      <w:r>
        <w:t xml:space="preserve"> with the external environment, particularly in terms of managing </w:t>
      </w:r>
      <w:r w:rsidR="004E5990">
        <w:t xml:space="preserve"> </w:t>
      </w:r>
      <w:proofErr w:type="spellStart"/>
      <w:r w:rsidR="008C211E">
        <w:t>Millennial</w:t>
      </w:r>
      <w:r>
        <w:t>s</w:t>
      </w:r>
      <w:proofErr w:type="spellEnd"/>
      <w:r>
        <w:t xml:space="preserve"> who account for a</w:t>
      </w:r>
      <w:r w:rsidR="008C211E">
        <w:t xml:space="preserve"> significant proportion of the w</w:t>
      </w:r>
      <w:r>
        <w:t>orkforce</w:t>
      </w:r>
      <w:r w:rsidR="00B42BB1">
        <w:t xml:space="preserve"> and ‘walk to their own beat’ (Berger, 2020).   </w:t>
      </w:r>
      <w:proofErr w:type="spellStart"/>
      <w:r w:rsidR="00B42BB1">
        <w:t>Millennials</w:t>
      </w:r>
      <w:proofErr w:type="spellEnd"/>
      <w:r w:rsidR="00B42BB1">
        <w:t xml:space="preserve"> are not easily engaged, demand flexibility and strive for a good work-life balance and this will need t</w:t>
      </w:r>
      <w:r w:rsidR="00FC6242">
        <w:t>o be met as Berger (2020) forecasts</w:t>
      </w:r>
      <w:r w:rsidR="00B42BB1">
        <w:t xml:space="preserve"> that by </w:t>
      </w:r>
      <w:proofErr w:type="gramStart"/>
      <w:r w:rsidR="00B42BB1">
        <w:t>2030 ,</w:t>
      </w:r>
      <w:proofErr w:type="gramEnd"/>
      <w:r w:rsidR="00B42BB1">
        <w:t xml:space="preserve"> 75% of the workforce will be </w:t>
      </w:r>
      <w:proofErr w:type="spellStart"/>
      <w:r w:rsidR="00B42BB1">
        <w:t>Millennials</w:t>
      </w:r>
      <w:proofErr w:type="spellEnd"/>
      <w:r w:rsidR="00B42BB1">
        <w:t xml:space="preserve">. </w:t>
      </w:r>
    </w:p>
    <w:p w:rsidR="00515AC4" w:rsidRDefault="00E2449B" w:rsidP="00FC6242">
      <w:pPr>
        <w:autoSpaceDE w:val="0"/>
        <w:autoSpaceDN w:val="0"/>
        <w:adjustRightInd w:val="0"/>
      </w:pPr>
      <w:r>
        <w:t>The employee engagement strategies will need to be holistic and focus on employee motivation and well-being in order to help employees understand their contribution to the purpose, objectives and culture of the organisation, bringing in effective communications to help the employees to make the most of what’</w:t>
      </w:r>
      <w:r w:rsidR="00FC6242">
        <w:t>s available to them.</w:t>
      </w:r>
    </w:p>
    <w:p w:rsidR="00AF708A" w:rsidRDefault="00AF708A" w:rsidP="00515AC4">
      <w:r>
        <w:t xml:space="preserve">The benefits </w:t>
      </w:r>
      <w:r w:rsidR="00FC6242">
        <w:t xml:space="preserve">to individuals </w:t>
      </w:r>
      <w:r>
        <w:t xml:space="preserve">of high employee engagement will differ depending on the different groups.  With </w:t>
      </w:r>
      <w:proofErr w:type="spellStart"/>
      <w:r>
        <w:t>Mill</w:t>
      </w:r>
      <w:r w:rsidR="00FC6242">
        <w:t>ennials</w:t>
      </w:r>
      <w:proofErr w:type="spellEnd"/>
      <w:r w:rsidR="00FC6242">
        <w:t xml:space="preserve"> for instance they really want to </w:t>
      </w:r>
      <w:r>
        <w:t xml:space="preserve">connect with their organisation and do the best they can and make a difference in the world. </w:t>
      </w:r>
      <w:r w:rsidR="00CA7A0D">
        <w:t xml:space="preserve">  </w:t>
      </w:r>
      <w:proofErr w:type="spellStart"/>
      <w:r w:rsidR="00894B98">
        <w:t>Jha</w:t>
      </w:r>
      <w:proofErr w:type="spellEnd"/>
      <w:r w:rsidR="00894B98">
        <w:t xml:space="preserve"> et al (2018) considers that t</w:t>
      </w:r>
      <w:r w:rsidR="00CA7A0D">
        <w:t xml:space="preserve">his can be helped using technology to provide instant feedback on a particular task which affects the cognitive engagement of that employee, creating a positive view of the line manager and culture of the organisation. They will also benefit from feeling valued having being recognised on a public dashboard which helps them to perform even </w:t>
      </w:r>
      <w:proofErr w:type="gramStart"/>
      <w:r w:rsidR="00CA7A0D">
        <w:t>better</w:t>
      </w:r>
      <w:proofErr w:type="gramEnd"/>
      <w:r w:rsidR="00CA7A0D">
        <w:t xml:space="preserve"> in the future. </w:t>
      </w:r>
      <w:r w:rsidR="00894B98">
        <w:t xml:space="preserve"> </w:t>
      </w:r>
    </w:p>
    <w:p w:rsidR="00894B98" w:rsidRDefault="005417EB" w:rsidP="00515AC4">
      <w:r>
        <w:t xml:space="preserve">The potential benefits for BAME employees when suitably engaged within an organisation will ensure their cultural needs are met and allow them to take a position which they </w:t>
      </w:r>
      <w:r w:rsidR="00FC6242">
        <w:t>may have originally thought not otherwise possible</w:t>
      </w:r>
      <w:r>
        <w:t xml:space="preserve"> (Suleiman, 2018) as positive action allows them to explore the career pathways to achieve their full potential, recognising the different needs that are required for development. </w:t>
      </w:r>
      <w:r w:rsidR="00F70785">
        <w:t xml:space="preserve">  Celebrating their cultural differences can also provide the sense of belonging and attribute to a feeling of commitment especially when their voices are heard as evidenced in Northern Gas Networks.</w:t>
      </w:r>
    </w:p>
    <w:p w:rsidR="00515AC4" w:rsidRDefault="00F70785" w:rsidP="00017853">
      <w:r>
        <w:t>Another growing group is that of women in the workplace, p</w:t>
      </w:r>
      <w:r w:rsidR="00024556">
        <w:t>articularly those with children</w:t>
      </w:r>
      <w:r>
        <w:t xml:space="preserve"> who have bene</w:t>
      </w:r>
      <w:r w:rsidR="00FC6242">
        <w:t>fited from</w:t>
      </w:r>
      <w:r>
        <w:t xml:space="preserve"> flexible working</w:t>
      </w:r>
      <w:r w:rsidR="00FC6242">
        <w:t xml:space="preserve"> during the pandemic</w:t>
      </w:r>
      <w:r>
        <w:t>.  By ensuring family friendly policies are in place, women can now manage thei</w:t>
      </w:r>
      <w:r w:rsidR="003678FC">
        <w:t>r careers around their families,</w:t>
      </w:r>
      <w:r>
        <w:t xml:space="preserve"> providing a better work-life balance </w:t>
      </w:r>
      <w:r w:rsidR="00024556">
        <w:t xml:space="preserve">whilst having the provision to work from home when needed.  </w:t>
      </w:r>
      <w:r w:rsidR="00476E82">
        <w:t>Since the pandemic,</w:t>
      </w:r>
      <w:r w:rsidR="00EE791F">
        <w:t xml:space="preserve"> 93% of companies have said that more jobs can be performed remotely </w:t>
      </w:r>
      <w:r w:rsidR="00FC6242">
        <w:t xml:space="preserve">which will potentially provide </w:t>
      </w:r>
      <w:proofErr w:type="spellStart"/>
      <w:r w:rsidR="00FC6242">
        <w:t>greter</w:t>
      </w:r>
      <w:proofErr w:type="spellEnd"/>
      <w:r w:rsidR="00FC6242">
        <w:t xml:space="preserve"> opportunities for women and single parent families.  It also found </w:t>
      </w:r>
      <w:proofErr w:type="gramStart"/>
      <w:r w:rsidR="00FC6242">
        <w:t xml:space="preserve">that </w:t>
      </w:r>
      <w:r w:rsidR="00EE791F">
        <w:t xml:space="preserve"> 8</w:t>
      </w:r>
      <w:proofErr w:type="gramEnd"/>
      <w:r w:rsidR="00EE791F">
        <w:t xml:space="preserve"> in 10 people</w:t>
      </w:r>
      <w:r w:rsidR="00837CAB">
        <w:t xml:space="preserve"> wanted</w:t>
      </w:r>
      <w:r w:rsidR="00EE791F">
        <w:t xml:space="preserve"> to continue working from home after the pandemic (McKinsey, 2021). </w:t>
      </w:r>
      <w:r w:rsidR="00837CAB">
        <w:t xml:space="preserve">Wellbeing is an important aspect of employee engagement and the pandemic has now placed this at the forefront within many </w:t>
      </w:r>
      <w:r w:rsidR="00837CAB">
        <w:lastRenderedPageBreak/>
        <w:t xml:space="preserve">successful organisations. </w:t>
      </w:r>
      <w:r w:rsidR="003678FC">
        <w:t xml:space="preserve"> According to </w:t>
      </w:r>
      <w:r w:rsidR="00476E82">
        <w:t xml:space="preserve">McKinsey (2021) ‘when women are respected and their contributions are valued, they are </w:t>
      </w:r>
      <w:proofErr w:type="gramStart"/>
      <w:r w:rsidR="00476E82">
        <w:t>more happy</w:t>
      </w:r>
      <w:proofErr w:type="gramEnd"/>
      <w:r w:rsidR="00476E82">
        <w:t xml:space="preserve"> in their jobs and feel connected to their </w:t>
      </w:r>
      <w:proofErr w:type="spellStart"/>
      <w:r w:rsidR="00476E82">
        <w:t>coworkers</w:t>
      </w:r>
      <w:proofErr w:type="spellEnd"/>
      <w:r w:rsidR="00476E82">
        <w:t xml:space="preserve">’. </w:t>
      </w:r>
    </w:p>
    <w:p w:rsidR="00953284" w:rsidRDefault="004220E2" w:rsidP="00515AC4">
      <w:pPr>
        <w:autoSpaceDE w:val="0"/>
        <w:autoSpaceDN w:val="0"/>
        <w:adjustRightInd w:val="0"/>
      </w:pPr>
      <w:r>
        <w:t>There are 3 levels of data that can be explored when looking at employee engagement, these being ‘macro’, ‘</w:t>
      </w:r>
      <w:proofErr w:type="spellStart"/>
      <w:r>
        <w:t>mezo</w:t>
      </w:r>
      <w:proofErr w:type="spellEnd"/>
      <w:r>
        <w:t>’ and ‘micro’ data.  Micro data consists of data ac</w:t>
      </w:r>
      <w:r w:rsidR="00953284">
        <w:t xml:space="preserve">ross various industry types with global comparisons being made.  </w:t>
      </w:r>
      <w:proofErr w:type="spellStart"/>
      <w:r w:rsidR="00953284">
        <w:t>Mezo</w:t>
      </w:r>
      <w:proofErr w:type="spellEnd"/>
      <w:r w:rsidR="00953284">
        <w:t xml:space="preserve"> level data will </w:t>
      </w:r>
      <w:r w:rsidR="00AF134E">
        <w:t xml:space="preserve">specifically </w:t>
      </w:r>
      <w:r w:rsidR="00953284">
        <w:t>look to explore the data across a specific industry type and micro data will typically look at an individual organisation.</w:t>
      </w:r>
    </w:p>
    <w:p w:rsidR="00A01365" w:rsidRDefault="00A01365" w:rsidP="00515AC4">
      <w:pPr>
        <w:autoSpaceDE w:val="0"/>
        <w:autoSpaceDN w:val="0"/>
        <w:adjustRightInd w:val="0"/>
      </w:pPr>
      <w:r>
        <w:t xml:space="preserve">The </w:t>
      </w:r>
      <w:r w:rsidR="009C1142">
        <w:t xml:space="preserve">Gallup (2020) </w:t>
      </w:r>
      <w:r>
        <w:t>meta</w:t>
      </w:r>
      <w:r w:rsidR="009C1142">
        <w:t xml:space="preserve">-analysis report </w:t>
      </w:r>
      <w:r w:rsidR="00611586">
        <w:t>by Harter et al (2020)</w:t>
      </w:r>
      <w:r>
        <w:t xml:space="preserve"> </w:t>
      </w:r>
      <w:r w:rsidR="00967516">
        <w:t xml:space="preserve">is a </w:t>
      </w:r>
      <w:r w:rsidR="00EF6281">
        <w:t xml:space="preserve">good example of a </w:t>
      </w:r>
      <w:r w:rsidR="00967516">
        <w:t>global study covering va</w:t>
      </w:r>
      <w:r w:rsidR="00EF6281">
        <w:t xml:space="preserve">rious industry types and shows </w:t>
      </w:r>
      <w:r w:rsidR="00967516">
        <w:t>the relationship between employee engagement and perfo</w:t>
      </w:r>
      <w:r w:rsidR="007D359B">
        <w:t xml:space="preserve">rmance across 276 organisations involving </w:t>
      </w:r>
      <w:r w:rsidR="00967516">
        <w:t>2,7</w:t>
      </w:r>
      <w:r w:rsidR="007D359B">
        <w:t>08,538 employees</w:t>
      </w:r>
      <w:r w:rsidR="009C1142">
        <w:t>,</w:t>
      </w:r>
      <w:r w:rsidR="007D359B">
        <w:t xml:space="preserve"> concluded that the correlation was consistent across different organisations </w:t>
      </w:r>
      <w:r w:rsidR="00611586">
        <w:t>when considering</w:t>
      </w:r>
      <w:r w:rsidR="007D359B">
        <w:t xml:space="preserve"> the 11 perfo</w:t>
      </w:r>
      <w:r w:rsidR="00611586">
        <w:t>rmance outcomes (organisational citizenship</w:t>
      </w:r>
      <w:r w:rsidR="007D359B">
        <w:t xml:space="preserve"> </w:t>
      </w:r>
      <w:r w:rsidR="00611586">
        <w:t xml:space="preserve">and </w:t>
      </w:r>
      <w:r w:rsidR="007D359B">
        <w:t>wellbeing</w:t>
      </w:r>
      <w:r w:rsidR="00611586">
        <w:t xml:space="preserve"> having recently been added)</w:t>
      </w:r>
      <w:r w:rsidR="007D359B">
        <w:t xml:space="preserve"> </w:t>
      </w:r>
      <w:r w:rsidR="00611586">
        <w:t xml:space="preserve">with ‘wellbeing’ </w:t>
      </w:r>
      <w:r w:rsidR="007D359B">
        <w:t xml:space="preserve">having the strongest </w:t>
      </w:r>
      <w:r w:rsidR="009C1142">
        <w:t>link to performance</w:t>
      </w:r>
      <w:r w:rsidR="007D359B">
        <w:t xml:space="preserve">. </w:t>
      </w:r>
    </w:p>
    <w:p w:rsidR="003A7D6D" w:rsidRDefault="0081108A" w:rsidP="00014B4B">
      <w:pPr>
        <w:autoSpaceDE w:val="0"/>
        <w:autoSpaceDN w:val="0"/>
        <w:adjustRightInd w:val="0"/>
        <w:spacing w:line="360" w:lineRule="auto"/>
      </w:pPr>
      <w:r>
        <w:t>The Civil Service People Survey (ONS</w:t>
      </w:r>
      <w:r w:rsidR="00AF134E">
        <w:t>, 2020</w:t>
      </w:r>
      <w:r>
        <w:t xml:space="preserve">) </w:t>
      </w:r>
      <w:r w:rsidR="00AF134E">
        <w:t xml:space="preserve">uses </w:t>
      </w:r>
      <w:proofErr w:type="spellStart"/>
      <w:r w:rsidR="00AF134E">
        <w:t>mezo</w:t>
      </w:r>
      <w:proofErr w:type="spellEnd"/>
      <w:r w:rsidR="00AF134E">
        <w:t xml:space="preserve"> data to explore </w:t>
      </w:r>
      <w:r>
        <w:t>engag</w:t>
      </w:r>
      <w:r w:rsidR="00AF134E">
        <w:t>ement across the publi</w:t>
      </w:r>
      <w:r w:rsidR="003A7D6D">
        <w:t>c sector, the results of which can be seen below:</w:t>
      </w:r>
    </w:p>
    <w:tbl>
      <w:tblPr>
        <w:tblStyle w:val="TableGrid"/>
        <w:tblW w:w="0" w:type="auto"/>
        <w:tblLook w:val="04A0" w:firstRow="1" w:lastRow="0" w:firstColumn="1" w:lastColumn="0" w:noHBand="0" w:noVBand="1"/>
      </w:tblPr>
      <w:tblGrid>
        <w:gridCol w:w="5854"/>
        <w:gridCol w:w="847"/>
        <w:gridCol w:w="847"/>
        <w:gridCol w:w="847"/>
        <w:gridCol w:w="847"/>
      </w:tblGrid>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Theme</w:t>
            </w:r>
          </w:p>
        </w:tc>
        <w:tc>
          <w:tcPr>
            <w:tcW w:w="960" w:type="dxa"/>
            <w:noWrap/>
            <w:hideMark/>
          </w:tcPr>
          <w:p w:rsidR="003A7D6D" w:rsidRPr="003A7D6D" w:rsidRDefault="003A7D6D" w:rsidP="003A7D6D">
            <w:pPr>
              <w:autoSpaceDE w:val="0"/>
              <w:autoSpaceDN w:val="0"/>
              <w:adjustRightInd w:val="0"/>
              <w:spacing w:line="360" w:lineRule="auto"/>
            </w:pPr>
            <w:r w:rsidRPr="003A7D6D">
              <w:t>2017</w:t>
            </w:r>
          </w:p>
        </w:tc>
        <w:tc>
          <w:tcPr>
            <w:tcW w:w="960" w:type="dxa"/>
            <w:noWrap/>
            <w:hideMark/>
          </w:tcPr>
          <w:p w:rsidR="003A7D6D" w:rsidRPr="003A7D6D" w:rsidRDefault="003A7D6D" w:rsidP="003A7D6D">
            <w:pPr>
              <w:autoSpaceDE w:val="0"/>
              <w:autoSpaceDN w:val="0"/>
              <w:adjustRightInd w:val="0"/>
              <w:spacing w:line="360" w:lineRule="auto"/>
            </w:pPr>
            <w:r w:rsidRPr="003A7D6D">
              <w:t>2018</w:t>
            </w:r>
          </w:p>
        </w:tc>
        <w:tc>
          <w:tcPr>
            <w:tcW w:w="960" w:type="dxa"/>
            <w:noWrap/>
            <w:hideMark/>
          </w:tcPr>
          <w:p w:rsidR="003A7D6D" w:rsidRPr="003A7D6D" w:rsidRDefault="003A7D6D" w:rsidP="003A7D6D">
            <w:pPr>
              <w:autoSpaceDE w:val="0"/>
              <w:autoSpaceDN w:val="0"/>
              <w:adjustRightInd w:val="0"/>
              <w:spacing w:line="360" w:lineRule="auto"/>
            </w:pPr>
            <w:r w:rsidRPr="003A7D6D">
              <w:t>2019</w:t>
            </w:r>
          </w:p>
        </w:tc>
        <w:tc>
          <w:tcPr>
            <w:tcW w:w="960" w:type="dxa"/>
            <w:noWrap/>
            <w:hideMark/>
          </w:tcPr>
          <w:p w:rsidR="003A7D6D" w:rsidRPr="003A7D6D" w:rsidRDefault="003A7D6D" w:rsidP="003A7D6D">
            <w:pPr>
              <w:autoSpaceDE w:val="0"/>
              <w:autoSpaceDN w:val="0"/>
              <w:adjustRightInd w:val="0"/>
              <w:spacing w:line="360" w:lineRule="auto"/>
            </w:pPr>
            <w:r w:rsidRPr="003A7D6D">
              <w:t>2020</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Employee engagement index (B47-B51)</w:t>
            </w:r>
          </w:p>
        </w:tc>
        <w:tc>
          <w:tcPr>
            <w:tcW w:w="960" w:type="dxa"/>
            <w:noWrap/>
            <w:hideMark/>
          </w:tcPr>
          <w:p w:rsidR="003A7D6D" w:rsidRPr="003A7D6D" w:rsidRDefault="003A7D6D" w:rsidP="003A7D6D">
            <w:pPr>
              <w:autoSpaceDE w:val="0"/>
              <w:autoSpaceDN w:val="0"/>
              <w:adjustRightInd w:val="0"/>
              <w:spacing w:line="360" w:lineRule="auto"/>
            </w:pPr>
            <w:r w:rsidRPr="003A7D6D">
              <w:t>61%</w:t>
            </w:r>
          </w:p>
        </w:tc>
        <w:tc>
          <w:tcPr>
            <w:tcW w:w="960" w:type="dxa"/>
            <w:noWrap/>
            <w:hideMark/>
          </w:tcPr>
          <w:p w:rsidR="003A7D6D" w:rsidRPr="003A7D6D" w:rsidRDefault="003A7D6D" w:rsidP="003A7D6D">
            <w:pPr>
              <w:autoSpaceDE w:val="0"/>
              <w:autoSpaceDN w:val="0"/>
              <w:adjustRightInd w:val="0"/>
              <w:spacing w:line="360" w:lineRule="auto"/>
            </w:pPr>
            <w:r w:rsidRPr="003A7D6D">
              <w:t>62%</w:t>
            </w:r>
          </w:p>
        </w:tc>
        <w:tc>
          <w:tcPr>
            <w:tcW w:w="960" w:type="dxa"/>
            <w:noWrap/>
            <w:hideMark/>
          </w:tcPr>
          <w:p w:rsidR="003A7D6D" w:rsidRPr="003A7D6D" w:rsidRDefault="003A7D6D" w:rsidP="003A7D6D">
            <w:pPr>
              <w:autoSpaceDE w:val="0"/>
              <w:autoSpaceDN w:val="0"/>
              <w:adjustRightInd w:val="0"/>
              <w:spacing w:line="360" w:lineRule="auto"/>
            </w:pPr>
            <w:r w:rsidRPr="003A7D6D">
              <w:t>63%</w:t>
            </w:r>
          </w:p>
        </w:tc>
        <w:tc>
          <w:tcPr>
            <w:tcW w:w="960" w:type="dxa"/>
            <w:noWrap/>
            <w:hideMark/>
          </w:tcPr>
          <w:p w:rsidR="003A7D6D" w:rsidRPr="003A7D6D" w:rsidRDefault="003A7D6D" w:rsidP="003A7D6D">
            <w:pPr>
              <w:autoSpaceDE w:val="0"/>
              <w:autoSpaceDN w:val="0"/>
              <w:adjustRightInd w:val="0"/>
              <w:spacing w:line="360" w:lineRule="auto"/>
            </w:pPr>
            <w:r w:rsidRPr="003A7D6D">
              <w:t>66%</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My work theme score (% positive, B01-B05)</w:t>
            </w:r>
          </w:p>
        </w:tc>
        <w:tc>
          <w:tcPr>
            <w:tcW w:w="960" w:type="dxa"/>
            <w:noWrap/>
            <w:hideMark/>
          </w:tcPr>
          <w:p w:rsidR="003A7D6D" w:rsidRPr="003A7D6D" w:rsidRDefault="003A7D6D" w:rsidP="003A7D6D">
            <w:pPr>
              <w:autoSpaceDE w:val="0"/>
              <w:autoSpaceDN w:val="0"/>
              <w:adjustRightInd w:val="0"/>
              <w:spacing w:line="360" w:lineRule="auto"/>
            </w:pPr>
            <w:r w:rsidRPr="003A7D6D">
              <w:t>76%</w:t>
            </w:r>
          </w:p>
        </w:tc>
        <w:tc>
          <w:tcPr>
            <w:tcW w:w="960" w:type="dxa"/>
            <w:noWrap/>
            <w:hideMark/>
          </w:tcPr>
          <w:p w:rsidR="003A7D6D" w:rsidRPr="003A7D6D" w:rsidRDefault="003A7D6D" w:rsidP="003A7D6D">
            <w:pPr>
              <w:autoSpaceDE w:val="0"/>
              <w:autoSpaceDN w:val="0"/>
              <w:adjustRightInd w:val="0"/>
              <w:spacing w:line="360" w:lineRule="auto"/>
            </w:pPr>
            <w:r w:rsidRPr="003A7D6D">
              <w:t>76%</w:t>
            </w:r>
          </w:p>
        </w:tc>
        <w:tc>
          <w:tcPr>
            <w:tcW w:w="960" w:type="dxa"/>
            <w:noWrap/>
            <w:hideMark/>
          </w:tcPr>
          <w:p w:rsidR="003A7D6D" w:rsidRPr="003A7D6D" w:rsidRDefault="003A7D6D" w:rsidP="003A7D6D">
            <w:pPr>
              <w:autoSpaceDE w:val="0"/>
              <w:autoSpaceDN w:val="0"/>
              <w:adjustRightInd w:val="0"/>
              <w:spacing w:line="360" w:lineRule="auto"/>
            </w:pPr>
            <w:r w:rsidRPr="003A7D6D">
              <w:t>77%</w:t>
            </w:r>
          </w:p>
        </w:tc>
        <w:tc>
          <w:tcPr>
            <w:tcW w:w="960" w:type="dxa"/>
            <w:noWrap/>
            <w:hideMark/>
          </w:tcPr>
          <w:p w:rsidR="003A7D6D" w:rsidRPr="003A7D6D" w:rsidRDefault="003A7D6D" w:rsidP="003A7D6D">
            <w:pPr>
              <w:autoSpaceDE w:val="0"/>
              <w:autoSpaceDN w:val="0"/>
              <w:adjustRightInd w:val="0"/>
              <w:spacing w:line="360" w:lineRule="auto"/>
            </w:pPr>
            <w:r w:rsidRPr="003A7D6D">
              <w:t>80%</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Organisational objectives and purpose theme score (% positive, B06-B07)</w:t>
            </w:r>
          </w:p>
        </w:tc>
        <w:tc>
          <w:tcPr>
            <w:tcW w:w="960" w:type="dxa"/>
            <w:noWrap/>
            <w:hideMark/>
          </w:tcPr>
          <w:p w:rsidR="003A7D6D" w:rsidRPr="003A7D6D" w:rsidRDefault="003A7D6D" w:rsidP="003A7D6D">
            <w:pPr>
              <w:autoSpaceDE w:val="0"/>
              <w:autoSpaceDN w:val="0"/>
              <w:adjustRightInd w:val="0"/>
              <w:spacing w:line="360" w:lineRule="auto"/>
            </w:pPr>
            <w:r w:rsidRPr="003A7D6D">
              <w:t>82%</w:t>
            </w:r>
          </w:p>
        </w:tc>
        <w:tc>
          <w:tcPr>
            <w:tcW w:w="960" w:type="dxa"/>
            <w:noWrap/>
            <w:hideMark/>
          </w:tcPr>
          <w:p w:rsidR="003A7D6D" w:rsidRPr="003A7D6D" w:rsidRDefault="003A7D6D" w:rsidP="003A7D6D">
            <w:pPr>
              <w:autoSpaceDE w:val="0"/>
              <w:autoSpaceDN w:val="0"/>
              <w:adjustRightInd w:val="0"/>
              <w:spacing w:line="360" w:lineRule="auto"/>
            </w:pPr>
            <w:r w:rsidRPr="003A7D6D">
              <w:t>83%</w:t>
            </w:r>
          </w:p>
        </w:tc>
        <w:tc>
          <w:tcPr>
            <w:tcW w:w="960" w:type="dxa"/>
            <w:noWrap/>
            <w:hideMark/>
          </w:tcPr>
          <w:p w:rsidR="003A7D6D" w:rsidRPr="003A7D6D" w:rsidRDefault="003A7D6D" w:rsidP="003A7D6D">
            <w:pPr>
              <w:autoSpaceDE w:val="0"/>
              <w:autoSpaceDN w:val="0"/>
              <w:adjustRightInd w:val="0"/>
              <w:spacing w:line="360" w:lineRule="auto"/>
            </w:pPr>
            <w:r w:rsidRPr="003A7D6D">
              <w:t>83%</w:t>
            </w:r>
          </w:p>
        </w:tc>
        <w:tc>
          <w:tcPr>
            <w:tcW w:w="960" w:type="dxa"/>
            <w:noWrap/>
            <w:hideMark/>
          </w:tcPr>
          <w:p w:rsidR="003A7D6D" w:rsidRPr="003A7D6D" w:rsidRDefault="003A7D6D" w:rsidP="003A7D6D">
            <w:pPr>
              <w:autoSpaceDE w:val="0"/>
              <w:autoSpaceDN w:val="0"/>
              <w:adjustRightInd w:val="0"/>
              <w:spacing w:line="360" w:lineRule="auto"/>
            </w:pPr>
            <w:r w:rsidRPr="003A7D6D">
              <w:t>85%</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My manager theme score (% positive, B08-B17)</w:t>
            </w:r>
          </w:p>
        </w:tc>
        <w:tc>
          <w:tcPr>
            <w:tcW w:w="960" w:type="dxa"/>
            <w:noWrap/>
            <w:hideMark/>
          </w:tcPr>
          <w:p w:rsidR="003A7D6D" w:rsidRPr="003A7D6D" w:rsidRDefault="003A7D6D" w:rsidP="003A7D6D">
            <w:pPr>
              <w:autoSpaceDE w:val="0"/>
              <w:autoSpaceDN w:val="0"/>
              <w:adjustRightInd w:val="0"/>
              <w:spacing w:line="360" w:lineRule="auto"/>
            </w:pPr>
            <w:r w:rsidRPr="003A7D6D">
              <w:t>70%</w:t>
            </w:r>
          </w:p>
        </w:tc>
        <w:tc>
          <w:tcPr>
            <w:tcW w:w="960" w:type="dxa"/>
            <w:noWrap/>
            <w:hideMark/>
          </w:tcPr>
          <w:p w:rsidR="003A7D6D" w:rsidRPr="003A7D6D" w:rsidRDefault="003A7D6D" w:rsidP="003A7D6D">
            <w:pPr>
              <w:autoSpaceDE w:val="0"/>
              <w:autoSpaceDN w:val="0"/>
              <w:adjustRightInd w:val="0"/>
              <w:spacing w:line="360" w:lineRule="auto"/>
            </w:pPr>
            <w:r w:rsidRPr="003A7D6D">
              <w:t>70%</w:t>
            </w:r>
          </w:p>
        </w:tc>
        <w:tc>
          <w:tcPr>
            <w:tcW w:w="960" w:type="dxa"/>
            <w:noWrap/>
            <w:hideMark/>
          </w:tcPr>
          <w:p w:rsidR="003A7D6D" w:rsidRPr="003A7D6D" w:rsidRDefault="003A7D6D" w:rsidP="003A7D6D">
            <w:pPr>
              <w:autoSpaceDE w:val="0"/>
              <w:autoSpaceDN w:val="0"/>
              <w:adjustRightInd w:val="0"/>
              <w:spacing w:line="360" w:lineRule="auto"/>
            </w:pPr>
            <w:r w:rsidRPr="003A7D6D">
              <w:t>71%</w:t>
            </w:r>
          </w:p>
        </w:tc>
        <w:tc>
          <w:tcPr>
            <w:tcW w:w="960" w:type="dxa"/>
            <w:noWrap/>
            <w:hideMark/>
          </w:tcPr>
          <w:p w:rsidR="003A7D6D" w:rsidRPr="003A7D6D" w:rsidRDefault="003A7D6D" w:rsidP="003A7D6D">
            <w:pPr>
              <w:autoSpaceDE w:val="0"/>
              <w:autoSpaceDN w:val="0"/>
              <w:adjustRightInd w:val="0"/>
              <w:spacing w:line="360" w:lineRule="auto"/>
            </w:pPr>
            <w:r w:rsidRPr="003A7D6D">
              <w:t>74%</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My team theme score (% positive, B18-B20)</w:t>
            </w:r>
          </w:p>
        </w:tc>
        <w:tc>
          <w:tcPr>
            <w:tcW w:w="960" w:type="dxa"/>
            <w:noWrap/>
            <w:hideMark/>
          </w:tcPr>
          <w:p w:rsidR="003A7D6D" w:rsidRPr="003A7D6D" w:rsidRDefault="003A7D6D" w:rsidP="003A7D6D">
            <w:pPr>
              <w:autoSpaceDE w:val="0"/>
              <w:autoSpaceDN w:val="0"/>
              <w:adjustRightInd w:val="0"/>
              <w:spacing w:line="360" w:lineRule="auto"/>
            </w:pPr>
            <w:r w:rsidRPr="003A7D6D">
              <w:t>81%</w:t>
            </w:r>
          </w:p>
        </w:tc>
        <w:tc>
          <w:tcPr>
            <w:tcW w:w="960" w:type="dxa"/>
            <w:noWrap/>
            <w:hideMark/>
          </w:tcPr>
          <w:p w:rsidR="003A7D6D" w:rsidRPr="003A7D6D" w:rsidRDefault="003A7D6D" w:rsidP="003A7D6D">
            <w:pPr>
              <w:autoSpaceDE w:val="0"/>
              <w:autoSpaceDN w:val="0"/>
              <w:adjustRightInd w:val="0"/>
              <w:spacing w:line="360" w:lineRule="auto"/>
            </w:pPr>
            <w:r w:rsidRPr="003A7D6D">
              <w:t>81%</w:t>
            </w:r>
          </w:p>
        </w:tc>
        <w:tc>
          <w:tcPr>
            <w:tcW w:w="960" w:type="dxa"/>
            <w:noWrap/>
            <w:hideMark/>
          </w:tcPr>
          <w:p w:rsidR="003A7D6D" w:rsidRPr="003A7D6D" w:rsidRDefault="003A7D6D" w:rsidP="003A7D6D">
            <w:pPr>
              <w:autoSpaceDE w:val="0"/>
              <w:autoSpaceDN w:val="0"/>
              <w:adjustRightInd w:val="0"/>
              <w:spacing w:line="360" w:lineRule="auto"/>
            </w:pPr>
            <w:r w:rsidRPr="003A7D6D">
              <w:t>82%</w:t>
            </w:r>
          </w:p>
        </w:tc>
        <w:tc>
          <w:tcPr>
            <w:tcW w:w="960" w:type="dxa"/>
            <w:noWrap/>
            <w:hideMark/>
          </w:tcPr>
          <w:p w:rsidR="003A7D6D" w:rsidRPr="003A7D6D" w:rsidRDefault="003A7D6D" w:rsidP="003A7D6D">
            <w:pPr>
              <w:autoSpaceDE w:val="0"/>
              <w:autoSpaceDN w:val="0"/>
              <w:adjustRightInd w:val="0"/>
              <w:spacing w:line="360" w:lineRule="auto"/>
            </w:pPr>
            <w:r w:rsidRPr="003A7D6D">
              <w:t>84%</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Learning and development theme score (% positive, B21-B24)</w:t>
            </w:r>
          </w:p>
        </w:tc>
        <w:tc>
          <w:tcPr>
            <w:tcW w:w="960" w:type="dxa"/>
            <w:noWrap/>
            <w:hideMark/>
          </w:tcPr>
          <w:p w:rsidR="003A7D6D" w:rsidRPr="003A7D6D" w:rsidRDefault="003A7D6D" w:rsidP="003A7D6D">
            <w:pPr>
              <w:autoSpaceDE w:val="0"/>
              <w:autoSpaceDN w:val="0"/>
              <w:adjustRightInd w:val="0"/>
              <w:spacing w:line="360" w:lineRule="auto"/>
            </w:pPr>
            <w:r w:rsidRPr="003A7D6D">
              <w:t>53%</w:t>
            </w:r>
          </w:p>
        </w:tc>
        <w:tc>
          <w:tcPr>
            <w:tcW w:w="960" w:type="dxa"/>
            <w:noWrap/>
            <w:hideMark/>
          </w:tcPr>
          <w:p w:rsidR="003A7D6D" w:rsidRPr="003A7D6D" w:rsidRDefault="003A7D6D" w:rsidP="003A7D6D">
            <w:pPr>
              <w:autoSpaceDE w:val="0"/>
              <w:autoSpaceDN w:val="0"/>
              <w:adjustRightInd w:val="0"/>
              <w:spacing w:line="360" w:lineRule="auto"/>
            </w:pPr>
            <w:r w:rsidRPr="003A7D6D">
              <w:t>54%</w:t>
            </w:r>
          </w:p>
        </w:tc>
        <w:tc>
          <w:tcPr>
            <w:tcW w:w="960" w:type="dxa"/>
            <w:noWrap/>
            <w:hideMark/>
          </w:tcPr>
          <w:p w:rsidR="003A7D6D" w:rsidRPr="003A7D6D" w:rsidRDefault="003A7D6D" w:rsidP="003A7D6D">
            <w:pPr>
              <w:autoSpaceDE w:val="0"/>
              <w:autoSpaceDN w:val="0"/>
              <w:adjustRightInd w:val="0"/>
              <w:spacing w:line="360" w:lineRule="auto"/>
            </w:pPr>
            <w:r w:rsidRPr="003A7D6D">
              <w:t>55%</w:t>
            </w:r>
          </w:p>
        </w:tc>
        <w:tc>
          <w:tcPr>
            <w:tcW w:w="960" w:type="dxa"/>
            <w:noWrap/>
            <w:hideMark/>
          </w:tcPr>
          <w:p w:rsidR="003A7D6D" w:rsidRPr="003A7D6D" w:rsidRDefault="003A7D6D" w:rsidP="003A7D6D">
            <w:pPr>
              <w:autoSpaceDE w:val="0"/>
              <w:autoSpaceDN w:val="0"/>
              <w:adjustRightInd w:val="0"/>
              <w:spacing w:line="360" w:lineRule="auto"/>
            </w:pPr>
            <w:r w:rsidRPr="003A7D6D">
              <w:t>56%</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Inclusion and fair treatment theme score (% positive, B25-B28)</w:t>
            </w:r>
          </w:p>
        </w:tc>
        <w:tc>
          <w:tcPr>
            <w:tcW w:w="960" w:type="dxa"/>
            <w:noWrap/>
            <w:hideMark/>
          </w:tcPr>
          <w:p w:rsidR="003A7D6D" w:rsidRPr="003A7D6D" w:rsidRDefault="003A7D6D" w:rsidP="003A7D6D">
            <w:pPr>
              <w:autoSpaceDE w:val="0"/>
              <w:autoSpaceDN w:val="0"/>
              <w:adjustRightInd w:val="0"/>
              <w:spacing w:line="360" w:lineRule="auto"/>
            </w:pPr>
            <w:r w:rsidRPr="003A7D6D">
              <w:t>77%</w:t>
            </w:r>
          </w:p>
        </w:tc>
        <w:tc>
          <w:tcPr>
            <w:tcW w:w="960" w:type="dxa"/>
            <w:noWrap/>
            <w:hideMark/>
          </w:tcPr>
          <w:p w:rsidR="003A7D6D" w:rsidRPr="003A7D6D" w:rsidRDefault="003A7D6D" w:rsidP="003A7D6D">
            <w:pPr>
              <w:autoSpaceDE w:val="0"/>
              <w:autoSpaceDN w:val="0"/>
              <w:adjustRightInd w:val="0"/>
              <w:spacing w:line="360" w:lineRule="auto"/>
            </w:pPr>
            <w:r w:rsidRPr="003A7D6D">
              <w:t>78%</w:t>
            </w:r>
          </w:p>
        </w:tc>
        <w:tc>
          <w:tcPr>
            <w:tcW w:w="960" w:type="dxa"/>
            <w:noWrap/>
            <w:hideMark/>
          </w:tcPr>
          <w:p w:rsidR="003A7D6D" w:rsidRPr="003A7D6D" w:rsidRDefault="003A7D6D" w:rsidP="003A7D6D">
            <w:pPr>
              <w:autoSpaceDE w:val="0"/>
              <w:autoSpaceDN w:val="0"/>
              <w:adjustRightInd w:val="0"/>
              <w:spacing w:line="360" w:lineRule="auto"/>
            </w:pPr>
            <w:r w:rsidRPr="003A7D6D">
              <w:t>79%</w:t>
            </w:r>
          </w:p>
        </w:tc>
        <w:tc>
          <w:tcPr>
            <w:tcW w:w="960" w:type="dxa"/>
            <w:noWrap/>
            <w:hideMark/>
          </w:tcPr>
          <w:p w:rsidR="003A7D6D" w:rsidRPr="003A7D6D" w:rsidRDefault="003A7D6D" w:rsidP="003A7D6D">
            <w:pPr>
              <w:autoSpaceDE w:val="0"/>
              <w:autoSpaceDN w:val="0"/>
              <w:adjustRightInd w:val="0"/>
              <w:spacing w:line="360" w:lineRule="auto"/>
            </w:pPr>
            <w:r w:rsidRPr="003A7D6D">
              <w:t>82%</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Resources and workload theme score (% positive, B29-B34)</w:t>
            </w:r>
          </w:p>
        </w:tc>
        <w:tc>
          <w:tcPr>
            <w:tcW w:w="960" w:type="dxa"/>
            <w:noWrap/>
            <w:hideMark/>
          </w:tcPr>
          <w:p w:rsidR="003A7D6D" w:rsidRPr="003A7D6D" w:rsidRDefault="003A7D6D" w:rsidP="003A7D6D">
            <w:pPr>
              <w:autoSpaceDE w:val="0"/>
              <w:autoSpaceDN w:val="0"/>
              <w:adjustRightInd w:val="0"/>
              <w:spacing w:line="360" w:lineRule="auto"/>
            </w:pPr>
            <w:r w:rsidRPr="003A7D6D">
              <w:t>72%</w:t>
            </w:r>
          </w:p>
        </w:tc>
        <w:tc>
          <w:tcPr>
            <w:tcW w:w="960" w:type="dxa"/>
            <w:noWrap/>
            <w:hideMark/>
          </w:tcPr>
          <w:p w:rsidR="003A7D6D" w:rsidRPr="003A7D6D" w:rsidRDefault="003A7D6D" w:rsidP="003A7D6D">
            <w:pPr>
              <w:autoSpaceDE w:val="0"/>
              <w:autoSpaceDN w:val="0"/>
              <w:adjustRightInd w:val="0"/>
              <w:spacing w:line="360" w:lineRule="auto"/>
            </w:pPr>
            <w:r w:rsidRPr="003A7D6D">
              <w:t>73%</w:t>
            </w:r>
          </w:p>
        </w:tc>
        <w:tc>
          <w:tcPr>
            <w:tcW w:w="960" w:type="dxa"/>
            <w:noWrap/>
            <w:hideMark/>
          </w:tcPr>
          <w:p w:rsidR="003A7D6D" w:rsidRPr="003A7D6D" w:rsidRDefault="003A7D6D" w:rsidP="003A7D6D">
            <w:pPr>
              <w:autoSpaceDE w:val="0"/>
              <w:autoSpaceDN w:val="0"/>
              <w:adjustRightInd w:val="0"/>
              <w:spacing w:line="360" w:lineRule="auto"/>
            </w:pPr>
            <w:r w:rsidRPr="003A7D6D">
              <w:t>74%</w:t>
            </w:r>
          </w:p>
        </w:tc>
        <w:tc>
          <w:tcPr>
            <w:tcW w:w="960" w:type="dxa"/>
            <w:noWrap/>
            <w:hideMark/>
          </w:tcPr>
          <w:p w:rsidR="003A7D6D" w:rsidRPr="003A7D6D" w:rsidRDefault="003A7D6D" w:rsidP="003A7D6D">
            <w:pPr>
              <w:autoSpaceDE w:val="0"/>
              <w:autoSpaceDN w:val="0"/>
              <w:adjustRightInd w:val="0"/>
              <w:spacing w:line="360" w:lineRule="auto"/>
            </w:pPr>
            <w:r w:rsidRPr="003A7D6D">
              <w:t>75%</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Pay and benefits theme score (% positive, B35-B37)</w:t>
            </w:r>
          </w:p>
        </w:tc>
        <w:tc>
          <w:tcPr>
            <w:tcW w:w="960" w:type="dxa"/>
            <w:noWrap/>
            <w:hideMark/>
          </w:tcPr>
          <w:p w:rsidR="003A7D6D" w:rsidRPr="003A7D6D" w:rsidRDefault="003A7D6D" w:rsidP="003A7D6D">
            <w:pPr>
              <w:autoSpaceDE w:val="0"/>
              <w:autoSpaceDN w:val="0"/>
              <w:adjustRightInd w:val="0"/>
              <w:spacing w:line="360" w:lineRule="auto"/>
            </w:pPr>
            <w:r w:rsidRPr="003A7D6D">
              <w:t>30%</w:t>
            </w:r>
          </w:p>
        </w:tc>
        <w:tc>
          <w:tcPr>
            <w:tcW w:w="960" w:type="dxa"/>
            <w:noWrap/>
            <w:hideMark/>
          </w:tcPr>
          <w:p w:rsidR="003A7D6D" w:rsidRPr="003A7D6D" w:rsidRDefault="003A7D6D" w:rsidP="003A7D6D">
            <w:pPr>
              <w:autoSpaceDE w:val="0"/>
              <w:autoSpaceDN w:val="0"/>
              <w:adjustRightInd w:val="0"/>
              <w:spacing w:line="360" w:lineRule="auto"/>
            </w:pPr>
            <w:r w:rsidRPr="003A7D6D">
              <w:t>31%</w:t>
            </w:r>
          </w:p>
        </w:tc>
        <w:tc>
          <w:tcPr>
            <w:tcW w:w="960" w:type="dxa"/>
            <w:noWrap/>
            <w:hideMark/>
          </w:tcPr>
          <w:p w:rsidR="003A7D6D" w:rsidRPr="003A7D6D" w:rsidRDefault="003A7D6D" w:rsidP="003A7D6D">
            <w:pPr>
              <w:autoSpaceDE w:val="0"/>
              <w:autoSpaceDN w:val="0"/>
              <w:adjustRightInd w:val="0"/>
              <w:spacing w:line="360" w:lineRule="auto"/>
            </w:pPr>
            <w:r w:rsidRPr="003A7D6D">
              <w:t>34%</w:t>
            </w:r>
          </w:p>
        </w:tc>
        <w:tc>
          <w:tcPr>
            <w:tcW w:w="960" w:type="dxa"/>
            <w:noWrap/>
            <w:hideMark/>
          </w:tcPr>
          <w:p w:rsidR="003A7D6D" w:rsidRPr="003A7D6D" w:rsidRDefault="003A7D6D" w:rsidP="003A7D6D">
            <w:pPr>
              <w:autoSpaceDE w:val="0"/>
              <w:autoSpaceDN w:val="0"/>
              <w:adjustRightInd w:val="0"/>
              <w:spacing w:line="360" w:lineRule="auto"/>
            </w:pPr>
            <w:r w:rsidRPr="003A7D6D">
              <w:t>40%</w:t>
            </w:r>
          </w:p>
        </w:tc>
      </w:tr>
      <w:tr w:rsidR="003A7D6D" w:rsidRPr="003A7D6D" w:rsidTr="003A7D6D">
        <w:trPr>
          <w:trHeight w:val="290"/>
        </w:trPr>
        <w:tc>
          <w:tcPr>
            <w:tcW w:w="6860" w:type="dxa"/>
            <w:noWrap/>
            <w:hideMark/>
          </w:tcPr>
          <w:p w:rsidR="003A7D6D" w:rsidRPr="003A7D6D" w:rsidRDefault="003A7D6D" w:rsidP="003A7D6D">
            <w:pPr>
              <w:autoSpaceDE w:val="0"/>
              <w:autoSpaceDN w:val="0"/>
              <w:adjustRightInd w:val="0"/>
              <w:spacing w:line="360" w:lineRule="auto"/>
            </w:pPr>
            <w:r w:rsidRPr="003A7D6D">
              <w:t>Leadership and managing change theme score (% positive, B38-B46)</w:t>
            </w:r>
          </w:p>
        </w:tc>
        <w:tc>
          <w:tcPr>
            <w:tcW w:w="960" w:type="dxa"/>
            <w:noWrap/>
            <w:hideMark/>
          </w:tcPr>
          <w:p w:rsidR="003A7D6D" w:rsidRPr="003A7D6D" w:rsidRDefault="003A7D6D" w:rsidP="003A7D6D">
            <w:pPr>
              <w:autoSpaceDE w:val="0"/>
              <w:autoSpaceDN w:val="0"/>
              <w:adjustRightInd w:val="0"/>
              <w:spacing w:line="360" w:lineRule="auto"/>
            </w:pPr>
            <w:r w:rsidRPr="003A7D6D">
              <w:t>47%</w:t>
            </w:r>
          </w:p>
        </w:tc>
        <w:tc>
          <w:tcPr>
            <w:tcW w:w="960" w:type="dxa"/>
            <w:noWrap/>
            <w:hideMark/>
          </w:tcPr>
          <w:p w:rsidR="003A7D6D" w:rsidRPr="003A7D6D" w:rsidRDefault="003A7D6D" w:rsidP="003A7D6D">
            <w:pPr>
              <w:autoSpaceDE w:val="0"/>
              <w:autoSpaceDN w:val="0"/>
              <w:adjustRightInd w:val="0"/>
              <w:spacing w:line="360" w:lineRule="auto"/>
            </w:pPr>
            <w:r w:rsidRPr="003A7D6D">
              <w:t>47%</w:t>
            </w:r>
          </w:p>
        </w:tc>
        <w:tc>
          <w:tcPr>
            <w:tcW w:w="960" w:type="dxa"/>
            <w:noWrap/>
            <w:hideMark/>
          </w:tcPr>
          <w:p w:rsidR="003A7D6D" w:rsidRPr="003A7D6D" w:rsidRDefault="003A7D6D" w:rsidP="003A7D6D">
            <w:pPr>
              <w:autoSpaceDE w:val="0"/>
              <w:autoSpaceDN w:val="0"/>
              <w:adjustRightInd w:val="0"/>
              <w:spacing w:line="360" w:lineRule="auto"/>
            </w:pPr>
            <w:r w:rsidRPr="003A7D6D">
              <w:t>49%</w:t>
            </w:r>
          </w:p>
        </w:tc>
        <w:tc>
          <w:tcPr>
            <w:tcW w:w="960" w:type="dxa"/>
            <w:noWrap/>
            <w:hideMark/>
          </w:tcPr>
          <w:p w:rsidR="003A7D6D" w:rsidRPr="003A7D6D" w:rsidRDefault="003A7D6D" w:rsidP="003A7D6D">
            <w:pPr>
              <w:autoSpaceDE w:val="0"/>
              <w:autoSpaceDN w:val="0"/>
              <w:adjustRightInd w:val="0"/>
              <w:spacing w:line="360" w:lineRule="auto"/>
            </w:pPr>
            <w:r w:rsidRPr="003A7D6D">
              <w:t>58%</w:t>
            </w:r>
          </w:p>
        </w:tc>
      </w:tr>
    </w:tbl>
    <w:p w:rsidR="003A7D6D" w:rsidRDefault="003A7D6D" w:rsidP="00014B4B">
      <w:pPr>
        <w:autoSpaceDE w:val="0"/>
        <w:autoSpaceDN w:val="0"/>
        <w:adjustRightInd w:val="0"/>
        <w:spacing w:line="360" w:lineRule="auto"/>
      </w:pPr>
    </w:p>
    <w:p w:rsidR="00953284" w:rsidRDefault="003A7D6D" w:rsidP="003A7D6D">
      <w:pPr>
        <w:pStyle w:val="NoSpacing"/>
      </w:pPr>
      <w:r>
        <w:t xml:space="preserve">All areas have seen an increase with the employee engagement index increasing by 3% on the previous year to 66%.  Interestingly, the lower scores relate to Learning and Development, Leadership and Managing Change with </w:t>
      </w:r>
      <w:r w:rsidR="000B422E">
        <w:t xml:space="preserve">the </w:t>
      </w:r>
      <w:r>
        <w:t xml:space="preserve">lowest being Pay and Benefits </w:t>
      </w:r>
      <w:r w:rsidR="000B422E">
        <w:t xml:space="preserve">which are associated to the wider organisation and not directly to the immediate relationship of work. </w:t>
      </w:r>
    </w:p>
    <w:p w:rsidR="00017853" w:rsidRDefault="00017853" w:rsidP="003A7D6D">
      <w:pPr>
        <w:pStyle w:val="NoSpacing"/>
      </w:pPr>
    </w:p>
    <w:p w:rsidR="00017853" w:rsidRDefault="00017853" w:rsidP="003A7D6D">
      <w:pPr>
        <w:pStyle w:val="NoSpacing"/>
      </w:pPr>
      <w:r>
        <w:t xml:space="preserve">When considering the micro data likely to be found in Dyfed Powys Police and the feedback </w:t>
      </w:r>
      <w:r w:rsidR="00183DE8">
        <w:t xml:space="preserve">received, </w:t>
      </w:r>
      <w:r>
        <w:t>this would be a true r</w:t>
      </w:r>
      <w:r w:rsidR="00183DE8">
        <w:t xml:space="preserve">eflection within this </w:t>
      </w:r>
      <w:proofErr w:type="spellStart"/>
      <w:r w:rsidR="00183DE8">
        <w:t>organisation</w:t>
      </w:r>
      <w:r>
        <w:t>too</w:t>
      </w:r>
      <w:proofErr w:type="spellEnd"/>
      <w:r>
        <w:t xml:space="preserve"> and illustrates the importance that the line manager and the team play in employee engagement.</w:t>
      </w:r>
    </w:p>
    <w:p w:rsidR="00017853" w:rsidRDefault="00017853" w:rsidP="003A7D6D">
      <w:pPr>
        <w:pStyle w:val="NoSpacing"/>
      </w:pPr>
    </w:p>
    <w:p w:rsidR="00F5061E" w:rsidRDefault="00183DE8" w:rsidP="00183DE8">
      <w:pPr>
        <w:pStyle w:val="NoSpacing"/>
      </w:pPr>
      <w:r>
        <w:lastRenderedPageBreak/>
        <w:t xml:space="preserve">Recent studies have shown that there are a number of influences which effect levels of engagement, one of which </w:t>
      </w:r>
      <w:proofErr w:type="spellStart"/>
      <w:r>
        <w:t>Krentz</w:t>
      </w:r>
      <w:proofErr w:type="spellEnd"/>
      <w:r>
        <w:t xml:space="preserve"> et al (2016) reports a growing gender gap in engagement within organisations that demonstrate poor engagement.  Typically, the higher up in the organisation you climb, the more engaged people become.  This was not the case in those organisations with women being disproportionality disengaged at a senior level when compared to men.  The reason for this was pure discrimination, when women were not treated equally in terms of appreciation, work-life balance, career development </w:t>
      </w:r>
      <w:r w:rsidR="00F5061E">
        <w:t xml:space="preserve">and pay.  </w:t>
      </w:r>
      <w:r w:rsidR="009055FF">
        <w:t>Discrimination can also apply to race, sexual orientation or gender identity</w:t>
      </w:r>
      <w:r w:rsidR="001213CF">
        <w:t xml:space="preserve">, BAME and LGBT+ employees </w:t>
      </w:r>
      <w:r w:rsidR="00F5061E">
        <w:t>(CIPD, 2019)</w:t>
      </w:r>
      <w:r w:rsidR="001213CF">
        <w:t>.</w:t>
      </w:r>
    </w:p>
    <w:p w:rsidR="001213CF" w:rsidRDefault="001213CF" w:rsidP="00183DE8">
      <w:pPr>
        <w:pStyle w:val="NoSpacing"/>
      </w:pPr>
    </w:p>
    <w:p w:rsidR="001213CF" w:rsidRDefault="001213CF" w:rsidP="00183DE8">
      <w:pPr>
        <w:pStyle w:val="NoSpacing"/>
      </w:pPr>
      <w:r>
        <w:t xml:space="preserve">The CIPD UK Working Lives Job Index (2018) also identifies that the work itself can act as a stressor or creates boredom which can influence the level of engagement of employees, with </w:t>
      </w:r>
      <w:r w:rsidR="001F69EE">
        <w:t>up to one in four employees reporting intense and stressful working conditions, and two in five employees experiencing work-related health issues in the last 12 months.</w:t>
      </w:r>
    </w:p>
    <w:p w:rsidR="00183DE8" w:rsidRDefault="00183DE8" w:rsidP="003A7D6D">
      <w:pPr>
        <w:pStyle w:val="NoSpacing"/>
      </w:pPr>
    </w:p>
    <w:p w:rsidR="00017853" w:rsidRDefault="00017853" w:rsidP="003A7D6D">
      <w:pPr>
        <w:pStyle w:val="NoSpacing"/>
      </w:pPr>
      <w:r>
        <w:t>It is of no surprise that the pandemic has had a direct impact on employee engagement as employers have had to explore different met</w:t>
      </w:r>
      <w:r w:rsidR="007257BC">
        <w:t>hods for continuing business which has</w:t>
      </w:r>
      <w:r>
        <w:t xml:space="preserve"> </w:t>
      </w:r>
      <w:r w:rsidR="007257BC">
        <w:t>catapulted</w:t>
      </w:r>
      <w:r>
        <w:t xml:space="preserve"> </w:t>
      </w:r>
      <w:r w:rsidR="007257BC">
        <w:t xml:space="preserve">welfare </w:t>
      </w:r>
      <w:r>
        <w:t xml:space="preserve">near </w:t>
      </w:r>
      <w:r w:rsidR="007257BC">
        <w:t xml:space="preserve">to </w:t>
      </w:r>
      <w:r>
        <w:t xml:space="preserve">the top in terms of importance. </w:t>
      </w:r>
    </w:p>
    <w:p w:rsidR="00183DE8" w:rsidRDefault="00183DE8" w:rsidP="003A7D6D">
      <w:pPr>
        <w:pStyle w:val="NoSpacing"/>
      </w:pPr>
    </w:p>
    <w:p w:rsidR="00183DE8" w:rsidRDefault="00183DE8" w:rsidP="003A7D6D">
      <w:pPr>
        <w:pStyle w:val="NoSpacing"/>
      </w:pPr>
      <w:r>
        <w:t>The Deloitte Global Human Capital Trends Report (2018) identified that wellbeing programmes were critical to an organisations</w:t>
      </w:r>
      <w:r w:rsidR="001F69EE">
        <w:t xml:space="preserve"> b</w:t>
      </w:r>
      <w:r>
        <w:t xml:space="preserve">rand and culture but gaps still existed between what </w:t>
      </w:r>
      <w:proofErr w:type="gramStart"/>
      <w:r>
        <w:t>employees</w:t>
      </w:r>
      <w:proofErr w:type="gramEnd"/>
      <w:r>
        <w:t xml:space="preserve"> value and organisations deliver.  </w:t>
      </w:r>
      <w:proofErr w:type="spellStart"/>
      <w:r>
        <w:t>Korsh</w:t>
      </w:r>
      <w:proofErr w:type="spellEnd"/>
      <w:r>
        <w:t xml:space="preserve"> and </w:t>
      </w:r>
      <w:proofErr w:type="spellStart"/>
      <w:r>
        <w:t>Gilmartin’s</w:t>
      </w:r>
      <w:proofErr w:type="spellEnd"/>
      <w:r w:rsidR="001F69EE">
        <w:t xml:space="preserve"> (2018</w:t>
      </w:r>
      <w:r>
        <w:t>) view is that organisations need to create a total relationship with the workforce and enable an environment where its workforce can perform and flourish to drive engagement, wellbeing and business results.  This means being flexible and providing a customised experience recognising that personal and professional needs vary based on both the life and career of the employee.</w:t>
      </w:r>
    </w:p>
    <w:p w:rsidR="001F69EE" w:rsidRDefault="001F69EE" w:rsidP="003A7D6D">
      <w:pPr>
        <w:pStyle w:val="NoSpacing"/>
      </w:pPr>
    </w:p>
    <w:p w:rsidR="00A343B5" w:rsidRDefault="001F69EE" w:rsidP="003A7D6D">
      <w:pPr>
        <w:pStyle w:val="NoSpacing"/>
      </w:pPr>
      <w:r>
        <w:t>It is anticipated that the current flexible working arrangements that have had to be adopted during the pandemic will form part of a hybrid way of working which will see an element of home working and office work a</w:t>
      </w:r>
      <w:r w:rsidR="00A343B5">
        <w:t>s these have been proved to be successful</w:t>
      </w:r>
      <w:r>
        <w:t xml:space="preserve">, leading to significant benefit the organisations concerned. </w:t>
      </w:r>
    </w:p>
    <w:p w:rsidR="00A343B5" w:rsidRDefault="00A343B5" w:rsidP="003A7D6D">
      <w:pPr>
        <w:pStyle w:val="NoSpacing"/>
      </w:pPr>
    </w:p>
    <w:p w:rsidR="001F69EE" w:rsidRDefault="001F69EE" w:rsidP="003A7D6D">
      <w:pPr>
        <w:pStyle w:val="NoSpacing"/>
      </w:pPr>
      <w:r>
        <w:t>There has also b</w:t>
      </w:r>
      <w:r w:rsidR="00A343B5">
        <w:t xml:space="preserve">een a tangible shift in respect of work-life balance where employees have taken stock of what is important and this is likely to drive up competition for human resource as employees who would otherwise be employed within affluent densely populated areas move </w:t>
      </w:r>
      <w:r w:rsidR="00632486">
        <w:t xml:space="preserve">to areas which provide better value for money </w:t>
      </w:r>
      <w:r w:rsidR="00A343B5">
        <w:t>whist attracting a higher salary typically associated to working in a city</w:t>
      </w:r>
      <w:r w:rsidR="00632486">
        <w:t xml:space="preserve"> as there will no longer be the need for a daily commute</w:t>
      </w:r>
      <w:r w:rsidR="00A343B5">
        <w:t>.  This will prove problematic for local organisations</w:t>
      </w:r>
      <w:r w:rsidR="00632486">
        <w:t xml:space="preserve"> to fill vacancies as they will struggle to recruit into these roles as they will not be able to compete with the salaries expected</w:t>
      </w:r>
      <w:r w:rsidR="00A343B5">
        <w:t xml:space="preserve">. </w:t>
      </w:r>
    </w:p>
    <w:p w:rsidR="00632486" w:rsidRDefault="00632486" w:rsidP="003A7D6D">
      <w:pPr>
        <w:pStyle w:val="NoSpacing"/>
      </w:pPr>
    </w:p>
    <w:p w:rsidR="00632486" w:rsidRDefault="00632486" w:rsidP="003A7D6D">
      <w:pPr>
        <w:pStyle w:val="NoSpacing"/>
      </w:pPr>
      <w:r>
        <w:t xml:space="preserve">Improving engagement will be </w:t>
      </w:r>
      <w:proofErr w:type="gramStart"/>
      <w:r>
        <w:t>key</w:t>
      </w:r>
      <w:proofErr w:type="gramEnd"/>
      <w:r>
        <w:t xml:space="preserve"> in attrac</w:t>
      </w:r>
      <w:r w:rsidR="00EB6FEB">
        <w:t xml:space="preserve">ting and retaining the resource.  The first trend identified is the way in which organisations communicate with their employees.  </w:t>
      </w:r>
      <w:proofErr w:type="gramStart"/>
      <w:r w:rsidR="00EB6FEB">
        <w:t>Terry (2021)</w:t>
      </w:r>
      <w:r w:rsidR="001B66E8">
        <w:t xml:space="preserve"> </w:t>
      </w:r>
      <w:r w:rsidR="00EB6FEB">
        <w:t xml:space="preserve">states that engagement software has become the prime solution which has not only improved </w:t>
      </w:r>
      <w:r w:rsidR="004E30FD">
        <w:t>communications but has become a valuable tool in the learning and development of the workforce.</w:t>
      </w:r>
      <w:proofErr w:type="gramEnd"/>
    </w:p>
    <w:p w:rsidR="004E30FD" w:rsidRDefault="004E30FD" w:rsidP="003A7D6D">
      <w:pPr>
        <w:pStyle w:val="NoSpacing"/>
      </w:pPr>
    </w:p>
    <w:p w:rsidR="00183DE8" w:rsidRDefault="004E30FD" w:rsidP="00CD52DE">
      <w:pPr>
        <w:pStyle w:val="NoSpacing"/>
      </w:pPr>
      <w:r>
        <w:t xml:space="preserve">As a result of the pandemic, mental health has become a real issue and Mind (2020) has </w:t>
      </w:r>
      <w:r w:rsidR="001B66E8">
        <w:t xml:space="preserve">identified a trend which will </w:t>
      </w:r>
      <w:r>
        <w:t xml:space="preserve">need to </w:t>
      </w:r>
      <w:r w:rsidR="001B66E8">
        <w:t>be addressed by all responsible employers as isolation, stress and anxiety has affected over half of adults (60%) and two thirds of young people (68%).</w:t>
      </w:r>
    </w:p>
    <w:p w:rsidR="001B66E8" w:rsidRDefault="001B66E8" w:rsidP="00CD52DE">
      <w:pPr>
        <w:pStyle w:val="NoSpacing"/>
      </w:pPr>
    </w:p>
    <w:p w:rsidR="00B45F0F" w:rsidRDefault="001B66E8" w:rsidP="00CD52DE">
      <w:pPr>
        <w:pStyle w:val="NoSpacing"/>
      </w:pPr>
      <w:r>
        <w:t xml:space="preserve">What is encouraging is that </w:t>
      </w:r>
      <w:r w:rsidR="00A2655C">
        <w:t xml:space="preserve">the one positive trend coming out of the pandemic is that managers are learning to </w:t>
      </w:r>
      <w:r>
        <w:t xml:space="preserve">show empathy and to start listening to feedback from their employees </w:t>
      </w:r>
      <w:proofErr w:type="gramStart"/>
      <w:r>
        <w:t>which</w:t>
      </w:r>
      <w:proofErr w:type="gramEnd"/>
      <w:r>
        <w:t xml:space="preserve"> has helped in managing their staff more effectively, helping </w:t>
      </w:r>
      <w:r w:rsidR="00A2655C">
        <w:t xml:space="preserve">them </w:t>
      </w:r>
      <w:proofErr w:type="spellStart"/>
      <w:r w:rsidR="00A2655C">
        <w:t>t</w:t>
      </w:r>
      <w:proofErr w:type="spellEnd"/>
      <w:r>
        <w:t xml:space="preserve"> engage successfully with their teams. </w:t>
      </w:r>
    </w:p>
    <w:p w:rsidR="005F2B8A" w:rsidRDefault="005F2B8A" w:rsidP="005F2B8A">
      <w:pPr>
        <w:pStyle w:val="NoSpacing"/>
        <w:rPr>
          <w:rFonts w:ascii="Verdana" w:hAnsi="Verdana"/>
          <w:color w:val="000000"/>
          <w:sz w:val="34"/>
          <w:szCs w:val="34"/>
        </w:rPr>
      </w:pPr>
    </w:p>
    <w:p w:rsidR="00534106" w:rsidRDefault="00534106" w:rsidP="00515AC4">
      <w:pPr>
        <w:autoSpaceDE w:val="0"/>
        <w:autoSpaceDN w:val="0"/>
        <w:adjustRightInd w:val="0"/>
      </w:pPr>
      <w:r>
        <w:t xml:space="preserve">References </w:t>
      </w:r>
    </w:p>
    <w:p w:rsidR="00431F1D" w:rsidRDefault="00431F1D" w:rsidP="00515AC4">
      <w:pPr>
        <w:autoSpaceDE w:val="0"/>
        <w:autoSpaceDN w:val="0"/>
        <w:adjustRightInd w:val="0"/>
      </w:pPr>
      <w:r>
        <w:t xml:space="preserve">Berger, L. (2020) Managing </w:t>
      </w:r>
      <w:proofErr w:type="spellStart"/>
      <w:r>
        <w:t>Millennials</w:t>
      </w:r>
      <w:proofErr w:type="spellEnd"/>
      <w:r>
        <w:t xml:space="preserve"> in the Workplace, </w:t>
      </w:r>
      <w:r>
        <w:rPr>
          <w:i/>
        </w:rPr>
        <w:t xml:space="preserve">Forbes Coaches Council, </w:t>
      </w:r>
      <w:r>
        <w:t>13</w:t>
      </w:r>
      <w:r w:rsidRPr="00431F1D">
        <w:rPr>
          <w:vertAlign w:val="superscript"/>
        </w:rPr>
        <w:t>th</w:t>
      </w:r>
      <w:r>
        <w:t xml:space="preserve"> February 2020 [Online] Available at: </w:t>
      </w:r>
      <w:hyperlink r:id="rId9" w:history="1">
        <w:r>
          <w:rPr>
            <w:rStyle w:val="Hyperlink"/>
          </w:rPr>
          <w:t xml:space="preserve">Managing </w:t>
        </w:r>
        <w:proofErr w:type="spellStart"/>
        <w:r>
          <w:rPr>
            <w:rStyle w:val="Hyperlink"/>
          </w:rPr>
          <w:t>Millennials</w:t>
        </w:r>
        <w:proofErr w:type="spellEnd"/>
        <w:r>
          <w:rPr>
            <w:rStyle w:val="Hyperlink"/>
          </w:rPr>
          <w:t xml:space="preserve"> </w:t>
        </w:r>
        <w:proofErr w:type="gramStart"/>
        <w:r>
          <w:rPr>
            <w:rStyle w:val="Hyperlink"/>
          </w:rPr>
          <w:t>In The</w:t>
        </w:r>
        <w:proofErr w:type="gramEnd"/>
        <w:r>
          <w:rPr>
            <w:rStyle w:val="Hyperlink"/>
          </w:rPr>
          <w:t xml:space="preserve"> Workplace (forbes.com)</w:t>
        </w:r>
      </w:hyperlink>
      <w:r>
        <w:t xml:space="preserve"> (Accessed: 3</w:t>
      </w:r>
      <w:r w:rsidRPr="00431F1D">
        <w:rPr>
          <w:vertAlign w:val="superscript"/>
        </w:rPr>
        <w:t>rd</w:t>
      </w:r>
      <w:r>
        <w:t xml:space="preserve"> Feb</w:t>
      </w:r>
      <w:r w:rsidR="00024556">
        <w:t>r</w:t>
      </w:r>
      <w:r>
        <w:t>uary 2022)</w:t>
      </w:r>
    </w:p>
    <w:p w:rsidR="00534106" w:rsidRDefault="00431F1D" w:rsidP="00515AC4">
      <w:pPr>
        <w:autoSpaceDE w:val="0"/>
        <w:autoSpaceDN w:val="0"/>
        <w:adjustRightInd w:val="0"/>
      </w:pPr>
      <w:r>
        <w:t>C</w:t>
      </w:r>
      <w:r w:rsidR="00534106">
        <w:t>hristian M</w:t>
      </w:r>
      <w:proofErr w:type="gramStart"/>
      <w:r w:rsidR="00534106">
        <w:t>,S</w:t>
      </w:r>
      <w:proofErr w:type="gramEnd"/>
      <w:r w:rsidR="00534106">
        <w:t>,. Garza A, S</w:t>
      </w:r>
      <w:proofErr w:type="gramStart"/>
      <w:r w:rsidR="00534106">
        <w:t>,.</w:t>
      </w:r>
      <w:proofErr w:type="gramEnd"/>
      <w:r w:rsidR="00534106">
        <w:t xml:space="preserve"> </w:t>
      </w:r>
      <w:proofErr w:type="gramStart"/>
      <w:r w:rsidR="00534106">
        <w:t>and</w:t>
      </w:r>
      <w:proofErr w:type="gramEnd"/>
      <w:r w:rsidR="00534106">
        <w:t xml:space="preserve"> Slaughter, J.E,.(2011) </w:t>
      </w:r>
      <w:r w:rsidR="00534106" w:rsidRPr="00534106">
        <w:rPr>
          <w:i/>
        </w:rPr>
        <w:t>Work Engagement: A quantitative Review</w:t>
      </w:r>
      <w:r w:rsidR="00534106">
        <w:rPr>
          <w:i/>
        </w:rPr>
        <w:t xml:space="preserve"> </w:t>
      </w:r>
      <w:r w:rsidR="00534106" w:rsidRPr="00534106">
        <w:rPr>
          <w:i/>
        </w:rPr>
        <w:t>and Test of its Relations with Task and Contextual Performance</w:t>
      </w:r>
      <w:r w:rsidR="00534106">
        <w:t xml:space="preserve">, Personnel Psychology </w:t>
      </w:r>
      <w:proofErr w:type="spellStart"/>
      <w:r w:rsidR="00534106">
        <w:t>Vol</w:t>
      </w:r>
      <w:proofErr w:type="spellEnd"/>
      <w:r w:rsidR="00534106">
        <w:t xml:space="preserve"> 64 (1) P890-9</w:t>
      </w:r>
      <w:r w:rsidR="005136C8">
        <w:t>3</w:t>
      </w:r>
    </w:p>
    <w:p w:rsidR="00CF1CE4" w:rsidRPr="00CF1CE4" w:rsidRDefault="00CF1CE4" w:rsidP="00515AC4">
      <w:pPr>
        <w:autoSpaceDE w:val="0"/>
        <w:autoSpaceDN w:val="0"/>
        <w:adjustRightInd w:val="0"/>
      </w:pPr>
      <w:r>
        <w:t xml:space="preserve">CIPD (2012) </w:t>
      </w:r>
      <w:r>
        <w:rPr>
          <w:i/>
        </w:rPr>
        <w:t xml:space="preserve">Emotional or Transactional Engagement:  Does it Matter? </w:t>
      </w:r>
      <w:r>
        <w:t xml:space="preserve">Research Insight [Online] </w:t>
      </w:r>
      <w:r w:rsidR="00EC2CE4">
        <w:t xml:space="preserve">Available at: </w:t>
      </w:r>
      <w:hyperlink r:id="rId10" w:history="1">
        <w:r w:rsidR="00EC2CE4">
          <w:rPr>
            <w:rStyle w:val="Hyperlink"/>
          </w:rPr>
          <w:t>Developing Managers to Support Employee Engagement | Reports | CIPD</w:t>
        </w:r>
      </w:hyperlink>
      <w:r w:rsidR="00EC2CE4">
        <w:t xml:space="preserve"> (Accessed 23</w:t>
      </w:r>
      <w:r w:rsidR="00EC2CE4" w:rsidRPr="00EC2CE4">
        <w:rPr>
          <w:vertAlign w:val="superscript"/>
        </w:rPr>
        <w:t>rd</w:t>
      </w:r>
      <w:r w:rsidR="00EC2CE4">
        <w:t xml:space="preserve"> January 2022)</w:t>
      </w:r>
    </w:p>
    <w:p w:rsidR="005136C8" w:rsidRDefault="005136C8" w:rsidP="00515AC4">
      <w:pPr>
        <w:autoSpaceDE w:val="0"/>
        <w:autoSpaceDN w:val="0"/>
        <w:adjustRightInd w:val="0"/>
      </w:pPr>
      <w:proofErr w:type="gramStart"/>
      <w:r>
        <w:t xml:space="preserve">CIPD (2014) </w:t>
      </w:r>
      <w:r>
        <w:rPr>
          <w:i/>
        </w:rPr>
        <w:t>Developing manager to manage sustainable employee engagement, health and wellbeing.</w:t>
      </w:r>
      <w:proofErr w:type="gramEnd"/>
      <w:r>
        <w:rPr>
          <w:i/>
        </w:rPr>
        <w:t xml:space="preserve"> </w:t>
      </w:r>
      <w:r>
        <w:t xml:space="preserve">Research Report [Online] Available at: </w:t>
      </w:r>
      <w:hyperlink r:id="rId11" w:history="1">
        <w:r>
          <w:rPr>
            <w:rStyle w:val="Hyperlink"/>
          </w:rPr>
          <w:t>developing-managers_2014_tcm18-10434.pdf (cipd.co.uk)</w:t>
        </w:r>
      </w:hyperlink>
      <w:r>
        <w:t xml:space="preserve"> (Accessed: 23</w:t>
      </w:r>
      <w:r w:rsidRPr="005136C8">
        <w:rPr>
          <w:vertAlign w:val="superscript"/>
        </w:rPr>
        <w:t>rd</w:t>
      </w:r>
      <w:r>
        <w:t xml:space="preserve"> January 2022)</w:t>
      </w:r>
    </w:p>
    <w:p w:rsidR="00F5061E" w:rsidRPr="00F5061E" w:rsidRDefault="00F5061E" w:rsidP="00515AC4">
      <w:pPr>
        <w:autoSpaceDE w:val="0"/>
        <w:autoSpaceDN w:val="0"/>
        <w:adjustRightInd w:val="0"/>
      </w:pPr>
      <w:r>
        <w:t xml:space="preserve">CIPD (2019) </w:t>
      </w:r>
      <w:r>
        <w:rPr>
          <w:i/>
        </w:rPr>
        <w:t xml:space="preserve">UK Working Live: The CIPD Job Quality Index. </w:t>
      </w:r>
      <w:r>
        <w:t xml:space="preserve">Executive Summary </w:t>
      </w:r>
      <w:r w:rsidR="009055FF">
        <w:t xml:space="preserve">[Online] Available at: </w:t>
      </w:r>
      <w:hyperlink r:id="rId12" w:history="1">
        <w:r w:rsidR="009055FF">
          <w:rPr>
            <w:rStyle w:val="Hyperlink"/>
          </w:rPr>
          <w:t>uk-working-lives-summary-2019-v1_tcm18-58584.pdf (uwtsd.ac.uk)</w:t>
        </w:r>
      </w:hyperlink>
      <w:r w:rsidR="009055FF">
        <w:t xml:space="preserve"> (Accessed: 6</w:t>
      </w:r>
      <w:r w:rsidR="009055FF" w:rsidRPr="009055FF">
        <w:rPr>
          <w:vertAlign w:val="superscript"/>
        </w:rPr>
        <w:t>th</w:t>
      </w:r>
      <w:r w:rsidR="009055FF">
        <w:t xml:space="preserve"> February 2022)</w:t>
      </w:r>
    </w:p>
    <w:p w:rsidR="00EF61F0" w:rsidRPr="008634E7" w:rsidRDefault="00EF61F0" w:rsidP="00515AC4">
      <w:pPr>
        <w:autoSpaceDE w:val="0"/>
        <w:autoSpaceDN w:val="0"/>
        <w:adjustRightInd w:val="0"/>
      </w:pPr>
      <w:r>
        <w:t xml:space="preserve">Flint, M. and Hearn, E. (2015) </w:t>
      </w:r>
      <w:r w:rsidR="008634E7">
        <w:rPr>
          <w:i/>
        </w:rPr>
        <w:t xml:space="preserve">6 Com. </w:t>
      </w:r>
      <w:proofErr w:type="spellStart"/>
      <w:proofErr w:type="gramStart"/>
      <w:r>
        <w:rPr>
          <w:i/>
        </w:rPr>
        <w:t>anies</w:t>
      </w:r>
      <w:proofErr w:type="spellEnd"/>
      <w:proofErr w:type="gramEnd"/>
      <w:r>
        <w:rPr>
          <w:i/>
        </w:rPr>
        <w:t xml:space="preserve"> that get employee engagement and what they do right, </w:t>
      </w:r>
      <w:r w:rsidR="008634E7">
        <w:t xml:space="preserve">CMI [Online] Available at: </w:t>
      </w:r>
      <w:hyperlink r:id="rId13" w:history="1">
        <w:r w:rsidR="008634E7" w:rsidRPr="006D082A">
          <w:rPr>
            <w:rStyle w:val="Hyperlink"/>
          </w:rPr>
          <w:t>https://www.managers.org.uk/knowledge-and-insights/case-study/6-companies-that-get-employee-engagement-and-what-they-do-right</w:t>
        </w:r>
      </w:hyperlink>
      <w:r w:rsidR="008634E7">
        <w:t xml:space="preserve"> (Accessed: 30</w:t>
      </w:r>
      <w:r w:rsidR="008634E7" w:rsidRPr="008634E7">
        <w:rPr>
          <w:vertAlign w:val="superscript"/>
        </w:rPr>
        <w:t>th</w:t>
      </w:r>
      <w:r w:rsidR="008634E7">
        <w:t xml:space="preserve"> January 2022)</w:t>
      </w:r>
    </w:p>
    <w:p w:rsidR="002A4300" w:rsidRDefault="001E2F2C" w:rsidP="00515AC4">
      <w:pPr>
        <w:autoSpaceDE w:val="0"/>
        <w:autoSpaceDN w:val="0"/>
        <w:adjustRightInd w:val="0"/>
      </w:pPr>
      <w:proofErr w:type="spellStart"/>
      <w:proofErr w:type="gramStart"/>
      <w:r>
        <w:t>Gennard</w:t>
      </w:r>
      <w:proofErr w:type="spellEnd"/>
      <w:r>
        <w:t xml:space="preserve">, J. and Judge, G. (2002) </w:t>
      </w:r>
      <w:r>
        <w:rPr>
          <w:i/>
        </w:rPr>
        <w:t>Employee Relations</w:t>
      </w:r>
      <w:r w:rsidR="002A4300">
        <w:rPr>
          <w:i/>
        </w:rPr>
        <w:t>.</w:t>
      </w:r>
      <w:proofErr w:type="gramEnd"/>
      <w:r w:rsidR="002A4300">
        <w:rPr>
          <w:i/>
        </w:rPr>
        <w:t xml:space="preserve"> </w:t>
      </w:r>
      <w:r w:rsidR="002A4300">
        <w:t xml:space="preserve">London. </w:t>
      </w:r>
      <w:proofErr w:type="gramStart"/>
      <w:r w:rsidR="002A4300">
        <w:t>Chartered Institute of Personnel and Development</w:t>
      </w:r>
      <w:r w:rsidR="00EE744F">
        <w:t>.</w:t>
      </w:r>
      <w:proofErr w:type="gramEnd"/>
      <w:r w:rsidR="00EE744F">
        <w:t xml:space="preserve"> </w:t>
      </w:r>
    </w:p>
    <w:p w:rsidR="00EE744F" w:rsidRDefault="00EE744F" w:rsidP="00515AC4">
      <w:pPr>
        <w:autoSpaceDE w:val="0"/>
        <w:autoSpaceDN w:val="0"/>
        <w:adjustRightInd w:val="0"/>
      </w:pPr>
      <w:r>
        <w:t xml:space="preserve">Gifford, J. </w:t>
      </w:r>
      <w:proofErr w:type="spellStart"/>
      <w:r>
        <w:t>Neathey</w:t>
      </w:r>
      <w:proofErr w:type="spellEnd"/>
      <w:r>
        <w:t xml:space="preserve">, F. </w:t>
      </w:r>
      <w:proofErr w:type="spellStart"/>
      <w:r>
        <w:t>Loukas</w:t>
      </w:r>
      <w:proofErr w:type="spellEnd"/>
      <w:r>
        <w:t xml:space="preserve">, G. (2005) </w:t>
      </w:r>
      <w:r w:rsidRPr="00EE744F">
        <w:rPr>
          <w:i/>
        </w:rPr>
        <w:t>Employee Involvement: Information and Discretion</w:t>
      </w:r>
      <w:r>
        <w:t>. Brighton, Institute of Employment Studies</w:t>
      </w:r>
    </w:p>
    <w:p w:rsidR="008163D7" w:rsidRPr="008163D7" w:rsidRDefault="008163D7" w:rsidP="00515AC4">
      <w:pPr>
        <w:autoSpaceDE w:val="0"/>
        <w:autoSpaceDN w:val="0"/>
        <w:adjustRightInd w:val="0"/>
      </w:pPr>
      <w:proofErr w:type="gramStart"/>
      <w:r>
        <w:t>Gifford, J. and Young.</w:t>
      </w:r>
      <w:proofErr w:type="gramEnd"/>
      <w:r>
        <w:t xml:space="preserve"> J. (2021) </w:t>
      </w:r>
      <w:r>
        <w:rPr>
          <w:i/>
        </w:rPr>
        <w:t xml:space="preserve">Employee Engagement and Motivation, </w:t>
      </w:r>
      <w:r>
        <w:t xml:space="preserve">Factsheet, [Online] Available at: </w:t>
      </w:r>
      <w:hyperlink r:id="rId14" w:anchor="6233" w:history="1">
        <w:r>
          <w:rPr>
            <w:rStyle w:val="Hyperlink"/>
          </w:rPr>
          <w:t>Employee Engagement &amp; Motivation | Factsheets | CIPD</w:t>
        </w:r>
      </w:hyperlink>
      <w:r>
        <w:t xml:space="preserve"> (Accessed: 3</w:t>
      </w:r>
      <w:r w:rsidRPr="008163D7">
        <w:rPr>
          <w:vertAlign w:val="superscript"/>
        </w:rPr>
        <w:t>rd</w:t>
      </w:r>
      <w:r>
        <w:t xml:space="preserve"> February 2022)</w:t>
      </w:r>
    </w:p>
    <w:p w:rsidR="000870B6" w:rsidRDefault="000870B6" w:rsidP="004C49A9">
      <w:pPr>
        <w:shd w:val="clear" w:color="auto" w:fill="FFFFFF"/>
        <w:spacing w:after="0" w:line="240" w:lineRule="auto"/>
        <w:rPr>
          <w:rFonts w:eastAsia="Times New Roman" w:cstheme="minorHAnsi"/>
          <w:i/>
          <w:lang w:eastAsia="en-GB"/>
        </w:rPr>
      </w:pPr>
      <w:proofErr w:type="spellStart"/>
      <w:r w:rsidRPr="000870B6">
        <w:rPr>
          <w:rFonts w:eastAsia="Times New Roman" w:cstheme="minorHAnsi"/>
          <w:lang w:eastAsia="en-GB"/>
        </w:rPr>
        <w:t>Guilfoyle</w:t>
      </w:r>
      <w:proofErr w:type="spellEnd"/>
      <w:r w:rsidRPr="000870B6">
        <w:rPr>
          <w:rFonts w:eastAsia="Times New Roman" w:cstheme="minorHAnsi"/>
          <w:lang w:eastAsia="en-GB"/>
        </w:rPr>
        <w:t xml:space="preserve">, S. (2013) </w:t>
      </w:r>
      <w:r w:rsidRPr="000870B6">
        <w:rPr>
          <w:rFonts w:eastAsia="Times New Roman" w:cstheme="minorHAnsi"/>
          <w:i/>
          <w:lang w:eastAsia="en-GB"/>
        </w:rPr>
        <w:t>Intelligent Policing – How Systems Thinking Methods Eclipse Conventional Management Practice,</w:t>
      </w:r>
      <w:r w:rsidRPr="000870B6">
        <w:rPr>
          <w:rFonts w:eastAsia="Times New Roman" w:cstheme="minorHAnsi"/>
          <w:lang w:eastAsia="en-GB"/>
        </w:rPr>
        <w:t xml:space="preserve"> </w:t>
      </w:r>
      <w:proofErr w:type="spellStart"/>
      <w:r w:rsidRPr="000870B6">
        <w:rPr>
          <w:rFonts w:eastAsia="Times New Roman" w:cstheme="minorHAnsi"/>
          <w:lang w:eastAsia="en-GB"/>
        </w:rPr>
        <w:t>Axminster</w:t>
      </w:r>
      <w:proofErr w:type="spellEnd"/>
      <w:r w:rsidRPr="000870B6">
        <w:rPr>
          <w:rFonts w:eastAsia="Times New Roman" w:cstheme="minorHAnsi"/>
          <w:lang w:eastAsia="en-GB"/>
        </w:rPr>
        <w:t xml:space="preserve">, </w:t>
      </w:r>
      <w:proofErr w:type="spellStart"/>
      <w:r w:rsidRPr="000870B6">
        <w:rPr>
          <w:rFonts w:eastAsia="Times New Roman" w:cstheme="minorHAnsi"/>
          <w:lang w:eastAsia="en-GB"/>
        </w:rPr>
        <w:t>Triarchy</w:t>
      </w:r>
      <w:proofErr w:type="spellEnd"/>
      <w:r w:rsidRPr="000870B6">
        <w:rPr>
          <w:rFonts w:eastAsia="Times New Roman" w:cstheme="minorHAnsi"/>
          <w:lang w:eastAsia="en-GB"/>
        </w:rPr>
        <w:t xml:space="preserve"> Press</w:t>
      </w:r>
      <w:r w:rsidRPr="000870B6">
        <w:rPr>
          <w:rFonts w:eastAsia="Times New Roman" w:cstheme="minorHAnsi"/>
          <w:i/>
          <w:lang w:eastAsia="en-GB"/>
        </w:rPr>
        <w:t xml:space="preserve"> </w:t>
      </w:r>
    </w:p>
    <w:p w:rsidR="007106D1" w:rsidRDefault="007106D1" w:rsidP="004C49A9">
      <w:pPr>
        <w:shd w:val="clear" w:color="auto" w:fill="FFFFFF"/>
        <w:spacing w:after="0" w:line="240" w:lineRule="auto"/>
        <w:rPr>
          <w:rFonts w:eastAsia="Times New Roman" w:cstheme="minorHAnsi"/>
          <w:i/>
          <w:lang w:eastAsia="en-GB"/>
        </w:rPr>
      </w:pPr>
    </w:p>
    <w:p w:rsidR="007106D1" w:rsidRDefault="007106D1" w:rsidP="004C49A9">
      <w:pPr>
        <w:shd w:val="clear" w:color="auto" w:fill="FFFFFF"/>
        <w:spacing w:after="0" w:line="240" w:lineRule="auto"/>
      </w:pPr>
      <w:r>
        <w:rPr>
          <w:rFonts w:eastAsia="Times New Roman" w:cstheme="minorHAnsi"/>
          <w:lang w:eastAsia="en-GB"/>
        </w:rPr>
        <w:t xml:space="preserve">Great Britain, </w:t>
      </w:r>
      <w:r w:rsidRPr="007106D1">
        <w:rPr>
          <w:rFonts w:eastAsia="Times New Roman" w:cstheme="minorHAnsi"/>
          <w:lang w:eastAsia="en-GB"/>
        </w:rPr>
        <w:t>Central Arbitration Committee</w:t>
      </w:r>
      <w:r>
        <w:rPr>
          <w:rFonts w:eastAsia="Times New Roman" w:cstheme="minorHAnsi"/>
          <w:i/>
          <w:lang w:eastAsia="en-GB"/>
        </w:rPr>
        <w:t xml:space="preserve"> </w:t>
      </w:r>
      <w:r>
        <w:rPr>
          <w:rFonts w:eastAsia="Times New Roman" w:cstheme="minorHAnsi"/>
          <w:lang w:eastAsia="en-GB"/>
        </w:rPr>
        <w:t xml:space="preserve">(2020) </w:t>
      </w:r>
      <w:r>
        <w:rPr>
          <w:rFonts w:eastAsia="Times New Roman" w:cstheme="minorHAnsi"/>
          <w:i/>
          <w:lang w:eastAsia="en-GB"/>
        </w:rPr>
        <w:t xml:space="preserve">The Information and Consultation Regulations, </w:t>
      </w:r>
      <w:r>
        <w:rPr>
          <w:rFonts w:eastAsia="Times New Roman" w:cstheme="minorHAnsi"/>
          <w:lang w:eastAsia="en-GB"/>
        </w:rPr>
        <w:t xml:space="preserve">[Online] Available at: </w:t>
      </w:r>
      <w:hyperlink r:id="rId15" w:history="1">
        <w:r>
          <w:rPr>
            <w:rStyle w:val="Hyperlink"/>
          </w:rPr>
          <w:t>The Information and Consultation Regulations - GOV.UK (www.gov.uk)</w:t>
        </w:r>
      </w:hyperlink>
      <w:r>
        <w:t xml:space="preserve">  (Accessed: 30</w:t>
      </w:r>
      <w:r w:rsidRPr="007106D1">
        <w:rPr>
          <w:vertAlign w:val="superscript"/>
        </w:rPr>
        <w:t>th</w:t>
      </w:r>
      <w:r>
        <w:t xml:space="preserve"> January 2022)</w:t>
      </w:r>
    </w:p>
    <w:p w:rsidR="009C1142" w:rsidRDefault="009C1142" w:rsidP="004C49A9">
      <w:pPr>
        <w:shd w:val="clear" w:color="auto" w:fill="FFFFFF"/>
        <w:spacing w:after="0" w:line="240" w:lineRule="auto"/>
      </w:pPr>
    </w:p>
    <w:p w:rsidR="009C1142" w:rsidRPr="009C1142" w:rsidRDefault="009C1142" w:rsidP="004C49A9">
      <w:pPr>
        <w:shd w:val="clear" w:color="auto" w:fill="FFFFFF"/>
        <w:spacing w:after="0" w:line="240" w:lineRule="auto"/>
      </w:pPr>
      <w:r>
        <w:t xml:space="preserve">Harter, J. Schmidt, F. </w:t>
      </w:r>
      <w:proofErr w:type="spellStart"/>
      <w:r>
        <w:t>Agrawal</w:t>
      </w:r>
      <w:proofErr w:type="spellEnd"/>
      <w:r>
        <w:t xml:space="preserve">, S. Blue, A. </w:t>
      </w:r>
      <w:proofErr w:type="spellStart"/>
      <w:r>
        <w:t>Plowman</w:t>
      </w:r>
      <w:proofErr w:type="spellEnd"/>
      <w:r>
        <w:t xml:space="preserve">, S. Josh, P. and </w:t>
      </w:r>
      <w:proofErr w:type="spellStart"/>
      <w:r>
        <w:t>Asplund</w:t>
      </w:r>
      <w:proofErr w:type="spellEnd"/>
      <w:r>
        <w:t xml:space="preserve">, J. (2020) </w:t>
      </w:r>
      <w:proofErr w:type="gramStart"/>
      <w:r w:rsidRPr="009C1142">
        <w:rPr>
          <w:i/>
        </w:rPr>
        <w:t>The</w:t>
      </w:r>
      <w:proofErr w:type="gramEnd"/>
      <w:r w:rsidRPr="009C1142">
        <w:rPr>
          <w:i/>
        </w:rPr>
        <w:t xml:space="preserve"> Relationship Between Engagement at Work and Organizational Outcome</w:t>
      </w:r>
      <w:r>
        <w:t>. October 2020, Gallup</w:t>
      </w:r>
    </w:p>
    <w:p w:rsidR="004C49A9" w:rsidRPr="004C49A9" w:rsidRDefault="004C49A9" w:rsidP="004C49A9">
      <w:pPr>
        <w:shd w:val="clear" w:color="auto" w:fill="FFFFFF"/>
        <w:spacing w:after="0" w:line="240" w:lineRule="auto"/>
        <w:rPr>
          <w:rFonts w:eastAsia="Times New Roman" w:cstheme="minorHAnsi"/>
          <w:i/>
          <w:lang w:eastAsia="en-GB"/>
        </w:rPr>
      </w:pPr>
    </w:p>
    <w:p w:rsidR="00453071" w:rsidRDefault="00453071" w:rsidP="00BB32B9">
      <w:r>
        <w:t>Johns</w:t>
      </w:r>
      <w:r w:rsidR="00BB32B9">
        <w:t>, T.</w:t>
      </w:r>
      <w:r>
        <w:t xml:space="preserve"> and Ellis</w:t>
      </w:r>
      <w:r w:rsidR="00BB32B9">
        <w:t>,</w:t>
      </w:r>
      <w:r>
        <w:t xml:space="preserve"> </w:t>
      </w:r>
      <w:r w:rsidR="00BB32B9">
        <w:t>C</w:t>
      </w:r>
      <w:proofErr w:type="gramStart"/>
      <w:r w:rsidR="00BB32B9">
        <w:t>.</w:t>
      </w:r>
      <w:r>
        <w:t>(</w:t>
      </w:r>
      <w:proofErr w:type="gramEnd"/>
      <w:r>
        <w:t>2016)</w:t>
      </w:r>
      <w:r w:rsidR="00BB32B9">
        <w:t xml:space="preserve"> </w:t>
      </w:r>
      <w:r w:rsidR="00BB32B9">
        <w:rPr>
          <w:i/>
        </w:rPr>
        <w:t xml:space="preserve">Human Resource Management: People and Organisations, </w:t>
      </w:r>
      <w:r w:rsidR="00BB32B9">
        <w:t>2</w:t>
      </w:r>
      <w:r w:rsidR="00BB32B9" w:rsidRPr="00BB32B9">
        <w:rPr>
          <w:vertAlign w:val="superscript"/>
        </w:rPr>
        <w:t>nd</w:t>
      </w:r>
      <w:r w:rsidR="00BB32B9">
        <w:t xml:space="preserve"> </w:t>
      </w:r>
      <w:proofErr w:type="spellStart"/>
      <w:r w:rsidR="00BB32B9">
        <w:t>ed</w:t>
      </w:r>
      <w:proofErr w:type="spellEnd"/>
      <w:r w:rsidR="00BB32B9">
        <w:t>, London, Chartered Institute of Personnel and Development</w:t>
      </w:r>
    </w:p>
    <w:p w:rsidR="00534106" w:rsidRDefault="00534106" w:rsidP="00515AC4">
      <w:pPr>
        <w:autoSpaceDE w:val="0"/>
        <w:autoSpaceDN w:val="0"/>
        <w:adjustRightInd w:val="0"/>
      </w:pPr>
      <w:r>
        <w:t xml:space="preserve">Kahn, W. (1990) </w:t>
      </w:r>
      <w:proofErr w:type="gramStart"/>
      <w:r w:rsidRPr="00534106">
        <w:t>The</w:t>
      </w:r>
      <w:proofErr w:type="gramEnd"/>
      <w:r w:rsidRPr="00534106">
        <w:t xml:space="preserve"> psychological conditions of personal engagement and disengagement at work</w:t>
      </w:r>
      <w:r>
        <w:t xml:space="preserve">. </w:t>
      </w:r>
      <w:proofErr w:type="gramStart"/>
      <w:r>
        <w:rPr>
          <w:i/>
        </w:rPr>
        <w:t>Academy of Management Journal.</w:t>
      </w:r>
      <w:proofErr w:type="gramEnd"/>
      <w:r>
        <w:rPr>
          <w:i/>
        </w:rPr>
        <w:t xml:space="preserve"> </w:t>
      </w:r>
      <w:proofErr w:type="spellStart"/>
      <w:r>
        <w:t>Vol</w:t>
      </w:r>
      <w:proofErr w:type="spellEnd"/>
      <w:r>
        <w:t xml:space="preserve"> 33, pp692-724</w:t>
      </w:r>
    </w:p>
    <w:p w:rsidR="005F2B8A" w:rsidRDefault="005F2B8A" w:rsidP="00515AC4">
      <w:pPr>
        <w:autoSpaceDE w:val="0"/>
        <w:autoSpaceDN w:val="0"/>
        <w:adjustRightInd w:val="0"/>
      </w:pPr>
      <w:proofErr w:type="spellStart"/>
      <w:r>
        <w:lastRenderedPageBreak/>
        <w:t>Korsh</w:t>
      </w:r>
      <w:proofErr w:type="spellEnd"/>
      <w:r>
        <w:t xml:space="preserve">, J. and </w:t>
      </w:r>
      <w:proofErr w:type="spellStart"/>
      <w:r>
        <w:t>Gilmartin</w:t>
      </w:r>
      <w:proofErr w:type="spellEnd"/>
      <w:r>
        <w:t xml:space="preserve">, M. (2018) </w:t>
      </w:r>
      <w:r>
        <w:rPr>
          <w:i/>
        </w:rPr>
        <w:t xml:space="preserve">Navigating to employee relationship transformation: Going above and beyond when it comes to employee well-being </w:t>
      </w:r>
      <w:r>
        <w:t xml:space="preserve">[Online] Available at: </w:t>
      </w:r>
      <w:hyperlink r:id="rId16" w:history="1">
        <w:r>
          <w:rPr>
            <w:rStyle w:val="Hyperlink"/>
          </w:rPr>
          <w:t>Navigating to Employee Relationship Transformation | Deloitte US</w:t>
        </w:r>
      </w:hyperlink>
      <w:r w:rsidR="00733E7E">
        <w:t xml:space="preserve"> (Accessed: 6</w:t>
      </w:r>
      <w:r w:rsidR="00733E7E" w:rsidRPr="00733E7E">
        <w:rPr>
          <w:vertAlign w:val="superscript"/>
        </w:rPr>
        <w:t>th</w:t>
      </w:r>
      <w:r w:rsidR="00733E7E">
        <w:t xml:space="preserve"> February 2022)</w:t>
      </w:r>
    </w:p>
    <w:p w:rsidR="00CD52DE" w:rsidRPr="002507B2" w:rsidRDefault="00CD52DE" w:rsidP="00515AC4">
      <w:pPr>
        <w:autoSpaceDE w:val="0"/>
        <w:autoSpaceDN w:val="0"/>
        <w:adjustRightInd w:val="0"/>
      </w:pPr>
      <w:proofErr w:type="spellStart"/>
      <w:r>
        <w:t>Krentz</w:t>
      </w:r>
      <w:proofErr w:type="spellEnd"/>
      <w:r>
        <w:t xml:space="preserve">, M. Tracey, C. </w:t>
      </w:r>
      <w:proofErr w:type="spellStart"/>
      <w:r>
        <w:t>Tsusaka</w:t>
      </w:r>
      <w:proofErr w:type="spellEnd"/>
      <w:r>
        <w:t xml:space="preserve">, M. </w:t>
      </w:r>
      <w:proofErr w:type="spellStart"/>
      <w:r>
        <w:t>Strack</w:t>
      </w:r>
      <w:proofErr w:type="spellEnd"/>
      <w:r>
        <w:t xml:space="preserve">, R. Garcia-Alonso, J. </w:t>
      </w:r>
      <w:proofErr w:type="spellStart"/>
      <w:r>
        <w:t>Dosik</w:t>
      </w:r>
      <w:proofErr w:type="spellEnd"/>
      <w:r>
        <w:t xml:space="preserve">, D. and </w:t>
      </w:r>
      <w:proofErr w:type="spellStart"/>
      <w:r>
        <w:t>Kilmann</w:t>
      </w:r>
      <w:proofErr w:type="spellEnd"/>
      <w:r>
        <w:t xml:space="preserve">, J. (2016) </w:t>
      </w:r>
      <w:proofErr w:type="gramStart"/>
      <w:r>
        <w:rPr>
          <w:i/>
        </w:rPr>
        <w:t>The</w:t>
      </w:r>
      <w:proofErr w:type="gramEnd"/>
      <w:r>
        <w:rPr>
          <w:i/>
        </w:rPr>
        <w:t xml:space="preserve"> Rewards of an Engaged Female Workforce. </w:t>
      </w:r>
      <w:r w:rsidR="002507B2">
        <w:t xml:space="preserve">[Online] Available at: </w:t>
      </w:r>
      <w:hyperlink r:id="rId17" w:history="1">
        <w:r w:rsidR="002507B2">
          <w:rPr>
            <w:rStyle w:val="Hyperlink"/>
          </w:rPr>
          <w:t>The Rewards of an Engaged Female Workforce (bcg.com)</w:t>
        </w:r>
      </w:hyperlink>
      <w:r w:rsidR="002507B2">
        <w:t xml:space="preserve"> (Accessed: 6</w:t>
      </w:r>
      <w:r w:rsidR="002507B2" w:rsidRPr="002507B2">
        <w:rPr>
          <w:vertAlign w:val="superscript"/>
        </w:rPr>
        <w:t>th</w:t>
      </w:r>
      <w:r w:rsidR="002507B2">
        <w:t xml:space="preserve"> February 2022)</w:t>
      </w:r>
    </w:p>
    <w:p w:rsidR="00B06E0A" w:rsidRDefault="00B06E0A" w:rsidP="00515AC4">
      <w:pPr>
        <w:autoSpaceDE w:val="0"/>
        <w:autoSpaceDN w:val="0"/>
        <w:adjustRightInd w:val="0"/>
      </w:pPr>
      <w:proofErr w:type="spellStart"/>
      <w:r>
        <w:t>Legge</w:t>
      </w:r>
      <w:proofErr w:type="spellEnd"/>
      <w:r>
        <w:t xml:space="preserve">, K. (1995) </w:t>
      </w:r>
      <w:r>
        <w:rPr>
          <w:i/>
        </w:rPr>
        <w:t xml:space="preserve">Human Resources </w:t>
      </w:r>
      <w:proofErr w:type="spellStart"/>
      <w:r>
        <w:rPr>
          <w:i/>
        </w:rPr>
        <w:t>Managemet</w:t>
      </w:r>
      <w:proofErr w:type="spellEnd"/>
      <w:r>
        <w:rPr>
          <w:i/>
        </w:rPr>
        <w:t xml:space="preserve">: </w:t>
      </w:r>
      <w:proofErr w:type="spellStart"/>
      <w:r>
        <w:rPr>
          <w:i/>
        </w:rPr>
        <w:t>Rhetorics</w:t>
      </w:r>
      <w:proofErr w:type="spellEnd"/>
      <w:r>
        <w:rPr>
          <w:i/>
        </w:rPr>
        <w:t xml:space="preserve"> and Realities. </w:t>
      </w:r>
      <w:r>
        <w:t>Macmillan, Basingstoke</w:t>
      </w:r>
    </w:p>
    <w:p w:rsidR="003E4099" w:rsidRPr="003E4099" w:rsidRDefault="003E4099" w:rsidP="00515AC4">
      <w:pPr>
        <w:autoSpaceDE w:val="0"/>
        <w:autoSpaceDN w:val="0"/>
        <w:adjustRightInd w:val="0"/>
      </w:pPr>
      <w:r>
        <w:t xml:space="preserve">Macleod, D. (2015) </w:t>
      </w:r>
      <w:r>
        <w:rPr>
          <w:i/>
        </w:rPr>
        <w:t xml:space="preserve">Engage for Success </w:t>
      </w:r>
      <w:r>
        <w:t xml:space="preserve">[Online] </w:t>
      </w:r>
      <w:proofErr w:type="spellStart"/>
      <w:r>
        <w:t>Youtube</w:t>
      </w:r>
      <w:proofErr w:type="spellEnd"/>
      <w:r>
        <w:t xml:space="preserve">: Available at: </w:t>
      </w:r>
      <w:hyperlink r:id="rId18" w:history="1">
        <w:r>
          <w:rPr>
            <w:rStyle w:val="Hyperlink"/>
          </w:rPr>
          <w:t xml:space="preserve">Engage for Success - David MacLeod - </w:t>
        </w:r>
        <w:proofErr w:type="spellStart"/>
        <w:r>
          <w:rPr>
            <w:rStyle w:val="Hyperlink"/>
          </w:rPr>
          <w:t>GivebackUK</w:t>
        </w:r>
        <w:proofErr w:type="spellEnd"/>
        <w:r>
          <w:rPr>
            <w:rStyle w:val="Hyperlink"/>
          </w:rPr>
          <w:t xml:space="preserve"> - YouTube</w:t>
        </w:r>
      </w:hyperlink>
      <w:r>
        <w:t xml:space="preserve"> (Accessed: 30</w:t>
      </w:r>
      <w:r w:rsidRPr="003E4099">
        <w:rPr>
          <w:vertAlign w:val="superscript"/>
        </w:rPr>
        <w:t>th</w:t>
      </w:r>
      <w:r>
        <w:t xml:space="preserve"> January 2022)</w:t>
      </w:r>
    </w:p>
    <w:p w:rsidR="00534106" w:rsidRDefault="00534106" w:rsidP="00515AC4">
      <w:pPr>
        <w:autoSpaceDE w:val="0"/>
        <w:autoSpaceDN w:val="0"/>
        <w:adjustRightInd w:val="0"/>
      </w:pPr>
      <w:proofErr w:type="gramStart"/>
      <w:r>
        <w:t>Macleod, D. and Clarke.</w:t>
      </w:r>
      <w:proofErr w:type="gramEnd"/>
      <w:r>
        <w:t xml:space="preserve"> N. (2009) </w:t>
      </w:r>
      <w:proofErr w:type="gramStart"/>
      <w:r>
        <w:rPr>
          <w:i/>
        </w:rPr>
        <w:t>Engaging</w:t>
      </w:r>
      <w:proofErr w:type="gramEnd"/>
      <w:r>
        <w:rPr>
          <w:i/>
        </w:rPr>
        <w:t xml:space="preserve"> for success: enhancing performance through employee engagement: a report to government.  </w:t>
      </w:r>
      <w:r>
        <w:t>London. Department for Business, Innovation and Skills</w:t>
      </w:r>
    </w:p>
    <w:p w:rsidR="008634E7" w:rsidRDefault="008634E7" w:rsidP="00515AC4">
      <w:pPr>
        <w:autoSpaceDE w:val="0"/>
        <w:autoSpaceDN w:val="0"/>
        <w:adjustRightInd w:val="0"/>
      </w:pPr>
      <w:proofErr w:type="spellStart"/>
      <w:r>
        <w:t>Mariya</w:t>
      </w:r>
      <w:proofErr w:type="spellEnd"/>
      <w:r>
        <w:t xml:space="preserve"> (2021) </w:t>
      </w:r>
      <w:r>
        <w:rPr>
          <w:i/>
        </w:rPr>
        <w:t xml:space="preserve">Top 10 Employee Engagement Companies </w:t>
      </w:r>
      <w:r>
        <w:t xml:space="preserve">[Online] Available at: </w:t>
      </w:r>
      <w:hyperlink r:id="rId19" w:history="1">
        <w:r>
          <w:rPr>
            <w:rStyle w:val="Hyperlink"/>
          </w:rPr>
          <w:t>Top 10 Companies for Employee Engagement in 2022 (contactmonkey.com)</w:t>
        </w:r>
      </w:hyperlink>
      <w:r>
        <w:t xml:space="preserve"> (Accessed: 30</w:t>
      </w:r>
      <w:r w:rsidRPr="008634E7">
        <w:rPr>
          <w:vertAlign w:val="superscript"/>
        </w:rPr>
        <w:t>th</w:t>
      </w:r>
      <w:r>
        <w:t xml:space="preserve"> January 2022)</w:t>
      </w:r>
    </w:p>
    <w:p w:rsidR="009868C4" w:rsidRDefault="009868C4" w:rsidP="00515AC4">
      <w:pPr>
        <w:autoSpaceDE w:val="0"/>
        <w:autoSpaceDN w:val="0"/>
        <w:adjustRightInd w:val="0"/>
      </w:pPr>
      <w:r>
        <w:t>McKinsey (2021)</w:t>
      </w:r>
      <w:r>
        <w:rPr>
          <w:i/>
        </w:rPr>
        <w:t xml:space="preserve"> </w:t>
      </w:r>
      <w:r>
        <w:t xml:space="preserve">Women in the Workplace, [Online] Available at: </w:t>
      </w:r>
      <w:hyperlink r:id="rId20" w:history="1">
        <w:r>
          <w:rPr>
            <w:rStyle w:val="Hyperlink"/>
          </w:rPr>
          <w:t xml:space="preserve">Women in the </w:t>
        </w:r>
        <w:r>
          <w:rPr>
            <w:rStyle w:val="Hyperlink"/>
          </w:rPr>
          <w:t>W</w:t>
        </w:r>
        <w:r>
          <w:rPr>
            <w:rStyle w:val="Hyperlink"/>
          </w:rPr>
          <w:t>orkplace | McKinsey</w:t>
        </w:r>
      </w:hyperlink>
      <w:r>
        <w:t xml:space="preserve"> (Accessed: 3</w:t>
      </w:r>
      <w:r w:rsidRPr="009868C4">
        <w:rPr>
          <w:vertAlign w:val="superscript"/>
        </w:rPr>
        <w:t>rd</w:t>
      </w:r>
      <w:r>
        <w:t xml:space="preserve"> February 2022)</w:t>
      </w:r>
    </w:p>
    <w:p w:rsidR="004E30FD" w:rsidRPr="009868C4" w:rsidRDefault="004E30FD" w:rsidP="00515AC4">
      <w:pPr>
        <w:autoSpaceDE w:val="0"/>
        <w:autoSpaceDN w:val="0"/>
        <w:adjustRightInd w:val="0"/>
      </w:pPr>
      <w:r w:rsidRPr="004E30FD">
        <w:rPr>
          <w:i/>
        </w:rPr>
        <w:t>Mind (2020) The Mental Health Emergency:  How has the Corona Virus Impacted our Mental Health?</w:t>
      </w:r>
      <w:r>
        <w:t xml:space="preserve"> </w:t>
      </w:r>
      <w:r w:rsidR="000A12F3">
        <w:t xml:space="preserve">[Online] </w:t>
      </w:r>
      <w:r>
        <w:t xml:space="preserve">Available at: </w:t>
      </w:r>
      <w:hyperlink r:id="rId21" w:history="1">
        <w:r>
          <w:rPr>
            <w:rStyle w:val="Hyperlink"/>
          </w:rPr>
          <w:t>the-mental-health-emergency_a4_final.pdf (mind.org.uk)</w:t>
        </w:r>
      </w:hyperlink>
      <w:r>
        <w:t xml:space="preserve"> (Accessed: 6</w:t>
      </w:r>
      <w:r w:rsidRPr="004E30FD">
        <w:rPr>
          <w:vertAlign w:val="superscript"/>
        </w:rPr>
        <w:t>th</w:t>
      </w:r>
      <w:r>
        <w:t xml:space="preserve"> February 2022)</w:t>
      </w:r>
    </w:p>
    <w:p w:rsidR="003051B4" w:rsidRDefault="003051B4" w:rsidP="00515AC4">
      <w:pPr>
        <w:autoSpaceDE w:val="0"/>
        <w:autoSpaceDN w:val="0"/>
        <w:adjustRightInd w:val="0"/>
      </w:pPr>
      <w:proofErr w:type="spellStart"/>
      <w:r>
        <w:t>Mowday</w:t>
      </w:r>
      <w:proofErr w:type="spellEnd"/>
      <w:r>
        <w:t xml:space="preserve">, R. Steers, R. Porter, L. (1982) </w:t>
      </w:r>
      <w:r>
        <w:rPr>
          <w:i/>
        </w:rPr>
        <w:t>Employee-Organiza</w:t>
      </w:r>
      <w:r w:rsidR="009E6882">
        <w:rPr>
          <w:i/>
        </w:rPr>
        <w:t>tion Linkages: The Psychology o</w:t>
      </w:r>
      <w:r>
        <w:rPr>
          <w:i/>
        </w:rPr>
        <w:t xml:space="preserve">f Commitment, Absenteeism and Turnover. </w:t>
      </w:r>
      <w:r w:rsidR="009E6882" w:rsidRPr="009E6882">
        <w:t>New York</w:t>
      </w:r>
      <w:r w:rsidR="009E6882">
        <w:rPr>
          <w:i/>
        </w:rPr>
        <w:t xml:space="preserve">. </w:t>
      </w:r>
      <w:proofErr w:type="gramStart"/>
      <w:r w:rsidR="009E6882">
        <w:t>Academic Press.</w:t>
      </w:r>
      <w:proofErr w:type="gramEnd"/>
    </w:p>
    <w:p w:rsidR="00EF6281" w:rsidRPr="00B7364E" w:rsidRDefault="00B7364E" w:rsidP="00515AC4">
      <w:pPr>
        <w:autoSpaceDE w:val="0"/>
        <w:autoSpaceDN w:val="0"/>
        <w:adjustRightInd w:val="0"/>
      </w:pPr>
      <w:r>
        <w:t>Office for National Statistics</w:t>
      </w:r>
      <w:r w:rsidR="00EF6281">
        <w:t xml:space="preserve"> (2019) </w:t>
      </w:r>
      <w:r>
        <w:rPr>
          <w:i/>
        </w:rPr>
        <w:t xml:space="preserve">People Matters, Corporate Report </w:t>
      </w:r>
      <w:r>
        <w:t xml:space="preserve">[Online] Available at: </w:t>
      </w:r>
      <w:hyperlink r:id="rId22" w:tgtFrame="_blank" w:history="1">
        <w:r>
          <w:rPr>
            <w:rStyle w:val="Hyperlink"/>
            <w:rFonts w:ascii="Arial" w:hAnsi="Arial" w:cs="Arial"/>
            <w:color w:val="1A0DAB"/>
            <w:sz w:val="21"/>
            <w:szCs w:val="21"/>
            <w:shd w:val="clear" w:color="auto" w:fill="FFFFFF"/>
          </w:rPr>
          <w:t>https://www.ons.gov.uk/file?uri=/aboutus/whatwedo/peoplematters/ukstatisticsauthoritycorporatereport.pdf</w:t>
        </w:r>
      </w:hyperlink>
      <w:r>
        <w:t xml:space="preserve"> (Accessed: 6</w:t>
      </w:r>
      <w:r w:rsidRPr="00B7364E">
        <w:rPr>
          <w:vertAlign w:val="superscript"/>
        </w:rPr>
        <w:t>th</w:t>
      </w:r>
      <w:r>
        <w:t xml:space="preserve"> February 2022)</w:t>
      </w:r>
    </w:p>
    <w:p w:rsidR="006B35F3" w:rsidRDefault="006B35F3" w:rsidP="00515AC4">
      <w:pPr>
        <w:autoSpaceDE w:val="0"/>
        <w:autoSpaceDN w:val="0"/>
        <w:adjustRightInd w:val="0"/>
      </w:pPr>
      <w:proofErr w:type="spellStart"/>
      <w:r w:rsidRPr="006B35F3">
        <w:t>Przystanski</w:t>
      </w:r>
      <w:proofErr w:type="gramStart"/>
      <w:r w:rsidRPr="006B35F3">
        <w:t>,</w:t>
      </w:r>
      <w:r>
        <w:t>A</w:t>
      </w:r>
      <w:proofErr w:type="spellEnd"/>
      <w:proofErr w:type="gramEnd"/>
      <w:r>
        <w:t>.(</w:t>
      </w:r>
      <w:r w:rsidRPr="006B35F3">
        <w:t>2020</w:t>
      </w:r>
      <w:r>
        <w:t>) The ROI of Employee Engagement: 5 reasons why it’s worth the cost</w:t>
      </w:r>
      <w:r w:rsidR="00322A50">
        <w:t>.</w:t>
      </w:r>
      <w:r>
        <w:t xml:space="preserve"> </w:t>
      </w:r>
      <w:r>
        <w:rPr>
          <w:i/>
        </w:rPr>
        <w:t>Lattices magazine for HR Prof</w:t>
      </w:r>
      <w:r w:rsidR="00322A50">
        <w:rPr>
          <w:i/>
        </w:rPr>
        <w:t xml:space="preserve">essionals [online] </w:t>
      </w:r>
      <w:r w:rsidR="00322A50" w:rsidRPr="00322A50">
        <w:t>Available at</w:t>
      </w:r>
      <w:r w:rsidR="00322A50">
        <w:t xml:space="preserve">: </w:t>
      </w:r>
      <w:hyperlink r:id="rId23" w:history="1">
        <w:r w:rsidR="00322A50">
          <w:rPr>
            <w:rStyle w:val="Hyperlink"/>
          </w:rPr>
          <w:t>(1) New Messages! (lattice.com)</w:t>
        </w:r>
      </w:hyperlink>
      <w:r w:rsidR="00322A50">
        <w:t xml:space="preserve"> (Accessed: 29</w:t>
      </w:r>
      <w:r w:rsidR="00322A50" w:rsidRPr="00322A50">
        <w:rPr>
          <w:vertAlign w:val="superscript"/>
        </w:rPr>
        <w:t>th</w:t>
      </w:r>
      <w:r w:rsidR="00322A50">
        <w:t xml:space="preserve"> January 2022)</w:t>
      </w:r>
    </w:p>
    <w:p w:rsidR="001F2052" w:rsidRDefault="001F2052" w:rsidP="00515AC4">
      <w:pPr>
        <w:autoSpaceDE w:val="0"/>
        <w:autoSpaceDN w:val="0"/>
        <w:adjustRightInd w:val="0"/>
      </w:pPr>
      <w:r>
        <w:t xml:space="preserve">Purcell, J. (2010) </w:t>
      </w:r>
      <w:r w:rsidR="003E4099">
        <w:rPr>
          <w:i/>
        </w:rPr>
        <w:t xml:space="preserve">Building Employee Engagement, </w:t>
      </w:r>
      <w:r w:rsidR="003E4099">
        <w:t>Policy Discussion Paper, London. ACAS</w:t>
      </w:r>
    </w:p>
    <w:p w:rsidR="000A5C6B" w:rsidRDefault="000A5C6B" w:rsidP="00515AC4">
      <w:pPr>
        <w:autoSpaceDE w:val="0"/>
        <w:autoSpaceDN w:val="0"/>
        <w:adjustRightInd w:val="0"/>
      </w:pPr>
      <w:proofErr w:type="gramStart"/>
      <w:r>
        <w:t xml:space="preserve">Robinson, D. and </w:t>
      </w:r>
      <w:proofErr w:type="spellStart"/>
      <w:r>
        <w:t>Hayday</w:t>
      </w:r>
      <w:proofErr w:type="spellEnd"/>
      <w:r>
        <w:t>, S. (2009)</w:t>
      </w:r>
      <w:r>
        <w:rPr>
          <w:i/>
        </w:rPr>
        <w:t xml:space="preserve"> Engaging Managers, </w:t>
      </w:r>
      <w:r>
        <w:t>London.</w:t>
      </w:r>
      <w:proofErr w:type="gramEnd"/>
      <w:r>
        <w:t xml:space="preserve"> Institute of Employment Studie</w:t>
      </w:r>
      <w:r w:rsidR="001522F4">
        <w:t>s</w:t>
      </w:r>
    </w:p>
    <w:p w:rsidR="001B5A52" w:rsidRPr="001B5A52" w:rsidRDefault="001522F4" w:rsidP="00515AC4">
      <w:pPr>
        <w:autoSpaceDE w:val="0"/>
        <w:autoSpaceDN w:val="0"/>
        <w:adjustRightInd w:val="0"/>
      </w:pPr>
      <w:proofErr w:type="spellStart"/>
      <w:r>
        <w:t>Rothwell</w:t>
      </w:r>
      <w:proofErr w:type="spellEnd"/>
      <w:r>
        <w:t>, W. (2016) 5 Barriers to Employee Engagement</w:t>
      </w:r>
      <w:r w:rsidR="001B5A52">
        <w:t>,</w:t>
      </w:r>
      <w:r>
        <w:t xml:space="preserve"> </w:t>
      </w:r>
      <w:r>
        <w:rPr>
          <w:i/>
        </w:rPr>
        <w:t>Association for Talent D</w:t>
      </w:r>
      <w:r w:rsidR="001B5A52">
        <w:rPr>
          <w:i/>
        </w:rPr>
        <w:t xml:space="preserve">evelopment, </w:t>
      </w:r>
      <w:r w:rsidR="001B5A52">
        <w:t>11</w:t>
      </w:r>
      <w:r w:rsidR="001B5A52" w:rsidRPr="001B5A52">
        <w:rPr>
          <w:vertAlign w:val="superscript"/>
        </w:rPr>
        <w:t>th</w:t>
      </w:r>
      <w:r w:rsidR="001B5A52">
        <w:t xml:space="preserve"> April 2016 [Online] Available at: </w:t>
      </w:r>
      <w:hyperlink r:id="rId24" w:history="1">
        <w:r w:rsidR="001B5A52">
          <w:rPr>
            <w:rStyle w:val="Hyperlink"/>
          </w:rPr>
          <w:t>5 Barriers to Employee Engagement (td.org)</w:t>
        </w:r>
      </w:hyperlink>
      <w:r w:rsidR="001B5A52">
        <w:t xml:space="preserve"> (Accessed: 6</w:t>
      </w:r>
      <w:r w:rsidR="001B5A52" w:rsidRPr="001B5A52">
        <w:rPr>
          <w:vertAlign w:val="superscript"/>
        </w:rPr>
        <w:t>th</w:t>
      </w:r>
      <w:r w:rsidR="001B5A52">
        <w:t xml:space="preserve"> February 2022)</w:t>
      </w:r>
    </w:p>
    <w:p w:rsidR="000A5C6B" w:rsidRPr="000A5C6B" w:rsidRDefault="000A5C6B" w:rsidP="00515AC4">
      <w:pPr>
        <w:autoSpaceDE w:val="0"/>
        <w:autoSpaceDN w:val="0"/>
        <w:adjustRightInd w:val="0"/>
      </w:pPr>
      <w:proofErr w:type="spellStart"/>
      <w:proofErr w:type="gramStart"/>
      <w:r>
        <w:t>SoGoSurvey</w:t>
      </w:r>
      <w:proofErr w:type="spellEnd"/>
      <w:r>
        <w:t xml:space="preserve"> (2021) </w:t>
      </w:r>
      <w:r w:rsidRPr="000A5C6B">
        <w:t>Managers’ Vital Role in Employee Engagement</w:t>
      </w:r>
      <w:r>
        <w:rPr>
          <w:i/>
        </w:rPr>
        <w:t>.</w:t>
      </w:r>
      <w:proofErr w:type="gramEnd"/>
      <w:r>
        <w:rPr>
          <w:i/>
        </w:rPr>
        <w:t xml:space="preserve"> </w:t>
      </w:r>
      <w:proofErr w:type="spellStart"/>
      <w:r>
        <w:rPr>
          <w:i/>
        </w:rPr>
        <w:t>SoGoSurvey</w:t>
      </w:r>
      <w:proofErr w:type="spellEnd"/>
      <w:r>
        <w:rPr>
          <w:i/>
        </w:rPr>
        <w:t xml:space="preserve"> </w:t>
      </w:r>
      <w:proofErr w:type="gramStart"/>
      <w:r>
        <w:rPr>
          <w:i/>
        </w:rPr>
        <w:t xml:space="preserve">Blog </w:t>
      </w:r>
      <w:r>
        <w:t xml:space="preserve"> 6</w:t>
      </w:r>
      <w:r w:rsidRPr="000A5C6B">
        <w:rPr>
          <w:vertAlign w:val="superscript"/>
        </w:rPr>
        <w:t>th</w:t>
      </w:r>
      <w:proofErr w:type="gramEnd"/>
      <w:r>
        <w:t xml:space="preserve"> May 2021. Available at: </w:t>
      </w:r>
      <w:hyperlink r:id="rId25" w:history="1">
        <w:r>
          <w:rPr>
            <w:rStyle w:val="Hyperlink"/>
          </w:rPr>
          <w:t xml:space="preserve">Managers’ Vital Role in Employee Engagement - </w:t>
        </w:r>
        <w:proofErr w:type="spellStart"/>
        <w:r>
          <w:rPr>
            <w:rStyle w:val="Hyperlink"/>
          </w:rPr>
          <w:t>SoGoSurvey</w:t>
        </w:r>
        <w:proofErr w:type="spellEnd"/>
        <w:r>
          <w:rPr>
            <w:rStyle w:val="Hyperlink"/>
          </w:rPr>
          <w:t xml:space="preserve"> Blog</w:t>
        </w:r>
      </w:hyperlink>
      <w:r>
        <w:t xml:space="preserve"> (Accessed: 3</w:t>
      </w:r>
      <w:r w:rsidRPr="000A5C6B">
        <w:rPr>
          <w:vertAlign w:val="superscript"/>
        </w:rPr>
        <w:t>rd</w:t>
      </w:r>
      <w:r>
        <w:t xml:space="preserve"> February 2022)</w:t>
      </w:r>
    </w:p>
    <w:p w:rsidR="000870B6" w:rsidRDefault="000870B6" w:rsidP="000870B6">
      <w:pPr>
        <w:rPr>
          <w:rFonts w:cstheme="minorHAnsi"/>
        </w:rPr>
      </w:pPr>
      <w:proofErr w:type="spellStart"/>
      <w:proofErr w:type="gramStart"/>
      <w:r w:rsidRPr="000870B6">
        <w:rPr>
          <w:rFonts w:cstheme="minorHAnsi"/>
        </w:rPr>
        <w:lastRenderedPageBreak/>
        <w:t>Seddon</w:t>
      </w:r>
      <w:proofErr w:type="spellEnd"/>
      <w:r w:rsidRPr="000870B6">
        <w:rPr>
          <w:rFonts w:cstheme="minorHAnsi"/>
        </w:rPr>
        <w:t xml:space="preserve">, J. (2008) </w:t>
      </w:r>
      <w:r w:rsidRPr="000870B6">
        <w:rPr>
          <w:rFonts w:cstheme="minorHAnsi"/>
          <w:i/>
        </w:rPr>
        <w:t>Systems Thinking in the Public Sector – the failure of the reform regime...and a manifesto for a better way.</w:t>
      </w:r>
      <w:proofErr w:type="gramEnd"/>
      <w:r w:rsidRPr="000870B6">
        <w:rPr>
          <w:rFonts w:cstheme="minorHAnsi"/>
          <w:i/>
        </w:rPr>
        <w:t xml:space="preserve"> </w:t>
      </w:r>
      <w:proofErr w:type="spellStart"/>
      <w:r w:rsidRPr="000870B6">
        <w:rPr>
          <w:rFonts w:cstheme="minorHAnsi"/>
        </w:rPr>
        <w:t>Axminster</w:t>
      </w:r>
      <w:proofErr w:type="spellEnd"/>
      <w:r w:rsidRPr="000870B6">
        <w:rPr>
          <w:rFonts w:cstheme="minorHAnsi"/>
        </w:rPr>
        <w:t xml:space="preserve">, </w:t>
      </w:r>
      <w:proofErr w:type="spellStart"/>
      <w:r w:rsidRPr="000870B6">
        <w:rPr>
          <w:rFonts w:cstheme="minorHAnsi"/>
        </w:rPr>
        <w:t>Triarchy</w:t>
      </w:r>
      <w:proofErr w:type="spellEnd"/>
      <w:r w:rsidRPr="000870B6">
        <w:rPr>
          <w:rFonts w:cstheme="minorHAnsi"/>
        </w:rPr>
        <w:t xml:space="preserve"> Press.</w:t>
      </w:r>
    </w:p>
    <w:p w:rsidR="005555C3" w:rsidRDefault="005555C3" w:rsidP="000870B6">
      <w:pPr>
        <w:rPr>
          <w:rFonts w:cstheme="minorHAnsi"/>
        </w:rPr>
      </w:pPr>
      <w:proofErr w:type="spellStart"/>
      <w:proofErr w:type="gramStart"/>
      <w:r>
        <w:rPr>
          <w:rFonts w:cstheme="minorHAnsi"/>
        </w:rPr>
        <w:t>Seddon</w:t>
      </w:r>
      <w:proofErr w:type="spellEnd"/>
      <w:r>
        <w:rPr>
          <w:rFonts w:cstheme="minorHAnsi"/>
        </w:rPr>
        <w:t xml:space="preserve">, J. (2010) </w:t>
      </w:r>
      <w:r>
        <w:rPr>
          <w:rFonts w:cstheme="minorHAnsi"/>
          <w:i/>
        </w:rPr>
        <w:t>Delivering P</w:t>
      </w:r>
      <w:r w:rsidR="001A4DB5">
        <w:rPr>
          <w:rFonts w:cstheme="minorHAnsi"/>
          <w:i/>
        </w:rPr>
        <w:t>ublic Services that Work.</w:t>
      </w:r>
      <w:proofErr w:type="gramEnd"/>
      <w:r w:rsidR="001A4DB5">
        <w:rPr>
          <w:rFonts w:cstheme="minorHAnsi"/>
          <w:i/>
        </w:rPr>
        <w:t xml:space="preserve"> </w:t>
      </w:r>
      <w:proofErr w:type="spellStart"/>
      <w:r w:rsidR="001A4DB5">
        <w:rPr>
          <w:rFonts w:cstheme="minorHAnsi"/>
        </w:rPr>
        <w:t>Axminster</w:t>
      </w:r>
      <w:proofErr w:type="spellEnd"/>
      <w:r w:rsidR="001A4DB5">
        <w:rPr>
          <w:rFonts w:cstheme="minorHAnsi"/>
        </w:rPr>
        <w:t xml:space="preserve">, </w:t>
      </w:r>
      <w:proofErr w:type="spellStart"/>
      <w:r w:rsidR="001A4DB5">
        <w:rPr>
          <w:rFonts w:cstheme="minorHAnsi"/>
        </w:rPr>
        <w:t>Triarchy</w:t>
      </w:r>
      <w:proofErr w:type="spellEnd"/>
      <w:r w:rsidR="001A4DB5">
        <w:rPr>
          <w:rFonts w:cstheme="minorHAnsi"/>
        </w:rPr>
        <w:t xml:space="preserve"> Press</w:t>
      </w:r>
    </w:p>
    <w:p w:rsidR="003678FC" w:rsidRDefault="003678FC" w:rsidP="003678FC">
      <w:pPr>
        <w:autoSpaceDE w:val="0"/>
        <w:autoSpaceDN w:val="0"/>
        <w:adjustRightInd w:val="0"/>
      </w:pPr>
      <w:r>
        <w:t xml:space="preserve">Suleiman (2018) </w:t>
      </w:r>
      <w:proofErr w:type="gramStart"/>
      <w:r>
        <w:t>How</w:t>
      </w:r>
      <w:proofErr w:type="gramEnd"/>
      <w:r>
        <w:t xml:space="preserve"> businesses can manage BAME employees, </w:t>
      </w:r>
      <w:r>
        <w:rPr>
          <w:i/>
        </w:rPr>
        <w:t xml:space="preserve">HR Magazine, </w:t>
      </w:r>
      <w:r>
        <w:t>13</w:t>
      </w:r>
      <w:r w:rsidRPr="00024556">
        <w:rPr>
          <w:vertAlign w:val="superscript"/>
        </w:rPr>
        <w:t>th</w:t>
      </w:r>
      <w:r>
        <w:t xml:space="preserve"> November 2018 Available at: </w:t>
      </w:r>
      <w:hyperlink r:id="rId26" w:history="1">
        <w:r>
          <w:rPr>
            <w:rStyle w:val="Hyperlink"/>
          </w:rPr>
          <w:t>HR Magazine - How businesses can engage BAME employees</w:t>
        </w:r>
      </w:hyperlink>
      <w:r>
        <w:t xml:space="preserve"> (Accessed:  3</w:t>
      </w:r>
      <w:r w:rsidRPr="00024556">
        <w:rPr>
          <w:vertAlign w:val="superscript"/>
        </w:rPr>
        <w:t>rd</w:t>
      </w:r>
      <w:r>
        <w:t xml:space="preserve"> February 2022)</w:t>
      </w:r>
    </w:p>
    <w:p w:rsidR="00EB6FEB" w:rsidRPr="00EB6FEB" w:rsidRDefault="00EB6FEB" w:rsidP="003678FC">
      <w:pPr>
        <w:autoSpaceDE w:val="0"/>
        <w:autoSpaceDN w:val="0"/>
        <w:adjustRightInd w:val="0"/>
      </w:pPr>
      <w:r>
        <w:t xml:space="preserve">Terry, M. (2021) </w:t>
      </w:r>
      <w:r>
        <w:rPr>
          <w:i/>
        </w:rPr>
        <w:t xml:space="preserve">Employee Engagement – Trends for 2021: Focus has </w:t>
      </w:r>
      <w:proofErr w:type="gramStart"/>
      <w:r>
        <w:rPr>
          <w:i/>
        </w:rPr>
        <w:t>Changed</w:t>
      </w:r>
      <w:proofErr w:type="gramEnd"/>
      <w:r>
        <w:rPr>
          <w:i/>
        </w:rPr>
        <w:t xml:space="preserve"> for the Better </w:t>
      </w:r>
      <w:r>
        <w:t xml:space="preserve">[Online] Available at: </w:t>
      </w:r>
      <w:hyperlink r:id="rId27" w:history="1">
        <w:r>
          <w:rPr>
            <w:rStyle w:val="Hyperlink"/>
          </w:rPr>
          <w:t>Employee Engagement Trends for 2021: Focus has Changed for the Better (talkfreely.com)</w:t>
        </w:r>
      </w:hyperlink>
      <w:r>
        <w:t xml:space="preserve"> (Accessed: 6</w:t>
      </w:r>
      <w:r w:rsidRPr="00EB6FEB">
        <w:rPr>
          <w:vertAlign w:val="superscript"/>
        </w:rPr>
        <w:t>th</w:t>
      </w:r>
      <w:r>
        <w:t xml:space="preserve"> October 2022)</w:t>
      </w:r>
    </w:p>
    <w:p w:rsidR="006D0DB6" w:rsidRPr="006D0DB6" w:rsidRDefault="006D0DB6" w:rsidP="000870B6">
      <w:pPr>
        <w:rPr>
          <w:rFonts w:cstheme="minorHAnsi"/>
        </w:rPr>
      </w:pPr>
      <w:proofErr w:type="spellStart"/>
      <w:r>
        <w:rPr>
          <w:rFonts w:cstheme="minorHAnsi"/>
        </w:rPr>
        <w:t>Yarlagadda</w:t>
      </w:r>
      <w:proofErr w:type="spellEnd"/>
      <w:r>
        <w:rPr>
          <w:rFonts w:cstheme="minorHAnsi"/>
        </w:rPr>
        <w:t xml:space="preserve">, R. </w:t>
      </w:r>
      <w:proofErr w:type="spellStart"/>
      <w:r>
        <w:rPr>
          <w:rFonts w:cstheme="minorHAnsi"/>
        </w:rPr>
        <w:t>Dromey</w:t>
      </w:r>
      <w:proofErr w:type="gramStart"/>
      <w:r>
        <w:rPr>
          <w:rFonts w:cstheme="minorHAnsi"/>
        </w:rPr>
        <w:t>,J</w:t>
      </w:r>
      <w:proofErr w:type="spellEnd"/>
      <w:proofErr w:type="gramEnd"/>
      <w:r>
        <w:rPr>
          <w:rFonts w:cstheme="minorHAnsi"/>
        </w:rPr>
        <w:t xml:space="preserve">. and </w:t>
      </w:r>
      <w:proofErr w:type="spellStart"/>
      <w:r>
        <w:rPr>
          <w:rFonts w:cstheme="minorHAnsi"/>
        </w:rPr>
        <w:t>Fanshawe</w:t>
      </w:r>
      <w:proofErr w:type="spellEnd"/>
      <w:r>
        <w:rPr>
          <w:rFonts w:cstheme="minorHAnsi"/>
        </w:rPr>
        <w:t xml:space="preserve">, S. (2015) </w:t>
      </w:r>
      <w:r>
        <w:rPr>
          <w:rFonts w:cstheme="minorHAnsi"/>
          <w:i/>
        </w:rPr>
        <w:t xml:space="preserve">Diverse voices – engaging employees in an </w:t>
      </w:r>
      <w:proofErr w:type="spellStart"/>
      <w:r>
        <w:rPr>
          <w:rFonts w:cstheme="minorHAnsi"/>
          <w:i/>
        </w:rPr>
        <w:t>uncreasingly</w:t>
      </w:r>
      <w:proofErr w:type="spellEnd"/>
      <w:r>
        <w:rPr>
          <w:rFonts w:cstheme="minorHAnsi"/>
          <w:i/>
        </w:rPr>
        <w:t xml:space="preserve"> diverse workforce. </w:t>
      </w:r>
      <w:r>
        <w:rPr>
          <w:rFonts w:cstheme="minorHAnsi"/>
        </w:rPr>
        <w:t>London. IPA/</w:t>
      </w:r>
      <w:proofErr w:type="spellStart"/>
      <w:r>
        <w:rPr>
          <w:rFonts w:cstheme="minorHAnsi"/>
        </w:rPr>
        <w:t>Astar-Fanshawe</w:t>
      </w:r>
      <w:proofErr w:type="spellEnd"/>
    </w:p>
    <w:p w:rsidR="00534106" w:rsidRPr="00534106" w:rsidRDefault="00534106" w:rsidP="00515AC4">
      <w:pPr>
        <w:autoSpaceDE w:val="0"/>
        <w:autoSpaceDN w:val="0"/>
        <w:adjustRightInd w:val="0"/>
      </w:pPr>
    </w:p>
    <w:p w:rsidR="00534106" w:rsidRDefault="00534106" w:rsidP="00515AC4">
      <w:pPr>
        <w:autoSpaceDE w:val="0"/>
        <w:autoSpaceDN w:val="0"/>
        <w:adjustRightInd w:val="0"/>
      </w:pPr>
    </w:p>
    <w:p w:rsidR="00515AC4" w:rsidRDefault="00515AC4" w:rsidP="00515AC4"/>
    <w:sectPr w:rsidR="00515A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96929" w:rsidRDefault="00996929" w:rsidP="00AD0DD9">
      <w:pPr>
        <w:spacing w:after="0" w:line="240" w:lineRule="auto"/>
      </w:pPr>
      <w:r>
        <w:separator/>
      </w:r>
    </w:p>
  </w:endnote>
  <w:endnote w:type="continuationSeparator" w:id="0">
    <w:p w:rsidR="00996929" w:rsidRDefault="00996929" w:rsidP="00AD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96929" w:rsidRDefault="00996929" w:rsidP="00AD0DD9">
      <w:pPr>
        <w:spacing w:after="0" w:line="240" w:lineRule="auto"/>
      </w:pPr>
      <w:r>
        <w:separator/>
      </w:r>
    </w:p>
  </w:footnote>
  <w:footnote w:type="continuationSeparator" w:id="0">
    <w:p w:rsidR="00996929" w:rsidRDefault="00996929" w:rsidP="00AD0D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618A6"/>
    <w:multiLevelType w:val="hybridMultilevel"/>
    <w:tmpl w:val="918AFDF4"/>
    <w:lvl w:ilvl="0" w:tplc="042EC94E">
      <w:start w:val="1"/>
      <w:numFmt w:val="bullet"/>
      <w:lvlText w:val="•"/>
      <w:lvlJc w:val="left"/>
      <w:pPr>
        <w:tabs>
          <w:tab w:val="num" w:pos="720"/>
        </w:tabs>
        <w:ind w:left="720" w:hanging="360"/>
      </w:pPr>
      <w:rPr>
        <w:rFonts w:ascii="Arial" w:hAnsi="Arial" w:hint="default"/>
      </w:rPr>
    </w:lvl>
    <w:lvl w:ilvl="1" w:tplc="542A63B8">
      <w:start w:val="2166"/>
      <w:numFmt w:val="bullet"/>
      <w:lvlText w:val="•"/>
      <w:lvlJc w:val="left"/>
      <w:pPr>
        <w:tabs>
          <w:tab w:val="num" w:pos="1440"/>
        </w:tabs>
        <w:ind w:left="1440" w:hanging="360"/>
      </w:pPr>
      <w:rPr>
        <w:rFonts w:ascii="Arial" w:hAnsi="Arial" w:hint="default"/>
      </w:rPr>
    </w:lvl>
    <w:lvl w:ilvl="2" w:tplc="F88A7A4C" w:tentative="1">
      <w:start w:val="1"/>
      <w:numFmt w:val="bullet"/>
      <w:lvlText w:val="•"/>
      <w:lvlJc w:val="left"/>
      <w:pPr>
        <w:tabs>
          <w:tab w:val="num" w:pos="2160"/>
        </w:tabs>
        <w:ind w:left="2160" w:hanging="360"/>
      </w:pPr>
      <w:rPr>
        <w:rFonts w:ascii="Arial" w:hAnsi="Arial" w:hint="default"/>
      </w:rPr>
    </w:lvl>
    <w:lvl w:ilvl="3" w:tplc="1EE0CE3C" w:tentative="1">
      <w:start w:val="1"/>
      <w:numFmt w:val="bullet"/>
      <w:lvlText w:val="•"/>
      <w:lvlJc w:val="left"/>
      <w:pPr>
        <w:tabs>
          <w:tab w:val="num" w:pos="2880"/>
        </w:tabs>
        <w:ind w:left="2880" w:hanging="360"/>
      </w:pPr>
      <w:rPr>
        <w:rFonts w:ascii="Arial" w:hAnsi="Arial" w:hint="default"/>
      </w:rPr>
    </w:lvl>
    <w:lvl w:ilvl="4" w:tplc="49C47692" w:tentative="1">
      <w:start w:val="1"/>
      <w:numFmt w:val="bullet"/>
      <w:lvlText w:val="•"/>
      <w:lvlJc w:val="left"/>
      <w:pPr>
        <w:tabs>
          <w:tab w:val="num" w:pos="3600"/>
        </w:tabs>
        <w:ind w:left="3600" w:hanging="360"/>
      </w:pPr>
      <w:rPr>
        <w:rFonts w:ascii="Arial" w:hAnsi="Arial" w:hint="default"/>
      </w:rPr>
    </w:lvl>
    <w:lvl w:ilvl="5" w:tplc="30A244C6" w:tentative="1">
      <w:start w:val="1"/>
      <w:numFmt w:val="bullet"/>
      <w:lvlText w:val="•"/>
      <w:lvlJc w:val="left"/>
      <w:pPr>
        <w:tabs>
          <w:tab w:val="num" w:pos="4320"/>
        </w:tabs>
        <w:ind w:left="4320" w:hanging="360"/>
      </w:pPr>
      <w:rPr>
        <w:rFonts w:ascii="Arial" w:hAnsi="Arial" w:hint="default"/>
      </w:rPr>
    </w:lvl>
    <w:lvl w:ilvl="6" w:tplc="F0C67478" w:tentative="1">
      <w:start w:val="1"/>
      <w:numFmt w:val="bullet"/>
      <w:lvlText w:val="•"/>
      <w:lvlJc w:val="left"/>
      <w:pPr>
        <w:tabs>
          <w:tab w:val="num" w:pos="5040"/>
        </w:tabs>
        <w:ind w:left="5040" w:hanging="360"/>
      </w:pPr>
      <w:rPr>
        <w:rFonts w:ascii="Arial" w:hAnsi="Arial" w:hint="default"/>
      </w:rPr>
    </w:lvl>
    <w:lvl w:ilvl="7" w:tplc="8C60D250" w:tentative="1">
      <w:start w:val="1"/>
      <w:numFmt w:val="bullet"/>
      <w:lvlText w:val="•"/>
      <w:lvlJc w:val="left"/>
      <w:pPr>
        <w:tabs>
          <w:tab w:val="num" w:pos="5760"/>
        </w:tabs>
        <w:ind w:left="5760" w:hanging="360"/>
      </w:pPr>
      <w:rPr>
        <w:rFonts w:ascii="Arial" w:hAnsi="Arial" w:hint="default"/>
      </w:rPr>
    </w:lvl>
    <w:lvl w:ilvl="8" w:tplc="051AFCF2" w:tentative="1">
      <w:start w:val="1"/>
      <w:numFmt w:val="bullet"/>
      <w:lvlText w:val="•"/>
      <w:lvlJc w:val="left"/>
      <w:pPr>
        <w:tabs>
          <w:tab w:val="num" w:pos="6480"/>
        </w:tabs>
        <w:ind w:left="6480" w:hanging="360"/>
      </w:pPr>
      <w:rPr>
        <w:rFonts w:ascii="Arial" w:hAnsi="Arial" w:hint="default"/>
      </w:rPr>
    </w:lvl>
  </w:abstractNum>
  <w:abstractNum w:abstractNumId="1">
    <w:nsid w:val="28340EF7"/>
    <w:multiLevelType w:val="hybridMultilevel"/>
    <w:tmpl w:val="811EF34E"/>
    <w:lvl w:ilvl="0" w:tplc="C0F4FB8C">
      <w:start w:val="1"/>
      <w:numFmt w:val="decimal"/>
      <w:lvlText w:val="%1."/>
      <w:lvlJc w:val="left"/>
      <w:pPr>
        <w:tabs>
          <w:tab w:val="num" w:pos="720"/>
        </w:tabs>
        <w:ind w:left="720" w:hanging="360"/>
      </w:pPr>
    </w:lvl>
    <w:lvl w:ilvl="1" w:tplc="EF34235C" w:tentative="1">
      <w:start w:val="1"/>
      <w:numFmt w:val="decimal"/>
      <w:lvlText w:val="%2."/>
      <w:lvlJc w:val="left"/>
      <w:pPr>
        <w:tabs>
          <w:tab w:val="num" w:pos="1440"/>
        </w:tabs>
        <w:ind w:left="1440" w:hanging="360"/>
      </w:pPr>
    </w:lvl>
    <w:lvl w:ilvl="2" w:tplc="CFC087C6" w:tentative="1">
      <w:start w:val="1"/>
      <w:numFmt w:val="decimal"/>
      <w:lvlText w:val="%3."/>
      <w:lvlJc w:val="left"/>
      <w:pPr>
        <w:tabs>
          <w:tab w:val="num" w:pos="2160"/>
        </w:tabs>
        <w:ind w:left="2160" w:hanging="360"/>
      </w:pPr>
    </w:lvl>
    <w:lvl w:ilvl="3" w:tplc="5668370A" w:tentative="1">
      <w:start w:val="1"/>
      <w:numFmt w:val="decimal"/>
      <w:lvlText w:val="%4."/>
      <w:lvlJc w:val="left"/>
      <w:pPr>
        <w:tabs>
          <w:tab w:val="num" w:pos="2880"/>
        </w:tabs>
        <w:ind w:left="2880" w:hanging="360"/>
      </w:pPr>
    </w:lvl>
    <w:lvl w:ilvl="4" w:tplc="06D219A2" w:tentative="1">
      <w:start w:val="1"/>
      <w:numFmt w:val="decimal"/>
      <w:lvlText w:val="%5."/>
      <w:lvlJc w:val="left"/>
      <w:pPr>
        <w:tabs>
          <w:tab w:val="num" w:pos="3600"/>
        </w:tabs>
        <w:ind w:left="3600" w:hanging="360"/>
      </w:pPr>
    </w:lvl>
    <w:lvl w:ilvl="5" w:tplc="DE1C56F2" w:tentative="1">
      <w:start w:val="1"/>
      <w:numFmt w:val="decimal"/>
      <w:lvlText w:val="%6."/>
      <w:lvlJc w:val="left"/>
      <w:pPr>
        <w:tabs>
          <w:tab w:val="num" w:pos="4320"/>
        </w:tabs>
        <w:ind w:left="4320" w:hanging="360"/>
      </w:pPr>
    </w:lvl>
    <w:lvl w:ilvl="6" w:tplc="160C0D0E" w:tentative="1">
      <w:start w:val="1"/>
      <w:numFmt w:val="decimal"/>
      <w:lvlText w:val="%7."/>
      <w:lvlJc w:val="left"/>
      <w:pPr>
        <w:tabs>
          <w:tab w:val="num" w:pos="5040"/>
        </w:tabs>
        <w:ind w:left="5040" w:hanging="360"/>
      </w:pPr>
    </w:lvl>
    <w:lvl w:ilvl="7" w:tplc="1B5CF508" w:tentative="1">
      <w:start w:val="1"/>
      <w:numFmt w:val="decimal"/>
      <w:lvlText w:val="%8."/>
      <w:lvlJc w:val="left"/>
      <w:pPr>
        <w:tabs>
          <w:tab w:val="num" w:pos="5760"/>
        </w:tabs>
        <w:ind w:left="5760" w:hanging="360"/>
      </w:pPr>
    </w:lvl>
    <w:lvl w:ilvl="8" w:tplc="FC12D626" w:tentative="1">
      <w:start w:val="1"/>
      <w:numFmt w:val="decimal"/>
      <w:lvlText w:val="%9."/>
      <w:lvlJc w:val="left"/>
      <w:pPr>
        <w:tabs>
          <w:tab w:val="num" w:pos="6480"/>
        </w:tabs>
        <w:ind w:left="6480" w:hanging="360"/>
      </w:pPr>
    </w:lvl>
  </w:abstractNum>
  <w:abstractNum w:abstractNumId="2">
    <w:nsid w:val="2F9D4A8C"/>
    <w:multiLevelType w:val="hybridMultilevel"/>
    <w:tmpl w:val="42B0D394"/>
    <w:lvl w:ilvl="0" w:tplc="4B043054">
      <w:start w:val="1"/>
      <w:numFmt w:val="bullet"/>
      <w:lvlText w:val="•"/>
      <w:lvlJc w:val="left"/>
      <w:pPr>
        <w:tabs>
          <w:tab w:val="num" w:pos="720"/>
        </w:tabs>
        <w:ind w:left="720" w:hanging="360"/>
      </w:pPr>
      <w:rPr>
        <w:rFonts w:ascii="Arial" w:hAnsi="Arial" w:hint="default"/>
      </w:rPr>
    </w:lvl>
    <w:lvl w:ilvl="1" w:tplc="7C5421A4">
      <w:start w:val="1"/>
      <w:numFmt w:val="decimal"/>
      <w:lvlText w:val="%2."/>
      <w:lvlJc w:val="left"/>
      <w:pPr>
        <w:tabs>
          <w:tab w:val="num" w:pos="1440"/>
        </w:tabs>
        <w:ind w:left="1440" w:hanging="360"/>
      </w:pPr>
    </w:lvl>
    <w:lvl w:ilvl="2" w:tplc="E1C8420E" w:tentative="1">
      <w:start w:val="1"/>
      <w:numFmt w:val="bullet"/>
      <w:lvlText w:val="•"/>
      <w:lvlJc w:val="left"/>
      <w:pPr>
        <w:tabs>
          <w:tab w:val="num" w:pos="2160"/>
        </w:tabs>
        <w:ind w:left="2160" w:hanging="360"/>
      </w:pPr>
      <w:rPr>
        <w:rFonts w:ascii="Arial" w:hAnsi="Arial" w:hint="default"/>
      </w:rPr>
    </w:lvl>
    <w:lvl w:ilvl="3" w:tplc="8800CC94" w:tentative="1">
      <w:start w:val="1"/>
      <w:numFmt w:val="bullet"/>
      <w:lvlText w:val="•"/>
      <w:lvlJc w:val="left"/>
      <w:pPr>
        <w:tabs>
          <w:tab w:val="num" w:pos="2880"/>
        </w:tabs>
        <w:ind w:left="2880" w:hanging="360"/>
      </w:pPr>
      <w:rPr>
        <w:rFonts w:ascii="Arial" w:hAnsi="Arial" w:hint="default"/>
      </w:rPr>
    </w:lvl>
    <w:lvl w:ilvl="4" w:tplc="BE6242CC" w:tentative="1">
      <w:start w:val="1"/>
      <w:numFmt w:val="bullet"/>
      <w:lvlText w:val="•"/>
      <w:lvlJc w:val="left"/>
      <w:pPr>
        <w:tabs>
          <w:tab w:val="num" w:pos="3600"/>
        </w:tabs>
        <w:ind w:left="3600" w:hanging="360"/>
      </w:pPr>
      <w:rPr>
        <w:rFonts w:ascii="Arial" w:hAnsi="Arial" w:hint="default"/>
      </w:rPr>
    </w:lvl>
    <w:lvl w:ilvl="5" w:tplc="214499CA" w:tentative="1">
      <w:start w:val="1"/>
      <w:numFmt w:val="bullet"/>
      <w:lvlText w:val="•"/>
      <w:lvlJc w:val="left"/>
      <w:pPr>
        <w:tabs>
          <w:tab w:val="num" w:pos="4320"/>
        </w:tabs>
        <w:ind w:left="4320" w:hanging="360"/>
      </w:pPr>
      <w:rPr>
        <w:rFonts w:ascii="Arial" w:hAnsi="Arial" w:hint="default"/>
      </w:rPr>
    </w:lvl>
    <w:lvl w:ilvl="6" w:tplc="5A6419F2" w:tentative="1">
      <w:start w:val="1"/>
      <w:numFmt w:val="bullet"/>
      <w:lvlText w:val="•"/>
      <w:lvlJc w:val="left"/>
      <w:pPr>
        <w:tabs>
          <w:tab w:val="num" w:pos="5040"/>
        </w:tabs>
        <w:ind w:left="5040" w:hanging="360"/>
      </w:pPr>
      <w:rPr>
        <w:rFonts w:ascii="Arial" w:hAnsi="Arial" w:hint="default"/>
      </w:rPr>
    </w:lvl>
    <w:lvl w:ilvl="7" w:tplc="DB36260C" w:tentative="1">
      <w:start w:val="1"/>
      <w:numFmt w:val="bullet"/>
      <w:lvlText w:val="•"/>
      <w:lvlJc w:val="left"/>
      <w:pPr>
        <w:tabs>
          <w:tab w:val="num" w:pos="5760"/>
        </w:tabs>
        <w:ind w:left="5760" w:hanging="360"/>
      </w:pPr>
      <w:rPr>
        <w:rFonts w:ascii="Arial" w:hAnsi="Arial" w:hint="default"/>
      </w:rPr>
    </w:lvl>
    <w:lvl w:ilvl="8" w:tplc="FD06687E" w:tentative="1">
      <w:start w:val="1"/>
      <w:numFmt w:val="bullet"/>
      <w:lvlText w:val="•"/>
      <w:lvlJc w:val="left"/>
      <w:pPr>
        <w:tabs>
          <w:tab w:val="num" w:pos="6480"/>
        </w:tabs>
        <w:ind w:left="6480" w:hanging="360"/>
      </w:pPr>
      <w:rPr>
        <w:rFonts w:ascii="Arial" w:hAnsi="Arial" w:hint="default"/>
      </w:rPr>
    </w:lvl>
  </w:abstractNum>
  <w:abstractNum w:abstractNumId="3">
    <w:nsid w:val="37044915"/>
    <w:multiLevelType w:val="multilevel"/>
    <w:tmpl w:val="D0EA2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D7D1397"/>
    <w:multiLevelType w:val="hybridMultilevel"/>
    <w:tmpl w:val="686A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8B3C2C"/>
    <w:multiLevelType w:val="hybridMultilevel"/>
    <w:tmpl w:val="5BA43FF0"/>
    <w:lvl w:ilvl="0" w:tplc="4D345140">
      <w:start w:val="1"/>
      <w:numFmt w:val="decimal"/>
      <w:lvlText w:val="%1."/>
      <w:lvlJc w:val="left"/>
      <w:pPr>
        <w:tabs>
          <w:tab w:val="num" w:pos="720"/>
        </w:tabs>
        <w:ind w:left="720" w:hanging="360"/>
      </w:pPr>
    </w:lvl>
    <w:lvl w:ilvl="1" w:tplc="65A61D7E" w:tentative="1">
      <w:start w:val="1"/>
      <w:numFmt w:val="decimal"/>
      <w:lvlText w:val="%2."/>
      <w:lvlJc w:val="left"/>
      <w:pPr>
        <w:tabs>
          <w:tab w:val="num" w:pos="1440"/>
        </w:tabs>
        <w:ind w:left="1440" w:hanging="360"/>
      </w:pPr>
    </w:lvl>
    <w:lvl w:ilvl="2" w:tplc="C42E97C8" w:tentative="1">
      <w:start w:val="1"/>
      <w:numFmt w:val="decimal"/>
      <w:lvlText w:val="%3."/>
      <w:lvlJc w:val="left"/>
      <w:pPr>
        <w:tabs>
          <w:tab w:val="num" w:pos="2160"/>
        </w:tabs>
        <w:ind w:left="2160" w:hanging="360"/>
      </w:pPr>
    </w:lvl>
    <w:lvl w:ilvl="3" w:tplc="65B2FD1E" w:tentative="1">
      <w:start w:val="1"/>
      <w:numFmt w:val="decimal"/>
      <w:lvlText w:val="%4."/>
      <w:lvlJc w:val="left"/>
      <w:pPr>
        <w:tabs>
          <w:tab w:val="num" w:pos="2880"/>
        </w:tabs>
        <w:ind w:left="2880" w:hanging="360"/>
      </w:pPr>
    </w:lvl>
    <w:lvl w:ilvl="4" w:tplc="0F8A74EA" w:tentative="1">
      <w:start w:val="1"/>
      <w:numFmt w:val="decimal"/>
      <w:lvlText w:val="%5."/>
      <w:lvlJc w:val="left"/>
      <w:pPr>
        <w:tabs>
          <w:tab w:val="num" w:pos="3600"/>
        </w:tabs>
        <w:ind w:left="3600" w:hanging="360"/>
      </w:pPr>
    </w:lvl>
    <w:lvl w:ilvl="5" w:tplc="95BA648A" w:tentative="1">
      <w:start w:val="1"/>
      <w:numFmt w:val="decimal"/>
      <w:lvlText w:val="%6."/>
      <w:lvlJc w:val="left"/>
      <w:pPr>
        <w:tabs>
          <w:tab w:val="num" w:pos="4320"/>
        </w:tabs>
        <w:ind w:left="4320" w:hanging="360"/>
      </w:pPr>
    </w:lvl>
    <w:lvl w:ilvl="6" w:tplc="7D640DA0" w:tentative="1">
      <w:start w:val="1"/>
      <w:numFmt w:val="decimal"/>
      <w:lvlText w:val="%7."/>
      <w:lvlJc w:val="left"/>
      <w:pPr>
        <w:tabs>
          <w:tab w:val="num" w:pos="5040"/>
        </w:tabs>
        <w:ind w:left="5040" w:hanging="360"/>
      </w:pPr>
    </w:lvl>
    <w:lvl w:ilvl="7" w:tplc="2EEA30A2" w:tentative="1">
      <w:start w:val="1"/>
      <w:numFmt w:val="decimal"/>
      <w:lvlText w:val="%8."/>
      <w:lvlJc w:val="left"/>
      <w:pPr>
        <w:tabs>
          <w:tab w:val="num" w:pos="5760"/>
        </w:tabs>
        <w:ind w:left="5760" w:hanging="360"/>
      </w:pPr>
    </w:lvl>
    <w:lvl w:ilvl="8" w:tplc="22B27398" w:tentative="1">
      <w:start w:val="1"/>
      <w:numFmt w:val="decimal"/>
      <w:lvlText w:val="%9."/>
      <w:lvlJc w:val="left"/>
      <w:pPr>
        <w:tabs>
          <w:tab w:val="num" w:pos="6480"/>
        </w:tabs>
        <w:ind w:left="6480" w:hanging="360"/>
      </w:pPr>
    </w:lvl>
  </w:abstractNum>
  <w:abstractNum w:abstractNumId="7">
    <w:nsid w:val="56170956"/>
    <w:multiLevelType w:val="hybridMultilevel"/>
    <w:tmpl w:val="C2DE5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7AC2005"/>
    <w:multiLevelType w:val="hybridMultilevel"/>
    <w:tmpl w:val="27682AF8"/>
    <w:lvl w:ilvl="0" w:tplc="E08C20C2">
      <w:start w:val="1"/>
      <w:numFmt w:val="bullet"/>
      <w:lvlText w:val="•"/>
      <w:lvlJc w:val="left"/>
      <w:pPr>
        <w:tabs>
          <w:tab w:val="num" w:pos="720"/>
        </w:tabs>
        <w:ind w:left="720" w:hanging="360"/>
      </w:pPr>
      <w:rPr>
        <w:rFonts w:ascii="Arial" w:hAnsi="Arial" w:hint="default"/>
      </w:rPr>
    </w:lvl>
    <w:lvl w:ilvl="1" w:tplc="F8A43E4C" w:tentative="1">
      <w:start w:val="1"/>
      <w:numFmt w:val="bullet"/>
      <w:lvlText w:val="•"/>
      <w:lvlJc w:val="left"/>
      <w:pPr>
        <w:tabs>
          <w:tab w:val="num" w:pos="1440"/>
        </w:tabs>
        <w:ind w:left="1440" w:hanging="360"/>
      </w:pPr>
      <w:rPr>
        <w:rFonts w:ascii="Arial" w:hAnsi="Arial" w:hint="default"/>
      </w:rPr>
    </w:lvl>
    <w:lvl w:ilvl="2" w:tplc="3D1816BC" w:tentative="1">
      <w:start w:val="1"/>
      <w:numFmt w:val="bullet"/>
      <w:lvlText w:val="•"/>
      <w:lvlJc w:val="left"/>
      <w:pPr>
        <w:tabs>
          <w:tab w:val="num" w:pos="2160"/>
        </w:tabs>
        <w:ind w:left="2160" w:hanging="360"/>
      </w:pPr>
      <w:rPr>
        <w:rFonts w:ascii="Arial" w:hAnsi="Arial" w:hint="default"/>
      </w:rPr>
    </w:lvl>
    <w:lvl w:ilvl="3" w:tplc="82D8043C" w:tentative="1">
      <w:start w:val="1"/>
      <w:numFmt w:val="bullet"/>
      <w:lvlText w:val="•"/>
      <w:lvlJc w:val="left"/>
      <w:pPr>
        <w:tabs>
          <w:tab w:val="num" w:pos="2880"/>
        </w:tabs>
        <w:ind w:left="2880" w:hanging="360"/>
      </w:pPr>
      <w:rPr>
        <w:rFonts w:ascii="Arial" w:hAnsi="Arial" w:hint="default"/>
      </w:rPr>
    </w:lvl>
    <w:lvl w:ilvl="4" w:tplc="BA7A9374" w:tentative="1">
      <w:start w:val="1"/>
      <w:numFmt w:val="bullet"/>
      <w:lvlText w:val="•"/>
      <w:lvlJc w:val="left"/>
      <w:pPr>
        <w:tabs>
          <w:tab w:val="num" w:pos="3600"/>
        </w:tabs>
        <w:ind w:left="3600" w:hanging="360"/>
      </w:pPr>
      <w:rPr>
        <w:rFonts w:ascii="Arial" w:hAnsi="Arial" w:hint="default"/>
      </w:rPr>
    </w:lvl>
    <w:lvl w:ilvl="5" w:tplc="38A6C614" w:tentative="1">
      <w:start w:val="1"/>
      <w:numFmt w:val="bullet"/>
      <w:lvlText w:val="•"/>
      <w:lvlJc w:val="left"/>
      <w:pPr>
        <w:tabs>
          <w:tab w:val="num" w:pos="4320"/>
        </w:tabs>
        <w:ind w:left="4320" w:hanging="360"/>
      </w:pPr>
      <w:rPr>
        <w:rFonts w:ascii="Arial" w:hAnsi="Arial" w:hint="default"/>
      </w:rPr>
    </w:lvl>
    <w:lvl w:ilvl="6" w:tplc="6890DA46" w:tentative="1">
      <w:start w:val="1"/>
      <w:numFmt w:val="bullet"/>
      <w:lvlText w:val="•"/>
      <w:lvlJc w:val="left"/>
      <w:pPr>
        <w:tabs>
          <w:tab w:val="num" w:pos="5040"/>
        </w:tabs>
        <w:ind w:left="5040" w:hanging="360"/>
      </w:pPr>
      <w:rPr>
        <w:rFonts w:ascii="Arial" w:hAnsi="Arial" w:hint="default"/>
      </w:rPr>
    </w:lvl>
    <w:lvl w:ilvl="7" w:tplc="5720F14E" w:tentative="1">
      <w:start w:val="1"/>
      <w:numFmt w:val="bullet"/>
      <w:lvlText w:val="•"/>
      <w:lvlJc w:val="left"/>
      <w:pPr>
        <w:tabs>
          <w:tab w:val="num" w:pos="5760"/>
        </w:tabs>
        <w:ind w:left="5760" w:hanging="360"/>
      </w:pPr>
      <w:rPr>
        <w:rFonts w:ascii="Arial" w:hAnsi="Arial" w:hint="default"/>
      </w:rPr>
    </w:lvl>
    <w:lvl w:ilvl="8" w:tplc="C8D66802" w:tentative="1">
      <w:start w:val="1"/>
      <w:numFmt w:val="bullet"/>
      <w:lvlText w:val="•"/>
      <w:lvlJc w:val="left"/>
      <w:pPr>
        <w:tabs>
          <w:tab w:val="num" w:pos="6480"/>
        </w:tabs>
        <w:ind w:left="6480" w:hanging="360"/>
      </w:pPr>
      <w:rPr>
        <w:rFonts w:ascii="Arial" w:hAnsi="Arial" w:hint="default"/>
      </w:rPr>
    </w:lvl>
  </w:abstractNum>
  <w:abstractNum w:abstractNumId="9">
    <w:nsid w:val="5F9A6E1A"/>
    <w:multiLevelType w:val="hybridMultilevel"/>
    <w:tmpl w:val="6D3E4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B81B50"/>
    <w:multiLevelType w:val="hybridMultilevel"/>
    <w:tmpl w:val="F3CED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CB81402"/>
    <w:multiLevelType w:val="hybridMultilevel"/>
    <w:tmpl w:val="AC0A6BD0"/>
    <w:lvl w:ilvl="0" w:tplc="852A2A68">
      <w:start w:val="1"/>
      <w:numFmt w:val="decimal"/>
      <w:lvlText w:val="%1."/>
      <w:lvlJc w:val="left"/>
      <w:pPr>
        <w:tabs>
          <w:tab w:val="num" w:pos="720"/>
        </w:tabs>
        <w:ind w:left="720" w:hanging="360"/>
      </w:pPr>
    </w:lvl>
    <w:lvl w:ilvl="1" w:tplc="29227914" w:tentative="1">
      <w:start w:val="1"/>
      <w:numFmt w:val="decimal"/>
      <w:lvlText w:val="%2."/>
      <w:lvlJc w:val="left"/>
      <w:pPr>
        <w:tabs>
          <w:tab w:val="num" w:pos="1440"/>
        </w:tabs>
        <w:ind w:left="1440" w:hanging="360"/>
      </w:pPr>
    </w:lvl>
    <w:lvl w:ilvl="2" w:tplc="65D0525C" w:tentative="1">
      <w:start w:val="1"/>
      <w:numFmt w:val="decimal"/>
      <w:lvlText w:val="%3."/>
      <w:lvlJc w:val="left"/>
      <w:pPr>
        <w:tabs>
          <w:tab w:val="num" w:pos="2160"/>
        </w:tabs>
        <w:ind w:left="2160" w:hanging="360"/>
      </w:pPr>
    </w:lvl>
    <w:lvl w:ilvl="3" w:tplc="0952EC3A" w:tentative="1">
      <w:start w:val="1"/>
      <w:numFmt w:val="decimal"/>
      <w:lvlText w:val="%4."/>
      <w:lvlJc w:val="left"/>
      <w:pPr>
        <w:tabs>
          <w:tab w:val="num" w:pos="2880"/>
        </w:tabs>
        <w:ind w:left="2880" w:hanging="360"/>
      </w:pPr>
    </w:lvl>
    <w:lvl w:ilvl="4" w:tplc="2970FD2E" w:tentative="1">
      <w:start w:val="1"/>
      <w:numFmt w:val="decimal"/>
      <w:lvlText w:val="%5."/>
      <w:lvlJc w:val="left"/>
      <w:pPr>
        <w:tabs>
          <w:tab w:val="num" w:pos="3600"/>
        </w:tabs>
        <w:ind w:left="3600" w:hanging="360"/>
      </w:pPr>
    </w:lvl>
    <w:lvl w:ilvl="5" w:tplc="6A56C732" w:tentative="1">
      <w:start w:val="1"/>
      <w:numFmt w:val="decimal"/>
      <w:lvlText w:val="%6."/>
      <w:lvlJc w:val="left"/>
      <w:pPr>
        <w:tabs>
          <w:tab w:val="num" w:pos="4320"/>
        </w:tabs>
        <w:ind w:left="4320" w:hanging="360"/>
      </w:pPr>
    </w:lvl>
    <w:lvl w:ilvl="6" w:tplc="86A61564" w:tentative="1">
      <w:start w:val="1"/>
      <w:numFmt w:val="decimal"/>
      <w:lvlText w:val="%7."/>
      <w:lvlJc w:val="left"/>
      <w:pPr>
        <w:tabs>
          <w:tab w:val="num" w:pos="5040"/>
        </w:tabs>
        <w:ind w:left="5040" w:hanging="360"/>
      </w:pPr>
    </w:lvl>
    <w:lvl w:ilvl="7" w:tplc="DE6A075C" w:tentative="1">
      <w:start w:val="1"/>
      <w:numFmt w:val="decimal"/>
      <w:lvlText w:val="%8."/>
      <w:lvlJc w:val="left"/>
      <w:pPr>
        <w:tabs>
          <w:tab w:val="num" w:pos="5760"/>
        </w:tabs>
        <w:ind w:left="5760" w:hanging="360"/>
      </w:pPr>
    </w:lvl>
    <w:lvl w:ilvl="8" w:tplc="92566DAE" w:tentative="1">
      <w:start w:val="1"/>
      <w:numFmt w:val="decimal"/>
      <w:lvlText w:val="%9."/>
      <w:lvlJc w:val="left"/>
      <w:pPr>
        <w:tabs>
          <w:tab w:val="num" w:pos="6480"/>
        </w:tabs>
        <w:ind w:left="6480" w:hanging="360"/>
      </w:pPr>
    </w:lvl>
  </w:abstractNum>
  <w:abstractNum w:abstractNumId="12">
    <w:nsid w:val="749E30CB"/>
    <w:multiLevelType w:val="hybridMultilevel"/>
    <w:tmpl w:val="52AACC5C"/>
    <w:lvl w:ilvl="0" w:tplc="595201EE">
      <w:start w:val="1"/>
      <w:numFmt w:val="bullet"/>
      <w:lvlText w:val="•"/>
      <w:lvlJc w:val="left"/>
      <w:pPr>
        <w:tabs>
          <w:tab w:val="num" w:pos="720"/>
        </w:tabs>
        <w:ind w:left="720" w:hanging="360"/>
      </w:pPr>
      <w:rPr>
        <w:rFonts w:ascii="Arial" w:hAnsi="Arial" w:hint="default"/>
      </w:rPr>
    </w:lvl>
    <w:lvl w:ilvl="1" w:tplc="887C8E64">
      <w:start w:val="2239"/>
      <w:numFmt w:val="bullet"/>
      <w:lvlText w:val="•"/>
      <w:lvlJc w:val="left"/>
      <w:pPr>
        <w:tabs>
          <w:tab w:val="num" w:pos="1440"/>
        </w:tabs>
        <w:ind w:left="1440" w:hanging="360"/>
      </w:pPr>
      <w:rPr>
        <w:rFonts w:ascii="Arial" w:hAnsi="Arial" w:hint="default"/>
      </w:rPr>
    </w:lvl>
    <w:lvl w:ilvl="2" w:tplc="16504E6A" w:tentative="1">
      <w:start w:val="1"/>
      <w:numFmt w:val="bullet"/>
      <w:lvlText w:val="•"/>
      <w:lvlJc w:val="left"/>
      <w:pPr>
        <w:tabs>
          <w:tab w:val="num" w:pos="2160"/>
        </w:tabs>
        <w:ind w:left="2160" w:hanging="360"/>
      </w:pPr>
      <w:rPr>
        <w:rFonts w:ascii="Arial" w:hAnsi="Arial" w:hint="default"/>
      </w:rPr>
    </w:lvl>
    <w:lvl w:ilvl="3" w:tplc="B24E00B6" w:tentative="1">
      <w:start w:val="1"/>
      <w:numFmt w:val="bullet"/>
      <w:lvlText w:val="•"/>
      <w:lvlJc w:val="left"/>
      <w:pPr>
        <w:tabs>
          <w:tab w:val="num" w:pos="2880"/>
        </w:tabs>
        <w:ind w:left="2880" w:hanging="360"/>
      </w:pPr>
      <w:rPr>
        <w:rFonts w:ascii="Arial" w:hAnsi="Arial" w:hint="default"/>
      </w:rPr>
    </w:lvl>
    <w:lvl w:ilvl="4" w:tplc="9FB8C834" w:tentative="1">
      <w:start w:val="1"/>
      <w:numFmt w:val="bullet"/>
      <w:lvlText w:val="•"/>
      <w:lvlJc w:val="left"/>
      <w:pPr>
        <w:tabs>
          <w:tab w:val="num" w:pos="3600"/>
        </w:tabs>
        <w:ind w:left="3600" w:hanging="360"/>
      </w:pPr>
      <w:rPr>
        <w:rFonts w:ascii="Arial" w:hAnsi="Arial" w:hint="default"/>
      </w:rPr>
    </w:lvl>
    <w:lvl w:ilvl="5" w:tplc="05C84AEC" w:tentative="1">
      <w:start w:val="1"/>
      <w:numFmt w:val="bullet"/>
      <w:lvlText w:val="•"/>
      <w:lvlJc w:val="left"/>
      <w:pPr>
        <w:tabs>
          <w:tab w:val="num" w:pos="4320"/>
        </w:tabs>
        <w:ind w:left="4320" w:hanging="360"/>
      </w:pPr>
      <w:rPr>
        <w:rFonts w:ascii="Arial" w:hAnsi="Arial" w:hint="default"/>
      </w:rPr>
    </w:lvl>
    <w:lvl w:ilvl="6" w:tplc="BAEC7324" w:tentative="1">
      <w:start w:val="1"/>
      <w:numFmt w:val="bullet"/>
      <w:lvlText w:val="•"/>
      <w:lvlJc w:val="left"/>
      <w:pPr>
        <w:tabs>
          <w:tab w:val="num" w:pos="5040"/>
        </w:tabs>
        <w:ind w:left="5040" w:hanging="360"/>
      </w:pPr>
      <w:rPr>
        <w:rFonts w:ascii="Arial" w:hAnsi="Arial" w:hint="default"/>
      </w:rPr>
    </w:lvl>
    <w:lvl w:ilvl="7" w:tplc="CAAA917C" w:tentative="1">
      <w:start w:val="1"/>
      <w:numFmt w:val="bullet"/>
      <w:lvlText w:val="•"/>
      <w:lvlJc w:val="left"/>
      <w:pPr>
        <w:tabs>
          <w:tab w:val="num" w:pos="5760"/>
        </w:tabs>
        <w:ind w:left="5760" w:hanging="360"/>
      </w:pPr>
      <w:rPr>
        <w:rFonts w:ascii="Arial" w:hAnsi="Arial" w:hint="default"/>
      </w:rPr>
    </w:lvl>
    <w:lvl w:ilvl="8" w:tplc="ED8EE26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8"/>
  </w:num>
  <w:num w:numId="3">
    <w:abstractNumId w:val="0"/>
  </w:num>
  <w:num w:numId="4">
    <w:abstractNumId w:val="2"/>
  </w:num>
  <w:num w:numId="5">
    <w:abstractNumId w:val="12"/>
  </w:num>
  <w:num w:numId="6">
    <w:abstractNumId w:val="7"/>
  </w:num>
  <w:num w:numId="7">
    <w:abstractNumId w:val="3"/>
  </w:num>
  <w:num w:numId="8">
    <w:abstractNumId w:val="11"/>
  </w:num>
  <w:num w:numId="9">
    <w:abstractNumId w:val="6"/>
  </w:num>
  <w:num w:numId="10">
    <w:abstractNumId w:val="5"/>
  </w:num>
  <w:num w:numId="11">
    <w:abstractNumId w:val="10"/>
  </w:num>
  <w:num w:numId="12">
    <w:abstractNumId w:val="9"/>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0DD9"/>
    <w:rsid w:val="00014B4B"/>
    <w:rsid w:val="00015E36"/>
    <w:rsid w:val="00017853"/>
    <w:rsid w:val="00024556"/>
    <w:rsid w:val="00045852"/>
    <w:rsid w:val="00080AF6"/>
    <w:rsid w:val="000870B6"/>
    <w:rsid w:val="000A12F3"/>
    <w:rsid w:val="000A5C6B"/>
    <w:rsid w:val="000B422E"/>
    <w:rsid w:val="000D11D9"/>
    <w:rsid w:val="000D671A"/>
    <w:rsid w:val="000F0247"/>
    <w:rsid w:val="001213CF"/>
    <w:rsid w:val="001522F4"/>
    <w:rsid w:val="001607A4"/>
    <w:rsid w:val="00172554"/>
    <w:rsid w:val="00174088"/>
    <w:rsid w:val="00181A3F"/>
    <w:rsid w:val="00183DE8"/>
    <w:rsid w:val="001A4DB5"/>
    <w:rsid w:val="001B5A52"/>
    <w:rsid w:val="001B66E8"/>
    <w:rsid w:val="001E2F2C"/>
    <w:rsid w:val="001F2052"/>
    <w:rsid w:val="001F69EE"/>
    <w:rsid w:val="002165E2"/>
    <w:rsid w:val="00225DAD"/>
    <w:rsid w:val="002507B2"/>
    <w:rsid w:val="00270425"/>
    <w:rsid w:val="002A4300"/>
    <w:rsid w:val="002E58E5"/>
    <w:rsid w:val="003051B4"/>
    <w:rsid w:val="00322A50"/>
    <w:rsid w:val="003678FC"/>
    <w:rsid w:val="00391452"/>
    <w:rsid w:val="003A06F5"/>
    <w:rsid w:val="003A7D6D"/>
    <w:rsid w:val="003C64C5"/>
    <w:rsid w:val="003C6559"/>
    <w:rsid w:val="003C795F"/>
    <w:rsid w:val="003E4099"/>
    <w:rsid w:val="00402DB4"/>
    <w:rsid w:val="00416ECB"/>
    <w:rsid w:val="004220E2"/>
    <w:rsid w:val="00425A06"/>
    <w:rsid w:val="00431F1D"/>
    <w:rsid w:val="0044172C"/>
    <w:rsid w:val="00453071"/>
    <w:rsid w:val="004677F6"/>
    <w:rsid w:val="00476E82"/>
    <w:rsid w:val="004B3039"/>
    <w:rsid w:val="004C49A9"/>
    <w:rsid w:val="004D5101"/>
    <w:rsid w:val="004E30FD"/>
    <w:rsid w:val="004E5990"/>
    <w:rsid w:val="005136C8"/>
    <w:rsid w:val="0051530F"/>
    <w:rsid w:val="00515AC4"/>
    <w:rsid w:val="00534106"/>
    <w:rsid w:val="005417EB"/>
    <w:rsid w:val="005540D5"/>
    <w:rsid w:val="005555C3"/>
    <w:rsid w:val="0056332E"/>
    <w:rsid w:val="00566DF6"/>
    <w:rsid w:val="00594F9A"/>
    <w:rsid w:val="005B14E7"/>
    <w:rsid w:val="005B5F89"/>
    <w:rsid w:val="005E20A0"/>
    <w:rsid w:val="005F2B8A"/>
    <w:rsid w:val="00611586"/>
    <w:rsid w:val="0061293E"/>
    <w:rsid w:val="0062730B"/>
    <w:rsid w:val="00632486"/>
    <w:rsid w:val="00642DC5"/>
    <w:rsid w:val="006570F9"/>
    <w:rsid w:val="006650CB"/>
    <w:rsid w:val="00667535"/>
    <w:rsid w:val="006B35F3"/>
    <w:rsid w:val="006D0DB6"/>
    <w:rsid w:val="006F7C35"/>
    <w:rsid w:val="007106D1"/>
    <w:rsid w:val="00717C3B"/>
    <w:rsid w:val="007257BC"/>
    <w:rsid w:val="00733E7E"/>
    <w:rsid w:val="00740086"/>
    <w:rsid w:val="0074402B"/>
    <w:rsid w:val="00763910"/>
    <w:rsid w:val="0076484B"/>
    <w:rsid w:val="007D359B"/>
    <w:rsid w:val="008005F7"/>
    <w:rsid w:val="0081108A"/>
    <w:rsid w:val="008163D7"/>
    <w:rsid w:val="00837CAB"/>
    <w:rsid w:val="00854E0E"/>
    <w:rsid w:val="008634E7"/>
    <w:rsid w:val="008706FD"/>
    <w:rsid w:val="00894B98"/>
    <w:rsid w:val="008A4057"/>
    <w:rsid w:val="008B2011"/>
    <w:rsid w:val="008C211E"/>
    <w:rsid w:val="008C2A2B"/>
    <w:rsid w:val="008D3EE8"/>
    <w:rsid w:val="008D6897"/>
    <w:rsid w:val="008F2027"/>
    <w:rsid w:val="009055FF"/>
    <w:rsid w:val="00922B6E"/>
    <w:rsid w:val="00926F6D"/>
    <w:rsid w:val="00953284"/>
    <w:rsid w:val="00967516"/>
    <w:rsid w:val="009868C4"/>
    <w:rsid w:val="00996929"/>
    <w:rsid w:val="009C1142"/>
    <w:rsid w:val="009C524E"/>
    <w:rsid w:val="009E6882"/>
    <w:rsid w:val="00A01365"/>
    <w:rsid w:val="00A2655C"/>
    <w:rsid w:val="00A343B5"/>
    <w:rsid w:val="00A41AC1"/>
    <w:rsid w:val="00A5686F"/>
    <w:rsid w:val="00A9153B"/>
    <w:rsid w:val="00A974F6"/>
    <w:rsid w:val="00AD0DD9"/>
    <w:rsid w:val="00AF134E"/>
    <w:rsid w:val="00AF708A"/>
    <w:rsid w:val="00B06E0A"/>
    <w:rsid w:val="00B3025C"/>
    <w:rsid w:val="00B42BB1"/>
    <w:rsid w:val="00B440DB"/>
    <w:rsid w:val="00B45F0F"/>
    <w:rsid w:val="00B66209"/>
    <w:rsid w:val="00B7364E"/>
    <w:rsid w:val="00BA25D8"/>
    <w:rsid w:val="00BA3970"/>
    <w:rsid w:val="00BB32B9"/>
    <w:rsid w:val="00C85EEA"/>
    <w:rsid w:val="00CA7A0D"/>
    <w:rsid w:val="00CD52DE"/>
    <w:rsid w:val="00CD60F4"/>
    <w:rsid w:val="00CF1CE4"/>
    <w:rsid w:val="00D24373"/>
    <w:rsid w:val="00D31446"/>
    <w:rsid w:val="00D52630"/>
    <w:rsid w:val="00D654CD"/>
    <w:rsid w:val="00D65F36"/>
    <w:rsid w:val="00D66595"/>
    <w:rsid w:val="00DE0EC7"/>
    <w:rsid w:val="00DE2BD2"/>
    <w:rsid w:val="00DE3B5B"/>
    <w:rsid w:val="00DE6D7F"/>
    <w:rsid w:val="00DF094B"/>
    <w:rsid w:val="00E2449B"/>
    <w:rsid w:val="00E27D21"/>
    <w:rsid w:val="00E3362B"/>
    <w:rsid w:val="00E96AE8"/>
    <w:rsid w:val="00EB6FEB"/>
    <w:rsid w:val="00EC2CE4"/>
    <w:rsid w:val="00EE744F"/>
    <w:rsid w:val="00EE791F"/>
    <w:rsid w:val="00EF61F0"/>
    <w:rsid w:val="00EF6281"/>
    <w:rsid w:val="00F23962"/>
    <w:rsid w:val="00F40B9F"/>
    <w:rsid w:val="00F5061E"/>
    <w:rsid w:val="00F511B4"/>
    <w:rsid w:val="00F52168"/>
    <w:rsid w:val="00F56089"/>
    <w:rsid w:val="00F70785"/>
    <w:rsid w:val="00FC6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2B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F2B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163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DD9"/>
  </w:style>
  <w:style w:type="paragraph" w:styleId="Footer">
    <w:name w:val="footer"/>
    <w:basedOn w:val="Normal"/>
    <w:link w:val="FooterChar"/>
    <w:uiPriority w:val="99"/>
    <w:unhideWhenUsed/>
    <w:rsid w:val="00A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DD9"/>
  </w:style>
  <w:style w:type="character" w:styleId="Hyperlink">
    <w:name w:val="Hyperlink"/>
    <w:basedOn w:val="DefaultParagraphFont"/>
    <w:uiPriority w:val="99"/>
    <w:unhideWhenUsed/>
    <w:rsid w:val="005136C8"/>
    <w:rPr>
      <w:color w:val="0000FF"/>
      <w:u w:val="single"/>
    </w:rPr>
  </w:style>
  <w:style w:type="paragraph" w:styleId="ListParagraph">
    <w:name w:val="List Paragraph"/>
    <w:basedOn w:val="Normal"/>
    <w:uiPriority w:val="34"/>
    <w:qFormat/>
    <w:rsid w:val="00D24373"/>
    <w:pPr>
      <w:ind w:left="720"/>
      <w:contextualSpacing/>
    </w:pPr>
  </w:style>
  <w:style w:type="paragraph" w:styleId="NormalWeb">
    <w:name w:val="Normal (Web)"/>
    <w:basedOn w:val="Normal"/>
    <w:uiPriority w:val="99"/>
    <w:semiHidden/>
    <w:unhideWhenUsed/>
    <w:rsid w:val="008B20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163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678FC"/>
    <w:rPr>
      <w:b/>
      <w:bCs/>
    </w:rPr>
  </w:style>
  <w:style w:type="table" w:styleId="TableGrid">
    <w:name w:val="Table Grid"/>
    <w:basedOn w:val="TableNormal"/>
    <w:uiPriority w:val="59"/>
    <w:rsid w:val="003A7D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3A7D6D"/>
    <w:pPr>
      <w:spacing w:after="0" w:line="240" w:lineRule="auto"/>
    </w:pPr>
  </w:style>
  <w:style w:type="character" w:styleId="FollowedHyperlink">
    <w:name w:val="FollowedHyperlink"/>
    <w:basedOn w:val="DefaultParagraphFont"/>
    <w:uiPriority w:val="99"/>
    <w:semiHidden/>
    <w:unhideWhenUsed/>
    <w:rsid w:val="005B5F89"/>
    <w:rPr>
      <w:color w:val="800080" w:themeColor="followedHyperlink"/>
      <w:u w:val="single"/>
    </w:rPr>
  </w:style>
  <w:style w:type="character" w:customStyle="1" w:styleId="author">
    <w:name w:val="author"/>
    <w:basedOn w:val="DefaultParagraphFont"/>
    <w:rsid w:val="00CD52DE"/>
  </w:style>
  <w:style w:type="character" w:customStyle="1" w:styleId="Heading1Char">
    <w:name w:val="Heading 1 Char"/>
    <w:basedOn w:val="DefaultParagraphFont"/>
    <w:link w:val="Heading1"/>
    <w:uiPriority w:val="9"/>
    <w:rsid w:val="005F2B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F2B8A"/>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F2B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F2B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8163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DD9"/>
  </w:style>
  <w:style w:type="paragraph" w:styleId="Footer">
    <w:name w:val="footer"/>
    <w:basedOn w:val="Normal"/>
    <w:link w:val="FooterChar"/>
    <w:uiPriority w:val="99"/>
    <w:unhideWhenUsed/>
    <w:rsid w:val="00AD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DD9"/>
  </w:style>
  <w:style w:type="character" w:styleId="Hyperlink">
    <w:name w:val="Hyperlink"/>
    <w:basedOn w:val="DefaultParagraphFont"/>
    <w:uiPriority w:val="99"/>
    <w:unhideWhenUsed/>
    <w:rsid w:val="005136C8"/>
    <w:rPr>
      <w:color w:val="0000FF"/>
      <w:u w:val="single"/>
    </w:rPr>
  </w:style>
  <w:style w:type="paragraph" w:styleId="ListParagraph">
    <w:name w:val="List Paragraph"/>
    <w:basedOn w:val="Normal"/>
    <w:uiPriority w:val="34"/>
    <w:qFormat/>
    <w:rsid w:val="00D24373"/>
    <w:pPr>
      <w:ind w:left="720"/>
      <w:contextualSpacing/>
    </w:pPr>
  </w:style>
  <w:style w:type="paragraph" w:styleId="NormalWeb">
    <w:name w:val="Normal (Web)"/>
    <w:basedOn w:val="Normal"/>
    <w:uiPriority w:val="99"/>
    <w:semiHidden/>
    <w:unhideWhenUsed/>
    <w:rsid w:val="008B20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163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678FC"/>
    <w:rPr>
      <w:b/>
      <w:bCs/>
    </w:rPr>
  </w:style>
  <w:style w:type="table" w:styleId="TableGrid">
    <w:name w:val="Table Grid"/>
    <w:basedOn w:val="TableNormal"/>
    <w:uiPriority w:val="59"/>
    <w:rsid w:val="003A7D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3A7D6D"/>
    <w:pPr>
      <w:spacing w:after="0" w:line="240" w:lineRule="auto"/>
    </w:pPr>
  </w:style>
  <w:style w:type="character" w:styleId="FollowedHyperlink">
    <w:name w:val="FollowedHyperlink"/>
    <w:basedOn w:val="DefaultParagraphFont"/>
    <w:uiPriority w:val="99"/>
    <w:semiHidden/>
    <w:unhideWhenUsed/>
    <w:rsid w:val="005B5F89"/>
    <w:rPr>
      <w:color w:val="800080" w:themeColor="followedHyperlink"/>
      <w:u w:val="single"/>
    </w:rPr>
  </w:style>
  <w:style w:type="character" w:customStyle="1" w:styleId="author">
    <w:name w:val="author"/>
    <w:basedOn w:val="DefaultParagraphFont"/>
    <w:rsid w:val="00CD52DE"/>
  </w:style>
  <w:style w:type="character" w:customStyle="1" w:styleId="Heading1Char">
    <w:name w:val="Heading 1 Char"/>
    <w:basedOn w:val="DefaultParagraphFont"/>
    <w:link w:val="Heading1"/>
    <w:uiPriority w:val="9"/>
    <w:rsid w:val="005F2B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F2B8A"/>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463422">
      <w:bodyDiv w:val="1"/>
      <w:marLeft w:val="0"/>
      <w:marRight w:val="0"/>
      <w:marTop w:val="0"/>
      <w:marBottom w:val="0"/>
      <w:divBdr>
        <w:top w:val="none" w:sz="0" w:space="0" w:color="auto"/>
        <w:left w:val="none" w:sz="0" w:space="0" w:color="auto"/>
        <w:bottom w:val="none" w:sz="0" w:space="0" w:color="auto"/>
        <w:right w:val="none" w:sz="0" w:space="0" w:color="auto"/>
      </w:divBdr>
    </w:div>
    <w:div w:id="108550907">
      <w:bodyDiv w:val="1"/>
      <w:marLeft w:val="0"/>
      <w:marRight w:val="0"/>
      <w:marTop w:val="0"/>
      <w:marBottom w:val="0"/>
      <w:divBdr>
        <w:top w:val="none" w:sz="0" w:space="0" w:color="auto"/>
        <w:left w:val="none" w:sz="0" w:space="0" w:color="auto"/>
        <w:bottom w:val="none" w:sz="0" w:space="0" w:color="auto"/>
        <w:right w:val="none" w:sz="0" w:space="0" w:color="auto"/>
      </w:divBdr>
    </w:div>
    <w:div w:id="111899040">
      <w:bodyDiv w:val="1"/>
      <w:marLeft w:val="0"/>
      <w:marRight w:val="0"/>
      <w:marTop w:val="0"/>
      <w:marBottom w:val="0"/>
      <w:divBdr>
        <w:top w:val="none" w:sz="0" w:space="0" w:color="auto"/>
        <w:left w:val="none" w:sz="0" w:space="0" w:color="auto"/>
        <w:bottom w:val="none" w:sz="0" w:space="0" w:color="auto"/>
        <w:right w:val="none" w:sz="0" w:space="0" w:color="auto"/>
      </w:divBdr>
    </w:div>
    <w:div w:id="295183299">
      <w:bodyDiv w:val="1"/>
      <w:marLeft w:val="0"/>
      <w:marRight w:val="0"/>
      <w:marTop w:val="0"/>
      <w:marBottom w:val="0"/>
      <w:divBdr>
        <w:top w:val="none" w:sz="0" w:space="0" w:color="auto"/>
        <w:left w:val="none" w:sz="0" w:space="0" w:color="auto"/>
        <w:bottom w:val="none" w:sz="0" w:space="0" w:color="auto"/>
        <w:right w:val="none" w:sz="0" w:space="0" w:color="auto"/>
      </w:divBdr>
      <w:divsChild>
        <w:div w:id="1993557154">
          <w:marLeft w:val="806"/>
          <w:marRight w:val="0"/>
          <w:marTop w:val="86"/>
          <w:marBottom w:val="0"/>
          <w:divBdr>
            <w:top w:val="none" w:sz="0" w:space="0" w:color="auto"/>
            <w:left w:val="none" w:sz="0" w:space="0" w:color="auto"/>
            <w:bottom w:val="none" w:sz="0" w:space="0" w:color="auto"/>
            <w:right w:val="none" w:sz="0" w:space="0" w:color="auto"/>
          </w:divBdr>
        </w:div>
      </w:divsChild>
    </w:div>
    <w:div w:id="595749312">
      <w:bodyDiv w:val="1"/>
      <w:marLeft w:val="0"/>
      <w:marRight w:val="0"/>
      <w:marTop w:val="0"/>
      <w:marBottom w:val="0"/>
      <w:divBdr>
        <w:top w:val="none" w:sz="0" w:space="0" w:color="auto"/>
        <w:left w:val="none" w:sz="0" w:space="0" w:color="auto"/>
        <w:bottom w:val="none" w:sz="0" w:space="0" w:color="auto"/>
        <w:right w:val="none" w:sz="0" w:space="0" w:color="auto"/>
      </w:divBdr>
    </w:div>
    <w:div w:id="607732996">
      <w:bodyDiv w:val="1"/>
      <w:marLeft w:val="0"/>
      <w:marRight w:val="0"/>
      <w:marTop w:val="0"/>
      <w:marBottom w:val="0"/>
      <w:divBdr>
        <w:top w:val="none" w:sz="0" w:space="0" w:color="auto"/>
        <w:left w:val="none" w:sz="0" w:space="0" w:color="auto"/>
        <w:bottom w:val="none" w:sz="0" w:space="0" w:color="auto"/>
        <w:right w:val="none" w:sz="0" w:space="0" w:color="auto"/>
      </w:divBdr>
    </w:div>
    <w:div w:id="924801931">
      <w:bodyDiv w:val="1"/>
      <w:marLeft w:val="0"/>
      <w:marRight w:val="0"/>
      <w:marTop w:val="0"/>
      <w:marBottom w:val="0"/>
      <w:divBdr>
        <w:top w:val="none" w:sz="0" w:space="0" w:color="auto"/>
        <w:left w:val="none" w:sz="0" w:space="0" w:color="auto"/>
        <w:bottom w:val="none" w:sz="0" w:space="0" w:color="auto"/>
        <w:right w:val="none" w:sz="0" w:space="0" w:color="auto"/>
      </w:divBdr>
      <w:divsChild>
        <w:div w:id="701134282">
          <w:marLeft w:val="360"/>
          <w:marRight w:val="0"/>
          <w:marTop w:val="200"/>
          <w:marBottom w:val="0"/>
          <w:divBdr>
            <w:top w:val="none" w:sz="0" w:space="0" w:color="auto"/>
            <w:left w:val="none" w:sz="0" w:space="0" w:color="auto"/>
            <w:bottom w:val="none" w:sz="0" w:space="0" w:color="auto"/>
            <w:right w:val="none" w:sz="0" w:space="0" w:color="auto"/>
          </w:divBdr>
        </w:div>
        <w:div w:id="431517805">
          <w:marLeft w:val="1080"/>
          <w:marRight w:val="0"/>
          <w:marTop w:val="100"/>
          <w:marBottom w:val="0"/>
          <w:divBdr>
            <w:top w:val="none" w:sz="0" w:space="0" w:color="auto"/>
            <w:left w:val="none" w:sz="0" w:space="0" w:color="auto"/>
            <w:bottom w:val="none" w:sz="0" w:space="0" w:color="auto"/>
            <w:right w:val="none" w:sz="0" w:space="0" w:color="auto"/>
          </w:divBdr>
        </w:div>
        <w:div w:id="904338999">
          <w:marLeft w:val="360"/>
          <w:marRight w:val="0"/>
          <w:marTop w:val="200"/>
          <w:marBottom w:val="0"/>
          <w:divBdr>
            <w:top w:val="none" w:sz="0" w:space="0" w:color="auto"/>
            <w:left w:val="none" w:sz="0" w:space="0" w:color="auto"/>
            <w:bottom w:val="none" w:sz="0" w:space="0" w:color="auto"/>
            <w:right w:val="none" w:sz="0" w:space="0" w:color="auto"/>
          </w:divBdr>
        </w:div>
        <w:div w:id="1350566870">
          <w:marLeft w:val="1080"/>
          <w:marRight w:val="0"/>
          <w:marTop w:val="100"/>
          <w:marBottom w:val="0"/>
          <w:divBdr>
            <w:top w:val="none" w:sz="0" w:space="0" w:color="auto"/>
            <w:left w:val="none" w:sz="0" w:space="0" w:color="auto"/>
            <w:bottom w:val="none" w:sz="0" w:space="0" w:color="auto"/>
            <w:right w:val="none" w:sz="0" w:space="0" w:color="auto"/>
          </w:divBdr>
        </w:div>
        <w:div w:id="950211449">
          <w:marLeft w:val="1080"/>
          <w:marRight w:val="0"/>
          <w:marTop w:val="100"/>
          <w:marBottom w:val="0"/>
          <w:divBdr>
            <w:top w:val="none" w:sz="0" w:space="0" w:color="auto"/>
            <w:left w:val="none" w:sz="0" w:space="0" w:color="auto"/>
            <w:bottom w:val="none" w:sz="0" w:space="0" w:color="auto"/>
            <w:right w:val="none" w:sz="0" w:space="0" w:color="auto"/>
          </w:divBdr>
        </w:div>
        <w:div w:id="1844733910">
          <w:marLeft w:val="360"/>
          <w:marRight w:val="0"/>
          <w:marTop w:val="200"/>
          <w:marBottom w:val="0"/>
          <w:divBdr>
            <w:top w:val="none" w:sz="0" w:space="0" w:color="auto"/>
            <w:left w:val="none" w:sz="0" w:space="0" w:color="auto"/>
            <w:bottom w:val="none" w:sz="0" w:space="0" w:color="auto"/>
            <w:right w:val="none" w:sz="0" w:space="0" w:color="auto"/>
          </w:divBdr>
        </w:div>
        <w:div w:id="369033337">
          <w:marLeft w:val="360"/>
          <w:marRight w:val="0"/>
          <w:marTop w:val="200"/>
          <w:marBottom w:val="0"/>
          <w:divBdr>
            <w:top w:val="none" w:sz="0" w:space="0" w:color="auto"/>
            <w:left w:val="none" w:sz="0" w:space="0" w:color="auto"/>
            <w:bottom w:val="none" w:sz="0" w:space="0" w:color="auto"/>
            <w:right w:val="none" w:sz="0" w:space="0" w:color="auto"/>
          </w:divBdr>
        </w:div>
      </w:divsChild>
    </w:div>
    <w:div w:id="1084958493">
      <w:bodyDiv w:val="1"/>
      <w:marLeft w:val="0"/>
      <w:marRight w:val="0"/>
      <w:marTop w:val="0"/>
      <w:marBottom w:val="0"/>
      <w:divBdr>
        <w:top w:val="none" w:sz="0" w:space="0" w:color="auto"/>
        <w:left w:val="none" w:sz="0" w:space="0" w:color="auto"/>
        <w:bottom w:val="none" w:sz="0" w:space="0" w:color="auto"/>
        <w:right w:val="none" w:sz="0" w:space="0" w:color="auto"/>
      </w:divBdr>
    </w:div>
    <w:div w:id="1343169261">
      <w:bodyDiv w:val="1"/>
      <w:marLeft w:val="0"/>
      <w:marRight w:val="0"/>
      <w:marTop w:val="0"/>
      <w:marBottom w:val="0"/>
      <w:divBdr>
        <w:top w:val="none" w:sz="0" w:space="0" w:color="auto"/>
        <w:left w:val="none" w:sz="0" w:space="0" w:color="auto"/>
        <w:bottom w:val="none" w:sz="0" w:space="0" w:color="auto"/>
        <w:right w:val="none" w:sz="0" w:space="0" w:color="auto"/>
      </w:divBdr>
    </w:div>
    <w:div w:id="1399093280">
      <w:bodyDiv w:val="1"/>
      <w:marLeft w:val="0"/>
      <w:marRight w:val="0"/>
      <w:marTop w:val="0"/>
      <w:marBottom w:val="0"/>
      <w:divBdr>
        <w:top w:val="none" w:sz="0" w:space="0" w:color="auto"/>
        <w:left w:val="none" w:sz="0" w:space="0" w:color="auto"/>
        <w:bottom w:val="none" w:sz="0" w:space="0" w:color="auto"/>
        <w:right w:val="none" w:sz="0" w:space="0" w:color="auto"/>
      </w:divBdr>
      <w:divsChild>
        <w:div w:id="271019104">
          <w:marLeft w:val="749"/>
          <w:marRight w:val="0"/>
          <w:marTop w:val="200"/>
          <w:marBottom w:val="0"/>
          <w:divBdr>
            <w:top w:val="none" w:sz="0" w:space="0" w:color="auto"/>
            <w:left w:val="none" w:sz="0" w:space="0" w:color="auto"/>
            <w:bottom w:val="none" w:sz="0" w:space="0" w:color="auto"/>
            <w:right w:val="none" w:sz="0" w:space="0" w:color="auto"/>
          </w:divBdr>
        </w:div>
        <w:div w:id="1121806035">
          <w:marLeft w:val="749"/>
          <w:marRight w:val="0"/>
          <w:marTop w:val="200"/>
          <w:marBottom w:val="0"/>
          <w:divBdr>
            <w:top w:val="none" w:sz="0" w:space="0" w:color="auto"/>
            <w:left w:val="none" w:sz="0" w:space="0" w:color="auto"/>
            <w:bottom w:val="none" w:sz="0" w:space="0" w:color="auto"/>
            <w:right w:val="none" w:sz="0" w:space="0" w:color="auto"/>
          </w:divBdr>
        </w:div>
        <w:div w:id="1454861125">
          <w:marLeft w:val="749"/>
          <w:marRight w:val="0"/>
          <w:marTop w:val="200"/>
          <w:marBottom w:val="0"/>
          <w:divBdr>
            <w:top w:val="none" w:sz="0" w:space="0" w:color="auto"/>
            <w:left w:val="none" w:sz="0" w:space="0" w:color="auto"/>
            <w:bottom w:val="none" w:sz="0" w:space="0" w:color="auto"/>
            <w:right w:val="none" w:sz="0" w:space="0" w:color="auto"/>
          </w:divBdr>
        </w:div>
        <w:div w:id="1840342933">
          <w:marLeft w:val="749"/>
          <w:marRight w:val="0"/>
          <w:marTop w:val="200"/>
          <w:marBottom w:val="0"/>
          <w:divBdr>
            <w:top w:val="none" w:sz="0" w:space="0" w:color="auto"/>
            <w:left w:val="none" w:sz="0" w:space="0" w:color="auto"/>
            <w:bottom w:val="none" w:sz="0" w:space="0" w:color="auto"/>
            <w:right w:val="none" w:sz="0" w:space="0" w:color="auto"/>
          </w:divBdr>
        </w:div>
      </w:divsChild>
    </w:div>
    <w:div w:id="1400592397">
      <w:bodyDiv w:val="1"/>
      <w:marLeft w:val="0"/>
      <w:marRight w:val="0"/>
      <w:marTop w:val="0"/>
      <w:marBottom w:val="0"/>
      <w:divBdr>
        <w:top w:val="none" w:sz="0" w:space="0" w:color="auto"/>
        <w:left w:val="none" w:sz="0" w:space="0" w:color="auto"/>
        <w:bottom w:val="none" w:sz="0" w:space="0" w:color="auto"/>
        <w:right w:val="none" w:sz="0" w:space="0" w:color="auto"/>
      </w:divBdr>
    </w:div>
    <w:div w:id="1442725326">
      <w:bodyDiv w:val="1"/>
      <w:marLeft w:val="0"/>
      <w:marRight w:val="0"/>
      <w:marTop w:val="0"/>
      <w:marBottom w:val="0"/>
      <w:divBdr>
        <w:top w:val="none" w:sz="0" w:space="0" w:color="auto"/>
        <w:left w:val="none" w:sz="0" w:space="0" w:color="auto"/>
        <w:bottom w:val="none" w:sz="0" w:space="0" w:color="auto"/>
        <w:right w:val="none" w:sz="0" w:space="0" w:color="auto"/>
      </w:divBdr>
      <w:divsChild>
        <w:div w:id="167403414">
          <w:marLeft w:val="749"/>
          <w:marRight w:val="0"/>
          <w:marTop w:val="200"/>
          <w:marBottom w:val="0"/>
          <w:divBdr>
            <w:top w:val="none" w:sz="0" w:space="0" w:color="auto"/>
            <w:left w:val="none" w:sz="0" w:space="0" w:color="auto"/>
            <w:bottom w:val="none" w:sz="0" w:space="0" w:color="auto"/>
            <w:right w:val="none" w:sz="0" w:space="0" w:color="auto"/>
          </w:divBdr>
        </w:div>
        <w:div w:id="715355905">
          <w:marLeft w:val="360"/>
          <w:marRight w:val="0"/>
          <w:marTop w:val="200"/>
          <w:marBottom w:val="0"/>
          <w:divBdr>
            <w:top w:val="none" w:sz="0" w:space="0" w:color="auto"/>
            <w:left w:val="none" w:sz="0" w:space="0" w:color="auto"/>
            <w:bottom w:val="none" w:sz="0" w:space="0" w:color="auto"/>
            <w:right w:val="none" w:sz="0" w:space="0" w:color="auto"/>
          </w:divBdr>
        </w:div>
        <w:div w:id="874194986">
          <w:marLeft w:val="1325"/>
          <w:marRight w:val="0"/>
          <w:marTop w:val="100"/>
          <w:marBottom w:val="0"/>
          <w:divBdr>
            <w:top w:val="none" w:sz="0" w:space="0" w:color="auto"/>
            <w:left w:val="none" w:sz="0" w:space="0" w:color="auto"/>
            <w:bottom w:val="none" w:sz="0" w:space="0" w:color="auto"/>
            <w:right w:val="none" w:sz="0" w:space="0" w:color="auto"/>
          </w:divBdr>
        </w:div>
        <w:div w:id="1387870382">
          <w:marLeft w:val="1325"/>
          <w:marRight w:val="0"/>
          <w:marTop w:val="100"/>
          <w:marBottom w:val="0"/>
          <w:divBdr>
            <w:top w:val="none" w:sz="0" w:space="0" w:color="auto"/>
            <w:left w:val="none" w:sz="0" w:space="0" w:color="auto"/>
            <w:bottom w:val="none" w:sz="0" w:space="0" w:color="auto"/>
            <w:right w:val="none" w:sz="0" w:space="0" w:color="auto"/>
          </w:divBdr>
        </w:div>
        <w:div w:id="1936396382">
          <w:marLeft w:val="1325"/>
          <w:marRight w:val="0"/>
          <w:marTop w:val="100"/>
          <w:marBottom w:val="0"/>
          <w:divBdr>
            <w:top w:val="none" w:sz="0" w:space="0" w:color="auto"/>
            <w:left w:val="none" w:sz="0" w:space="0" w:color="auto"/>
            <w:bottom w:val="none" w:sz="0" w:space="0" w:color="auto"/>
            <w:right w:val="none" w:sz="0" w:space="0" w:color="auto"/>
          </w:divBdr>
        </w:div>
      </w:divsChild>
    </w:div>
    <w:div w:id="1449278965">
      <w:bodyDiv w:val="1"/>
      <w:marLeft w:val="0"/>
      <w:marRight w:val="0"/>
      <w:marTop w:val="0"/>
      <w:marBottom w:val="0"/>
      <w:divBdr>
        <w:top w:val="none" w:sz="0" w:space="0" w:color="auto"/>
        <w:left w:val="none" w:sz="0" w:space="0" w:color="auto"/>
        <w:bottom w:val="none" w:sz="0" w:space="0" w:color="auto"/>
        <w:right w:val="none" w:sz="0" w:space="0" w:color="auto"/>
      </w:divBdr>
      <w:divsChild>
        <w:div w:id="115683745">
          <w:marLeft w:val="806"/>
          <w:marRight w:val="0"/>
          <w:marTop w:val="86"/>
          <w:marBottom w:val="0"/>
          <w:divBdr>
            <w:top w:val="none" w:sz="0" w:space="0" w:color="auto"/>
            <w:left w:val="none" w:sz="0" w:space="0" w:color="auto"/>
            <w:bottom w:val="none" w:sz="0" w:space="0" w:color="auto"/>
            <w:right w:val="none" w:sz="0" w:space="0" w:color="auto"/>
          </w:divBdr>
        </w:div>
        <w:div w:id="1277905237">
          <w:marLeft w:val="806"/>
          <w:marRight w:val="0"/>
          <w:marTop w:val="86"/>
          <w:marBottom w:val="0"/>
          <w:divBdr>
            <w:top w:val="none" w:sz="0" w:space="0" w:color="auto"/>
            <w:left w:val="none" w:sz="0" w:space="0" w:color="auto"/>
            <w:bottom w:val="none" w:sz="0" w:space="0" w:color="auto"/>
            <w:right w:val="none" w:sz="0" w:space="0" w:color="auto"/>
          </w:divBdr>
        </w:div>
        <w:div w:id="1232302835">
          <w:marLeft w:val="806"/>
          <w:marRight w:val="0"/>
          <w:marTop w:val="86"/>
          <w:marBottom w:val="0"/>
          <w:divBdr>
            <w:top w:val="none" w:sz="0" w:space="0" w:color="auto"/>
            <w:left w:val="none" w:sz="0" w:space="0" w:color="auto"/>
            <w:bottom w:val="none" w:sz="0" w:space="0" w:color="auto"/>
            <w:right w:val="none" w:sz="0" w:space="0" w:color="auto"/>
          </w:divBdr>
        </w:div>
        <w:div w:id="1248491504">
          <w:marLeft w:val="806"/>
          <w:marRight w:val="0"/>
          <w:marTop w:val="86"/>
          <w:marBottom w:val="0"/>
          <w:divBdr>
            <w:top w:val="none" w:sz="0" w:space="0" w:color="auto"/>
            <w:left w:val="none" w:sz="0" w:space="0" w:color="auto"/>
            <w:bottom w:val="none" w:sz="0" w:space="0" w:color="auto"/>
            <w:right w:val="none" w:sz="0" w:space="0" w:color="auto"/>
          </w:divBdr>
        </w:div>
      </w:divsChild>
    </w:div>
    <w:div w:id="1614750939">
      <w:bodyDiv w:val="1"/>
      <w:marLeft w:val="0"/>
      <w:marRight w:val="0"/>
      <w:marTop w:val="0"/>
      <w:marBottom w:val="0"/>
      <w:divBdr>
        <w:top w:val="none" w:sz="0" w:space="0" w:color="auto"/>
        <w:left w:val="none" w:sz="0" w:space="0" w:color="auto"/>
        <w:bottom w:val="none" w:sz="0" w:space="0" w:color="auto"/>
        <w:right w:val="none" w:sz="0" w:space="0" w:color="auto"/>
      </w:divBdr>
    </w:div>
    <w:div w:id="1635139091">
      <w:bodyDiv w:val="1"/>
      <w:marLeft w:val="0"/>
      <w:marRight w:val="0"/>
      <w:marTop w:val="0"/>
      <w:marBottom w:val="0"/>
      <w:divBdr>
        <w:top w:val="none" w:sz="0" w:space="0" w:color="auto"/>
        <w:left w:val="none" w:sz="0" w:space="0" w:color="auto"/>
        <w:bottom w:val="none" w:sz="0" w:space="0" w:color="auto"/>
        <w:right w:val="none" w:sz="0" w:space="0" w:color="auto"/>
      </w:divBdr>
    </w:div>
    <w:div w:id="1779522120">
      <w:bodyDiv w:val="1"/>
      <w:marLeft w:val="0"/>
      <w:marRight w:val="0"/>
      <w:marTop w:val="0"/>
      <w:marBottom w:val="0"/>
      <w:divBdr>
        <w:top w:val="none" w:sz="0" w:space="0" w:color="auto"/>
        <w:left w:val="none" w:sz="0" w:space="0" w:color="auto"/>
        <w:bottom w:val="none" w:sz="0" w:space="0" w:color="auto"/>
        <w:right w:val="none" w:sz="0" w:space="0" w:color="auto"/>
      </w:divBdr>
    </w:div>
    <w:div w:id="2125953838">
      <w:bodyDiv w:val="1"/>
      <w:marLeft w:val="0"/>
      <w:marRight w:val="0"/>
      <w:marTop w:val="0"/>
      <w:marBottom w:val="0"/>
      <w:divBdr>
        <w:top w:val="none" w:sz="0" w:space="0" w:color="auto"/>
        <w:left w:val="none" w:sz="0" w:space="0" w:color="auto"/>
        <w:bottom w:val="none" w:sz="0" w:space="0" w:color="auto"/>
        <w:right w:val="none" w:sz="0" w:space="0" w:color="auto"/>
      </w:divBdr>
    </w:div>
    <w:div w:id="2135639703">
      <w:bodyDiv w:val="1"/>
      <w:marLeft w:val="0"/>
      <w:marRight w:val="0"/>
      <w:marTop w:val="0"/>
      <w:marBottom w:val="0"/>
      <w:divBdr>
        <w:top w:val="none" w:sz="0" w:space="0" w:color="auto"/>
        <w:left w:val="none" w:sz="0" w:space="0" w:color="auto"/>
        <w:bottom w:val="none" w:sz="0" w:space="0" w:color="auto"/>
        <w:right w:val="none" w:sz="0" w:space="0" w:color="auto"/>
      </w:divBdr>
      <w:divsChild>
        <w:div w:id="20204591">
          <w:marLeft w:val="749"/>
          <w:marRight w:val="0"/>
          <w:marTop w:val="200"/>
          <w:marBottom w:val="0"/>
          <w:divBdr>
            <w:top w:val="none" w:sz="0" w:space="0" w:color="auto"/>
            <w:left w:val="none" w:sz="0" w:space="0" w:color="auto"/>
            <w:bottom w:val="none" w:sz="0" w:space="0" w:color="auto"/>
            <w:right w:val="none" w:sz="0" w:space="0" w:color="auto"/>
          </w:divBdr>
        </w:div>
        <w:div w:id="798838996">
          <w:marLeft w:val="749"/>
          <w:marRight w:val="0"/>
          <w:marTop w:val="200"/>
          <w:marBottom w:val="0"/>
          <w:divBdr>
            <w:top w:val="none" w:sz="0" w:space="0" w:color="auto"/>
            <w:left w:val="none" w:sz="0" w:space="0" w:color="auto"/>
            <w:bottom w:val="none" w:sz="0" w:space="0" w:color="auto"/>
            <w:right w:val="none" w:sz="0" w:space="0" w:color="auto"/>
          </w:divBdr>
        </w:div>
        <w:div w:id="858667879">
          <w:marLeft w:val="749"/>
          <w:marRight w:val="0"/>
          <w:marTop w:val="200"/>
          <w:marBottom w:val="0"/>
          <w:divBdr>
            <w:top w:val="none" w:sz="0" w:space="0" w:color="auto"/>
            <w:left w:val="none" w:sz="0" w:space="0" w:color="auto"/>
            <w:bottom w:val="none" w:sz="0" w:space="0" w:color="auto"/>
            <w:right w:val="none" w:sz="0" w:space="0" w:color="auto"/>
          </w:divBdr>
        </w:div>
        <w:div w:id="1097947538">
          <w:marLeft w:val="1325"/>
          <w:marRight w:val="0"/>
          <w:marTop w:val="100"/>
          <w:marBottom w:val="0"/>
          <w:divBdr>
            <w:top w:val="none" w:sz="0" w:space="0" w:color="auto"/>
            <w:left w:val="none" w:sz="0" w:space="0" w:color="auto"/>
            <w:bottom w:val="none" w:sz="0" w:space="0" w:color="auto"/>
            <w:right w:val="none" w:sz="0" w:space="0" w:color="auto"/>
          </w:divBdr>
        </w:div>
        <w:div w:id="1950745133">
          <w:marLeft w:val="749"/>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rs.org.uk/knowledge-and-insights/case-study/6-companies-that-get-employee-engagement-and-what-they-do-right" TargetMode="External"/><Relationship Id="rId18" Type="http://schemas.openxmlformats.org/officeDocument/2006/relationships/hyperlink" Target="https://www.youtube.com/watch?v=oLrrHDly3wA" TargetMode="External"/><Relationship Id="rId26" Type="http://schemas.openxmlformats.org/officeDocument/2006/relationships/hyperlink" Target="https://www.hrmagazine.co.uk/content/features/how-businesses-can-engage-bame-employees" TargetMode="External"/><Relationship Id="rId3" Type="http://schemas.openxmlformats.org/officeDocument/2006/relationships/styles" Target="styles.xml"/><Relationship Id="rId21" Type="http://schemas.openxmlformats.org/officeDocument/2006/relationships/hyperlink" Target="https://www.mind.org.uk/media-a/5929/the-mental-health-emergency_a4_final.pdf" TargetMode="External"/><Relationship Id="rId7" Type="http://schemas.openxmlformats.org/officeDocument/2006/relationships/footnotes" Target="footnotes.xml"/><Relationship Id="rId12" Type="http://schemas.openxmlformats.org/officeDocument/2006/relationships/hyperlink" Target="https://moodle.uwtsd.ac.uk/pluginfile.php/394111/mod_resource/content/1/uk-working-lives-summary-2019-v1_tcm18-58584.pdf" TargetMode="External"/><Relationship Id="rId17" Type="http://schemas.openxmlformats.org/officeDocument/2006/relationships/hyperlink" Target="https://www.bcg.com/en-gb/publications/2016/people-organization-leadership-talent-rewards-engaged-female-workforce" TargetMode="External"/><Relationship Id="rId25" Type="http://schemas.openxmlformats.org/officeDocument/2006/relationships/hyperlink" Target="https://www.sogosurvey.com/blog/managers-vital-role-in-employee-engagement/" TargetMode="External"/><Relationship Id="rId2" Type="http://schemas.openxmlformats.org/officeDocument/2006/relationships/numbering" Target="numbering.xml"/><Relationship Id="rId16"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20" Type="http://schemas.openxmlformats.org/officeDocument/2006/relationships/hyperlink" Target="https://www.mckinsey.com/featured-insights/diversity-and-inclusion/women-in-the-workpla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Images/developing-managers_2014_tcm18-10434.pdf" TargetMode="External"/><Relationship Id="rId24" Type="http://schemas.openxmlformats.org/officeDocument/2006/relationships/hyperlink" Target="https://www.td.org/newsletters/atd-links/5-barriers-to-employee-engagement" TargetMode="External"/><Relationship Id="rId5" Type="http://schemas.openxmlformats.org/officeDocument/2006/relationships/settings" Target="settings.xml"/><Relationship Id="rId15" Type="http://schemas.openxmlformats.org/officeDocument/2006/relationships/hyperlink" Target="https://www.gov.uk/guidance/the-information-and-consultation-regulations" TargetMode="External"/><Relationship Id="rId23" Type="http://schemas.openxmlformats.org/officeDocument/2006/relationships/hyperlink" Target="https://lattice.com/library/the-roi-of-employee-engagement-5-reasons-its-worth-the-cost" TargetMode="External"/><Relationship Id="rId28" Type="http://schemas.openxmlformats.org/officeDocument/2006/relationships/fontTable" Target="fontTable.xml"/><Relationship Id="rId10" Type="http://schemas.openxmlformats.org/officeDocument/2006/relationships/hyperlink" Target="https://www.cipd.co.uk/knowledge/culture/well-being/developing-managers-report" TargetMode="External"/><Relationship Id="rId19" Type="http://schemas.openxmlformats.org/officeDocument/2006/relationships/hyperlink" Target="https://www.contactmonkey.com/blog/top-companies-employee-engagement" TargetMode="External"/><Relationship Id="rId4" Type="http://schemas.microsoft.com/office/2007/relationships/stylesWithEffects" Target="stylesWithEffects.xml"/><Relationship Id="rId9" Type="http://schemas.openxmlformats.org/officeDocument/2006/relationships/hyperlink" Target="https://www.forbes.com/sites/forbescoachescouncil/2020/02/13/managing-millennials-in-the-workplace/?sh=95f27ba51a9c" TargetMode="External"/><Relationship Id="rId14" Type="http://schemas.openxmlformats.org/officeDocument/2006/relationships/hyperlink" Target="https://www.cipd.co.uk/knowledge/fundamentals/relations/engagement/factsheet" TargetMode="External"/><Relationship Id="rId22" Type="http://schemas.openxmlformats.org/officeDocument/2006/relationships/hyperlink" Target="https://www.ons.gov.uk/file?uri=/aboutus/whatwedo/peoplematters/ukstatisticsauthoritycorporatereport.pdf" TargetMode="External"/><Relationship Id="rId27" Type="http://schemas.openxmlformats.org/officeDocument/2006/relationships/hyperlink" Target="https://www.talkfreely.com/blog/employee-engagement-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EF0C5B-6282-410F-B2B3-8CA1B897E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13682</TotalTime>
  <Pages>11</Pages>
  <Words>4737</Words>
  <Characters>27002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email4amp Procter</dc:creator>
  <cp:keywords/>
  <dc:description/>
  <cp:lastModifiedBy>email4amp Procter</cp:lastModifiedBy>
  <cp:revision>49</cp:revision>
  <dcterms:created xsi:type="dcterms:W3CDTF">2022-01-19T13:47:00Z</dcterms:created>
  <dcterms:modified xsi:type="dcterms:W3CDTF">2022-02-07T20:38:00Z</dcterms:modified>
</cp:coreProperties>
</file>