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02A3E" w14:textId="77777777" w:rsidR="00970358" w:rsidRDefault="00970358" w:rsidP="009660F4">
      <w:pPr>
        <w:spacing w:line="360" w:lineRule="auto"/>
        <w:jc w:val="center"/>
        <w:rPr>
          <w:rFonts w:ascii="Arial" w:hAnsi="Arial" w:cs="Arial"/>
          <w:b/>
          <w:bCs/>
        </w:rPr>
      </w:pPr>
    </w:p>
    <w:p w14:paraId="3342E655" w14:textId="77777777" w:rsidR="00970358" w:rsidRDefault="00970358" w:rsidP="009660F4">
      <w:pPr>
        <w:spacing w:line="360" w:lineRule="auto"/>
        <w:jc w:val="center"/>
        <w:rPr>
          <w:rFonts w:ascii="Arial" w:hAnsi="Arial" w:cs="Arial"/>
          <w:b/>
          <w:bCs/>
        </w:rPr>
      </w:pPr>
    </w:p>
    <w:p w14:paraId="63500D32" w14:textId="77777777" w:rsidR="00970358" w:rsidRDefault="00970358" w:rsidP="009660F4">
      <w:pPr>
        <w:spacing w:line="360" w:lineRule="auto"/>
        <w:jc w:val="center"/>
        <w:rPr>
          <w:rFonts w:ascii="Arial" w:hAnsi="Arial" w:cs="Arial"/>
          <w:b/>
          <w:bCs/>
        </w:rPr>
      </w:pPr>
    </w:p>
    <w:p w14:paraId="3D4D4107" w14:textId="77777777" w:rsidR="00970358" w:rsidRDefault="00970358" w:rsidP="009660F4">
      <w:pPr>
        <w:spacing w:line="360" w:lineRule="auto"/>
        <w:jc w:val="center"/>
        <w:rPr>
          <w:rFonts w:ascii="Arial" w:hAnsi="Arial" w:cs="Arial"/>
          <w:b/>
          <w:bCs/>
        </w:rPr>
      </w:pPr>
    </w:p>
    <w:p w14:paraId="39EFC176" w14:textId="77777777" w:rsidR="00970358" w:rsidRPr="00735428" w:rsidRDefault="00970358" w:rsidP="00970358">
      <w:pPr>
        <w:spacing w:line="360" w:lineRule="auto"/>
        <w:jc w:val="center"/>
        <w:rPr>
          <w:rFonts w:ascii="Arial" w:hAnsi="Arial" w:cs="Arial"/>
          <w:b/>
          <w:bCs/>
        </w:rPr>
      </w:pPr>
      <w:r w:rsidRPr="00735428">
        <w:rPr>
          <w:rFonts w:ascii="Arial" w:hAnsi="Arial" w:cs="Arial"/>
          <w:b/>
          <w:bCs/>
        </w:rPr>
        <w:t>A Critical Analysis of External Factors Influencing the UK Electric Vehicle Industry</w:t>
      </w:r>
    </w:p>
    <w:p w14:paraId="26FA0EE8" w14:textId="77777777" w:rsidR="00970358" w:rsidRDefault="00970358" w:rsidP="009660F4">
      <w:pPr>
        <w:spacing w:line="360" w:lineRule="auto"/>
        <w:jc w:val="center"/>
        <w:rPr>
          <w:rFonts w:ascii="Arial" w:hAnsi="Arial" w:cs="Arial"/>
          <w:b/>
          <w:bCs/>
        </w:rPr>
      </w:pPr>
    </w:p>
    <w:p w14:paraId="34438908" w14:textId="77777777" w:rsidR="00970358" w:rsidRDefault="00970358" w:rsidP="009660F4">
      <w:pPr>
        <w:spacing w:line="360" w:lineRule="auto"/>
        <w:jc w:val="center"/>
        <w:rPr>
          <w:rFonts w:ascii="Arial" w:hAnsi="Arial" w:cs="Arial"/>
          <w:b/>
          <w:bCs/>
        </w:rPr>
      </w:pPr>
    </w:p>
    <w:p w14:paraId="7C0F83E5" w14:textId="77777777" w:rsidR="00970358" w:rsidRDefault="00970358" w:rsidP="009660F4">
      <w:pPr>
        <w:spacing w:line="360" w:lineRule="auto"/>
        <w:jc w:val="center"/>
        <w:rPr>
          <w:rFonts w:ascii="Arial" w:hAnsi="Arial" w:cs="Arial"/>
          <w:b/>
          <w:bCs/>
        </w:rPr>
      </w:pPr>
    </w:p>
    <w:p w14:paraId="1701216E" w14:textId="6AB7FBBB" w:rsidR="00970358" w:rsidRDefault="00970358" w:rsidP="009660F4">
      <w:pPr>
        <w:spacing w:line="360" w:lineRule="auto"/>
        <w:jc w:val="center"/>
        <w:rPr>
          <w:rFonts w:ascii="Arial" w:hAnsi="Arial" w:cs="Arial"/>
          <w:b/>
          <w:bCs/>
        </w:rPr>
      </w:pPr>
      <w:r>
        <w:rPr>
          <w:noProof/>
        </w:rPr>
        <w:drawing>
          <wp:inline distT="0" distB="0" distL="0" distR="0" wp14:anchorId="2F41251A" wp14:editId="71392D0F">
            <wp:extent cx="2859821" cy="3610707"/>
            <wp:effectExtent l="0" t="0" r="0" b="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4068" cy="3628695"/>
                    </a:xfrm>
                    <a:prstGeom prst="rect">
                      <a:avLst/>
                    </a:prstGeom>
                    <a:noFill/>
                    <a:ln>
                      <a:noFill/>
                    </a:ln>
                  </pic:spPr>
                </pic:pic>
              </a:graphicData>
            </a:graphic>
          </wp:inline>
        </w:drawing>
      </w:r>
    </w:p>
    <w:p w14:paraId="7AE70312" w14:textId="730EA0A9" w:rsidR="00970358" w:rsidRPr="00970358" w:rsidRDefault="00970358" w:rsidP="00970358">
      <w:pPr>
        <w:pStyle w:val="Heading1"/>
        <w:shd w:val="clear" w:color="auto" w:fill="FFFFFF"/>
        <w:spacing w:before="0" w:after="0"/>
        <w:rPr>
          <w:rFonts w:ascii="Segoe UI" w:eastAsia="Times New Roman" w:hAnsi="Segoe UI" w:cs="Segoe UI"/>
          <w:b/>
          <w:bCs/>
          <w:color w:val="FFFFFF"/>
          <w:kern w:val="36"/>
          <w:sz w:val="48"/>
          <w:szCs w:val="48"/>
          <w:lang w:eastAsia="en-GB"/>
          <w14:ligatures w14:val="none"/>
        </w:rPr>
      </w:pPr>
      <w:r w:rsidRPr="00970358">
        <w:rPr>
          <w:rFonts w:ascii="Segoe UI" w:eastAsia="Times New Roman" w:hAnsi="Segoe UI" w:cs="Segoe UI"/>
          <w:b/>
          <w:bCs/>
          <w:color w:val="FFFFFF"/>
          <w:kern w:val="36"/>
          <w:sz w:val="48"/>
          <w:szCs w:val="48"/>
          <w:lang w:eastAsia="en-GB"/>
          <w14:ligatures w14:val="none"/>
        </w:rPr>
        <w:t>Problem Solving and Innovation (BMSW4014_SWAN)</w:t>
      </w:r>
    </w:p>
    <w:p w14:paraId="0B6DCE2A" w14:textId="77777777" w:rsidR="00970358" w:rsidRPr="00970358" w:rsidRDefault="00970358" w:rsidP="00970358"/>
    <w:p w14:paraId="07C5E869" w14:textId="4610B094" w:rsidR="00970358" w:rsidRDefault="001B74DD" w:rsidP="00970358">
      <w:pPr>
        <w:spacing w:line="360" w:lineRule="auto"/>
        <w:rPr>
          <w:rFonts w:ascii="Arial" w:hAnsi="Arial" w:cs="Arial"/>
          <w:b/>
          <w:bCs/>
        </w:rPr>
      </w:pPr>
      <w:r>
        <w:rPr>
          <w:rFonts w:ascii="Arial" w:hAnsi="Arial" w:cs="Arial"/>
          <w:b/>
          <w:bCs/>
        </w:rPr>
        <w:t>Model: Problem Solving and Innovation Module BMSW4014</w:t>
      </w:r>
    </w:p>
    <w:p w14:paraId="7FC379E4" w14:textId="1B451774" w:rsidR="00970358" w:rsidRDefault="00970358" w:rsidP="00970358">
      <w:pPr>
        <w:spacing w:line="360" w:lineRule="auto"/>
        <w:rPr>
          <w:rFonts w:ascii="Arial" w:hAnsi="Arial" w:cs="Arial"/>
          <w:b/>
          <w:bCs/>
        </w:rPr>
      </w:pPr>
      <w:r>
        <w:rPr>
          <w:rFonts w:ascii="Arial" w:hAnsi="Arial" w:cs="Arial"/>
          <w:b/>
          <w:bCs/>
        </w:rPr>
        <w:t xml:space="preserve">Student Name and </w:t>
      </w:r>
      <w:r w:rsidR="001B74DD">
        <w:rPr>
          <w:rFonts w:ascii="Arial" w:hAnsi="Arial" w:cs="Arial"/>
          <w:b/>
          <w:bCs/>
        </w:rPr>
        <w:t>ID: shelsya</w:t>
      </w:r>
      <w:r>
        <w:rPr>
          <w:rFonts w:ascii="Arial" w:hAnsi="Arial" w:cs="Arial"/>
          <w:b/>
          <w:bCs/>
        </w:rPr>
        <w:t xml:space="preserve"> Cavanza</w:t>
      </w:r>
      <w:r w:rsidR="001B74DD">
        <w:rPr>
          <w:rFonts w:ascii="Arial" w:hAnsi="Arial" w:cs="Arial"/>
          <w:b/>
          <w:bCs/>
        </w:rPr>
        <w:t xml:space="preserve"> / 2130984</w:t>
      </w:r>
    </w:p>
    <w:p w14:paraId="0D0A43A1" w14:textId="793A47B6" w:rsidR="00970358" w:rsidRDefault="00970358" w:rsidP="00970358">
      <w:pPr>
        <w:spacing w:line="360" w:lineRule="auto"/>
        <w:rPr>
          <w:rFonts w:ascii="Arial" w:hAnsi="Arial" w:cs="Arial"/>
          <w:b/>
          <w:bCs/>
        </w:rPr>
      </w:pPr>
      <w:r>
        <w:rPr>
          <w:rFonts w:ascii="Arial" w:hAnsi="Arial" w:cs="Arial"/>
          <w:b/>
          <w:bCs/>
        </w:rPr>
        <w:t>Lecturer: Arpu Kumar</w:t>
      </w:r>
    </w:p>
    <w:p w14:paraId="21A3FCE2" w14:textId="31087176" w:rsidR="00970358" w:rsidRDefault="00970358" w:rsidP="00970358">
      <w:pPr>
        <w:spacing w:line="360" w:lineRule="auto"/>
        <w:rPr>
          <w:rFonts w:ascii="Arial" w:hAnsi="Arial" w:cs="Arial"/>
          <w:b/>
          <w:bCs/>
        </w:rPr>
      </w:pPr>
      <w:r>
        <w:rPr>
          <w:rFonts w:ascii="Arial" w:hAnsi="Arial" w:cs="Arial"/>
          <w:b/>
          <w:bCs/>
        </w:rPr>
        <w:t>Deadline:5 Dec 2025</w:t>
      </w:r>
    </w:p>
    <w:p w14:paraId="60681B87" w14:textId="615447D4" w:rsidR="00970358" w:rsidRDefault="00970358" w:rsidP="00970358">
      <w:pPr>
        <w:spacing w:line="360" w:lineRule="auto"/>
        <w:rPr>
          <w:rFonts w:ascii="Arial" w:hAnsi="Arial" w:cs="Arial"/>
          <w:b/>
          <w:bCs/>
        </w:rPr>
      </w:pPr>
      <w:r>
        <w:rPr>
          <w:rFonts w:ascii="Arial" w:hAnsi="Arial" w:cs="Arial"/>
          <w:b/>
          <w:bCs/>
        </w:rPr>
        <w:t>Word count: 1500</w:t>
      </w:r>
    </w:p>
    <w:p w14:paraId="5DA9E2FD" w14:textId="77777777" w:rsidR="001B74DD" w:rsidRDefault="001B74DD" w:rsidP="009660F4">
      <w:pPr>
        <w:spacing w:line="360" w:lineRule="auto"/>
        <w:jc w:val="both"/>
        <w:rPr>
          <w:rFonts w:ascii="Arial" w:hAnsi="Arial" w:cs="Arial"/>
          <w:b/>
          <w:bCs/>
        </w:rPr>
      </w:pPr>
    </w:p>
    <w:p w14:paraId="63258ED5" w14:textId="46B660BC" w:rsidR="00D43EA9" w:rsidRPr="00735428" w:rsidRDefault="00D43EA9" w:rsidP="009660F4">
      <w:pPr>
        <w:spacing w:line="360" w:lineRule="auto"/>
        <w:jc w:val="both"/>
        <w:rPr>
          <w:rFonts w:ascii="Arial" w:hAnsi="Arial" w:cs="Arial"/>
          <w:b/>
          <w:bCs/>
        </w:rPr>
      </w:pPr>
      <w:r w:rsidRPr="00735428">
        <w:rPr>
          <w:rFonts w:ascii="Arial" w:hAnsi="Arial" w:cs="Arial"/>
          <w:b/>
          <w:bCs/>
        </w:rPr>
        <w:lastRenderedPageBreak/>
        <w:t>1. Introduction</w:t>
      </w:r>
    </w:p>
    <w:p w14:paraId="45E7EC1D" w14:textId="45294BA5" w:rsidR="000847EF" w:rsidRPr="009660F4" w:rsidRDefault="000847EF" w:rsidP="009660F4">
      <w:pPr>
        <w:spacing w:line="360" w:lineRule="auto"/>
        <w:jc w:val="both"/>
        <w:rPr>
          <w:rFonts w:ascii="Arial" w:hAnsi="Arial" w:cs="Arial"/>
        </w:rPr>
      </w:pPr>
      <w:r w:rsidRPr="009660F4">
        <w:rPr>
          <w:rFonts w:ascii="Arial" w:hAnsi="Arial" w:cs="Arial"/>
        </w:rPr>
        <w:t>UK electric vehicle (EV) has experienced a very fast transformation in the last ten years due to the influences of the growth in technology, pressure on the environment, and favourable policy environments. Within the larger goal of the UK government to reach net-zero emissions by 2050, there are an estimated number of initiatives undertaken, to promote the adoption of EVs and reinforce the move towards the elimination of fossil-fuel powered vehicles. In 2024, the number of battery-electric vehicles registered in the UK was more than 1.1 million, which is one of the essential increases since the number was less than 100,000 in 2015 (Society of Motor Manufacturers and Traders, 2024). This has been boosted by the growing consumer demand, the diversification of models, and the advent of battery and charging technology.</w:t>
      </w:r>
    </w:p>
    <w:p w14:paraId="2C9F3B9F" w14:textId="7E1C5D27" w:rsidR="000847EF" w:rsidRPr="009660F4" w:rsidRDefault="000847EF" w:rsidP="009660F4">
      <w:pPr>
        <w:spacing w:line="360" w:lineRule="auto"/>
        <w:jc w:val="both"/>
        <w:rPr>
          <w:rFonts w:ascii="Arial" w:hAnsi="Arial" w:cs="Arial"/>
        </w:rPr>
      </w:pPr>
      <w:r w:rsidRPr="009660F4">
        <w:rPr>
          <w:rFonts w:ascii="Arial" w:hAnsi="Arial" w:cs="Arial"/>
        </w:rPr>
        <w:t xml:space="preserve">Nevertheless, the industry has a set of external risks as well. New policy changes, including the decision to postpone the prohibition of new petrol and diesel vehicles to 2035, have left the manufacturers and investors in the dark (BBC News, 2023). The instability in the economy, lack of infrastructure and dependence on international supply chain also complicate the stability in the industry. This report aims at critically analysing the external environment in the UK EV industry through the PESTLE and SWOT analysis tools. It also </w:t>
      </w:r>
      <w:r w:rsidR="00330031" w:rsidRPr="009660F4">
        <w:rPr>
          <w:rFonts w:ascii="Arial" w:hAnsi="Arial" w:cs="Arial"/>
        </w:rPr>
        <w:t>analyses</w:t>
      </w:r>
      <w:r w:rsidRPr="009660F4">
        <w:rPr>
          <w:rFonts w:ascii="Arial" w:hAnsi="Arial" w:cs="Arial"/>
        </w:rPr>
        <w:t xml:space="preserve"> how innovation has influenced the sector and wraps up with strategic ideas on how to make the sector more competitive, sustainable and resilient.</w:t>
      </w:r>
    </w:p>
    <w:p w14:paraId="73BEFCD4" w14:textId="77777777" w:rsidR="000847EF" w:rsidRPr="009660F4" w:rsidRDefault="000847EF" w:rsidP="009660F4">
      <w:pPr>
        <w:spacing w:line="360" w:lineRule="auto"/>
        <w:jc w:val="both"/>
        <w:rPr>
          <w:rFonts w:ascii="Arial" w:hAnsi="Arial" w:cs="Arial"/>
          <w:b/>
          <w:bCs/>
        </w:rPr>
      </w:pPr>
      <w:r w:rsidRPr="009660F4">
        <w:rPr>
          <w:rFonts w:ascii="Arial" w:hAnsi="Arial" w:cs="Arial"/>
          <w:b/>
          <w:bCs/>
        </w:rPr>
        <w:t>2. Findings</w:t>
      </w:r>
    </w:p>
    <w:p w14:paraId="00F64875" w14:textId="77777777" w:rsidR="000847EF" w:rsidRPr="009660F4" w:rsidRDefault="000847EF" w:rsidP="009660F4">
      <w:pPr>
        <w:spacing w:line="360" w:lineRule="auto"/>
        <w:jc w:val="both"/>
        <w:rPr>
          <w:rFonts w:ascii="Arial" w:hAnsi="Arial" w:cs="Arial"/>
          <w:b/>
          <w:bCs/>
        </w:rPr>
      </w:pPr>
      <w:r w:rsidRPr="009660F4">
        <w:rPr>
          <w:rFonts w:ascii="Arial" w:hAnsi="Arial" w:cs="Arial"/>
          <w:b/>
          <w:bCs/>
        </w:rPr>
        <w:t>2.1 PESTLE Analysis</w:t>
      </w:r>
    </w:p>
    <w:p w14:paraId="0346524D" w14:textId="77777777" w:rsidR="000847EF" w:rsidRPr="009660F4" w:rsidRDefault="000847EF" w:rsidP="009660F4">
      <w:pPr>
        <w:pStyle w:val="ListParagraph"/>
        <w:numPr>
          <w:ilvl w:val="0"/>
          <w:numId w:val="1"/>
        </w:numPr>
        <w:spacing w:after="0" w:line="360" w:lineRule="auto"/>
        <w:jc w:val="both"/>
        <w:rPr>
          <w:rFonts w:ascii="Arial" w:hAnsi="Arial" w:cs="Arial"/>
        </w:rPr>
      </w:pPr>
      <w:r w:rsidRPr="009660F4">
        <w:rPr>
          <w:rFonts w:ascii="Arial" w:hAnsi="Arial" w:cs="Arial"/>
          <w:b/>
          <w:bCs/>
        </w:rPr>
        <w:t>Political Factors</w:t>
      </w:r>
    </w:p>
    <w:p w14:paraId="3BD00461" w14:textId="23D26E2A" w:rsidR="000847EF" w:rsidRPr="009660F4" w:rsidRDefault="000847EF" w:rsidP="009660F4">
      <w:pPr>
        <w:spacing w:line="360" w:lineRule="auto"/>
        <w:jc w:val="both"/>
        <w:rPr>
          <w:rFonts w:ascii="Arial" w:hAnsi="Arial" w:cs="Arial"/>
        </w:rPr>
      </w:pPr>
      <w:r w:rsidRPr="009660F4">
        <w:rPr>
          <w:rFonts w:ascii="Arial" w:hAnsi="Arial" w:cs="Arial"/>
        </w:rPr>
        <w:t>Politics is one of the main factors of the ecosystem of the EV. The government of the UK has put a lot of money into EV infrastructure measures</w:t>
      </w:r>
      <w:r w:rsidR="001B74DD">
        <w:rPr>
          <w:rFonts w:ascii="Arial" w:hAnsi="Arial" w:cs="Arial"/>
        </w:rPr>
        <w:t>,</w:t>
      </w:r>
      <w:r w:rsidRPr="009660F4">
        <w:rPr>
          <w:rFonts w:ascii="Arial" w:hAnsi="Arial" w:cs="Arial"/>
        </w:rPr>
        <w:t xml:space="preserve"> including the Electric Vehicle Infrastructure Strategy, which includes a £1.6 billion investment in the charging infrastructure and assistance to local authorities (Department for Transport, 2022). However, political irregularity is dangerous. The postponement of the ban o</w:t>
      </w:r>
      <w:r w:rsidR="001B74DD">
        <w:rPr>
          <w:rFonts w:ascii="Arial" w:hAnsi="Arial" w:cs="Arial"/>
        </w:rPr>
        <w:t>n</w:t>
      </w:r>
      <w:r w:rsidRPr="009660F4">
        <w:rPr>
          <w:rFonts w:ascii="Arial" w:hAnsi="Arial" w:cs="Arial"/>
        </w:rPr>
        <w:t xml:space="preserve"> petrol and diesel vehicles to 2035 has thrown uncertainty to the automotive producers</w:t>
      </w:r>
      <w:r w:rsidR="001B74DD">
        <w:rPr>
          <w:rFonts w:ascii="Arial" w:hAnsi="Arial" w:cs="Arial"/>
        </w:rPr>
        <w:t>’</w:t>
      </w:r>
      <w:r w:rsidRPr="009660F4">
        <w:rPr>
          <w:rFonts w:ascii="Arial" w:hAnsi="Arial" w:cs="Arial"/>
        </w:rPr>
        <w:t xml:space="preserve"> intending to make long-term investments (BBC News, 2023). This kind of change in policy may depress investor confidence and stutter growth in manufacturing.</w:t>
      </w:r>
    </w:p>
    <w:p w14:paraId="3644C940" w14:textId="77777777" w:rsidR="000847EF" w:rsidRPr="009660F4" w:rsidRDefault="000847EF" w:rsidP="009660F4">
      <w:pPr>
        <w:pStyle w:val="ListParagraph"/>
        <w:numPr>
          <w:ilvl w:val="0"/>
          <w:numId w:val="1"/>
        </w:numPr>
        <w:spacing w:after="0" w:line="360" w:lineRule="auto"/>
        <w:jc w:val="both"/>
        <w:rPr>
          <w:rFonts w:ascii="Arial" w:hAnsi="Arial" w:cs="Arial"/>
          <w:b/>
          <w:bCs/>
        </w:rPr>
      </w:pPr>
      <w:r w:rsidRPr="009660F4">
        <w:rPr>
          <w:rFonts w:ascii="Arial" w:hAnsi="Arial" w:cs="Arial"/>
          <w:b/>
          <w:bCs/>
        </w:rPr>
        <w:t>Economic Factors</w:t>
      </w:r>
    </w:p>
    <w:p w14:paraId="07E97CD6" w14:textId="1C2C98CD" w:rsidR="000847EF" w:rsidRPr="009660F4" w:rsidRDefault="000847EF" w:rsidP="009660F4">
      <w:pPr>
        <w:spacing w:line="360" w:lineRule="auto"/>
        <w:jc w:val="both"/>
        <w:rPr>
          <w:rFonts w:ascii="Arial" w:hAnsi="Arial" w:cs="Arial"/>
        </w:rPr>
      </w:pPr>
      <w:r w:rsidRPr="009660F4">
        <w:rPr>
          <w:rFonts w:ascii="Arial" w:hAnsi="Arial" w:cs="Arial"/>
        </w:rPr>
        <w:lastRenderedPageBreak/>
        <w:t xml:space="preserve">The macroeconomic factors have a great influence on EV adoption. The cost pressure on both the manufacturer and the consumer has been high inflation rate, increase in interest rates and high cost of manufacturing products, especially those components like lithium, cobalt and nickel that form critical minerals. EVs are also still pricier to purchase than traditional vehicles, which is not so affordable in times of economic recession. Meanwhile, the running costs are low in the long term, and the increased petrol prices make EVs more attractive (National Grid, 2023). The example of a battery manufacturer called </w:t>
      </w:r>
      <w:r w:rsidR="001B74DD" w:rsidRPr="009660F4">
        <w:rPr>
          <w:rFonts w:ascii="Arial" w:hAnsi="Arial" w:cs="Arial"/>
        </w:rPr>
        <w:t>British Volt</w:t>
      </w:r>
      <w:r w:rsidRPr="009660F4">
        <w:rPr>
          <w:rFonts w:ascii="Arial" w:hAnsi="Arial" w:cs="Arial"/>
        </w:rPr>
        <w:t xml:space="preserve"> that has collapsed is an indicator of domestic economic difficulties and the necessity to support the supply chain better (Financial Times, 2023).</w:t>
      </w:r>
    </w:p>
    <w:p w14:paraId="2366D664" w14:textId="77777777" w:rsidR="000847EF" w:rsidRPr="009660F4" w:rsidRDefault="000847EF" w:rsidP="009660F4">
      <w:pPr>
        <w:pStyle w:val="ListParagraph"/>
        <w:numPr>
          <w:ilvl w:val="0"/>
          <w:numId w:val="1"/>
        </w:numPr>
        <w:spacing w:after="0" w:line="360" w:lineRule="auto"/>
        <w:jc w:val="both"/>
        <w:rPr>
          <w:rFonts w:ascii="Arial" w:hAnsi="Arial" w:cs="Arial"/>
          <w:b/>
          <w:bCs/>
        </w:rPr>
      </w:pPr>
      <w:r w:rsidRPr="009660F4">
        <w:rPr>
          <w:rFonts w:ascii="Arial" w:hAnsi="Arial" w:cs="Arial"/>
          <w:b/>
          <w:bCs/>
        </w:rPr>
        <w:t>Social Factors</w:t>
      </w:r>
    </w:p>
    <w:p w14:paraId="3B3B7A18" w14:textId="3BDAEA44" w:rsidR="000847EF" w:rsidRPr="009660F4" w:rsidRDefault="000847EF" w:rsidP="009660F4">
      <w:pPr>
        <w:spacing w:line="360" w:lineRule="auto"/>
        <w:jc w:val="both"/>
        <w:rPr>
          <w:rFonts w:ascii="Arial" w:hAnsi="Arial" w:cs="Arial"/>
        </w:rPr>
      </w:pPr>
      <w:r w:rsidRPr="009660F4">
        <w:rPr>
          <w:rFonts w:ascii="Arial" w:hAnsi="Arial" w:cs="Arial"/>
        </w:rPr>
        <w:t>The social attitude to sustainability is still changing positively, as UK consumers are increasingly interested in mobility solutions with low emission</w:t>
      </w:r>
      <w:r w:rsidR="001B74DD">
        <w:rPr>
          <w:rFonts w:ascii="Arial" w:hAnsi="Arial" w:cs="Arial"/>
        </w:rPr>
        <w:t>s</w:t>
      </w:r>
      <w:r w:rsidRPr="009660F4">
        <w:rPr>
          <w:rFonts w:ascii="Arial" w:hAnsi="Arial" w:cs="Arial"/>
        </w:rPr>
        <w:t>. The growing concern of the climate change among the population, along with the expanded clean-air zones within large cities, has made the adoption of EVs more readily accepted. Nonetheless, there is popular distrust over charges accessibility, battery life, and reliability of range. The press has made charging queues and charge points that would be broken in the busiest periods of the year even more infuriating to the population (The Guardian, 2023). The disparities between the urban and rural areas also influence the adoption patterns: drivers in urban areas who have home-charging access are much more likely to adopt EVs compared to rural households.</w:t>
      </w:r>
    </w:p>
    <w:p w14:paraId="73C7B44C" w14:textId="77777777" w:rsidR="000847EF" w:rsidRPr="009660F4" w:rsidRDefault="000847EF" w:rsidP="009660F4">
      <w:pPr>
        <w:pStyle w:val="ListParagraph"/>
        <w:numPr>
          <w:ilvl w:val="0"/>
          <w:numId w:val="1"/>
        </w:numPr>
        <w:spacing w:after="0" w:line="360" w:lineRule="auto"/>
        <w:jc w:val="both"/>
        <w:rPr>
          <w:rFonts w:ascii="Arial" w:hAnsi="Arial" w:cs="Arial"/>
          <w:b/>
          <w:bCs/>
        </w:rPr>
      </w:pPr>
      <w:r w:rsidRPr="009660F4">
        <w:rPr>
          <w:rFonts w:ascii="Arial" w:hAnsi="Arial" w:cs="Arial"/>
          <w:b/>
          <w:bCs/>
        </w:rPr>
        <w:t>Technological Factors</w:t>
      </w:r>
    </w:p>
    <w:p w14:paraId="4F5CAFAF" w14:textId="77777777" w:rsidR="000847EF" w:rsidRDefault="000847EF" w:rsidP="009660F4">
      <w:pPr>
        <w:spacing w:line="360" w:lineRule="auto"/>
        <w:jc w:val="both"/>
        <w:rPr>
          <w:rFonts w:ascii="Arial" w:hAnsi="Arial" w:cs="Arial"/>
        </w:rPr>
      </w:pPr>
      <w:r w:rsidRPr="009660F4">
        <w:rPr>
          <w:rFonts w:ascii="Arial" w:hAnsi="Arial" w:cs="Arial"/>
        </w:rPr>
        <w:t>One of the most significant aspects in the UK EV industry is technology. The development of battery technology has enhanced energy density, shortened the charging time and lowered the prices. By 2024 the UK had more than 53,000 public charge points, both rapid and ultra-rapid (Zap-Map, 2024). Software innovations, including telematics, over-the-air updates, and integration with smart-grids, are used to increase the performance of the vehicle and its user experience. Vehicle-to-grid (V2G) technologies also make EVs contribute to energy balancing, which can potentially save consumers (National grid, 2023). Even with these developments, the security threats of cyber-security and lack of technological compatibility between charging networks are still a concern.</w:t>
      </w:r>
    </w:p>
    <w:p w14:paraId="0EDFC1DB" w14:textId="77777777" w:rsidR="001B74DD" w:rsidRDefault="001B74DD" w:rsidP="009660F4">
      <w:pPr>
        <w:spacing w:line="360" w:lineRule="auto"/>
        <w:jc w:val="both"/>
        <w:rPr>
          <w:rFonts w:ascii="Arial" w:hAnsi="Arial" w:cs="Arial"/>
        </w:rPr>
      </w:pPr>
    </w:p>
    <w:p w14:paraId="1C4450A4" w14:textId="77777777" w:rsidR="001B74DD" w:rsidRPr="009660F4" w:rsidRDefault="001B74DD" w:rsidP="009660F4">
      <w:pPr>
        <w:spacing w:line="360" w:lineRule="auto"/>
        <w:jc w:val="both"/>
        <w:rPr>
          <w:rFonts w:ascii="Arial" w:hAnsi="Arial" w:cs="Arial"/>
        </w:rPr>
      </w:pPr>
    </w:p>
    <w:p w14:paraId="31CCB1F4" w14:textId="77777777" w:rsidR="000847EF" w:rsidRPr="009660F4" w:rsidRDefault="000847EF" w:rsidP="009660F4">
      <w:pPr>
        <w:pStyle w:val="ListParagraph"/>
        <w:numPr>
          <w:ilvl w:val="0"/>
          <w:numId w:val="1"/>
        </w:numPr>
        <w:spacing w:after="0" w:line="360" w:lineRule="auto"/>
        <w:jc w:val="both"/>
        <w:rPr>
          <w:rFonts w:ascii="Arial" w:hAnsi="Arial" w:cs="Arial"/>
          <w:b/>
          <w:bCs/>
        </w:rPr>
      </w:pPr>
      <w:r w:rsidRPr="009660F4">
        <w:rPr>
          <w:rFonts w:ascii="Arial" w:hAnsi="Arial" w:cs="Arial"/>
          <w:b/>
          <w:bCs/>
        </w:rPr>
        <w:lastRenderedPageBreak/>
        <w:t>Legal Factors</w:t>
      </w:r>
    </w:p>
    <w:p w14:paraId="14D3AE44" w14:textId="77777777" w:rsidR="000847EF" w:rsidRPr="009660F4" w:rsidRDefault="000847EF" w:rsidP="009660F4">
      <w:pPr>
        <w:spacing w:line="360" w:lineRule="auto"/>
        <w:jc w:val="both"/>
        <w:rPr>
          <w:rFonts w:ascii="Arial" w:hAnsi="Arial" w:cs="Arial"/>
        </w:rPr>
      </w:pPr>
      <w:r w:rsidRPr="009660F4">
        <w:rPr>
          <w:rFonts w:ascii="Arial" w:hAnsi="Arial" w:cs="Arial"/>
        </w:rPr>
        <w:t>The legislation governing EVs in the UK is informed by the local and global laws. The UK-EU Trade and Cooperation Agreement requirements on rules of origin impact the cost of export of EV manufacturers, although recent extensions mitigated these impacts (UK Government, 2023). The regulations of battery recycling and disposal set high standards of sustainability of a manufacturer, whereas the regulations of safety and vehicle certifications still develop. The lawlessness regarding future EV goals is also an issue to the long-term investment planning.</w:t>
      </w:r>
    </w:p>
    <w:p w14:paraId="17D12B44" w14:textId="77777777" w:rsidR="000847EF" w:rsidRPr="009660F4" w:rsidRDefault="000847EF" w:rsidP="009660F4">
      <w:pPr>
        <w:pStyle w:val="ListParagraph"/>
        <w:numPr>
          <w:ilvl w:val="0"/>
          <w:numId w:val="1"/>
        </w:numPr>
        <w:spacing w:after="0" w:line="360" w:lineRule="auto"/>
        <w:jc w:val="both"/>
        <w:rPr>
          <w:rFonts w:ascii="Arial" w:hAnsi="Arial" w:cs="Arial"/>
          <w:b/>
          <w:bCs/>
        </w:rPr>
      </w:pPr>
      <w:r w:rsidRPr="009660F4">
        <w:rPr>
          <w:rFonts w:ascii="Arial" w:hAnsi="Arial" w:cs="Arial"/>
          <w:b/>
          <w:bCs/>
        </w:rPr>
        <w:t>Environmental Factors</w:t>
      </w:r>
    </w:p>
    <w:p w14:paraId="43298242" w14:textId="368890B3" w:rsidR="00D43EA9" w:rsidRPr="00735428" w:rsidRDefault="000847EF" w:rsidP="009660F4">
      <w:pPr>
        <w:spacing w:line="360" w:lineRule="auto"/>
        <w:jc w:val="both"/>
        <w:rPr>
          <w:rFonts w:ascii="Arial" w:hAnsi="Arial" w:cs="Arial"/>
        </w:rPr>
      </w:pPr>
      <w:r w:rsidRPr="009660F4">
        <w:rPr>
          <w:rFonts w:ascii="Arial" w:hAnsi="Arial" w:cs="Arial"/>
        </w:rPr>
        <w:t>To a large extent, the EV adoption is fuelled by environmental factors. The EVs have no tailpipe emissions and their use has a considerable impact on greenhouse gases, especially when they operate on renewable electricity. Nevertheless, battery mining, manufacturing emissions, and end of life recycling have a significant impact on the environment that is a significant challenge. The issue of biodiversity loss, water consumption, and ethical mining adds to the sustainability allegations (Johnson Matthey, 2023). Global supply chains are also threatened by extreme weathers and climate adversities.</w:t>
      </w:r>
    </w:p>
    <w:p w14:paraId="2A76EB28" w14:textId="77777777" w:rsidR="00D43EA9" w:rsidRPr="00735428" w:rsidRDefault="00D43EA9" w:rsidP="009660F4">
      <w:pPr>
        <w:spacing w:line="360" w:lineRule="auto"/>
        <w:jc w:val="both"/>
        <w:rPr>
          <w:rFonts w:ascii="Arial" w:hAnsi="Arial" w:cs="Arial"/>
          <w:b/>
          <w:bCs/>
        </w:rPr>
      </w:pPr>
      <w:r w:rsidRPr="00735428">
        <w:rPr>
          <w:rFonts w:ascii="Arial" w:hAnsi="Arial" w:cs="Arial"/>
          <w:b/>
          <w:bCs/>
        </w:rPr>
        <w:t>2.2 SWOT Analysis</w:t>
      </w:r>
    </w:p>
    <w:p w14:paraId="2F281474" w14:textId="77777777" w:rsidR="00D43EA9" w:rsidRPr="009660F4" w:rsidRDefault="00D43EA9" w:rsidP="009660F4">
      <w:pPr>
        <w:pStyle w:val="ListParagraph"/>
        <w:numPr>
          <w:ilvl w:val="0"/>
          <w:numId w:val="3"/>
        </w:numPr>
        <w:spacing w:after="0" w:line="360" w:lineRule="auto"/>
        <w:jc w:val="both"/>
        <w:rPr>
          <w:rFonts w:ascii="Arial" w:hAnsi="Arial" w:cs="Arial"/>
          <w:b/>
          <w:bCs/>
        </w:rPr>
      </w:pPr>
      <w:r w:rsidRPr="009660F4">
        <w:rPr>
          <w:rFonts w:ascii="Arial" w:hAnsi="Arial" w:cs="Arial"/>
          <w:b/>
          <w:bCs/>
        </w:rPr>
        <w:t>Strengths</w:t>
      </w:r>
    </w:p>
    <w:p w14:paraId="6185A37A" w14:textId="09ADC9B4" w:rsidR="000847EF" w:rsidRPr="009660F4" w:rsidRDefault="000847EF" w:rsidP="009660F4">
      <w:pPr>
        <w:spacing w:line="360" w:lineRule="auto"/>
        <w:jc w:val="both"/>
        <w:rPr>
          <w:rFonts w:ascii="Arial" w:hAnsi="Arial" w:cs="Arial"/>
        </w:rPr>
      </w:pPr>
      <w:r w:rsidRPr="009660F4">
        <w:rPr>
          <w:rFonts w:ascii="Arial" w:hAnsi="Arial" w:cs="Arial"/>
        </w:rPr>
        <w:t xml:space="preserve">The </w:t>
      </w:r>
      <w:r w:rsidR="00330031" w:rsidRPr="009660F4">
        <w:rPr>
          <w:rFonts w:ascii="Arial" w:hAnsi="Arial" w:cs="Arial"/>
        </w:rPr>
        <w:t>UK EV industry</w:t>
      </w:r>
      <w:r w:rsidRPr="009660F4">
        <w:rPr>
          <w:rFonts w:ascii="Arial" w:hAnsi="Arial" w:cs="Arial"/>
        </w:rPr>
        <w:t xml:space="preserve"> can be characterized by a number of strong points that can be used to sustain its further development. The high level of government promise of the attainment of net-zero emissions and high investments in EV infrastructure is a solid basis on which the market can grow. The consumer demand is also growing at an alarming rate, with the support of growing environmental awareness and the growing variety of EV models of different prices. The fact that the UK has long history of automotive engineering (as seen in both Nissan Sunderland plant and the Warwick Manufacturing Group) also augers well with its competitiveness</w:t>
      </w:r>
      <w:r w:rsidR="009660F4" w:rsidRPr="009660F4">
        <w:rPr>
          <w:rFonts w:ascii="Arial" w:hAnsi="Arial" w:cs="Arial"/>
        </w:rPr>
        <w:t>.</w:t>
      </w:r>
    </w:p>
    <w:p w14:paraId="5EDD79AD" w14:textId="77777777" w:rsidR="000847EF" w:rsidRPr="009660F4" w:rsidRDefault="000847EF" w:rsidP="009660F4">
      <w:pPr>
        <w:pStyle w:val="ListParagraph"/>
        <w:numPr>
          <w:ilvl w:val="0"/>
          <w:numId w:val="3"/>
        </w:numPr>
        <w:spacing w:after="0" w:line="360" w:lineRule="auto"/>
        <w:jc w:val="both"/>
        <w:rPr>
          <w:rFonts w:ascii="Arial" w:hAnsi="Arial" w:cs="Arial"/>
          <w:b/>
          <w:bCs/>
        </w:rPr>
      </w:pPr>
      <w:r w:rsidRPr="009660F4">
        <w:rPr>
          <w:rFonts w:ascii="Arial" w:hAnsi="Arial" w:cs="Arial"/>
          <w:b/>
          <w:bCs/>
        </w:rPr>
        <w:t>Weaknesses</w:t>
      </w:r>
    </w:p>
    <w:p w14:paraId="7191D370" w14:textId="6B1FB131" w:rsidR="000847EF" w:rsidRPr="009660F4" w:rsidRDefault="000847EF" w:rsidP="009660F4">
      <w:pPr>
        <w:spacing w:line="360" w:lineRule="auto"/>
        <w:jc w:val="both"/>
        <w:rPr>
          <w:rFonts w:ascii="Arial" w:hAnsi="Arial" w:cs="Arial"/>
        </w:rPr>
      </w:pPr>
      <w:r w:rsidRPr="009660F4">
        <w:rPr>
          <w:rFonts w:ascii="Arial" w:hAnsi="Arial" w:cs="Arial"/>
        </w:rPr>
        <w:t>The</w:t>
      </w:r>
      <w:r w:rsidR="00330031" w:rsidRPr="009660F4">
        <w:rPr>
          <w:rFonts w:ascii="Arial" w:hAnsi="Arial" w:cs="Arial"/>
        </w:rPr>
        <w:t xml:space="preserve"> UK EV</w:t>
      </w:r>
      <w:r w:rsidRPr="009660F4">
        <w:rPr>
          <w:rFonts w:ascii="Arial" w:hAnsi="Arial" w:cs="Arial"/>
        </w:rPr>
        <w:t xml:space="preserve"> industry is still experiencing internal weaknesses. The one big barrier to mass-market consumers currently is the high initial costs of purchase particularly after the withdrawal of government purchase incentives. The charging infrastructure is in the process of improvement, but the distribution is not even throughout the country, and small towns and rural areas still lack access to it. This adds to range anxiety and restricts access on a national level. The intensive dependence on the supply chains </w:t>
      </w:r>
      <w:r w:rsidRPr="009660F4">
        <w:rPr>
          <w:rFonts w:ascii="Arial" w:hAnsi="Arial" w:cs="Arial"/>
        </w:rPr>
        <w:lastRenderedPageBreak/>
        <w:t>of the foreign batteries, especially those related to Asia, makes the manufacturers vulnerable to the disruption of their supplies, fluctuations of prices, and geopolitical hazards in the UK.</w:t>
      </w:r>
    </w:p>
    <w:p w14:paraId="0269579E" w14:textId="77777777" w:rsidR="000847EF" w:rsidRPr="009660F4" w:rsidRDefault="000847EF" w:rsidP="009660F4">
      <w:pPr>
        <w:pStyle w:val="ListParagraph"/>
        <w:numPr>
          <w:ilvl w:val="0"/>
          <w:numId w:val="3"/>
        </w:numPr>
        <w:spacing w:after="0" w:line="360" w:lineRule="auto"/>
        <w:jc w:val="both"/>
        <w:rPr>
          <w:rFonts w:ascii="Arial" w:hAnsi="Arial" w:cs="Arial"/>
          <w:b/>
          <w:bCs/>
        </w:rPr>
      </w:pPr>
      <w:r w:rsidRPr="009660F4">
        <w:rPr>
          <w:rFonts w:ascii="Arial" w:hAnsi="Arial" w:cs="Arial"/>
          <w:b/>
          <w:bCs/>
        </w:rPr>
        <w:t>Opportunities</w:t>
      </w:r>
    </w:p>
    <w:p w14:paraId="1E52F97B" w14:textId="75900A78" w:rsidR="000847EF" w:rsidRPr="009660F4" w:rsidRDefault="00330031" w:rsidP="009660F4">
      <w:pPr>
        <w:spacing w:line="360" w:lineRule="auto"/>
        <w:jc w:val="both"/>
        <w:rPr>
          <w:rFonts w:ascii="Arial" w:hAnsi="Arial" w:cs="Arial"/>
        </w:rPr>
      </w:pPr>
      <w:r w:rsidRPr="009660F4">
        <w:rPr>
          <w:rFonts w:ascii="Arial" w:hAnsi="Arial" w:cs="Arial"/>
        </w:rPr>
        <w:t>T</w:t>
      </w:r>
      <w:r w:rsidR="000847EF" w:rsidRPr="009660F4">
        <w:rPr>
          <w:rFonts w:ascii="Arial" w:hAnsi="Arial" w:cs="Arial"/>
        </w:rPr>
        <w:t>he UK EV industry</w:t>
      </w:r>
      <w:r w:rsidRPr="009660F4">
        <w:rPr>
          <w:rFonts w:ascii="Arial" w:hAnsi="Arial" w:cs="Arial"/>
        </w:rPr>
        <w:t xml:space="preserve"> has recorded a significant growth potential</w:t>
      </w:r>
      <w:r w:rsidR="000847EF" w:rsidRPr="009660F4">
        <w:rPr>
          <w:rFonts w:ascii="Arial" w:hAnsi="Arial" w:cs="Arial"/>
        </w:rPr>
        <w:t>. The emergence of gigafactories domestically is a chance to increase the resilience of supply chains and decrease the level of import dependency. The increasing combination of EVs with renewable energy allows such innovations as smart charging and vehicle-to-grid systems that facilitates cost-effectiveness and stability of the grid. Further opportunities of expansion are in corporate fleet electrification in logistics, ride-hailing and public transport. New technologies such as solid-state batteries and enhanced recycling can give the UK an opportunity to become a leader in the next generation EV systems.</w:t>
      </w:r>
    </w:p>
    <w:p w14:paraId="7039962F" w14:textId="77777777" w:rsidR="000847EF" w:rsidRPr="009660F4" w:rsidRDefault="000847EF" w:rsidP="009660F4">
      <w:pPr>
        <w:pStyle w:val="ListParagraph"/>
        <w:numPr>
          <w:ilvl w:val="0"/>
          <w:numId w:val="3"/>
        </w:numPr>
        <w:spacing w:after="0" w:line="360" w:lineRule="auto"/>
        <w:jc w:val="both"/>
        <w:rPr>
          <w:rFonts w:ascii="Arial" w:hAnsi="Arial" w:cs="Arial"/>
          <w:b/>
          <w:bCs/>
        </w:rPr>
      </w:pPr>
      <w:r w:rsidRPr="009660F4">
        <w:rPr>
          <w:rFonts w:ascii="Arial" w:hAnsi="Arial" w:cs="Arial"/>
          <w:b/>
          <w:bCs/>
        </w:rPr>
        <w:t>Threats</w:t>
      </w:r>
    </w:p>
    <w:p w14:paraId="761B98C8" w14:textId="5C3DFA5A" w:rsidR="000847EF" w:rsidRPr="009660F4" w:rsidRDefault="000847EF" w:rsidP="009660F4">
      <w:pPr>
        <w:spacing w:line="360" w:lineRule="auto"/>
        <w:jc w:val="both"/>
        <w:rPr>
          <w:rFonts w:ascii="Arial" w:hAnsi="Arial" w:cs="Arial"/>
        </w:rPr>
      </w:pPr>
      <w:r w:rsidRPr="009660F4">
        <w:rPr>
          <w:rFonts w:ascii="Arial" w:hAnsi="Arial" w:cs="Arial"/>
        </w:rPr>
        <w:t>There are a number of threats in the industry</w:t>
      </w:r>
      <w:r w:rsidR="00330031" w:rsidRPr="009660F4">
        <w:rPr>
          <w:rFonts w:ascii="Arial" w:hAnsi="Arial" w:cs="Arial"/>
        </w:rPr>
        <w:t xml:space="preserve"> where d</w:t>
      </w:r>
      <w:r w:rsidRPr="009660F4">
        <w:rPr>
          <w:rFonts w:ascii="Arial" w:hAnsi="Arial" w:cs="Arial"/>
        </w:rPr>
        <w:t>omestic manufacturers are employed to pressurize global competition particularly by China and the EU. Economic uncertainty and decreased consumer spending can decelerate the use of EVs. There would be the possibility of infrastructure being insufficient to support the demand and this would erode the consumer confidence. Further, the long-term threat of increasing the cost of production and decreasing the security of supply is due to the scarcity of resources and the unstable prices of such critical minerals as lithium and cobalt.</w:t>
      </w:r>
    </w:p>
    <w:p w14:paraId="1BC12147" w14:textId="77777777" w:rsidR="000847EF" w:rsidRPr="009660F4" w:rsidRDefault="000847EF" w:rsidP="009660F4">
      <w:pPr>
        <w:spacing w:line="360" w:lineRule="auto"/>
        <w:jc w:val="both"/>
        <w:rPr>
          <w:rFonts w:ascii="Arial" w:hAnsi="Arial" w:cs="Arial"/>
          <w:b/>
          <w:bCs/>
        </w:rPr>
      </w:pPr>
      <w:r w:rsidRPr="009660F4">
        <w:rPr>
          <w:rFonts w:ascii="Arial" w:hAnsi="Arial" w:cs="Arial"/>
          <w:b/>
          <w:bCs/>
        </w:rPr>
        <w:t>2.3 Influence of Innovation</w:t>
      </w:r>
    </w:p>
    <w:p w14:paraId="68872C38" w14:textId="38D83E2D" w:rsidR="000847EF" w:rsidRPr="009660F4" w:rsidRDefault="000847EF" w:rsidP="009660F4">
      <w:pPr>
        <w:spacing w:line="360" w:lineRule="auto"/>
        <w:jc w:val="both"/>
        <w:rPr>
          <w:rFonts w:ascii="Arial" w:hAnsi="Arial" w:cs="Arial"/>
        </w:rPr>
      </w:pPr>
      <w:r w:rsidRPr="009660F4">
        <w:rPr>
          <w:rFonts w:ascii="Arial" w:hAnsi="Arial" w:cs="Arial"/>
        </w:rPr>
        <w:t>The UK EV industry requires essential change, which is fuelled by innovation. The battery chemistry (high-nickel cathodes and novel solid-state batteries) has increased range, safety, and life expectancy and minimized the reliance on less sustainable materials (Johnson Matthey, 2023). Charging infrastructure has equally been enthusiastic with ultra-rapid charging hubs, wireless charging tests and on-street charging solutions making accessibility more accessible.</w:t>
      </w:r>
      <w:r w:rsidR="009660F4" w:rsidRPr="009660F4">
        <w:rPr>
          <w:rFonts w:ascii="Arial" w:hAnsi="Arial" w:cs="Arial"/>
        </w:rPr>
        <w:t xml:space="preserve"> </w:t>
      </w:r>
      <w:r w:rsidRPr="009660F4">
        <w:rPr>
          <w:rFonts w:ascii="Arial" w:hAnsi="Arial" w:cs="Arial"/>
        </w:rPr>
        <w:t>OTA updates allow vehicles to get performance improvements without physical maintenance, whereas predictive maintenance, which is driven by AI, enhances safety and efficiency. Moreover, other innovations, including vehicle-to-grid (V2G), allow EVs to store and give back energy to the grid, which will allow combining renewable energy and decreasing the load in times of peak demand (National Grid, 2023).</w:t>
      </w:r>
    </w:p>
    <w:p w14:paraId="4DD309C2" w14:textId="791FD6C2" w:rsidR="000847EF" w:rsidRPr="009660F4" w:rsidRDefault="000847EF" w:rsidP="009660F4">
      <w:pPr>
        <w:spacing w:line="360" w:lineRule="auto"/>
        <w:jc w:val="both"/>
        <w:rPr>
          <w:rFonts w:ascii="Arial" w:hAnsi="Arial" w:cs="Arial"/>
        </w:rPr>
      </w:pPr>
      <w:r w:rsidRPr="009660F4">
        <w:rPr>
          <w:rFonts w:ascii="Arial" w:hAnsi="Arial" w:cs="Arial"/>
        </w:rPr>
        <w:lastRenderedPageBreak/>
        <w:t>Innovation in manufacturin</w:t>
      </w:r>
      <w:r w:rsidR="009660F4" w:rsidRPr="009660F4">
        <w:rPr>
          <w:rFonts w:ascii="Arial" w:hAnsi="Arial" w:cs="Arial"/>
        </w:rPr>
        <w:t>g such as</w:t>
      </w:r>
      <w:r w:rsidRPr="009660F4">
        <w:rPr>
          <w:rFonts w:ascii="Arial" w:hAnsi="Arial" w:cs="Arial"/>
        </w:rPr>
        <w:t xml:space="preserve"> automation, 3D printing,</w:t>
      </w:r>
      <w:r w:rsidR="009660F4" w:rsidRPr="009660F4">
        <w:rPr>
          <w:rFonts w:ascii="Arial" w:hAnsi="Arial" w:cs="Arial"/>
        </w:rPr>
        <w:t xml:space="preserve"> and</w:t>
      </w:r>
      <w:r w:rsidRPr="009660F4">
        <w:rPr>
          <w:rFonts w:ascii="Arial" w:hAnsi="Arial" w:cs="Arial"/>
        </w:rPr>
        <w:t xml:space="preserve"> modular electric platforms</w:t>
      </w:r>
      <w:r w:rsidR="009660F4" w:rsidRPr="009660F4">
        <w:rPr>
          <w:rFonts w:ascii="Arial" w:hAnsi="Arial" w:cs="Arial"/>
        </w:rPr>
        <w:t xml:space="preserve"> </w:t>
      </w:r>
      <w:r w:rsidRPr="009660F4">
        <w:rPr>
          <w:rFonts w:ascii="Arial" w:hAnsi="Arial" w:cs="Arial"/>
        </w:rPr>
        <w:t>lowers the cost of production and makes it more scalable. Hydrogen is also a potential fuel in the long-term, especially in the heavy transport sector, and as such, is still in its early days of development. In general, innovation gives the UK greater strength, however, to remain competitive, it needs to invest regularly and have the supporting policy frameworks in place.</w:t>
      </w:r>
    </w:p>
    <w:p w14:paraId="342A3B82" w14:textId="77777777" w:rsidR="000847EF" w:rsidRPr="009660F4" w:rsidRDefault="000847EF" w:rsidP="009660F4">
      <w:pPr>
        <w:spacing w:line="360" w:lineRule="auto"/>
        <w:jc w:val="both"/>
        <w:rPr>
          <w:rFonts w:ascii="Arial" w:hAnsi="Arial" w:cs="Arial"/>
          <w:b/>
          <w:bCs/>
        </w:rPr>
      </w:pPr>
      <w:r w:rsidRPr="009660F4">
        <w:rPr>
          <w:rFonts w:ascii="Arial" w:hAnsi="Arial" w:cs="Arial"/>
          <w:b/>
          <w:bCs/>
        </w:rPr>
        <w:t>3. Conclusion</w:t>
      </w:r>
    </w:p>
    <w:p w14:paraId="5339B082" w14:textId="77777777" w:rsidR="000847EF" w:rsidRPr="009660F4" w:rsidRDefault="000847EF" w:rsidP="009660F4">
      <w:pPr>
        <w:spacing w:line="360" w:lineRule="auto"/>
        <w:jc w:val="both"/>
        <w:rPr>
          <w:rFonts w:ascii="Arial" w:hAnsi="Arial" w:cs="Arial"/>
        </w:rPr>
      </w:pPr>
      <w:r w:rsidRPr="009660F4">
        <w:rPr>
          <w:rFonts w:ascii="Arial" w:hAnsi="Arial" w:cs="Arial"/>
        </w:rPr>
        <w:t>A mixture of political, economic, social, technological, legal, and environmental factors has a complicated influence on the UK EV industry, and opportunities and challenges are formed. PESTLE analysis lays emphasis on government policy, investment in infrastructure, technology and environmental necessity. The SWOT analysis shows that the industry potential is high but shows serious weaknesses in terms of affordability, supply chains and consistency of policies. Due to innovation, long-term growth is still pushed forward, allowing it to become more efficient, sustainable, and appealing to the consumers.</w:t>
      </w:r>
    </w:p>
    <w:p w14:paraId="03D515C3" w14:textId="557EB75A" w:rsidR="000847EF" w:rsidRPr="009660F4" w:rsidRDefault="000847EF" w:rsidP="009660F4">
      <w:pPr>
        <w:spacing w:line="360" w:lineRule="auto"/>
        <w:jc w:val="both"/>
        <w:rPr>
          <w:rFonts w:ascii="Arial" w:hAnsi="Arial" w:cs="Arial"/>
        </w:rPr>
      </w:pPr>
      <w:r w:rsidRPr="009660F4">
        <w:rPr>
          <w:rFonts w:ascii="Arial" w:hAnsi="Arial" w:cs="Arial"/>
        </w:rPr>
        <w:t>The UK needs to deal with structural barriers, reinforce domestic supply chains, speed up the development of infrastructure, and develop a stable regulatory environment to sustain momentum. Through concerted effort, the UK EV industry will be able to stay afloat in the international market and be at the forefront of the environmental revolution of the country.</w:t>
      </w:r>
    </w:p>
    <w:p w14:paraId="20B09303" w14:textId="77777777" w:rsidR="000847EF" w:rsidRPr="009660F4" w:rsidRDefault="000847EF" w:rsidP="009660F4">
      <w:pPr>
        <w:spacing w:line="360" w:lineRule="auto"/>
        <w:jc w:val="both"/>
        <w:rPr>
          <w:rFonts w:ascii="Arial" w:hAnsi="Arial" w:cs="Arial"/>
          <w:b/>
          <w:bCs/>
        </w:rPr>
      </w:pPr>
      <w:r w:rsidRPr="009660F4">
        <w:rPr>
          <w:rFonts w:ascii="Arial" w:hAnsi="Arial" w:cs="Arial"/>
          <w:b/>
          <w:bCs/>
        </w:rPr>
        <w:t>4. Recommendations</w:t>
      </w:r>
    </w:p>
    <w:p w14:paraId="3104A445" w14:textId="107C0137" w:rsidR="000847EF" w:rsidRPr="009660F4" w:rsidRDefault="000847EF" w:rsidP="009660F4">
      <w:pPr>
        <w:spacing w:line="360" w:lineRule="auto"/>
        <w:jc w:val="both"/>
        <w:rPr>
          <w:rFonts w:ascii="Arial" w:hAnsi="Arial" w:cs="Arial"/>
          <w:b/>
          <w:bCs/>
        </w:rPr>
      </w:pPr>
      <w:r w:rsidRPr="009660F4">
        <w:rPr>
          <w:rFonts w:ascii="Arial" w:hAnsi="Arial" w:cs="Arial"/>
          <w:b/>
          <w:bCs/>
        </w:rPr>
        <w:t>Recommendation 1</w:t>
      </w:r>
      <w:r w:rsidR="00330031" w:rsidRPr="009660F4">
        <w:rPr>
          <w:rFonts w:ascii="Arial" w:hAnsi="Arial" w:cs="Arial"/>
          <w:b/>
          <w:bCs/>
        </w:rPr>
        <w:t xml:space="preserve">: </w:t>
      </w:r>
      <w:r w:rsidRPr="009660F4">
        <w:rPr>
          <w:rFonts w:ascii="Arial" w:hAnsi="Arial" w:cs="Arial"/>
          <w:b/>
          <w:bCs/>
        </w:rPr>
        <w:t>Incorporate Speedy Nationwide Charging Implementation and enhance Interoperability</w:t>
      </w:r>
    </w:p>
    <w:p w14:paraId="1A1EBE2A" w14:textId="77777777" w:rsidR="000847EF" w:rsidRPr="009660F4" w:rsidRDefault="000847EF" w:rsidP="009660F4">
      <w:pPr>
        <w:spacing w:line="360" w:lineRule="auto"/>
        <w:jc w:val="both"/>
        <w:rPr>
          <w:rFonts w:ascii="Arial" w:hAnsi="Arial" w:cs="Arial"/>
        </w:rPr>
      </w:pPr>
      <w:r w:rsidRPr="009660F4">
        <w:rPr>
          <w:rFonts w:ascii="Arial" w:hAnsi="Arial" w:cs="Arial"/>
        </w:rPr>
        <w:t>The government of the UK and EV companies need to cooperate to spread charging infrastructure (especially in under-served areas and rural ones). Interoperability should be given priority so that universal payment systems and easy access to charging can be achieved. This will boost consumer confidence, lower range anxiety and this will help it to be adopted wider.</w:t>
      </w:r>
    </w:p>
    <w:p w14:paraId="28721598" w14:textId="77777777" w:rsidR="000847EF" w:rsidRPr="009660F4" w:rsidRDefault="000847EF" w:rsidP="009660F4">
      <w:pPr>
        <w:spacing w:line="360" w:lineRule="auto"/>
        <w:jc w:val="both"/>
        <w:rPr>
          <w:rFonts w:ascii="Arial" w:hAnsi="Arial" w:cs="Arial"/>
          <w:b/>
          <w:bCs/>
        </w:rPr>
      </w:pPr>
      <w:r w:rsidRPr="009660F4">
        <w:rPr>
          <w:rFonts w:ascii="Arial" w:hAnsi="Arial" w:cs="Arial"/>
          <w:b/>
          <w:bCs/>
        </w:rPr>
        <w:t>Recommendation 2: Intensify Battery Supply Chains at Home by Localizing Manufacturing and Recycling.</w:t>
      </w:r>
    </w:p>
    <w:p w14:paraId="461B16E1" w14:textId="794CE0AB" w:rsidR="00330031" w:rsidRPr="009660F4" w:rsidRDefault="000847EF" w:rsidP="009660F4">
      <w:pPr>
        <w:spacing w:line="360" w:lineRule="auto"/>
        <w:jc w:val="both"/>
        <w:rPr>
          <w:rFonts w:ascii="Arial" w:hAnsi="Arial" w:cs="Arial"/>
          <w:b/>
          <w:bCs/>
        </w:rPr>
      </w:pPr>
      <w:r w:rsidRPr="009660F4">
        <w:rPr>
          <w:rFonts w:ascii="Arial" w:hAnsi="Arial" w:cs="Arial"/>
        </w:rPr>
        <w:t>The UK needs to spend more on gigafactory creation, battery recycling plants, and second-life battery uses in order to decrease the reliance on imports. Industry-university-material science company partnerships would help boost innovation and make the UK a leader in sustainable battery technology.</w:t>
      </w:r>
      <w:r w:rsidR="00330031" w:rsidRPr="009660F4">
        <w:rPr>
          <w:rFonts w:ascii="Arial" w:hAnsi="Arial" w:cs="Arial"/>
          <w:b/>
          <w:bCs/>
        </w:rPr>
        <w:br w:type="page"/>
      </w:r>
    </w:p>
    <w:p w14:paraId="1FF1768D" w14:textId="4A129641" w:rsidR="00D43EA9" w:rsidRPr="00735428" w:rsidRDefault="00D43EA9" w:rsidP="009660F4">
      <w:pPr>
        <w:spacing w:line="360" w:lineRule="auto"/>
        <w:jc w:val="center"/>
        <w:rPr>
          <w:rFonts w:ascii="Arial" w:hAnsi="Arial" w:cs="Arial"/>
          <w:b/>
          <w:bCs/>
        </w:rPr>
      </w:pPr>
      <w:r w:rsidRPr="00735428">
        <w:rPr>
          <w:rFonts w:ascii="Arial" w:hAnsi="Arial" w:cs="Arial"/>
          <w:b/>
          <w:bCs/>
        </w:rPr>
        <w:lastRenderedPageBreak/>
        <w:t>References</w:t>
      </w:r>
    </w:p>
    <w:p w14:paraId="04815C8B" w14:textId="77777777" w:rsidR="009660F4" w:rsidRPr="009660F4" w:rsidRDefault="009660F4" w:rsidP="009660F4">
      <w:pPr>
        <w:spacing w:line="360" w:lineRule="auto"/>
        <w:jc w:val="both"/>
        <w:rPr>
          <w:rFonts w:ascii="Arial" w:hAnsi="Arial" w:cs="Arial"/>
        </w:rPr>
      </w:pPr>
      <w:r w:rsidRPr="009660F4">
        <w:rPr>
          <w:rFonts w:ascii="Arial" w:hAnsi="Arial" w:cs="Arial"/>
        </w:rPr>
        <w:t>BBC News (2023) UK delays petrol and diesel car ban to 2035. Available at: https://www.bbc.co.uk/news (Accessed: 20 January 2024).</w:t>
      </w:r>
    </w:p>
    <w:p w14:paraId="71C7F492" w14:textId="77777777" w:rsidR="009660F4" w:rsidRPr="009660F4" w:rsidRDefault="009660F4" w:rsidP="009660F4">
      <w:pPr>
        <w:spacing w:line="360" w:lineRule="auto"/>
        <w:jc w:val="both"/>
        <w:rPr>
          <w:rFonts w:ascii="Arial" w:hAnsi="Arial" w:cs="Arial"/>
        </w:rPr>
      </w:pPr>
      <w:proofErr w:type="spellStart"/>
      <w:r w:rsidRPr="009660F4">
        <w:rPr>
          <w:rFonts w:ascii="Arial" w:hAnsi="Arial" w:cs="Arial"/>
        </w:rPr>
        <w:t>BloombergNEF</w:t>
      </w:r>
      <w:proofErr w:type="spellEnd"/>
      <w:r w:rsidRPr="009660F4">
        <w:rPr>
          <w:rFonts w:ascii="Arial" w:hAnsi="Arial" w:cs="Arial"/>
        </w:rPr>
        <w:t xml:space="preserve"> (2023) EV Market Outlook. Available at: </w:t>
      </w:r>
      <w:hyperlink r:id="rId8" w:tgtFrame="_new" w:history="1">
        <w:r w:rsidRPr="009660F4">
          <w:rPr>
            <w:rStyle w:val="Hyperlink"/>
            <w:rFonts w:ascii="Arial" w:hAnsi="Arial" w:cs="Arial"/>
          </w:rPr>
          <w:t>https://about.bnef.com/electric-vehicle-outlook/</w:t>
        </w:r>
      </w:hyperlink>
      <w:r w:rsidRPr="009660F4">
        <w:rPr>
          <w:rFonts w:ascii="Arial" w:hAnsi="Arial" w:cs="Arial"/>
        </w:rPr>
        <w:t xml:space="preserve"> (Accessed: 19 January 2024).</w:t>
      </w:r>
    </w:p>
    <w:p w14:paraId="1EFE6819" w14:textId="77777777" w:rsidR="009660F4" w:rsidRPr="009660F4" w:rsidRDefault="009660F4" w:rsidP="009660F4">
      <w:pPr>
        <w:spacing w:line="360" w:lineRule="auto"/>
        <w:jc w:val="both"/>
        <w:rPr>
          <w:rFonts w:ascii="Arial" w:hAnsi="Arial" w:cs="Arial"/>
        </w:rPr>
      </w:pPr>
      <w:r w:rsidRPr="009660F4">
        <w:rPr>
          <w:rFonts w:ascii="Arial" w:hAnsi="Arial" w:cs="Arial"/>
        </w:rPr>
        <w:t xml:space="preserve">Climate Change Committee (2023) Assessment of UK EV Progress. Available at: </w:t>
      </w:r>
      <w:hyperlink r:id="rId9" w:tgtFrame="_new" w:history="1">
        <w:r w:rsidRPr="009660F4">
          <w:rPr>
            <w:rStyle w:val="Hyperlink"/>
            <w:rFonts w:ascii="Arial" w:hAnsi="Arial" w:cs="Arial"/>
          </w:rPr>
          <w:t>https://www.theccc.org.uk</w:t>
        </w:r>
      </w:hyperlink>
      <w:r w:rsidRPr="009660F4">
        <w:rPr>
          <w:rFonts w:ascii="Arial" w:hAnsi="Arial" w:cs="Arial"/>
        </w:rPr>
        <w:t xml:space="preserve"> (Accessed: 19 January 2024).</w:t>
      </w:r>
    </w:p>
    <w:p w14:paraId="20EC3FA8" w14:textId="77777777" w:rsidR="009660F4" w:rsidRPr="009660F4" w:rsidRDefault="009660F4" w:rsidP="009660F4">
      <w:pPr>
        <w:spacing w:line="360" w:lineRule="auto"/>
        <w:jc w:val="both"/>
        <w:rPr>
          <w:rFonts w:ascii="Arial" w:hAnsi="Arial" w:cs="Arial"/>
        </w:rPr>
      </w:pPr>
      <w:r w:rsidRPr="009660F4">
        <w:rPr>
          <w:rFonts w:ascii="Arial" w:hAnsi="Arial" w:cs="Arial"/>
        </w:rPr>
        <w:t>Department for Transport (2022) Electric Vehicle Infrastructure Strategy. Available at: https://www.gov.uk/government/publications/electric-vehicle-infrastructure-strategy (Accessed: 20 January 2024).</w:t>
      </w:r>
    </w:p>
    <w:p w14:paraId="2252C8D4" w14:textId="77777777" w:rsidR="009660F4" w:rsidRPr="009660F4" w:rsidRDefault="009660F4" w:rsidP="009660F4">
      <w:pPr>
        <w:spacing w:line="360" w:lineRule="auto"/>
        <w:jc w:val="both"/>
        <w:rPr>
          <w:rFonts w:ascii="Arial" w:hAnsi="Arial" w:cs="Arial"/>
        </w:rPr>
      </w:pPr>
      <w:r w:rsidRPr="009660F4">
        <w:rPr>
          <w:rFonts w:ascii="Arial" w:hAnsi="Arial" w:cs="Arial"/>
        </w:rPr>
        <w:t xml:space="preserve">Financial Times (2023) </w:t>
      </w:r>
      <w:proofErr w:type="spellStart"/>
      <w:r w:rsidRPr="009660F4">
        <w:rPr>
          <w:rFonts w:ascii="Arial" w:hAnsi="Arial" w:cs="Arial"/>
        </w:rPr>
        <w:t>Britishvolt</w:t>
      </w:r>
      <w:proofErr w:type="spellEnd"/>
      <w:r w:rsidRPr="009660F4">
        <w:rPr>
          <w:rFonts w:ascii="Arial" w:hAnsi="Arial" w:cs="Arial"/>
        </w:rPr>
        <w:t xml:space="preserve"> collapses into administration. Available at: https://www.ft.com/content/1e0b1cda-874e-4cb8-8fa2-8e8c99938e95 (Accessed: 19 January 2024).</w:t>
      </w:r>
    </w:p>
    <w:p w14:paraId="5CEF3AB7" w14:textId="77777777" w:rsidR="009660F4" w:rsidRPr="009660F4" w:rsidRDefault="009660F4" w:rsidP="009660F4">
      <w:pPr>
        <w:spacing w:line="360" w:lineRule="auto"/>
        <w:jc w:val="both"/>
        <w:rPr>
          <w:rFonts w:ascii="Arial" w:hAnsi="Arial" w:cs="Arial"/>
        </w:rPr>
      </w:pPr>
      <w:r w:rsidRPr="009660F4">
        <w:rPr>
          <w:rFonts w:ascii="Arial" w:hAnsi="Arial" w:cs="Arial"/>
        </w:rPr>
        <w:t xml:space="preserve">Institute for Government (2023) Net Zero Policy Tracker. Available at: </w:t>
      </w:r>
      <w:hyperlink r:id="rId10" w:tgtFrame="_new" w:history="1">
        <w:r w:rsidRPr="009660F4">
          <w:rPr>
            <w:rStyle w:val="Hyperlink"/>
            <w:rFonts w:ascii="Arial" w:hAnsi="Arial" w:cs="Arial"/>
          </w:rPr>
          <w:t>https://www.instituteforgovernment.org.uk</w:t>
        </w:r>
      </w:hyperlink>
      <w:r w:rsidRPr="009660F4">
        <w:rPr>
          <w:rFonts w:ascii="Arial" w:hAnsi="Arial" w:cs="Arial"/>
        </w:rPr>
        <w:t xml:space="preserve"> (Accessed: 19 January 2024).</w:t>
      </w:r>
    </w:p>
    <w:p w14:paraId="60AC662E" w14:textId="77777777" w:rsidR="009660F4" w:rsidRPr="009660F4" w:rsidRDefault="009660F4" w:rsidP="009660F4">
      <w:pPr>
        <w:spacing w:line="360" w:lineRule="auto"/>
        <w:jc w:val="both"/>
        <w:rPr>
          <w:rFonts w:ascii="Arial" w:hAnsi="Arial" w:cs="Arial"/>
        </w:rPr>
      </w:pPr>
      <w:r w:rsidRPr="009660F4">
        <w:rPr>
          <w:rFonts w:ascii="Arial" w:hAnsi="Arial" w:cs="Arial"/>
        </w:rPr>
        <w:t xml:space="preserve">International Energy Agency (2023) Global EV Outlook 2023. Available at: </w:t>
      </w:r>
      <w:hyperlink r:id="rId11" w:tgtFrame="_new" w:history="1">
        <w:r w:rsidRPr="009660F4">
          <w:rPr>
            <w:rStyle w:val="Hyperlink"/>
            <w:rFonts w:ascii="Arial" w:hAnsi="Arial" w:cs="Arial"/>
          </w:rPr>
          <w:t>https://www.iea.org/reports/global-ev-outlook-2023</w:t>
        </w:r>
      </w:hyperlink>
      <w:r w:rsidRPr="009660F4">
        <w:rPr>
          <w:rFonts w:ascii="Arial" w:hAnsi="Arial" w:cs="Arial"/>
        </w:rPr>
        <w:t xml:space="preserve"> (Accessed: 20 January 2024).</w:t>
      </w:r>
    </w:p>
    <w:p w14:paraId="50D8DB89" w14:textId="77777777" w:rsidR="009660F4" w:rsidRPr="009660F4" w:rsidRDefault="009660F4" w:rsidP="009660F4">
      <w:pPr>
        <w:spacing w:line="360" w:lineRule="auto"/>
        <w:jc w:val="both"/>
        <w:rPr>
          <w:rFonts w:ascii="Arial" w:hAnsi="Arial" w:cs="Arial"/>
        </w:rPr>
      </w:pPr>
      <w:r w:rsidRPr="009660F4">
        <w:rPr>
          <w:rFonts w:ascii="Arial" w:hAnsi="Arial" w:cs="Arial"/>
        </w:rPr>
        <w:t>Johnson Matthey (2023) Battery Materials Innovation. Available at: https://matthey.com/en/insights/battery-materials (Accessed: 19 January 2024).</w:t>
      </w:r>
    </w:p>
    <w:p w14:paraId="2A6AF508" w14:textId="77777777" w:rsidR="009660F4" w:rsidRPr="009660F4" w:rsidRDefault="009660F4" w:rsidP="009660F4">
      <w:pPr>
        <w:spacing w:line="360" w:lineRule="auto"/>
        <w:jc w:val="both"/>
        <w:rPr>
          <w:rFonts w:ascii="Arial" w:hAnsi="Arial" w:cs="Arial"/>
        </w:rPr>
      </w:pPr>
      <w:r w:rsidRPr="009660F4">
        <w:rPr>
          <w:rFonts w:ascii="Arial" w:hAnsi="Arial" w:cs="Arial"/>
        </w:rPr>
        <w:t xml:space="preserve">McKinsey &amp; Company (2023) Electric Vehicle Index. Available at: </w:t>
      </w:r>
      <w:hyperlink r:id="rId12" w:tgtFrame="_new" w:history="1">
        <w:r w:rsidRPr="009660F4">
          <w:rPr>
            <w:rStyle w:val="Hyperlink"/>
            <w:rFonts w:ascii="Arial" w:hAnsi="Arial" w:cs="Arial"/>
          </w:rPr>
          <w:t>https://www.mckinsey.com/industries/automotive-and-assembly/our-insights</w:t>
        </w:r>
      </w:hyperlink>
      <w:r w:rsidRPr="009660F4">
        <w:rPr>
          <w:rFonts w:ascii="Arial" w:hAnsi="Arial" w:cs="Arial"/>
        </w:rPr>
        <w:t xml:space="preserve"> (Accessed: 20 January 2024).</w:t>
      </w:r>
    </w:p>
    <w:p w14:paraId="6446FAB6" w14:textId="77777777" w:rsidR="009660F4" w:rsidRPr="009660F4" w:rsidRDefault="009660F4" w:rsidP="009660F4">
      <w:pPr>
        <w:spacing w:line="360" w:lineRule="auto"/>
        <w:jc w:val="both"/>
        <w:rPr>
          <w:rFonts w:ascii="Arial" w:hAnsi="Arial" w:cs="Arial"/>
        </w:rPr>
      </w:pPr>
      <w:r w:rsidRPr="009660F4">
        <w:rPr>
          <w:rFonts w:ascii="Arial" w:hAnsi="Arial" w:cs="Arial"/>
        </w:rPr>
        <w:t xml:space="preserve">National Grid (2023) Future Energy Scenarios. Available at: </w:t>
      </w:r>
      <w:hyperlink r:id="rId13" w:tgtFrame="_new" w:history="1">
        <w:r w:rsidRPr="009660F4">
          <w:rPr>
            <w:rStyle w:val="Hyperlink"/>
            <w:rFonts w:ascii="Arial" w:hAnsi="Arial" w:cs="Arial"/>
          </w:rPr>
          <w:t>https://www.nationalgrideso.com/future-energy/future-energy-scenarios</w:t>
        </w:r>
      </w:hyperlink>
      <w:r w:rsidRPr="009660F4">
        <w:rPr>
          <w:rFonts w:ascii="Arial" w:hAnsi="Arial" w:cs="Arial"/>
        </w:rPr>
        <w:t xml:space="preserve"> (Accessed: 20 January 2024).</w:t>
      </w:r>
    </w:p>
    <w:p w14:paraId="120D0AE9" w14:textId="77777777" w:rsidR="009660F4" w:rsidRPr="009660F4" w:rsidRDefault="009660F4" w:rsidP="009660F4">
      <w:pPr>
        <w:spacing w:line="360" w:lineRule="auto"/>
        <w:jc w:val="both"/>
        <w:rPr>
          <w:rFonts w:ascii="Arial" w:hAnsi="Arial" w:cs="Arial"/>
        </w:rPr>
      </w:pPr>
      <w:r w:rsidRPr="009660F4">
        <w:rPr>
          <w:rFonts w:ascii="Arial" w:hAnsi="Arial" w:cs="Arial"/>
        </w:rPr>
        <w:t>Society of Motor Manufacturers and Traders (2024) EV Registrations Report. Available at: https://www.smmt.co.uk/category/vehicles/ev-sales/ (Accessed: 18 January 2024).</w:t>
      </w:r>
    </w:p>
    <w:p w14:paraId="19684A9D" w14:textId="77777777" w:rsidR="009660F4" w:rsidRPr="009660F4" w:rsidRDefault="009660F4" w:rsidP="009660F4">
      <w:pPr>
        <w:spacing w:line="360" w:lineRule="auto"/>
        <w:jc w:val="both"/>
        <w:rPr>
          <w:rFonts w:ascii="Arial" w:hAnsi="Arial" w:cs="Arial"/>
        </w:rPr>
      </w:pPr>
      <w:r w:rsidRPr="009660F4">
        <w:rPr>
          <w:rFonts w:ascii="Arial" w:hAnsi="Arial" w:cs="Arial"/>
        </w:rPr>
        <w:t>The Guardian (2023) Drivers face long queues for EV charging. Available at: https://www.theguardian.com/environment/2023/jul/28/electric-car-charging-queues (Accessed: 20 January 2024).</w:t>
      </w:r>
    </w:p>
    <w:p w14:paraId="510324D4" w14:textId="77777777" w:rsidR="009660F4" w:rsidRPr="009660F4" w:rsidRDefault="009660F4" w:rsidP="009660F4">
      <w:pPr>
        <w:spacing w:line="360" w:lineRule="auto"/>
        <w:jc w:val="both"/>
        <w:rPr>
          <w:rFonts w:ascii="Arial" w:hAnsi="Arial" w:cs="Arial"/>
        </w:rPr>
      </w:pPr>
      <w:r w:rsidRPr="009660F4">
        <w:rPr>
          <w:rFonts w:ascii="Arial" w:hAnsi="Arial" w:cs="Arial"/>
        </w:rPr>
        <w:t xml:space="preserve">Transport &amp; Environment (2023) EV Supply Chain Report. Available at: </w:t>
      </w:r>
      <w:hyperlink r:id="rId14" w:tgtFrame="_new" w:history="1">
        <w:r w:rsidRPr="009660F4">
          <w:rPr>
            <w:rStyle w:val="Hyperlink"/>
            <w:rFonts w:ascii="Arial" w:hAnsi="Arial" w:cs="Arial"/>
          </w:rPr>
          <w:t>https://www.transportenvironment.org</w:t>
        </w:r>
      </w:hyperlink>
      <w:r w:rsidRPr="009660F4">
        <w:rPr>
          <w:rFonts w:ascii="Arial" w:hAnsi="Arial" w:cs="Arial"/>
        </w:rPr>
        <w:t xml:space="preserve"> (Accessed: 17 January 2024).</w:t>
      </w:r>
    </w:p>
    <w:p w14:paraId="00A8B0E9" w14:textId="77777777" w:rsidR="009660F4" w:rsidRPr="009660F4" w:rsidRDefault="009660F4" w:rsidP="009660F4">
      <w:pPr>
        <w:spacing w:line="360" w:lineRule="auto"/>
        <w:jc w:val="both"/>
        <w:rPr>
          <w:rFonts w:ascii="Arial" w:hAnsi="Arial" w:cs="Arial"/>
        </w:rPr>
      </w:pPr>
      <w:r w:rsidRPr="009660F4">
        <w:rPr>
          <w:rFonts w:ascii="Arial" w:hAnsi="Arial" w:cs="Arial"/>
        </w:rPr>
        <w:lastRenderedPageBreak/>
        <w:t>UK Government (2023) UK Battery Strategy. Available at: https://www.gov.uk/government/publications/battery-strategy (Accessed: 18 January 2024).</w:t>
      </w:r>
    </w:p>
    <w:p w14:paraId="62979097" w14:textId="77777777" w:rsidR="009660F4" w:rsidRPr="009660F4" w:rsidRDefault="009660F4" w:rsidP="009660F4">
      <w:pPr>
        <w:spacing w:line="360" w:lineRule="auto"/>
        <w:jc w:val="both"/>
        <w:rPr>
          <w:rFonts w:ascii="Arial" w:hAnsi="Arial" w:cs="Arial"/>
        </w:rPr>
      </w:pPr>
      <w:r w:rsidRPr="009660F4">
        <w:rPr>
          <w:rFonts w:ascii="Arial" w:hAnsi="Arial" w:cs="Arial"/>
        </w:rPr>
        <w:t xml:space="preserve">Zap-Map (2024) Charging Infrastructure Statistics. Available at: </w:t>
      </w:r>
      <w:hyperlink r:id="rId15" w:tgtFrame="_new" w:history="1">
        <w:r w:rsidRPr="009660F4">
          <w:rPr>
            <w:rStyle w:val="Hyperlink"/>
            <w:rFonts w:ascii="Arial" w:hAnsi="Arial" w:cs="Arial"/>
          </w:rPr>
          <w:t>https://www.zap-map.com/ev-stats/</w:t>
        </w:r>
      </w:hyperlink>
      <w:r w:rsidRPr="009660F4">
        <w:rPr>
          <w:rFonts w:ascii="Arial" w:hAnsi="Arial" w:cs="Arial"/>
        </w:rPr>
        <w:t xml:space="preserve"> (Accessed: 18 January 2024).</w:t>
      </w:r>
    </w:p>
    <w:sectPr w:rsidR="009660F4" w:rsidRPr="009660F4">
      <w:head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DDEE0" w14:textId="77777777" w:rsidR="0003048B" w:rsidRDefault="0003048B" w:rsidP="009660F4">
      <w:r>
        <w:separator/>
      </w:r>
    </w:p>
  </w:endnote>
  <w:endnote w:type="continuationSeparator" w:id="0">
    <w:p w14:paraId="0736334A" w14:textId="77777777" w:rsidR="0003048B" w:rsidRDefault="0003048B" w:rsidP="00966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B0454" w14:textId="77777777" w:rsidR="0003048B" w:rsidRDefault="0003048B" w:rsidP="009660F4">
      <w:r>
        <w:separator/>
      </w:r>
    </w:p>
  </w:footnote>
  <w:footnote w:type="continuationSeparator" w:id="0">
    <w:p w14:paraId="2478B4C4" w14:textId="77777777" w:rsidR="0003048B" w:rsidRDefault="0003048B" w:rsidP="009660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86336222"/>
      <w:docPartObj>
        <w:docPartGallery w:val="Page Numbers (Top of Page)"/>
        <w:docPartUnique/>
      </w:docPartObj>
    </w:sdtPr>
    <w:sdtEndPr>
      <w:rPr>
        <w:noProof/>
      </w:rPr>
    </w:sdtEndPr>
    <w:sdtContent>
      <w:p w14:paraId="2CB48B72" w14:textId="389CEDAA" w:rsidR="009660F4" w:rsidRPr="009660F4" w:rsidRDefault="009660F4" w:rsidP="009660F4">
        <w:pPr>
          <w:pStyle w:val="Header"/>
          <w:jc w:val="right"/>
          <w:rPr>
            <w:rFonts w:ascii="Arial" w:hAnsi="Arial" w:cs="Arial"/>
          </w:rPr>
        </w:pPr>
        <w:r w:rsidRPr="009660F4">
          <w:rPr>
            <w:rFonts w:ascii="Arial" w:hAnsi="Arial" w:cs="Arial"/>
          </w:rPr>
          <w:fldChar w:fldCharType="begin"/>
        </w:r>
        <w:r w:rsidRPr="009660F4">
          <w:rPr>
            <w:rFonts w:ascii="Arial" w:hAnsi="Arial" w:cs="Arial"/>
          </w:rPr>
          <w:instrText xml:space="preserve"> PAGE   \* MERGEFORMAT </w:instrText>
        </w:r>
        <w:r w:rsidRPr="009660F4">
          <w:rPr>
            <w:rFonts w:ascii="Arial" w:hAnsi="Arial" w:cs="Arial"/>
          </w:rPr>
          <w:fldChar w:fldCharType="separate"/>
        </w:r>
        <w:r w:rsidRPr="009660F4">
          <w:rPr>
            <w:rFonts w:ascii="Arial" w:hAnsi="Arial" w:cs="Arial"/>
            <w:noProof/>
          </w:rPr>
          <w:t>2</w:t>
        </w:r>
        <w:r w:rsidRPr="009660F4">
          <w:rPr>
            <w:rFonts w:ascii="Arial" w:hAnsi="Arial" w:cs="Arial"/>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D21F0"/>
    <w:multiLevelType w:val="hybridMultilevel"/>
    <w:tmpl w:val="74789D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1140B3"/>
    <w:multiLevelType w:val="hybridMultilevel"/>
    <w:tmpl w:val="9300FE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8B21D5"/>
    <w:multiLevelType w:val="hybridMultilevel"/>
    <w:tmpl w:val="F020A63E"/>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B547E6"/>
    <w:multiLevelType w:val="hybridMultilevel"/>
    <w:tmpl w:val="9D009EC4"/>
    <w:lvl w:ilvl="0" w:tplc="4BD0FFB6">
      <w:start w:val="1"/>
      <w:numFmt w:val="lowerRoman"/>
      <w:lvlText w:val="%1."/>
      <w:lvlJc w:val="righ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4122589">
    <w:abstractNumId w:val="3"/>
  </w:num>
  <w:num w:numId="2" w16cid:durableId="1066490800">
    <w:abstractNumId w:val="1"/>
  </w:num>
  <w:num w:numId="3" w16cid:durableId="421607995">
    <w:abstractNumId w:val="2"/>
  </w:num>
  <w:num w:numId="4" w16cid:durableId="166796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EA9"/>
    <w:rsid w:val="0003048B"/>
    <w:rsid w:val="000847EF"/>
    <w:rsid w:val="001B74DD"/>
    <w:rsid w:val="00330031"/>
    <w:rsid w:val="004B3471"/>
    <w:rsid w:val="00624154"/>
    <w:rsid w:val="006844FC"/>
    <w:rsid w:val="008B5A15"/>
    <w:rsid w:val="009660F4"/>
    <w:rsid w:val="00970358"/>
    <w:rsid w:val="00D43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FDC59"/>
  <w15:chartTrackingRefBased/>
  <w15:docId w15:val="{4A4648F9-E403-4502-BC03-8ED711590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358"/>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D43EA9"/>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D43EA9"/>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D43EA9"/>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D43EA9"/>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D43EA9"/>
    <w:pPr>
      <w:keepNext/>
      <w:keepLines/>
      <w:spacing w:before="80" w:after="40" w:line="278"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D43EA9"/>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D43EA9"/>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D43EA9"/>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D43EA9"/>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E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43E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43EA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43EA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43EA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43E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3E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3E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3EA9"/>
    <w:rPr>
      <w:rFonts w:eastAsiaTheme="majorEastAsia" w:cstheme="majorBidi"/>
      <w:color w:val="272727" w:themeColor="text1" w:themeTint="D8"/>
    </w:rPr>
  </w:style>
  <w:style w:type="paragraph" w:styleId="Title">
    <w:name w:val="Title"/>
    <w:basedOn w:val="Normal"/>
    <w:next w:val="Normal"/>
    <w:link w:val="TitleChar"/>
    <w:uiPriority w:val="10"/>
    <w:qFormat/>
    <w:rsid w:val="00D43EA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D43E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3EA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D43E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3EA9"/>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D43EA9"/>
    <w:rPr>
      <w:i/>
      <w:iCs/>
      <w:color w:val="404040" w:themeColor="text1" w:themeTint="BF"/>
    </w:rPr>
  </w:style>
  <w:style w:type="paragraph" w:styleId="ListParagraph">
    <w:name w:val="List Paragraph"/>
    <w:basedOn w:val="Normal"/>
    <w:uiPriority w:val="34"/>
    <w:qFormat/>
    <w:rsid w:val="00D43EA9"/>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D43EA9"/>
    <w:rPr>
      <w:i/>
      <w:iCs/>
      <w:color w:val="2F5496" w:themeColor="accent1" w:themeShade="BF"/>
    </w:rPr>
  </w:style>
  <w:style w:type="paragraph" w:styleId="IntenseQuote">
    <w:name w:val="Intense Quote"/>
    <w:basedOn w:val="Normal"/>
    <w:next w:val="Normal"/>
    <w:link w:val="IntenseQuoteChar"/>
    <w:uiPriority w:val="30"/>
    <w:qFormat/>
    <w:rsid w:val="00D43EA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D43EA9"/>
    <w:rPr>
      <w:i/>
      <w:iCs/>
      <w:color w:val="2F5496" w:themeColor="accent1" w:themeShade="BF"/>
    </w:rPr>
  </w:style>
  <w:style w:type="character" w:styleId="IntenseReference">
    <w:name w:val="Intense Reference"/>
    <w:basedOn w:val="DefaultParagraphFont"/>
    <w:uiPriority w:val="32"/>
    <w:qFormat/>
    <w:rsid w:val="00D43EA9"/>
    <w:rPr>
      <w:b/>
      <w:bCs/>
      <w:smallCaps/>
      <w:color w:val="2F5496" w:themeColor="accent1" w:themeShade="BF"/>
      <w:spacing w:val="5"/>
    </w:rPr>
  </w:style>
  <w:style w:type="character" w:styleId="Hyperlink">
    <w:name w:val="Hyperlink"/>
    <w:basedOn w:val="DefaultParagraphFont"/>
    <w:uiPriority w:val="99"/>
    <w:unhideWhenUsed/>
    <w:rsid w:val="00D43EA9"/>
    <w:rPr>
      <w:color w:val="0563C1" w:themeColor="hyperlink"/>
      <w:u w:val="single"/>
    </w:rPr>
  </w:style>
  <w:style w:type="paragraph" w:styleId="Header">
    <w:name w:val="header"/>
    <w:basedOn w:val="Normal"/>
    <w:link w:val="HeaderChar"/>
    <w:uiPriority w:val="99"/>
    <w:unhideWhenUsed/>
    <w:rsid w:val="009660F4"/>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9660F4"/>
  </w:style>
  <w:style w:type="paragraph" w:styleId="Footer">
    <w:name w:val="footer"/>
    <w:basedOn w:val="Normal"/>
    <w:link w:val="FooterChar"/>
    <w:uiPriority w:val="99"/>
    <w:unhideWhenUsed/>
    <w:rsid w:val="009660F4"/>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966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bout.bnef.com/electric-vehicle-outlook/" TargetMode="External"/><Relationship Id="rId13" Type="http://schemas.openxmlformats.org/officeDocument/2006/relationships/hyperlink" Target="https://www.nationalgrideso.com/future-energy/future-energy-scenario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ckinsey.com/industries/automotive-and-assembly/our-insight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ea.org/reports/global-ev-outlook-2023" TargetMode="External"/><Relationship Id="rId5" Type="http://schemas.openxmlformats.org/officeDocument/2006/relationships/footnotes" Target="footnotes.xml"/><Relationship Id="rId15" Type="http://schemas.openxmlformats.org/officeDocument/2006/relationships/hyperlink" Target="https://www.zap-map.com/ev-stats/" TargetMode="External"/><Relationship Id="rId10" Type="http://schemas.openxmlformats.org/officeDocument/2006/relationships/hyperlink" Target="https://www.instituteforgovernment.org.uk" TargetMode="External"/><Relationship Id="rId4" Type="http://schemas.openxmlformats.org/officeDocument/2006/relationships/webSettings" Target="webSettings.xml"/><Relationship Id="rId9" Type="http://schemas.openxmlformats.org/officeDocument/2006/relationships/hyperlink" Target="https://www.theccc.org.uk" TargetMode="External"/><Relationship Id="rId14" Type="http://schemas.openxmlformats.org/officeDocument/2006/relationships/hyperlink" Target="https://www.transportenviron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2233</Words>
  <Characters>12732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Shelsya Cavanza (2130984)</cp:lastModifiedBy>
  <cp:revision>2</cp:revision>
  <dcterms:created xsi:type="dcterms:W3CDTF">2025-12-05T22:53:00Z</dcterms:created>
  <dcterms:modified xsi:type="dcterms:W3CDTF">2025-12-05T22:53:00Z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5cd1a7c9735ecee016743f805a14ccadcc0766367d304c9fdf93684e82c4a98d</vt:lpwstr>
  </property>
</Properties>
</file>