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A886D" w14:textId="77777777" w:rsidR="00A459D8" w:rsidRPr="00566A60" w:rsidRDefault="00A459D8" w:rsidP="006C75C3">
      <w:pPr>
        <w:spacing w:line="360" w:lineRule="auto"/>
        <w:rPr>
          <w:rFonts w:cstheme="minorHAnsi"/>
          <w:b/>
          <w:bCs/>
          <w:color w:val="000000" w:themeColor="text1"/>
          <w:sz w:val="25"/>
          <w:szCs w:val="25"/>
        </w:rPr>
      </w:pPr>
      <w:r w:rsidRPr="00566A60">
        <w:rPr>
          <w:rFonts w:cstheme="minorHAnsi"/>
          <w:b/>
          <w:bCs/>
          <w:color w:val="000000" w:themeColor="text1"/>
          <w:sz w:val="25"/>
          <w:szCs w:val="25"/>
        </w:rPr>
        <w:t xml:space="preserve">Lydia Furber </w:t>
      </w:r>
    </w:p>
    <w:p w14:paraId="634061B6" w14:textId="77777777" w:rsidR="00A459D8" w:rsidRPr="00566A60" w:rsidRDefault="00A459D8" w:rsidP="006C75C3">
      <w:pPr>
        <w:spacing w:line="360" w:lineRule="auto"/>
        <w:rPr>
          <w:rFonts w:cstheme="minorHAnsi"/>
          <w:b/>
          <w:bCs/>
          <w:color w:val="000000" w:themeColor="text1"/>
          <w:sz w:val="25"/>
          <w:szCs w:val="25"/>
        </w:rPr>
      </w:pPr>
      <w:r w:rsidRPr="00566A60">
        <w:rPr>
          <w:rFonts w:cstheme="minorHAnsi"/>
          <w:b/>
          <w:bCs/>
          <w:color w:val="000000" w:themeColor="text1"/>
          <w:sz w:val="25"/>
          <w:szCs w:val="25"/>
        </w:rPr>
        <w:t>4134409</w:t>
      </w:r>
    </w:p>
    <w:p w14:paraId="37F17217" w14:textId="77777777" w:rsidR="00A459D8" w:rsidRPr="00566A60" w:rsidRDefault="00A459D8" w:rsidP="006C75C3">
      <w:pPr>
        <w:spacing w:line="360" w:lineRule="auto"/>
        <w:rPr>
          <w:rFonts w:cstheme="minorHAnsi"/>
          <w:b/>
          <w:bCs/>
          <w:color w:val="000000" w:themeColor="text1"/>
          <w:sz w:val="25"/>
          <w:szCs w:val="25"/>
        </w:rPr>
      </w:pPr>
    </w:p>
    <w:p w14:paraId="44B2A735" w14:textId="77777777" w:rsidR="00A459D8" w:rsidRPr="00566A60" w:rsidRDefault="00A459D8" w:rsidP="006C75C3">
      <w:pPr>
        <w:spacing w:line="360" w:lineRule="auto"/>
        <w:rPr>
          <w:rFonts w:cstheme="minorHAnsi"/>
          <w:b/>
          <w:bCs/>
          <w:color w:val="000000" w:themeColor="text1"/>
          <w:sz w:val="25"/>
          <w:szCs w:val="25"/>
        </w:rPr>
      </w:pPr>
      <w:r w:rsidRPr="00566A60">
        <w:rPr>
          <w:rFonts w:cstheme="minorHAnsi"/>
          <w:b/>
          <w:bCs/>
          <w:color w:val="000000" w:themeColor="text1"/>
          <w:sz w:val="25"/>
          <w:szCs w:val="25"/>
        </w:rPr>
        <w:t>How might the code of ethics help to reduce incidences of professional misconduct and increase public confidence in the police?</w:t>
      </w:r>
    </w:p>
    <w:p w14:paraId="4A888A83" w14:textId="77777777" w:rsidR="00DD7F32" w:rsidRPr="00566A60" w:rsidRDefault="00DD7F32" w:rsidP="006C75C3">
      <w:pPr>
        <w:spacing w:line="360" w:lineRule="auto"/>
        <w:rPr>
          <w:rFonts w:cstheme="minorHAnsi"/>
          <w:color w:val="000000" w:themeColor="text1"/>
          <w:sz w:val="25"/>
          <w:szCs w:val="25"/>
        </w:rPr>
      </w:pPr>
    </w:p>
    <w:p w14:paraId="139DFB7A" w14:textId="12009C01" w:rsidR="00DD7F32" w:rsidRPr="00566A60" w:rsidRDefault="00DD7F32" w:rsidP="006C75C3">
      <w:pPr>
        <w:spacing w:line="360" w:lineRule="auto"/>
        <w:rPr>
          <w:rFonts w:cstheme="minorHAnsi"/>
          <w:b/>
          <w:bCs/>
          <w:color w:val="000000" w:themeColor="text1"/>
          <w:sz w:val="25"/>
          <w:szCs w:val="25"/>
        </w:rPr>
      </w:pPr>
      <w:r w:rsidRPr="00566A60">
        <w:rPr>
          <w:rFonts w:cstheme="minorHAnsi"/>
          <w:color w:val="000000" w:themeColor="text1"/>
          <w:sz w:val="25"/>
          <w:szCs w:val="25"/>
        </w:rPr>
        <w:t xml:space="preserve">There has been a decline in public confidence towards policing over the years due to the impact of ethics, as police officers often make mistakes that negatively affect the public's perception. </w:t>
      </w:r>
    </w:p>
    <w:p w14:paraId="2EC53B48" w14:textId="5F363CF4" w:rsidR="00DD7F32" w:rsidRPr="00566A60" w:rsidRDefault="00DD7F32" w:rsidP="006C75C3">
      <w:pPr>
        <w:spacing w:line="360" w:lineRule="auto"/>
        <w:rPr>
          <w:rFonts w:cstheme="minorHAnsi"/>
          <w:b/>
          <w:bCs/>
          <w:color w:val="000000" w:themeColor="text1"/>
          <w:sz w:val="25"/>
          <w:szCs w:val="25"/>
        </w:rPr>
      </w:pPr>
      <w:r w:rsidRPr="00566A60">
        <w:rPr>
          <w:rFonts w:cstheme="minorHAnsi"/>
          <w:sz w:val="25"/>
          <w:szCs w:val="25"/>
        </w:rPr>
        <w:t xml:space="preserve">Independent Office for Police Conduct </w:t>
      </w:r>
      <w:r w:rsidRPr="00566A60">
        <w:rPr>
          <w:rFonts w:cstheme="minorHAnsi"/>
          <w:color w:val="000000" w:themeColor="text1"/>
          <w:sz w:val="25"/>
          <w:szCs w:val="25"/>
        </w:rPr>
        <w:t>(2023) identified that 46% of the public felt confident of the police. There could be many reasons why this percentage</w:t>
      </w:r>
      <w:r w:rsidR="00566A60">
        <w:rPr>
          <w:rFonts w:cstheme="minorHAnsi"/>
          <w:color w:val="000000" w:themeColor="text1"/>
          <w:sz w:val="25"/>
          <w:szCs w:val="25"/>
        </w:rPr>
        <w:t xml:space="preserve"> is low and could be down to how police get described within news articles</w:t>
      </w:r>
      <w:r w:rsidRPr="00566A60">
        <w:rPr>
          <w:rFonts w:cstheme="minorHAnsi"/>
          <w:color w:val="000000" w:themeColor="text1"/>
          <w:sz w:val="25"/>
          <w:szCs w:val="25"/>
        </w:rPr>
        <w:t>. Although, often actions that attract media coverage can dramatically shake public confidence, painting the police negatively.</w:t>
      </w:r>
      <w:r w:rsidRPr="00566A60">
        <w:rPr>
          <w:rFonts w:cstheme="minorHAnsi"/>
          <w:b/>
          <w:bCs/>
          <w:color w:val="000000" w:themeColor="text1"/>
          <w:sz w:val="25"/>
          <w:szCs w:val="25"/>
        </w:rPr>
        <w:t xml:space="preserve">  </w:t>
      </w:r>
      <w:r w:rsidRPr="00566A60">
        <w:rPr>
          <w:rFonts w:cstheme="minorHAnsi"/>
          <w:color w:val="000000" w:themeColor="text1"/>
          <w:sz w:val="25"/>
          <w:szCs w:val="25"/>
        </w:rPr>
        <w:t xml:space="preserve">Dowler and </w:t>
      </w:r>
      <w:proofErr w:type="spellStart"/>
      <w:r w:rsidRPr="00566A60">
        <w:rPr>
          <w:rFonts w:cstheme="minorHAnsi"/>
          <w:color w:val="000000" w:themeColor="text1"/>
          <w:sz w:val="25"/>
          <w:szCs w:val="25"/>
        </w:rPr>
        <w:t>Zawilski</w:t>
      </w:r>
      <w:proofErr w:type="spellEnd"/>
      <w:r w:rsidRPr="00566A60">
        <w:rPr>
          <w:rFonts w:cstheme="minorHAnsi"/>
          <w:color w:val="000000" w:themeColor="text1"/>
          <w:sz w:val="25"/>
          <w:szCs w:val="25"/>
        </w:rPr>
        <w:t xml:space="preserve"> (2007) states Recent studies have indicated that the portrayal of policing in images has led to the formation of unrealistic public expectations regarding actual police work. Consequently, when police officers fail to meet these exaggerated expectations, it often results in disappointment among the public. The incident of George Floyd's murder significantly tarnished the public's perception of police officers' misconduct and wrongdoing. Consequently, it led to a subsequent societal reaction that affected the everyday interaction between the public and the police. This impacted the public perception massively and on May 28, 2020, the #Blacklivesmatter garnered over 8.8 million tweets, marking a significant response to Floyd’s death just three days prior. According to surveys, an estimated 15-26 million Americans participated in street protests in the following weeks. These protests, both in person and online, effectively channelled a collective moral outrage and brought attention to other cases of police violence, stated by </w:t>
      </w:r>
      <w:proofErr w:type="spellStart"/>
      <w:r w:rsidRPr="00566A60">
        <w:rPr>
          <w:rFonts w:cstheme="minorHAnsi"/>
          <w:color w:val="000000" w:themeColor="text1"/>
          <w:sz w:val="25"/>
          <w:szCs w:val="25"/>
        </w:rPr>
        <w:t>Brantingham</w:t>
      </w:r>
      <w:proofErr w:type="spellEnd"/>
      <w:r w:rsidRPr="00566A60">
        <w:rPr>
          <w:rFonts w:cstheme="minorHAnsi"/>
          <w:color w:val="000000" w:themeColor="text1"/>
          <w:sz w:val="25"/>
          <w:szCs w:val="25"/>
        </w:rPr>
        <w:t xml:space="preserve">, Mohler and MacDonald (2022.) The occurrence of this event increased extensive public discussion and activism regarding racial justice, leading black individuals to perceive themselves as </w:t>
      </w:r>
      <w:r w:rsidRPr="00566A60">
        <w:rPr>
          <w:rFonts w:cstheme="minorHAnsi"/>
          <w:color w:val="000000" w:themeColor="text1"/>
          <w:sz w:val="25"/>
          <w:szCs w:val="25"/>
        </w:rPr>
        <w:lastRenderedPageBreak/>
        <w:t>targets to police officers. However, since the tragic killing of George Floyd, there have been significant changes in policing. The implementation of stricter use of force policies has been closely monitored and reinforced to prevent similar incidents from reoccurring. By closely monitoring the use of force, the aim was to decrease instances of professional misconduct and enhance public confidence. Unfortunately, some officers failed to adhere to appropriate behaviour, resorting to excessive force and disregarding lawful orders and instructions. Consequently, this has severely damaged the public's perception of police officers, with the police being viewed as racist and corrupt due to them not adhering to the code of ethics. This negative sentiment has also resulted in public perception being exceptionally low, leading many individuals who have experienced a crime to feel that reporting it was their last option.</w:t>
      </w:r>
    </w:p>
    <w:p w14:paraId="5F800954" w14:textId="77777777" w:rsidR="00DD7F32" w:rsidRPr="00566A60" w:rsidRDefault="00DD7F32" w:rsidP="006C75C3">
      <w:pPr>
        <w:tabs>
          <w:tab w:val="left" w:pos="6305"/>
        </w:tabs>
        <w:spacing w:after="0" w:line="360" w:lineRule="auto"/>
        <w:rPr>
          <w:rFonts w:cstheme="minorHAnsi"/>
          <w:color w:val="000000" w:themeColor="text1"/>
          <w:sz w:val="25"/>
          <w:szCs w:val="25"/>
        </w:rPr>
      </w:pPr>
    </w:p>
    <w:p w14:paraId="4DF2C2FE" w14:textId="77777777" w:rsidR="00DD7F32" w:rsidRPr="00566A60" w:rsidRDefault="00DD7F32" w:rsidP="006C75C3">
      <w:pPr>
        <w:tabs>
          <w:tab w:val="left" w:pos="6305"/>
        </w:tabs>
        <w:spacing w:after="0" w:line="360" w:lineRule="auto"/>
        <w:rPr>
          <w:rFonts w:cstheme="minorHAnsi"/>
          <w:color w:val="000000" w:themeColor="text1"/>
          <w:sz w:val="25"/>
          <w:szCs w:val="25"/>
        </w:rPr>
      </w:pPr>
      <w:r w:rsidRPr="00566A60">
        <w:rPr>
          <w:rFonts w:cstheme="minorHAnsi"/>
          <w:color w:val="000000" w:themeColor="text1"/>
          <w:sz w:val="25"/>
          <w:szCs w:val="25"/>
        </w:rPr>
        <w:t>Additionally, majority of police officers show professionalism and bravery when they’re on or off duty.  An incident which occurred in 2017, where an officer who got called to a vehicle upside down in a reservoir, showed bravery by entering the reservoir to gain access to the vehicle in attempt to realise the women inside, stated by Eve (2018). This officer showed professionalism and great courage by putting his life at risk to save others. Police officers also showed professionalism when involved in the recent event of the queen’s funeral, the police perspective deemed it a tremendous success, thereby enhancing the public's perception of policing.</w:t>
      </w:r>
    </w:p>
    <w:p w14:paraId="752F5E31" w14:textId="77777777" w:rsidR="00DD7F32" w:rsidRPr="00566A60" w:rsidRDefault="00DD7F32" w:rsidP="006C75C3">
      <w:pPr>
        <w:tabs>
          <w:tab w:val="left" w:pos="6305"/>
        </w:tabs>
        <w:spacing w:after="0" w:line="360" w:lineRule="auto"/>
        <w:rPr>
          <w:rFonts w:cstheme="minorHAnsi"/>
          <w:color w:val="000000" w:themeColor="text1"/>
          <w:sz w:val="25"/>
          <w:szCs w:val="25"/>
        </w:rPr>
      </w:pPr>
    </w:p>
    <w:p w14:paraId="353D686D" w14:textId="77777777" w:rsidR="00DD7F32" w:rsidRPr="00566A60" w:rsidRDefault="00DD7F32" w:rsidP="006C75C3">
      <w:pPr>
        <w:tabs>
          <w:tab w:val="left" w:pos="6305"/>
        </w:tabs>
        <w:spacing w:after="0" w:line="360" w:lineRule="auto"/>
        <w:rPr>
          <w:rFonts w:cstheme="minorHAnsi"/>
          <w:color w:val="000000" w:themeColor="text1"/>
          <w:sz w:val="25"/>
          <w:szCs w:val="25"/>
        </w:rPr>
      </w:pPr>
      <w:r w:rsidRPr="00566A60">
        <w:rPr>
          <w:rFonts w:cstheme="minorHAnsi"/>
          <w:color w:val="000000" w:themeColor="text1"/>
          <w:sz w:val="25"/>
          <w:szCs w:val="25"/>
        </w:rPr>
        <w:t xml:space="preserve">Additionally, the likelihood of officers demonstrating professionalism is higher if they have obtained higher education. It is believed officers would not be influenced by prejudice, officers will become more impartial, decreasing corruption. </w:t>
      </w:r>
      <w:r w:rsidRPr="00566A60">
        <w:rPr>
          <w:rFonts w:cstheme="minorHAnsi"/>
          <w:b/>
          <w:bCs/>
          <w:color w:val="000000" w:themeColor="text1"/>
          <w:sz w:val="25"/>
          <w:szCs w:val="25"/>
        </w:rPr>
        <w:t xml:space="preserve"> </w:t>
      </w:r>
      <w:r w:rsidRPr="00566A60">
        <w:rPr>
          <w:rFonts w:cstheme="minorHAnsi"/>
          <w:color w:val="000000" w:themeColor="text1"/>
          <w:sz w:val="25"/>
          <w:szCs w:val="25"/>
        </w:rPr>
        <w:t>Cox and Kirby (2018, p.79) states “</w:t>
      </w:r>
      <w:r w:rsidRPr="00566A60">
        <w:rPr>
          <w:rFonts w:cstheme="minorHAnsi"/>
          <w:color w:val="000000" w:themeColor="text1"/>
          <w:sz w:val="25"/>
          <w:szCs w:val="25"/>
          <w:shd w:val="clear" w:color="auto" w:fill="FFFFFF"/>
        </w:rPr>
        <w:t xml:space="preserve">The argument is that better educated officers will exhibit less prejudice and provide more objective and reflective decision making.” Higher education has the potential to enhance ethical consciousness and increasing officers respect for rules and regulations.  This, in turn, can lead to greater efficiency and effectiveness among officers, ultimately raising the bar for policing standards. By adhering to a code of </w:t>
      </w:r>
      <w:r w:rsidRPr="00566A60">
        <w:rPr>
          <w:rFonts w:cstheme="minorHAnsi"/>
          <w:color w:val="000000" w:themeColor="text1"/>
          <w:sz w:val="25"/>
          <w:szCs w:val="25"/>
          <w:shd w:val="clear" w:color="auto" w:fill="FFFFFF"/>
        </w:rPr>
        <w:lastRenderedPageBreak/>
        <w:t>ethics and embodying professionalism, the public's perception of police officers can be positively influenced, while instances of professional misconduct can be minimized.</w:t>
      </w:r>
    </w:p>
    <w:p w14:paraId="01ADF806" w14:textId="77777777" w:rsidR="00DD7F32" w:rsidRPr="00566A60" w:rsidRDefault="00DD7F32" w:rsidP="006C75C3">
      <w:pPr>
        <w:tabs>
          <w:tab w:val="left" w:pos="6305"/>
        </w:tabs>
        <w:spacing w:line="360" w:lineRule="auto"/>
        <w:rPr>
          <w:rFonts w:cstheme="minorHAnsi"/>
          <w:color w:val="000000" w:themeColor="text1"/>
          <w:sz w:val="25"/>
          <w:szCs w:val="25"/>
          <w:shd w:val="clear" w:color="auto" w:fill="FFFFFF"/>
        </w:rPr>
      </w:pPr>
      <w:r w:rsidRPr="00566A60">
        <w:rPr>
          <w:rFonts w:cstheme="minorHAnsi"/>
          <w:color w:val="000000" w:themeColor="text1"/>
          <w:sz w:val="25"/>
          <w:szCs w:val="25"/>
          <w:shd w:val="clear" w:color="auto" w:fill="FFFFFF"/>
        </w:rPr>
        <w:t xml:space="preserve">An incident which has damaged public perception on policing is the Sarah Everard case. This has extremely damaged public trust on police and left women unable to trust the police. Officers exploited their position of power and shortly after this incident, the media disclosed numerous incidents of inappropriate conduct by officers, involving the exchange of racist and homophobic jokes through private group chats. Certain officers may argue this was a coping mechanism for their mental health, but it indicates their unsuitability to be fit for work under the code of ethics, although this is not acceptable, this links in with the ‘inside culture’ of policing.  </w:t>
      </w:r>
    </w:p>
    <w:p w14:paraId="0A10A91E" w14:textId="77777777" w:rsidR="00DD7F32" w:rsidRPr="00566A60" w:rsidRDefault="00DD7F32" w:rsidP="006C75C3">
      <w:pPr>
        <w:tabs>
          <w:tab w:val="left" w:pos="6305"/>
        </w:tabs>
        <w:spacing w:line="360" w:lineRule="auto"/>
        <w:rPr>
          <w:rFonts w:cstheme="minorHAnsi"/>
          <w:color w:val="000000" w:themeColor="text1"/>
          <w:sz w:val="25"/>
          <w:szCs w:val="25"/>
          <w:shd w:val="clear" w:color="auto" w:fill="FFFFFF"/>
        </w:rPr>
      </w:pPr>
      <w:r w:rsidRPr="00566A60">
        <w:rPr>
          <w:rFonts w:cstheme="minorHAnsi"/>
          <w:color w:val="000000" w:themeColor="text1"/>
          <w:sz w:val="25"/>
          <w:szCs w:val="25"/>
          <w:shd w:val="clear" w:color="auto" w:fill="FFFFFF"/>
        </w:rPr>
        <w:t xml:space="preserve">Additionally, police officers </w:t>
      </w:r>
      <w:r w:rsidRPr="00566A60">
        <w:rPr>
          <w:rFonts w:cstheme="minorHAnsi"/>
          <w:color w:val="000000" w:themeColor="text1"/>
          <w:sz w:val="25"/>
          <w:szCs w:val="25"/>
        </w:rPr>
        <w:t xml:space="preserve">frequently neglect to voice their concerns or report their colleagues when they engage in inappropriate behaviour and fail to adhere to the code of ethics. According to </w:t>
      </w:r>
      <w:proofErr w:type="spellStart"/>
      <w:r w:rsidRPr="00566A60">
        <w:rPr>
          <w:rFonts w:cstheme="minorHAnsi"/>
          <w:color w:val="000000" w:themeColor="text1"/>
          <w:sz w:val="25"/>
          <w:szCs w:val="25"/>
        </w:rPr>
        <w:t>Westmarland</w:t>
      </w:r>
      <w:proofErr w:type="spellEnd"/>
      <w:r w:rsidRPr="00566A60">
        <w:rPr>
          <w:rFonts w:cstheme="minorHAnsi"/>
          <w:color w:val="000000" w:themeColor="text1"/>
          <w:sz w:val="25"/>
          <w:szCs w:val="25"/>
        </w:rPr>
        <w:t xml:space="preserve"> and Conway (2020, p.379) failing to report colleagues “are often attributed to the police’s ‘inside culture’ which maintains an impenetrable ‘curtain’ of silence. There may be various reasons for not reporting their colleagues such as the severity of the crime, officers not wanting to be seen as ‘telling on their work colleagues’ or the lack of supervision whilst at work. However, it is important to remember that the code of ethics exists for a reason, and if officers do not comply with it, the public's perception of them will decrease, officers will see the consequences in this and be at risk of losing their job, through misconduct. This will help reduce incidences of professional misconduct and increase public confidence.  </w:t>
      </w:r>
    </w:p>
    <w:p w14:paraId="4916013D" w14:textId="3C6D8457" w:rsidR="00DD7F32" w:rsidRPr="00566A60" w:rsidRDefault="00DD7F32" w:rsidP="006C75C3">
      <w:pPr>
        <w:tabs>
          <w:tab w:val="left" w:pos="6305"/>
        </w:tabs>
        <w:spacing w:line="360" w:lineRule="auto"/>
        <w:rPr>
          <w:rFonts w:cstheme="minorHAnsi"/>
          <w:color w:val="000000" w:themeColor="text1"/>
          <w:sz w:val="25"/>
          <w:szCs w:val="25"/>
        </w:rPr>
      </w:pPr>
      <w:r w:rsidRPr="00566A60">
        <w:rPr>
          <w:rFonts w:cstheme="minorHAnsi"/>
          <w:color w:val="000000" w:themeColor="text1"/>
          <w:sz w:val="25"/>
          <w:szCs w:val="25"/>
        </w:rPr>
        <w:t xml:space="preserve"> To conclude, there are many reasons why the code of ethics can effectively reduce incidences of professional misconduct and increase public confidence in the police. Often media plays a crucial role in policing which can increase or decrease public perception. Majority of police officers follow the code of ethics as a guide to facilitate their decision-making process and uphold professional judgment, it is crucial for police officers to consistently make the right choices. However, a small fraction of officers who deviate from the code of ethics pose a greater risk of engaging in misconduct, which will be addressed accordingly. Throughout numerous incidents, police officers have demonstrated both commendable and reprehensible actions, ultimately shaping public </w:t>
      </w:r>
      <w:r w:rsidRPr="00566A60">
        <w:rPr>
          <w:rFonts w:cstheme="minorHAnsi"/>
          <w:color w:val="000000" w:themeColor="text1"/>
          <w:sz w:val="25"/>
          <w:szCs w:val="25"/>
        </w:rPr>
        <w:lastRenderedPageBreak/>
        <w:t>perception either positively or negatively. Officers must uphold the code of ethics by being honest, having integrity, and be able to challenge and report improper conduct, to improve public perception and decrease misconduct.</w:t>
      </w:r>
    </w:p>
    <w:p w14:paraId="16AE3EB8" w14:textId="77777777" w:rsidR="00DD7F32" w:rsidRPr="00566A60" w:rsidRDefault="00DD7F32" w:rsidP="006C75C3">
      <w:pPr>
        <w:tabs>
          <w:tab w:val="left" w:pos="6305"/>
        </w:tabs>
        <w:spacing w:line="360" w:lineRule="auto"/>
        <w:rPr>
          <w:rFonts w:cstheme="minorHAnsi"/>
          <w:color w:val="000000" w:themeColor="text1"/>
          <w:sz w:val="25"/>
          <w:szCs w:val="25"/>
        </w:rPr>
      </w:pPr>
    </w:p>
    <w:p w14:paraId="35A8DD54" w14:textId="0138E9C7" w:rsidR="00DD7F32" w:rsidRPr="00566A60" w:rsidRDefault="00DD7F32" w:rsidP="006C75C3">
      <w:pPr>
        <w:spacing w:line="360" w:lineRule="auto"/>
        <w:rPr>
          <w:rFonts w:cstheme="minorHAnsi"/>
          <w:sz w:val="25"/>
          <w:szCs w:val="25"/>
        </w:rPr>
      </w:pPr>
      <w:r w:rsidRPr="00566A60">
        <w:rPr>
          <w:rFonts w:cstheme="minorHAnsi"/>
          <w:b/>
          <w:bCs/>
          <w:color w:val="000000" w:themeColor="text1"/>
          <w:sz w:val="25"/>
          <w:szCs w:val="25"/>
        </w:rPr>
        <w:t>Word count: 10</w:t>
      </w:r>
      <w:r w:rsidR="00566A60">
        <w:rPr>
          <w:rFonts w:cstheme="minorHAnsi"/>
          <w:b/>
          <w:bCs/>
          <w:color w:val="000000" w:themeColor="text1"/>
          <w:sz w:val="25"/>
          <w:szCs w:val="25"/>
        </w:rPr>
        <w:t>28</w:t>
      </w:r>
    </w:p>
    <w:p w14:paraId="3157BF0F" w14:textId="0E496776" w:rsidR="00DD7F32" w:rsidRPr="00566A60" w:rsidRDefault="00DD7F32" w:rsidP="006C75C3">
      <w:pPr>
        <w:spacing w:line="360" w:lineRule="auto"/>
        <w:rPr>
          <w:rFonts w:cstheme="minorHAnsi"/>
          <w:b/>
          <w:bCs/>
          <w:sz w:val="25"/>
          <w:szCs w:val="25"/>
        </w:rPr>
      </w:pPr>
    </w:p>
    <w:p w14:paraId="6C9A4E5C" w14:textId="77777777" w:rsidR="00DD7F32" w:rsidRPr="00566A60" w:rsidRDefault="00DD7F32" w:rsidP="006C75C3">
      <w:pPr>
        <w:spacing w:line="360" w:lineRule="auto"/>
        <w:rPr>
          <w:rFonts w:cstheme="minorHAnsi"/>
          <w:b/>
          <w:bCs/>
          <w:sz w:val="25"/>
          <w:szCs w:val="25"/>
        </w:rPr>
      </w:pPr>
      <w:r w:rsidRPr="00566A60">
        <w:rPr>
          <w:rFonts w:cstheme="minorHAnsi"/>
          <w:b/>
          <w:bCs/>
          <w:sz w:val="25"/>
          <w:szCs w:val="25"/>
        </w:rPr>
        <w:t>How effective is a multi-agency approach as a means of managing violent and sexual offenders?</w:t>
      </w:r>
    </w:p>
    <w:p w14:paraId="1D8FC7FC"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Multi-agency approach as means of manging violent and sexual offenders can often be an effective approach when all agencies work together, share all relevant information, conduct regular meetings, and communicate efficiently. Multi-Agency Public Protection Arrangements (MAPPA) was established to reduce risk pose, manage offenders, and prevent re-offending, to protect victims and members of the public. </w:t>
      </w:r>
    </w:p>
    <w:p w14:paraId="2FF7DBE0" w14:textId="77777777" w:rsidR="006C75C3" w:rsidRPr="00566A60" w:rsidRDefault="006C75C3" w:rsidP="006C75C3">
      <w:pPr>
        <w:spacing w:line="360" w:lineRule="auto"/>
        <w:rPr>
          <w:rFonts w:cstheme="minorHAnsi"/>
          <w:sz w:val="25"/>
          <w:szCs w:val="25"/>
        </w:rPr>
      </w:pPr>
      <w:r w:rsidRPr="00566A60">
        <w:rPr>
          <w:rFonts w:cstheme="minorHAnsi"/>
          <w:sz w:val="25"/>
          <w:szCs w:val="25"/>
        </w:rPr>
        <w:t>Offenders frequently engage in the process of grooming younger victims, specifically children, for the purpose of committing a sexual offence. Gill and Harrison (2015)</w:t>
      </w:r>
      <w:r w:rsidRPr="00566A60">
        <w:rPr>
          <w:rFonts w:cstheme="minorHAnsi"/>
          <w:b/>
          <w:bCs/>
          <w:sz w:val="25"/>
          <w:szCs w:val="25"/>
        </w:rPr>
        <w:t xml:space="preserve"> </w:t>
      </w:r>
      <w:r w:rsidRPr="00566A60">
        <w:rPr>
          <w:rFonts w:cstheme="minorHAnsi"/>
          <w:sz w:val="25"/>
          <w:szCs w:val="25"/>
        </w:rPr>
        <w:t xml:space="preserve">explain how grooming strategies aim to create more of a chance for exploitation, while minimising the chances of being exposed, frequently the offender will achieve this by building trust with the child. The offender will encourage the child not to disclose the abuse, through manipulation and power. Often children are an easy target to groom due to their vulnerabilities. </w:t>
      </w:r>
    </w:p>
    <w:p w14:paraId="52BAE53C"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To protect victims and members of the public from grooming, MAPPA has used an approach of placing conditions on offenders which restricts them doing certain things. Denney (2009) states these conditions are placed on an offender to control where the offender lives or conditions of where the offender can or cannot go. These restrictions may place offenders into a secured living accommodation or prevent offenders residing in certain areas or places. These conditions may also consist of restricting that person going into a leisure centre, parks or approaching schools, where the likelihood of children being present is sufficient. With these restrictions in place, these will restrict </w:t>
      </w:r>
      <w:r w:rsidRPr="00566A60">
        <w:rPr>
          <w:rFonts w:cstheme="minorHAnsi"/>
          <w:sz w:val="25"/>
          <w:szCs w:val="25"/>
        </w:rPr>
        <w:lastRenderedPageBreak/>
        <w:t xml:space="preserve">the offender’s opportunity to commit offences, which will also limit the opportunity of an offender grooming a victim, preventing reoffending rates. </w:t>
      </w:r>
    </w:p>
    <w:p w14:paraId="66F905DD"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In addition, MAPPA has the capability to implement tracking on an offender's electronic devices, to supervisor these. This will enable police officers to closely monitor and examine the devices of offenders during check-ins, to ensure they are complying with their restricted conditions and are not committing other offences and if so, offenders can be dealt with efficiently. </w:t>
      </w:r>
      <w:proofErr w:type="spellStart"/>
      <w:r w:rsidRPr="00566A60">
        <w:rPr>
          <w:rFonts w:cstheme="minorHAnsi"/>
          <w:sz w:val="25"/>
          <w:szCs w:val="25"/>
        </w:rPr>
        <w:t>Kemshall</w:t>
      </w:r>
      <w:proofErr w:type="spellEnd"/>
      <w:r w:rsidRPr="00566A60">
        <w:rPr>
          <w:rFonts w:cstheme="minorHAnsi"/>
          <w:sz w:val="25"/>
          <w:szCs w:val="25"/>
        </w:rPr>
        <w:t xml:space="preserve"> and Wood (2008) explains how technical methods employed by MAPPA have been widely advocated as effective tools to streamline the process of imposing restrictions on offenders. This suggest placing trackers on an offender’s device is an effective approach to prevent grooming, offenders will be limited to what they can access within their devices. Offenders will be unable to fuel off their sexually interests.  </w:t>
      </w:r>
    </w:p>
    <w:p w14:paraId="3B2C5DE6"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Although these restrictions are beneficial and is an effective approach in a means of manging violent and sexual offenders, they can result in the offender being away from family and friends, leaving them socially isolated. Consequently, the offender may struggle with reintegrating into society, which in turn can impact the likelihood of reoffending. Denney (2009, p.61) States “Lack of integration has been seen as a significant factor in the reoffending rates of sex offenders.” </w:t>
      </w:r>
    </w:p>
    <w:p w14:paraId="301B2748"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In regards, when these violent and sexual offenders are placed in a secure residential facility, they are often housed alongside other offenders who have committed similar or identical offences. This links in with the lack of integration, as this can have a detrimental impact on the effectiveness of MAPPA. These offenders may influence and encourage each other, engaging in discussions about their criminal activities and shared interests. Moreover, this situation can contribute to a higher rate of reoffending among MAPPA offenders, having an impact of its effectiveness in preventing reoffending rates. To prevent this, MAPPA should consider where the offender will be best suited to reside at, through communicating with other agencies. Offenders face certain limitations on their freedom due to these restrictions and the preventive nature of the risk </w:t>
      </w:r>
      <w:r w:rsidRPr="00566A60">
        <w:rPr>
          <w:rFonts w:cstheme="minorHAnsi"/>
          <w:sz w:val="25"/>
          <w:szCs w:val="25"/>
        </w:rPr>
        <w:lastRenderedPageBreak/>
        <w:t xml:space="preserve">assessment, which indicates reduction of harm and reoffending in the future, protecting the victims. </w:t>
      </w:r>
    </w:p>
    <w:p w14:paraId="1CBED01F"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Additionally, agencies must priorities effective communication and information sharing among all parties involved in the management of MAPPA. All agencies have a responsibility to disclose any relevant information to other parties, to prevent further grooming and decrease risk posed to victims and members of public. Probation and police within MAPPA are key players and work hand in hand when managing these offenders. Taylor and </w:t>
      </w:r>
      <w:proofErr w:type="spellStart"/>
      <w:r w:rsidRPr="00566A60">
        <w:rPr>
          <w:rFonts w:cstheme="minorHAnsi"/>
          <w:sz w:val="25"/>
          <w:szCs w:val="25"/>
        </w:rPr>
        <w:t>Yakeley</w:t>
      </w:r>
      <w:proofErr w:type="spellEnd"/>
      <w:r w:rsidRPr="00566A60">
        <w:rPr>
          <w:rFonts w:cstheme="minorHAnsi"/>
          <w:sz w:val="25"/>
          <w:szCs w:val="25"/>
        </w:rPr>
        <w:t xml:space="preserve"> (2019) states the ‘duty to cooperate’ clause was implemented by the Criminal Justice Act 2003 for various agencies involved in MAPPA, apart from the police, probation, and prison services. The purpose of this clause was to improve collaboration among these agencies in evaluating and handling risks. It aimed to allow every agency with a valid interest to contribute fully according to its existing statutory role and functions, in a manner that complements the efforts of other agencies. </w:t>
      </w:r>
    </w:p>
    <w:p w14:paraId="5F42FC5E" w14:textId="77777777" w:rsidR="006C75C3" w:rsidRPr="00566A60" w:rsidRDefault="006C75C3" w:rsidP="006C75C3">
      <w:pPr>
        <w:spacing w:line="360" w:lineRule="auto"/>
        <w:rPr>
          <w:rFonts w:cstheme="minorHAnsi"/>
          <w:sz w:val="25"/>
          <w:szCs w:val="25"/>
        </w:rPr>
      </w:pPr>
      <w:r w:rsidRPr="00566A60">
        <w:rPr>
          <w:rFonts w:cstheme="minorHAnsi"/>
          <w:sz w:val="25"/>
          <w:szCs w:val="25"/>
        </w:rPr>
        <w:t>The collaboration of various agencies within MAPPA, enhances more information sharing by facilitating the development of a joint and well-informed approach to manging the risk of offenders to prevent grooming and further reoffending. Furthermore, the disclosure of new information about the offender by other agencies, will contribute to the protection of others by ensuring that everyone is informed. Through sharing this information across all agencies, the collective risk posed by offenders can be minimised, thus improving the overall management of these individuals. Regular meetings are often held to provide an opportunity for all agencies to express any concerns and prioritise the safety of both victims and offenders. The significance of information sharing lies in enabling agencies to collaborate more efficiently in assessing risks and devising effective management strategies.</w:t>
      </w:r>
    </w:p>
    <w:p w14:paraId="3944319F" w14:textId="507ADD5D" w:rsidR="006C75C3" w:rsidRPr="00566A60" w:rsidRDefault="006C75C3" w:rsidP="006C75C3">
      <w:pPr>
        <w:spacing w:line="360" w:lineRule="auto"/>
        <w:rPr>
          <w:rFonts w:cstheme="minorHAnsi"/>
          <w:sz w:val="25"/>
          <w:szCs w:val="25"/>
        </w:rPr>
      </w:pPr>
      <w:r w:rsidRPr="00566A60">
        <w:rPr>
          <w:rFonts w:cstheme="minorHAnsi"/>
          <w:sz w:val="25"/>
          <w:szCs w:val="25"/>
        </w:rPr>
        <w:t xml:space="preserve">Additionally, partnership approach of MAPPA is considered a crucial element in collaborating with high-risk offenders, providing a valuable contribution through efficient and effective sharing of information, conducting quality risk assessments, and offering supplementary resources for risk management. From agencies effectively </w:t>
      </w:r>
      <w:r w:rsidRPr="00566A60">
        <w:rPr>
          <w:rFonts w:cstheme="minorHAnsi"/>
          <w:sz w:val="25"/>
          <w:szCs w:val="25"/>
        </w:rPr>
        <w:lastRenderedPageBreak/>
        <w:t xml:space="preserve">cooperate and sharing information this has been beneficial in protecting the public to prevent reoffending rates. </w:t>
      </w:r>
    </w:p>
    <w:p w14:paraId="0830846C"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In conclusion, offenders managed under MAPPA, will still carry a risk of reoffending. Additionally, placing conditions on offenders is an effective approach to prevent reoffending. These conditions not only protect the victims but allows agencies to monitor the offenders’ actions closely. Tehrani (2023) states how the absence of proper supervision in managing offenders has been identified as the main contributing factor to reoffending, as emphasised in a review on the offender. Using a multi-agency approach for managing violent and sexual offenders, the offender will have more interactions with agencies.  Sharing information among agencies enables a comprehensive evaluation of risks. By adopting a multi-agency approach, organisations can collaborate and exchange relevant information to mitigate potential harm to the public. Overall, MAPPA is an effective approach as a means of managing violent and sexual </w:t>
      </w:r>
      <w:proofErr w:type="gramStart"/>
      <w:r w:rsidRPr="00566A60">
        <w:rPr>
          <w:rFonts w:cstheme="minorHAnsi"/>
          <w:sz w:val="25"/>
          <w:szCs w:val="25"/>
        </w:rPr>
        <w:t>offenders, if</w:t>
      </w:r>
      <w:proofErr w:type="gramEnd"/>
      <w:r w:rsidRPr="00566A60">
        <w:rPr>
          <w:rFonts w:cstheme="minorHAnsi"/>
          <w:sz w:val="25"/>
          <w:szCs w:val="25"/>
        </w:rPr>
        <w:t xml:space="preserve"> the reoffending rates continue to decrease. </w:t>
      </w:r>
    </w:p>
    <w:p w14:paraId="4854C6AD" w14:textId="77777777" w:rsidR="006C75C3" w:rsidRPr="00566A60" w:rsidRDefault="006C75C3" w:rsidP="006C75C3">
      <w:pPr>
        <w:spacing w:line="360" w:lineRule="auto"/>
        <w:rPr>
          <w:rFonts w:cstheme="minorHAnsi"/>
          <w:b/>
          <w:bCs/>
          <w:sz w:val="25"/>
          <w:szCs w:val="25"/>
        </w:rPr>
      </w:pPr>
    </w:p>
    <w:p w14:paraId="7756B176" w14:textId="77777777" w:rsidR="006C75C3" w:rsidRPr="00566A60" w:rsidRDefault="006C75C3" w:rsidP="006C75C3">
      <w:pPr>
        <w:spacing w:line="360" w:lineRule="auto"/>
        <w:rPr>
          <w:rFonts w:cstheme="minorHAnsi"/>
          <w:b/>
          <w:bCs/>
          <w:sz w:val="25"/>
          <w:szCs w:val="25"/>
        </w:rPr>
      </w:pPr>
      <w:r w:rsidRPr="00566A60">
        <w:rPr>
          <w:rFonts w:cstheme="minorHAnsi"/>
          <w:b/>
          <w:bCs/>
          <w:sz w:val="25"/>
          <w:szCs w:val="25"/>
        </w:rPr>
        <w:t>Word count: 1070</w:t>
      </w:r>
    </w:p>
    <w:p w14:paraId="3112D882" w14:textId="53E2FB2B" w:rsidR="00DD7F32" w:rsidRPr="00566A60" w:rsidRDefault="00DD7F32" w:rsidP="006C75C3">
      <w:pPr>
        <w:spacing w:line="360" w:lineRule="auto"/>
        <w:rPr>
          <w:rFonts w:cstheme="minorHAnsi"/>
          <w:b/>
          <w:bCs/>
          <w:sz w:val="25"/>
          <w:szCs w:val="25"/>
        </w:rPr>
      </w:pPr>
    </w:p>
    <w:p w14:paraId="45CA91D6" w14:textId="0749AA31" w:rsidR="006C75C3" w:rsidRPr="00566A60" w:rsidRDefault="006C75C3" w:rsidP="006C75C3">
      <w:pPr>
        <w:spacing w:line="360" w:lineRule="auto"/>
        <w:rPr>
          <w:rFonts w:cstheme="minorHAnsi"/>
          <w:b/>
          <w:bCs/>
          <w:sz w:val="25"/>
          <w:szCs w:val="25"/>
        </w:rPr>
      </w:pPr>
    </w:p>
    <w:p w14:paraId="202A1396" w14:textId="77777777" w:rsidR="006C75C3" w:rsidRPr="00566A60" w:rsidRDefault="006C75C3" w:rsidP="006C75C3">
      <w:pPr>
        <w:spacing w:line="360" w:lineRule="auto"/>
        <w:rPr>
          <w:rFonts w:cstheme="minorHAnsi"/>
          <w:b/>
          <w:bCs/>
          <w:sz w:val="25"/>
          <w:szCs w:val="25"/>
        </w:rPr>
      </w:pPr>
      <w:r w:rsidRPr="00566A60">
        <w:rPr>
          <w:rFonts w:cstheme="minorHAnsi"/>
          <w:b/>
          <w:bCs/>
          <w:sz w:val="25"/>
          <w:szCs w:val="25"/>
        </w:rPr>
        <w:t xml:space="preserve">To what extent is ‘lifestyle’ theory an accurate reflection of what makes certain people vulnerable to becoming a victim of Serious and Organised Crime? </w:t>
      </w:r>
    </w:p>
    <w:p w14:paraId="214F018C" w14:textId="445985DD" w:rsidR="00B9379F" w:rsidRPr="00566A60" w:rsidRDefault="00B9379F" w:rsidP="006C75C3">
      <w:pPr>
        <w:spacing w:line="360" w:lineRule="auto"/>
        <w:rPr>
          <w:rFonts w:cstheme="minorHAnsi"/>
          <w:b/>
          <w:bCs/>
          <w:sz w:val="25"/>
          <w:szCs w:val="25"/>
        </w:rPr>
      </w:pPr>
    </w:p>
    <w:p w14:paraId="02B62624" w14:textId="148B17DF" w:rsidR="006C75C3" w:rsidRPr="00566A60" w:rsidRDefault="006C75C3" w:rsidP="006C75C3">
      <w:pPr>
        <w:spacing w:line="360" w:lineRule="auto"/>
        <w:rPr>
          <w:rFonts w:cstheme="minorHAnsi"/>
          <w:sz w:val="25"/>
          <w:szCs w:val="25"/>
        </w:rPr>
      </w:pPr>
      <w:r w:rsidRPr="00566A60">
        <w:rPr>
          <w:rFonts w:cstheme="minorHAnsi"/>
          <w:color w:val="2A2A2A"/>
          <w:sz w:val="25"/>
          <w:szCs w:val="25"/>
          <w:shd w:val="clear" w:color="auto" w:fill="FFFFFF"/>
        </w:rPr>
        <w:t>Wh</w:t>
      </w:r>
      <w:r w:rsidRPr="00566A60">
        <w:rPr>
          <w:rFonts w:cstheme="minorHAnsi"/>
          <w:color w:val="2A2A2A"/>
          <w:sz w:val="25"/>
          <w:szCs w:val="25"/>
          <w:shd w:val="clear" w:color="auto" w:fill="FFFFFF"/>
        </w:rPr>
        <w:t xml:space="preserve">en considering victimisation, ‘lifestyle’ theories often come down to the significance exposure to high-risk environments, locations, and the individual. </w:t>
      </w:r>
      <w:r w:rsidRPr="00566A60">
        <w:rPr>
          <w:rFonts w:cstheme="minorHAnsi"/>
          <w:sz w:val="25"/>
          <w:szCs w:val="25"/>
        </w:rPr>
        <w:t xml:space="preserve">The psychological and socio-economic characteristics inherent in people’s lifestyles may give them susceptible to becoming victims of serious and organised crime. Often this will be down to the victim’s vulnerabilities, becoming the ideal target to offenders.   </w:t>
      </w:r>
    </w:p>
    <w:p w14:paraId="16B5577C" w14:textId="371F8CBF" w:rsidR="006C75C3" w:rsidRPr="00566A60" w:rsidRDefault="006C75C3" w:rsidP="006C75C3">
      <w:pPr>
        <w:spacing w:line="360" w:lineRule="auto"/>
        <w:rPr>
          <w:rFonts w:cstheme="minorHAnsi"/>
          <w:color w:val="000000"/>
          <w:sz w:val="25"/>
          <w:szCs w:val="25"/>
          <w:shd w:val="clear" w:color="auto" w:fill="FFFFFF"/>
        </w:rPr>
      </w:pPr>
      <w:r w:rsidRPr="00566A60">
        <w:rPr>
          <w:rFonts w:cstheme="minorHAnsi"/>
          <w:color w:val="000000"/>
          <w:sz w:val="25"/>
          <w:szCs w:val="25"/>
          <w:shd w:val="clear" w:color="auto" w:fill="FFFFFF"/>
        </w:rPr>
        <w:lastRenderedPageBreak/>
        <w:t xml:space="preserve">The likelihood of an offender committing a serious and organised crime against an individual is greater if that individual’s lifestyle puts them at risk. Pratt and </w:t>
      </w:r>
      <w:proofErr w:type="spellStart"/>
      <w:r w:rsidRPr="00566A60">
        <w:rPr>
          <w:rFonts w:cstheme="minorHAnsi"/>
          <w:color w:val="000000"/>
          <w:sz w:val="25"/>
          <w:szCs w:val="25"/>
          <w:shd w:val="clear" w:color="auto" w:fill="FFFFFF"/>
        </w:rPr>
        <w:t>Turanvoix</w:t>
      </w:r>
      <w:proofErr w:type="spellEnd"/>
      <w:r w:rsidRPr="00566A60">
        <w:rPr>
          <w:rFonts w:cstheme="minorHAnsi"/>
          <w:color w:val="000000"/>
          <w:sz w:val="25"/>
          <w:szCs w:val="25"/>
          <w:shd w:val="clear" w:color="auto" w:fill="FFFFFF"/>
        </w:rPr>
        <w:t xml:space="preserve"> (2015) states how Cohen and Felson’s, have argued that the absence of a motivated offender, suitable targets, and a capable guardian is enough to hinder the successful execution of a direct-contact predatory crime.</w:t>
      </w:r>
      <w:r w:rsidRPr="00566A60">
        <w:rPr>
          <w:rFonts w:cstheme="minorHAnsi"/>
          <w:color w:val="333333"/>
          <w:sz w:val="25"/>
          <w:szCs w:val="25"/>
        </w:rPr>
        <w:t xml:space="preserve"> According to </w:t>
      </w:r>
      <w:r w:rsidRPr="00566A60">
        <w:rPr>
          <w:rFonts w:cstheme="minorHAnsi"/>
          <w:color w:val="000000"/>
          <w:sz w:val="25"/>
          <w:szCs w:val="25"/>
          <w:shd w:val="clear" w:color="auto" w:fill="FFFFFF"/>
        </w:rPr>
        <w:t xml:space="preserve">Routine activity theory an offender is more likely to commit a crime if they believe they can get away with it and there is no one present to protect the victim, which links back to the absence of a capable guardian. </w:t>
      </w:r>
      <w:r w:rsidRPr="00566A60">
        <w:rPr>
          <w:rFonts w:cstheme="minorHAnsi"/>
          <w:color w:val="333333"/>
          <w:sz w:val="25"/>
          <w:szCs w:val="25"/>
        </w:rPr>
        <w:t>Often an individual’s engagement in certain behaviours can inadvertently put them at risk of being a victim, suggesting ‘lifestyle’ theory can be an accurate reflection on what makes a person vulnerable of becoming a victim of crime.</w:t>
      </w:r>
    </w:p>
    <w:p w14:paraId="45E9F608"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Due to the power imbalance, frequently vulnerable adults are targeted by county lines to be exploited for criminal purposes such as drug running or storing the drugs. These individuals are manipulated and coerced into relinquishing their homes, for criminal activity to take place. This is known as ‘Cuckooing.’ The perpetrators may resort to force and violence to achieve their goals, taking advantage of the victim’s vulnerabilities. Often the offender knows the victim due to having a relationship with the victim or from friends or family, they are aware these victims are vulnerable in which they become an easy target. </w:t>
      </w:r>
    </w:p>
    <w:p w14:paraId="3B905D69"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Spicer, Moyle and </w:t>
      </w:r>
      <w:proofErr w:type="spellStart"/>
      <w:r w:rsidRPr="00566A60">
        <w:rPr>
          <w:rFonts w:cstheme="minorHAnsi"/>
          <w:sz w:val="25"/>
          <w:szCs w:val="25"/>
        </w:rPr>
        <w:t>Coomber</w:t>
      </w:r>
      <w:proofErr w:type="spellEnd"/>
      <w:r w:rsidRPr="00566A60">
        <w:rPr>
          <w:rFonts w:cstheme="minorHAnsi"/>
          <w:sz w:val="25"/>
          <w:szCs w:val="25"/>
        </w:rPr>
        <w:t xml:space="preserve"> (2020) explains how offenders, usually target individuals who are at a disadvantage. In addition to this, the individuals who have reported having their homes taken over by the offenders are those who struggle with drug addiction, disabilities, mental health problems, and the elderly.</w:t>
      </w:r>
    </w:p>
    <w:p w14:paraId="2C5C4A15"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These individuals are after socially isolation, experience loneliness, depend on others, have disabilities, face financial deprivation, and yearn for a sense of belonging. These offenders are often cognisant of these circumstances, which further exposes the victims to vulnerability and makes them easy targets for exploitation.  </w:t>
      </w:r>
    </w:p>
    <w:p w14:paraId="77C1C53C"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Over recent years the percentage of young people who get involved with gangs have increased, there is also a considerable risk of people getting exposed to violence relating to gangs. There are often factors to why people become involved in street gangs </w:t>
      </w:r>
      <w:r w:rsidRPr="00566A60">
        <w:rPr>
          <w:rFonts w:cstheme="minorHAnsi"/>
          <w:sz w:val="25"/>
          <w:szCs w:val="25"/>
        </w:rPr>
        <w:lastRenderedPageBreak/>
        <w:t xml:space="preserve">whether this is down to socio-economic factors or psychological factors. Annan, </w:t>
      </w:r>
      <w:proofErr w:type="spellStart"/>
      <w:r w:rsidRPr="00566A60">
        <w:rPr>
          <w:rFonts w:cstheme="minorHAnsi"/>
          <w:sz w:val="25"/>
          <w:szCs w:val="25"/>
        </w:rPr>
        <w:t>Gaoua</w:t>
      </w:r>
      <w:proofErr w:type="spellEnd"/>
      <w:r w:rsidRPr="00566A60">
        <w:rPr>
          <w:rFonts w:cstheme="minorHAnsi"/>
          <w:sz w:val="25"/>
          <w:szCs w:val="25"/>
        </w:rPr>
        <w:t xml:space="preserve">, </w:t>
      </w:r>
      <w:proofErr w:type="spellStart"/>
      <w:r w:rsidRPr="00566A60">
        <w:rPr>
          <w:rFonts w:cstheme="minorHAnsi"/>
          <w:sz w:val="25"/>
          <w:szCs w:val="25"/>
        </w:rPr>
        <w:t>Mileva</w:t>
      </w:r>
      <w:proofErr w:type="spellEnd"/>
      <w:r w:rsidRPr="00566A60">
        <w:rPr>
          <w:rFonts w:cstheme="minorHAnsi"/>
          <w:sz w:val="25"/>
          <w:szCs w:val="25"/>
        </w:rPr>
        <w:t xml:space="preserve"> and </w:t>
      </w:r>
      <w:proofErr w:type="spellStart"/>
      <w:r w:rsidRPr="00566A60">
        <w:rPr>
          <w:rFonts w:cstheme="minorHAnsi"/>
          <w:sz w:val="25"/>
          <w:szCs w:val="25"/>
        </w:rPr>
        <w:t>Broges</w:t>
      </w:r>
      <w:proofErr w:type="spellEnd"/>
      <w:r w:rsidRPr="00566A60">
        <w:rPr>
          <w:rFonts w:cstheme="minorHAnsi"/>
          <w:sz w:val="25"/>
          <w:szCs w:val="25"/>
        </w:rPr>
        <w:t xml:space="preserve"> (2021) explains how certain children are more susceptible to risk in early life due to biological predispositions and sociocultural contexts. However, the experiences they have with their parents, peers, and social institutions play a significant role in shaping their mental processing as adolescents. These experiences can either amplify or moderate the level of risk they face. It is well-established that low self-efficacy and poverty will make young individuals more vulnerable to being targeted and influenced by older gang members.</w:t>
      </w:r>
    </w:p>
    <w:p w14:paraId="5FB88E19" w14:textId="77777777" w:rsidR="006C75C3" w:rsidRPr="00566A60" w:rsidRDefault="006C75C3" w:rsidP="006C75C3">
      <w:pPr>
        <w:spacing w:line="360" w:lineRule="auto"/>
        <w:rPr>
          <w:rFonts w:cstheme="minorHAnsi"/>
          <w:color w:val="000000"/>
          <w:sz w:val="25"/>
          <w:szCs w:val="25"/>
          <w:shd w:val="clear" w:color="auto" w:fill="FFFFFF"/>
        </w:rPr>
      </w:pPr>
      <w:r w:rsidRPr="00566A60">
        <w:rPr>
          <w:rFonts w:cstheme="minorHAnsi"/>
          <w:color w:val="000000"/>
          <w:sz w:val="25"/>
          <w:szCs w:val="25"/>
          <w:shd w:val="clear" w:color="auto" w:fill="FFFFFF"/>
        </w:rPr>
        <w:t xml:space="preserve"> There are numerous factors that contribute to the involvement of young people in gangs. One such factor is the risk of deprivation or residing in a deprived area, which may arise from financial difficulties at home. In such circumstances, a young person may believe that joining a gang will provide them with more financial opportunities, such as engaging in drug sales and committing crime to receive a gift or money.  This is also called as county lines. </w:t>
      </w:r>
    </w:p>
    <w:p w14:paraId="4630464C" w14:textId="77777777" w:rsidR="006C75C3" w:rsidRPr="00566A60" w:rsidRDefault="006C75C3" w:rsidP="006C75C3">
      <w:pPr>
        <w:spacing w:line="360" w:lineRule="auto"/>
        <w:rPr>
          <w:rFonts w:cstheme="minorHAnsi"/>
          <w:color w:val="2A2A2A"/>
          <w:sz w:val="25"/>
          <w:szCs w:val="25"/>
          <w:shd w:val="clear" w:color="auto" w:fill="FFFFFF"/>
        </w:rPr>
      </w:pPr>
      <w:r w:rsidRPr="00566A60">
        <w:rPr>
          <w:rFonts w:cstheme="minorHAnsi"/>
          <w:color w:val="000000"/>
          <w:sz w:val="25"/>
          <w:szCs w:val="25"/>
          <w:shd w:val="clear" w:color="auto" w:fill="FFFFFF"/>
        </w:rPr>
        <w:t xml:space="preserve">Children become involved in county lines once recruited by the drug dealers. These dealers have </w:t>
      </w:r>
      <w:r w:rsidRPr="00566A60">
        <w:rPr>
          <w:rFonts w:cstheme="minorHAnsi"/>
          <w:color w:val="2A2A2A"/>
          <w:sz w:val="25"/>
          <w:szCs w:val="25"/>
          <w:shd w:val="clear" w:color="auto" w:fill="FFFFFF"/>
        </w:rPr>
        <w:t xml:space="preserve">money, </w:t>
      </w:r>
      <w:proofErr w:type="gramStart"/>
      <w:r w:rsidRPr="00566A60">
        <w:rPr>
          <w:rFonts w:cstheme="minorHAnsi"/>
          <w:color w:val="2A2A2A"/>
          <w:sz w:val="25"/>
          <w:szCs w:val="25"/>
          <w:shd w:val="clear" w:color="auto" w:fill="FFFFFF"/>
        </w:rPr>
        <w:t>status</w:t>
      </w:r>
      <w:proofErr w:type="gramEnd"/>
      <w:r w:rsidRPr="00566A60">
        <w:rPr>
          <w:rFonts w:cstheme="minorHAnsi"/>
          <w:color w:val="2A2A2A"/>
          <w:sz w:val="25"/>
          <w:szCs w:val="25"/>
          <w:shd w:val="clear" w:color="auto" w:fill="FFFFFF"/>
        </w:rPr>
        <w:t xml:space="preserve"> and power which these children do not have. Dando, Ormerod and Atkinson-Sheppard (2022) stated how majority of the children targeted for county lines are those who are under care of guardians, children leaving disorganised lives, chaotic lives, who have had multiple adverse childhood experiences and children whose parents are suffer from mental health issues, drug, or alcohol dependency. These children will want a sense of belonging or status and will be a suitable target to offenders due to their characteristics.</w:t>
      </w:r>
    </w:p>
    <w:p w14:paraId="0832AE10" w14:textId="506740D8" w:rsidR="006C75C3" w:rsidRPr="00566A60" w:rsidRDefault="006C75C3" w:rsidP="006C75C3">
      <w:pPr>
        <w:spacing w:line="360" w:lineRule="auto"/>
        <w:rPr>
          <w:rFonts w:cstheme="minorHAnsi"/>
          <w:color w:val="2A2A2A"/>
          <w:sz w:val="25"/>
          <w:szCs w:val="25"/>
          <w:shd w:val="clear" w:color="auto" w:fill="FFFFFF"/>
        </w:rPr>
      </w:pPr>
      <w:r w:rsidRPr="00566A60">
        <w:rPr>
          <w:rFonts w:cstheme="minorHAnsi"/>
          <w:color w:val="2A2A2A"/>
          <w:sz w:val="25"/>
          <w:szCs w:val="25"/>
          <w:shd w:val="clear" w:color="auto" w:fill="FFFFFF"/>
        </w:rPr>
        <w:t xml:space="preserve">Additionally, these children may coerce into being recruited into county lines if they have debt bondage and are unable to pay back the dealers.  </w:t>
      </w:r>
    </w:p>
    <w:p w14:paraId="1B4C457A" w14:textId="77777777" w:rsidR="006C75C3" w:rsidRPr="00566A60" w:rsidRDefault="006C75C3" w:rsidP="006C75C3">
      <w:pPr>
        <w:spacing w:line="360" w:lineRule="auto"/>
        <w:rPr>
          <w:rFonts w:cstheme="minorHAnsi"/>
          <w:color w:val="000000"/>
          <w:sz w:val="25"/>
          <w:szCs w:val="25"/>
          <w:shd w:val="clear" w:color="auto" w:fill="FFFFFF"/>
        </w:rPr>
      </w:pPr>
      <w:r w:rsidRPr="00566A60">
        <w:rPr>
          <w:rFonts w:cstheme="minorHAnsi"/>
          <w:color w:val="2A2A2A"/>
          <w:sz w:val="25"/>
          <w:szCs w:val="25"/>
          <w:shd w:val="clear" w:color="auto" w:fill="FFFFFF"/>
        </w:rPr>
        <w:t xml:space="preserve">Children with these lifestyles will crave </w:t>
      </w:r>
      <w:r w:rsidRPr="00566A60">
        <w:rPr>
          <w:rFonts w:cstheme="minorHAnsi"/>
          <w:color w:val="000000"/>
          <w:sz w:val="25"/>
          <w:szCs w:val="25"/>
          <w:shd w:val="clear" w:color="auto" w:fill="FFFFFF"/>
        </w:rPr>
        <w:t xml:space="preserve">for status and belonging. Children who are being recruited into county lines, may have the misguided belief their lives will improve, despite the fact, these drug dealers will manipulate, coerce, and intimate these children. Once a child is recruited into county lines, they often go missing for weeks on end and will be controlled through a mobile phone. Windle, Moyle and </w:t>
      </w:r>
      <w:proofErr w:type="spellStart"/>
      <w:r w:rsidRPr="00566A60">
        <w:rPr>
          <w:rFonts w:cstheme="minorHAnsi"/>
          <w:color w:val="000000"/>
          <w:sz w:val="25"/>
          <w:szCs w:val="25"/>
          <w:shd w:val="clear" w:color="auto" w:fill="FFFFFF"/>
        </w:rPr>
        <w:t>Coomber</w:t>
      </w:r>
      <w:proofErr w:type="spellEnd"/>
      <w:r w:rsidRPr="00566A60">
        <w:rPr>
          <w:rFonts w:cstheme="minorHAnsi"/>
          <w:color w:val="000000"/>
          <w:sz w:val="25"/>
          <w:szCs w:val="25"/>
          <w:shd w:val="clear" w:color="auto" w:fill="FFFFFF"/>
        </w:rPr>
        <w:t xml:space="preserve"> (2020, p.69) </w:t>
      </w:r>
      <w:r w:rsidRPr="00566A60">
        <w:rPr>
          <w:rFonts w:cstheme="minorHAnsi"/>
          <w:color w:val="000000"/>
          <w:sz w:val="25"/>
          <w:szCs w:val="25"/>
          <w:shd w:val="clear" w:color="auto" w:fill="FFFFFF"/>
        </w:rPr>
        <w:lastRenderedPageBreak/>
        <w:t xml:space="preserve">states “On average boys went missing for two weeks” Windle, Moyle and </w:t>
      </w:r>
      <w:proofErr w:type="spellStart"/>
      <w:r w:rsidRPr="00566A60">
        <w:rPr>
          <w:rFonts w:cstheme="minorHAnsi"/>
          <w:color w:val="000000"/>
          <w:sz w:val="25"/>
          <w:szCs w:val="25"/>
          <w:shd w:val="clear" w:color="auto" w:fill="FFFFFF"/>
        </w:rPr>
        <w:t>Coomber</w:t>
      </w:r>
      <w:proofErr w:type="spellEnd"/>
      <w:r w:rsidRPr="00566A60">
        <w:rPr>
          <w:rFonts w:cstheme="minorHAnsi"/>
          <w:color w:val="000000"/>
          <w:sz w:val="25"/>
          <w:szCs w:val="25"/>
          <w:shd w:val="clear" w:color="auto" w:fill="FFFFFF"/>
        </w:rPr>
        <w:t xml:space="preserve"> (2020, p.69) goes on to explain “one in nice children are hurt while away from home.” These children will be known as ‘runners.’ Their new lifestyle will consist of emotional and physical abuse and subjected to control through threats or acts of violence. County lines will have various impacts on these children’s lives, including education prospects and career choices. The probability of those individuals subsequently becoming involved in the criminal justice system is significant </w:t>
      </w:r>
      <w:proofErr w:type="gramStart"/>
      <w:r w:rsidRPr="00566A60">
        <w:rPr>
          <w:rFonts w:cstheme="minorHAnsi"/>
          <w:color w:val="000000"/>
          <w:sz w:val="25"/>
          <w:szCs w:val="25"/>
          <w:shd w:val="clear" w:color="auto" w:fill="FFFFFF"/>
        </w:rPr>
        <w:t>as a result of</w:t>
      </w:r>
      <w:proofErr w:type="gramEnd"/>
      <w:r w:rsidRPr="00566A60">
        <w:rPr>
          <w:rFonts w:cstheme="minorHAnsi"/>
          <w:color w:val="000000"/>
          <w:sz w:val="25"/>
          <w:szCs w:val="25"/>
          <w:shd w:val="clear" w:color="auto" w:fill="FFFFFF"/>
        </w:rPr>
        <w:t xml:space="preserve"> the violence they have been subjected to. This will become the new lifestyle of these children, becoming the norm for them.</w:t>
      </w:r>
    </w:p>
    <w:p w14:paraId="58120C7F" w14:textId="77777777" w:rsidR="006C75C3" w:rsidRPr="00566A60" w:rsidRDefault="006C75C3" w:rsidP="006C75C3">
      <w:pPr>
        <w:spacing w:line="360" w:lineRule="auto"/>
        <w:rPr>
          <w:rFonts w:cstheme="minorHAnsi"/>
          <w:color w:val="000000"/>
          <w:sz w:val="25"/>
          <w:szCs w:val="25"/>
          <w:shd w:val="clear" w:color="auto" w:fill="FFFFFF"/>
        </w:rPr>
      </w:pPr>
      <w:r w:rsidRPr="00566A60">
        <w:rPr>
          <w:rFonts w:cstheme="minorHAnsi"/>
          <w:color w:val="000000"/>
          <w:sz w:val="25"/>
          <w:szCs w:val="25"/>
          <w:shd w:val="clear" w:color="auto" w:fill="FFFFFF"/>
        </w:rPr>
        <w:t>In conclusion there are many factors which put people at risk of being exposed to victimisation and this is often down to their lifestyle choices. A motivated offender will target a suitable victim whether this is down to vulnerability or their lifestyle choices. These victims become an ideal target for offenders when committing the serious and organised crime, due to having the power to manipulate, coercive and take advantage of. Offenders will often use victims who have a lack of knowledge, awareness and in absence of a capable guardian. Regularly Victims are subjected to significant risk, harm and often put into dangerous situations. ‘Lifestyle’ theory is therefore accurate reflection of what makes certain people vulnerable to becoming a victim of serious and organised crime, some more vulnerable than others.</w:t>
      </w:r>
    </w:p>
    <w:p w14:paraId="4776404C" w14:textId="77777777" w:rsidR="006C75C3" w:rsidRPr="00566A60" w:rsidRDefault="006C75C3" w:rsidP="006C75C3">
      <w:pPr>
        <w:spacing w:line="360" w:lineRule="auto"/>
        <w:rPr>
          <w:rFonts w:cstheme="minorHAnsi"/>
          <w:sz w:val="25"/>
          <w:szCs w:val="25"/>
          <w:shd w:val="clear" w:color="auto" w:fill="FFFFFF"/>
        </w:rPr>
      </w:pPr>
    </w:p>
    <w:p w14:paraId="1E8D8D7C" w14:textId="77777777" w:rsidR="006C75C3" w:rsidRPr="00566A60" w:rsidRDefault="006C75C3" w:rsidP="006C75C3">
      <w:pPr>
        <w:spacing w:line="360" w:lineRule="auto"/>
        <w:rPr>
          <w:rFonts w:cstheme="minorHAnsi"/>
          <w:sz w:val="25"/>
          <w:szCs w:val="25"/>
          <w:shd w:val="clear" w:color="auto" w:fill="FFFFFF"/>
        </w:rPr>
      </w:pPr>
    </w:p>
    <w:p w14:paraId="37799AC6" w14:textId="77777777" w:rsidR="006C75C3" w:rsidRPr="00566A60" w:rsidRDefault="006C75C3" w:rsidP="006C75C3">
      <w:pPr>
        <w:spacing w:line="360" w:lineRule="auto"/>
        <w:rPr>
          <w:rFonts w:cstheme="minorHAnsi"/>
          <w:sz w:val="25"/>
          <w:szCs w:val="25"/>
        </w:rPr>
      </w:pPr>
      <w:r w:rsidRPr="00566A60">
        <w:rPr>
          <w:rFonts w:cstheme="minorHAnsi"/>
          <w:b/>
          <w:bCs/>
          <w:sz w:val="25"/>
          <w:szCs w:val="25"/>
        </w:rPr>
        <w:t>Word count</w:t>
      </w:r>
      <w:r w:rsidRPr="00566A60">
        <w:rPr>
          <w:rFonts w:cstheme="minorHAnsi"/>
          <w:sz w:val="25"/>
          <w:szCs w:val="25"/>
        </w:rPr>
        <w:t xml:space="preserve"> - 1072</w:t>
      </w:r>
    </w:p>
    <w:p w14:paraId="3971459A" w14:textId="77777777" w:rsidR="006C75C3" w:rsidRPr="00566A60" w:rsidRDefault="006C75C3" w:rsidP="006C75C3">
      <w:pPr>
        <w:spacing w:line="360" w:lineRule="auto"/>
        <w:rPr>
          <w:rFonts w:cstheme="minorHAnsi"/>
          <w:b/>
          <w:bCs/>
          <w:sz w:val="25"/>
          <w:szCs w:val="25"/>
        </w:rPr>
      </w:pPr>
    </w:p>
    <w:p w14:paraId="338F2A25" w14:textId="343F50E6" w:rsidR="00B9379F" w:rsidRPr="00566A60" w:rsidRDefault="00B9379F" w:rsidP="006C75C3">
      <w:pPr>
        <w:spacing w:line="360" w:lineRule="auto"/>
        <w:rPr>
          <w:rFonts w:cstheme="minorHAnsi"/>
          <w:b/>
          <w:bCs/>
          <w:sz w:val="25"/>
          <w:szCs w:val="25"/>
        </w:rPr>
      </w:pPr>
    </w:p>
    <w:p w14:paraId="7C0F618A" w14:textId="77777777" w:rsidR="00566A60" w:rsidRPr="00566A60" w:rsidRDefault="00566A60" w:rsidP="006C75C3">
      <w:pPr>
        <w:spacing w:line="360" w:lineRule="auto"/>
        <w:rPr>
          <w:rFonts w:cstheme="minorHAnsi"/>
          <w:b/>
          <w:bCs/>
          <w:sz w:val="25"/>
          <w:szCs w:val="25"/>
        </w:rPr>
      </w:pPr>
    </w:p>
    <w:p w14:paraId="5C141250" w14:textId="7D7703C3" w:rsidR="006C75C3" w:rsidRPr="00566A60" w:rsidRDefault="006C75C3" w:rsidP="006C75C3">
      <w:pPr>
        <w:spacing w:line="360" w:lineRule="auto"/>
        <w:rPr>
          <w:rFonts w:cstheme="minorHAnsi"/>
          <w:b/>
          <w:bCs/>
          <w:sz w:val="25"/>
          <w:szCs w:val="25"/>
        </w:rPr>
      </w:pPr>
      <w:r w:rsidRPr="00566A60">
        <w:rPr>
          <w:rFonts w:cstheme="minorHAnsi"/>
          <w:b/>
          <w:bCs/>
          <w:sz w:val="25"/>
          <w:szCs w:val="25"/>
        </w:rPr>
        <w:t xml:space="preserve">Why </w:t>
      </w:r>
      <w:proofErr w:type="gramStart"/>
      <w:r w:rsidRPr="00566A60">
        <w:rPr>
          <w:rFonts w:cstheme="minorHAnsi"/>
          <w:b/>
          <w:bCs/>
          <w:sz w:val="25"/>
          <w:szCs w:val="25"/>
        </w:rPr>
        <w:t>is</w:t>
      </w:r>
      <w:proofErr w:type="gramEnd"/>
      <w:r w:rsidRPr="00566A60">
        <w:rPr>
          <w:rFonts w:cstheme="minorHAnsi"/>
          <w:b/>
          <w:bCs/>
          <w:sz w:val="25"/>
          <w:szCs w:val="25"/>
        </w:rPr>
        <w:t xml:space="preserve"> a partnership approach the most effective way of preventing re-offending?</w:t>
      </w:r>
      <w:bookmarkStart w:id="0" w:name="_Hlk150197629"/>
    </w:p>
    <w:p w14:paraId="59D83B36" w14:textId="77777777" w:rsidR="00566A60" w:rsidRPr="00566A60" w:rsidRDefault="00566A60" w:rsidP="006C75C3">
      <w:pPr>
        <w:spacing w:line="360" w:lineRule="auto"/>
        <w:rPr>
          <w:rFonts w:cstheme="minorHAnsi"/>
          <w:b/>
          <w:bCs/>
          <w:sz w:val="25"/>
          <w:szCs w:val="25"/>
        </w:rPr>
      </w:pPr>
    </w:p>
    <w:p w14:paraId="090F7D14" w14:textId="77777777" w:rsidR="006C75C3" w:rsidRPr="00566A60" w:rsidRDefault="006C75C3" w:rsidP="006C75C3">
      <w:pPr>
        <w:spacing w:line="360" w:lineRule="auto"/>
        <w:rPr>
          <w:rFonts w:cstheme="minorHAnsi"/>
          <w:sz w:val="25"/>
          <w:szCs w:val="25"/>
        </w:rPr>
      </w:pPr>
      <w:r w:rsidRPr="00566A60">
        <w:rPr>
          <w:rFonts w:cstheme="minorHAnsi"/>
          <w:sz w:val="25"/>
          <w:szCs w:val="25"/>
        </w:rPr>
        <w:lastRenderedPageBreak/>
        <w:t>After an individual is released from prison or has had previous involvement in the criminal justice system, the likelihood of them reoffending is frequently high. Collaborating with various agencies to prevent reoffending has been proven successful, as it provides a wider range of opportunities and perspectives. A partnership approach also facilitates increased engagement with offenders, whether this is, assisting them with housing, drug or alcohol dependency, rehabilitation, resolving financial difficulties, or supporting them with their mental health.</w:t>
      </w:r>
    </w:p>
    <w:p w14:paraId="323E1EF7"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Offenders who are released from prison frequently face a significant risk of homelessness, which will also put them at risk of reoffending. Ellison, Fox, Gains and Pollock (2013) explains housing is frequently mentioned as a contributing factor to reoffending in the UK, affecting both individuals leaving prison and those serving community sentences, which this could be due to a variety of factors. Given these circumstances, it would be beneficial for the prisons service and housing provision to collaborate and have referrals in place before offenders are released from prison. This collaborative effort would aid in accommodating them effectively. </w:t>
      </w:r>
    </w:p>
    <w:p w14:paraId="1436B423" w14:textId="77777777" w:rsidR="006C75C3" w:rsidRPr="00566A60" w:rsidRDefault="006C75C3" w:rsidP="006C75C3">
      <w:pPr>
        <w:spacing w:line="360" w:lineRule="auto"/>
        <w:rPr>
          <w:rFonts w:cstheme="minorHAnsi"/>
          <w:sz w:val="25"/>
          <w:szCs w:val="25"/>
          <w:shd w:val="clear" w:color="auto" w:fill="FFFFFF"/>
        </w:rPr>
      </w:pPr>
      <w:r w:rsidRPr="00566A60">
        <w:rPr>
          <w:rFonts w:cstheme="minorHAnsi"/>
          <w:sz w:val="25"/>
          <w:szCs w:val="25"/>
          <w:shd w:val="clear" w:color="auto" w:fill="FFFFFF"/>
        </w:rPr>
        <w:t>A housing association known as ‘Vision’ in the surrounding areas of London, have been set up to home offenders when released from prison. ‘Vision’ have conducted research for the percentage of re-offending rates for offenders when accommodated.</w:t>
      </w:r>
    </w:p>
    <w:p w14:paraId="11A9645B" w14:textId="77777777" w:rsidR="006C75C3" w:rsidRPr="00566A60" w:rsidRDefault="006C75C3" w:rsidP="006C75C3">
      <w:pPr>
        <w:spacing w:line="360" w:lineRule="auto"/>
        <w:rPr>
          <w:rFonts w:cstheme="minorHAnsi"/>
          <w:sz w:val="25"/>
          <w:szCs w:val="25"/>
          <w:shd w:val="clear" w:color="auto" w:fill="FFFFFF"/>
        </w:rPr>
      </w:pPr>
      <w:r w:rsidRPr="00566A60">
        <w:rPr>
          <w:rFonts w:cstheme="minorHAnsi"/>
          <w:sz w:val="25"/>
          <w:szCs w:val="25"/>
          <w:shd w:val="clear" w:color="auto" w:fill="FFFFFF"/>
        </w:rPr>
        <w:t xml:space="preserve">A study stated by </w:t>
      </w:r>
      <w:r w:rsidRPr="00566A60">
        <w:rPr>
          <w:rFonts w:cstheme="minorHAnsi"/>
          <w:sz w:val="25"/>
          <w:szCs w:val="25"/>
        </w:rPr>
        <w:t>Ellison, Fox, Gains and Pollock (2013)</w:t>
      </w:r>
      <w:r w:rsidRPr="00566A60">
        <w:rPr>
          <w:rFonts w:cstheme="minorHAnsi"/>
          <w:sz w:val="25"/>
          <w:szCs w:val="25"/>
          <w:shd w:val="clear" w:color="auto" w:fill="FFFFFF"/>
        </w:rPr>
        <w:t xml:space="preserve"> was carried whereby the average estimated likelihood of proven re-offending within one year for the 400 vision housing clients who were matched to The Police National Computers (PNC) data was 40.7%, with a standard deviation of 21%. In comparison, the actual proven re-offending rate for the cohort, calculated using PNC data was 37%, with a standard deviation of 48.3%. Therefore, the actual proven re-offending rate is 3.7% lower than the predicated rate. This represents a significant reduction of 9.1% in proven re-offending. </w:t>
      </w:r>
    </w:p>
    <w:p w14:paraId="65F693AE" w14:textId="6C67B556" w:rsidR="006C75C3" w:rsidRPr="00566A60" w:rsidRDefault="006C75C3" w:rsidP="006C75C3">
      <w:pPr>
        <w:spacing w:line="360" w:lineRule="auto"/>
        <w:rPr>
          <w:rFonts w:cstheme="minorHAnsi"/>
          <w:sz w:val="25"/>
          <w:szCs w:val="25"/>
          <w:shd w:val="clear" w:color="auto" w:fill="FFFFFF"/>
        </w:rPr>
      </w:pPr>
      <w:r w:rsidRPr="00566A60">
        <w:rPr>
          <w:rFonts w:cstheme="minorHAnsi"/>
          <w:sz w:val="25"/>
          <w:szCs w:val="25"/>
          <w:shd w:val="clear" w:color="auto" w:fill="FFFFFF"/>
        </w:rPr>
        <w:t xml:space="preserve">There is evident to suggest housing an offender will reduce the rate of reoffending. Not only is ‘vision’ an effective approach but also works with other agencies to advise and signpost individuals if they are unable to house them. ‘Vision’ will also do regular checks in on each resident, whether this is through a phone call or attending the property. This </w:t>
      </w:r>
      <w:r w:rsidRPr="00566A60">
        <w:rPr>
          <w:rFonts w:cstheme="minorHAnsi"/>
          <w:sz w:val="25"/>
          <w:szCs w:val="25"/>
          <w:shd w:val="clear" w:color="auto" w:fill="FFFFFF"/>
        </w:rPr>
        <w:lastRenderedPageBreak/>
        <w:t xml:space="preserve">is beneficial, as through monitoring the resident, offering support and consistent engagement will reduce reoffending rates. In addition, evidence shows when offenders are in a stable accommodation, the risk of reoffending decreases, which also protects the community and members of public, which this partnership approach is highly effective. ‘Vision’ works within the surrounding areas of London, in which this would be beneficial if other areas were to use this, a further decrease in reoffending would occur. </w:t>
      </w:r>
    </w:p>
    <w:p w14:paraId="3F8C68E1"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Restorative justice can also be implemented to deter repeat offenders and prevent reoffending rates. Restorative justice focuses on collaborating with victims, offenders, and the wider community and is in place to med any damage caused by the offender. It has also been proven successful in decreasing reoffending rates and improving victims’ perception of the criminal justice system. Restorative justice is in place to resolve any crime committed, future implications and taking into consideration the victims safety. </w:t>
      </w:r>
    </w:p>
    <w:p w14:paraId="08A06472" w14:textId="77777777" w:rsidR="006C75C3" w:rsidRPr="00566A60" w:rsidRDefault="006C75C3" w:rsidP="006C75C3">
      <w:pPr>
        <w:spacing w:line="360" w:lineRule="auto"/>
        <w:rPr>
          <w:rFonts w:cstheme="minorHAnsi"/>
          <w:sz w:val="25"/>
          <w:szCs w:val="25"/>
        </w:rPr>
      </w:pPr>
      <w:r w:rsidRPr="00566A60">
        <w:rPr>
          <w:rFonts w:cstheme="minorHAnsi"/>
          <w:sz w:val="25"/>
          <w:szCs w:val="25"/>
        </w:rPr>
        <w:t>Restorative justice has the potential to be applied to several types of crimes, although the restorative process may encounter difficulties when dealing with severe offences.</w:t>
      </w:r>
    </w:p>
    <w:p w14:paraId="0C3A21B0"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Restorative justice has been shown to result in lower rates of reoffending, primarily because it is often applied to lower risk offenders to begin with, stated by </w:t>
      </w:r>
      <w:proofErr w:type="spellStart"/>
      <w:r w:rsidRPr="00566A60">
        <w:rPr>
          <w:rFonts w:cstheme="minorHAnsi"/>
          <w:sz w:val="25"/>
          <w:szCs w:val="25"/>
        </w:rPr>
        <w:t>Weatherburn</w:t>
      </w:r>
      <w:proofErr w:type="spellEnd"/>
      <w:r w:rsidRPr="00566A60">
        <w:rPr>
          <w:rFonts w:cstheme="minorHAnsi"/>
          <w:sz w:val="25"/>
          <w:szCs w:val="25"/>
        </w:rPr>
        <w:t xml:space="preserve"> and Macadam (2013). If an offender has a background of committing crimes regular, restorative justice may not be suitable for them. Often police officers can deal with low level or first-time offenders by giving them an out of court disposal. This is an effective approach and have proven a decrease in reoffending rates, offenders are given the opportunity to work with other agencies through awareness courses or engagement sessions or simply apologising to the victim.</w:t>
      </w:r>
    </w:p>
    <w:p w14:paraId="6A8008E4" w14:textId="61A4844C" w:rsidR="006C75C3" w:rsidRPr="00566A60" w:rsidRDefault="006C75C3" w:rsidP="006C75C3">
      <w:pPr>
        <w:spacing w:line="360" w:lineRule="auto"/>
        <w:rPr>
          <w:rFonts w:cstheme="minorHAnsi"/>
          <w:sz w:val="25"/>
          <w:szCs w:val="25"/>
        </w:rPr>
      </w:pPr>
      <w:r w:rsidRPr="00566A60">
        <w:rPr>
          <w:rFonts w:cstheme="minorHAnsi"/>
          <w:sz w:val="25"/>
          <w:szCs w:val="25"/>
        </w:rPr>
        <w:t xml:space="preserve"> To protect the victim, it is important serious crime are dealt with by the right course of action, in which restorative justice may not be the most effective approach for preventing reoffending when dealing with serious offences. </w:t>
      </w:r>
    </w:p>
    <w:p w14:paraId="141B7875" w14:textId="79784E32" w:rsidR="006C75C3" w:rsidRPr="00566A60" w:rsidRDefault="006C75C3" w:rsidP="006C75C3">
      <w:pPr>
        <w:spacing w:line="360" w:lineRule="auto"/>
        <w:rPr>
          <w:rFonts w:cstheme="minorHAnsi"/>
          <w:sz w:val="25"/>
          <w:szCs w:val="25"/>
        </w:rPr>
      </w:pPr>
      <w:r w:rsidRPr="00566A60">
        <w:rPr>
          <w:rFonts w:cstheme="minorHAnsi"/>
          <w:sz w:val="25"/>
          <w:szCs w:val="25"/>
        </w:rPr>
        <w:t xml:space="preserve">Restorative justice will allow offenders to take responsibility for their conduct, occasionally resulting in financial consequences as they will have to pay the cost of their actions. College of policing (2022) states restorative justice has the potential to decrease reoffending rates by holding the offender responsible for their actions and providing </w:t>
      </w:r>
      <w:r w:rsidRPr="00566A60">
        <w:rPr>
          <w:rFonts w:cstheme="minorHAnsi"/>
          <w:sz w:val="25"/>
          <w:szCs w:val="25"/>
        </w:rPr>
        <w:lastRenderedPageBreak/>
        <w:t xml:space="preserve">them with the chance to comprehend the consequences of their behaviour on others. Often this approach, allows victims to actively engage, granting them a voice and the opportunity to express their emotions and concerns. Moreover, it fosters values such as healing for both the offender and the victim. Notably, victims have a significantly greater chance of receiving an apology from the offender when using the restorative justice system, as opposed to going through the courts. </w:t>
      </w:r>
      <w:proofErr w:type="spellStart"/>
      <w:r w:rsidRPr="00566A60">
        <w:rPr>
          <w:rFonts w:cstheme="minorHAnsi"/>
          <w:sz w:val="25"/>
          <w:szCs w:val="25"/>
        </w:rPr>
        <w:t>Weatherburn</w:t>
      </w:r>
      <w:proofErr w:type="spellEnd"/>
      <w:r w:rsidRPr="00566A60">
        <w:rPr>
          <w:rFonts w:cstheme="minorHAnsi"/>
          <w:sz w:val="25"/>
          <w:szCs w:val="25"/>
        </w:rPr>
        <w:t xml:space="preserve"> and Macadam (2013, p.9) states “On the whole, victims who participate in RJ seem to be very satisfied with the process.</w:t>
      </w:r>
      <w:r w:rsidR="00566A60" w:rsidRPr="00566A60">
        <w:rPr>
          <w:rFonts w:cstheme="minorHAnsi"/>
          <w:sz w:val="25"/>
          <w:szCs w:val="25"/>
        </w:rPr>
        <w:t>”</w:t>
      </w:r>
    </w:p>
    <w:p w14:paraId="0C9D2466" w14:textId="175CDB6A" w:rsidR="006C75C3" w:rsidRPr="00566A60" w:rsidRDefault="006C75C3" w:rsidP="006C75C3">
      <w:pPr>
        <w:spacing w:line="360" w:lineRule="auto"/>
        <w:rPr>
          <w:rFonts w:cstheme="minorHAnsi"/>
          <w:sz w:val="25"/>
          <w:szCs w:val="25"/>
        </w:rPr>
      </w:pPr>
      <w:r w:rsidRPr="00566A60">
        <w:rPr>
          <w:rFonts w:cstheme="minorHAnsi"/>
          <w:sz w:val="25"/>
          <w:szCs w:val="25"/>
        </w:rPr>
        <w:t xml:space="preserve">Although, If the offender is not willing to show remorse or empathy, this can have a psychological effect on the victim, which the chance of reoffending can increase, undermining the effectiveness of this approach. It allows the offender to be liable for their actions, to prevent this from happening again. Additionally, this can reduce further wrongdoing behaviour as the offender is given the ability to reflect on how their actions have affected the victim or wider community. </w:t>
      </w:r>
    </w:p>
    <w:p w14:paraId="038A2344" w14:textId="77777777" w:rsidR="006C75C3" w:rsidRPr="00566A60" w:rsidRDefault="006C75C3" w:rsidP="006C75C3">
      <w:pPr>
        <w:spacing w:line="360" w:lineRule="auto"/>
        <w:rPr>
          <w:rFonts w:cstheme="minorHAnsi"/>
          <w:sz w:val="25"/>
          <w:szCs w:val="25"/>
        </w:rPr>
      </w:pPr>
      <w:r w:rsidRPr="00566A60">
        <w:rPr>
          <w:rFonts w:cstheme="minorHAnsi"/>
          <w:sz w:val="25"/>
          <w:szCs w:val="25"/>
        </w:rPr>
        <w:t xml:space="preserve">To conclude, a partnership approach is an effective approach to preventing reoffending rates. Evidence suggests providing housing for an offender upon their release from prison plays a vital role in decreasing reoffending rates and supports offenders through their rehabilitation journey, in which ‘Vision’ is an effective approach. Similarly, when using restorative justice, offenders can take responsibility for their actions and reflect on their own wrongdoing. This is cost-effective approach with a high percentage of victims being satisfied by this. Additionally, there have been evidence illustrating the success of the decrease in reoffending rates when using a partnership approach, which this also decreases the percentage of individuals who are at risk of becoming involved in the criminal justice system. </w:t>
      </w:r>
    </w:p>
    <w:p w14:paraId="6577A2BF" w14:textId="77777777" w:rsidR="006C75C3" w:rsidRPr="00566A60" w:rsidRDefault="006C75C3" w:rsidP="006C75C3">
      <w:pPr>
        <w:spacing w:line="360" w:lineRule="auto"/>
        <w:rPr>
          <w:rFonts w:cstheme="minorHAnsi"/>
          <w:sz w:val="25"/>
          <w:szCs w:val="25"/>
        </w:rPr>
      </w:pPr>
    </w:p>
    <w:p w14:paraId="39AB5852" w14:textId="77777777" w:rsidR="006C75C3" w:rsidRPr="00566A60" w:rsidRDefault="006C75C3" w:rsidP="006C75C3">
      <w:pPr>
        <w:spacing w:line="360" w:lineRule="auto"/>
        <w:rPr>
          <w:rFonts w:cstheme="minorHAnsi"/>
          <w:sz w:val="25"/>
          <w:szCs w:val="25"/>
        </w:rPr>
      </w:pPr>
      <w:r w:rsidRPr="00566A60">
        <w:rPr>
          <w:rFonts w:cstheme="minorHAnsi"/>
          <w:b/>
          <w:bCs/>
          <w:sz w:val="25"/>
          <w:szCs w:val="25"/>
        </w:rPr>
        <w:t>Word count:</w:t>
      </w:r>
      <w:r w:rsidRPr="00566A60">
        <w:rPr>
          <w:rFonts w:cstheme="minorHAnsi"/>
          <w:sz w:val="25"/>
          <w:szCs w:val="25"/>
        </w:rPr>
        <w:t xml:space="preserve"> </w:t>
      </w:r>
      <w:bookmarkEnd w:id="0"/>
      <w:r w:rsidRPr="00566A60">
        <w:rPr>
          <w:rFonts w:cstheme="minorHAnsi"/>
          <w:sz w:val="25"/>
          <w:szCs w:val="25"/>
        </w:rPr>
        <w:t>1025</w:t>
      </w:r>
    </w:p>
    <w:p w14:paraId="04B666FF" w14:textId="77777777" w:rsidR="006C75C3" w:rsidRDefault="006C75C3" w:rsidP="00B9379F">
      <w:pPr>
        <w:spacing w:line="360" w:lineRule="auto"/>
        <w:rPr>
          <w:rFonts w:asciiTheme="majorHAnsi" w:hAnsiTheme="majorHAnsi" w:cstheme="majorHAnsi"/>
          <w:b/>
          <w:bCs/>
          <w:sz w:val="25"/>
          <w:szCs w:val="25"/>
        </w:rPr>
      </w:pPr>
    </w:p>
    <w:p w14:paraId="2B1DB5A5" w14:textId="77777777" w:rsidR="00B9379F" w:rsidRDefault="00B9379F" w:rsidP="00B9379F">
      <w:pPr>
        <w:spacing w:line="360" w:lineRule="auto"/>
        <w:rPr>
          <w:rFonts w:asciiTheme="majorHAnsi" w:hAnsiTheme="majorHAnsi" w:cstheme="majorHAnsi"/>
          <w:b/>
          <w:bCs/>
          <w:sz w:val="25"/>
          <w:szCs w:val="25"/>
        </w:rPr>
      </w:pPr>
    </w:p>
    <w:p w14:paraId="5EDF569A" w14:textId="77777777" w:rsidR="00B9379F" w:rsidRDefault="00B9379F" w:rsidP="00B9379F">
      <w:pPr>
        <w:spacing w:line="360" w:lineRule="auto"/>
        <w:rPr>
          <w:rFonts w:asciiTheme="majorHAnsi" w:hAnsiTheme="majorHAnsi" w:cstheme="majorHAnsi"/>
          <w:b/>
          <w:bCs/>
          <w:sz w:val="25"/>
          <w:szCs w:val="25"/>
        </w:rPr>
      </w:pPr>
    </w:p>
    <w:p w14:paraId="3D224E7F" w14:textId="2DCE4FFD" w:rsidR="006D4633" w:rsidRPr="00B9379F" w:rsidRDefault="00B9379F" w:rsidP="00B9379F">
      <w:pPr>
        <w:spacing w:line="360" w:lineRule="auto"/>
        <w:rPr>
          <w:rFonts w:asciiTheme="majorHAnsi" w:hAnsiTheme="majorHAnsi" w:cstheme="majorHAnsi"/>
          <w:b/>
          <w:bCs/>
          <w:sz w:val="25"/>
          <w:szCs w:val="25"/>
        </w:rPr>
      </w:pPr>
      <w:r w:rsidRPr="00B9379F">
        <w:rPr>
          <w:rFonts w:asciiTheme="majorHAnsi" w:hAnsiTheme="majorHAnsi" w:cstheme="majorHAnsi"/>
          <w:b/>
          <w:bCs/>
          <w:sz w:val="25"/>
          <w:szCs w:val="25"/>
        </w:rPr>
        <w:t xml:space="preserve">Bibliology </w:t>
      </w:r>
    </w:p>
    <w:p w14:paraId="3550772A" w14:textId="77777777" w:rsidR="00B9379F" w:rsidRPr="00566A60" w:rsidRDefault="00B9379F" w:rsidP="00B9379F">
      <w:pPr>
        <w:rPr>
          <w:rStyle w:val="Hyperlink"/>
          <w:rFonts w:cstheme="minorHAnsi"/>
          <w:sz w:val="25"/>
          <w:szCs w:val="25"/>
          <w:shd w:val="clear" w:color="auto" w:fill="FFFFFF"/>
        </w:rPr>
      </w:pPr>
      <w:r w:rsidRPr="00566A60">
        <w:rPr>
          <w:rFonts w:cstheme="minorHAnsi"/>
          <w:sz w:val="25"/>
          <w:szCs w:val="25"/>
        </w:rPr>
        <w:t xml:space="preserve">Annan, L. G., </w:t>
      </w:r>
      <w:proofErr w:type="spellStart"/>
      <w:r w:rsidRPr="00566A60">
        <w:rPr>
          <w:rFonts w:cstheme="minorHAnsi"/>
          <w:sz w:val="25"/>
          <w:szCs w:val="25"/>
        </w:rPr>
        <w:t>Gaoua</w:t>
      </w:r>
      <w:proofErr w:type="spellEnd"/>
      <w:r w:rsidRPr="00566A60">
        <w:rPr>
          <w:rFonts w:cstheme="minorHAnsi"/>
          <w:sz w:val="25"/>
          <w:szCs w:val="25"/>
        </w:rPr>
        <w:t xml:space="preserve">, N., </w:t>
      </w:r>
      <w:proofErr w:type="spellStart"/>
      <w:r w:rsidRPr="00566A60">
        <w:rPr>
          <w:rFonts w:cstheme="minorHAnsi"/>
          <w:sz w:val="25"/>
          <w:szCs w:val="25"/>
        </w:rPr>
        <w:t>Mileva</w:t>
      </w:r>
      <w:proofErr w:type="spellEnd"/>
      <w:r w:rsidRPr="00566A60">
        <w:rPr>
          <w:rFonts w:cstheme="minorHAnsi"/>
          <w:sz w:val="25"/>
          <w:szCs w:val="25"/>
        </w:rPr>
        <w:t>, K &amp; Borges, M. (2022). ‘</w:t>
      </w:r>
      <w:r w:rsidRPr="00566A60">
        <w:rPr>
          <w:rFonts w:cstheme="minorHAnsi"/>
          <w:sz w:val="25"/>
          <w:szCs w:val="25"/>
          <w:shd w:val="clear" w:color="auto" w:fill="FFFFFF"/>
        </w:rPr>
        <w:t>What makes young people get involved with street gangs in London? A study of the perceived risk factors.’</w:t>
      </w:r>
      <w:r w:rsidRPr="00566A60">
        <w:rPr>
          <w:rFonts w:cstheme="minorHAnsi"/>
          <w:i/>
          <w:iCs/>
          <w:sz w:val="25"/>
          <w:szCs w:val="25"/>
          <w:shd w:val="clear" w:color="auto" w:fill="FFFFFF"/>
        </w:rPr>
        <w:t xml:space="preserve"> Journal of Community. </w:t>
      </w:r>
      <w:r w:rsidRPr="00566A60">
        <w:rPr>
          <w:rFonts w:cstheme="minorHAnsi"/>
          <w:sz w:val="25"/>
          <w:szCs w:val="25"/>
          <w:shd w:val="clear" w:color="auto" w:fill="FFFFFF"/>
        </w:rPr>
        <w:t xml:space="preserve">50 (50), p. 2198-2213. Available at: </w:t>
      </w:r>
      <w:hyperlink r:id="rId4" w:history="1">
        <w:r w:rsidRPr="00566A60">
          <w:rPr>
            <w:rStyle w:val="Hyperlink"/>
            <w:rFonts w:cstheme="minorHAnsi"/>
            <w:sz w:val="25"/>
            <w:szCs w:val="25"/>
            <w:shd w:val="clear" w:color="auto" w:fill="FFFFFF"/>
          </w:rPr>
          <w:t>https://onlinelibrary-wiley-com.ezproxy.uwtsd.ac.uk/doi/full/10.1002/jcop.22767</w:t>
        </w:r>
      </w:hyperlink>
    </w:p>
    <w:p w14:paraId="57B42731" w14:textId="77777777" w:rsidR="00B9379F" w:rsidRPr="00566A60" w:rsidRDefault="00B9379F" w:rsidP="00B9379F">
      <w:pPr>
        <w:rPr>
          <w:rFonts w:cstheme="minorHAnsi"/>
          <w:sz w:val="25"/>
          <w:szCs w:val="25"/>
        </w:rPr>
      </w:pPr>
    </w:p>
    <w:p w14:paraId="248A0741" w14:textId="3CD87959" w:rsidR="00B9379F" w:rsidRPr="00566A60" w:rsidRDefault="00B9379F" w:rsidP="00B9379F">
      <w:pPr>
        <w:rPr>
          <w:rFonts w:cstheme="minorHAnsi"/>
          <w:sz w:val="25"/>
          <w:szCs w:val="25"/>
        </w:rPr>
      </w:pPr>
      <w:proofErr w:type="spellStart"/>
      <w:r w:rsidRPr="00566A60">
        <w:rPr>
          <w:rFonts w:cstheme="minorHAnsi"/>
          <w:sz w:val="25"/>
          <w:szCs w:val="25"/>
        </w:rPr>
        <w:t>Brantingham</w:t>
      </w:r>
      <w:proofErr w:type="spellEnd"/>
      <w:r w:rsidRPr="00566A60">
        <w:rPr>
          <w:rFonts w:cstheme="minorHAnsi"/>
          <w:sz w:val="25"/>
          <w:szCs w:val="25"/>
        </w:rPr>
        <w:t xml:space="preserve">, P.J., Mohler, G., &amp; MacDonald, J. (2022). ‘Changes in public-police cooperation following the murder of George Floyd’, </w:t>
      </w:r>
      <w:proofErr w:type="spellStart"/>
      <w:r w:rsidRPr="00566A60">
        <w:rPr>
          <w:rFonts w:cstheme="minorHAnsi"/>
          <w:i/>
          <w:iCs/>
          <w:sz w:val="25"/>
          <w:szCs w:val="25"/>
        </w:rPr>
        <w:t>Pnas</w:t>
      </w:r>
      <w:proofErr w:type="spellEnd"/>
      <w:r w:rsidRPr="00566A60">
        <w:rPr>
          <w:rFonts w:cstheme="minorHAnsi"/>
          <w:i/>
          <w:iCs/>
          <w:sz w:val="25"/>
          <w:szCs w:val="25"/>
        </w:rPr>
        <w:t xml:space="preserve"> Nexus,</w:t>
      </w:r>
      <w:r w:rsidRPr="00566A60">
        <w:rPr>
          <w:rFonts w:cstheme="minorHAnsi"/>
          <w:sz w:val="25"/>
          <w:szCs w:val="25"/>
        </w:rPr>
        <w:t xml:space="preserve"> 1 (5), p. 189 – 189. Available at: </w:t>
      </w:r>
      <w:hyperlink r:id="rId5" w:history="1">
        <w:r w:rsidRPr="00566A60">
          <w:rPr>
            <w:rStyle w:val="Hyperlink"/>
            <w:rFonts w:cstheme="minorHAnsi"/>
            <w:sz w:val="25"/>
            <w:szCs w:val="25"/>
          </w:rPr>
          <w:t>Changes in public–police cooperation following the murder of George Floyd | PNAS Nexus | Oxford Academic (oup.com)</w:t>
        </w:r>
      </w:hyperlink>
    </w:p>
    <w:p w14:paraId="32699974" w14:textId="7600F72C" w:rsidR="00B9379F" w:rsidRPr="00566A60" w:rsidRDefault="00B9379F" w:rsidP="00B9379F">
      <w:pPr>
        <w:rPr>
          <w:rFonts w:cstheme="minorHAnsi"/>
          <w:sz w:val="25"/>
          <w:szCs w:val="25"/>
        </w:rPr>
      </w:pPr>
    </w:p>
    <w:p w14:paraId="1DFB36A4" w14:textId="468A539E" w:rsidR="00A459D8" w:rsidRPr="00566A60" w:rsidRDefault="00A459D8" w:rsidP="00B9379F">
      <w:pPr>
        <w:rPr>
          <w:rFonts w:cstheme="minorHAnsi"/>
          <w:sz w:val="25"/>
          <w:szCs w:val="25"/>
        </w:rPr>
      </w:pPr>
      <w:r w:rsidRPr="00566A60">
        <w:rPr>
          <w:rFonts w:cstheme="minorHAnsi"/>
          <w:sz w:val="25"/>
          <w:szCs w:val="25"/>
        </w:rPr>
        <w:t xml:space="preserve">Eve, C. (2018) </w:t>
      </w:r>
      <w:r w:rsidRPr="00566A60">
        <w:rPr>
          <w:rFonts w:cstheme="minorHAnsi"/>
          <w:i/>
          <w:iCs/>
          <w:sz w:val="25"/>
          <w:szCs w:val="25"/>
        </w:rPr>
        <w:t xml:space="preserve">Revealed: 13 incredible stories of police bravery and professionalism. </w:t>
      </w:r>
      <w:r w:rsidRPr="00566A60">
        <w:rPr>
          <w:rFonts w:cstheme="minorHAnsi"/>
          <w:sz w:val="25"/>
          <w:szCs w:val="25"/>
        </w:rPr>
        <w:t xml:space="preserve">Available at: </w:t>
      </w:r>
      <w:hyperlink r:id="rId6" w:history="1">
        <w:r w:rsidRPr="00566A60">
          <w:rPr>
            <w:rStyle w:val="Hyperlink"/>
            <w:rFonts w:cstheme="minorHAnsi"/>
            <w:sz w:val="25"/>
            <w:szCs w:val="25"/>
          </w:rPr>
          <w:t>Revealed: 13 incredible stories of police bravery and professionalism - Plymouth Live (plymouthherald.co.uk)</w:t>
        </w:r>
      </w:hyperlink>
      <w:r w:rsidRPr="00566A60">
        <w:rPr>
          <w:rFonts w:cstheme="minorHAnsi"/>
          <w:sz w:val="25"/>
          <w:szCs w:val="25"/>
        </w:rPr>
        <w:t xml:space="preserve"> (Accessed: 6</w:t>
      </w:r>
      <w:r w:rsidRPr="00566A60">
        <w:rPr>
          <w:rFonts w:cstheme="minorHAnsi"/>
          <w:sz w:val="25"/>
          <w:szCs w:val="25"/>
          <w:vertAlign w:val="superscript"/>
        </w:rPr>
        <w:t>th</w:t>
      </w:r>
      <w:r w:rsidRPr="00566A60">
        <w:rPr>
          <w:rFonts w:cstheme="minorHAnsi"/>
          <w:sz w:val="25"/>
          <w:szCs w:val="25"/>
        </w:rPr>
        <w:t xml:space="preserve"> December 2023)</w:t>
      </w:r>
    </w:p>
    <w:p w14:paraId="4CA0ABDA" w14:textId="77777777" w:rsidR="00A459D8" w:rsidRPr="00566A60" w:rsidRDefault="00A459D8" w:rsidP="00B9379F">
      <w:pPr>
        <w:rPr>
          <w:rFonts w:cstheme="minorHAnsi"/>
          <w:sz w:val="25"/>
          <w:szCs w:val="25"/>
        </w:rPr>
      </w:pPr>
    </w:p>
    <w:p w14:paraId="7C38F449" w14:textId="496BEE45" w:rsidR="00B9379F" w:rsidRPr="00566A60" w:rsidRDefault="00B9379F" w:rsidP="00B9379F">
      <w:pPr>
        <w:rPr>
          <w:rFonts w:cstheme="minorHAnsi"/>
          <w:i/>
          <w:iCs/>
          <w:sz w:val="25"/>
          <w:szCs w:val="25"/>
        </w:rPr>
      </w:pPr>
      <w:r w:rsidRPr="00566A60">
        <w:rPr>
          <w:rFonts w:cstheme="minorHAnsi"/>
          <w:sz w:val="25"/>
          <w:szCs w:val="25"/>
        </w:rPr>
        <w:t>College</w:t>
      </w:r>
      <w:r w:rsidRPr="00566A60">
        <w:rPr>
          <w:rFonts w:cstheme="minorHAnsi"/>
          <w:sz w:val="25"/>
          <w:szCs w:val="25"/>
        </w:rPr>
        <w:t xml:space="preserve"> of Policing. (2022) </w:t>
      </w:r>
      <w:r w:rsidRPr="00566A60">
        <w:rPr>
          <w:rFonts w:cstheme="minorHAnsi"/>
          <w:i/>
          <w:iCs/>
          <w:sz w:val="25"/>
          <w:szCs w:val="25"/>
        </w:rPr>
        <w:t xml:space="preserve">Evidence briefing. Available at: </w:t>
      </w:r>
      <w:hyperlink r:id="rId7" w:history="1">
        <w:r w:rsidRPr="00566A60">
          <w:rPr>
            <w:rStyle w:val="Hyperlink"/>
            <w:rFonts w:cstheme="minorHAnsi"/>
            <w:sz w:val="25"/>
            <w:szCs w:val="25"/>
          </w:rPr>
          <w:t>Evidence briefing | College of Policing</w:t>
        </w:r>
      </w:hyperlink>
      <w:proofErr w:type="gramStart"/>
      <w:r w:rsidRPr="00566A60">
        <w:rPr>
          <w:rFonts w:cstheme="minorHAnsi"/>
          <w:i/>
          <w:iCs/>
          <w:sz w:val="25"/>
          <w:szCs w:val="25"/>
        </w:rPr>
        <w:t xml:space="preserve">   (</w:t>
      </w:r>
      <w:proofErr w:type="gramEnd"/>
      <w:r w:rsidRPr="00566A60">
        <w:rPr>
          <w:rFonts w:cstheme="minorHAnsi"/>
          <w:i/>
          <w:iCs/>
          <w:sz w:val="25"/>
          <w:szCs w:val="25"/>
        </w:rPr>
        <w:t>Accessed: 5</w:t>
      </w:r>
      <w:r w:rsidRPr="00566A60">
        <w:rPr>
          <w:rFonts w:cstheme="minorHAnsi"/>
          <w:i/>
          <w:iCs/>
          <w:sz w:val="25"/>
          <w:szCs w:val="25"/>
          <w:vertAlign w:val="superscript"/>
        </w:rPr>
        <w:t>th</w:t>
      </w:r>
      <w:r w:rsidRPr="00566A60">
        <w:rPr>
          <w:rFonts w:cstheme="minorHAnsi"/>
          <w:i/>
          <w:iCs/>
          <w:sz w:val="25"/>
          <w:szCs w:val="25"/>
        </w:rPr>
        <w:t xml:space="preserve"> December 2023)</w:t>
      </w:r>
    </w:p>
    <w:p w14:paraId="1E173AD6" w14:textId="77777777" w:rsidR="00B9379F" w:rsidRPr="00566A60" w:rsidRDefault="00B9379F" w:rsidP="00B9379F">
      <w:pPr>
        <w:rPr>
          <w:rFonts w:cstheme="minorHAnsi"/>
          <w:sz w:val="25"/>
          <w:szCs w:val="25"/>
        </w:rPr>
      </w:pPr>
    </w:p>
    <w:p w14:paraId="1AF8FB0A" w14:textId="21945AD4" w:rsidR="00B9379F" w:rsidRDefault="00B9379F" w:rsidP="00B9379F">
      <w:pPr>
        <w:spacing w:line="360" w:lineRule="auto"/>
        <w:rPr>
          <w:rStyle w:val="Hyperlink"/>
          <w:rFonts w:cstheme="minorHAnsi"/>
          <w:sz w:val="25"/>
          <w:szCs w:val="25"/>
        </w:rPr>
      </w:pPr>
      <w:r w:rsidRPr="00566A60">
        <w:rPr>
          <w:rFonts w:cstheme="minorHAnsi"/>
          <w:sz w:val="25"/>
          <w:szCs w:val="25"/>
          <w:shd w:val="clear" w:color="auto" w:fill="FFFFFF"/>
        </w:rPr>
        <w:t>COX, C., &amp; KIRBY, S. (2018) ‘Can higher education reduce the negative consequences of police occupational culture amongst new recruits?’  </w:t>
      </w:r>
      <w:r w:rsidRPr="00566A60">
        <w:rPr>
          <w:rFonts w:cstheme="minorHAnsi"/>
          <w:i/>
          <w:iCs/>
          <w:sz w:val="25"/>
          <w:szCs w:val="25"/>
          <w:shd w:val="clear" w:color="auto" w:fill="FFFFFF"/>
        </w:rPr>
        <w:t>Police occupational culture, </w:t>
      </w:r>
      <w:r w:rsidRPr="00566A60">
        <w:rPr>
          <w:rFonts w:cstheme="minorHAnsi"/>
          <w:sz w:val="25"/>
          <w:szCs w:val="25"/>
          <w:shd w:val="clear" w:color="auto" w:fill="FFFFFF"/>
        </w:rPr>
        <w:t xml:space="preserve">41 (5), p. 550-562. Available at: </w:t>
      </w:r>
      <w:hyperlink r:id="rId8" w:history="1">
        <w:r w:rsidRPr="00566A60">
          <w:rPr>
            <w:rStyle w:val="Hyperlink"/>
            <w:rFonts w:cstheme="minorHAnsi"/>
            <w:sz w:val="25"/>
            <w:szCs w:val="25"/>
          </w:rPr>
          <w:t>Can higher ed</w:t>
        </w:r>
        <w:r w:rsidRPr="00566A60">
          <w:rPr>
            <w:rStyle w:val="Hyperlink"/>
            <w:rFonts w:cstheme="minorHAnsi"/>
            <w:sz w:val="25"/>
            <w:szCs w:val="25"/>
          </w:rPr>
          <w:t>u</w:t>
        </w:r>
        <w:r w:rsidRPr="00566A60">
          <w:rPr>
            <w:rStyle w:val="Hyperlink"/>
            <w:rFonts w:cstheme="minorHAnsi"/>
            <w:sz w:val="25"/>
            <w:szCs w:val="25"/>
          </w:rPr>
          <w:t>cation reduce the negative consequences of police occupational culture amongst new recruits? - ProQuest</w:t>
        </w:r>
      </w:hyperlink>
    </w:p>
    <w:p w14:paraId="536D34FB" w14:textId="77777777" w:rsidR="00566A60" w:rsidRPr="00566A60" w:rsidRDefault="00566A60" w:rsidP="00B9379F">
      <w:pPr>
        <w:spacing w:line="360" w:lineRule="auto"/>
        <w:rPr>
          <w:rStyle w:val="Hyperlink"/>
          <w:rFonts w:cstheme="minorHAnsi"/>
          <w:sz w:val="25"/>
          <w:szCs w:val="25"/>
        </w:rPr>
      </w:pPr>
    </w:p>
    <w:p w14:paraId="33235B38" w14:textId="77777777" w:rsidR="00B9379F" w:rsidRPr="00566A60" w:rsidRDefault="00B9379F" w:rsidP="00B9379F">
      <w:pPr>
        <w:rPr>
          <w:rFonts w:cstheme="minorHAnsi"/>
          <w:color w:val="3A3A3A"/>
          <w:sz w:val="25"/>
          <w:szCs w:val="25"/>
          <w:shd w:val="clear" w:color="auto" w:fill="FFFFFF"/>
        </w:rPr>
      </w:pPr>
      <w:r w:rsidRPr="00566A60">
        <w:rPr>
          <w:rFonts w:cstheme="minorHAnsi"/>
          <w:color w:val="222222"/>
          <w:sz w:val="25"/>
          <w:szCs w:val="25"/>
          <w:shd w:val="clear" w:color="auto" w:fill="FFFFFF"/>
        </w:rPr>
        <w:t xml:space="preserve">Dando, C. J., Ormerod, T. C., &amp; Atkinson-Sheppard, S. (2023). ‘Parental experiences of the impact of grooming and criminal exploitation of criminal for county lines drug trafficking.’ </w:t>
      </w:r>
      <w:r w:rsidRPr="00566A60">
        <w:rPr>
          <w:rFonts w:cstheme="minorHAnsi"/>
          <w:i/>
          <w:iCs/>
          <w:color w:val="222222"/>
          <w:sz w:val="25"/>
          <w:szCs w:val="25"/>
          <w:shd w:val="clear" w:color="auto" w:fill="FFFFFF"/>
        </w:rPr>
        <w:t xml:space="preserve">Journal of Public Health, </w:t>
      </w:r>
      <w:r w:rsidRPr="00566A60">
        <w:rPr>
          <w:rFonts w:cstheme="minorHAnsi"/>
          <w:color w:val="222222"/>
          <w:sz w:val="25"/>
          <w:szCs w:val="25"/>
          <w:shd w:val="clear" w:color="auto" w:fill="FFFFFF"/>
        </w:rPr>
        <w:t xml:space="preserve">45 (2) p 346-354. Available at: </w:t>
      </w:r>
      <w:hyperlink r:id="rId9" w:history="1">
        <w:r w:rsidRPr="00566A60">
          <w:rPr>
            <w:rStyle w:val="Hyperlink"/>
            <w:rFonts w:cstheme="minorHAnsi"/>
            <w:sz w:val="25"/>
            <w:szCs w:val="25"/>
            <w:shd w:val="clear" w:color="auto" w:fill="FFFFFF"/>
          </w:rPr>
          <w:t>https://doi.org/10.1093/pubmed/fdac112</w:t>
        </w:r>
      </w:hyperlink>
    </w:p>
    <w:p w14:paraId="63F1179A" w14:textId="77777777" w:rsidR="00B9379F" w:rsidRPr="00566A60" w:rsidRDefault="00B9379F" w:rsidP="00B9379F">
      <w:pPr>
        <w:spacing w:line="360" w:lineRule="auto"/>
        <w:rPr>
          <w:rStyle w:val="Hyperlink"/>
          <w:rFonts w:cstheme="minorHAnsi"/>
          <w:sz w:val="25"/>
          <w:szCs w:val="25"/>
        </w:rPr>
      </w:pPr>
    </w:p>
    <w:p w14:paraId="65A393FD" w14:textId="77777777" w:rsidR="00B9379F" w:rsidRPr="00566A60" w:rsidRDefault="00B9379F" w:rsidP="00B9379F">
      <w:pPr>
        <w:spacing w:line="360" w:lineRule="auto"/>
        <w:rPr>
          <w:rFonts w:cstheme="minorHAnsi"/>
          <w:sz w:val="25"/>
          <w:szCs w:val="25"/>
        </w:rPr>
      </w:pPr>
      <w:r w:rsidRPr="00566A60">
        <w:rPr>
          <w:rStyle w:val="Hyperlink"/>
          <w:rFonts w:cstheme="minorHAnsi"/>
          <w:color w:val="auto"/>
          <w:sz w:val="25"/>
          <w:szCs w:val="25"/>
          <w:u w:val="none"/>
          <w:shd w:val="clear" w:color="auto" w:fill="FFFFFF"/>
        </w:rPr>
        <w:t xml:space="preserve">Denney, D. (2008). ‘Editorial Introduction: Living in Dangerous Times- Fear, Insecurity, Risk and Social Policy.’ </w:t>
      </w:r>
      <w:r w:rsidRPr="00566A60">
        <w:rPr>
          <w:rStyle w:val="Hyperlink"/>
          <w:rFonts w:cstheme="minorHAnsi"/>
          <w:i/>
          <w:iCs/>
          <w:color w:val="auto"/>
          <w:sz w:val="25"/>
          <w:szCs w:val="25"/>
          <w:u w:val="none"/>
          <w:shd w:val="clear" w:color="auto" w:fill="FFFFFF"/>
        </w:rPr>
        <w:t xml:space="preserve">Social policy &amp; Administration. </w:t>
      </w:r>
      <w:r w:rsidRPr="00566A60">
        <w:rPr>
          <w:rStyle w:val="Hyperlink"/>
          <w:rFonts w:cstheme="minorHAnsi"/>
          <w:color w:val="auto"/>
          <w:sz w:val="25"/>
          <w:szCs w:val="25"/>
          <w:u w:val="none"/>
          <w:shd w:val="clear" w:color="auto" w:fill="FFFFFF"/>
        </w:rPr>
        <w:t>1</w:t>
      </w:r>
      <w:r w:rsidRPr="00566A60">
        <w:rPr>
          <w:rStyle w:val="Hyperlink"/>
          <w:rFonts w:cstheme="minorHAnsi"/>
          <w:color w:val="auto"/>
          <w:sz w:val="25"/>
          <w:szCs w:val="25"/>
          <w:u w:val="none"/>
          <w:shd w:val="clear" w:color="auto" w:fill="FFFFFF"/>
          <w:vertAlign w:val="superscript"/>
        </w:rPr>
        <w:t>st</w:t>
      </w:r>
      <w:r w:rsidRPr="00566A60">
        <w:rPr>
          <w:rStyle w:val="Hyperlink"/>
          <w:rFonts w:cstheme="minorHAnsi"/>
          <w:color w:val="auto"/>
          <w:sz w:val="25"/>
          <w:szCs w:val="25"/>
          <w:u w:val="none"/>
          <w:shd w:val="clear" w:color="auto" w:fill="FFFFFF"/>
        </w:rPr>
        <w:t xml:space="preserve"> </w:t>
      </w:r>
      <w:proofErr w:type="spellStart"/>
      <w:r w:rsidRPr="00566A60">
        <w:rPr>
          <w:rStyle w:val="Hyperlink"/>
          <w:rFonts w:cstheme="minorHAnsi"/>
          <w:color w:val="auto"/>
          <w:sz w:val="25"/>
          <w:szCs w:val="25"/>
          <w:u w:val="none"/>
          <w:shd w:val="clear" w:color="auto" w:fill="FFFFFF"/>
        </w:rPr>
        <w:t>edn</w:t>
      </w:r>
      <w:proofErr w:type="spellEnd"/>
      <w:r w:rsidRPr="00566A60">
        <w:rPr>
          <w:rStyle w:val="Hyperlink"/>
          <w:rFonts w:cstheme="minorHAnsi"/>
          <w:color w:val="auto"/>
          <w:sz w:val="25"/>
          <w:szCs w:val="25"/>
          <w:u w:val="none"/>
          <w:shd w:val="clear" w:color="auto" w:fill="FFFFFF"/>
        </w:rPr>
        <w:t xml:space="preserve">. </w:t>
      </w:r>
      <w:r w:rsidRPr="00566A60">
        <w:rPr>
          <w:rFonts w:cstheme="minorHAnsi"/>
          <w:sz w:val="25"/>
          <w:szCs w:val="25"/>
          <w:shd w:val="clear" w:color="auto" w:fill="FFFFFF"/>
        </w:rPr>
        <w:t>Oxford, UK: Blackwell </w:t>
      </w:r>
    </w:p>
    <w:p w14:paraId="0B736984" w14:textId="77777777" w:rsidR="00B9379F" w:rsidRPr="00566A60" w:rsidRDefault="00B9379F" w:rsidP="00B9379F">
      <w:pPr>
        <w:spacing w:line="360" w:lineRule="auto"/>
        <w:rPr>
          <w:rStyle w:val="Hyperlink"/>
          <w:rFonts w:cstheme="minorHAnsi"/>
          <w:color w:val="auto"/>
          <w:sz w:val="25"/>
          <w:szCs w:val="25"/>
        </w:rPr>
      </w:pPr>
    </w:p>
    <w:p w14:paraId="25D20DD6" w14:textId="77777777" w:rsidR="00B9379F" w:rsidRPr="00566A60" w:rsidRDefault="00B9379F" w:rsidP="00B9379F">
      <w:pPr>
        <w:rPr>
          <w:rFonts w:cstheme="minorHAnsi"/>
          <w:sz w:val="25"/>
          <w:szCs w:val="25"/>
        </w:rPr>
      </w:pPr>
      <w:r w:rsidRPr="00566A60">
        <w:rPr>
          <w:rFonts w:cstheme="minorHAnsi"/>
          <w:sz w:val="25"/>
          <w:szCs w:val="25"/>
        </w:rPr>
        <w:t xml:space="preserve">Dowler, k., &amp; </w:t>
      </w:r>
      <w:proofErr w:type="spellStart"/>
      <w:r w:rsidRPr="00566A60">
        <w:rPr>
          <w:rFonts w:cstheme="minorHAnsi"/>
          <w:sz w:val="25"/>
          <w:szCs w:val="25"/>
        </w:rPr>
        <w:t>Zawilski</w:t>
      </w:r>
      <w:proofErr w:type="spellEnd"/>
      <w:r w:rsidRPr="00566A60">
        <w:rPr>
          <w:rFonts w:cstheme="minorHAnsi"/>
          <w:sz w:val="25"/>
          <w:szCs w:val="25"/>
        </w:rPr>
        <w:t xml:space="preserve">, V. (2007) ‘Public perceptions of police misconduct and discrimination: Examining the impact of media consumptions’, </w:t>
      </w:r>
      <w:r w:rsidRPr="00566A60">
        <w:rPr>
          <w:rFonts w:cstheme="minorHAnsi"/>
          <w:i/>
          <w:iCs/>
          <w:sz w:val="25"/>
          <w:szCs w:val="25"/>
        </w:rPr>
        <w:t>Journal of Criminal Justice</w:t>
      </w:r>
      <w:r w:rsidRPr="00566A60">
        <w:rPr>
          <w:rFonts w:cstheme="minorHAnsi"/>
          <w:sz w:val="25"/>
          <w:szCs w:val="25"/>
        </w:rPr>
        <w:t xml:space="preserve">, 35 (2), p. 193 – 203. Available at: </w:t>
      </w:r>
      <w:hyperlink r:id="rId10" w:history="1">
        <w:r w:rsidRPr="00566A60">
          <w:rPr>
            <w:rStyle w:val="Hyperlink"/>
            <w:rFonts w:cstheme="minorHAnsi"/>
            <w:sz w:val="25"/>
            <w:szCs w:val="25"/>
          </w:rPr>
          <w:t>Public perceptions of police misconduct and discrimination: Examining the impact of media consumption - ScienceDirect (uwtsd.ac.uk)</w:t>
        </w:r>
      </w:hyperlink>
    </w:p>
    <w:p w14:paraId="187D9BE3" w14:textId="7BBAC17A" w:rsidR="00B9379F" w:rsidRPr="00566A60" w:rsidRDefault="00B9379F" w:rsidP="00B9379F">
      <w:pPr>
        <w:spacing w:line="360" w:lineRule="auto"/>
        <w:rPr>
          <w:rFonts w:cstheme="minorHAnsi"/>
          <w:sz w:val="25"/>
          <w:szCs w:val="25"/>
          <w:shd w:val="clear" w:color="auto" w:fill="FFFFFF"/>
        </w:rPr>
      </w:pPr>
    </w:p>
    <w:p w14:paraId="20A2A81D" w14:textId="77777777" w:rsidR="00B9379F" w:rsidRPr="00566A60" w:rsidRDefault="00B9379F" w:rsidP="00B9379F">
      <w:pPr>
        <w:spacing w:line="360" w:lineRule="auto"/>
        <w:rPr>
          <w:rFonts w:cstheme="minorHAnsi"/>
          <w:i/>
          <w:iCs/>
          <w:sz w:val="25"/>
          <w:szCs w:val="25"/>
        </w:rPr>
      </w:pPr>
      <w:r w:rsidRPr="00566A60">
        <w:rPr>
          <w:rFonts w:cstheme="minorHAnsi"/>
          <w:sz w:val="25"/>
          <w:szCs w:val="25"/>
        </w:rPr>
        <w:t>Ellison, M., Fox, C., Gains, A. and Pollock, G. (2013</w:t>
      </w:r>
      <w:r w:rsidRPr="00566A60">
        <w:rPr>
          <w:rFonts w:cstheme="minorHAnsi"/>
          <w:i/>
          <w:iCs/>
          <w:sz w:val="25"/>
          <w:szCs w:val="25"/>
        </w:rPr>
        <w:t>). ‘</w:t>
      </w:r>
      <w:r w:rsidRPr="00566A60">
        <w:rPr>
          <w:rFonts w:cstheme="minorHAnsi"/>
          <w:sz w:val="25"/>
          <w:szCs w:val="25"/>
        </w:rPr>
        <w:t>An evaluation of the effect of housing provision on re-offending.’</w:t>
      </w:r>
      <w:r w:rsidRPr="00566A60">
        <w:rPr>
          <w:rFonts w:cstheme="minorHAnsi"/>
          <w:i/>
          <w:iCs/>
          <w:sz w:val="25"/>
          <w:szCs w:val="25"/>
        </w:rPr>
        <w:t xml:space="preserve"> Safer Communities, 12 (1), p. 27-37</w:t>
      </w:r>
    </w:p>
    <w:p w14:paraId="1B1829D1" w14:textId="77777777" w:rsidR="00B9379F" w:rsidRPr="00566A60" w:rsidRDefault="00B9379F" w:rsidP="00B9379F">
      <w:pPr>
        <w:spacing w:line="360" w:lineRule="auto"/>
        <w:rPr>
          <w:rFonts w:cstheme="minorHAnsi"/>
          <w:i/>
          <w:iCs/>
          <w:sz w:val="25"/>
          <w:szCs w:val="25"/>
        </w:rPr>
      </w:pPr>
      <w:r w:rsidRPr="00566A60">
        <w:rPr>
          <w:rFonts w:cstheme="minorHAnsi"/>
          <w:i/>
          <w:iCs/>
          <w:sz w:val="25"/>
          <w:szCs w:val="25"/>
        </w:rPr>
        <w:t xml:space="preserve">Available at: </w:t>
      </w:r>
      <w:hyperlink r:id="rId11" w:history="1">
        <w:r w:rsidRPr="00566A60">
          <w:rPr>
            <w:rStyle w:val="Hyperlink"/>
            <w:rFonts w:cstheme="minorHAnsi"/>
            <w:sz w:val="25"/>
            <w:szCs w:val="25"/>
          </w:rPr>
          <w:t>An evaluation of the effect of housing provision on re-offending - ProQuest</w:t>
        </w:r>
      </w:hyperlink>
    </w:p>
    <w:p w14:paraId="469D6E70" w14:textId="77777777" w:rsidR="00B9379F" w:rsidRPr="00566A60" w:rsidRDefault="00B9379F" w:rsidP="00B9379F">
      <w:pPr>
        <w:spacing w:line="360" w:lineRule="auto"/>
        <w:rPr>
          <w:rFonts w:cstheme="minorHAnsi"/>
          <w:sz w:val="25"/>
          <w:szCs w:val="25"/>
          <w:shd w:val="clear" w:color="auto" w:fill="FFFFFF"/>
        </w:rPr>
      </w:pPr>
    </w:p>
    <w:p w14:paraId="47280F64" w14:textId="77777777" w:rsidR="00B9379F" w:rsidRPr="00566A60" w:rsidRDefault="00B9379F" w:rsidP="00B9379F">
      <w:pPr>
        <w:spacing w:line="360" w:lineRule="auto"/>
        <w:rPr>
          <w:rStyle w:val="Hyperlink"/>
          <w:rFonts w:cstheme="minorHAnsi"/>
          <w:sz w:val="25"/>
          <w:szCs w:val="25"/>
          <w:shd w:val="clear" w:color="auto" w:fill="FFFFFF"/>
        </w:rPr>
      </w:pPr>
      <w:r w:rsidRPr="00566A60">
        <w:rPr>
          <w:rFonts w:cstheme="minorHAnsi"/>
          <w:sz w:val="25"/>
          <w:szCs w:val="25"/>
          <w:shd w:val="clear" w:color="auto" w:fill="FFFFFF"/>
        </w:rPr>
        <w:t>GILL, A. &amp; HARRISON, K. (2015) ‘Child Grooming and Sexual Exploitation: Are South Asian Men the UK Media’s New Folk Devils?’  </w:t>
      </w:r>
      <w:r w:rsidRPr="00566A60">
        <w:rPr>
          <w:rFonts w:cstheme="minorHAnsi"/>
          <w:i/>
          <w:iCs/>
          <w:sz w:val="25"/>
          <w:szCs w:val="25"/>
          <w:shd w:val="clear" w:color="auto" w:fill="FFFFFF"/>
        </w:rPr>
        <w:t>International Journal for Crime, Justice, and Social Democracy, 4 (2</w:t>
      </w:r>
      <w:r w:rsidRPr="00566A60">
        <w:rPr>
          <w:rFonts w:cstheme="minorHAnsi"/>
          <w:sz w:val="25"/>
          <w:szCs w:val="25"/>
          <w:shd w:val="clear" w:color="auto" w:fill="FFFFFF"/>
        </w:rPr>
        <w:t>), p. 34-49. Available at</w:t>
      </w:r>
      <w:r w:rsidRPr="00566A60">
        <w:rPr>
          <w:rFonts w:cstheme="minorHAnsi"/>
          <w:color w:val="555555"/>
          <w:sz w:val="25"/>
          <w:szCs w:val="25"/>
          <w:shd w:val="clear" w:color="auto" w:fill="FFFFFF"/>
        </w:rPr>
        <w:t xml:space="preserve">: </w:t>
      </w:r>
      <w:hyperlink r:id="rId12" w:history="1">
        <w:r w:rsidRPr="00566A60">
          <w:rPr>
            <w:rStyle w:val="Hyperlink"/>
            <w:rFonts w:cstheme="minorHAnsi"/>
            <w:sz w:val="25"/>
            <w:szCs w:val="25"/>
            <w:shd w:val="clear" w:color="auto" w:fill="FFFFFF"/>
          </w:rPr>
          <w:t>https://whelf-uwtsd.alma.exlibrisgroup.com/view/action/uresolver.do?operation=resolveService&amp;package_service_id=9896570670002421&amp;institutionId=2421&amp;customerId=2415</w:t>
        </w:r>
      </w:hyperlink>
    </w:p>
    <w:p w14:paraId="3A02690E" w14:textId="77777777" w:rsidR="00B9379F" w:rsidRPr="00566A60" w:rsidRDefault="00B9379F" w:rsidP="00B9379F">
      <w:pPr>
        <w:spacing w:line="360" w:lineRule="auto"/>
        <w:rPr>
          <w:rFonts w:cstheme="minorHAnsi"/>
          <w:b/>
          <w:bCs/>
          <w:sz w:val="25"/>
          <w:szCs w:val="25"/>
        </w:rPr>
      </w:pPr>
    </w:p>
    <w:p w14:paraId="37647B7A" w14:textId="4050A4BB" w:rsidR="006D4633" w:rsidRPr="00566A60" w:rsidRDefault="006D4633">
      <w:pPr>
        <w:rPr>
          <w:rFonts w:cstheme="minorHAnsi"/>
          <w:sz w:val="25"/>
          <w:szCs w:val="25"/>
        </w:rPr>
      </w:pPr>
      <w:r w:rsidRPr="00566A60">
        <w:rPr>
          <w:rFonts w:cstheme="minorHAnsi"/>
          <w:sz w:val="25"/>
          <w:szCs w:val="25"/>
        </w:rPr>
        <w:t>Independent Office for Police Conduct</w:t>
      </w:r>
      <w:r w:rsidRPr="00566A60">
        <w:rPr>
          <w:rFonts w:cstheme="minorHAnsi"/>
          <w:sz w:val="25"/>
          <w:szCs w:val="25"/>
        </w:rPr>
        <w:t xml:space="preserve">. (2023) </w:t>
      </w:r>
      <w:r w:rsidRPr="00566A60">
        <w:rPr>
          <w:rFonts w:cstheme="minorHAnsi"/>
          <w:i/>
          <w:iCs/>
          <w:sz w:val="25"/>
          <w:szCs w:val="25"/>
        </w:rPr>
        <w:t xml:space="preserve">IOPC Public Perceptions Tracker Summary Report, waves 6.1-6.3. </w:t>
      </w:r>
      <w:r w:rsidRPr="00566A60">
        <w:rPr>
          <w:rFonts w:cstheme="minorHAnsi"/>
          <w:sz w:val="25"/>
          <w:szCs w:val="25"/>
        </w:rPr>
        <w:t xml:space="preserve">Available at: </w:t>
      </w:r>
      <w:hyperlink r:id="rId13" w:history="1">
        <w:r w:rsidRPr="00566A60">
          <w:rPr>
            <w:rStyle w:val="Hyperlink"/>
            <w:rFonts w:cstheme="minorHAnsi"/>
            <w:sz w:val="25"/>
            <w:szCs w:val="25"/>
          </w:rPr>
          <w:t>IOPC-public-perceptions-tracker-report-2022-23 (4).pdf</w:t>
        </w:r>
      </w:hyperlink>
      <w:r w:rsidRPr="00566A60">
        <w:rPr>
          <w:rFonts w:cstheme="minorHAnsi"/>
          <w:sz w:val="25"/>
          <w:szCs w:val="25"/>
        </w:rPr>
        <w:t xml:space="preserve"> (Accessed: 10</w:t>
      </w:r>
      <w:r w:rsidRPr="00566A60">
        <w:rPr>
          <w:rFonts w:cstheme="minorHAnsi"/>
          <w:sz w:val="25"/>
          <w:szCs w:val="25"/>
          <w:vertAlign w:val="superscript"/>
        </w:rPr>
        <w:t>th</w:t>
      </w:r>
      <w:r w:rsidRPr="00566A60">
        <w:rPr>
          <w:rFonts w:cstheme="minorHAnsi"/>
          <w:sz w:val="25"/>
          <w:szCs w:val="25"/>
        </w:rPr>
        <w:t xml:space="preserve"> December 2023)</w:t>
      </w:r>
    </w:p>
    <w:p w14:paraId="70CC6994" w14:textId="6CFB5630" w:rsidR="006D4633" w:rsidRPr="00566A60" w:rsidRDefault="006D4633">
      <w:pPr>
        <w:rPr>
          <w:rFonts w:cstheme="minorHAnsi"/>
          <w:sz w:val="25"/>
          <w:szCs w:val="25"/>
        </w:rPr>
      </w:pPr>
    </w:p>
    <w:p w14:paraId="00FC507D" w14:textId="77777777" w:rsidR="00B9379F" w:rsidRPr="00566A60" w:rsidRDefault="00B9379F" w:rsidP="00B9379F">
      <w:pPr>
        <w:rPr>
          <w:rFonts w:cstheme="minorHAnsi"/>
          <w:sz w:val="25"/>
          <w:szCs w:val="25"/>
        </w:rPr>
      </w:pPr>
      <w:proofErr w:type="spellStart"/>
      <w:r w:rsidRPr="00566A60">
        <w:rPr>
          <w:rFonts w:cstheme="minorHAnsi"/>
          <w:sz w:val="25"/>
          <w:szCs w:val="25"/>
        </w:rPr>
        <w:t>Kemshall</w:t>
      </w:r>
      <w:proofErr w:type="spellEnd"/>
      <w:r w:rsidRPr="00566A60">
        <w:rPr>
          <w:rFonts w:cstheme="minorHAnsi"/>
          <w:sz w:val="25"/>
          <w:szCs w:val="25"/>
        </w:rPr>
        <w:t xml:space="preserve">, H., &amp; Wood, J. (2008). ‘Risk and Public Protection: Responding to Involuntary and “Taboo” Risk.’ </w:t>
      </w:r>
      <w:r w:rsidRPr="00566A60">
        <w:rPr>
          <w:rFonts w:cstheme="minorHAnsi"/>
          <w:i/>
          <w:iCs/>
          <w:sz w:val="25"/>
          <w:szCs w:val="25"/>
        </w:rPr>
        <w:t xml:space="preserve">Social Policy &amp; Administration, </w:t>
      </w:r>
      <w:r w:rsidRPr="00566A60">
        <w:rPr>
          <w:rFonts w:cstheme="minorHAnsi"/>
          <w:sz w:val="25"/>
          <w:szCs w:val="25"/>
        </w:rPr>
        <w:t xml:space="preserve">42 (6), p. 611-629. Available at </w:t>
      </w:r>
      <w:hyperlink r:id="rId14" w:history="1">
        <w:r w:rsidRPr="00566A60">
          <w:rPr>
            <w:rStyle w:val="Hyperlink"/>
            <w:rFonts w:cstheme="minorHAnsi"/>
            <w:sz w:val="25"/>
            <w:szCs w:val="25"/>
          </w:rPr>
          <w:t>Risk and Public Protection: Responding to Involuntary and ‘Taboo’ Risk.: EBSCOhost (uwtsd.ac.uk)</w:t>
        </w:r>
      </w:hyperlink>
    </w:p>
    <w:p w14:paraId="5056C285" w14:textId="2B713D96" w:rsidR="001A2D64" w:rsidRPr="00566A60" w:rsidRDefault="001A2D64">
      <w:pPr>
        <w:rPr>
          <w:rFonts w:cstheme="minorHAnsi"/>
          <w:sz w:val="25"/>
          <w:szCs w:val="25"/>
        </w:rPr>
      </w:pPr>
    </w:p>
    <w:p w14:paraId="23BF4767" w14:textId="77777777" w:rsidR="00B9379F" w:rsidRPr="00566A60" w:rsidRDefault="00B9379F" w:rsidP="00B9379F">
      <w:pPr>
        <w:spacing w:line="360" w:lineRule="auto"/>
        <w:rPr>
          <w:rFonts w:cstheme="minorHAnsi"/>
          <w:sz w:val="25"/>
          <w:szCs w:val="25"/>
        </w:rPr>
      </w:pPr>
      <w:r w:rsidRPr="00566A60">
        <w:rPr>
          <w:rFonts w:cstheme="minorHAnsi"/>
          <w:sz w:val="25"/>
          <w:szCs w:val="25"/>
        </w:rPr>
        <w:t xml:space="preserve">Pratt, </w:t>
      </w:r>
      <w:proofErr w:type="gramStart"/>
      <w:r w:rsidRPr="00566A60">
        <w:rPr>
          <w:rFonts w:cstheme="minorHAnsi"/>
          <w:sz w:val="25"/>
          <w:szCs w:val="25"/>
        </w:rPr>
        <w:t>T,.</w:t>
      </w:r>
      <w:proofErr w:type="gramEnd"/>
      <w:r w:rsidRPr="00566A60">
        <w:rPr>
          <w:rFonts w:cstheme="minorHAnsi"/>
          <w:sz w:val="25"/>
          <w:szCs w:val="25"/>
        </w:rPr>
        <w:t xml:space="preserve"> &amp; </w:t>
      </w:r>
      <w:proofErr w:type="spellStart"/>
      <w:r w:rsidRPr="00566A60">
        <w:rPr>
          <w:rFonts w:cstheme="minorHAnsi"/>
          <w:sz w:val="25"/>
          <w:szCs w:val="25"/>
        </w:rPr>
        <w:t>Turanvoix</w:t>
      </w:r>
      <w:proofErr w:type="spellEnd"/>
      <w:r w:rsidRPr="00566A60">
        <w:rPr>
          <w:rFonts w:cstheme="minorHAnsi"/>
          <w:sz w:val="25"/>
          <w:szCs w:val="25"/>
        </w:rPr>
        <w:t>, J. (2015). ‘Lifestyle and Routine Activity Theories Revisited: The Importance of "Risk" to study of Victimization,’ 11 (3), p. 335-354</w:t>
      </w:r>
    </w:p>
    <w:p w14:paraId="7C22FD1A" w14:textId="77777777" w:rsidR="00B9379F" w:rsidRPr="00566A60" w:rsidRDefault="00B9379F" w:rsidP="00B9379F">
      <w:pPr>
        <w:spacing w:line="360" w:lineRule="auto"/>
        <w:rPr>
          <w:rFonts w:cstheme="minorHAnsi"/>
          <w:sz w:val="25"/>
          <w:szCs w:val="25"/>
        </w:rPr>
      </w:pPr>
      <w:r w:rsidRPr="00566A60">
        <w:rPr>
          <w:rFonts w:cstheme="minorHAnsi"/>
          <w:sz w:val="25"/>
          <w:szCs w:val="25"/>
        </w:rPr>
        <w:t xml:space="preserve">Available at: </w:t>
      </w:r>
      <w:hyperlink r:id="rId15" w:history="1">
        <w:r w:rsidRPr="00566A60">
          <w:rPr>
            <w:rStyle w:val="Hyperlink"/>
            <w:rFonts w:cstheme="minorHAnsi"/>
            <w:sz w:val="25"/>
            <w:szCs w:val="25"/>
          </w:rPr>
          <w:t>Full article: Lifestyle</w:t>
        </w:r>
        <w:r w:rsidRPr="00566A60">
          <w:rPr>
            <w:rStyle w:val="Hyperlink"/>
            <w:rFonts w:cstheme="minorHAnsi"/>
            <w:sz w:val="25"/>
            <w:szCs w:val="25"/>
          </w:rPr>
          <w:t xml:space="preserve"> </w:t>
        </w:r>
        <w:r w:rsidRPr="00566A60">
          <w:rPr>
            <w:rStyle w:val="Hyperlink"/>
            <w:rFonts w:cstheme="minorHAnsi"/>
            <w:sz w:val="25"/>
            <w:szCs w:val="25"/>
          </w:rPr>
          <w:t>and Routine Activity Theories Revisited: The Importance of “Risk” to the Study of Victimization (uwtsd.ac.uk)</w:t>
        </w:r>
      </w:hyperlink>
    </w:p>
    <w:p w14:paraId="3B5A6091" w14:textId="7F945E8D" w:rsidR="001A2D64" w:rsidRPr="00566A60" w:rsidRDefault="001A2D64">
      <w:pPr>
        <w:rPr>
          <w:rFonts w:cstheme="minorHAnsi"/>
          <w:sz w:val="25"/>
          <w:szCs w:val="25"/>
        </w:rPr>
      </w:pPr>
    </w:p>
    <w:p w14:paraId="7A68EE88" w14:textId="77777777" w:rsidR="00B9379F" w:rsidRPr="00566A60" w:rsidRDefault="00B9379F" w:rsidP="00B9379F">
      <w:pPr>
        <w:spacing w:line="360" w:lineRule="auto"/>
        <w:rPr>
          <w:rFonts w:cstheme="minorHAnsi"/>
          <w:color w:val="222222"/>
          <w:sz w:val="25"/>
          <w:szCs w:val="25"/>
          <w:shd w:val="clear" w:color="auto" w:fill="FFFFFF"/>
        </w:rPr>
      </w:pPr>
      <w:r w:rsidRPr="00566A60">
        <w:rPr>
          <w:rFonts w:cstheme="minorHAnsi"/>
          <w:color w:val="222222"/>
          <w:sz w:val="25"/>
          <w:szCs w:val="25"/>
          <w:shd w:val="clear" w:color="auto" w:fill="FFFFFF"/>
        </w:rPr>
        <w:t xml:space="preserve">Spicer, J., Moyle, L. &amp; </w:t>
      </w:r>
      <w:proofErr w:type="spellStart"/>
      <w:r w:rsidRPr="00566A60">
        <w:rPr>
          <w:rFonts w:cstheme="minorHAnsi"/>
          <w:color w:val="222222"/>
          <w:sz w:val="25"/>
          <w:szCs w:val="25"/>
          <w:shd w:val="clear" w:color="auto" w:fill="FFFFFF"/>
        </w:rPr>
        <w:t>Coomber</w:t>
      </w:r>
      <w:proofErr w:type="spellEnd"/>
      <w:r w:rsidRPr="00566A60">
        <w:rPr>
          <w:rFonts w:cstheme="minorHAnsi"/>
          <w:color w:val="222222"/>
          <w:sz w:val="25"/>
          <w:szCs w:val="25"/>
          <w:shd w:val="clear" w:color="auto" w:fill="FFFFFF"/>
        </w:rPr>
        <w:t>, R. (2020). ‘The variable and evolving nature of ‘cuckooing’ as a form of criminal exploitation in street level drug markets.’ </w:t>
      </w:r>
      <w:r w:rsidRPr="00566A60">
        <w:rPr>
          <w:rFonts w:cstheme="minorHAnsi"/>
          <w:i/>
          <w:iCs/>
          <w:color w:val="222222"/>
          <w:sz w:val="25"/>
          <w:szCs w:val="25"/>
          <w:shd w:val="clear" w:color="auto" w:fill="FFFFFF"/>
        </w:rPr>
        <w:t>Trends Organ Crim</w:t>
      </w:r>
      <w:r w:rsidRPr="00566A60">
        <w:rPr>
          <w:rFonts w:cstheme="minorHAnsi"/>
          <w:color w:val="222222"/>
          <w:sz w:val="25"/>
          <w:szCs w:val="25"/>
          <w:shd w:val="clear" w:color="auto" w:fill="FFFFFF"/>
        </w:rPr>
        <w:t xml:space="preserve"> 23, p. 301–323 </w:t>
      </w:r>
    </w:p>
    <w:p w14:paraId="79FC421A" w14:textId="7C175C72" w:rsidR="00B9379F" w:rsidRPr="00566A60" w:rsidRDefault="00B9379F" w:rsidP="00566A60">
      <w:pPr>
        <w:spacing w:line="360" w:lineRule="auto"/>
        <w:rPr>
          <w:rFonts w:cstheme="minorHAnsi"/>
          <w:color w:val="222222"/>
          <w:sz w:val="25"/>
          <w:szCs w:val="25"/>
          <w:shd w:val="clear" w:color="auto" w:fill="FFFFFF"/>
        </w:rPr>
      </w:pPr>
      <w:r w:rsidRPr="00566A60">
        <w:rPr>
          <w:rFonts w:cstheme="minorHAnsi"/>
          <w:color w:val="222222"/>
          <w:sz w:val="25"/>
          <w:szCs w:val="25"/>
          <w:shd w:val="clear" w:color="auto" w:fill="FFFFFF"/>
        </w:rPr>
        <w:t xml:space="preserve">Available at: </w:t>
      </w:r>
      <w:hyperlink r:id="rId16" w:history="1">
        <w:r w:rsidRPr="00566A60">
          <w:rPr>
            <w:rStyle w:val="Hyperlink"/>
            <w:rFonts w:cstheme="minorHAnsi"/>
            <w:sz w:val="25"/>
            <w:szCs w:val="25"/>
            <w:shd w:val="clear" w:color="auto" w:fill="FFFFFF"/>
          </w:rPr>
          <w:t>https://doi-</w:t>
        </w:r>
        <w:r w:rsidRPr="00566A60">
          <w:rPr>
            <w:rStyle w:val="Hyperlink"/>
            <w:rFonts w:cstheme="minorHAnsi"/>
            <w:sz w:val="25"/>
            <w:szCs w:val="25"/>
            <w:shd w:val="clear" w:color="auto" w:fill="FFFFFF"/>
          </w:rPr>
          <w:t>o</w:t>
        </w:r>
        <w:r w:rsidRPr="00566A60">
          <w:rPr>
            <w:rStyle w:val="Hyperlink"/>
            <w:rFonts w:cstheme="minorHAnsi"/>
            <w:sz w:val="25"/>
            <w:szCs w:val="25"/>
            <w:shd w:val="clear" w:color="auto" w:fill="FFFFFF"/>
          </w:rPr>
          <w:t>rg.ezproxy.uwtsd.ac.uk/10.1007/s12117-019-09368-5</w:t>
        </w:r>
      </w:hyperlink>
    </w:p>
    <w:p w14:paraId="2A3CD29F" w14:textId="77777777" w:rsidR="00B9379F" w:rsidRPr="00B9379F" w:rsidRDefault="00B9379F">
      <w:pPr>
        <w:rPr>
          <w:rFonts w:asciiTheme="majorHAnsi" w:hAnsiTheme="majorHAnsi" w:cstheme="majorHAnsi"/>
          <w:sz w:val="25"/>
          <w:szCs w:val="25"/>
        </w:rPr>
      </w:pPr>
    </w:p>
    <w:p w14:paraId="5839F9B6" w14:textId="77777777" w:rsidR="00B9379F" w:rsidRPr="00566A60" w:rsidRDefault="00B9379F" w:rsidP="00B9379F">
      <w:pPr>
        <w:tabs>
          <w:tab w:val="left" w:pos="7490"/>
        </w:tabs>
        <w:spacing w:line="360" w:lineRule="auto"/>
        <w:rPr>
          <w:rFonts w:cstheme="minorHAnsi"/>
          <w:sz w:val="25"/>
          <w:szCs w:val="25"/>
          <w:shd w:val="clear" w:color="auto" w:fill="FFFFFF"/>
        </w:rPr>
      </w:pPr>
      <w:r w:rsidRPr="00566A60">
        <w:rPr>
          <w:rFonts w:cstheme="minorHAnsi"/>
          <w:sz w:val="25"/>
          <w:szCs w:val="25"/>
          <w:shd w:val="clear" w:color="auto" w:fill="FFFFFF"/>
        </w:rPr>
        <w:t>TAYLOR, R. &amp; YAKELEY, J. (2019). ‘Working with MAPPA: ethics and pragmatics.’ </w:t>
      </w:r>
      <w:proofErr w:type="spellStart"/>
      <w:r w:rsidRPr="00566A60">
        <w:rPr>
          <w:rFonts w:cstheme="minorHAnsi"/>
          <w:i/>
          <w:iCs/>
          <w:sz w:val="25"/>
          <w:szCs w:val="25"/>
          <w:shd w:val="clear" w:color="auto" w:fill="FFFFFF"/>
        </w:rPr>
        <w:t>BJPsych</w:t>
      </w:r>
      <w:proofErr w:type="spellEnd"/>
      <w:r w:rsidRPr="00566A60">
        <w:rPr>
          <w:rFonts w:cstheme="minorHAnsi"/>
          <w:i/>
          <w:iCs/>
          <w:sz w:val="25"/>
          <w:szCs w:val="25"/>
          <w:shd w:val="clear" w:color="auto" w:fill="FFFFFF"/>
        </w:rPr>
        <w:t xml:space="preserve"> Advances, </w:t>
      </w:r>
      <w:r w:rsidRPr="00566A60">
        <w:rPr>
          <w:rFonts w:cstheme="minorHAnsi"/>
          <w:sz w:val="25"/>
          <w:szCs w:val="25"/>
          <w:shd w:val="clear" w:color="auto" w:fill="FFFFFF"/>
        </w:rPr>
        <w:t xml:space="preserve">25 (3), p. 157-165. Available at: </w:t>
      </w:r>
      <w:hyperlink r:id="rId17" w:history="1">
        <w:r w:rsidRPr="00566A60">
          <w:rPr>
            <w:rStyle w:val="Hyperlink"/>
            <w:rFonts w:cstheme="minorHAnsi"/>
            <w:sz w:val="25"/>
            <w:szCs w:val="25"/>
          </w:rPr>
          <w:t>Full article: Lifestyle and Routine Activity Theories Revisited: The Importance of “Risk” to the Study of Victimization (uwtsd.ac.uk)</w:t>
        </w:r>
      </w:hyperlink>
    </w:p>
    <w:p w14:paraId="336FBC4B" w14:textId="60976A34" w:rsidR="00B9379F" w:rsidRPr="00566A60" w:rsidRDefault="00B9379F">
      <w:pPr>
        <w:rPr>
          <w:rFonts w:cstheme="minorHAnsi"/>
          <w:sz w:val="25"/>
          <w:szCs w:val="25"/>
        </w:rPr>
      </w:pPr>
    </w:p>
    <w:p w14:paraId="2BD22861" w14:textId="3863E2C3" w:rsidR="00B9379F" w:rsidRPr="00566A60" w:rsidRDefault="00B9379F">
      <w:pPr>
        <w:rPr>
          <w:rFonts w:cstheme="minorHAnsi"/>
          <w:sz w:val="25"/>
          <w:szCs w:val="25"/>
        </w:rPr>
      </w:pPr>
    </w:p>
    <w:p w14:paraId="464D17B0" w14:textId="77777777" w:rsidR="00B9379F" w:rsidRPr="00566A60" w:rsidRDefault="00B9379F" w:rsidP="00B9379F">
      <w:pPr>
        <w:spacing w:line="360" w:lineRule="auto"/>
        <w:rPr>
          <w:rFonts w:cstheme="minorHAnsi"/>
          <w:sz w:val="25"/>
          <w:szCs w:val="25"/>
        </w:rPr>
      </w:pPr>
      <w:r w:rsidRPr="00566A60">
        <w:rPr>
          <w:rFonts w:cstheme="minorHAnsi"/>
          <w:sz w:val="25"/>
          <w:szCs w:val="25"/>
        </w:rPr>
        <w:t xml:space="preserve">Tehrani, N. (2023). ‘Offender Management: Reducing hazards and building resilience.’ </w:t>
      </w:r>
      <w:r w:rsidRPr="00566A60">
        <w:rPr>
          <w:rFonts w:cstheme="minorHAnsi"/>
          <w:i/>
          <w:iCs/>
          <w:sz w:val="25"/>
          <w:szCs w:val="25"/>
        </w:rPr>
        <w:t>International Journal of Police Science &amp; Management</w:t>
      </w:r>
      <w:r w:rsidRPr="00566A60">
        <w:rPr>
          <w:rFonts w:cstheme="minorHAnsi"/>
          <w:sz w:val="25"/>
          <w:szCs w:val="25"/>
        </w:rPr>
        <w:t xml:space="preserve">, 25 (4), p. 379-388. </w:t>
      </w:r>
    </w:p>
    <w:p w14:paraId="16928C76" w14:textId="77777777" w:rsidR="00B9379F" w:rsidRPr="00566A60" w:rsidRDefault="00B9379F" w:rsidP="00B9379F">
      <w:pPr>
        <w:spacing w:line="360" w:lineRule="auto"/>
        <w:rPr>
          <w:rFonts w:cstheme="minorHAnsi"/>
          <w:sz w:val="25"/>
          <w:szCs w:val="25"/>
        </w:rPr>
      </w:pPr>
      <w:r w:rsidRPr="00566A60">
        <w:rPr>
          <w:rFonts w:cstheme="minorHAnsi"/>
          <w:sz w:val="25"/>
          <w:szCs w:val="25"/>
        </w:rPr>
        <w:t xml:space="preserve">Available at: </w:t>
      </w:r>
      <w:hyperlink r:id="rId18" w:history="1">
        <w:r w:rsidRPr="00566A60">
          <w:rPr>
            <w:rStyle w:val="Hyperlink"/>
            <w:rFonts w:cstheme="minorHAnsi"/>
            <w:sz w:val="25"/>
            <w:szCs w:val="25"/>
          </w:rPr>
          <w:t>https://doi-org.ezproxy.uwtsd.ac.uk/10.1177/14613557231176367</w:t>
        </w:r>
      </w:hyperlink>
    </w:p>
    <w:p w14:paraId="6AFF1E4A" w14:textId="77777777" w:rsidR="00B9379F" w:rsidRPr="00566A60" w:rsidRDefault="00B9379F">
      <w:pPr>
        <w:rPr>
          <w:rFonts w:cstheme="minorHAnsi"/>
          <w:sz w:val="25"/>
          <w:szCs w:val="25"/>
        </w:rPr>
      </w:pPr>
    </w:p>
    <w:p w14:paraId="5C345D48" w14:textId="77777777" w:rsidR="00B9379F" w:rsidRPr="00566A60" w:rsidRDefault="00B9379F" w:rsidP="00B9379F">
      <w:pPr>
        <w:rPr>
          <w:rFonts w:cstheme="minorHAnsi"/>
          <w:sz w:val="25"/>
          <w:szCs w:val="25"/>
        </w:rPr>
      </w:pPr>
      <w:proofErr w:type="spellStart"/>
      <w:r w:rsidRPr="00566A60">
        <w:rPr>
          <w:rFonts w:cstheme="minorHAnsi"/>
          <w:sz w:val="25"/>
          <w:szCs w:val="25"/>
        </w:rPr>
        <w:t>Weatherburn</w:t>
      </w:r>
      <w:proofErr w:type="spellEnd"/>
      <w:r w:rsidRPr="00566A60">
        <w:rPr>
          <w:rFonts w:cstheme="minorHAnsi"/>
          <w:sz w:val="25"/>
          <w:szCs w:val="25"/>
        </w:rPr>
        <w:t>, D., Macadam, M. (2013). ‘A review of restorative justice responses to offending.’ p. 1-20. Available at:</w:t>
      </w:r>
      <w:r w:rsidRPr="00566A60">
        <w:rPr>
          <w:rFonts w:cstheme="minorHAnsi"/>
          <w:color w:val="3A3A3A"/>
          <w:sz w:val="25"/>
          <w:szCs w:val="25"/>
          <w:shd w:val="clear" w:color="auto" w:fill="FFFFFF"/>
        </w:rPr>
        <w:t xml:space="preserve"> </w:t>
      </w:r>
      <w:hyperlink r:id="rId19" w:history="1">
        <w:r w:rsidRPr="00566A60">
          <w:rPr>
            <w:rStyle w:val="Hyperlink"/>
            <w:rFonts w:cstheme="minorHAnsi"/>
            <w:sz w:val="25"/>
            <w:szCs w:val="25"/>
          </w:rPr>
          <w:t>A review of restorative justice responses to offending (informit.org)</w:t>
        </w:r>
      </w:hyperlink>
    </w:p>
    <w:p w14:paraId="733A90B7" w14:textId="28CEB06F" w:rsidR="001A2D64" w:rsidRPr="00566A60" w:rsidRDefault="001A2D64">
      <w:pPr>
        <w:rPr>
          <w:rFonts w:cstheme="minorHAnsi"/>
          <w:sz w:val="25"/>
          <w:szCs w:val="25"/>
        </w:rPr>
      </w:pPr>
    </w:p>
    <w:p w14:paraId="111F903E" w14:textId="56CB7C28" w:rsidR="00EF4800" w:rsidRPr="00566A60" w:rsidRDefault="00EF4800" w:rsidP="00EF4800">
      <w:pPr>
        <w:spacing w:line="360" w:lineRule="auto"/>
        <w:rPr>
          <w:rFonts w:cstheme="minorHAnsi"/>
          <w:sz w:val="25"/>
          <w:szCs w:val="25"/>
        </w:rPr>
      </w:pPr>
      <w:proofErr w:type="spellStart"/>
      <w:r w:rsidRPr="00566A60">
        <w:rPr>
          <w:rFonts w:cstheme="minorHAnsi"/>
          <w:sz w:val="25"/>
          <w:szCs w:val="25"/>
        </w:rPr>
        <w:t>Westmarland</w:t>
      </w:r>
      <w:proofErr w:type="spellEnd"/>
      <w:r w:rsidRPr="00566A60">
        <w:rPr>
          <w:rFonts w:cstheme="minorHAnsi"/>
          <w:sz w:val="25"/>
          <w:szCs w:val="25"/>
        </w:rPr>
        <w:t xml:space="preserve">, L., &amp; Conway, S. (2020) </w:t>
      </w:r>
      <w:r w:rsidRPr="00566A60">
        <w:rPr>
          <w:rFonts w:cstheme="minorHAnsi"/>
          <w:sz w:val="25"/>
          <w:szCs w:val="25"/>
        </w:rPr>
        <w:t>‘</w:t>
      </w:r>
      <w:r w:rsidRPr="00566A60">
        <w:rPr>
          <w:rFonts w:cstheme="minorHAnsi"/>
          <w:sz w:val="25"/>
          <w:szCs w:val="25"/>
        </w:rPr>
        <w:t xml:space="preserve">Police ethics and integrity: Keeping the ‘blue code’ of silence. </w:t>
      </w:r>
      <w:r w:rsidRPr="00566A60">
        <w:rPr>
          <w:rFonts w:cstheme="minorHAnsi"/>
          <w:i/>
          <w:iCs/>
          <w:sz w:val="25"/>
          <w:szCs w:val="25"/>
        </w:rPr>
        <w:t>International Journal of Police Science &amp; Management</w:t>
      </w:r>
      <w:r w:rsidRPr="00566A60">
        <w:rPr>
          <w:rFonts w:cstheme="minorHAnsi"/>
          <w:sz w:val="25"/>
          <w:szCs w:val="25"/>
        </w:rPr>
        <w:t>, 22</w:t>
      </w:r>
      <w:r w:rsidRPr="00566A60">
        <w:rPr>
          <w:rFonts w:cstheme="minorHAnsi"/>
          <w:sz w:val="25"/>
          <w:szCs w:val="25"/>
        </w:rPr>
        <w:t xml:space="preserve"> </w:t>
      </w:r>
      <w:r w:rsidRPr="00566A60">
        <w:rPr>
          <w:rFonts w:cstheme="minorHAnsi"/>
          <w:sz w:val="25"/>
          <w:szCs w:val="25"/>
        </w:rPr>
        <w:t xml:space="preserve">(4), </w:t>
      </w:r>
      <w:r w:rsidRPr="00566A60">
        <w:rPr>
          <w:rFonts w:cstheme="minorHAnsi"/>
          <w:sz w:val="25"/>
          <w:szCs w:val="25"/>
        </w:rPr>
        <w:t xml:space="preserve">p. </w:t>
      </w:r>
      <w:r w:rsidRPr="00566A60">
        <w:rPr>
          <w:rFonts w:cstheme="minorHAnsi"/>
          <w:sz w:val="25"/>
          <w:szCs w:val="25"/>
        </w:rPr>
        <w:t>378-392.</w:t>
      </w:r>
      <w:r w:rsidRPr="00566A60">
        <w:rPr>
          <w:rFonts w:cstheme="minorHAnsi"/>
          <w:sz w:val="25"/>
          <w:szCs w:val="25"/>
        </w:rPr>
        <w:t xml:space="preserve"> </w:t>
      </w:r>
      <w:r w:rsidRPr="00566A60">
        <w:rPr>
          <w:rFonts w:cstheme="minorHAnsi"/>
          <w:sz w:val="25"/>
          <w:szCs w:val="25"/>
        </w:rPr>
        <w:t xml:space="preserve">Available at: </w:t>
      </w:r>
      <w:hyperlink r:id="rId20" w:history="1">
        <w:r w:rsidRPr="00566A60">
          <w:rPr>
            <w:rStyle w:val="Hyperlink"/>
            <w:rFonts w:cstheme="minorHAnsi"/>
            <w:sz w:val="25"/>
            <w:szCs w:val="25"/>
          </w:rPr>
          <w:t>https://doi-org.</w:t>
        </w:r>
        <w:r w:rsidRPr="00566A60">
          <w:rPr>
            <w:rStyle w:val="Hyperlink"/>
            <w:rFonts w:cstheme="minorHAnsi"/>
            <w:sz w:val="25"/>
            <w:szCs w:val="25"/>
          </w:rPr>
          <w:t>e</w:t>
        </w:r>
        <w:r w:rsidRPr="00566A60">
          <w:rPr>
            <w:rStyle w:val="Hyperlink"/>
            <w:rFonts w:cstheme="minorHAnsi"/>
            <w:sz w:val="25"/>
            <w:szCs w:val="25"/>
          </w:rPr>
          <w:t>zproxy.uwtsd.ac.uk/10.1177/1461355720947762</w:t>
        </w:r>
      </w:hyperlink>
    </w:p>
    <w:p w14:paraId="0267FCE6" w14:textId="6A5DBA40" w:rsidR="00EF4800" w:rsidRPr="00566A60" w:rsidRDefault="00EF4800">
      <w:pPr>
        <w:rPr>
          <w:rFonts w:cstheme="minorHAnsi"/>
          <w:sz w:val="25"/>
          <w:szCs w:val="25"/>
        </w:rPr>
      </w:pPr>
    </w:p>
    <w:p w14:paraId="14A6CA5F" w14:textId="77777777" w:rsidR="00B9379F" w:rsidRPr="00566A60" w:rsidRDefault="00EF4800" w:rsidP="00B9379F">
      <w:pPr>
        <w:rPr>
          <w:rFonts w:cstheme="minorHAnsi"/>
          <w:color w:val="3A3A3A"/>
          <w:sz w:val="25"/>
          <w:szCs w:val="25"/>
          <w:shd w:val="clear" w:color="auto" w:fill="FFFFFF"/>
        </w:rPr>
      </w:pPr>
      <w:r w:rsidRPr="00566A60">
        <w:rPr>
          <w:rFonts w:cstheme="minorHAnsi"/>
          <w:sz w:val="25"/>
          <w:szCs w:val="25"/>
        </w:rPr>
        <w:t xml:space="preserve"> </w:t>
      </w:r>
      <w:r w:rsidR="00B9379F" w:rsidRPr="00566A60">
        <w:rPr>
          <w:rFonts w:cstheme="minorHAnsi"/>
          <w:sz w:val="25"/>
          <w:szCs w:val="25"/>
          <w:shd w:val="clear" w:color="auto" w:fill="FFFFFF"/>
        </w:rPr>
        <w:t xml:space="preserve">Windle, J., Moyle, L., &amp; </w:t>
      </w:r>
      <w:proofErr w:type="spellStart"/>
      <w:r w:rsidR="00B9379F" w:rsidRPr="00566A60">
        <w:rPr>
          <w:rFonts w:cstheme="minorHAnsi"/>
          <w:sz w:val="25"/>
          <w:szCs w:val="25"/>
          <w:shd w:val="clear" w:color="auto" w:fill="FFFFFF"/>
        </w:rPr>
        <w:t>Coomber</w:t>
      </w:r>
      <w:proofErr w:type="spellEnd"/>
      <w:r w:rsidR="00B9379F" w:rsidRPr="00566A60">
        <w:rPr>
          <w:rFonts w:cstheme="minorHAnsi"/>
          <w:sz w:val="25"/>
          <w:szCs w:val="25"/>
          <w:shd w:val="clear" w:color="auto" w:fill="FFFFFF"/>
        </w:rPr>
        <w:t>, R. (2020). ‘Vulnerable’ Kids Going Country: Children and Young People’s Involvement in County Lines Drug Dealing. </w:t>
      </w:r>
      <w:r w:rsidR="00B9379F" w:rsidRPr="00566A60">
        <w:rPr>
          <w:rFonts w:cstheme="minorHAnsi"/>
          <w:i/>
          <w:iCs/>
          <w:sz w:val="25"/>
          <w:szCs w:val="25"/>
          <w:shd w:val="clear" w:color="auto" w:fill="FFFFFF"/>
        </w:rPr>
        <w:t>Youth Justice</w:t>
      </w:r>
      <w:r w:rsidR="00B9379F" w:rsidRPr="00566A60">
        <w:rPr>
          <w:rFonts w:cstheme="minorHAnsi"/>
          <w:sz w:val="25"/>
          <w:szCs w:val="25"/>
          <w:shd w:val="clear" w:color="auto" w:fill="FFFFFF"/>
        </w:rPr>
        <w:t>, 20(1–2), p. 64–78. Available at</w:t>
      </w:r>
      <w:r w:rsidR="00B9379F" w:rsidRPr="00566A60">
        <w:rPr>
          <w:rFonts w:cstheme="minorHAnsi"/>
          <w:color w:val="3A3A3A"/>
          <w:sz w:val="25"/>
          <w:szCs w:val="25"/>
          <w:shd w:val="clear" w:color="auto" w:fill="FFFFFF"/>
        </w:rPr>
        <w:t xml:space="preserve">: </w:t>
      </w:r>
      <w:hyperlink r:id="rId21" w:history="1">
        <w:r w:rsidR="00B9379F" w:rsidRPr="00566A60">
          <w:rPr>
            <w:rStyle w:val="Hyperlink"/>
            <w:rFonts w:cstheme="minorHAnsi"/>
            <w:sz w:val="25"/>
            <w:szCs w:val="25"/>
            <w:shd w:val="clear" w:color="auto" w:fill="FFFFFF"/>
          </w:rPr>
          <w:t>https://doi.org/10.1177/1473225420902840</w:t>
        </w:r>
      </w:hyperlink>
    </w:p>
    <w:p w14:paraId="28BF1A05" w14:textId="5DAE5BF4" w:rsidR="00EF4800" w:rsidRPr="00B9379F" w:rsidRDefault="00EF4800">
      <w:pPr>
        <w:rPr>
          <w:rFonts w:asciiTheme="majorHAnsi" w:hAnsiTheme="majorHAnsi" w:cstheme="majorHAnsi"/>
          <w:sz w:val="25"/>
          <w:szCs w:val="25"/>
        </w:rPr>
      </w:pPr>
    </w:p>
    <w:p w14:paraId="6DDBFFC5" w14:textId="2BF01D88" w:rsidR="00EF4800" w:rsidRDefault="00EF4800"/>
    <w:p w14:paraId="68F0320E" w14:textId="57C1E2F7" w:rsidR="008E211F" w:rsidRDefault="008E211F" w:rsidP="00EF4800">
      <w:pPr>
        <w:spacing w:line="360" w:lineRule="auto"/>
        <w:rPr>
          <w:rStyle w:val="Hyperlink"/>
          <w:rFonts w:cstheme="minorHAnsi"/>
          <w:sz w:val="25"/>
          <w:szCs w:val="25"/>
          <w:shd w:val="clear" w:color="auto" w:fill="FFFFFF"/>
        </w:rPr>
      </w:pPr>
    </w:p>
    <w:p w14:paraId="442CFEC3" w14:textId="0D36614D" w:rsidR="008E211F" w:rsidRDefault="008E211F" w:rsidP="00EF4800">
      <w:pPr>
        <w:spacing w:line="360" w:lineRule="auto"/>
        <w:rPr>
          <w:rStyle w:val="Hyperlink"/>
          <w:rFonts w:cstheme="minorHAnsi"/>
          <w:sz w:val="25"/>
          <w:szCs w:val="25"/>
          <w:shd w:val="clear" w:color="auto" w:fill="FFFFFF"/>
        </w:rPr>
      </w:pPr>
    </w:p>
    <w:p w14:paraId="62A6FE5B" w14:textId="3B78E0DF" w:rsidR="008E211F" w:rsidRDefault="008E211F" w:rsidP="00EF4800">
      <w:pPr>
        <w:spacing w:line="360" w:lineRule="auto"/>
      </w:pPr>
    </w:p>
    <w:p w14:paraId="03EA3AB9" w14:textId="77777777" w:rsidR="00651965" w:rsidRPr="00EF4800" w:rsidRDefault="00651965" w:rsidP="00EF4800">
      <w:pPr>
        <w:spacing w:line="360" w:lineRule="auto"/>
        <w:rPr>
          <w:rFonts w:cstheme="minorHAnsi"/>
          <w:sz w:val="25"/>
          <w:szCs w:val="25"/>
          <w:shd w:val="clear" w:color="auto" w:fill="FFFFFF"/>
        </w:rPr>
      </w:pPr>
    </w:p>
    <w:p w14:paraId="13636DB7" w14:textId="0B4E4825" w:rsidR="000369D7" w:rsidRDefault="000369D7"/>
    <w:p w14:paraId="62E809A7" w14:textId="2EA0F69E" w:rsidR="000369D7" w:rsidRDefault="000369D7"/>
    <w:p w14:paraId="7021CDA2" w14:textId="5BDAAF91" w:rsidR="008833D5" w:rsidRDefault="008833D5"/>
    <w:p w14:paraId="69EDD742" w14:textId="6467EFD1" w:rsidR="008833D5" w:rsidRDefault="008833D5"/>
    <w:p w14:paraId="026813E6" w14:textId="2E0CECEC" w:rsidR="008833D5" w:rsidRDefault="008833D5"/>
    <w:p w14:paraId="40E9F885" w14:textId="6AEFD789" w:rsidR="00DB09AC" w:rsidRDefault="00DB09AC"/>
    <w:p w14:paraId="72B80AAA" w14:textId="197E1046" w:rsidR="00DB09AC" w:rsidRDefault="00DB09AC">
      <w:pPr>
        <w:rPr>
          <w:rStyle w:val="Hyperlink"/>
          <w:rFonts w:cstheme="minorHAnsi"/>
          <w:sz w:val="25"/>
          <w:szCs w:val="25"/>
          <w:shd w:val="clear" w:color="auto" w:fill="FFFFFF"/>
        </w:rPr>
      </w:pPr>
    </w:p>
    <w:p w14:paraId="1443124B" w14:textId="6C2177F2" w:rsidR="00DB09AC" w:rsidRDefault="00DB09AC">
      <w:pPr>
        <w:rPr>
          <w:rStyle w:val="Hyperlink"/>
          <w:rFonts w:cstheme="minorHAnsi"/>
          <w:sz w:val="25"/>
          <w:szCs w:val="25"/>
          <w:shd w:val="clear" w:color="auto" w:fill="FFFFFF"/>
        </w:rPr>
      </w:pPr>
    </w:p>
    <w:p w14:paraId="127B6F68" w14:textId="24A4B7DB" w:rsidR="00DB09AC" w:rsidRDefault="00DB09AC">
      <w:pPr>
        <w:rPr>
          <w:rFonts w:ascii="Source Sans Pro" w:hAnsi="Source Sans Pro"/>
          <w:color w:val="3A3A3A"/>
          <w:sz w:val="23"/>
          <w:szCs w:val="23"/>
          <w:shd w:val="clear" w:color="auto" w:fill="FFFFFF"/>
        </w:rPr>
      </w:pPr>
    </w:p>
    <w:p w14:paraId="5E2E22CD" w14:textId="45B9BB98" w:rsidR="00DB09AC" w:rsidRDefault="00DB09AC"/>
    <w:p w14:paraId="05D0405B" w14:textId="4EEAB129" w:rsidR="000B5E6F" w:rsidRDefault="000B5E6F">
      <w:pPr>
        <w:rPr>
          <w:rFonts w:ascii="Source Sans Pro" w:hAnsi="Source Sans Pro"/>
          <w:color w:val="3A3A3A"/>
          <w:sz w:val="23"/>
          <w:szCs w:val="23"/>
          <w:shd w:val="clear" w:color="auto" w:fill="FFFFFF"/>
        </w:rPr>
      </w:pPr>
    </w:p>
    <w:p w14:paraId="1C9B4B49" w14:textId="0CA3FDC0" w:rsidR="000B5E6F" w:rsidRDefault="000B5E6F">
      <w:pPr>
        <w:rPr>
          <w:rFonts w:ascii="Source Sans Pro" w:hAnsi="Source Sans Pro"/>
          <w:color w:val="3A3A3A"/>
          <w:sz w:val="23"/>
          <w:szCs w:val="23"/>
          <w:shd w:val="clear" w:color="auto" w:fill="FFFFFF"/>
        </w:rPr>
      </w:pPr>
    </w:p>
    <w:p w14:paraId="4B2F0B03" w14:textId="66C6560B" w:rsidR="000B5E6F" w:rsidRDefault="000B5E6F" w:rsidP="000B5E6F">
      <w:pPr>
        <w:spacing w:line="360" w:lineRule="auto"/>
        <w:rPr>
          <w:rFonts w:cstheme="minorHAnsi"/>
          <w:i/>
          <w:iCs/>
          <w:sz w:val="25"/>
          <w:szCs w:val="25"/>
        </w:rPr>
      </w:pPr>
    </w:p>
    <w:p w14:paraId="61DFC9AC" w14:textId="77777777" w:rsidR="000B5E6F" w:rsidRPr="000B5E6F" w:rsidRDefault="000B5E6F" w:rsidP="000B5E6F">
      <w:pPr>
        <w:spacing w:line="360" w:lineRule="auto"/>
        <w:rPr>
          <w:rFonts w:cstheme="minorHAnsi"/>
          <w:i/>
          <w:iCs/>
          <w:sz w:val="25"/>
          <w:szCs w:val="25"/>
        </w:rPr>
      </w:pPr>
    </w:p>
    <w:p w14:paraId="09A9D9D9" w14:textId="00CF2883" w:rsidR="00B9379F" w:rsidRDefault="00B9379F">
      <w:r>
        <w:rPr>
          <w:rFonts w:cstheme="minorHAnsi"/>
          <w:sz w:val="25"/>
          <w:szCs w:val="25"/>
        </w:rPr>
        <w:t xml:space="preserve"> </w:t>
      </w:r>
    </w:p>
    <w:p w14:paraId="58B5B3F3" w14:textId="482607AB" w:rsidR="00B9379F" w:rsidRPr="00B9379F" w:rsidRDefault="00B9379F">
      <w:pPr>
        <w:rPr>
          <w:i/>
          <w:iCs/>
        </w:rPr>
      </w:pPr>
    </w:p>
    <w:sectPr w:rsidR="00B9379F" w:rsidRPr="00B937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633"/>
    <w:rsid w:val="000369D7"/>
    <w:rsid w:val="000B5E6F"/>
    <w:rsid w:val="0018328A"/>
    <w:rsid w:val="001A2D64"/>
    <w:rsid w:val="002220EB"/>
    <w:rsid w:val="00566A60"/>
    <w:rsid w:val="00651965"/>
    <w:rsid w:val="006C75C3"/>
    <w:rsid w:val="006D4633"/>
    <w:rsid w:val="008833D5"/>
    <w:rsid w:val="008E211F"/>
    <w:rsid w:val="00A459D8"/>
    <w:rsid w:val="00B9379F"/>
    <w:rsid w:val="00CC4897"/>
    <w:rsid w:val="00DB09AC"/>
    <w:rsid w:val="00DD7F32"/>
    <w:rsid w:val="00EF4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9ED6E"/>
  <w15:chartTrackingRefBased/>
  <w15:docId w15:val="{226CE652-486F-4E5E-B50B-EF84C6D5F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4633"/>
    <w:rPr>
      <w:color w:val="0000FF"/>
      <w:u w:val="single"/>
    </w:rPr>
  </w:style>
  <w:style w:type="character" w:styleId="FollowedHyperlink">
    <w:name w:val="FollowedHyperlink"/>
    <w:basedOn w:val="DefaultParagraphFont"/>
    <w:uiPriority w:val="99"/>
    <w:semiHidden/>
    <w:unhideWhenUsed/>
    <w:rsid w:val="001A2D64"/>
    <w:rPr>
      <w:color w:val="954F72" w:themeColor="followedHyperlink"/>
      <w:u w:val="single"/>
    </w:rPr>
  </w:style>
  <w:style w:type="character" w:styleId="UnresolvedMention">
    <w:name w:val="Unresolved Mention"/>
    <w:basedOn w:val="DefaultParagraphFont"/>
    <w:uiPriority w:val="99"/>
    <w:semiHidden/>
    <w:unhideWhenUsed/>
    <w:rsid w:val="00DB09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170301">
      <w:bodyDiv w:val="1"/>
      <w:marLeft w:val="0"/>
      <w:marRight w:val="0"/>
      <w:marTop w:val="0"/>
      <w:marBottom w:val="0"/>
      <w:divBdr>
        <w:top w:val="none" w:sz="0" w:space="0" w:color="auto"/>
        <w:left w:val="none" w:sz="0" w:space="0" w:color="auto"/>
        <w:bottom w:val="none" w:sz="0" w:space="0" w:color="auto"/>
        <w:right w:val="none" w:sz="0" w:space="0" w:color="auto"/>
      </w:divBdr>
      <w:divsChild>
        <w:div w:id="615410346">
          <w:marLeft w:val="0"/>
          <w:marRight w:val="0"/>
          <w:marTop w:val="0"/>
          <w:marBottom w:val="0"/>
          <w:divBdr>
            <w:top w:val="none" w:sz="0" w:space="0" w:color="auto"/>
            <w:left w:val="none" w:sz="0" w:space="0" w:color="auto"/>
            <w:bottom w:val="none" w:sz="0" w:space="0" w:color="auto"/>
            <w:right w:val="none" w:sz="0" w:space="0" w:color="auto"/>
          </w:divBdr>
          <w:divsChild>
            <w:div w:id="205222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076098560?accountid=130472" TargetMode="External"/><Relationship Id="rId13" Type="http://schemas.openxmlformats.org/officeDocument/2006/relationships/hyperlink" Target="file:///C:\Users\408587\Downloads\IOPC-public-perceptions-tracker-report-2022-23%20(4).pdf" TargetMode="External"/><Relationship Id="rId18" Type="http://schemas.openxmlformats.org/officeDocument/2006/relationships/hyperlink" Target="https://doi-org.ezproxy.uwtsd.ac.uk/10.1177/14613557231176367" TargetMode="External"/><Relationship Id="rId3" Type="http://schemas.openxmlformats.org/officeDocument/2006/relationships/webSettings" Target="webSettings.xml"/><Relationship Id="rId21" Type="http://schemas.openxmlformats.org/officeDocument/2006/relationships/hyperlink" Target="https://doi.org/10.1177/1473225420902840" TargetMode="External"/><Relationship Id="rId7" Type="http://schemas.openxmlformats.org/officeDocument/2006/relationships/hyperlink" Target="https://www.college.police.uk/guidance/restorative-justice/evidence-briefing" TargetMode="External"/><Relationship Id="rId12" Type="http://schemas.openxmlformats.org/officeDocument/2006/relationships/hyperlink" Target="https://whelf-uwtsd.alma.exlibrisgroup.com/view/action/uresolver.do?operation=resolveService&amp;package_service_id=9896570670002421&amp;institutionId=2421&amp;customerId=2415" TargetMode="External"/><Relationship Id="rId17" Type="http://schemas.openxmlformats.org/officeDocument/2006/relationships/hyperlink" Target="https://www-tandfonline-com.ezproxy.uwtsd.ac.uk/doi/full/10.1080/15564886.2015.1057351" TargetMode="External"/><Relationship Id="rId2" Type="http://schemas.openxmlformats.org/officeDocument/2006/relationships/settings" Target="settings.xml"/><Relationship Id="rId16" Type="http://schemas.openxmlformats.org/officeDocument/2006/relationships/hyperlink" Target="https://doi-org.ezproxy.uwtsd.ac.uk/10.1007/s12117-019-09368-5" TargetMode="External"/><Relationship Id="rId20" Type="http://schemas.openxmlformats.org/officeDocument/2006/relationships/hyperlink" Target="https://doi-org.ezproxy.uwtsd.ac.uk/10.1177/1461355720947762" TargetMode="External"/><Relationship Id="rId1" Type="http://schemas.openxmlformats.org/officeDocument/2006/relationships/styles" Target="styles.xml"/><Relationship Id="rId6" Type="http://schemas.openxmlformats.org/officeDocument/2006/relationships/hyperlink" Target="https://www.plymouthherald.co.uk/news/plymouth-news/revealed-13-incredible-stories-police-1122634" TargetMode="External"/><Relationship Id="rId11" Type="http://schemas.openxmlformats.org/officeDocument/2006/relationships/hyperlink" Target="https://www.proquest.com/docview/1266442877?accountid=130472" TargetMode="External"/><Relationship Id="rId5" Type="http://schemas.openxmlformats.org/officeDocument/2006/relationships/hyperlink" Target="https://academic.oup.com/pnasnexus/article/1/5/pgac189/6695312?login=false" TargetMode="External"/><Relationship Id="rId15" Type="http://schemas.openxmlformats.org/officeDocument/2006/relationships/hyperlink" Target="https://www-tandfonline-com.ezproxy.uwtsd.ac.uk/doi/full/10.1080/15564886.2015.1057351" TargetMode="External"/><Relationship Id="rId23" Type="http://schemas.openxmlformats.org/officeDocument/2006/relationships/theme" Target="theme/theme1.xml"/><Relationship Id="rId10" Type="http://schemas.openxmlformats.org/officeDocument/2006/relationships/hyperlink" Target="https://www-sciencedirect-com.ezproxy.uwtsd.ac.uk/science/article/pii/S0047235207000207?via%3Dihub" TargetMode="External"/><Relationship Id="rId19" Type="http://schemas.openxmlformats.org/officeDocument/2006/relationships/hyperlink" Target="https://search.informit.org/doi/epdf/10.3316/informit.252309082433738" TargetMode="External"/><Relationship Id="rId4" Type="http://schemas.openxmlformats.org/officeDocument/2006/relationships/hyperlink" Target="https://onlinelibrary-wiley-com.ezproxy.uwtsd.ac.uk/doi/full/10.1002/jcop.22767" TargetMode="External"/><Relationship Id="rId9" Type="http://schemas.openxmlformats.org/officeDocument/2006/relationships/hyperlink" Target="https://doi.org/10.1093/pubmed/fdac112" TargetMode="External"/><Relationship Id="rId14" Type="http://schemas.openxmlformats.org/officeDocument/2006/relationships/hyperlink" Target="https://web-s-ebscohost-com.ezproxy.uwtsd.ac.uk/ehost/pdfviewer/pdfviewer?vid=0&amp;sid=47dcfcb7-3e5a-4523-8e19-99235604cfd7%40red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17</Pages>
  <Words>5202</Words>
  <Characters>29653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Furber, Lydia</dc:creator>
  <cp:keywords/>
  <dc:description/>
  <cp:lastModifiedBy>Furber, Lydia</cp:lastModifiedBy>
  <cp:revision>1</cp:revision>
  <dcterms:created xsi:type="dcterms:W3CDTF">2023-12-11T18:06:00Z</dcterms:created>
  <dcterms:modified xsi:type="dcterms:W3CDTF">2023-12-11T21:04:00Z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2023-12-11T21:04:39Z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eb816295-5ec7-4e1e-87cc-7f06e6ac7eb6</vt:lpwstr>
  </property>
  <property fmtid="{D5CDD505-2E9C-101B-9397-08002B2CF9AE}" pid="8" name="MSIP_Label_f2acd28b-79a3-4a0f-b0ff-4b75658b1549_ContentBits">
    <vt:lpwstr>0</vt:lpwstr>
  </property>
</Properties>
</file>