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8898FFE" w14:textId="77777777" w:rsidR="00284165" w:rsidRDefault="00284165">
      <w:pPr>
        <w:rPr>
          <w:b/>
          <w:bCs/>
          <w:sz w:val="28"/>
          <w:szCs w:val="28"/>
          <w:u w:val="single"/>
        </w:rPr>
      </w:pPr>
      <w:r>
        <w:rPr>
          <w:b/>
          <w:bCs/>
          <w:sz w:val="28"/>
          <w:szCs w:val="28"/>
          <w:u w:val="single"/>
        </w:rPr>
        <w:t>ECHC5005 REFLECTIVE ACCOUNT</w:t>
      </w:r>
    </w:p>
    <w:p w14:paraId="3065D76B" w14:textId="363875BD" w:rsidR="00284165" w:rsidRDefault="00284165">
      <w:pPr>
        <w:rPr>
          <w:sz w:val="28"/>
          <w:szCs w:val="28"/>
        </w:rPr>
      </w:pPr>
      <w:r>
        <w:rPr>
          <w:sz w:val="28"/>
          <w:szCs w:val="28"/>
        </w:rPr>
        <w:t xml:space="preserve">The aim of this </w:t>
      </w:r>
      <w:r w:rsidR="007216A3">
        <w:rPr>
          <w:sz w:val="28"/>
          <w:szCs w:val="28"/>
        </w:rPr>
        <w:t>reflective</w:t>
      </w:r>
      <w:r>
        <w:rPr>
          <w:sz w:val="28"/>
          <w:szCs w:val="28"/>
        </w:rPr>
        <w:t xml:space="preserve"> account is to focus on a client presented at supervision. It will show evidence of </w:t>
      </w:r>
      <w:r w:rsidR="007216A3">
        <w:rPr>
          <w:sz w:val="28"/>
          <w:szCs w:val="28"/>
        </w:rPr>
        <w:t>self-awareness</w:t>
      </w:r>
      <w:r>
        <w:rPr>
          <w:sz w:val="28"/>
          <w:szCs w:val="28"/>
        </w:rPr>
        <w:t xml:space="preserve"> of the counsellor and will </w:t>
      </w:r>
      <w:r w:rsidR="007216A3">
        <w:rPr>
          <w:sz w:val="28"/>
          <w:szCs w:val="28"/>
        </w:rPr>
        <w:t>highlight issues</w:t>
      </w:r>
      <w:r>
        <w:rPr>
          <w:sz w:val="28"/>
          <w:szCs w:val="28"/>
        </w:rPr>
        <w:t xml:space="preserve"> that would need addressing whilst working in this field.</w:t>
      </w:r>
    </w:p>
    <w:p w14:paraId="29D144EA" w14:textId="3BC99C7D" w:rsidR="007216A3" w:rsidRPr="007216A3" w:rsidRDefault="007216A3" w:rsidP="007216A3">
      <w:pPr>
        <w:rPr>
          <w:sz w:val="28"/>
          <w:szCs w:val="28"/>
        </w:rPr>
      </w:pPr>
      <w:r w:rsidRPr="007216A3">
        <w:rPr>
          <w:sz w:val="28"/>
          <w:szCs w:val="28"/>
        </w:rPr>
        <w:t>BACP describes supervision as</w:t>
      </w:r>
      <w:r>
        <w:rPr>
          <w:sz w:val="28"/>
          <w:szCs w:val="28"/>
        </w:rPr>
        <w:t>:</w:t>
      </w:r>
    </w:p>
    <w:p w14:paraId="725C704A" w14:textId="4085345D" w:rsidR="007216A3" w:rsidRDefault="007216A3" w:rsidP="007216A3">
      <w:pPr>
        <w:ind w:left="454" w:right="510"/>
        <w:rPr>
          <w:i/>
          <w:iCs/>
          <w:sz w:val="28"/>
          <w:szCs w:val="28"/>
        </w:rPr>
      </w:pPr>
      <w:r w:rsidRPr="007216A3">
        <w:rPr>
          <w:i/>
          <w:iCs/>
          <w:sz w:val="28"/>
          <w:szCs w:val="28"/>
        </w:rPr>
        <w:t>A specialised form of professional mentoring provided for practitioners responsible for undertaking challenging work with people. Supervision is provided to ensure standards, enhance quality, advance learning, stimulate creativity, and support the sustainability and resilience of the work being undertaken (BACP, 2016).</w:t>
      </w:r>
    </w:p>
    <w:p w14:paraId="51369C2A" w14:textId="2A563A21" w:rsidR="007216A3" w:rsidRDefault="007216A3" w:rsidP="007216A3">
      <w:pPr>
        <w:rPr>
          <w:sz w:val="28"/>
          <w:szCs w:val="28"/>
        </w:rPr>
      </w:pPr>
      <w:r>
        <w:rPr>
          <w:sz w:val="28"/>
          <w:szCs w:val="28"/>
        </w:rPr>
        <w:t>This reflection centres around the student counsellors use of supervision to support and improve their practice using Inter process recall highlighting the issue of mortality in pre bereavement counselling.</w:t>
      </w:r>
    </w:p>
    <w:p w14:paraId="30D22790" w14:textId="2436D073" w:rsidR="007216A3" w:rsidRDefault="007216A3" w:rsidP="007216A3">
      <w:pPr>
        <w:rPr>
          <w:sz w:val="28"/>
          <w:szCs w:val="28"/>
        </w:rPr>
      </w:pPr>
      <w:r>
        <w:rPr>
          <w:sz w:val="28"/>
          <w:szCs w:val="28"/>
        </w:rPr>
        <w:t>Through time death has become more medicalised and has led to a disconnection. Deaths at home have fallen significantly over recent years. It has been said that a reconnection with death is possible by talking more freely about the subject. This can be an enormous relief for those who have dealt with the fear on their own. It is said if we open about death, we engage more fully with life by living are lives with more of a sense of openness we, we will be more likely to open in our approach to death. I f our clients ate to move to a place of more fluidity, they to have to face their own reality of their own death and mortality. As counsellors we have a responsibility in helping our clients and supporting them explore their own mortality. However, there may be a reluctance to support the client in exploring their mortality if as a counsellor we have not gone there are self’s. (Jordan,2017)</w:t>
      </w:r>
    </w:p>
    <w:p w14:paraId="6039D01C" w14:textId="6F47C94D" w:rsidR="007216A3" w:rsidRDefault="007216A3" w:rsidP="007216A3">
      <w:pPr>
        <w:rPr>
          <w:sz w:val="28"/>
          <w:szCs w:val="28"/>
        </w:rPr>
      </w:pPr>
      <w:r>
        <w:rPr>
          <w:sz w:val="28"/>
          <w:szCs w:val="28"/>
        </w:rPr>
        <w:t>Yalom also looks at dealing with client’s exploration of mortality. He suggests an alternative to religion from the works of Epicurus , which suggests if there is nothing after death we will never have to perceive it as when we are dead we don’t know we are dead in this case what is there to fear . He goes on to quote  Epicurus in saying ‘ where 8Iam , death is not , and were death is Aim not (yallom,2008) Yalom also considered the concept of the rippling effect in to which he had a idea of a rippling leaving behind some wisdom, guidance, virtue ,comfort that passes to others known or unknown a statement that sums this up would be that of’ look for her in her friends’ suggesting the effect or ripple we have on others as our legacy long after we are gone.(Yalom,2008)</w:t>
      </w:r>
    </w:p>
    <w:p w14:paraId="5BFD34E7" w14:textId="180E6E34" w:rsidR="007216A3" w:rsidRDefault="007216A3" w:rsidP="007216A3">
      <w:pPr>
        <w:rPr>
          <w:sz w:val="28"/>
          <w:szCs w:val="28"/>
        </w:rPr>
      </w:pPr>
      <w:r>
        <w:rPr>
          <w:sz w:val="28"/>
          <w:szCs w:val="28"/>
        </w:rPr>
        <w:lastRenderedPageBreak/>
        <w:t xml:space="preserve"> The female client presented at their first telephone assessment session with bereavement concerns for the loss of a partner, But went on to disclose their own recent diagnoses with terminal illness and wished to discuss this issue  as it was causing her a lot of anguish as she had been diagnosed just before the coved 19 lockdown she was also describing feeling of being very low and lonely. Despite wanting  to talk about these issues the client stated that she was not afraid of dying and was more concerned about the problems this would cause for her family and what she would like to leave them , however it was evident that the client was experiencing a lot of anxiety from talking about these issues.</w:t>
      </w:r>
    </w:p>
    <w:p w14:paraId="7697909E" w14:textId="664CA272" w:rsidR="007216A3" w:rsidRDefault="007216A3" w:rsidP="007216A3">
      <w:pPr>
        <w:rPr>
          <w:sz w:val="28"/>
          <w:szCs w:val="28"/>
        </w:rPr>
      </w:pPr>
      <w:r>
        <w:rPr>
          <w:sz w:val="28"/>
          <w:szCs w:val="28"/>
        </w:rPr>
        <w:t xml:space="preserve"> After the first session the student counsellor used the method of interpersonal recall to examine the session in more depth and to highlight any issues that needed to be explored in supervision. (IPR) Is a supervision strategy  developed by Norman Kegan and colleagues that empowers counsellors to understand and act upon realization they may otherwise not examine.(Cashwell, 1994) Kagan believed that it was the individual who could make the best meaning and understanding of their own experience. He describes each person as unique and an authority about themselves. (Kagan,1980)</w:t>
      </w:r>
    </w:p>
    <w:p w14:paraId="02807348" w14:textId="640A197B" w:rsidR="007216A3" w:rsidRDefault="007216A3" w:rsidP="007216A3">
      <w:pPr>
        <w:rPr>
          <w:sz w:val="28"/>
          <w:szCs w:val="28"/>
        </w:rPr>
      </w:pPr>
      <w:r>
        <w:rPr>
          <w:sz w:val="28"/>
          <w:szCs w:val="28"/>
        </w:rPr>
        <w:t xml:space="preserve"> By using this method before attending supervision the student counsellor was able to look more deeply at what she felt was going on in the session and how it had affected her client and herself.  By using questioning in the form of inquiring leads (Kagin, 1980) she was able to reflect on questions she had not considered before. These questions were later explored in more depth with her supervisor. </w:t>
      </w:r>
    </w:p>
    <w:p w14:paraId="056E0228" w14:textId="20D910DD" w:rsidR="007216A3" w:rsidRDefault="007216A3" w:rsidP="007216A3">
      <w:pPr>
        <w:rPr>
          <w:sz w:val="28"/>
          <w:szCs w:val="28"/>
        </w:rPr>
      </w:pPr>
      <w:r>
        <w:rPr>
          <w:sz w:val="28"/>
          <w:szCs w:val="28"/>
        </w:rPr>
        <w:t xml:space="preserve">From the supervision session it emerged that the student counsellor had been cautious to explore the clients feeling on mortality with the client as At the time of the session  the counsellor had not been prepared for these pre bereavement issues arising and had little experience of this side of bereavement , so therefor  felt underconfident to explore this with the client . What the counsellor did however was to explain her lack of knowledge of the client’s illness but assured the client they would be there to listen to client if they wished to talk about how they felt. After reflecting on this issue with the supervisor the counsellor felt she had a better understanding of what the client might like to talk about regarding her own issues around her death </w:t>
      </w:r>
    </w:p>
    <w:p w14:paraId="1902B148" w14:textId="12274BD2" w:rsidR="007216A3" w:rsidRDefault="007216A3" w:rsidP="007216A3">
      <w:pPr>
        <w:rPr>
          <w:sz w:val="28"/>
          <w:szCs w:val="28"/>
        </w:rPr>
      </w:pPr>
      <w:r>
        <w:rPr>
          <w:sz w:val="28"/>
          <w:szCs w:val="28"/>
        </w:rPr>
        <w:t xml:space="preserve">This was then identified by the counsellor to be a case of possible countertransference. Countertransference is a term used to referee to </w:t>
      </w:r>
      <w:r>
        <w:rPr>
          <w:sz w:val="28"/>
          <w:szCs w:val="28"/>
        </w:rPr>
        <w:lastRenderedPageBreak/>
        <w:t>transference that happens in the opposite direction, were the therapist’s unconscious reaction to the client. (Tudor and Merry, 2006)</w:t>
      </w:r>
    </w:p>
    <w:p w14:paraId="1C67DFD1" w14:textId="0AA080F5" w:rsidR="007216A3" w:rsidRPr="007216A3" w:rsidRDefault="007216A3" w:rsidP="007216A3">
      <w:pPr>
        <w:rPr>
          <w:sz w:val="28"/>
          <w:szCs w:val="28"/>
        </w:rPr>
      </w:pPr>
      <w:r>
        <w:rPr>
          <w:sz w:val="28"/>
          <w:szCs w:val="28"/>
        </w:rPr>
        <w:t xml:space="preserve">The counsellor explored her own understanding of mortality with her supervisor and discovered that this could possibly be an issue that she was finding difficult within her own life. the counsellor felt she was under prepared to explore this issue with the client in the session and felt that while she had listened to the client this issue could  paraphs stop the process of relational depth occurring within the therapeutic relationship  in future sessions if this issue was not addressed . This is explored by Mearns and Cooper who feel the key to banishing transference and counter transience is developing relational depth  and believe that transference phenomena belong to a more superficial level of relating were people are still being symbols for each other.(Means and Cooper,2005)                                                                                      </w:t>
      </w:r>
      <w:r w:rsidRPr="007216A3">
        <w:t xml:space="preserve"> </w:t>
      </w:r>
      <w:r w:rsidRPr="007216A3">
        <w:rPr>
          <w:sz w:val="28"/>
          <w:szCs w:val="28"/>
        </w:rPr>
        <w:t xml:space="preserve">In their qualitative study of supervision dyads, </w:t>
      </w:r>
      <w:r>
        <w:rPr>
          <w:sz w:val="28"/>
          <w:szCs w:val="28"/>
        </w:rPr>
        <w:t>z</w:t>
      </w:r>
      <w:r w:rsidRPr="007216A3">
        <w:rPr>
          <w:sz w:val="28"/>
          <w:szCs w:val="28"/>
        </w:rPr>
        <w:t>alevsky</w:t>
      </w:r>
      <w:r w:rsidRPr="007216A3">
        <w:rPr>
          <w:sz w:val="28"/>
          <w:szCs w:val="28"/>
        </w:rPr>
        <w:t xml:space="preserve"> et al. (2005) aimed to identify, describe and examine how supervision addresses countertransference. They demonstrate the relational nature of supervision and its empathic interaction and conclude that it is this nature of the supervisory relationship that enables a direct approach to </w:t>
      </w:r>
      <w:r w:rsidRPr="007216A3">
        <w:rPr>
          <w:sz w:val="28"/>
          <w:szCs w:val="28"/>
        </w:rPr>
        <w:t>deal</w:t>
      </w:r>
      <w:r w:rsidRPr="007216A3">
        <w:rPr>
          <w:sz w:val="28"/>
          <w:szCs w:val="28"/>
        </w:rPr>
        <w:t xml:space="preserve"> with countertransference. They indicate that during supervision, there is countertransference when the supervisee identifies with their client, exhibits blind spots about their client, and manifests emotional and behavioural disturbances., the authors consider,</w:t>
      </w:r>
      <w:r w:rsidRPr="007216A3">
        <w:rPr>
          <w:sz w:val="28"/>
          <w:szCs w:val="28"/>
        </w:rPr>
        <w:t xml:space="preserve"> </w:t>
      </w:r>
      <w:r w:rsidRPr="007216A3">
        <w:rPr>
          <w:sz w:val="28"/>
          <w:szCs w:val="28"/>
        </w:rPr>
        <w:t xml:space="preserve">When supervisors observe these blind spots in supervisees that this can initiate an exploration of the countertransference between the </w:t>
      </w:r>
      <w:r>
        <w:rPr>
          <w:sz w:val="28"/>
          <w:szCs w:val="28"/>
        </w:rPr>
        <w:t xml:space="preserve">counsellor </w:t>
      </w:r>
      <w:r w:rsidRPr="007216A3">
        <w:rPr>
          <w:sz w:val="28"/>
          <w:szCs w:val="28"/>
        </w:rPr>
        <w:t>and  client.</w:t>
      </w:r>
    </w:p>
    <w:p w14:paraId="58022001" w14:textId="339029AB" w:rsidR="007216A3" w:rsidRPr="007216A3" w:rsidRDefault="007216A3" w:rsidP="007216A3">
      <w:pPr>
        <w:rPr>
          <w:sz w:val="28"/>
          <w:szCs w:val="28"/>
        </w:rPr>
      </w:pPr>
      <w:r w:rsidRPr="007216A3">
        <w:rPr>
          <w:sz w:val="28"/>
          <w:szCs w:val="28"/>
        </w:rPr>
        <w:t xml:space="preserve">This study </w:t>
      </w:r>
      <w:r>
        <w:rPr>
          <w:sz w:val="28"/>
          <w:szCs w:val="28"/>
        </w:rPr>
        <w:t>see’s</w:t>
      </w:r>
      <w:r w:rsidRPr="007216A3">
        <w:rPr>
          <w:sz w:val="28"/>
          <w:szCs w:val="28"/>
        </w:rPr>
        <w:t xml:space="preserve"> supervision to be a cognitive-affective process where the supervisor and supervisee </w:t>
      </w:r>
      <w:r>
        <w:rPr>
          <w:sz w:val="28"/>
          <w:szCs w:val="28"/>
        </w:rPr>
        <w:t>work together to</w:t>
      </w:r>
      <w:r w:rsidRPr="007216A3">
        <w:rPr>
          <w:sz w:val="28"/>
          <w:szCs w:val="28"/>
        </w:rPr>
        <w:t xml:space="preserve"> understand the anxieties of the client, judge the intensity of the responses, recognise boundaries, and increase self-awareness of any countertransference. When these are</w:t>
      </w:r>
      <w:r>
        <w:rPr>
          <w:sz w:val="28"/>
          <w:szCs w:val="28"/>
        </w:rPr>
        <w:t xml:space="preserve"> addressed</w:t>
      </w:r>
      <w:r w:rsidRPr="007216A3">
        <w:rPr>
          <w:sz w:val="28"/>
          <w:szCs w:val="28"/>
        </w:rPr>
        <w:t xml:space="preserve">, they consider that supervision can then move toward greater autonomous </w:t>
      </w:r>
      <w:r>
        <w:rPr>
          <w:sz w:val="28"/>
          <w:szCs w:val="28"/>
        </w:rPr>
        <w:t>understanding</w:t>
      </w:r>
      <w:r w:rsidRPr="007216A3">
        <w:rPr>
          <w:sz w:val="28"/>
          <w:szCs w:val="28"/>
        </w:rPr>
        <w:t xml:space="preserve"> of creative capacity in coping.</w:t>
      </w:r>
    </w:p>
    <w:p w14:paraId="7108D7A9" w14:textId="6492A05A" w:rsidR="007216A3" w:rsidRDefault="007216A3" w:rsidP="007216A3">
      <w:pPr>
        <w:rPr>
          <w:sz w:val="28"/>
          <w:szCs w:val="28"/>
        </w:rPr>
      </w:pPr>
    </w:p>
    <w:p w14:paraId="29411B63" w14:textId="58698037" w:rsidR="007216A3" w:rsidRDefault="007216A3" w:rsidP="007216A3">
      <w:pPr>
        <w:rPr>
          <w:sz w:val="28"/>
          <w:szCs w:val="28"/>
        </w:rPr>
      </w:pPr>
      <w:r>
        <w:rPr>
          <w:sz w:val="28"/>
          <w:szCs w:val="28"/>
        </w:rPr>
        <w:t xml:space="preserve">The key things the student counsellor took away from this experience was understanding the importance of using tools such as IPR to truly understand the experience and highlight there blind spots by doing this they felt  better prepared to identify key issues in a more timely fashion and gain more out of the supervision experience. Together with the supervisor the student counsellor was able to identify that even though the issue of mortality had </w:t>
      </w:r>
      <w:r>
        <w:rPr>
          <w:sz w:val="28"/>
          <w:szCs w:val="28"/>
        </w:rPr>
        <w:lastRenderedPageBreak/>
        <w:t>been part of the initial organisational training for Cruse bereavement. The student counsellor had now changed her own life considerably and the a new layer to exploring her own mortality had emerged as a mother and the consideration of what would happen if she was to die what would happen with her own children which is an issue that she now realises that even though she had briefly considered this had not put any provisions in place , for example like a will for her wishes for her children’s future . Anousheh layer to this that was explored is a very real sense of the imminent danger of the virus coved 19 and the impact that has on considering our own mortality. When discussing the issues relating to wills and wishes the counsellor felt she could empathise the need of making wills and recording wishes as this was something that had a big impact on herself when her own mother had passed away suddenly with no instructions in place for her funeral.</w:t>
      </w:r>
    </w:p>
    <w:p w14:paraId="7A061A08" w14:textId="38060941" w:rsidR="007216A3" w:rsidRDefault="007216A3" w:rsidP="007216A3">
      <w:pPr>
        <w:rPr>
          <w:sz w:val="28"/>
          <w:szCs w:val="28"/>
        </w:rPr>
      </w:pPr>
      <w:r>
        <w:rPr>
          <w:sz w:val="28"/>
          <w:szCs w:val="28"/>
        </w:rPr>
        <w:t xml:space="preserve"> After the supervision session the student counsellor took the issued discussed with the supervisor to her own person therapist in order to explore them more deeply.  Personal therapy is seen as a essential part of counselling training as not only does it give the training counsellor a chance to experience the role of a client , but lets the client address their own conditions of worth and repressed feelings and irrational believes .This enables Ables the trainee to be fit for practice and accompany others on their journeys of personal growth.(Wilkins,1997)</w:t>
      </w:r>
    </w:p>
    <w:p w14:paraId="354DA63D" w14:textId="694939F4" w:rsidR="007216A3" w:rsidRDefault="007216A3" w:rsidP="007216A3">
      <w:pPr>
        <w:rPr>
          <w:sz w:val="28"/>
          <w:szCs w:val="28"/>
        </w:rPr>
      </w:pPr>
      <w:r>
        <w:rPr>
          <w:sz w:val="28"/>
          <w:szCs w:val="28"/>
        </w:rPr>
        <w:t>The student counsellor then also explored more in depth around the issue of mortality and death making sure she was suitably informed and able to signpost the client if needed in the next session.</w:t>
      </w:r>
    </w:p>
    <w:p w14:paraId="3DDD2E3B" w14:textId="15410020" w:rsidR="007216A3" w:rsidRDefault="007216A3" w:rsidP="007216A3">
      <w:pPr>
        <w:rPr>
          <w:sz w:val="28"/>
          <w:szCs w:val="28"/>
        </w:rPr>
      </w:pPr>
      <w:r>
        <w:rPr>
          <w:sz w:val="28"/>
          <w:szCs w:val="28"/>
        </w:rPr>
        <w:t xml:space="preserve">The trainee feels the use of a personal journal would may have been useful  at the time to highlight the trainees own personal feelings on bereavement and issue that she could have edified a for personal therapy and is some thing she has undertook since this issue arose. </w:t>
      </w:r>
    </w:p>
    <w:p w14:paraId="239B38A3" w14:textId="6F7B3ED7" w:rsidR="007216A3" w:rsidRDefault="007216A3" w:rsidP="007216A3">
      <w:pPr>
        <w:rPr>
          <w:sz w:val="28"/>
          <w:szCs w:val="28"/>
        </w:rPr>
      </w:pPr>
      <w:r>
        <w:rPr>
          <w:sz w:val="28"/>
          <w:szCs w:val="28"/>
        </w:rPr>
        <w:t xml:space="preserve">Theism client has impacted the trainee’s practice by highlighting areas of bereavement that she finds challenging and as also show a need for more understanding and knowledge needed around the subject of pre-bereavement. The trainee feels this has been a growth experience within her journey though bereavement counselling and has challenged her in order to be a more affective counsellor for her future clients as it has identified a growing edge. </w:t>
      </w:r>
    </w:p>
    <w:p w14:paraId="75F5918B" w14:textId="42EC7FB4" w:rsidR="007216A3" w:rsidRDefault="007216A3" w:rsidP="007216A3">
      <w:pPr>
        <w:rPr>
          <w:sz w:val="28"/>
          <w:szCs w:val="28"/>
        </w:rPr>
      </w:pPr>
      <w:r>
        <w:rPr>
          <w:sz w:val="28"/>
          <w:szCs w:val="28"/>
        </w:rPr>
        <w:lastRenderedPageBreak/>
        <w:t>In the future the student counsellor can identify gaps in knowledge skills and understanding by continuing to the use of iPro to identify issues for supervision and continue to expand knowledge and understanding of bereavement and pre bereavement issues. This can be done through gaining more Knowledge in her humanistic degree and</w:t>
      </w:r>
      <w:r w:rsidRPr="007216A3">
        <w:rPr>
          <w:sz w:val="28"/>
          <w:szCs w:val="28"/>
        </w:rPr>
        <w:t xml:space="preserve"> </w:t>
      </w:r>
      <w:r>
        <w:rPr>
          <w:sz w:val="28"/>
          <w:szCs w:val="28"/>
        </w:rPr>
        <w:t>continue to engage with her studies and seek guidance were suitable of counselling tutors</w:t>
      </w:r>
      <w:r>
        <w:rPr>
          <w:sz w:val="28"/>
          <w:szCs w:val="28"/>
        </w:rPr>
        <w:t xml:space="preserve"> and attending as many relevant training opportunities as possible in order to grow and develop more skills. Skills can also be acquired through continued practice and gaining more experience through working with more clients. Anougher way of gaining more knowledge is through personal development and journaling my thought and feeling that are raised through practise. Theses could also be discussed with peers in order to get a wider range of views and perceptions. The student will also </w:t>
      </w:r>
    </w:p>
    <w:p w14:paraId="05EBF5EF" w14:textId="07861CE7" w:rsidR="007216A3" w:rsidRDefault="007216A3" w:rsidP="007216A3">
      <w:pPr>
        <w:rPr>
          <w:sz w:val="28"/>
          <w:szCs w:val="28"/>
        </w:rPr>
      </w:pPr>
      <w:r>
        <w:rPr>
          <w:sz w:val="28"/>
          <w:szCs w:val="28"/>
        </w:rPr>
        <w:t>Refences</w:t>
      </w:r>
    </w:p>
    <w:p w14:paraId="3F0F72AE" w14:textId="77777777" w:rsidR="007216A3" w:rsidRDefault="007216A3" w:rsidP="007216A3">
      <w:pPr>
        <w:rPr>
          <w:sz w:val="28"/>
          <w:szCs w:val="28"/>
        </w:rPr>
      </w:pPr>
    </w:p>
    <w:p w14:paraId="6A0FC993" w14:textId="2E2AFAD0" w:rsidR="007216A3" w:rsidRPr="007216A3" w:rsidRDefault="007216A3" w:rsidP="007216A3">
      <w:pPr>
        <w:rPr>
          <w:rFonts w:ascii="Calibri" w:hAnsi="Calibri" w:cs="Calibri"/>
          <w:b/>
          <w:bCs/>
          <w:sz w:val="28"/>
          <w:szCs w:val="28"/>
        </w:rPr>
      </w:pPr>
      <w:r w:rsidRPr="007216A3">
        <w:rPr>
          <w:rFonts w:ascii="Calibri" w:hAnsi="Calibri" w:cs="Calibri"/>
          <w:b/>
          <w:bCs/>
          <w:sz w:val="28"/>
          <w:szCs w:val="28"/>
        </w:rPr>
        <w:t>BACP Good Practice in Action Resources are available at: https://www.bacp.co.uk/events-and-resources/ethics-and-standards/ good-practice-in-action</w:t>
      </w:r>
    </w:p>
    <w:p w14:paraId="4FC23F91" w14:textId="77777777" w:rsidR="007216A3" w:rsidRPr="007216A3" w:rsidRDefault="007216A3" w:rsidP="007216A3">
      <w:pPr>
        <w:rPr>
          <w:rFonts w:ascii="Calibri" w:hAnsi="Calibri" w:cs="Calibri"/>
          <w:b/>
          <w:bCs/>
          <w:sz w:val="28"/>
          <w:szCs w:val="28"/>
        </w:rPr>
      </w:pPr>
      <w:r w:rsidRPr="007216A3">
        <w:rPr>
          <w:rFonts w:ascii="Calibri" w:hAnsi="Calibri" w:cs="Calibri"/>
          <w:b/>
          <w:bCs/>
          <w:sz w:val="28"/>
          <w:szCs w:val="28"/>
        </w:rPr>
        <w:t> </w:t>
      </w:r>
      <w:proofErr w:type="spellStart"/>
      <w:r w:rsidRPr="007216A3">
        <w:rPr>
          <w:rFonts w:ascii="Calibri" w:hAnsi="Calibri" w:cs="Calibri"/>
          <w:b/>
          <w:bCs/>
          <w:sz w:val="28"/>
          <w:szCs w:val="28"/>
        </w:rPr>
        <w:t>Kagan</w:t>
      </w:r>
      <w:proofErr w:type="spellEnd"/>
      <w:r w:rsidRPr="007216A3">
        <w:rPr>
          <w:rFonts w:ascii="Calibri" w:hAnsi="Calibri" w:cs="Calibri"/>
          <w:b/>
          <w:bCs/>
          <w:sz w:val="28"/>
          <w:szCs w:val="28"/>
        </w:rPr>
        <w:t xml:space="preserve">. N. (1980) Interpersonal Process Recall: A Method of Influencing Human Interaction. Unpublished manuscript. University of Houston, Texas. </w:t>
      </w:r>
    </w:p>
    <w:p w14:paraId="6CEA59E1" w14:textId="77777777" w:rsidR="007216A3" w:rsidRPr="007216A3" w:rsidRDefault="007216A3" w:rsidP="007216A3">
      <w:pPr>
        <w:rPr>
          <w:rFonts w:ascii="Calibri" w:hAnsi="Calibri" w:cs="Calibri"/>
          <w:color w:val="5B5B5B"/>
          <w:sz w:val="28"/>
          <w:szCs w:val="28"/>
          <w:shd w:val="clear" w:color="auto" w:fill="FFFFFF"/>
        </w:rPr>
      </w:pPr>
      <w:r w:rsidRPr="007216A3">
        <w:rPr>
          <w:rFonts w:ascii="Calibri" w:hAnsi="Calibri" w:cs="Calibri"/>
          <w:b/>
          <w:bCs/>
          <w:sz w:val="28"/>
          <w:szCs w:val="28"/>
        </w:rPr>
        <w:t xml:space="preserve"> </w:t>
      </w:r>
      <w:r w:rsidRPr="007216A3">
        <w:rPr>
          <w:rFonts w:ascii="Calibri" w:hAnsi="Calibri" w:cs="Calibri"/>
          <w:b/>
          <w:bCs/>
          <w:color w:val="5B5B5B"/>
          <w:sz w:val="28"/>
          <w:szCs w:val="28"/>
          <w:shd w:val="clear" w:color="auto" w:fill="FFFFFF"/>
        </w:rPr>
        <w:t xml:space="preserve">Mearns D and Cooper M (2005) </w:t>
      </w:r>
      <w:r w:rsidRPr="007216A3">
        <w:rPr>
          <w:rFonts w:ascii="Calibri" w:hAnsi="Calibri" w:cs="Calibri"/>
          <w:b/>
          <w:bCs/>
          <w:i/>
          <w:iCs/>
          <w:color w:val="5B5B5B"/>
          <w:sz w:val="28"/>
          <w:szCs w:val="28"/>
          <w:shd w:val="clear" w:color="auto" w:fill="FFFFFF"/>
        </w:rPr>
        <w:t>Relational Depth in Counselling and Psychotherapy</w:t>
      </w:r>
      <w:r w:rsidRPr="007216A3">
        <w:rPr>
          <w:rFonts w:ascii="Calibri" w:hAnsi="Calibri" w:cs="Calibri"/>
          <w:b/>
          <w:bCs/>
          <w:color w:val="5B5B5B"/>
          <w:sz w:val="28"/>
          <w:szCs w:val="28"/>
          <w:shd w:val="clear" w:color="auto" w:fill="FFFFFF"/>
        </w:rPr>
        <w:t>, London: Sage.</w:t>
      </w:r>
    </w:p>
    <w:p w14:paraId="399FF39C" w14:textId="5B75A1EA" w:rsidR="007216A3" w:rsidRPr="007216A3" w:rsidRDefault="007216A3" w:rsidP="007216A3">
      <w:pPr>
        <w:rPr>
          <w:rFonts w:ascii="Calibri" w:hAnsi="Calibri" w:cs="Calibri"/>
          <w:b/>
          <w:bCs/>
          <w:color w:val="5B5B5B"/>
          <w:sz w:val="28"/>
          <w:szCs w:val="28"/>
          <w:shd w:val="clear" w:color="auto" w:fill="FFFFFF"/>
        </w:rPr>
      </w:pPr>
      <w:r w:rsidRPr="007216A3">
        <w:rPr>
          <w:rFonts w:ascii="Calibri" w:hAnsi="Calibri" w:cs="Calibri"/>
          <w:b/>
          <w:bCs/>
          <w:color w:val="5B5B5B"/>
          <w:sz w:val="28"/>
          <w:szCs w:val="28"/>
          <w:shd w:val="clear" w:color="auto" w:fill="FFFFFF"/>
        </w:rPr>
        <w:t>Tudor K and Merry T (2006) Dictionary of Person-Centred Psychology, ROSS-ON-WYE: PCCS Books.</w:t>
      </w:r>
    </w:p>
    <w:p w14:paraId="17C644F6" w14:textId="4B81D298" w:rsidR="007216A3" w:rsidRPr="007216A3" w:rsidRDefault="007216A3" w:rsidP="007216A3">
      <w:pPr>
        <w:rPr>
          <w:rFonts w:ascii="Calibri" w:hAnsi="Calibri" w:cs="Calibri"/>
          <w:b/>
          <w:bCs/>
          <w:color w:val="5B5B5B"/>
          <w:sz w:val="28"/>
          <w:szCs w:val="28"/>
          <w:shd w:val="clear" w:color="auto" w:fill="FFFFFF"/>
        </w:rPr>
      </w:pPr>
      <w:r w:rsidRPr="007216A3">
        <w:rPr>
          <w:rFonts w:ascii="Calibri" w:hAnsi="Calibri" w:cs="Calibri"/>
          <w:b/>
          <w:bCs/>
          <w:color w:val="5B5B5B"/>
          <w:sz w:val="28"/>
          <w:szCs w:val="28"/>
          <w:shd w:val="clear" w:color="auto" w:fill="FFFFFF"/>
        </w:rPr>
        <w:t xml:space="preserve">Rogers C (1951) </w:t>
      </w:r>
      <w:r w:rsidRPr="007216A3">
        <w:rPr>
          <w:rFonts w:ascii="Calibri" w:hAnsi="Calibri" w:cs="Calibri"/>
          <w:b/>
          <w:bCs/>
          <w:i/>
          <w:iCs/>
          <w:color w:val="5B5B5B"/>
          <w:sz w:val="28"/>
          <w:szCs w:val="28"/>
          <w:shd w:val="clear" w:color="auto" w:fill="FFFFFF"/>
        </w:rPr>
        <w:t>Client-</w:t>
      </w:r>
      <w:proofErr w:type="spellStart"/>
      <w:r w:rsidRPr="007216A3">
        <w:rPr>
          <w:rFonts w:ascii="Calibri" w:hAnsi="Calibri" w:cs="Calibri"/>
          <w:b/>
          <w:bCs/>
          <w:i/>
          <w:iCs/>
          <w:color w:val="5B5B5B"/>
          <w:sz w:val="28"/>
          <w:szCs w:val="28"/>
          <w:shd w:val="clear" w:color="auto" w:fill="FFFFFF"/>
        </w:rPr>
        <w:t>Centered</w:t>
      </w:r>
      <w:proofErr w:type="spellEnd"/>
      <w:r w:rsidRPr="007216A3">
        <w:rPr>
          <w:rFonts w:ascii="Calibri" w:hAnsi="Calibri" w:cs="Calibri"/>
          <w:b/>
          <w:bCs/>
          <w:i/>
          <w:iCs/>
          <w:color w:val="5B5B5B"/>
          <w:sz w:val="28"/>
          <w:szCs w:val="28"/>
          <w:shd w:val="clear" w:color="auto" w:fill="FFFFFF"/>
        </w:rPr>
        <w:t xml:space="preserve"> Therapy</w:t>
      </w:r>
      <w:r w:rsidRPr="007216A3">
        <w:rPr>
          <w:rFonts w:ascii="Calibri" w:hAnsi="Calibri" w:cs="Calibri"/>
          <w:b/>
          <w:bCs/>
          <w:color w:val="5B5B5B"/>
          <w:sz w:val="28"/>
          <w:szCs w:val="28"/>
          <w:shd w:val="clear" w:color="auto" w:fill="FFFFFF"/>
        </w:rPr>
        <w:t>, New York: Constable.</w:t>
      </w:r>
    </w:p>
    <w:p w14:paraId="4D0E621A" w14:textId="550869C6" w:rsidR="007216A3" w:rsidRPr="007216A3" w:rsidRDefault="007216A3" w:rsidP="007216A3">
      <w:pPr>
        <w:rPr>
          <w:rFonts w:ascii="Calibri" w:hAnsi="Calibri" w:cs="Calibri"/>
          <w:b/>
          <w:bCs/>
          <w:sz w:val="28"/>
          <w:szCs w:val="28"/>
        </w:rPr>
      </w:pPr>
      <w:r w:rsidRPr="007216A3">
        <w:rPr>
          <w:rFonts w:ascii="Calibri" w:hAnsi="Calibri" w:cs="Calibri"/>
          <w:b/>
          <w:bCs/>
          <w:sz w:val="28"/>
          <w:szCs w:val="28"/>
        </w:rPr>
        <w:t xml:space="preserve">  Jordan N </w:t>
      </w:r>
      <w:proofErr w:type="spellStart"/>
      <w:r w:rsidRPr="007216A3">
        <w:rPr>
          <w:rFonts w:ascii="Calibri" w:hAnsi="Calibri" w:cs="Calibri"/>
          <w:b/>
          <w:bCs/>
          <w:sz w:val="28"/>
          <w:szCs w:val="28"/>
        </w:rPr>
        <w:t>Therpy</w:t>
      </w:r>
      <w:proofErr w:type="spellEnd"/>
      <w:r w:rsidRPr="007216A3">
        <w:rPr>
          <w:rFonts w:ascii="Calibri" w:hAnsi="Calibri" w:cs="Calibri"/>
          <w:b/>
          <w:bCs/>
          <w:sz w:val="28"/>
          <w:szCs w:val="28"/>
        </w:rPr>
        <w:t xml:space="preserve"> today (</w:t>
      </w:r>
      <w:proofErr w:type="gramStart"/>
      <w:r w:rsidRPr="007216A3">
        <w:rPr>
          <w:rFonts w:ascii="Calibri" w:hAnsi="Calibri" w:cs="Calibri"/>
          <w:b/>
          <w:bCs/>
          <w:sz w:val="28"/>
          <w:szCs w:val="28"/>
        </w:rPr>
        <w:t>2017)</w:t>
      </w:r>
      <w:r w:rsidRPr="007216A3">
        <w:rPr>
          <w:rFonts w:ascii="Calibri" w:hAnsi="Calibri" w:cs="Calibri"/>
          <w:b/>
          <w:bCs/>
          <w:i/>
          <w:iCs/>
          <w:sz w:val="28"/>
          <w:szCs w:val="28"/>
        </w:rPr>
        <w:t>In</w:t>
      </w:r>
      <w:proofErr w:type="gramEnd"/>
      <w:r w:rsidRPr="007216A3">
        <w:rPr>
          <w:rFonts w:ascii="Calibri" w:hAnsi="Calibri" w:cs="Calibri"/>
          <w:b/>
          <w:bCs/>
          <w:i/>
          <w:iCs/>
          <w:sz w:val="28"/>
          <w:szCs w:val="28"/>
        </w:rPr>
        <w:t xml:space="preserve"> </w:t>
      </w:r>
      <w:proofErr w:type="spellStart"/>
      <w:r w:rsidRPr="007216A3">
        <w:rPr>
          <w:rFonts w:ascii="Calibri" w:hAnsi="Calibri" w:cs="Calibri"/>
          <w:b/>
          <w:bCs/>
          <w:i/>
          <w:iCs/>
          <w:sz w:val="28"/>
          <w:szCs w:val="28"/>
        </w:rPr>
        <w:t>morte</w:t>
      </w:r>
      <w:proofErr w:type="spellEnd"/>
      <w:r w:rsidRPr="007216A3">
        <w:rPr>
          <w:rFonts w:ascii="Calibri" w:hAnsi="Calibri" w:cs="Calibri"/>
          <w:b/>
          <w:bCs/>
          <w:i/>
          <w:iCs/>
          <w:sz w:val="28"/>
          <w:szCs w:val="28"/>
        </w:rPr>
        <w:t xml:space="preserve"> </w:t>
      </w:r>
      <w:proofErr w:type="spellStart"/>
      <w:r w:rsidRPr="007216A3">
        <w:rPr>
          <w:rFonts w:ascii="Calibri" w:hAnsi="Calibri" w:cs="Calibri"/>
          <w:b/>
          <w:bCs/>
          <w:i/>
          <w:iCs/>
          <w:sz w:val="28"/>
          <w:szCs w:val="28"/>
        </w:rPr>
        <w:t>sumus</w:t>
      </w:r>
      <w:proofErr w:type="spellEnd"/>
      <w:r w:rsidRPr="007216A3">
        <w:rPr>
          <w:rFonts w:ascii="Calibri" w:hAnsi="Calibri" w:cs="Calibri"/>
          <w:b/>
          <w:bCs/>
          <w:sz w:val="28"/>
          <w:szCs w:val="28"/>
        </w:rPr>
        <w:t>. Vol 28, issue 7</w:t>
      </w:r>
    </w:p>
    <w:p w14:paraId="75F79E95" w14:textId="3D06A617" w:rsidR="007216A3" w:rsidRPr="007216A3" w:rsidRDefault="007216A3" w:rsidP="007216A3">
      <w:pPr>
        <w:rPr>
          <w:rFonts w:ascii="Calibri" w:hAnsi="Calibri" w:cs="Calibri"/>
          <w:b/>
          <w:bCs/>
          <w:sz w:val="28"/>
          <w:szCs w:val="28"/>
        </w:rPr>
      </w:pPr>
      <w:r w:rsidRPr="007216A3">
        <w:rPr>
          <w:rFonts w:ascii="Calibri" w:hAnsi="Calibri" w:cs="Calibri"/>
          <w:b/>
          <w:bCs/>
          <w:sz w:val="28"/>
          <w:szCs w:val="28"/>
        </w:rPr>
        <w:t>Yalom I Therapy today (2008</w:t>
      </w:r>
      <w:proofErr w:type="gramStart"/>
      <w:r w:rsidRPr="007216A3">
        <w:rPr>
          <w:rFonts w:ascii="Calibri" w:hAnsi="Calibri" w:cs="Calibri"/>
          <w:b/>
          <w:bCs/>
          <w:sz w:val="28"/>
          <w:szCs w:val="28"/>
        </w:rPr>
        <w:t>) .vol</w:t>
      </w:r>
      <w:proofErr w:type="gramEnd"/>
      <w:r w:rsidRPr="007216A3">
        <w:rPr>
          <w:rFonts w:ascii="Calibri" w:hAnsi="Calibri" w:cs="Calibri"/>
          <w:b/>
          <w:bCs/>
          <w:sz w:val="28"/>
          <w:szCs w:val="28"/>
        </w:rPr>
        <w:t xml:space="preserve"> 19 no 4</w:t>
      </w:r>
      <w:bookmarkStart w:id="0" w:name="_GoBack"/>
      <w:bookmarkEnd w:id="0"/>
    </w:p>
    <w:p w14:paraId="5DA7BA7B" w14:textId="77777777" w:rsidR="007216A3" w:rsidRPr="007216A3" w:rsidRDefault="007216A3" w:rsidP="007216A3">
      <w:pPr>
        <w:rPr>
          <w:rFonts w:ascii="Calibri" w:hAnsi="Calibri" w:cs="Calibri"/>
          <w:b/>
          <w:bCs/>
          <w:sz w:val="28"/>
          <w:szCs w:val="28"/>
        </w:rPr>
      </w:pPr>
    </w:p>
    <w:sectPr w:rsidR="007216A3" w:rsidRPr="007216A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07B4D2B"/>
    <w:multiLevelType w:val="hybridMultilevel"/>
    <w:tmpl w:val="46383B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4165"/>
    <w:rsid w:val="00284165"/>
    <w:rsid w:val="005A0508"/>
    <w:rsid w:val="007216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80436"/>
  <w15:chartTrackingRefBased/>
  <w15:docId w15:val="{FA1645C9-9B15-46D4-B43F-BB4D75CA8C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7216A3"/>
    <w:rPr>
      <w:i/>
      <w:iCs/>
    </w:rPr>
  </w:style>
  <w:style w:type="paragraph" w:styleId="ListParagraph">
    <w:name w:val="List Paragraph"/>
    <w:basedOn w:val="Normal"/>
    <w:uiPriority w:val="34"/>
    <w:qFormat/>
    <w:rsid w:val="007216A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5</Pages>
  <Words>1754</Words>
  <Characters>10002</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dc:creator>
  <cp:keywords/>
  <dc:description/>
  <cp:lastModifiedBy>Nina</cp:lastModifiedBy>
  <cp:revision>2</cp:revision>
  <dcterms:created xsi:type="dcterms:W3CDTF">2020-05-19T23:00:00Z</dcterms:created>
  <dcterms:modified xsi:type="dcterms:W3CDTF">2020-05-19T23:00:00Z</dcterms:modified>
</cp:coreProperties>
</file>