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B6A50F" w14:textId="1A044ABC" w:rsidR="71DCFD11" w:rsidRPr="0077037B" w:rsidRDefault="71DCFD11" w:rsidP="00D61FC4">
      <w:pPr>
        <w:spacing w:line="480" w:lineRule="auto"/>
        <w:jc w:val="center"/>
        <w:rPr>
          <w:rFonts w:ascii="Times New Roman" w:eastAsia="Times New Roman" w:hAnsi="Times New Roman" w:cs="Times New Roman"/>
          <w:sz w:val="24"/>
          <w:szCs w:val="24"/>
        </w:rPr>
      </w:pPr>
      <w:r w:rsidRPr="0077037B">
        <w:rPr>
          <w:rFonts w:ascii="Times New Roman" w:eastAsia="Times New Roman" w:hAnsi="Times New Roman" w:cs="Times New Roman"/>
          <w:b/>
          <w:bCs/>
          <w:sz w:val="24"/>
          <w:szCs w:val="24"/>
          <w:u w:val="single"/>
        </w:rPr>
        <w:t>Women in Law:</w:t>
      </w:r>
      <w:r w:rsidRPr="0077037B">
        <w:rPr>
          <w:rFonts w:ascii="Times New Roman" w:eastAsia="Times New Roman" w:hAnsi="Times New Roman" w:cs="Times New Roman"/>
          <w:sz w:val="24"/>
          <w:szCs w:val="24"/>
        </w:rPr>
        <w:t xml:space="preserve"> </w:t>
      </w:r>
    </w:p>
    <w:p w14:paraId="67EC1D12" w14:textId="47E5B60E" w:rsidR="71DCFD11" w:rsidRPr="0077037B" w:rsidRDefault="71DCFD11" w:rsidP="00D61FC4">
      <w:pPr>
        <w:spacing w:line="480" w:lineRule="auto"/>
        <w:jc w:val="center"/>
        <w:rPr>
          <w:rFonts w:ascii="Times New Roman" w:eastAsia="Times New Roman" w:hAnsi="Times New Roman" w:cs="Times New Roman"/>
          <w:sz w:val="24"/>
          <w:szCs w:val="24"/>
        </w:rPr>
      </w:pPr>
      <w:r w:rsidRPr="0077037B">
        <w:rPr>
          <w:rFonts w:ascii="Times New Roman" w:eastAsia="Times New Roman" w:hAnsi="Times New Roman" w:cs="Times New Roman"/>
          <w:b/>
          <w:bCs/>
          <w:sz w:val="24"/>
          <w:szCs w:val="24"/>
          <w:u w:val="single"/>
        </w:rPr>
        <w:t>A Comparison of the Treatment and Representation of Women in Property and Inheritance Rights within Classical Athens and Gortyn.</w:t>
      </w:r>
    </w:p>
    <w:p w14:paraId="2036794F" w14:textId="77777777" w:rsidR="00E30AA1" w:rsidRDefault="00E30AA1" w:rsidP="00D61FC4">
      <w:pPr>
        <w:spacing w:line="480" w:lineRule="auto"/>
        <w:jc w:val="both"/>
        <w:rPr>
          <w:rFonts w:ascii="Times New Roman" w:eastAsia="Times New Roman" w:hAnsi="Times New Roman" w:cs="Times New Roman"/>
          <w:sz w:val="24"/>
          <w:szCs w:val="24"/>
        </w:rPr>
      </w:pPr>
    </w:p>
    <w:p w14:paraId="6697B1CA" w14:textId="77F53D14" w:rsidR="00A15263" w:rsidRPr="00A15263" w:rsidRDefault="00A15263" w:rsidP="00D61FC4">
      <w:pPr>
        <w:spacing w:line="480" w:lineRule="auto"/>
        <w:jc w:val="both"/>
        <w:rPr>
          <w:rFonts w:ascii="Times New Roman" w:eastAsia="Times New Roman" w:hAnsi="Times New Roman" w:cs="Times New Roman"/>
          <w:b/>
          <w:sz w:val="24"/>
          <w:szCs w:val="24"/>
          <w:u w:val="single"/>
        </w:rPr>
      </w:pPr>
      <w:r w:rsidRPr="00A15263">
        <w:rPr>
          <w:rFonts w:ascii="Times New Roman" w:eastAsia="Times New Roman" w:hAnsi="Times New Roman" w:cs="Times New Roman"/>
          <w:b/>
          <w:sz w:val="24"/>
          <w:szCs w:val="24"/>
          <w:u w:val="single"/>
        </w:rPr>
        <w:t>Introduction</w:t>
      </w:r>
    </w:p>
    <w:p w14:paraId="1D42359C" w14:textId="424172BA"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The status of women across Ancient Greece was not uniform, with there being variations across the regions. It is known, however, that a woman’s name was not publicly given unless she was dead or ‘of ill repute’.</w:t>
      </w:r>
      <w:r w:rsidRPr="0077037B">
        <w:rPr>
          <w:rStyle w:val="FootnoteReference"/>
          <w:rFonts w:ascii="Times New Roman" w:eastAsia="Times New Roman" w:hAnsi="Times New Roman" w:cs="Times New Roman"/>
          <w:sz w:val="24"/>
          <w:szCs w:val="24"/>
        </w:rPr>
        <w:footnoteReference w:id="1"/>
      </w:r>
      <w:r w:rsidR="27F089C1" w:rsidRPr="0077037B">
        <w:rPr>
          <w:rFonts w:ascii="Times New Roman" w:eastAsia="Times New Roman" w:hAnsi="Times New Roman" w:cs="Times New Roman"/>
          <w:sz w:val="24"/>
          <w:szCs w:val="24"/>
        </w:rPr>
        <w:t xml:space="preserve"> </w:t>
      </w:r>
      <w:r w:rsidRPr="0077037B">
        <w:rPr>
          <w:rFonts w:ascii="Times New Roman" w:eastAsia="Times New Roman" w:hAnsi="Times New Roman" w:cs="Times New Roman"/>
          <w:sz w:val="24"/>
          <w:szCs w:val="24"/>
        </w:rPr>
        <w:t>Different city states had different laws,</w:t>
      </w:r>
      <w:r w:rsidRPr="0077037B">
        <w:rPr>
          <w:rStyle w:val="FootnoteReference"/>
          <w:rFonts w:ascii="Times New Roman" w:eastAsia="Times New Roman" w:hAnsi="Times New Roman" w:cs="Times New Roman"/>
          <w:sz w:val="24"/>
          <w:szCs w:val="24"/>
        </w:rPr>
        <w:footnoteReference w:id="2"/>
      </w:r>
      <w:r w:rsidR="1914754E" w:rsidRPr="0077037B">
        <w:rPr>
          <w:rFonts w:ascii="Times New Roman" w:eastAsia="Times New Roman" w:hAnsi="Times New Roman" w:cs="Times New Roman"/>
          <w:sz w:val="24"/>
          <w:szCs w:val="24"/>
        </w:rPr>
        <w:t xml:space="preserve"> </w:t>
      </w:r>
      <w:r w:rsidRPr="0077037B">
        <w:rPr>
          <w:rFonts w:ascii="Times New Roman" w:eastAsia="Times New Roman" w:hAnsi="Times New Roman" w:cs="Times New Roman"/>
          <w:sz w:val="24"/>
          <w:szCs w:val="24"/>
        </w:rPr>
        <w:t>and much is known, for example, about the differences between Spartan and Athenian women in law. Another part of Ancient Greece, Gortyn, on the island of Crete, provides an opportunity to examine the different status of women across Ancient Greece because of the survival of the Gortyn code.</w:t>
      </w:r>
    </w:p>
    <w:p w14:paraId="507D72B4" w14:textId="095988A8" w:rsidR="4367C6B5" w:rsidRPr="0077037B" w:rsidRDefault="4367C6B5" w:rsidP="00D61FC4">
      <w:pPr>
        <w:spacing w:line="480" w:lineRule="auto"/>
        <w:jc w:val="both"/>
        <w:rPr>
          <w:rFonts w:ascii="Times New Roman" w:eastAsia="Times New Roman" w:hAnsi="Times New Roman" w:cs="Times New Roman"/>
          <w:sz w:val="24"/>
          <w:szCs w:val="24"/>
        </w:rPr>
      </w:pPr>
    </w:p>
    <w:p w14:paraId="74027C30" w14:textId="22B793E6" w:rsidR="71DCFD11" w:rsidRPr="0077037B" w:rsidRDefault="71DCFD11" w:rsidP="00D61FC4">
      <w:pPr>
        <w:spacing w:line="480" w:lineRule="auto"/>
        <w:jc w:val="both"/>
        <w:rPr>
          <w:rFonts w:ascii="Times New Roman" w:eastAsia="Times New Roman" w:hAnsi="Times New Roman" w:cs="Times New Roman"/>
          <w:sz w:val="24"/>
          <w:szCs w:val="24"/>
          <w:vertAlign w:val="superscript"/>
        </w:rPr>
      </w:pPr>
      <w:r w:rsidRPr="0077037B">
        <w:rPr>
          <w:rFonts w:ascii="Times New Roman" w:eastAsia="Times New Roman" w:hAnsi="Times New Roman" w:cs="Times New Roman"/>
          <w:sz w:val="24"/>
          <w:szCs w:val="24"/>
        </w:rPr>
        <w:t>The Gortyn law code is a wall inscription that was written during the fifth century BC, and it is said to be ‘the earliest surviving legal inscription from anywhere in Europe’.</w:t>
      </w:r>
      <w:r w:rsidRPr="0077037B">
        <w:rPr>
          <w:rStyle w:val="FootnoteReference"/>
          <w:rFonts w:ascii="Times New Roman" w:eastAsia="Times New Roman" w:hAnsi="Times New Roman" w:cs="Times New Roman"/>
          <w:sz w:val="24"/>
          <w:szCs w:val="24"/>
        </w:rPr>
        <w:footnoteReference w:id="3"/>
      </w:r>
      <w:r w:rsidRPr="0077037B">
        <w:rPr>
          <w:rFonts w:ascii="Times New Roman" w:eastAsia="Times New Roman" w:hAnsi="Times New Roman" w:cs="Times New Roman"/>
          <w:sz w:val="24"/>
          <w:szCs w:val="24"/>
        </w:rPr>
        <w:t xml:space="preserve"> The wall of the code is eight metres long, which is divided into twelve columns, and there is a total of 600 lines of the text. The code is written in boustrophedon, which Cartwright describes as ‘alternate lines are read in opposite directions’.</w:t>
      </w:r>
      <w:r w:rsidRPr="0077037B">
        <w:rPr>
          <w:rStyle w:val="FootnoteReference"/>
          <w:rFonts w:ascii="Times New Roman" w:eastAsia="Times New Roman" w:hAnsi="Times New Roman" w:cs="Times New Roman"/>
          <w:sz w:val="24"/>
          <w:szCs w:val="24"/>
        </w:rPr>
        <w:footnoteReference w:id="4"/>
      </w:r>
      <w:r w:rsidRPr="0077037B">
        <w:rPr>
          <w:rFonts w:ascii="Times New Roman" w:eastAsia="Times New Roman" w:hAnsi="Times New Roman" w:cs="Times New Roman"/>
          <w:sz w:val="24"/>
          <w:szCs w:val="24"/>
        </w:rPr>
        <w:t xml:space="preserve"> Crete was a Doric region, where they shared the same alphabet and dialect as places including Delphi, Laconia, Cor</w:t>
      </w:r>
      <w:r w:rsidR="66D4B3BD" w:rsidRPr="0077037B">
        <w:rPr>
          <w:rFonts w:ascii="Times New Roman" w:eastAsia="Times New Roman" w:hAnsi="Times New Roman" w:cs="Times New Roman"/>
          <w:sz w:val="24"/>
          <w:szCs w:val="24"/>
        </w:rPr>
        <w:t>in</w:t>
      </w:r>
      <w:r w:rsidRPr="0077037B">
        <w:rPr>
          <w:rFonts w:ascii="Times New Roman" w:eastAsia="Times New Roman" w:hAnsi="Times New Roman" w:cs="Times New Roman"/>
          <w:sz w:val="24"/>
          <w:szCs w:val="24"/>
        </w:rPr>
        <w:t>thia, and the Doric islands (Thera and Rhodos are within this).</w:t>
      </w:r>
      <w:r w:rsidRPr="0077037B">
        <w:rPr>
          <w:rStyle w:val="FootnoteReference"/>
          <w:rFonts w:ascii="Times New Roman" w:eastAsia="Times New Roman" w:hAnsi="Times New Roman" w:cs="Times New Roman"/>
          <w:sz w:val="24"/>
          <w:szCs w:val="24"/>
        </w:rPr>
        <w:footnoteReference w:id="5"/>
      </w:r>
    </w:p>
    <w:p w14:paraId="735D4BEC" w14:textId="763F5252" w:rsidR="4367C6B5" w:rsidRPr="0077037B" w:rsidRDefault="4367C6B5" w:rsidP="00D61FC4">
      <w:pPr>
        <w:spacing w:line="480" w:lineRule="auto"/>
        <w:jc w:val="both"/>
        <w:rPr>
          <w:rFonts w:ascii="Times New Roman" w:eastAsia="Times New Roman" w:hAnsi="Times New Roman" w:cs="Times New Roman"/>
          <w:sz w:val="24"/>
          <w:szCs w:val="24"/>
        </w:rPr>
      </w:pPr>
    </w:p>
    <w:p w14:paraId="345B3E6D" w14:textId="185C48E9"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The Gortyn code attracted the attention of scholarship particularly for its coverage of women and family, and their status within the law. Cartwright lists what the text discusses, and it includes adoptions, slavery, inheritance, and sexual violence.</w:t>
      </w:r>
      <w:r w:rsidRPr="0077037B">
        <w:rPr>
          <w:rStyle w:val="FootnoteReference"/>
          <w:rFonts w:ascii="Times New Roman" w:eastAsia="Times New Roman" w:hAnsi="Times New Roman" w:cs="Times New Roman"/>
          <w:sz w:val="24"/>
          <w:szCs w:val="24"/>
        </w:rPr>
        <w:footnoteReference w:id="6"/>
      </w:r>
      <w:r w:rsidRPr="0077037B">
        <w:rPr>
          <w:rFonts w:ascii="Times New Roman" w:eastAsia="Times New Roman" w:hAnsi="Times New Roman" w:cs="Times New Roman"/>
          <w:sz w:val="24"/>
          <w:szCs w:val="24"/>
        </w:rPr>
        <w:t xml:space="preserve"> By looking at the Gortyn law code, scholars can gain a better understanding of the Cretan city well, due to the inscription</w:t>
      </w:r>
      <w:r w:rsidR="57C34565" w:rsidRPr="0077037B">
        <w:rPr>
          <w:rFonts w:ascii="Times New Roman" w:eastAsia="Times New Roman" w:hAnsi="Times New Roman" w:cs="Times New Roman"/>
          <w:sz w:val="24"/>
          <w:szCs w:val="24"/>
        </w:rPr>
        <w:t xml:space="preserve"> </w:t>
      </w:r>
      <w:r w:rsidRPr="0077037B">
        <w:rPr>
          <w:rFonts w:ascii="Times New Roman" w:eastAsia="Times New Roman" w:hAnsi="Times New Roman" w:cs="Times New Roman"/>
          <w:sz w:val="24"/>
          <w:szCs w:val="24"/>
        </w:rPr>
        <w:t>being so well preserved and complete.</w:t>
      </w:r>
    </w:p>
    <w:p w14:paraId="1688BE35" w14:textId="2F290E1C" w:rsidR="4367C6B5" w:rsidRPr="0077037B" w:rsidRDefault="4367C6B5" w:rsidP="00D61FC4">
      <w:pPr>
        <w:spacing w:line="480" w:lineRule="auto"/>
        <w:jc w:val="both"/>
        <w:rPr>
          <w:rFonts w:ascii="Times New Roman" w:eastAsia="Times New Roman" w:hAnsi="Times New Roman" w:cs="Times New Roman"/>
          <w:sz w:val="24"/>
          <w:szCs w:val="24"/>
        </w:rPr>
      </w:pPr>
    </w:p>
    <w:p w14:paraId="0D559A1E" w14:textId="4F79F229" w:rsidR="71DCFD11" w:rsidRPr="0077037B" w:rsidRDefault="71DCFD11" w:rsidP="00D61FC4">
      <w:pPr>
        <w:spacing w:line="480" w:lineRule="auto"/>
        <w:jc w:val="both"/>
        <w:rPr>
          <w:rFonts w:ascii="Times New Roman" w:eastAsia="Times New Roman" w:hAnsi="Times New Roman" w:cs="Times New Roman"/>
          <w:sz w:val="24"/>
          <w:szCs w:val="24"/>
          <w:vertAlign w:val="superscript"/>
        </w:rPr>
      </w:pPr>
      <w:r w:rsidRPr="0077037B">
        <w:rPr>
          <w:rFonts w:ascii="Times New Roman" w:eastAsia="Times New Roman" w:hAnsi="Times New Roman" w:cs="Times New Roman"/>
          <w:sz w:val="24"/>
          <w:szCs w:val="24"/>
        </w:rPr>
        <w:t>When looking into ancient law at Gortyn, the law itself can be found as an inscription. These inscriptions have been referred to as the ‘Queen of Inscriptions’ in Willetts’ work,</w:t>
      </w:r>
      <w:r w:rsidRPr="0077037B">
        <w:rPr>
          <w:rStyle w:val="FootnoteReference"/>
          <w:rFonts w:ascii="Times New Roman" w:eastAsia="Times New Roman" w:hAnsi="Times New Roman" w:cs="Times New Roman"/>
          <w:sz w:val="24"/>
          <w:szCs w:val="24"/>
        </w:rPr>
        <w:footnoteReference w:id="7"/>
      </w:r>
      <w:r w:rsidRPr="0077037B">
        <w:rPr>
          <w:rFonts w:ascii="Times New Roman" w:eastAsia="Times New Roman" w:hAnsi="Times New Roman" w:cs="Times New Roman"/>
          <w:sz w:val="24"/>
          <w:szCs w:val="24"/>
        </w:rPr>
        <w:t xml:space="preserve"> due to its quantity in which i</w:t>
      </w:r>
      <w:r w:rsidR="2A3EB034" w:rsidRPr="0077037B">
        <w:rPr>
          <w:rFonts w:ascii="Times New Roman" w:eastAsia="Times New Roman" w:hAnsi="Times New Roman" w:cs="Times New Roman"/>
          <w:sz w:val="24"/>
          <w:szCs w:val="24"/>
        </w:rPr>
        <w:t>t</w:t>
      </w:r>
      <w:r w:rsidRPr="0077037B">
        <w:rPr>
          <w:rFonts w:ascii="Times New Roman" w:eastAsia="Times New Roman" w:hAnsi="Times New Roman" w:cs="Times New Roman"/>
          <w:sz w:val="24"/>
          <w:szCs w:val="24"/>
        </w:rPr>
        <w:t xml:space="preserve"> reveals the Gortyn law code. Scholars have used the Gortyn code to compare to other city state laws, to further understand the Greek world and how it operated legally as a whole</w:t>
      </w:r>
      <w:r w:rsidR="7A99DE89" w:rsidRPr="0077037B">
        <w:rPr>
          <w:rFonts w:ascii="Times New Roman" w:eastAsia="Times New Roman" w:hAnsi="Times New Roman" w:cs="Times New Roman"/>
          <w:sz w:val="24"/>
          <w:szCs w:val="24"/>
        </w:rPr>
        <w:t>. According to Hornblower and Spawforth,</w:t>
      </w:r>
      <w:r w:rsidRPr="0077037B">
        <w:rPr>
          <w:rFonts w:ascii="Times New Roman" w:eastAsia="Times New Roman" w:hAnsi="Times New Roman" w:cs="Times New Roman"/>
          <w:sz w:val="24"/>
          <w:szCs w:val="24"/>
        </w:rPr>
        <w:t xml:space="preserve"> ‘Greek law … was not a national legal system, but a family of systems’.</w:t>
      </w:r>
      <w:r w:rsidRPr="0077037B">
        <w:rPr>
          <w:rStyle w:val="FootnoteReference"/>
          <w:rFonts w:ascii="Times New Roman" w:eastAsia="Times New Roman" w:hAnsi="Times New Roman" w:cs="Times New Roman"/>
          <w:sz w:val="24"/>
          <w:szCs w:val="24"/>
        </w:rPr>
        <w:footnoteReference w:id="8"/>
      </w:r>
      <w:r w:rsidRPr="0077037B">
        <w:rPr>
          <w:rFonts w:ascii="Times New Roman" w:eastAsia="Times New Roman" w:hAnsi="Times New Roman" w:cs="Times New Roman"/>
          <w:sz w:val="24"/>
          <w:szCs w:val="24"/>
        </w:rPr>
        <w:t xml:space="preserve"> </w:t>
      </w:r>
      <w:r w:rsidR="75F76813" w:rsidRPr="0077037B">
        <w:rPr>
          <w:rFonts w:ascii="Times New Roman" w:eastAsia="Times New Roman" w:hAnsi="Times New Roman" w:cs="Times New Roman"/>
          <w:sz w:val="24"/>
          <w:szCs w:val="24"/>
        </w:rPr>
        <w:t xml:space="preserve">Each city state devised their own laws which operated within the polis. There is much scholarship </w:t>
      </w:r>
      <w:r w:rsidRPr="0077037B">
        <w:rPr>
          <w:rFonts w:ascii="Times New Roman" w:eastAsia="Times New Roman" w:hAnsi="Times New Roman" w:cs="Times New Roman"/>
          <w:sz w:val="24"/>
          <w:szCs w:val="24"/>
        </w:rPr>
        <w:t xml:space="preserve">on </w:t>
      </w:r>
      <w:r w:rsidR="537FF79A" w:rsidRPr="0077037B">
        <w:rPr>
          <w:rFonts w:ascii="Times New Roman" w:eastAsia="Times New Roman" w:hAnsi="Times New Roman" w:cs="Times New Roman"/>
          <w:sz w:val="24"/>
          <w:szCs w:val="24"/>
        </w:rPr>
        <w:t xml:space="preserve">Ancient Greek </w:t>
      </w:r>
      <w:r w:rsidRPr="0077037B">
        <w:rPr>
          <w:rFonts w:ascii="Times New Roman" w:eastAsia="Times New Roman" w:hAnsi="Times New Roman" w:cs="Times New Roman"/>
          <w:sz w:val="24"/>
          <w:szCs w:val="24"/>
        </w:rPr>
        <w:t xml:space="preserve">women and their representation in the law, but it is primarily </w:t>
      </w:r>
      <w:r w:rsidR="609AB294" w:rsidRPr="0077037B">
        <w:rPr>
          <w:rFonts w:ascii="Times New Roman" w:eastAsia="Times New Roman" w:hAnsi="Times New Roman" w:cs="Times New Roman"/>
          <w:sz w:val="24"/>
          <w:szCs w:val="24"/>
        </w:rPr>
        <w:t xml:space="preserve">in the area of </w:t>
      </w:r>
      <w:r w:rsidRPr="0077037B">
        <w:rPr>
          <w:rFonts w:ascii="Times New Roman" w:eastAsia="Times New Roman" w:hAnsi="Times New Roman" w:cs="Times New Roman"/>
          <w:sz w:val="24"/>
          <w:szCs w:val="24"/>
        </w:rPr>
        <w:t>their inheritance and property rights, as well as sexual violence and adultery, and their marriage rights.</w:t>
      </w:r>
      <w:r w:rsidRPr="0077037B">
        <w:rPr>
          <w:rStyle w:val="FootnoteReference"/>
          <w:rFonts w:ascii="Times New Roman" w:eastAsia="Times New Roman" w:hAnsi="Times New Roman" w:cs="Times New Roman"/>
          <w:sz w:val="24"/>
          <w:szCs w:val="24"/>
        </w:rPr>
        <w:footnoteReference w:id="9"/>
      </w:r>
    </w:p>
    <w:p w14:paraId="7CC591B1" w14:textId="1A1AB836" w:rsidR="4367C6B5" w:rsidRPr="0077037B" w:rsidRDefault="4367C6B5" w:rsidP="00D61FC4">
      <w:pPr>
        <w:spacing w:line="480" w:lineRule="auto"/>
        <w:jc w:val="both"/>
        <w:rPr>
          <w:rFonts w:ascii="Times New Roman" w:eastAsia="Times New Roman" w:hAnsi="Times New Roman" w:cs="Times New Roman"/>
          <w:sz w:val="24"/>
          <w:szCs w:val="24"/>
        </w:rPr>
      </w:pPr>
    </w:p>
    <w:p w14:paraId="023C6F01" w14:textId="76F17F73"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Athenian law, however, can be found mainly from the Attic orators between 420 and 320 BC,</w:t>
      </w:r>
      <w:r w:rsidRPr="0077037B">
        <w:rPr>
          <w:rStyle w:val="FootnoteReference"/>
          <w:rFonts w:ascii="Times New Roman" w:eastAsia="Times New Roman" w:hAnsi="Times New Roman" w:cs="Times New Roman"/>
          <w:sz w:val="24"/>
          <w:szCs w:val="24"/>
        </w:rPr>
        <w:footnoteReference w:id="10"/>
      </w:r>
      <w:r w:rsidRPr="0077037B">
        <w:rPr>
          <w:rFonts w:ascii="Times New Roman" w:eastAsia="Times New Roman" w:hAnsi="Times New Roman" w:cs="Times New Roman"/>
          <w:sz w:val="24"/>
          <w:szCs w:val="24"/>
        </w:rPr>
        <w:t xml:space="preserve"> </w:t>
      </w:r>
      <w:r w:rsidR="1B48428E" w:rsidRPr="0077037B">
        <w:rPr>
          <w:rFonts w:ascii="Times New Roman" w:eastAsia="Times New Roman" w:hAnsi="Times New Roman" w:cs="Times New Roman"/>
          <w:sz w:val="24"/>
          <w:szCs w:val="24"/>
        </w:rPr>
        <w:t>with there being little evidence and texts that dictate the actual laws</w:t>
      </w:r>
      <w:r w:rsidRPr="0077037B">
        <w:rPr>
          <w:rFonts w:ascii="Times New Roman" w:eastAsia="Times New Roman" w:hAnsi="Times New Roman" w:cs="Times New Roman"/>
          <w:sz w:val="24"/>
          <w:szCs w:val="24"/>
        </w:rPr>
        <w:t>.</w:t>
      </w:r>
      <w:r w:rsidRPr="0077037B">
        <w:rPr>
          <w:rStyle w:val="FootnoteReference"/>
          <w:rFonts w:ascii="Times New Roman" w:eastAsia="Times New Roman" w:hAnsi="Times New Roman" w:cs="Times New Roman"/>
          <w:sz w:val="24"/>
          <w:szCs w:val="24"/>
        </w:rPr>
        <w:footnoteReference w:id="11"/>
      </w:r>
      <w:r w:rsidRPr="0077037B">
        <w:rPr>
          <w:rFonts w:ascii="Times New Roman" w:eastAsia="Times New Roman" w:hAnsi="Times New Roman" w:cs="Times New Roman"/>
          <w:sz w:val="24"/>
          <w:szCs w:val="24"/>
        </w:rPr>
        <w:t xml:space="preserve"> This evidence comes with issues; as Hornblower and Spawforth comment, these speeches from the lawcourts do not </w:t>
      </w:r>
      <w:r w:rsidRPr="0077037B">
        <w:rPr>
          <w:rFonts w:ascii="Times New Roman" w:eastAsia="Times New Roman" w:hAnsi="Times New Roman" w:cs="Times New Roman"/>
          <w:sz w:val="24"/>
          <w:szCs w:val="24"/>
        </w:rPr>
        <w:lastRenderedPageBreak/>
        <w:t>often reveal the result or the case of the opponent. As well as this, they report that ‘our manuscripts do not usually preserve the texts of witnesses’ statements or legal statutes’.</w:t>
      </w:r>
      <w:r w:rsidRPr="0077037B">
        <w:rPr>
          <w:rStyle w:val="FootnoteReference"/>
          <w:rFonts w:ascii="Times New Roman" w:eastAsia="Times New Roman" w:hAnsi="Times New Roman" w:cs="Times New Roman"/>
          <w:sz w:val="24"/>
          <w:szCs w:val="24"/>
        </w:rPr>
        <w:footnoteReference w:id="12"/>
      </w:r>
      <w:r w:rsidRPr="0077037B">
        <w:rPr>
          <w:rFonts w:ascii="Times New Roman" w:eastAsia="Times New Roman" w:hAnsi="Times New Roman" w:cs="Times New Roman"/>
          <w:sz w:val="24"/>
          <w:szCs w:val="24"/>
        </w:rPr>
        <w:t xml:space="preserve"> </w:t>
      </w:r>
      <w:r w:rsidR="49344451" w:rsidRPr="0077037B">
        <w:rPr>
          <w:rFonts w:ascii="Times New Roman" w:eastAsia="Times New Roman" w:hAnsi="Times New Roman" w:cs="Times New Roman"/>
          <w:sz w:val="24"/>
          <w:szCs w:val="24"/>
        </w:rPr>
        <w:t>MacDowell also states that when looking at the law court speeches, of which there are only approximately a hundred, the statements of the law ’are tenden</w:t>
      </w:r>
      <w:r w:rsidR="042A1D58" w:rsidRPr="0077037B">
        <w:rPr>
          <w:rFonts w:ascii="Times New Roman" w:eastAsia="Times New Roman" w:hAnsi="Times New Roman" w:cs="Times New Roman"/>
          <w:sz w:val="24"/>
          <w:szCs w:val="24"/>
        </w:rPr>
        <w:t>tious and incomplete’, and then scholars have had to use comedies, philosophy, and other pieces of literature to form a somewhat complete version of Athenian law.</w:t>
      </w:r>
      <w:r w:rsidRPr="0077037B">
        <w:rPr>
          <w:rStyle w:val="FootnoteReference"/>
          <w:rFonts w:ascii="Times New Roman" w:eastAsia="Times New Roman" w:hAnsi="Times New Roman" w:cs="Times New Roman"/>
          <w:sz w:val="24"/>
          <w:szCs w:val="24"/>
        </w:rPr>
        <w:footnoteReference w:id="13"/>
      </w:r>
      <w:r w:rsidR="009977F3" w:rsidRPr="0077037B">
        <w:rPr>
          <w:rFonts w:ascii="Times New Roman" w:eastAsia="Times New Roman" w:hAnsi="Times New Roman" w:cs="Times New Roman"/>
          <w:sz w:val="24"/>
          <w:szCs w:val="24"/>
        </w:rPr>
        <w:t xml:space="preserve"> </w:t>
      </w:r>
      <w:r w:rsidRPr="0077037B">
        <w:rPr>
          <w:rFonts w:ascii="Times New Roman" w:eastAsia="Times New Roman" w:hAnsi="Times New Roman" w:cs="Times New Roman"/>
          <w:sz w:val="24"/>
          <w:szCs w:val="24"/>
        </w:rPr>
        <w:t xml:space="preserve">The identified sources </w:t>
      </w:r>
      <w:r w:rsidR="694CC09B" w:rsidRPr="0077037B">
        <w:rPr>
          <w:rFonts w:ascii="Times New Roman" w:eastAsia="Times New Roman" w:hAnsi="Times New Roman" w:cs="Times New Roman"/>
          <w:sz w:val="24"/>
          <w:szCs w:val="24"/>
        </w:rPr>
        <w:t>of</w:t>
      </w:r>
      <w:r w:rsidRPr="0077037B">
        <w:rPr>
          <w:rFonts w:ascii="Times New Roman" w:eastAsia="Times New Roman" w:hAnsi="Times New Roman" w:cs="Times New Roman"/>
          <w:sz w:val="24"/>
          <w:szCs w:val="24"/>
        </w:rPr>
        <w:t xml:space="preserve"> the court speeches between the fifth and fourth centuries BC a</w:t>
      </w:r>
      <w:r w:rsidR="2B71FF29" w:rsidRPr="0077037B">
        <w:rPr>
          <w:rFonts w:ascii="Times New Roman" w:eastAsia="Times New Roman" w:hAnsi="Times New Roman" w:cs="Times New Roman"/>
          <w:sz w:val="24"/>
          <w:szCs w:val="24"/>
        </w:rPr>
        <w:t>re</w:t>
      </w:r>
      <w:r w:rsidRPr="0077037B">
        <w:rPr>
          <w:rFonts w:ascii="Times New Roman" w:eastAsia="Times New Roman" w:hAnsi="Times New Roman" w:cs="Times New Roman"/>
          <w:sz w:val="24"/>
          <w:szCs w:val="24"/>
        </w:rPr>
        <w:t xml:space="preserve"> Aristotle and Plato</w:t>
      </w:r>
      <w:r w:rsidR="09C478FC" w:rsidRPr="0077037B">
        <w:rPr>
          <w:rFonts w:ascii="Times New Roman" w:eastAsia="Times New Roman" w:hAnsi="Times New Roman" w:cs="Times New Roman"/>
          <w:sz w:val="24"/>
          <w:szCs w:val="24"/>
        </w:rPr>
        <w:t>.</w:t>
      </w:r>
      <w:r w:rsidRPr="0077037B">
        <w:rPr>
          <w:rStyle w:val="FootnoteReference"/>
          <w:rFonts w:ascii="Times New Roman" w:eastAsia="Times New Roman" w:hAnsi="Times New Roman" w:cs="Times New Roman"/>
          <w:sz w:val="24"/>
          <w:szCs w:val="24"/>
        </w:rPr>
        <w:footnoteReference w:id="14"/>
      </w:r>
      <w:r w:rsidR="7858A403" w:rsidRPr="0077037B">
        <w:rPr>
          <w:rFonts w:ascii="Times New Roman" w:eastAsia="Times New Roman" w:hAnsi="Times New Roman" w:cs="Times New Roman"/>
          <w:sz w:val="24"/>
          <w:szCs w:val="24"/>
        </w:rPr>
        <w:t xml:space="preserve"> </w:t>
      </w:r>
      <w:r w:rsidR="19A61AFB" w:rsidRPr="0077037B">
        <w:rPr>
          <w:rFonts w:ascii="Times New Roman" w:eastAsia="Times New Roman" w:hAnsi="Times New Roman" w:cs="Times New Roman"/>
          <w:sz w:val="24"/>
          <w:szCs w:val="24"/>
        </w:rPr>
        <w:t xml:space="preserve">Plato </w:t>
      </w:r>
      <w:r w:rsidR="56A722EA" w:rsidRPr="0077037B">
        <w:rPr>
          <w:rFonts w:ascii="Times New Roman" w:eastAsia="Times New Roman" w:hAnsi="Times New Roman" w:cs="Times New Roman"/>
          <w:sz w:val="24"/>
          <w:szCs w:val="24"/>
        </w:rPr>
        <w:t xml:space="preserve">covers what should ‘underlie any satisfactory system of </w:t>
      </w:r>
      <w:r w:rsidR="42026866" w:rsidRPr="0077037B">
        <w:rPr>
          <w:rFonts w:ascii="Times New Roman" w:eastAsia="Times New Roman" w:hAnsi="Times New Roman" w:cs="Times New Roman"/>
          <w:sz w:val="24"/>
          <w:szCs w:val="24"/>
        </w:rPr>
        <w:t>law</w:t>
      </w:r>
      <w:r w:rsidR="629AF708" w:rsidRPr="0077037B">
        <w:rPr>
          <w:rFonts w:ascii="Times New Roman" w:eastAsia="Times New Roman" w:hAnsi="Times New Roman" w:cs="Times New Roman"/>
          <w:sz w:val="24"/>
          <w:szCs w:val="24"/>
        </w:rPr>
        <w:t>’</w:t>
      </w:r>
      <w:r w:rsidR="42026866" w:rsidRPr="0077037B">
        <w:rPr>
          <w:rFonts w:ascii="Times New Roman" w:eastAsia="Times New Roman" w:hAnsi="Times New Roman" w:cs="Times New Roman"/>
          <w:sz w:val="24"/>
          <w:szCs w:val="24"/>
        </w:rPr>
        <w:t xml:space="preserve"> in</w:t>
      </w:r>
      <w:r w:rsidR="56A722EA" w:rsidRPr="0077037B">
        <w:rPr>
          <w:rFonts w:ascii="Times New Roman" w:eastAsia="Times New Roman" w:hAnsi="Times New Roman" w:cs="Times New Roman"/>
          <w:sz w:val="24"/>
          <w:szCs w:val="24"/>
        </w:rPr>
        <w:t xml:space="preserve"> his first three books of </w:t>
      </w:r>
      <w:r w:rsidR="56A722EA" w:rsidRPr="0077037B">
        <w:rPr>
          <w:rFonts w:ascii="Times New Roman" w:eastAsia="Times New Roman" w:hAnsi="Times New Roman" w:cs="Times New Roman"/>
          <w:i/>
          <w:iCs/>
          <w:sz w:val="24"/>
          <w:szCs w:val="24"/>
        </w:rPr>
        <w:t>Laws</w:t>
      </w:r>
      <w:r w:rsidRPr="0077037B">
        <w:rPr>
          <w:rFonts w:ascii="Times New Roman" w:eastAsia="Times New Roman" w:hAnsi="Times New Roman" w:cs="Times New Roman"/>
          <w:sz w:val="24"/>
          <w:szCs w:val="24"/>
        </w:rPr>
        <w:t>.</w:t>
      </w:r>
      <w:r w:rsidRPr="0077037B">
        <w:rPr>
          <w:rStyle w:val="FootnoteReference"/>
          <w:rFonts w:ascii="Times New Roman" w:eastAsia="Times New Roman" w:hAnsi="Times New Roman" w:cs="Times New Roman"/>
          <w:sz w:val="24"/>
          <w:szCs w:val="24"/>
        </w:rPr>
        <w:footnoteReference w:id="15"/>
      </w:r>
      <w:r w:rsidR="3534BE1B" w:rsidRPr="0077037B">
        <w:rPr>
          <w:rFonts w:ascii="Times New Roman" w:eastAsia="Times New Roman" w:hAnsi="Times New Roman" w:cs="Times New Roman"/>
          <w:sz w:val="24"/>
          <w:szCs w:val="24"/>
        </w:rPr>
        <w:t xml:space="preserve"> </w:t>
      </w:r>
      <w:r w:rsidR="56D5ACC4" w:rsidRPr="0077037B">
        <w:rPr>
          <w:rFonts w:ascii="Times New Roman" w:eastAsia="Times New Roman" w:hAnsi="Times New Roman" w:cs="Times New Roman"/>
          <w:sz w:val="24"/>
          <w:szCs w:val="24"/>
        </w:rPr>
        <w:t>These sources, with the interpretation of scholars as well, have formed and developed</w:t>
      </w:r>
      <w:r w:rsidR="1708202A" w:rsidRPr="0077037B">
        <w:rPr>
          <w:rFonts w:ascii="Times New Roman" w:eastAsia="Times New Roman" w:hAnsi="Times New Roman" w:cs="Times New Roman"/>
          <w:sz w:val="24"/>
          <w:szCs w:val="24"/>
        </w:rPr>
        <w:t xml:space="preserve"> an understanding of what Athenian law was.</w:t>
      </w:r>
    </w:p>
    <w:p w14:paraId="542A8D9D" w14:textId="6D1A0D6C" w:rsidR="4367C6B5" w:rsidRPr="0077037B" w:rsidRDefault="4367C6B5" w:rsidP="00D61FC4">
      <w:pPr>
        <w:spacing w:line="480" w:lineRule="auto"/>
        <w:jc w:val="both"/>
        <w:rPr>
          <w:rFonts w:ascii="Times New Roman" w:eastAsia="Times New Roman" w:hAnsi="Times New Roman" w:cs="Times New Roman"/>
          <w:sz w:val="24"/>
          <w:szCs w:val="24"/>
        </w:rPr>
      </w:pPr>
    </w:p>
    <w:p w14:paraId="0F59C579" w14:textId="704DD2AA"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Throughout this essay, a comparison of the laws of Athenian and Gortyn women in relation to their property rights, and then their inheritance rights, will be made</w:t>
      </w:r>
      <w:r w:rsidR="686CB2BC" w:rsidRPr="0077037B">
        <w:rPr>
          <w:rFonts w:ascii="Times New Roman" w:eastAsia="Times New Roman" w:hAnsi="Times New Roman" w:cs="Times New Roman"/>
          <w:sz w:val="24"/>
          <w:szCs w:val="24"/>
        </w:rPr>
        <w:t>, by choosing certain laws</w:t>
      </w:r>
      <w:r w:rsidR="71411A29" w:rsidRPr="0077037B">
        <w:rPr>
          <w:rFonts w:ascii="Times New Roman" w:eastAsia="Times New Roman" w:hAnsi="Times New Roman" w:cs="Times New Roman"/>
          <w:sz w:val="24"/>
          <w:szCs w:val="24"/>
        </w:rPr>
        <w:t xml:space="preserve"> and looking into interpretations of them</w:t>
      </w:r>
      <w:r w:rsidR="686CB2BC" w:rsidRPr="0077037B">
        <w:rPr>
          <w:rFonts w:ascii="Times New Roman" w:eastAsia="Times New Roman" w:hAnsi="Times New Roman" w:cs="Times New Roman"/>
          <w:sz w:val="24"/>
          <w:szCs w:val="24"/>
        </w:rPr>
        <w:t>.</w:t>
      </w:r>
      <w:r w:rsidR="3E1CA483" w:rsidRPr="0077037B">
        <w:rPr>
          <w:rFonts w:ascii="Times New Roman" w:eastAsia="Times New Roman" w:hAnsi="Times New Roman" w:cs="Times New Roman"/>
          <w:sz w:val="24"/>
          <w:szCs w:val="24"/>
        </w:rPr>
        <w:t xml:space="preserve"> The Gortyn laws concerning property and inheritance for women are easily chosen, and with these all evidence of property and inheritance for Athenian women, both in scholarship and contemporary/</w:t>
      </w:r>
      <w:r w:rsidR="7D90C868" w:rsidRPr="0077037B">
        <w:rPr>
          <w:rFonts w:ascii="Times New Roman" w:eastAsia="Times New Roman" w:hAnsi="Times New Roman" w:cs="Times New Roman"/>
          <w:sz w:val="24"/>
          <w:szCs w:val="24"/>
        </w:rPr>
        <w:t xml:space="preserve">primary sources, will show the differences and, if there are any, similarities of the treatment and representation </w:t>
      </w:r>
      <w:r w:rsidR="107BB4B3" w:rsidRPr="0077037B">
        <w:rPr>
          <w:rFonts w:ascii="Times New Roman" w:eastAsia="Times New Roman" w:hAnsi="Times New Roman" w:cs="Times New Roman"/>
          <w:sz w:val="24"/>
          <w:szCs w:val="24"/>
        </w:rPr>
        <w:t xml:space="preserve">of women across </w:t>
      </w:r>
      <w:r w:rsidR="630D3F29" w:rsidRPr="0077037B">
        <w:rPr>
          <w:rFonts w:ascii="Times New Roman" w:eastAsia="Times New Roman" w:hAnsi="Times New Roman" w:cs="Times New Roman"/>
          <w:sz w:val="24"/>
          <w:szCs w:val="24"/>
        </w:rPr>
        <w:t xml:space="preserve">Classical </w:t>
      </w:r>
      <w:r w:rsidR="107BB4B3" w:rsidRPr="0077037B">
        <w:rPr>
          <w:rFonts w:ascii="Times New Roman" w:eastAsia="Times New Roman" w:hAnsi="Times New Roman" w:cs="Times New Roman"/>
          <w:sz w:val="24"/>
          <w:szCs w:val="24"/>
        </w:rPr>
        <w:t>Greece.</w:t>
      </w:r>
    </w:p>
    <w:p w14:paraId="4CA4EA0C" w14:textId="4B4A52B4" w:rsidR="4367C6B5" w:rsidRPr="0077037B" w:rsidRDefault="4367C6B5" w:rsidP="00D61FC4">
      <w:pPr>
        <w:spacing w:line="480" w:lineRule="auto"/>
        <w:jc w:val="both"/>
        <w:rPr>
          <w:rFonts w:ascii="Times New Roman" w:eastAsia="Times New Roman" w:hAnsi="Times New Roman" w:cs="Times New Roman"/>
          <w:sz w:val="24"/>
          <w:szCs w:val="24"/>
        </w:rPr>
      </w:pPr>
    </w:p>
    <w:p w14:paraId="458AD34C" w14:textId="15FF6A3D" w:rsidR="71DCFD11" w:rsidRPr="0077037B" w:rsidRDefault="1E9FD5EE"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Feminist h</w:t>
      </w:r>
      <w:r w:rsidR="71DCFD11" w:rsidRPr="0077037B">
        <w:rPr>
          <w:rFonts w:ascii="Times New Roman" w:eastAsia="Times New Roman" w:hAnsi="Times New Roman" w:cs="Times New Roman"/>
          <w:sz w:val="24"/>
          <w:szCs w:val="24"/>
        </w:rPr>
        <w:t xml:space="preserve">istorian Amanda Foreman introduces her documentary </w:t>
      </w:r>
      <w:r w:rsidR="71DCFD11" w:rsidRPr="0077037B">
        <w:rPr>
          <w:rFonts w:ascii="Times New Roman" w:eastAsia="Times New Roman" w:hAnsi="Times New Roman" w:cs="Times New Roman"/>
          <w:i/>
          <w:iCs/>
          <w:sz w:val="24"/>
          <w:szCs w:val="24"/>
        </w:rPr>
        <w:t>The Ascent of Woman</w:t>
      </w:r>
      <w:r w:rsidR="71DCFD11" w:rsidRPr="0077037B">
        <w:rPr>
          <w:rFonts w:ascii="Times New Roman" w:eastAsia="Times New Roman" w:hAnsi="Times New Roman" w:cs="Times New Roman"/>
          <w:sz w:val="24"/>
          <w:szCs w:val="24"/>
        </w:rPr>
        <w:t xml:space="preserve"> by stating that she believes ‘you can judge a civilisation by the way it treats its women, and the </w:t>
      </w:r>
      <w:r w:rsidR="71DCFD11" w:rsidRPr="0077037B">
        <w:rPr>
          <w:rFonts w:ascii="Times New Roman" w:eastAsia="Times New Roman" w:hAnsi="Times New Roman" w:cs="Times New Roman"/>
          <w:sz w:val="24"/>
          <w:szCs w:val="24"/>
        </w:rPr>
        <w:lastRenderedPageBreak/>
        <w:t>degree to which women have authority, agency, and autonomy’.</w:t>
      </w:r>
      <w:r w:rsidR="71DCFD11" w:rsidRPr="0077037B">
        <w:rPr>
          <w:rStyle w:val="FootnoteReference"/>
          <w:rFonts w:ascii="Times New Roman" w:eastAsia="Times New Roman" w:hAnsi="Times New Roman" w:cs="Times New Roman"/>
          <w:sz w:val="24"/>
          <w:szCs w:val="24"/>
        </w:rPr>
        <w:footnoteReference w:id="16"/>
      </w:r>
      <w:r w:rsidR="288756B7" w:rsidRPr="0077037B">
        <w:rPr>
          <w:rFonts w:ascii="Times New Roman" w:eastAsia="Times New Roman" w:hAnsi="Times New Roman" w:cs="Times New Roman"/>
          <w:sz w:val="24"/>
          <w:szCs w:val="24"/>
        </w:rPr>
        <w:t xml:space="preserve"> By interpreting and studying the laws of women across Classical Greece,</w:t>
      </w:r>
      <w:r w:rsidR="33EC30EC" w:rsidRPr="0077037B">
        <w:rPr>
          <w:rFonts w:ascii="Times New Roman" w:eastAsia="Times New Roman" w:hAnsi="Times New Roman" w:cs="Times New Roman"/>
          <w:sz w:val="24"/>
          <w:szCs w:val="24"/>
        </w:rPr>
        <w:t xml:space="preserve"> </w:t>
      </w:r>
      <w:r w:rsidR="3EA0A22B" w:rsidRPr="0077037B">
        <w:rPr>
          <w:rFonts w:ascii="Times New Roman" w:eastAsia="Times New Roman" w:hAnsi="Times New Roman" w:cs="Times New Roman"/>
          <w:sz w:val="24"/>
          <w:szCs w:val="24"/>
        </w:rPr>
        <w:t xml:space="preserve">a better understanding of </w:t>
      </w:r>
      <w:r w:rsidR="26E419C9" w:rsidRPr="0077037B">
        <w:rPr>
          <w:rFonts w:ascii="Times New Roman" w:eastAsia="Times New Roman" w:hAnsi="Times New Roman" w:cs="Times New Roman"/>
          <w:sz w:val="24"/>
          <w:szCs w:val="24"/>
        </w:rPr>
        <w:t>the Greek social world and gender dynamic is possible.</w:t>
      </w:r>
    </w:p>
    <w:p w14:paraId="09907407" w14:textId="4AFF4841" w:rsidR="4367C6B5" w:rsidRPr="0077037B" w:rsidRDefault="4367C6B5" w:rsidP="00D61FC4">
      <w:pPr>
        <w:spacing w:line="480" w:lineRule="auto"/>
        <w:jc w:val="both"/>
        <w:rPr>
          <w:rFonts w:ascii="Times New Roman" w:eastAsia="Times New Roman" w:hAnsi="Times New Roman" w:cs="Times New Roman"/>
          <w:sz w:val="24"/>
          <w:szCs w:val="24"/>
        </w:rPr>
      </w:pPr>
    </w:p>
    <w:p w14:paraId="21A59572" w14:textId="3F40B033"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Laws can reveal much about the status of women within society. The laws of Athens and</w:t>
      </w:r>
      <w:r w:rsidR="3796EDFD" w:rsidRPr="0077037B">
        <w:rPr>
          <w:rFonts w:ascii="Times New Roman" w:eastAsia="Times New Roman" w:hAnsi="Times New Roman" w:cs="Times New Roman"/>
          <w:sz w:val="24"/>
          <w:szCs w:val="24"/>
        </w:rPr>
        <w:t xml:space="preserve"> </w:t>
      </w:r>
      <w:r w:rsidRPr="0077037B">
        <w:rPr>
          <w:rFonts w:ascii="Times New Roman" w:eastAsia="Times New Roman" w:hAnsi="Times New Roman" w:cs="Times New Roman"/>
          <w:sz w:val="24"/>
          <w:szCs w:val="24"/>
        </w:rPr>
        <w:t xml:space="preserve">Gortyn reveal that the status of women in Classical Greece showed regional variation. </w:t>
      </w:r>
      <w:r w:rsidR="26958137" w:rsidRPr="0077037B">
        <w:rPr>
          <w:rFonts w:ascii="Times New Roman" w:eastAsia="Times New Roman" w:hAnsi="Times New Roman" w:cs="Times New Roman"/>
          <w:sz w:val="24"/>
          <w:szCs w:val="24"/>
        </w:rPr>
        <w:t xml:space="preserve">Compared to Gortyn women, Athenian women’s autonomy was more restricted, and everything was done through their guardian or </w:t>
      </w:r>
      <w:r w:rsidR="26958137" w:rsidRPr="0077037B">
        <w:rPr>
          <w:rFonts w:ascii="Times New Roman" w:eastAsia="Times New Roman" w:hAnsi="Times New Roman" w:cs="Times New Roman"/>
          <w:i/>
          <w:iCs/>
          <w:sz w:val="24"/>
          <w:szCs w:val="24"/>
        </w:rPr>
        <w:t>kyrios</w:t>
      </w:r>
      <w:r w:rsidR="26958137" w:rsidRPr="0077037B">
        <w:rPr>
          <w:rFonts w:ascii="Times New Roman" w:eastAsia="Times New Roman" w:hAnsi="Times New Roman" w:cs="Times New Roman"/>
          <w:sz w:val="24"/>
          <w:szCs w:val="24"/>
        </w:rPr>
        <w:t>. Gortyn women were able to own property and be part of the inheritance line, and, while it is de</w:t>
      </w:r>
      <w:r w:rsidR="19FA4507" w:rsidRPr="0077037B">
        <w:rPr>
          <w:rFonts w:ascii="Times New Roman" w:eastAsia="Times New Roman" w:hAnsi="Times New Roman" w:cs="Times New Roman"/>
          <w:sz w:val="24"/>
          <w:szCs w:val="24"/>
        </w:rPr>
        <w:t xml:space="preserve">bated in scholarship, they likely did not have a </w:t>
      </w:r>
      <w:r w:rsidR="19FA4507" w:rsidRPr="0077037B">
        <w:rPr>
          <w:rFonts w:ascii="Times New Roman" w:eastAsia="Times New Roman" w:hAnsi="Times New Roman" w:cs="Times New Roman"/>
          <w:i/>
          <w:iCs/>
          <w:sz w:val="24"/>
          <w:szCs w:val="24"/>
        </w:rPr>
        <w:t xml:space="preserve">kyrios </w:t>
      </w:r>
      <w:r w:rsidR="19FA4507" w:rsidRPr="0077037B">
        <w:rPr>
          <w:rFonts w:ascii="Times New Roman" w:eastAsia="Times New Roman" w:hAnsi="Times New Roman" w:cs="Times New Roman"/>
          <w:sz w:val="24"/>
          <w:szCs w:val="24"/>
        </w:rPr>
        <w:t>figure in their life.</w:t>
      </w:r>
    </w:p>
    <w:p w14:paraId="4582E97F" w14:textId="3E1362C5" w:rsidR="4367C6B5" w:rsidRPr="00A15263" w:rsidRDefault="4367C6B5" w:rsidP="00D61FC4">
      <w:pPr>
        <w:spacing w:line="480" w:lineRule="auto"/>
        <w:jc w:val="both"/>
        <w:rPr>
          <w:rFonts w:ascii="Times New Roman" w:eastAsia="Times New Roman" w:hAnsi="Times New Roman" w:cs="Times New Roman"/>
          <w:b/>
          <w:sz w:val="24"/>
          <w:szCs w:val="24"/>
          <w:u w:val="single"/>
        </w:rPr>
      </w:pPr>
    </w:p>
    <w:p w14:paraId="1F9743F8" w14:textId="3BD3C8C2" w:rsidR="00A15263" w:rsidRPr="00A15263" w:rsidRDefault="00A15263" w:rsidP="00D61FC4">
      <w:pPr>
        <w:spacing w:line="480" w:lineRule="auto"/>
        <w:jc w:val="both"/>
        <w:rPr>
          <w:rFonts w:ascii="Times New Roman" w:eastAsia="Times New Roman" w:hAnsi="Times New Roman" w:cs="Times New Roman"/>
          <w:b/>
          <w:sz w:val="24"/>
          <w:szCs w:val="24"/>
          <w:u w:val="single"/>
        </w:rPr>
      </w:pPr>
      <w:r w:rsidRPr="00A15263">
        <w:rPr>
          <w:rFonts w:ascii="Times New Roman" w:eastAsia="Times New Roman" w:hAnsi="Times New Roman" w:cs="Times New Roman"/>
          <w:b/>
          <w:sz w:val="24"/>
          <w:szCs w:val="24"/>
          <w:u w:val="single"/>
        </w:rPr>
        <w:t>The Importance of the Kyrios</w:t>
      </w:r>
    </w:p>
    <w:p w14:paraId="29614E04" w14:textId="6FA92D5C" w:rsidR="68E7CB50" w:rsidRPr="0077037B" w:rsidRDefault="2655BC74" w:rsidP="00D61FC4">
      <w:pPr>
        <w:spacing w:line="480" w:lineRule="auto"/>
        <w:jc w:val="both"/>
        <w:rPr>
          <w:rFonts w:ascii="Times New Roman" w:eastAsia="Times New Roman" w:hAnsi="Times New Roman" w:cs="Times New Roman"/>
          <w:sz w:val="24"/>
          <w:szCs w:val="24"/>
        </w:rPr>
      </w:pPr>
      <w:r w:rsidRPr="00AD7979">
        <w:rPr>
          <w:rFonts w:ascii="Times New Roman" w:eastAsia="Times New Roman" w:hAnsi="Times New Roman" w:cs="Times New Roman"/>
          <w:bCs/>
          <w:sz w:val="24"/>
          <w:szCs w:val="24"/>
        </w:rPr>
        <w:t>The status of women in Ancient Greece must be understood in light of the guardian system that was in place.</w:t>
      </w:r>
      <w:r w:rsidRPr="0077037B">
        <w:rPr>
          <w:rFonts w:ascii="Times New Roman" w:eastAsia="Times New Roman" w:hAnsi="Times New Roman" w:cs="Times New Roman"/>
          <w:b/>
          <w:bCs/>
          <w:sz w:val="24"/>
          <w:szCs w:val="24"/>
        </w:rPr>
        <w:t xml:space="preserve"> </w:t>
      </w:r>
      <w:r w:rsidR="5C4E9B76" w:rsidRPr="0077037B">
        <w:rPr>
          <w:rFonts w:ascii="Times New Roman" w:eastAsia="Times New Roman" w:hAnsi="Times New Roman" w:cs="Times New Roman"/>
          <w:sz w:val="24"/>
          <w:szCs w:val="24"/>
        </w:rPr>
        <w:t xml:space="preserve">Just examines the </w:t>
      </w:r>
      <w:r w:rsidR="5C4E9B76" w:rsidRPr="0077037B">
        <w:rPr>
          <w:rFonts w:ascii="Times New Roman" w:eastAsia="Times New Roman" w:hAnsi="Times New Roman" w:cs="Times New Roman"/>
          <w:i/>
          <w:iCs/>
          <w:sz w:val="24"/>
          <w:szCs w:val="24"/>
        </w:rPr>
        <w:t xml:space="preserve">kyrios </w:t>
      </w:r>
      <w:r w:rsidR="5C4E9B76" w:rsidRPr="0077037B">
        <w:rPr>
          <w:rFonts w:ascii="Times New Roman" w:eastAsia="Times New Roman" w:hAnsi="Times New Roman" w:cs="Times New Roman"/>
          <w:sz w:val="24"/>
          <w:szCs w:val="24"/>
        </w:rPr>
        <w:t xml:space="preserve">system in Athens, and details the complex nature of the </w:t>
      </w:r>
      <w:r w:rsidR="00AD7979">
        <w:rPr>
          <w:rFonts w:ascii="Times New Roman" w:eastAsia="Times New Roman" w:hAnsi="Times New Roman" w:cs="Times New Roman"/>
          <w:sz w:val="24"/>
          <w:szCs w:val="24"/>
        </w:rPr>
        <w:t>r</w:t>
      </w:r>
      <w:r w:rsidR="5C4E9B76" w:rsidRPr="0077037B">
        <w:rPr>
          <w:rFonts w:ascii="Times New Roman" w:eastAsia="Times New Roman" w:hAnsi="Times New Roman" w:cs="Times New Roman"/>
          <w:sz w:val="24"/>
          <w:szCs w:val="24"/>
        </w:rPr>
        <w:t xml:space="preserve">ules determining a woman’s </w:t>
      </w:r>
      <w:r w:rsidR="5C4E9B76" w:rsidRPr="0077037B">
        <w:rPr>
          <w:rFonts w:ascii="Times New Roman" w:eastAsia="Times New Roman" w:hAnsi="Times New Roman" w:cs="Times New Roman"/>
          <w:i/>
          <w:iCs/>
          <w:sz w:val="24"/>
          <w:szCs w:val="24"/>
        </w:rPr>
        <w:t>kyrios</w:t>
      </w:r>
      <w:r w:rsidR="5C4E9B76" w:rsidRPr="0077037B">
        <w:rPr>
          <w:rFonts w:ascii="Times New Roman" w:eastAsia="Times New Roman" w:hAnsi="Times New Roman" w:cs="Times New Roman"/>
          <w:sz w:val="24"/>
          <w:szCs w:val="24"/>
        </w:rPr>
        <w:t>.</w:t>
      </w:r>
      <w:r w:rsidR="68E7CB50" w:rsidRPr="0077037B">
        <w:rPr>
          <w:rStyle w:val="FootnoteReference"/>
          <w:rFonts w:ascii="Times New Roman" w:eastAsia="Times New Roman" w:hAnsi="Times New Roman" w:cs="Times New Roman"/>
          <w:sz w:val="24"/>
          <w:szCs w:val="24"/>
        </w:rPr>
        <w:footnoteReference w:id="17"/>
      </w:r>
      <w:r w:rsidR="5C4E9B76" w:rsidRPr="0077037B">
        <w:rPr>
          <w:rFonts w:ascii="Times New Roman" w:eastAsia="Times New Roman" w:hAnsi="Times New Roman" w:cs="Times New Roman"/>
          <w:sz w:val="24"/>
          <w:szCs w:val="24"/>
        </w:rPr>
        <w:t xml:space="preserve"> A</w:t>
      </w:r>
      <w:r w:rsidRPr="0077037B">
        <w:rPr>
          <w:rFonts w:ascii="Times New Roman" w:eastAsia="Times New Roman" w:hAnsi="Times New Roman" w:cs="Times New Roman"/>
          <w:sz w:val="24"/>
          <w:szCs w:val="24"/>
        </w:rPr>
        <w:t xml:space="preserve"> girl’s first </w:t>
      </w:r>
      <w:r w:rsidRPr="0077037B">
        <w:rPr>
          <w:rFonts w:ascii="Times New Roman" w:eastAsia="Times New Roman" w:hAnsi="Times New Roman" w:cs="Times New Roman"/>
          <w:i/>
          <w:iCs/>
          <w:sz w:val="24"/>
          <w:szCs w:val="24"/>
        </w:rPr>
        <w:t>kyrios</w:t>
      </w:r>
      <w:r w:rsidRPr="0077037B">
        <w:rPr>
          <w:rFonts w:ascii="Times New Roman" w:eastAsia="Times New Roman" w:hAnsi="Times New Roman" w:cs="Times New Roman"/>
          <w:sz w:val="24"/>
          <w:szCs w:val="24"/>
        </w:rPr>
        <w:t xml:space="preserve"> (guardian) was her father, and once he died either her ‘homopatric brother or paternal grandfather’ took over the role.</w:t>
      </w:r>
      <w:r w:rsidR="68E7CB50" w:rsidRPr="0077037B">
        <w:rPr>
          <w:rStyle w:val="FootnoteReference"/>
          <w:rFonts w:ascii="Times New Roman" w:eastAsia="Times New Roman" w:hAnsi="Times New Roman" w:cs="Times New Roman"/>
          <w:sz w:val="24"/>
          <w:szCs w:val="24"/>
        </w:rPr>
        <w:footnoteReference w:id="18"/>
      </w:r>
      <w:r w:rsidRPr="0077037B">
        <w:rPr>
          <w:rFonts w:ascii="Times New Roman" w:eastAsia="Times New Roman" w:hAnsi="Times New Roman" w:cs="Times New Roman"/>
          <w:sz w:val="24"/>
          <w:szCs w:val="24"/>
        </w:rPr>
        <w:t xml:space="preserve"> Once she married, the husband then became the </w:t>
      </w:r>
      <w:r w:rsidRPr="0077037B">
        <w:rPr>
          <w:rFonts w:ascii="Times New Roman" w:eastAsia="Times New Roman" w:hAnsi="Times New Roman" w:cs="Times New Roman"/>
          <w:i/>
          <w:iCs/>
          <w:sz w:val="24"/>
          <w:szCs w:val="24"/>
        </w:rPr>
        <w:t>kyrios</w:t>
      </w:r>
      <w:r w:rsidRPr="0077037B">
        <w:rPr>
          <w:rFonts w:ascii="Times New Roman" w:eastAsia="Times New Roman" w:hAnsi="Times New Roman" w:cs="Times New Roman"/>
          <w:sz w:val="24"/>
          <w:szCs w:val="24"/>
        </w:rPr>
        <w:t xml:space="preserve">, and if she was divorced or a widow, then her </w:t>
      </w:r>
      <w:r w:rsidR="4A2ED579" w:rsidRPr="0077037B">
        <w:rPr>
          <w:rFonts w:ascii="Times New Roman" w:eastAsia="Times New Roman" w:hAnsi="Times New Roman" w:cs="Times New Roman"/>
          <w:sz w:val="24"/>
          <w:szCs w:val="24"/>
        </w:rPr>
        <w:t>guardianship</w:t>
      </w:r>
      <w:r w:rsidRPr="0077037B">
        <w:rPr>
          <w:rFonts w:ascii="Times New Roman" w:eastAsia="Times New Roman" w:hAnsi="Times New Roman" w:cs="Times New Roman"/>
          <w:sz w:val="24"/>
          <w:szCs w:val="24"/>
        </w:rPr>
        <w:t xml:space="preserve"> would return to whoever was originally the </w:t>
      </w:r>
      <w:r w:rsidRPr="0077037B">
        <w:rPr>
          <w:rFonts w:ascii="Times New Roman" w:eastAsia="Times New Roman" w:hAnsi="Times New Roman" w:cs="Times New Roman"/>
          <w:i/>
          <w:iCs/>
          <w:sz w:val="24"/>
          <w:szCs w:val="24"/>
        </w:rPr>
        <w:t>kyrios</w:t>
      </w:r>
      <w:r w:rsidRPr="0077037B">
        <w:rPr>
          <w:rFonts w:ascii="Times New Roman" w:eastAsia="Times New Roman" w:hAnsi="Times New Roman" w:cs="Times New Roman"/>
          <w:sz w:val="24"/>
          <w:szCs w:val="24"/>
        </w:rPr>
        <w:t xml:space="preserve">. If the widow was pregnant, then she could and sometimes had to fall under the guardianship of the husband’s heir until the child was born. If she was a widow with young sons, then there was the possibility that she could ’elect to remain within the household of her late husband under the guardianship of her </w:t>
      </w:r>
      <w:r w:rsidRPr="0077037B">
        <w:rPr>
          <w:rFonts w:ascii="Times New Roman" w:eastAsia="Times New Roman" w:hAnsi="Times New Roman" w:cs="Times New Roman"/>
          <w:sz w:val="24"/>
          <w:szCs w:val="24"/>
        </w:rPr>
        <w:lastRenderedPageBreak/>
        <w:t>sons’ appointed guardian(s) until her sons came of age’.</w:t>
      </w:r>
      <w:r w:rsidR="68E7CB50" w:rsidRPr="0077037B">
        <w:rPr>
          <w:rStyle w:val="FootnoteReference"/>
          <w:rFonts w:ascii="Times New Roman" w:eastAsia="Times New Roman" w:hAnsi="Times New Roman" w:cs="Times New Roman"/>
          <w:sz w:val="24"/>
          <w:szCs w:val="24"/>
        </w:rPr>
        <w:footnoteReference w:id="19"/>
      </w:r>
      <w:r w:rsidRPr="0077037B">
        <w:rPr>
          <w:rFonts w:ascii="Times New Roman" w:eastAsia="Times New Roman" w:hAnsi="Times New Roman" w:cs="Times New Roman"/>
          <w:sz w:val="24"/>
          <w:szCs w:val="24"/>
        </w:rPr>
        <w:t xml:space="preserve"> If her sons were of age, then the widow could elect them to be her </w:t>
      </w:r>
      <w:r w:rsidRPr="0077037B">
        <w:rPr>
          <w:rFonts w:ascii="Times New Roman" w:eastAsia="Times New Roman" w:hAnsi="Times New Roman" w:cs="Times New Roman"/>
          <w:i/>
          <w:iCs/>
          <w:sz w:val="24"/>
          <w:szCs w:val="24"/>
        </w:rPr>
        <w:t>kyrios</w:t>
      </w:r>
      <w:r w:rsidRPr="0077037B">
        <w:rPr>
          <w:rFonts w:ascii="Times New Roman" w:eastAsia="Times New Roman" w:hAnsi="Times New Roman" w:cs="Times New Roman"/>
          <w:sz w:val="24"/>
          <w:szCs w:val="24"/>
        </w:rPr>
        <w:t>.</w:t>
      </w:r>
      <w:r w:rsidR="68E7CB50" w:rsidRPr="0077037B">
        <w:rPr>
          <w:rStyle w:val="FootnoteReference"/>
          <w:rFonts w:ascii="Times New Roman" w:eastAsia="Times New Roman" w:hAnsi="Times New Roman" w:cs="Times New Roman"/>
          <w:sz w:val="24"/>
          <w:szCs w:val="24"/>
        </w:rPr>
        <w:footnoteReference w:id="20"/>
      </w:r>
      <w:r w:rsidR="12A08316" w:rsidRPr="0077037B">
        <w:rPr>
          <w:rFonts w:ascii="Times New Roman" w:eastAsia="Times New Roman" w:hAnsi="Times New Roman" w:cs="Times New Roman"/>
          <w:sz w:val="24"/>
          <w:szCs w:val="24"/>
        </w:rPr>
        <w:t xml:space="preserve"> The </w:t>
      </w:r>
      <w:r w:rsidR="12A08316" w:rsidRPr="0077037B">
        <w:rPr>
          <w:rFonts w:ascii="Times New Roman" w:eastAsia="Times New Roman" w:hAnsi="Times New Roman" w:cs="Times New Roman"/>
          <w:i/>
          <w:iCs/>
          <w:sz w:val="24"/>
          <w:szCs w:val="24"/>
        </w:rPr>
        <w:t xml:space="preserve">kyrios </w:t>
      </w:r>
      <w:r w:rsidR="12A08316" w:rsidRPr="0077037B">
        <w:rPr>
          <w:rFonts w:ascii="Times New Roman" w:eastAsia="Times New Roman" w:hAnsi="Times New Roman" w:cs="Times New Roman"/>
          <w:sz w:val="24"/>
          <w:szCs w:val="24"/>
        </w:rPr>
        <w:t xml:space="preserve">figure was expected to provide the dependent woman or child with food and living arrangements, and they were responsible for the dependent </w:t>
      </w:r>
      <w:r w:rsidR="5B38FBB4" w:rsidRPr="0077037B">
        <w:rPr>
          <w:rFonts w:ascii="Times New Roman" w:eastAsia="Times New Roman" w:hAnsi="Times New Roman" w:cs="Times New Roman"/>
          <w:sz w:val="24"/>
          <w:szCs w:val="24"/>
        </w:rPr>
        <w:t>beings.</w:t>
      </w:r>
      <w:r w:rsidR="68E7CB50" w:rsidRPr="0077037B">
        <w:rPr>
          <w:rStyle w:val="FootnoteReference"/>
          <w:rFonts w:ascii="Times New Roman" w:eastAsia="Times New Roman" w:hAnsi="Times New Roman" w:cs="Times New Roman"/>
          <w:sz w:val="24"/>
          <w:szCs w:val="24"/>
        </w:rPr>
        <w:footnoteReference w:id="21"/>
      </w:r>
    </w:p>
    <w:p w14:paraId="7C879194" w14:textId="025AE7BA" w:rsidR="68E7CB50" w:rsidRPr="0077037B" w:rsidRDefault="68E7CB50" w:rsidP="00D61FC4">
      <w:pPr>
        <w:spacing w:line="480" w:lineRule="auto"/>
        <w:jc w:val="both"/>
        <w:rPr>
          <w:rFonts w:ascii="Times New Roman" w:eastAsia="Times New Roman" w:hAnsi="Times New Roman" w:cs="Times New Roman"/>
          <w:b/>
          <w:bCs/>
          <w:sz w:val="24"/>
          <w:szCs w:val="24"/>
        </w:rPr>
      </w:pPr>
    </w:p>
    <w:p w14:paraId="1F2A091C" w14:textId="783ED882" w:rsidR="68E7CB50" w:rsidRPr="0077037B" w:rsidRDefault="2655BC74" w:rsidP="00D61FC4">
      <w:pPr>
        <w:spacing w:line="480" w:lineRule="auto"/>
        <w:jc w:val="both"/>
        <w:rPr>
          <w:rFonts w:ascii="Times New Roman" w:eastAsia="Times New Roman" w:hAnsi="Times New Roman" w:cs="Times New Roman"/>
          <w:sz w:val="24"/>
          <w:szCs w:val="24"/>
        </w:rPr>
      </w:pPr>
      <w:r w:rsidRPr="00AD7979">
        <w:rPr>
          <w:rFonts w:ascii="Times New Roman" w:eastAsia="Times New Roman" w:hAnsi="Times New Roman" w:cs="Times New Roman"/>
          <w:bCs/>
          <w:sz w:val="24"/>
          <w:szCs w:val="24"/>
        </w:rPr>
        <w:t>It has been debated amongst scholars over the years if Gortyn had a similar or the same guardianship system as Athens.</w:t>
      </w:r>
      <w:r w:rsidRPr="0077037B">
        <w:rPr>
          <w:rFonts w:ascii="Times New Roman" w:eastAsia="Times New Roman" w:hAnsi="Times New Roman" w:cs="Times New Roman"/>
          <w:b/>
          <w:bCs/>
          <w:sz w:val="24"/>
          <w:szCs w:val="24"/>
        </w:rPr>
        <w:t xml:space="preserve"> </w:t>
      </w:r>
      <w:r w:rsidRPr="0077037B">
        <w:rPr>
          <w:rFonts w:ascii="Times New Roman" w:eastAsia="Times New Roman" w:hAnsi="Times New Roman" w:cs="Times New Roman"/>
          <w:sz w:val="24"/>
          <w:szCs w:val="24"/>
        </w:rPr>
        <w:t xml:space="preserve">Gagarin has consistently argued since 2008 that Gortyn women could own and dispose of property without a </w:t>
      </w:r>
      <w:r w:rsidRPr="0077037B">
        <w:rPr>
          <w:rFonts w:ascii="Times New Roman" w:eastAsia="Times New Roman" w:hAnsi="Times New Roman" w:cs="Times New Roman"/>
          <w:i/>
          <w:iCs/>
          <w:sz w:val="24"/>
          <w:szCs w:val="24"/>
        </w:rPr>
        <w:t xml:space="preserve">kyrios </w:t>
      </w:r>
      <w:r w:rsidRPr="0077037B">
        <w:rPr>
          <w:rFonts w:ascii="Times New Roman" w:eastAsia="Times New Roman" w:hAnsi="Times New Roman" w:cs="Times New Roman"/>
          <w:sz w:val="24"/>
          <w:szCs w:val="24"/>
        </w:rPr>
        <w:t>figure in their life,</w:t>
      </w:r>
      <w:r w:rsidR="68E7CB50" w:rsidRPr="0077037B">
        <w:rPr>
          <w:rStyle w:val="FootnoteReference"/>
          <w:rFonts w:ascii="Times New Roman" w:eastAsia="Times New Roman" w:hAnsi="Times New Roman" w:cs="Times New Roman"/>
          <w:sz w:val="24"/>
          <w:szCs w:val="24"/>
        </w:rPr>
        <w:footnoteReference w:id="22"/>
      </w:r>
      <w:r w:rsidRPr="0077037B">
        <w:rPr>
          <w:rFonts w:ascii="Times New Roman" w:eastAsia="Times New Roman" w:hAnsi="Times New Roman" w:cs="Times New Roman"/>
          <w:sz w:val="24"/>
          <w:szCs w:val="24"/>
        </w:rPr>
        <w:t xml:space="preserve"> but Maffi has come forward with the opposing opinion of how Gortyn women did have a guardian, just like the Athenian system.</w:t>
      </w:r>
      <w:r w:rsidR="68E7CB50" w:rsidRPr="0077037B">
        <w:rPr>
          <w:rStyle w:val="FootnoteReference"/>
          <w:rFonts w:ascii="Times New Roman" w:eastAsia="Times New Roman" w:hAnsi="Times New Roman" w:cs="Times New Roman"/>
          <w:sz w:val="24"/>
          <w:szCs w:val="24"/>
        </w:rPr>
        <w:footnoteReference w:id="23"/>
      </w:r>
    </w:p>
    <w:p w14:paraId="5B9FDBA9" w14:textId="77777777" w:rsidR="00333B02" w:rsidRPr="00AD7979" w:rsidRDefault="00333B02" w:rsidP="00D61FC4">
      <w:pPr>
        <w:spacing w:line="480" w:lineRule="auto"/>
        <w:jc w:val="both"/>
        <w:rPr>
          <w:rFonts w:ascii="Times New Roman" w:eastAsia="Times New Roman" w:hAnsi="Times New Roman" w:cs="Times New Roman"/>
          <w:bCs/>
          <w:sz w:val="24"/>
          <w:szCs w:val="24"/>
        </w:rPr>
      </w:pPr>
    </w:p>
    <w:p w14:paraId="0689E1D4" w14:textId="47828604" w:rsidR="68E7CB50" w:rsidRPr="0077037B" w:rsidRDefault="2655BC74" w:rsidP="00D61FC4">
      <w:pPr>
        <w:spacing w:line="480" w:lineRule="auto"/>
        <w:jc w:val="both"/>
        <w:rPr>
          <w:rFonts w:ascii="Times New Roman" w:eastAsia="Times New Roman" w:hAnsi="Times New Roman" w:cs="Times New Roman"/>
          <w:sz w:val="24"/>
          <w:szCs w:val="24"/>
        </w:rPr>
      </w:pPr>
      <w:r w:rsidRPr="00AD7979">
        <w:rPr>
          <w:rFonts w:ascii="Times New Roman" w:eastAsia="Times New Roman" w:hAnsi="Times New Roman" w:cs="Times New Roman"/>
          <w:sz w:val="24"/>
          <w:szCs w:val="24"/>
        </w:rPr>
        <w:t xml:space="preserve">By understanding the </w:t>
      </w:r>
      <w:r w:rsidRPr="00AD7979">
        <w:rPr>
          <w:rFonts w:ascii="Times New Roman" w:eastAsia="Times New Roman" w:hAnsi="Times New Roman" w:cs="Times New Roman"/>
          <w:i/>
          <w:iCs/>
          <w:sz w:val="24"/>
          <w:szCs w:val="24"/>
        </w:rPr>
        <w:t xml:space="preserve">kyrios </w:t>
      </w:r>
      <w:r w:rsidRPr="00AD7979">
        <w:rPr>
          <w:rFonts w:ascii="Times New Roman" w:eastAsia="Times New Roman" w:hAnsi="Times New Roman" w:cs="Times New Roman"/>
          <w:sz w:val="24"/>
          <w:szCs w:val="24"/>
        </w:rPr>
        <w:t xml:space="preserve">and the place and autonomy a woman had within the family and what was enforced by their laws, </w:t>
      </w:r>
      <w:r w:rsidR="0608D4EC" w:rsidRPr="00AD7979">
        <w:rPr>
          <w:rFonts w:ascii="Times New Roman" w:eastAsia="Times New Roman" w:hAnsi="Times New Roman" w:cs="Times New Roman"/>
          <w:sz w:val="24"/>
          <w:szCs w:val="24"/>
        </w:rPr>
        <w:t xml:space="preserve">understanding and displaying the differences </w:t>
      </w:r>
      <w:r w:rsidR="45F234F4" w:rsidRPr="00AD7979">
        <w:rPr>
          <w:rFonts w:ascii="Times New Roman" w:eastAsia="Times New Roman" w:hAnsi="Times New Roman" w:cs="Times New Roman"/>
          <w:sz w:val="24"/>
          <w:szCs w:val="24"/>
        </w:rPr>
        <w:t>of Athenian and Gortyn law and how much women were represented within them will be more apparent.</w:t>
      </w:r>
      <w:r w:rsidR="1090B1CD" w:rsidRPr="0077037B">
        <w:rPr>
          <w:rFonts w:ascii="Times New Roman" w:eastAsia="Times New Roman" w:hAnsi="Times New Roman" w:cs="Times New Roman"/>
          <w:sz w:val="24"/>
          <w:szCs w:val="24"/>
        </w:rPr>
        <w:t xml:space="preserve"> A </w:t>
      </w:r>
      <w:r w:rsidR="1090B1CD" w:rsidRPr="0077037B">
        <w:rPr>
          <w:rFonts w:ascii="Times New Roman" w:eastAsia="Times New Roman" w:hAnsi="Times New Roman" w:cs="Times New Roman"/>
          <w:i/>
          <w:iCs/>
          <w:sz w:val="24"/>
          <w:szCs w:val="24"/>
        </w:rPr>
        <w:t xml:space="preserve">kyrios </w:t>
      </w:r>
      <w:r w:rsidR="1090B1CD" w:rsidRPr="0077037B">
        <w:rPr>
          <w:rFonts w:ascii="Times New Roman" w:eastAsia="Times New Roman" w:hAnsi="Times New Roman" w:cs="Times New Roman"/>
          <w:sz w:val="24"/>
          <w:szCs w:val="24"/>
        </w:rPr>
        <w:t>restricted a woman’s autonomy and how much power and control they had/were allowed</w:t>
      </w:r>
      <w:r w:rsidR="7ACA412C" w:rsidRPr="0077037B">
        <w:rPr>
          <w:rFonts w:ascii="Times New Roman" w:eastAsia="Times New Roman" w:hAnsi="Times New Roman" w:cs="Times New Roman"/>
          <w:sz w:val="24"/>
          <w:szCs w:val="24"/>
        </w:rPr>
        <w:t xml:space="preserve">. This role in a woman’s life is important for scholars as it helps determine how much women were </w:t>
      </w:r>
      <w:r w:rsidR="22D135DE" w:rsidRPr="0077037B">
        <w:rPr>
          <w:rFonts w:ascii="Times New Roman" w:eastAsia="Times New Roman" w:hAnsi="Times New Roman" w:cs="Times New Roman"/>
          <w:sz w:val="24"/>
          <w:szCs w:val="24"/>
        </w:rPr>
        <w:t>restricted</w:t>
      </w:r>
      <w:r w:rsidR="7ACA412C" w:rsidRPr="0077037B">
        <w:rPr>
          <w:rFonts w:ascii="Times New Roman" w:eastAsia="Times New Roman" w:hAnsi="Times New Roman" w:cs="Times New Roman"/>
          <w:sz w:val="24"/>
          <w:szCs w:val="24"/>
        </w:rPr>
        <w:t xml:space="preserve"> through laws, and therefore their representation in society.</w:t>
      </w:r>
      <w:r w:rsidR="6E1AC236" w:rsidRPr="0077037B">
        <w:rPr>
          <w:rFonts w:ascii="Times New Roman" w:eastAsia="Times New Roman" w:hAnsi="Times New Roman" w:cs="Times New Roman"/>
          <w:sz w:val="24"/>
          <w:szCs w:val="24"/>
        </w:rPr>
        <w:t xml:space="preserve"> The </w:t>
      </w:r>
      <w:r w:rsidR="6E1AC236" w:rsidRPr="0077037B">
        <w:rPr>
          <w:rFonts w:ascii="Times New Roman" w:eastAsia="Times New Roman" w:hAnsi="Times New Roman" w:cs="Times New Roman"/>
          <w:i/>
          <w:iCs/>
          <w:sz w:val="24"/>
          <w:szCs w:val="24"/>
        </w:rPr>
        <w:t xml:space="preserve">kyrios </w:t>
      </w:r>
      <w:r w:rsidR="6E1AC236" w:rsidRPr="0077037B">
        <w:rPr>
          <w:rFonts w:ascii="Times New Roman" w:eastAsia="Times New Roman" w:hAnsi="Times New Roman" w:cs="Times New Roman"/>
          <w:sz w:val="24"/>
          <w:szCs w:val="24"/>
        </w:rPr>
        <w:t xml:space="preserve">role would have overtaken the woman’s place in inheritance and owning property, as </w:t>
      </w:r>
      <w:r w:rsidR="39D831C0" w:rsidRPr="0077037B">
        <w:rPr>
          <w:rFonts w:ascii="Times New Roman" w:eastAsia="Times New Roman" w:hAnsi="Times New Roman" w:cs="Times New Roman"/>
          <w:sz w:val="24"/>
          <w:szCs w:val="24"/>
        </w:rPr>
        <w:t>her place in the law would have been represented by the male figure</w:t>
      </w:r>
      <w:r w:rsidR="45F5FD0D" w:rsidRPr="0077037B">
        <w:rPr>
          <w:rFonts w:ascii="Times New Roman" w:eastAsia="Times New Roman" w:hAnsi="Times New Roman" w:cs="Times New Roman"/>
          <w:sz w:val="24"/>
          <w:szCs w:val="24"/>
        </w:rPr>
        <w:t xml:space="preserve">. If there was any land or property to inherit or own, it would have gone to the male heirs instead, and </w:t>
      </w:r>
      <w:r w:rsidR="28E3C193" w:rsidRPr="0077037B">
        <w:rPr>
          <w:rFonts w:ascii="Times New Roman" w:eastAsia="Times New Roman" w:hAnsi="Times New Roman" w:cs="Times New Roman"/>
          <w:sz w:val="24"/>
          <w:szCs w:val="24"/>
        </w:rPr>
        <w:t xml:space="preserve">the woman would not be involved. The </w:t>
      </w:r>
      <w:r w:rsidR="28E3C193" w:rsidRPr="0077037B">
        <w:rPr>
          <w:rFonts w:ascii="Times New Roman" w:eastAsia="Times New Roman" w:hAnsi="Times New Roman" w:cs="Times New Roman"/>
          <w:i/>
          <w:iCs/>
          <w:sz w:val="24"/>
          <w:szCs w:val="24"/>
        </w:rPr>
        <w:t xml:space="preserve">kyrios </w:t>
      </w:r>
      <w:r w:rsidR="28E3C193" w:rsidRPr="0077037B">
        <w:rPr>
          <w:rFonts w:ascii="Times New Roman" w:eastAsia="Times New Roman" w:hAnsi="Times New Roman" w:cs="Times New Roman"/>
          <w:sz w:val="24"/>
          <w:szCs w:val="24"/>
        </w:rPr>
        <w:t xml:space="preserve">role has a large impact on a </w:t>
      </w:r>
      <w:r w:rsidR="032EB34D" w:rsidRPr="0077037B">
        <w:rPr>
          <w:rFonts w:ascii="Times New Roman" w:eastAsia="Times New Roman" w:hAnsi="Times New Roman" w:cs="Times New Roman"/>
          <w:sz w:val="24"/>
          <w:szCs w:val="24"/>
        </w:rPr>
        <w:t xml:space="preserve">society and the autonomy of a woman, and </w:t>
      </w:r>
      <w:r w:rsidR="032EB34D" w:rsidRPr="0077037B">
        <w:rPr>
          <w:rFonts w:ascii="Times New Roman" w:eastAsia="Times New Roman" w:hAnsi="Times New Roman" w:cs="Times New Roman"/>
          <w:sz w:val="24"/>
          <w:szCs w:val="24"/>
        </w:rPr>
        <w:lastRenderedPageBreak/>
        <w:t>would have a large impact on a woman owning property and having a part in the inheritance line.</w:t>
      </w:r>
    </w:p>
    <w:p w14:paraId="1B923788" w14:textId="32AFE156" w:rsidR="00E30AA1" w:rsidRPr="0077037B" w:rsidRDefault="00E30AA1" w:rsidP="00D61FC4">
      <w:pPr>
        <w:spacing w:line="480" w:lineRule="auto"/>
        <w:jc w:val="both"/>
        <w:rPr>
          <w:rFonts w:ascii="Times New Roman" w:eastAsia="Times New Roman" w:hAnsi="Times New Roman" w:cs="Times New Roman"/>
          <w:b/>
          <w:bCs/>
          <w:sz w:val="24"/>
          <w:szCs w:val="24"/>
          <w:u w:val="single"/>
        </w:rPr>
      </w:pPr>
    </w:p>
    <w:p w14:paraId="205B4CF7" w14:textId="2BE56C27" w:rsidR="68E7CB50" w:rsidRPr="0077037B" w:rsidRDefault="1B833237"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b/>
          <w:bCs/>
          <w:sz w:val="24"/>
          <w:szCs w:val="24"/>
          <w:u w:val="single"/>
        </w:rPr>
        <w:t>Property Rights</w:t>
      </w:r>
    </w:p>
    <w:p w14:paraId="7F16EF8D" w14:textId="774246DA" w:rsidR="68E7CB50" w:rsidRPr="0077037B" w:rsidRDefault="1F2E250E" w:rsidP="00D61FC4">
      <w:pPr>
        <w:spacing w:line="480" w:lineRule="auto"/>
        <w:jc w:val="both"/>
        <w:rPr>
          <w:rFonts w:ascii="Times New Roman" w:eastAsia="Times New Roman" w:hAnsi="Times New Roman" w:cs="Times New Roman"/>
          <w:b/>
          <w:bCs/>
          <w:sz w:val="24"/>
          <w:szCs w:val="24"/>
        </w:rPr>
      </w:pPr>
      <w:r w:rsidRPr="0077037B">
        <w:rPr>
          <w:rFonts w:ascii="Times New Roman" w:eastAsia="Times New Roman" w:hAnsi="Times New Roman" w:cs="Times New Roman"/>
          <w:sz w:val="24"/>
          <w:szCs w:val="24"/>
        </w:rPr>
        <w:t>Gagarin runs through an analysis and explanation of the Gortyn Law 6.2-7:</w:t>
      </w:r>
    </w:p>
    <w:p w14:paraId="1C3BA075" w14:textId="1D1D0FE5" w:rsidR="5833BE80" w:rsidRPr="0077037B" w:rsidRDefault="5833BE80" w:rsidP="00D61FC4">
      <w:pPr>
        <w:spacing w:line="480" w:lineRule="auto"/>
        <w:jc w:val="both"/>
        <w:rPr>
          <w:rFonts w:ascii="Times New Roman" w:eastAsia="Times New Roman" w:hAnsi="Times New Roman" w:cs="Times New Roman"/>
          <w:sz w:val="24"/>
          <w:szCs w:val="24"/>
        </w:rPr>
      </w:pPr>
    </w:p>
    <w:p w14:paraId="2A9E6C73" w14:textId="64C3F9BC" w:rsidR="1F2E250E" w:rsidRPr="0077037B" w:rsidRDefault="1F2E250E" w:rsidP="00D61FC4">
      <w:pPr>
        <w:spacing w:line="480" w:lineRule="auto"/>
        <w:ind w:left="1440" w:right="1440"/>
        <w:jc w:val="both"/>
        <w:rPr>
          <w:rFonts w:ascii="Times New Roman" w:eastAsiaTheme="minorEastAsia" w:hAnsi="Times New Roman" w:cs="Times New Roman"/>
          <w:b/>
          <w:bCs/>
          <w:sz w:val="24"/>
          <w:szCs w:val="24"/>
        </w:rPr>
      </w:pPr>
      <w:r w:rsidRPr="0077037B">
        <w:rPr>
          <w:rFonts w:ascii="Times New Roman" w:eastAsia="Times New Roman" w:hAnsi="Times New Roman" w:cs="Times New Roman"/>
          <w:sz w:val="24"/>
          <w:szCs w:val="24"/>
        </w:rPr>
        <w:t>While the father is alive, the father’s property may not be bought or received in pledge from a son. But what the latter owns himself or has been given as his share, he may dispose of as he wishes. And the father may not (dispose of) what his children own themselves or have received as their share.</w:t>
      </w:r>
      <w:r w:rsidRPr="0077037B">
        <w:rPr>
          <w:rStyle w:val="FootnoteReference"/>
          <w:rFonts w:ascii="Times New Roman" w:eastAsia="Times New Roman" w:hAnsi="Times New Roman" w:cs="Times New Roman"/>
          <w:sz w:val="24"/>
          <w:szCs w:val="24"/>
        </w:rPr>
        <w:footnoteReference w:id="24"/>
      </w:r>
    </w:p>
    <w:p w14:paraId="2EC10986" w14:textId="36399577" w:rsidR="559D2F70" w:rsidRPr="0077037B" w:rsidRDefault="559D2F70" w:rsidP="00D61FC4">
      <w:pPr>
        <w:spacing w:line="480" w:lineRule="auto"/>
        <w:jc w:val="both"/>
        <w:rPr>
          <w:rFonts w:ascii="Times New Roman" w:eastAsia="Times New Roman" w:hAnsi="Times New Roman" w:cs="Times New Roman"/>
          <w:sz w:val="24"/>
          <w:szCs w:val="24"/>
        </w:rPr>
      </w:pPr>
    </w:p>
    <w:p w14:paraId="0035B682" w14:textId="46CC5996" w:rsidR="3F068970" w:rsidRPr="0077037B" w:rsidRDefault="000F6CD3" w:rsidP="00D61FC4">
      <w:pPr>
        <w:spacing w:line="480" w:lineRule="auto"/>
        <w:jc w:val="both"/>
        <w:rPr>
          <w:rStyle w:val="FootnoteReference"/>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 xml:space="preserve">In his work Gagarin goes through Maffi’s analysis of the Gortyn laws, and questions </w:t>
      </w:r>
      <w:r w:rsidR="559A26A5" w:rsidRPr="0077037B">
        <w:rPr>
          <w:rFonts w:ascii="Times New Roman" w:eastAsia="Times New Roman" w:hAnsi="Times New Roman" w:cs="Times New Roman"/>
          <w:sz w:val="24"/>
          <w:szCs w:val="24"/>
        </w:rPr>
        <w:t xml:space="preserve">Maffi’s analysis of </w:t>
      </w:r>
      <w:r w:rsidRPr="0077037B">
        <w:rPr>
          <w:rFonts w:ascii="Times New Roman" w:eastAsia="Times New Roman" w:hAnsi="Times New Roman" w:cs="Times New Roman"/>
          <w:sz w:val="24"/>
          <w:szCs w:val="24"/>
        </w:rPr>
        <w:t>how much freedom and autonomy the women had, and in particular, how different Gortyn really was compared to somewhere like Athens.</w:t>
      </w:r>
      <w:r w:rsidR="3F068970" w:rsidRPr="0077037B">
        <w:rPr>
          <w:rStyle w:val="FootnoteReference"/>
          <w:rFonts w:ascii="Times New Roman" w:eastAsia="Times New Roman" w:hAnsi="Times New Roman" w:cs="Times New Roman"/>
          <w:sz w:val="24"/>
          <w:szCs w:val="24"/>
        </w:rPr>
        <w:footnoteReference w:id="25"/>
      </w:r>
      <w:r w:rsidRPr="0077037B">
        <w:rPr>
          <w:rFonts w:ascii="Times New Roman" w:eastAsia="Times New Roman" w:hAnsi="Times New Roman" w:cs="Times New Roman"/>
          <w:sz w:val="24"/>
          <w:szCs w:val="24"/>
        </w:rPr>
        <w:t xml:space="preserve"> </w:t>
      </w:r>
      <w:r w:rsidR="3F068970" w:rsidRPr="0077037B">
        <w:rPr>
          <w:rFonts w:ascii="Times New Roman" w:eastAsia="Times New Roman" w:hAnsi="Times New Roman" w:cs="Times New Roman"/>
          <w:sz w:val="24"/>
          <w:szCs w:val="24"/>
        </w:rPr>
        <w:t>Maffi</w:t>
      </w:r>
      <w:r w:rsidR="060E1881" w:rsidRPr="0077037B">
        <w:rPr>
          <w:rFonts w:ascii="Times New Roman" w:eastAsia="Times New Roman" w:hAnsi="Times New Roman" w:cs="Times New Roman"/>
          <w:sz w:val="24"/>
          <w:szCs w:val="24"/>
        </w:rPr>
        <w:t xml:space="preserve"> argues that because </w:t>
      </w:r>
      <w:r w:rsidR="5994DF24" w:rsidRPr="0077037B">
        <w:rPr>
          <w:rFonts w:ascii="Times New Roman" w:eastAsia="Times New Roman" w:hAnsi="Times New Roman" w:cs="Times New Roman"/>
          <w:sz w:val="24"/>
          <w:szCs w:val="24"/>
        </w:rPr>
        <w:t>daughters are not mention in th</w:t>
      </w:r>
      <w:r w:rsidR="6E830CA3" w:rsidRPr="0077037B">
        <w:rPr>
          <w:rFonts w:ascii="Times New Roman" w:eastAsia="Times New Roman" w:hAnsi="Times New Roman" w:cs="Times New Roman"/>
          <w:sz w:val="24"/>
          <w:szCs w:val="24"/>
        </w:rPr>
        <w:t>e</w:t>
      </w:r>
      <w:r w:rsidR="5994DF24" w:rsidRPr="0077037B">
        <w:rPr>
          <w:rFonts w:ascii="Times New Roman" w:eastAsia="Times New Roman" w:hAnsi="Times New Roman" w:cs="Times New Roman"/>
          <w:sz w:val="24"/>
          <w:szCs w:val="24"/>
        </w:rPr>
        <w:t xml:space="preserve"> law</w:t>
      </w:r>
      <w:r w:rsidR="66B0CA79" w:rsidRPr="0077037B">
        <w:rPr>
          <w:rFonts w:ascii="Times New Roman" w:eastAsia="Times New Roman" w:hAnsi="Times New Roman" w:cs="Times New Roman"/>
          <w:sz w:val="24"/>
          <w:szCs w:val="24"/>
        </w:rPr>
        <w:t xml:space="preserve"> 6.2-7</w:t>
      </w:r>
      <w:r w:rsidR="5994DF24" w:rsidRPr="0077037B">
        <w:rPr>
          <w:rFonts w:ascii="Times New Roman" w:eastAsia="Times New Roman" w:hAnsi="Times New Roman" w:cs="Times New Roman"/>
          <w:sz w:val="24"/>
          <w:szCs w:val="24"/>
        </w:rPr>
        <w:t xml:space="preserve">, they were not included in the </w:t>
      </w:r>
      <w:r w:rsidR="584D9D1B" w:rsidRPr="0077037B">
        <w:rPr>
          <w:rFonts w:ascii="Times New Roman" w:eastAsia="Times New Roman" w:hAnsi="Times New Roman" w:cs="Times New Roman"/>
          <w:sz w:val="24"/>
          <w:szCs w:val="24"/>
        </w:rPr>
        <w:t>owning of property, or the line of inheritance.</w:t>
      </w:r>
      <w:r w:rsidR="3F068970" w:rsidRPr="0077037B">
        <w:rPr>
          <w:rStyle w:val="FootnoteReference"/>
          <w:rFonts w:ascii="Times New Roman" w:eastAsia="Times New Roman" w:hAnsi="Times New Roman" w:cs="Times New Roman"/>
          <w:sz w:val="24"/>
          <w:szCs w:val="24"/>
        </w:rPr>
        <w:footnoteReference w:id="26"/>
      </w:r>
      <w:r w:rsidR="139266B7" w:rsidRPr="0077037B">
        <w:rPr>
          <w:rFonts w:ascii="Times New Roman" w:eastAsia="Times New Roman" w:hAnsi="Times New Roman" w:cs="Times New Roman"/>
          <w:sz w:val="24"/>
          <w:szCs w:val="24"/>
        </w:rPr>
        <w:t xml:space="preserve"> Gagarin counters this argument, however, by</w:t>
      </w:r>
      <w:r w:rsidR="690FE1DA" w:rsidRPr="0077037B">
        <w:rPr>
          <w:rFonts w:ascii="Times New Roman" w:eastAsia="Times New Roman" w:hAnsi="Times New Roman" w:cs="Times New Roman"/>
          <w:sz w:val="24"/>
          <w:szCs w:val="24"/>
        </w:rPr>
        <w:t xml:space="preserve"> d</w:t>
      </w:r>
      <w:r w:rsidR="4FCBF4DF" w:rsidRPr="0077037B">
        <w:rPr>
          <w:rFonts w:ascii="Times New Roman" w:eastAsia="Times New Roman" w:hAnsi="Times New Roman" w:cs="Times New Roman"/>
          <w:sz w:val="24"/>
          <w:szCs w:val="24"/>
        </w:rPr>
        <w:t>emonstrating that</w:t>
      </w:r>
      <w:r w:rsidR="690FE1DA" w:rsidRPr="0077037B">
        <w:rPr>
          <w:rFonts w:ascii="Times New Roman" w:eastAsia="Times New Roman" w:hAnsi="Times New Roman" w:cs="Times New Roman"/>
          <w:sz w:val="24"/>
          <w:szCs w:val="24"/>
        </w:rPr>
        <w:t xml:space="preserve"> the law says inheritance is shared across all the children, and while the daughters would get a smaller share, they were still involved in the inheritance line, and could therefore own property or land.</w:t>
      </w:r>
      <w:r w:rsidR="44958A24" w:rsidRPr="0077037B">
        <w:rPr>
          <w:rFonts w:ascii="Times New Roman" w:eastAsia="Times New Roman" w:hAnsi="Times New Roman" w:cs="Times New Roman"/>
          <w:sz w:val="24"/>
          <w:szCs w:val="24"/>
        </w:rPr>
        <w:t xml:space="preserve"> </w:t>
      </w:r>
      <w:r w:rsidR="34CF9EDA" w:rsidRPr="0077037B">
        <w:rPr>
          <w:rFonts w:ascii="Times New Roman" w:eastAsia="Times New Roman" w:hAnsi="Times New Roman" w:cs="Times New Roman"/>
          <w:sz w:val="24"/>
          <w:szCs w:val="24"/>
        </w:rPr>
        <w:t xml:space="preserve">Gortyn was </w:t>
      </w:r>
      <w:r w:rsidR="2A28A63F" w:rsidRPr="0077037B">
        <w:rPr>
          <w:rFonts w:ascii="Times New Roman" w:eastAsia="Times New Roman" w:hAnsi="Times New Roman" w:cs="Times New Roman"/>
          <w:sz w:val="24"/>
          <w:szCs w:val="24"/>
        </w:rPr>
        <w:t xml:space="preserve">clearly </w:t>
      </w:r>
      <w:r w:rsidR="34CF9EDA" w:rsidRPr="0077037B">
        <w:rPr>
          <w:rFonts w:ascii="Times New Roman" w:eastAsia="Times New Roman" w:hAnsi="Times New Roman" w:cs="Times New Roman"/>
          <w:sz w:val="24"/>
          <w:szCs w:val="24"/>
        </w:rPr>
        <w:t xml:space="preserve">one of the ‘exceptions’ to this strictness against women owning property and land. Gortyn women ‘had equal property rights as men concerning land and all other type </w:t>
      </w:r>
      <w:r w:rsidR="34CF9EDA" w:rsidRPr="0077037B">
        <w:rPr>
          <w:rFonts w:ascii="Times New Roman" w:eastAsia="Times New Roman" w:hAnsi="Times New Roman" w:cs="Times New Roman"/>
          <w:sz w:val="24"/>
          <w:szCs w:val="24"/>
        </w:rPr>
        <w:lastRenderedPageBreak/>
        <w:t>of property’ and they owned ‘46% of land’.</w:t>
      </w:r>
      <w:r w:rsidR="3F068970" w:rsidRPr="0077037B">
        <w:rPr>
          <w:rStyle w:val="FootnoteReference"/>
          <w:rFonts w:ascii="Times New Roman" w:eastAsia="Times New Roman" w:hAnsi="Times New Roman" w:cs="Times New Roman"/>
          <w:sz w:val="24"/>
          <w:szCs w:val="24"/>
        </w:rPr>
        <w:footnoteReference w:id="27"/>
      </w:r>
      <w:r w:rsidR="6FCB54DA" w:rsidRPr="0077037B">
        <w:rPr>
          <w:rFonts w:ascii="Times New Roman" w:eastAsia="Times New Roman" w:hAnsi="Times New Roman" w:cs="Times New Roman"/>
          <w:sz w:val="24"/>
          <w:szCs w:val="24"/>
        </w:rPr>
        <w:t xml:space="preserve"> </w:t>
      </w:r>
      <w:r w:rsidR="5436CED4" w:rsidRPr="0077037B">
        <w:rPr>
          <w:rFonts w:ascii="Times New Roman" w:eastAsia="Times New Roman" w:hAnsi="Times New Roman" w:cs="Times New Roman"/>
          <w:sz w:val="24"/>
          <w:szCs w:val="24"/>
        </w:rPr>
        <w:t>This amount of land is significant, so it clearly demonstrates the autonomy women had in Classical Crete compared to Athens.</w:t>
      </w:r>
    </w:p>
    <w:p w14:paraId="39ED6FEA" w14:textId="5F09EE72" w:rsidR="5833BE80" w:rsidRDefault="5833BE80" w:rsidP="00D61FC4">
      <w:pPr>
        <w:spacing w:line="480" w:lineRule="auto"/>
        <w:jc w:val="both"/>
        <w:rPr>
          <w:rFonts w:ascii="Times New Roman" w:eastAsia="Times New Roman" w:hAnsi="Times New Roman" w:cs="Times New Roman"/>
          <w:b/>
          <w:bCs/>
          <w:sz w:val="24"/>
          <w:szCs w:val="24"/>
        </w:rPr>
      </w:pPr>
    </w:p>
    <w:p w14:paraId="4041DAE8" w14:textId="77777777" w:rsidR="005D1BDA" w:rsidRPr="0077037B" w:rsidRDefault="005D1BDA" w:rsidP="00D61FC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Aristotle’s piece on the Athenian Constitution mentions how women were not to be allowed to own property, ‘in order that there might be no opening for blackmailers’.</w:t>
      </w:r>
      <w:r>
        <w:rPr>
          <w:rStyle w:val="FootnoteReference"/>
          <w:rFonts w:ascii="Times New Roman" w:eastAsia="Times New Roman" w:hAnsi="Times New Roman" w:cs="Times New Roman"/>
          <w:sz w:val="24"/>
          <w:szCs w:val="24"/>
        </w:rPr>
        <w:footnoteReference w:id="28"/>
      </w:r>
      <w:r>
        <w:rPr>
          <w:rFonts w:ascii="Times New Roman" w:eastAsia="Times New Roman" w:hAnsi="Times New Roman" w:cs="Times New Roman"/>
          <w:sz w:val="24"/>
          <w:szCs w:val="24"/>
        </w:rPr>
        <w:t xml:space="preserve"> In this description, women are collected in a group containing people ‘of insanity or of old age’,</w:t>
      </w:r>
      <w:r>
        <w:rPr>
          <w:rStyle w:val="FootnoteReference"/>
          <w:rFonts w:ascii="Times New Roman" w:eastAsia="Times New Roman" w:hAnsi="Times New Roman" w:cs="Times New Roman"/>
          <w:sz w:val="24"/>
          <w:szCs w:val="24"/>
        </w:rPr>
        <w:footnoteReference w:id="29"/>
      </w:r>
      <w:r>
        <w:rPr>
          <w:rFonts w:ascii="Times New Roman" w:eastAsia="Times New Roman" w:hAnsi="Times New Roman" w:cs="Times New Roman"/>
          <w:sz w:val="24"/>
          <w:szCs w:val="24"/>
        </w:rPr>
        <w:t xml:space="preserve"> which clearly states that women were not able to own property due to being women.</w:t>
      </w:r>
    </w:p>
    <w:p w14:paraId="22A41178" w14:textId="77777777" w:rsidR="005D1BDA" w:rsidRPr="0077037B" w:rsidRDefault="005D1BDA" w:rsidP="00D61FC4">
      <w:pPr>
        <w:spacing w:line="480" w:lineRule="auto"/>
        <w:jc w:val="both"/>
        <w:rPr>
          <w:rFonts w:ascii="Times New Roman" w:eastAsia="Times New Roman" w:hAnsi="Times New Roman" w:cs="Times New Roman"/>
          <w:b/>
          <w:bCs/>
          <w:sz w:val="24"/>
          <w:szCs w:val="24"/>
        </w:rPr>
      </w:pPr>
    </w:p>
    <w:p w14:paraId="07C67570" w14:textId="63BC07FE" w:rsidR="71DCFD11" w:rsidRPr="0077037B" w:rsidRDefault="71DCFD11" w:rsidP="00D61FC4">
      <w:pPr>
        <w:spacing w:line="480" w:lineRule="auto"/>
        <w:jc w:val="both"/>
        <w:rPr>
          <w:rFonts w:ascii="Times New Roman" w:eastAsia="Times New Roman" w:hAnsi="Times New Roman" w:cs="Times New Roman"/>
          <w:b/>
          <w:bCs/>
          <w:sz w:val="24"/>
          <w:szCs w:val="24"/>
        </w:rPr>
      </w:pPr>
      <w:r w:rsidRPr="00AD7979">
        <w:rPr>
          <w:rFonts w:ascii="Times New Roman" w:eastAsia="Times New Roman" w:hAnsi="Times New Roman" w:cs="Times New Roman"/>
          <w:bCs/>
          <w:sz w:val="24"/>
          <w:szCs w:val="24"/>
        </w:rPr>
        <w:t>Athenian women may not have enjoyed formal, legal power property in the same way men did, but it appears that they did have informal powers to conduct transactions and control their property.</w:t>
      </w:r>
      <w:r w:rsidR="7F8CDBC6" w:rsidRPr="0077037B">
        <w:rPr>
          <w:rFonts w:ascii="Times New Roman" w:eastAsia="Times New Roman" w:hAnsi="Times New Roman" w:cs="Times New Roman"/>
          <w:b/>
          <w:bCs/>
          <w:sz w:val="24"/>
          <w:szCs w:val="24"/>
        </w:rPr>
        <w:t xml:space="preserve"> </w:t>
      </w:r>
      <w:r w:rsidR="7F8CDBC6" w:rsidRPr="0077037B">
        <w:rPr>
          <w:rFonts w:ascii="Times New Roman" w:eastAsia="Times New Roman" w:hAnsi="Times New Roman" w:cs="Times New Roman"/>
          <w:sz w:val="24"/>
          <w:szCs w:val="24"/>
        </w:rPr>
        <w:t>Johnstone writes</w:t>
      </w:r>
      <w:r w:rsidR="212ABE64" w:rsidRPr="0077037B">
        <w:rPr>
          <w:rFonts w:ascii="Times New Roman" w:eastAsia="Times New Roman" w:hAnsi="Times New Roman" w:cs="Times New Roman"/>
          <w:sz w:val="24"/>
          <w:szCs w:val="24"/>
        </w:rPr>
        <w:t xml:space="preserve">, </w:t>
      </w:r>
      <w:r w:rsidR="7F8CDBC6" w:rsidRPr="0077037B">
        <w:rPr>
          <w:rFonts w:ascii="Times New Roman" w:eastAsia="Times New Roman" w:hAnsi="Times New Roman" w:cs="Times New Roman"/>
          <w:sz w:val="24"/>
          <w:szCs w:val="24"/>
        </w:rPr>
        <w:t xml:space="preserve">‘because of their important position within the </w:t>
      </w:r>
      <w:r w:rsidR="7F8CDBC6" w:rsidRPr="0077037B">
        <w:rPr>
          <w:rFonts w:ascii="Times New Roman" w:eastAsia="Times New Roman" w:hAnsi="Times New Roman" w:cs="Times New Roman"/>
          <w:i/>
          <w:iCs/>
          <w:sz w:val="24"/>
          <w:szCs w:val="24"/>
        </w:rPr>
        <w:t>oikos</w:t>
      </w:r>
      <w:r w:rsidR="7F8CDBC6" w:rsidRPr="0077037B">
        <w:rPr>
          <w:rFonts w:ascii="Times New Roman" w:eastAsia="Times New Roman" w:hAnsi="Times New Roman" w:cs="Times New Roman"/>
          <w:sz w:val="24"/>
          <w:szCs w:val="24"/>
        </w:rPr>
        <w:t>, women were invested with considerable “informal” power over property, in contrast to the formal, legal rights men enjoyed’.</w:t>
      </w:r>
      <w:r w:rsidRPr="0077037B">
        <w:rPr>
          <w:rStyle w:val="FootnoteReference"/>
          <w:rFonts w:ascii="Times New Roman" w:eastAsia="Times New Roman" w:hAnsi="Times New Roman" w:cs="Times New Roman"/>
          <w:sz w:val="24"/>
          <w:szCs w:val="24"/>
        </w:rPr>
        <w:footnoteReference w:id="30"/>
      </w:r>
      <w:r w:rsidR="4DC70893" w:rsidRPr="0077037B">
        <w:rPr>
          <w:rFonts w:ascii="Times New Roman" w:eastAsia="Times New Roman" w:hAnsi="Times New Roman" w:cs="Times New Roman"/>
          <w:sz w:val="24"/>
          <w:szCs w:val="24"/>
        </w:rPr>
        <w:t xml:space="preserve"> From this it can be seen that, while not on the same level as men, women were allowed </w:t>
      </w:r>
      <w:r w:rsidR="39B53FDB" w:rsidRPr="0077037B">
        <w:rPr>
          <w:rFonts w:ascii="Times New Roman" w:eastAsia="Times New Roman" w:hAnsi="Times New Roman" w:cs="Times New Roman"/>
          <w:sz w:val="24"/>
          <w:szCs w:val="24"/>
        </w:rPr>
        <w:t xml:space="preserve">some form of control over property. </w:t>
      </w:r>
      <w:r w:rsidR="7F34B3BF" w:rsidRPr="0077037B">
        <w:rPr>
          <w:rFonts w:ascii="Times New Roman" w:eastAsia="Times New Roman" w:hAnsi="Times New Roman" w:cs="Times New Roman"/>
          <w:sz w:val="24"/>
          <w:szCs w:val="24"/>
        </w:rPr>
        <w:t xml:space="preserve"> S</w:t>
      </w:r>
      <w:r w:rsidR="39B53FDB" w:rsidRPr="0077037B">
        <w:rPr>
          <w:rFonts w:ascii="Times New Roman" w:eastAsia="Times New Roman" w:hAnsi="Times New Roman" w:cs="Times New Roman"/>
          <w:sz w:val="24"/>
          <w:szCs w:val="24"/>
        </w:rPr>
        <w:t xml:space="preserve">cholars </w:t>
      </w:r>
      <w:r w:rsidR="55ABC4DF" w:rsidRPr="0077037B">
        <w:rPr>
          <w:rFonts w:ascii="Times New Roman" w:eastAsia="Times New Roman" w:hAnsi="Times New Roman" w:cs="Times New Roman"/>
          <w:sz w:val="24"/>
          <w:szCs w:val="24"/>
        </w:rPr>
        <w:t xml:space="preserve">seem to </w:t>
      </w:r>
      <w:r w:rsidR="39B53FDB" w:rsidRPr="0077037B">
        <w:rPr>
          <w:rFonts w:ascii="Times New Roman" w:eastAsia="Times New Roman" w:hAnsi="Times New Roman" w:cs="Times New Roman"/>
          <w:sz w:val="24"/>
          <w:szCs w:val="24"/>
        </w:rPr>
        <w:t>focus on women being allowed to conduct small transacti</w:t>
      </w:r>
      <w:r w:rsidR="0A3BCF55" w:rsidRPr="0077037B">
        <w:rPr>
          <w:rFonts w:ascii="Times New Roman" w:eastAsia="Times New Roman" w:hAnsi="Times New Roman" w:cs="Times New Roman"/>
          <w:sz w:val="24"/>
          <w:szCs w:val="24"/>
        </w:rPr>
        <w:t xml:space="preserve">ons, nothing above one </w:t>
      </w:r>
      <w:r w:rsidR="0A3BCF55" w:rsidRPr="0077037B">
        <w:rPr>
          <w:rFonts w:ascii="Times New Roman" w:eastAsia="Times New Roman" w:hAnsi="Times New Roman" w:cs="Times New Roman"/>
          <w:i/>
          <w:iCs/>
          <w:sz w:val="24"/>
          <w:szCs w:val="24"/>
        </w:rPr>
        <w:t xml:space="preserve">medimnos </w:t>
      </w:r>
      <w:r w:rsidR="0A3BCF55" w:rsidRPr="0077037B">
        <w:rPr>
          <w:rFonts w:ascii="Times New Roman" w:eastAsia="Times New Roman" w:hAnsi="Times New Roman" w:cs="Times New Roman"/>
          <w:sz w:val="24"/>
          <w:szCs w:val="24"/>
        </w:rPr>
        <w:t>of barley.</w:t>
      </w:r>
      <w:r w:rsidRPr="0077037B">
        <w:rPr>
          <w:rStyle w:val="FootnoteReference"/>
          <w:rFonts w:ascii="Times New Roman" w:eastAsia="Times New Roman" w:hAnsi="Times New Roman" w:cs="Times New Roman"/>
          <w:sz w:val="24"/>
          <w:szCs w:val="24"/>
        </w:rPr>
        <w:footnoteReference w:id="31"/>
      </w:r>
      <w:r w:rsidR="0A3BCF55" w:rsidRPr="0077037B">
        <w:rPr>
          <w:rFonts w:ascii="Times New Roman" w:eastAsia="Times New Roman" w:hAnsi="Times New Roman" w:cs="Times New Roman"/>
          <w:sz w:val="24"/>
          <w:szCs w:val="24"/>
        </w:rPr>
        <w:t xml:space="preserve"> </w:t>
      </w:r>
      <w:r w:rsidR="19F85FDF" w:rsidRPr="0077037B">
        <w:rPr>
          <w:rFonts w:ascii="Times New Roman" w:eastAsia="Times New Roman" w:hAnsi="Times New Roman" w:cs="Times New Roman"/>
          <w:sz w:val="24"/>
          <w:szCs w:val="24"/>
        </w:rPr>
        <w:t>But when this amount is looked at in modern terms, it equals to 51.8 and 52.5 litres</w:t>
      </w:r>
      <w:r w:rsidR="6197E003" w:rsidRPr="0077037B">
        <w:rPr>
          <w:rFonts w:ascii="Times New Roman" w:eastAsia="Times New Roman" w:hAnsi="Times New Roman" w:cs="Times New Roman"/>
          <w:sz w:val="24"/>
          <w:szCs w:val="24"/>
        </w:rPr>
        <w:t>,</w:t>
      </w:r>
      <w:r w:rsidRPr="0077037B">
        <w:rPr>
          <w:rStyle w:val="FootnoteReference"/>
          <w:rFonts w:ascii="Times New Roman" w:eastAsia="Times New Roman" w:hAnsi="Times New Roman" w:cs="Times New Roman"/>
          <w:sz w:val="24"/>
          <w:szCs w:val="24"/>
        </w:rPr>
        <w:footnoteReference w:id="32"/>
      </w:r>
      <w:r w:rsidR="1B7B355A" w:rsidRPr="0077037B">
        <w:rPr>
          <w:rFonts w:ascii="Times New Roman" w:eastAsia="Times New Roman" w:hAnsi="Times New Roman" w:cs="Times New Roman"/>
          <w:sz w:val="24"/>
          <w:szCs w:val="24"/>
        </w:rPr>
        <w:t xml:space="preserve"> </w:t>
      </w:r>
      <w:r w:rsidR="4A286154" w:rsidRPr="0077037B">
        <w:rPr>
          <w:rFonts w:ascii="Times New Roman" w:eastAsia="Times New Roman" w:hAnsi="Times New Roman" w:cs="Times New Roman"/>
          <w:sz w:val="24"/>
          <w:szCs w:val="24"/>
        </w:rPr>
        <w:t>which, if considered as goods for a single transaction, might not be so inconsiderable.</w:t>
      </w:r>
      <w:r w:rsidR="7B262033" w:rsidRPr="0077037B">
        <w:rPr>
          <w:rFonts w:ascii="Times New Roman" w:eastAsia="Times New Roman" w:hAnsi="Times New Roman" w:cs="Times New Roman"/>
          <w:sz w:val="24"/>
          <w:szCs w:val="24"/>
        </w:rPr>
        <w:t xml:space="preserve"> Johnstone also describes that sometimes women made transactions above this limit, </w:t>
      </w:r>
      <w:r w:rsidR="7E28FE86" w:rsidRPr="0077037B">
        <w:rPr>
          <w:rFonts w:ascii="Times New Roman" w:eastAsia="Times New Roman" w:hAnsi="Times New Roman" w:cs="Times New Roman"/>
          <w:sz w:val="24"/>
          <w:szCs w:val="24"/>
        </w:rPr>
        <w:t xml:space="preserve">and that this was due to their position in the </w:t>
      </w:r>
      <w:r w:rsidR="7E28FE86" w:rsidRPr="0077037B">
        <w:rPr>
          <w:rFonts w:ascii="Times New Roman" w:eastAsia="Times New Roman" w:hAnsi="Times New Roman" w:cs="Times New Roman"/>
          <w:i/>
          <w:iCs/>
          <w:sz w:val="24"/>
          <w:szCs w:val="24"/>
        </w:rPr>
        <w:t>oikos</w:t>
      </w:r>
      <w:r w:rsidR="7E28FE86" w:rsidRPr="0077037B">
        <w:rPr>
          <w:rFonts w:ascii="Times New Roman" w:eastAsia="Times New Roman" w:hAnsi="Times New Roman" w:cs="Times New Roman"/>
          <w:sz w:val="24"/>
          <w:szCs w:val="24"/>
        </w:rPr>
        <w:t>.</w:t>
      </w:r>
      <w:r w:rsidRPr="0077037B">
        <w:rPr>
          <w:rStyle w:val="FootnoteReference"/>
          <w:rFonts w:ascii="Times New Roman" w:eastAsia="Times New Roman" w:hAnsi="Times New Roman" w:cs="Times New Roman"/>
          <w:sz w:val="24"/>
          <w:szCs w:val="24"/>
        </w:rPr>
        <w:footnoteReference w:id="33"/>
      </w:r>
    </w:p>
    <w:p w14:paraId="54D29EF3" w14:textId="0718BD57" w:rsidR="5833BE80" w:rsidRPr="0077037B" w:rsidRDefault="5833BE80" w:rsidP="00D61FC4">
      <w:pPr>
        <w:spacing w:line="480" w:lineRule="auto"/>
        <w:jc w:val="both"/>
        <w:rPr>
          <w:rFonts w:ascii="Times New Roman" w:eastAsia="Times New Roman" w:hAnsi="Times New Roman" w:cs="Times New Roman"/>
          <w:b/>
          <w:bCs/>
          <w:sz w:val="24"/>
          <w:szCs w:val="24"/>
        </w:rPr>
      </w:pPr>
    </w:p>
    <w:p w14:paraId="7E7025A5" w14:textId="77337080" w:rsidR="3AFB27E1" w:rsidRDefault="4A286154" w:rsidP="00D61FC4">
      <w:pPr>
        <w:spacing w:line="480" w:lineRule="auto"/>
        <w:jc w:val="both"/>
        <w:rPr>
          <w:rFonts w:ascii="Times New Roman" w:eastAsia="Times New Roman" w:hAnsi="Times New Roman" w:cs="Times New Roman"/>
          <w:sz w:val="24"/>
          <w:szCs w:val="24"/>
        </w:rPr>
      </w:pPr>
      <w:r w:rsidRPr="00AD7979">
        <w:rPr>
          <w:rFonts w:ascii="Times New Roman" w:eastAsia="Times New Roman" w:hAnsi="Times New Roman" w:cs="Times New Roman"/>
          <w:bCs/>
          <w:sz w:val="24"/>
          <w:szCs w:val="24"/>
        </w:rPr>
        <w:t>While formal ownership of property may have been prohibited for women in Athens there is evidence that Athenian women did in fact exert a degree of informal control over property.</w:t>
      </w:r>
      <w:r w:rsidRPr="0077037B">
        <w:rPr>
          <w:rFonts w:ascii="Times New Roman" w:eastAsia="Times New Roman" w:hAnsi="Times New Roman" w:cs="Times New Roman"/>
          <w:b/>
          <w:bCs/>
          <w:sz w:val="24"/>
          <w:szCs w:val="24"/>
        </w:rPr>
        <w:t xml:space="preserve"> </w:t>
      </w:r>
      <w:r w:rsidR="3AFB27E1" w:rsidRPr="0077037B">
        <w:rPr>
          <w:rFonts w:ascii="Times New Roman" w:eastAsia="Times New Roman" w:hAnsi="Times New Roman" w:cs="Times New Roman"/>
          <w:sz w:val="24"/>
          <w:szCs w:val="24"/>
        </w:rPr>
        <w:t>Economou and Kyriazis state the distinct difference between Athens and Gortyn</w:t>
      </w:r>
      <w:r w:rsidR="66B15F5B" w:rsidRPr="0077037B">
        <w:rPr>
          <w:rFonts w:ascii="Times New Roman" w:eastAsia="Times New Roman" w:hAnsi="Times New Roman" w:cs="Times New Roman"/>
          <w:sz w:val="24"/>
          <w:szCs w:val="24"/>
        </w:rPr>
        <w:t>, using Cohen as well as Fleck and Hanssen,</w:t>
      </w:r>
      <w:r w:rsidR="3AFB27E1" w:rsidRPr="0077037B">
        <w:rPr>
          <w:rStyle w:val="FootnoteReference"/>
          <w:rFonts w:ascii="Times New Roman" w:eastAsia="Times New Roman" w:hAnsi="Times New Roman" w:cs="Times New Roman"/>
          <w:sz w:val="24"/>
          <w:szCs w:val="24"/>
        </w:rPr>
        <w:footnoteReference w:id="34"/>
      </w:r>
      <w:r w:rsidR="3AFB27E1" w:rsidRPr="0077037B">
        <w:rPr>
          <w:rFonts w:ascii="Times New Roman" w:eastAsia="Times New Roman" w:hAnsi="Times New Roman" w:cs="Times New Roman"/>
          <w:sz w:val="24"/>
          <w:szCs w:val="24"/>
        </w:rPr>
        <w:t xml:space="preserve"> in women being allowed and able to own property, saying that while it was possible in places like Gortyn and Sparta, </w:t>
      </w:r>
      <w:r w:rsidR="1AC56F0A" w:rsidRPr="0077037B">
        <w:rPr>
          <w:rFonts w:ascii="Times New Roman" w:eastAsia="Times New Roman" w:hAnsi="Times New Roman" w:cs="Times New Roman"/>
          <w:sz w:val="24"/>
          <w:szCs w:val="24"/>
        </w:rPr>
        <w:t>it was not ‘at least de jure but probably yes de facto in Athens’.</w:t>
      </w:r>
      <w:r w:rsidR="3AFB27E1" w:rsidRPr="0077037B">
        <w:rPr>
          <w:rStyle w:val="FootnoteReference"/>
          <w:rFonts w:ascii="Times New Roman" w:eastAsia="Times New Roman" w:hAnsi="Times New Roman" w:cs="Times New Roman"/>
          <w:sz w:val="24"/>
          <w:szCs w:val="24"/>
        </w:rPr>
        <w:footnoteReference w:id="35"/>
      </w:r>
      <w:r w:rsidR="0ADAE615" w:rsidRPr="0077037B">
        <w:rPr>
          <w:rFonts w:ascii="Times New Roman" w:eastAsia="Times New Roman" w:hAnsi="Times New Roman" w:cs="Times New Roman"/>
          <w:sz w:val="24"/>
          <w:szCs w:val="24"/>
        </w:rPr>
        <w:t xml:space="preserve"> </w:t>
      </w:r>
      <w:r w:rsidR="2A97AE5A" w:rsidRPr="0077037B">
        <w:rPr>
          <w:rFonts w:ascii="Times New Roman" w:eastAsia="Times New Roman" w:hAnsi="Times New Roman" w:cs="Times New Roman"/>
          <w:sz w:val="24"/>
          <w:szCs w:val="24"/>
        </w:rPr>
        <w:t xml:space="preserve">Foxhall </w:t>
      </w:r>
      <w:r w:rsidR="74E8FA67" w:rsidRPr="0077037B">
        <w:rPr>
          <w:rFonts w:ascii="Times New Roman" w:eastAsia="Times New Roman" w:hAnsi="Times New Roman" w:cs="Times New Roman"/>
          <w:sz w:val="24"/>
          <w:szCs w:val="24"/>
        </w:rPr>
        <w:t>opposed Schaps’ argument that property was an individual ownership, but says that in Classical Athens, ’in everyday life, property was used by households, not individuals</w:t>
      </w:r>
      <w:r w:rsidR="52DE2209" w:rsidRPr="0077037B">
        <w:rPr>
          <w:rFonts w:ascii="Times New Roman" w:eastAsia="Times New Roman" w:hAnsi="Times New Roman" w:cs="Times New Roman"/>
          <w:sz w:val="24"/>
          <w:szCs w:val="24"/>
        </w:rPr>
        <w:t>’.</w:t>
      </w:r>
      <w:r w:rsidR="3AFB27E1" w:rsidRPr="0077037B">
        <w:rPr>
          <w:rStyle w:val="FootnoteReference"/>
          <w:rFonts w:ascii="Times New Roman" w:eastAsia="Times New Roman" w:hAnsi="Times New Roman" w:cs="Times New Roman"/>
          <w:sz w:val="24"/>
          <w:szCs w:val="24"/>
        </w:rPr>
        <w:footnoteReference w:id="36"/>
      </w:r>
      <w:r w:rsidR="6612B910" w:rsidRPr="0077037B">
        <w:rPr>
          <w:rFonts w:ascii="Times New Roman" w:eastAsia="Times New Roman" w:hAnsi="Times New Roman" w:cs="Times New Roman"/>
          <w:sz w:val="24"/>
          <w:szCs w:val="24"/>
        </w:rPr>
        <w:t xml:space="preserve"> With this, it means that, while women were not able to own property themselves as individuals, they in fact were able to own property as part of the </w:t>
      </w:r>
      <w:r w:rsidR="6612B910" w:rsidRPr="0077037B">
        <w:rPr>
          <w:rFonts w:ascii="Times New Roman" w:eastAsia="Times New Roman" w:hAnsi="Times New Roman" w:cs="Times New Roman"/>
          <w:i/>
          <w:iCs/>
          <w:sz w:val="24"/>
          <w:szCs w:val="24"/>
        </w:rPr>
        <w:t>oikos</w:t>
      </w:r>
      <w:r w:rsidR="6612B910" w:rsidRPr="0077037B">
        <w:rPr>
          <w:rFonts w:ascii="Times New Roman" w:eastAsia="Times New Roman" w:hAnsi="Times New Roman" w:cs="Times New Roman"/>
          <w:sz w:val="24"/>
          <w:szCs w:val="24"/>
        </w:rPr>
        <w:t>, where they had quite a high position.</w:t>
      </w:r>
    </w:p>
    <w:p w14:paraId="080D3E55" w14:textId="77777777" w:rsidR="007F5820" w:rsidRPr="0077037B" w:rsidRDefault="007F5820" w:rsidP="00D61FC4">
      <w:pPr>
        <w:spacing w:line="480" w:lineRule="auto"/>
        <w:jc w:val="both"/>
        <w:rPr>
          <w:rFonts w:ascii="Times New Roman" w:eastAsia="Times New Roman" w:hAnsi="Times New Roman" w:cs="Times New Roman"/>
          <w:sz w:val="24"/>
          <w:szCs w:val="24"/>
        </w:rPr>
      </w:pPr>
    </w:p>
    <w:p w14:paraId="1672216D" w14:textId="2137126D" w:rsidR="685FA960" w:rsidRPr="0077037B" w:rsidRDefault="685FA960" w:rsidP="00D61FC4">
      <w:pPr>
        <w:spacing w:line="480" w:lineRule="auto"/>
        <w:jc w:val="both"/>
        <w:rPr>
          <w:rFonts w:ascii="Times New Roman" w:eastAsia="Times New Roman" w:hAnsi="Times New Roman" w:cs="Times New Roman"/>
          <w:b/>
          <w:bCs/>
          <w:sz w:val="24"/>
          <w:szCs w:val="24"/>
          <w:u w:val="single"/>
        </w:rPr>
      </w:pPr>
      <w:r w:rsidRPr="0077037B">
        <w:rPr>
          <w:rFonts w:ascii="Times New Roman" w:eastAsia="Times New Roman" w:hAnsi="Times New Roman" w:cs="Times New Roman"/>
          <w:b/>
          <w:bCs/>
          <w:sz w:val="24"/>
          <w:szCs w:val="24"/>
          <w:u w:val="single"/>
        </w:rPr>
        <w:t>Inheritance</w:t>
      </w:r>
    </w:p>
    <w:p w14:paraId="541038EA" w14:textId="26BC8F25" w:rsidR="00334990" w:rsidRPr="0077037B" w:rsidRDefault="42C2D4B3" w:rsidP="00D61FC4">
      <w:pPr>
        <w:spacing w:line="480" w:lineRule="auto"/>
        <w:jc w:val="both"/>
        <w:rPr>
          <w:rFonts w:ascii="Times New Roman" w:eastAsia="Times New Roman" w:hAnsi="Times New Roman" w:cs="Times New Roman"/>
          <w:sz w:val="24"/>
          <w:szCs w:val="24"/>
        </w:rPr>
      </w:pPr>
      <w:r w:rsidRPr="00AD7979">
        <w:rPr>
          <w:rFonts w:ascii="Times New Roman" w:eastAsia="Times New Roman" w:hAnsi="Times New Roman" w:cs="Times New Roman"/>
          <w:bCs/>
          <w:sz w:val="24"/>
          <w:szCs w:val="24"/>
        </w:rPr>
        <w:t>Gortyn and Athenian laws mention inheritance for women and girls however the precise nature of this is debated</w:t>
      </w:r>
      <w:r w:rsidR="00333B02" w:rsidRPr="00AD7979">
        <w:rPr>
          <w:rFonts w:ascii="Times New Roman" w:eastAsia="Times New Roman" w:hAnsi="Times New Roman" w:cs="Times New Roman"/>
          <w:bCs/>
          <w:sz w:val="24"/>
          <w:szCs w:val="24"/>
        </w:rPr>
        <w:t xml:space="preserve"> within scholarship</w:t>
      </w:r>
      <w:r w:rsidRPr="00AD7979">
        <w:rPr>
          <w:rFonts w:ascii="Times New Roman" w:eastAsia="Times New Roman" w:hAnsi="Times New Roman" w:cs="Times New Roman"/>
          <w:bCs/>
          <w:sz w:val="24"/>
          <w:szCs w:val="24"/>
        </w:rPr>
        <w:t>.</w:t>
      </w:r>
      <w:r w:rsidR="2F2A887F" w:rsidRPr="0077037B">
        <w:rPr>
          <w:rFonts w:ascii="Times New Roman" w:eastAsia="Times New Roman" w:hAnsi="Times New Roman" w:cs="Times New Roman"/>
          <w:b/>
          <w:bCs/>
          <w:sz w:val="24"/>
          <w:szCs w:val="24"/>
        </w:rPr>
        <w:t xml:space="preserve"> </w:t>
      </w:r>
      <w:r w:rsidRPr="0077037B">
        <w:rPr>
          <w:rFonts w:ascii="Times New Roman" w:eastAsia="Times New Roman" w:hAnsi="Times New Roman" w:cs="Times New Roman"/>
          <w:sz w:val="24"/>
          <w:szCs w:val="24"/>
        </w:rPr>
        <w:t>Maffi argues it is a sort of dowry and therefore not available as private wealth for women to dispose of as they wish.</w:t>
      </w:r>
      <w:r w:rsidRPr="0077037B">
        <w:rPr>
          <w:rStyle w:val="FootnoteReference"/>
          <w:rFonts w:ascii="Times New Roman" w:eastAsia="Times New Roman" w:hAnsi="Times New Roman" w:cs="Times New Roman"/>
          <w:sz w:val="24"/>
          <w:szCs w:val="24"/>
        </w:rPr>
        <w:footnoteReference w:id="37"/>
      </w:r>
      <w:r w:rsidR="00334990" w:rsidRPr="0077037B">
        <w:rPr>
          <w:rFonts w:ascii="Times New Roman" w:eastAsia="Times New Roman" w:hAnsi="Times New Roman" w:cs="Times New Roman"/>
          <w:sz w:val="24"/>
          <w:szCs w:val="24"/>
        </w:rPr>
        <w:t xml:space="preserve"> </w:t>
      </w:r>
      <w:r w:rsidR="11EECC85" w:rsidRPr="0077037B">
        <w:rPr>
          <w:rFonts w:ascii="Times New Roman" w:eastAsia="Times New Roman" w:hAnsi="Times New Roman" w:cs="Times New Roman"/>
          <w:sz w:val="24"/>
          <w:szCs w:val="24"/>
        </w:rPr>
        <w:t xml:space="preserve">In law 4.48-5.1, it details that a father </w:t>
      </w:r>
      <w:r w:rsidR="6447B8F6" w:rsidRPr="0077037B">
        <w:rPr>
          <w:rFonts w:ascii="Times New Roman" w:eastAsia="Times New Roman" w:hAnsi="Times New Roman" w:cs="Times New Roman"/>
          <w:sz w:val="24"/>
          <w:szCs w:val="24"/>
        </w:rPr>
        <w:t xml:space="preserve">was </w:t>
      </w:r>
      <w:r w:rsidR="11EECC85" w:rsidRPr="0077037B">
        <w:rPr>
          <w:rFonts w:ascii="Times New Roman" w:eastAsia="Times New Roman" w:hAnsi="Times New Roman" w:cs="Times New Roman"/>
          <w:sz w:val="24"/>
          <w:szCs w:val="24"/>
        </w:rPr>
        <w:t>able to gift his daughter, when she is getting married, with any amount up to her share of the inheritance, but nothing more than this is to be given.</w:t>
      </w:r>
      <w:r w:rsidR="11EECC85" w:rsidRPr="0077037B">
        <w:rPr>
          <w:rStyle w:val="FootnoteReference"/>
          <w:rFonts w:ascii="Times New Roman" w:eastAsia="Times New Roman" w:hAnsi="Times New Roman" w:cs="Times New Roman"/>
          <w:sz w:val="24"/>
          <w:szCs w:val="24"/>
        </w:rPr>
        <w:footnoteReference w:id="38"/>
      </w:r>
      <w:r w:rsidR="11EECC85" w:rsidRPr="0077037B">
        <w:rPr>
          <w:rFonts w:ascii="Times New Roman" w:eastAsia="Times New Roman" w:hAnsi="Times New Roman" w:cs="Times New Roman"/>
          <w:sz w:val="24"/>
          <w:szCs w:val="24"/>
        </w:rPr>
        <w:t xml:space="preserve"> Gagarin looks at </w:t>
      </w:r>
      <w:r w:rsidR="00334990" w:rsidRPr="0077037B">
        <w:rPr>
          <w:rFonts w:ascii="Times New Roman" w:eastAsia="Times New Roman" w:hAnsi="Times New Roman" w:cs="Times New Roman"/>
          <w:sz w:val="24"/>
          <w:szCs w:val="24"/>
        </w:rPr>
        <w:t>Maffi’s argument</w:t>
      </w:r>
      <w:r w:rsidR="11EECC85" w:rsidRPr="0077037B">
        <w:rPr>
          <w:rFonts w:ascii="Times New Roman" w:eastAsia="Times New Roman" w:hAnsi="Times New Roman" w:cs="Times New Roman"/>
          <w:sz w:val="24"/>
          <w:szCs w:val="24"/>
        </w:rPr>
        <w:t xml:space="preserve"> and disputes </w:t>
      </w:r>
      <w:r w:rsidR="00334990" w:rsidRPr="0077037B">
        <w:rPr>
          <w:rFonts w:ascii="Times New Roman" w:eastAsia="Times New Roman" w:hAnsi="Times New Roman" w:cs="Times New Roman"/>
          <w:sz w:val="24"/>
          <w:szCs w:val="24"/>
        </w:rPr>
        <w:t>the claim that</w:t>
      </w:r>
      <w:r w:rsidR="11EECC85" w:rsidRPr="0077037B">
        <w:rPr>
          <w:rFonts w:ascii="Times New Roman" w:eastAsia="Times New Roman" w:hAnsi="Times New Roman" w:cs="Times New Roman"/>
          <w:sz w:val="24"/>
          <w:szCs w:val="24"/>
        </w:rPr>
        <w:t xml:space="preserve"> the share was not actually hers and that it was effectively the equivalent of ‘an Athenian dowry’.</w:t>
      </w:r>
      <w:r w:rsidR="11EECC85" w:rsidRPr="0077037B">
        <w:rPr>
          <w:rStyle w:val="FootnoteReference"/>
          <w:rFonts w:ascii="Times New Roman" w:eastAsia="Times New Roman" w:hAnsi="Times New Roman" w:cs="Times New Roman"/>
          <w:sz w:val="24"/>
          <w:szCs w:val="24"/>
        </w:rPr>
        <w:footnoteReference w:id="39"/>
      </w:r>
      <w:r w:rsidR="00334990" w:rsidRPr="0077037B">
        <w:rPr>
          <w:rFonts w:ascii="Times New Roman" w:eastAsia="Times New Roman" w:hAnsi="Times New Roman" w:cs="Times New Roman"/>
          <w:sz w:val="24"/>
          <w:szCs w:val="24"/>
        </w:rPr>
        <w:t xml:space="preserve"> Instead, he shows that the law states nothing about </w:t>
      </w:r>
      <w:r w:rsidR="00334990" w:rsidRPr="0077037B">
        <w:rPr>
          <w:rFonts w:ascii="Times New Roman" w:eastAsia="Times New Roman" w:hAnsi="Times New Roman" w:cs="Times New Roman"/>
          <w:sz w:val="24"/>
          <w:szCs w:val="24"/>
        </w:rPr>
        <w:lastRenderedPageBreak/>
        <w:t>the husband, and that without this mention it secures that it is her own shares of the inheritance, and not her new husband’</w:t>
      </w:r>
      <w:r w:rsidR="009375BE" w:rsidRPr="0077037B">
        <w:rPr>
          <w:rFonts w:ascii="Times New Roman" w:eastAsia="Times New Roman" w:hAnsi="Times New Roman" w:cs="Times New Roman"/>
          <w:sz w:val="24"/>
          <w:szCs w:val="24"/>
        </w:rPr>
        <w:t xml:space="preserve">s. </w:t>
      </w:r>
      <w:r w:rsidR="00334990" w:rsidRPr="0077037B">
        <w:rPr>
          <w:rFonts w:ascii="Times New Roman" w:eastAsia="Times New Roman" w:hAnsi="Times New Roman" w:cs="Times New Roman"/>
          <w:sz w:val="24"/>
          <w:szCs w:val="24"/>
        </w:rPr>
        <w:t>Gagarin solidifies his argument by using the law inscriptions 4.39-43 and 4.47-48 to say, ‘the daughter “receives” (</w:t>
      </w:r>
      <w:r w:rsidR="00334990" w:rsidRPr="0077037B">
        <w:rPr>
          <w:rFonts w:ascii="Times New Roman" w:eastAsia="Times New Roman" w:hAnsi="Times New Roman" w:cs="Times New Roman"/>
          <w:i/>
          <w:sz w:val="24"/>
          <w:szCs w:val="24"/>
        </w:rPr>
        <w:t>lankanen</w:t>
      </w:r>
      <w:r w:rsidR="00334990" w:rsidRPr="0077037B">
        <w:rPr>
          <w:rFonts w:ascii="Times New Roman" w:eastAsia="Times New Roman" w:hAnsi="Times New Roman" w:cs="Times New Roman"/>
          <w:sz w:val="24"/>
          <w:szCs w:val="24"/>
        </w:rPr>
        <w:t>) her inheritance … sons and daughters, are to “have” (</w:t>
      </w:r>
      <w:r w:rsidR="00334990" w:rsidRPr="0077037B">
        <w:rPr>
          <w:rFonts w:ascii="Times New Roman" w:eastAsia="Times New Roman" w:hAnsi="Times New Roman" w:cs="Times New Roman"/>
          <w:i/>
          <w:sz w:val="24"/>
          <w:szCs w:val="24"/>
        </w:rPr>
        <w:t>eken</w:t>
      </w:r>
      <w:r w:rsidR="00334990" w:rsidRPr="0077037B">
        <w:rPr>
          <w:rFonts w:ascii="Times New Roman" w:eastAsia="Times New Roman" w:hAnsi="Times New Roman" w:cs="Times New Roman"/>
          <w:sz w:val="24"/>
          <w:szCs w:val="24"/>
        </w:rPr>
        <w:t>) or “receive” (</w:t>
      </w:r>
      <w:r w:rsidR="00334990" w:rsidRPr="0077037B">
        <w:rPr>
          <w:rFonts w:ascii="Times New Roman" w:eastAsia="Times New Roman" w:hAnsi="Times New Roman" w:cs="Times New Roman"/>
          <w:i/>
          <w:sz w:val="24"/>
          <w:szCs w:val="24"/>
        </w:rPr>
        <w:t>dialankanen</w:t>
      </w:r>
      <w:r w:rsidR="00334990" w:rsidRPr="0077037B">
        <w:rPr>
          <w:rFonts w:ascii="Times New Roman" w:eastAsia="Times New Roman" w:hAnsi="Times New Roman" w:cs="Times New Roman"/>
          <w:sz w:val="24"/>
          <w:szCs w:val="24"/>
        </w:rPr>
        <w:t>) their share’.</w:t>
      </w:r>
      <w:r w:rsidR="00334990" w:rsidRPr="0077037B">
        <w:rPr>
          <w:rStyle w:val="FootnoteReference"/>
          <w:rFonts w:ascii="Times New Roman" w:eastAsia="Times New Roman" w:hAnsi="Times New Roman" w:cs="Times New Roman"/>
          <w:sz w:val="24"/>
          <w:szCs w:val="24"/>
        </w:rPr>
        <w:footnoteReference w:id="40"/>
      </w:r>
      <w:r w:rsidR="00334990" w:rsidRPr="0077037B">
        <w:rPr>
          <w:rFonts w:ascii="Times New Roman" w:eastAsia="Times New Roman" w:hAnsi="Times New Roman" w:cs="Times New Roman"/>
          <w:sz w:val="24"/>
          <w:szCs w:val="24"/>
        </w:rPr>
        <w:t xml:space="preserve"> This </w:t>
      </w:r>
      <w:r w:rsidR="008A5055" w:rsidRPr="0077037B">
        <w:rPr>
          <w:rFonts w:ascii="Times New Roman" w:eastAsia="Times New Roman" w:hAnsi="Times New Roman" w:cs="Times New Roman"/>
          <w:sz w:val="24"/>
          <w:szCs w:val="24"/>
        </w:rPr>
        <w:t>is said ‘explicitly’,</w:t>
      </w:r>
      <w:r w:rsidR="008A5055" w:rsidRPr="0077037B">
        <w:rPr>
          <w:rStyle w:val="FootnoteReference"/>
          <w:rFonts w:ascii="Times New Roman" w:eastAsia="Times New Roman" w:hAnsi="Times New Roman" w:cs="Times New Roman"/>
          <w:sz w:val="24"/>
          <w:szCs w:val="24"/>
        </w:rPr>
        <w:footnoteReference w:id="41"/>
      </w:r>
      <w:r w:rsidR="008A5055" w:rsidRPr="0077037B">
        <w:rPr>
          <w:rFonts w:ascii="Times New Roman" w:eastAsia="Times New Roman" w:hAnsi="Times New Roman" w:cs="Times New Roman"/>
          <w:sz w:val="24"/>
          <w:szCs w:val="24"/>
        </w:rPr>
        <w:t xml:space="preserve"> and therefore shows that the inheritance shares the daughter received would have been hers to keep and dispose of.</w:t>
      </w:r>
      <w:r w:rsidR="00334990" w:rsidRPr="0077037B">
        <w:rPr>
          <w:rFonts w:ascii="Times New Roman" w:eastAsia="Times New Roman" w:hAnsi="Times New Roman" w:cs="Times New Roman"/>
          <w:sz w:val="24"/>
          <w:szCs w:val="24"/>
        </w:rPr>
        <w:t xml:space="preserve"> </w:t>
      </w:r>
    </w:p>
    <w:p w14:paraId="398CE6CF" w14:textId="77777777" w:rsidR="00334990" w:rsidRPr="0077037B" w:rsidRDefault="00334990" w:rsidP="00D61FC4">
      <w:pPr>
        <w:spacing w:line="480" w:lineRule="auto"/>
        <w:jc w:val="both"/>
        <w:rPr>
          <w:rFonts w:ascii="Times New Roman" w:eastAsia="Times New Roman" w:hAnsi="Times New Roman" w:cs="Times New Roman"/>
          <w:b/>
          <w:bCs/>
          <w:sz w:val="24"/>
          <w:szCs w:val="24"/>
        </w:rPr>
      </w:pPr>
    </w:p>
    <w:p w14:paraId="32274281" w14:textId="75711312" w:rsidR="0091264A" w:rsidRPr="0077037B" w:rsidRDefault="0077037B" w:rsidP="00D61FC4">
      <w:pPr>
        <w:spacing w:line="480" w:lineRule="auto"/>
        <w:jc w:val="both"/>
        <w:rPr>
          <w:rFonts w:ascii="Times New Roman" w:eastAsia="Times New Roman" w:hAnsi="Times New Roman" w:cs="Times New Roman"/>
          <w:sz w:val="24"/>
          <w:szCs w:val="24"/>
        </w:rPr>
      </w:pPr>
      <w:r w:rsidRPr="008601DA">
        <w:rPr>
          <w:rFonts w:ascii="Times New Roman" w:eastAsia="Times New Roman" w:hAnsi="Times New Roman" w:cs="Times New Roman"/>
          <w:sz w:val="24"/>
          <w:szCs w:val="24"/>
        </w:rPr>
        <w:t>A woman’s dowry is a particular category of property and cannot be seen as available wealth for her to use for her own purposes.</w:t>
      </w:r>
      <w:r w:rsidRPr="0077037B">
        <w:rPr>
          <w:rFonts w:ascii="Times New Roman" w:eastAsia="Times New Roman" w:hAnsi="Times New Roman" w:cs="Times New Roman"/>
          <w:sz w:val="24"/>
          <w:szCs w:val="24"/>
        </w:rPr>
        <w:t xml:space="preserve"> A dowry is better understood as negotiating tool between the father and the prospective husband, rather than personal female wealth. Foxhall describes the dowry as ‘the basis of her [the woman’s] maintenance and livelihood’ and that these dowries were ‘the equivalent of (though not usually equal in value to) what their brothers receive as inheritance on their father’s death’.</w:t>
      </w:r>
      <w:r w:rsidRPr="0077037B">
        <w:rPr>
          <w:rStyle w:val="FootnoteReference"/>
          <w:rFonts w:ascii="Times New Roman" w:eastAsia="Times New Roman" w:hAnsi="Times New Roman" w:cs="Times New Roman"/>
          <w:sz w:val="24"/>
          <w:szCs w:val="24"/>
        </w:rPr>
        <w:footnoteReference w:id="42"/>
      </w:r>
      <w:r w:rsidRPr="0077037B">
        <w:rPr>
          <w:rFonts w:ascii="Times New Roman" w:eastAsia="Times New Roman" w:hAnsi="Times New Roman" w:cs="Times New Roman"/>
          <w:sz w:val="24"/>
          <w:szCs w:val="24"/>
        </w:rPr>
        <w:t xml:space="preserve"> While this description seems similar to the gift a Gortyn woman would receive on her wedding day, it is still different, due to the wedding gift being a voluntary gift that the father did not need to give to her. It is also different due to how a dowry among the Athenian upper class would work; the dowry could consist of furniture and ‘moveable goods’,</w:t>
      </w:r>
      <w:r w:rsidRPr="0077037B">
        <w:rPr>
          <w:rStyle w:val="FootnoteReference"/>
          <w:rFonts w:ascii="Times New Roman" w:eastAsia="Times New Roman" w:hAnsi="Times New Roman" w:cs="Times New Roman"/>
          <w:sz w:val="24"/>
          <w:szCs w:val="24"/>
        </w:rPr>
        <w:footnoteReference w:id="43"/>
      </w:r>
      <w:r w:rsidRPr="0077037B">
        <w:rPr>
          <w:rFonts w:ascii="Times New Roman" w:eastAsia="Times New Roman" w:hAnsi="Times New Roman" w:cs="Times New Roman"/>
          <w:sz w:val="24"/>
          <w:szCs w:val="24"/>
        </w:rPr>
        <w:t xml:space="preserve"> which, while this is technically property to own, it was merely seen as ‘the woman’s material contribution to the establishment of the new household’,</w:t>
      </w:r>
      <w:r w:rsidRPr="0077037B">
        <w:rPr>
          <w:rStyle w:val="FootnoteReference"/>
          <w:rFonts w:ascii="Times New Roman" w:eastAsia="Times New Roman" w:hAnsi="Times New Roman" w:cs="Times New Roman"/>
          <w:sz w:val="24"/>
          <w:szCs w:val="24"/>
        </w:rPr>
        <w:footnoteReference w:id="44"/>
      </w:r>
      <w:r w:rsidRPr="0077037B">
        <w:rPr>
          <w:rFonts w:ascii="Times New Roman" w:eastAsia="Times New Roman" w:hAnsi="Times New Roman" w:cs="Times New Roman"/>
          <w:sz w:val="24"/>
          <w:szCs w:val="24"/>
        </w:rPr>
        <w:t xml:space="preserve"> something the </w:t>
      </w:r>
      <w:r w:rsidRPr="0077037B">
        <w:rPr>
          <w:rFonts w:ascii="Times New Roman" w:eastAsia="Times New Roman" w:hAnsi="Times New Roman" w:cs="Times New Roman"/>
          <w:i/>
          <w:sz w:val="24"/>
          <w:szCs w:val="24"/>
        </w:rPr>
        <w:t>kyrios</w:t>
      </w:r>
      <w:r w:rsidRPr="0077037B">
        <w:rPr>
          <w:rFonts w:ascii="Times New Roman" w:eastAsia="Times New Roman" w:hAnsi="Times New Roman" w:cs="Times New Roman"/>
          <w:sz w:val="24"/>
          <w:szCs w:val="24"/>
        </w:rPr>
        <w:t xml:space="preserve"> would have had control over.</w:t>
      </w:r>
    </w:p>
    <w:p w14:paraId="694DBB9F" w14:textId="282BCF97" w:rsidR="1E08C8F8" w:rsidRPr="0077037B" w:rsidRDefault="1E08C8F8" w:rsidP="00D61FC4">
      <w:pPr>
        <w:spacing w:line="480" w:lineRule="auto"/>
        <w:jc w:val="both"/>
        <w:rPr>
          <w:rFonts w:ascii="Times New Roman" w:eastAsia="Times New Roman" w:hAnsi="Times New Roman" w:cs="Times New Roman"/>
          <w:sz w:val="24"/>
          <w:szCs w:val="24"/>
        </w:rPr>
      </w:pPr>
    </w:p>
    <w:p w14:paraId="21769AB4" w14:textId="4EC0BC6E"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b/>
          <w:bCs/>
          <w:sz w:val="24"/>
          <w:szCs w:val="24"/>
          <w:u w:val="single"/>
        </w:rPr>
        <w:lastRenderedPageBreak/>
        <w:t>Conclusion</w:t>
      </w:r>
      <w:r w:rsidRPr="0077037B">
        <w:rPr>
          <w:rFonts w:ascii="Times New Roman" w:eastAsia="Times New Roman" w:hAnsi="Times New Roman" w:cs="Times New Roman"/>
          <w:b/>
          <w:bCs/>
          <w:sz w:val="24"/>
          <w:szCs w:val="24"/>
        </w:rPr>
        <w:t xml:space="preserve"> </w:t>
      </w:r>
    </w:p>
    <w:p w14:paraId="1D494A69" w14:textId="43409CDB" w:rsidR="00333B02" w:rsidRPr="0077037B" w:rsidRDefault="001509C7"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 xml:space="preserve">Athens had a </w:t>
      </w:r>
      <w:r w:rsidRPr="0077037B">
        <w:rPr>
          <w:rFonts w:ascii="Times New Roman" w:eastAsia="Times New Roman" w:hAnsi="Times New Roman" w:cs="Times New Roman"/>
          <w:i/>
          <w:sz w:val="24"/>
          <w:szCs w:val="24"/>
        </w:rPr>
        <w:t>kyrios</w:t>
      </w:r>
      <w:r w:rsidRPr="0077037B">
        <w:rPr>
          <w:rFonts w:ascii="Times New Roman" w:eastAsia="Times New Roman" w:hAnsi="Times New Roman" w:cs="Times New Roman"/>
          <w:sz w:val="24"/>
          <w:szCs w:val="24"/>
        </w:rPr>
        <w:t xml:space="preserve"> system in place, which G</w:t>
      </w:r>
      <w:r w:rsidR="008F27CC" w:rsidRPr="0077037B">
        <w:rPr>
          <w:rFonts w:ascii="Times New Roman" w:eastAsia="Times New Roman" w:hAnsi="Times New Roman" w:cs="Times New Roman"/>
          <w:sz w:val="24"/>
          <w:szCs w:val="24"/>
        </w:rPr>
        <w:t>ortyn did not have, and this had</w:t>
      </w:r>
      <w:r w:rsidRPr="0077037B">
        <w:rPr>
          <w:rFonts w:ascii="Times New Roman" w:eastAsia="Times New Roman" w:hAnsi="Times New Roman" w:cs="Times New Roman"/>
          <w:sz w:val="24"/>
          <w:szCs w:val="24"/>
        </w:rPr>
        <w:t xml:space="preserve"> a large role in </w:t>
      </w:r>
      <w:r w:rsidR="00DE4556" w:rsidRPr="0077037B">
        <w:rPr>
          <w:rFonts w:ascii="Times New Roman" w:eastAsia="Times New Roman" w:hAnsi="Times New Roman" w:cs="Times New Roman"/>
          <w:sz w:val="24"/>
          <w:szCs w:val="24"/>
        </w:rPr>
        <w:t xml:space="preserve">how the city states represented women in their laws. In Athens, </w:t>
      </w:r>
      <w:r w:rsidR="00CE3D38" w:rsidRPr="0077037B">
        <w:rPr>
          <w:rFonts w:ascii="Times New Roman" w:eastAsia="Times New Roman" w:hAnsi="Times New Roman" w:cs="Times New Roman"/>
          <w:sz w:val="24"/>
          <w:szCs w:val="24"/>
        </w:rPr>
        <w:t xml:space="preserve">while women could not </w:t>
      </w:r>
      <w:r w:rsidR="006F4C72" w:rsidRPr="0077037B">
        <w:rPr>
          <w:rFonts w:ascii="Times New Roman" w:eastAsia="Times New Roman" w:hAnsi="Times New Roman" w:cs="Times New Roman"/>
          <w:sz w:val="24"/>
          <w:szCs w:val="24"/>
        </w:rPr>
        <w:t xml:space="preserve">own property as individuals, they seemed to have a part in it as having a major role in the </w:t>
      </w:r>
      <w:r w:rsidR="006F4C72" w:rsidRPr="0077037B">
        <w:rPr>
          <w:rFonts w:ascii="Times New Roman" w:eastAsia="Times New Roman" w:hAnsi="Times New Roman" w:cs="Times New Roman"/>
          <w:i/>
          <w:sz w:val="24"/>
          <w:szCs w:val="24"/>
        </w:rPr>
        <w:t>oikos</w:t>
      </w:r>
      <w:r w:rsidR="006F4C72" w:rsidRPr="0077037B">
        <w:rPr>
          <w:rFonts w:ascii="Times New Roman" w:eastAsia="Times New Roman" w:hAnsi="Times New Roman" w:cs="Times New Roman"/>
          <w:sz w:val="24"/>
          <w:szCs w:val="24"/>
        </w:rPr>
        <w:t xml:space="preserve">. </w:t>
      </w:r>
      <w:r w:rsidR="001D0F25" w:rsidRPr="0077037B">
        <w:rPr>
          <w:rFonts w:ascii="Times New Roman" w:eastAsia="Times New Roman" w:hAnsi="Times New Roman" w:cs="Times New Roman"/>
          <w:sz w:val="24"/>
          <w:szCs w:val="24"/>
        </w:rPr>
        <w:t>In Gortyn, it is said explicitly that women could own property and land, and nearly half of the land belonging to women at the time. Inheritance in Gortyn has been debated within scholarship, but their laws do say that women were part of the inheritance line, and that the father had the choice of passing it down with the other children, or if the share would be received as a wedding gift.</w:t>
      </w:r>
      <w:r w:rsidR="005B50BF" w:rsidRPr="0077037B">
        <w:rPr>
          <w:rFonts w:ascii="Times New Roman" w:eastAsia="Times New Roman" w:hAnsi="Times New Roman" w:cs="Times New Roman"/>
          <w:sz w:val="24"/>
          <w:szCs w:val="24"/>
        </w:rPr>
        <w:t xml:space="preserve"> In Athens, a woman would ‘inherit’ through a dowry which was not theirs to dispose of, rather than </w:t>
      </w:r>
      <w:r w:rsidR="005B50BF" w:rsidRPr="0077037B">
        <w:rPr>
          <w:rFonts w:ascii="Times New Roman" w:eastAsia="Times New Roman" w:hAnsi="Times New Roman" w:cs="Times New Roman"/>
          <w:i/>
          <w:sz w:val="24"/>
          <w:szCs w:val="24"/>
        </w:rPr>
        <w:t>kyrios</w:t>
      </w:r>
      <w:r w:rsidR="005B50BF" w:rsidRPr="0077037B">
        <w:rPr>
          <w:rFonts w:ascii="Times New Roman" w:eastAsia="Times New Roman" w:hAnsi="Times New Roman" w:cs="Times New Roman"/>
          <w:sz w:val="24"/>
          <w:szCs w:val="24"/>
        </w:rPr>
        <w:t xml:space="preserve"> would decide what was best to do with whatever the dowry consisted of.</w:t>
      </w:r>
    </w:p>
    <w:p w14:paraId="49D181A6" w14:textId="77777777" w:rsidR="0098590B" w:rsidRPr="0077037B" w:rsidRDefault="0098590B" w:rsidP="00D61FC4">
      <w:pPr>
        <w:spacing w:line="480" w:lineRule="auto"/>
        <w:jc w:val="both"/>
        <w:rPr>
          <w:rFonts w:ascii="Times New Roman" w:eastAsia="Times New Roman" w:hAnsi="Times New Roman" w:cs="Times New Roman"/>
          <w:bCs/>
          <w:sz w:val="24"/>
          <w:szCs w:val="24"/>
        </w:rPr>
      </w:pPr>
    </w:p>
    <w:p w14:paraId="766C0F75" w14:textId="6D4683EF" w:rsidR="001D0F25" w:rsidRPr="0077037B" w:rsidRDefault="001D0F25" w:rsidP="00D61FC4">
      <w:pPr>
        <w:spacing w:line="480" w:lineRule="auto"/>
        <w:jc w:val="both"/>
        <w:rPr>
          <w:rFonts w:ascii="Times New Roman" w:eastAsia="Times New Roman" w:hAnsi="Times New Roman" w:cs="Times New Roman"/>
          <w:b/>
          <w:bCs/>
          <w:sz w:val="24"/>
          <w:szCs w:val="24"/>
        </w:rPr>
      </w:pPr>
      <w:r w:rsidRPr="0077037B">
        <w:rPr>
          <w:rFonts w:ascii="Times New Roman" w:eastAsia="Times New Roman" w:hAnsi="Times New Roman" w:cs="Times New Roman"/>
          <w:bCs/>
          <w:sz w:val="24"/>
          <w:szCs w:val="24"/>
        </w:rPr>
        <w:t>Women appear to fall into a special category in Athenian society, which almost puts them outside the law and its considerations, which seem to focus on the interests of men. While women are mentioned in property and inheritance laws, it is usually in reference to men and their interests who, as guardians, had ultimate control of women’s wealth.</w:t>
      </w:r>
    </w:p>
    <w:p w14:paraId="6E79A115" w14:textId="77777777" w:rsidR="001D0F25" w:rsidRPr="0077037B" w:rsidRDefault="001D0F25" w:rsidP="00D61FC4">
      <w:pPr>
        <w:spacing w:line="480" w:lineRule="auto"/>
        <w:jc w:val="both"/>
        <w:rPr>
          <w:rFonts w:ascii="Times New Roman" w:eastAsia="Times New Roman" w:hAnsi="Times New Roman" w:cs="Times New Roman"/>
          <w:sz w:val="24"/>
          <w:szCs w:val="24"/>
        </w:rPr>
      </w:pPr>
    </w:p>
    <w:p w14:paraId="2F8B6369" w14:textId="5A90B711" w:rsidR="1E08C8F8" w:rsidRDefault="1E08C8F8" w:rsidP="00D61FC4">
      <w:pPr>
        <w:spacing w:line="480" w:lineRule="auto"/>
        <w:jc w:val="both"/>
        <w:rPr>
          <w:rFonts w:ascii="Times New Roman" w:eastAsia="Times New Roman" w:hAnsi="Times New Roman" w:cs="Times New Roman"/>
          <w:b/>
          <w:bCs/>
          <w:sz w:val="24"/>
          <w:szCs w:val="24"/>
        </w:rPr>
      </w:pPr>
    </w:p>
    <w:p w14:paraId="22909680" w14:textId="0BB44171" w:rsidR="00552420" w:rsidRDefault="00552420" w:rsidP="00D61FC4">
      <w:pPr>
        <w:spacing w:line="480" w:lineRule="auto"/>
        <w:jc w:val="both"/>
        <w:rPr>
          <w:rFonts w:ascii="Times New Roman" w:eastAsia="Times New Roman" w:hAnsi="Times New Roman" w:cs="Times New Roman"/>
          <w:b/>
          <w:bCs/>
          <w:sz w:val="24"/>
          <w:szCs w:val="24"/>
        </w:rPr>
      </w:pPr>
    </w:p>
    <w:p w14:paraId="705F1BA3" w14:textId="77777777" w:rsidR="00552420" w:rsidRDefault="00552420" w:rsidP="00D61FC4">
      <w:pPr>
        <w:spacing w:line="480" w:lineRule="auto"/>
        <w:jc w:val="both"/>
        <w:rPr>
          <w:rFonts w:ascii="Times New Roman" w:eastAsia="Times New Roman" w:hAnsi="Times New Roman" w:cs="Times New Roman"/>
          <w:b/>
          <w:bCs/>
          <w:sz w:val="24"/>
          <w:szCs w:val="24"/>
        </w:rPr>
      </w:pPr>
    </w:p>
    <w:p w14:paraId="2B844A86" w14:textId="5C381B91" w:rsidR="00552420" w:rsidRDefault="00552420" w:rsidP="00D61FC4">
      <w:pPr>
        <w:spacing w:line="480" w:lineRule="auto"/>
        <w:jc w:val="both"/>
        <w:rPr>
          <w:rFonts w:ascii="Times New Roman" w:eastAsia="Times New Roman" w:hAnsi="Times New Roman" w:cs="Times New Roman"/>
          <w:b/>
          <w:bCs/>
          <w:sz w:val="24"/>
          <w:szCs w:val="24"/>
        </w:rPr>
      </w:pPr>
    </w:p>
    <w:p w14:paraId="06F7B12A" w14:textId="77777777" w:rsidR="007F5820" w:rsidRDefault="007F5820" w:rsidP="00D61FC4">
      <w:pPr>
        <w:spacing w:line="480" w:lineRule="auto"/>
        <w:jc w:val="both"/>
        <w:rPr>
          <w:rFonts w:ascii="Times New Roman" w:eastAsia="Times New Roman" w:hAnsi="Times New Roman" w:cs="Times New Roman"/>
          <w:b/>
          <w:bCs/>
          <w:sz w:val="24"/>
          <w:szCs w:val="24"/>
        </w:rPr>
      </w:pPr>
      <w:bookmarkStart w:id="0" w:name="_GoBack"/>
      <w:bookmarkEnd w:id="0"/>
    </w:p>
    <w:p w14:paraId="79C1C441" w14:textId="15E6B6DB" w:rsidR="00552420" w:rsidRPr="00552420" w:rsidRDefault="00552420" w:rsidP="00D61FC4">
      <w:pPr>
        <w:spacing w:line="480" w:lineRule="auto"/>
        <w:jc w:val="both"/>
        <w:rPr>
          <w:rFonts w:ascii="Times New Roman" w:eastAsia="Times New Roman" w:hAnsi="Times New Roman" w:cs="Times New Roman"/>
          <w:b/>
          <w:bCs/>
          <w:sz w:val="24"/>
          <w:szCs w:val="24"/>
          <w:u w:val="single"/>
        </w:rPr>
      </w:pPr>
      <w:r w:rsidRPr="00552420">
        <w:rPr>
          <w:rFonts w:ascii="Times New Roman" w:eastAsia="Times New Roman" w:hAnsi="Times New Roman" w:cs="Times New Roman"/>
          <w:b/>
          <w:bCs/>
          <w:sz w:val="24"/>
          <w:szCs w:val="24"/>
          <w:u w:val="single"/>
        </w:rPr>
        <w:lastRenderedPageBreak/>
        <w:t>Bibliography</w:t>
      </w:r>
    </w:p>
    <w:p w14:paraId="2F343B53" w14:textId="5865FFC6"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b/>
          <w:bCs/>
          <w:sz w:val="24"/>
          <w:szCs w:val="24"/>
          <w:u w:val="single"/>
        </w:rPr>
        <w:t>Ancient Sources</w:t>
      </w:r>
      <w:r w:rsidRPr="0077037B">
        <w:rPr>
          <w:rFonts w:ascii="Times New Roman" w:eastAsia="Times New Roman" w:hAnsi="Times New Roman" w:cs="Times New Roman"/>
          <w:b/>
          <w:bCs/>
          <w:sz w:val="24"/>
          <w:szCs w:val="24"/>
        </w:rPr>
        <w:t xml:space="preserve"> </w:t>
      </w:r>
    </w:p>
    <w:p w14:paraId="5B0C42DC" w14:textId="677877FE"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sz w:val="24"/>
          <w:szCs w:val="24"/>
        </w:rPr>
        <w:t xml:space="preserve">Aristotle, </w:t>
      </w:r>
      <w:r w:rsidRPr="0077037B">
        <w:rPr>
          <w:rFonts w:ascii="Times New Roman" w:eastAsia="Times New Roman" w:hAnsi="Times New Roman" w:cs="Times New Roman"/>
          <w:i/>
          <w:iCs/>
          <w:sz w:val="24"/>
          <w:szCs w:val="24"/>
        </w:rPr>
        <w:t>Athenian Constitution</w:t>
      </w:r>
      <w:r w:rsidRPr="0077037B">
        <w:rPr>
          <w:rFonts w:ascii="Times New Roman" w:eastAsia="Times New Roman" w:hAnsi="Times New Roman" w:cs="Times New Roman"/>
          <w:sz w:val="24"/>
          <w:szCs w:val="24"/>
        </w:rPr>
        <w:t xml:space="preserve">. </w:t>
      </w:r>
      <w:r w:rsidR="00970E0E">
        <w:rPr>
          <w:rFonts w:ascii="Times New Roman" w:eastAsia="Times New Roman" w:hAnsi="Times New Roman" w:cs="Times New Roman"/>
          <w:sz w:val="24"/>
          <w:szCs w:val="24"/>
        </w:rPr>
        <w:t>H. Rackham (trans.). 1935. Cambridge, MA: Harvard University Press.</w:t>
      </w:r>
    </w:p>
    <w:p w14:paraId="7B112701" w14:textId="3AE5D898" w:rsidR="71DCFD11" w:rsidRPr="0077037B" w:rsidRDefault="71DCFD11" w:rsidP="00D61FC4">
      <w:pPr>
        <w:spacing w:line="480" w:lineRule="auto"/>
        <w:jc w:val="both"/>
        <w:rPr>
          <w:rFonts w:ascii="Times New Roman" w:eastAsia="Times New Roman" w:hAnsi="Times New Roman" w:cs="Times New Roman"/>
          <w:sz w:val="24"/>
          <w:szCs w:val="24"/>
        </w:rPr>
      </w:pPr>
      <w:r w:rsidRPr="0077037B">
        <w:rPr>
          <w:rFonts w:ascii="Times New Roman" w:eastAsia="Times New Roman" w:hAnsi="Times New Roman" w:cs="Times New Roman"/>
          <w:b/>
          <w:bCs/>
          <w:sz w:val="24"/>
          <w:szCs w:val="24"/>
          <w:u w:val="single"/>
        </w:rPr>
        <w:t>Modern Scholarship</w:t>
      </w:r>
      <w:r w:rsidRPr="0077037B">
        <w:rPr>
          <w:rFonts w:ascii="Times New Roman" w:eastAsia="Times New Roman" w:hAnsi="Times New Roman" w:cs="Times New Roman"/>
          <w:b/>
          <w:bCs/>
          <w:sz w:val="24"/>
          <w:szCs w:val="24"/>
        </w:rPr>
        <w:t xml:space="preserve"> </w:t>
      </w:r>
    </w:p>
    <w:p w14:paraId="2198568D"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Binder, V. and Garcia-Ramon, J. L. (2006) ‘Doric/Northwest Greek’, in Cancik, H. And Schneider, H. (ed.) </w:t>
      </w:r>
      <w:r w:rsidRPr="00AA1F07">
        <w:rPr>
          <w:rFonts w:ascii="Times New Roman" w:hAnsi="Times New Roman" w:cs="Times New Roman"/>
          <w:i/>
          <w:iCs/>
          <w:color w:val="000000"/>
          <w:sz w:val="24"/>
          <w:szCs w:val="24"/>
        </w:rPr>
        <w:t>Brill’s New Pauly.</w:t>
      </w:r>
      <w:r w:rsidRPr="00AA1F07">
        <w:rPr>
          <w:rFonts w:ascii="Times New Roman" w:hAnsi="Times New Roman" w:cs="Times New Roman"/>
          <w:color w:val="000000"/>
          <w:sz w:val="24"/>
          <w:szCs w:val="24"/>
        </w:rPr>
        <w:t> Available at:</w:t>
      </w:r>
      <w:r w:rsidRPr="00D61FC4">
        <w:rPr>
          <w:rFonts w:ascii="Times New Roman" w:hAnsi="Times New Roman" w:cs="Times New Roman"/>
          <w:sz w:val="24"/>
          <w:szCs w:val="24"/>
        </w:rPr>
        <w:t> https://referenceworks-brillonline-com.ezproxy.uwtsd.ac.uk/entries/brill-s-new-pauly/doricnorthwest-greek-e323450?s.num=6&amp;s.q=Doric</w:t>
      </w:r>
      <w:r w:rsidRPr="00AA1F07">
        <w:rPr>
          <w:rFonts w:ascii="Times New Roman" w:hAnsi="Times New Roman" w:cs="Times New Roman"/>
          <w:color w:val="000000"/>
          <w:sz w:val="24"/>
          <w:szCs w:val="24"/>
        </w:rPr>
        <w:t>. (Accessed: 18 April 2020).</w:t>
      </w:r>
    </w:p>
    <w:p w14:paraId="6C3D1CBD"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Blundell, S. (1995) </w:t>
      </w:r>
      <w:r w:rsidRPr="00AA1F07">
        <w:rPr>
          <w:rFonts w:ascii="Times New Roman" w:hAnsi="Times New Roman" w:cs="Times New Roman"/>
          <w:i/>
          <w:iCs/>
          <w:color w:val="000000"/>
          <w:sz w:val="24"/>
          <w:szCs w:val="24"/>
        </w:rPr>
        <w:t>Women in Ancient Greece</w:t>
      </w:r>
      <w:r w:rsidRPr="00AA1F07">
        <w:rPr>
          <w:rFonts w:ascii="Times New Roman" w:hAnsi="Times New Roman" w:cs="Times New Roman"/>
          <w:color w:val="000000"/>
          <w:sz w:val="24"/>
          <w:szCs w:val="24"/>
        </w:rPr>
        <w:t>. Massachusetts: Harvard University Press.</w:t>
      </w:r>
    </w:p>
    <w:p w14:paraId="7F845D5E" w14:textId="77777777" w:rsidR="00D61FC4"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Cartwright, M. (2016) ‘Gortyn’, Ancient History Encyclopedia. Available at</w:t>
      </w:r>
      <w:r w:rsidRPr="00D61FC4">
        <w:rPr>
          <w:rFonts w:ascii="Times New Roman" w:hAnsi="Times New Roman" w:cs="Times New Roman"/>
          <w:sz w:val="24"/>
          <w:szCs w:val="24"/>
        </w:rPr>
        <w:t>: https://www.ancient.eu/Gortyn/</w:t>
      </w:r>
      <w:r w:rsidRPr="00AA1F07">
        <w:rPr>
          <w:rFonts w:ascii="Times New Roman" w:hAnsi="Times New Roman" w:cs="Times New Roman"/>
          <w:color w:val="000000"/>
          <w:sz w:val="24"/>
          <w:szCs w:val="24"/>
        </w:rPr>
        <w:t>. (Accessed: 18 April 2020).</w:t>
      </w:r>
    </w:p>
    <w:p w14:paraId="2FD5316D" w14:textId="4059F6E7" w:rsidR="006655EA" w:rsidRPr="00AA1F07" w:rsidRDefault="006655EA"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‘Civilisation' (2015) The Ascent of Woman, Series 1, Episode 1. BBC.</w:t>
      </w:r>
    </w:p>
    <w:p w14:paraId="13FECFC5"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Cohen, E. (1997) </w:t>
      </w:r>
      <w:r w:rsidRPr="00AA1F07">
        <w:rPr>
          <w:rFonts w:ascii="Times New Roman" w:hAnsi="Times New Roman" w:cs="Times New Roman"/>
          <w:i/>
          <w:iCs/>
          <w:color w:val="000000"/>
          <w:sz w:val="24"/>
          <w:szCs w:val="24"/>
        </w:rPr>
        <w:t>Athenian Economy and Society: A Banking Perspective</w:t>
      </w:r>
      <w:r w:rsidRPr="00AA1F07">
        <w:rPr>
          <w:rFonts w:ascii="Times New Roman" w:hAnsi="Times New Roman" w:cs="Times New Roman"/>
          <w:color w:val="000000"/>
          <w:sz w:val="24"/>
          <w:szCs w:val="24"/>
        </w:rPr>
        <w:t>. Princeton: Princeton University Press.</w:t>
      </w:r>
    </w:p>
    <w:p w14:paraId="31756C58"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Economou, E. M. L. and Kyriazis, N. C. (2017) ’The emergence and the evolution of property rights in Ancient Greece’, </w:t>
      </w:r>
      <w:r w:rsidRPr="00AA1F07">
        <w:rPr>
          <w:rFonts w:ascii="Times New Roman" w:hAnsi="Times New Roman" w:cs="Times New Roman"/>
          <w:i/>
          <w:iCs/>
          <w:color w:val="000000"/>
          <w:sz w:val="24"/>
          <w:szCs w:val="24"/>
        </w:rPr>
        <w:t>Journal of Institutional Economics</w:t>
      </w:r>
      <w:r w:rsidRPr="00AA1F07">
        <w:rPr>
          <w:rFonts w:ascii="Times New Roman" w:hAnsi="Times New Roman" w:cs="Times New Roman"/>
          <w:color w:val="000000"/>
          <w:sz w:val="24"/>
          <w:szCs w:val="24"/>
        </w:rPr>
        <w:t>, 13(1), pp. 53-77.</w:t>
      </w:r>
    </w:p>
    <w:p w14:paraId="00CA3328"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Fleck, R. K. and Hanssen, A. F. (2009) ‘Rulers Rules by Women: An Economic Analysis of the Ride and Fall of Women’s Rights in Ancient Sparta’, </w:t>
      </w:r>
      <w:r w:rsidRPr="00AA1F07">
        <w:rPr>
          <w:rFonts w:ascii="Times New Roman" w:hAnsi="Times New Roman" w:cs="Times New Roman"/>
          <w:i/>
          <w:iCs/>
          <w:color w:val="000000"/>
          <w:sz w:val="24"/>
          <w:szCs w:val="24"/>
        </w:rPr>
        <w:t>Economic Governance</w:t>
      </w:r>
      <w:r w:rsidRPr="00AA1F07">
        <w:rPr>
          <w:rFonts w:ascii="Times New Roman" w:hAnsi="Times New Roman" w:cs="Times New Roman"/>
          <w:color w:val="000000"/>
          <w:sz w:val="24"/>
          <w:szCs w:val="24"/>
        </w:rPr>
        <w:t>, 10(3), pp. 221-254.</w:t>
      </w:r>
    </w:p>
    <w:p w14:paraId="68192812"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Foxhall, L. (1989) ‘Household, Gender and Property in Classical Athens’, </w:t>
      </w:r>
      <w:r w:rsidRPr="00AA1F07">
        <w:rPr>
          <w:rFonts w:ascii="Times New Roman" w:hAnsi="Times New Roman" w:cs="Times New Roman"/>
          <w:i/>
          <w:iCs/>
          <w:color w:val="000000"/>
          <w:sz w:val="24"/>
          <w:szCs w:val="24"/>
        </w:rPr>
        <w:t>The Classical Quarterly</w:t>
      </w:r>
      <w:r w:rsidRPr="00AA1F07">
        <w:rPr>
          <w:rFonts w:ascii="Times New Roman" w:hAnsi="Times New Roman" w:cs="Times New Roman"/>
          <w:color w:val="000000"/>
          <w:sz w:val="24"/>
          <w:szCs w:val="24"/>
        </w:rPr>
        <w:t>, 39(1) pp. 22-44.</w:t>
      </w:r>
    </w:p>
    <w:p w14:paraId="282330A1"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Gagarin, M. (2012) ‘Women’s Property at Gortyn’, </w:t>
      </w:r>
      <w:r w:rsidRPr="00AA1F07">
        <w:rPr>
          <w:rFonts w:ascii="Times New Roman" w:hAnsi="Times New Roman" w:cs="Times New Roman"/>
          <w:i/>
          <w:iCs/>
          <w:color w:val="000000"/>
          <w:sz w:val="24"/>
          <w:szCs w:val="24"/>
        </w:rPr>
        <w:t>Dike</w:t>
      </w:r>
      <w:r w:rsidRPr="00AA1F07">
        <w:rPr>
          <w:rFonts w:ascii="Times New Roman" w:hAnsi="Times New Roman" w:cs="Times New Roman"/>
          <w:color w:val="000000"/>
          <w:sz w:val="24"/>
          <w:szCs w:val="24"/>
        </w:rPr>
        <w:t>, 15, pp. 73-92.</w:t>
      </w:r>
    </w:p>
    <w:p w14:paraId="690D599E"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Gerhard, T. (2006) ‘Athenian Law’, in Cancik, H. And Schneider, H. (ed.) </w:t>
      </w:r>
      <w:r w:rsidRPr="00AA1F07">
        <w:rPr>
          <w:rFonts w:ascii="Times New Roman" w:hAnsi="Times New Roman" w:cs="Times New Roman"/>
          <w:i/>
          <w:iCs/>
          <w:color w:val="000000"/>
          <w:sz w:val="24"/>
          <w:szCs w:val="24"/>
        </w:rPr>
        <w:t>Brill’s New Pauly.</w:t>
      </w:r>
      <w:r w:rsidRPr="00AA1F07">
        <w:rPr>
          <w:rFonts w:ascii="Times New Roman" w:hAnsi="Times New Roman" w:cs="Times New Roman"/>
          <w:color w:val="000000"/>
          <w:sz w:val="24"/>
          <w:szCs w:val="24"/>
        </w:rPr>
        <w:t xml:space="preserve"> </w:t>
      </w:r>
      <w:r w:rsidRPr="00AA1F07">
        <w:rPr>
          <w:rFonts w:ascii="Times New Roman" w:hAnsi="Times New Roman" w:cs="Times New Roman"/>
          <w:color w:val="000000"/>
          <w:sz w:val="24"/>
          <w:szCs w:val="24"/>
        </w:rPr>
        <w:lastRenderedPageBreak/>
        <w:t>Available at: </w:t>
      </w:r>
      <w:r w:rsidRPr="00D61FC4">
        <w:rPr>
          <w:rFonts w:ascii="Times New Roman" w:hAnsi="Times New Roman" w:cs="Times New Roman"/>
          <w:sz w:val="24"/>
          <w:szCs w:val="24"/>
        </w:rPr>
        <w:t xml:space="preserve">https://referenceworks-brillonline-com.ezproxy.uwtsd.ac.uk/entries/brill-s-new-pauly/athenian-law-e207680?s.num=0&amp;s.f.s2_parent=s.f.cluster.New+Pauly+Online&amp;s.q=Athenian+law. </w:t>
      </w:r>
      <w:r w:rsidRPr="00AA1F07">
        <w:rPr>
          <w:rFonts w:ascii="Times New Roman" w:hAnsi="Times New Roman" w:cs="Times New Roman"/>
          <w:color w:val="000000"/>
          <w:sz w:val="24"/>
          <w:szCs w:val="24"/>
        </w:rPr>
        <w:t>(Accessed: 18 April 2020).</w:t>
      </w:r>
    </w:p>
    <w:p w14:paraId="4033E707"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Gould, J. (1980) ‘Law, Custom and Myth: Aspects of the Social Position of Women in Classical Athens’, </w:t>
      </w:r>
      <w:r w:rsidRPr="00AA1F07">
        <w:rPr>
          <w:rFonts w:ascii="Times New Roman" w:hAnsi="Times New Roman" w:cs="Times New Roman"/>
          <w:i/>
          <w:iCs/>
          <w:color w:val="000000"/>
          <w:sz w:val="24"/>
          <w:szCs w:val="24"/>
        </w:rPr>
        <w:t>The Journal of Hellenic Studies</w:t>
      </w:r>
      <w:r w:rsidRPr="00AA1F07">
        <w:rPr>
          <w:rFonts w:ascii="Times New Roman" w:hAnsi="Times New Roman" w:cs="Times New Roman"/>
          <w:color w:val="000000"/>
          <w:sz w:val="24"/>
          <w:szCs w:val="24"/>
        </w:rPr>
        <w:t>, 100, pp. 38-59.</w:t>
      </w:r>
    </w:p>
    <w:p w14:paraId="2232CF36"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Hornblower, S. and Spawforth, A. (2004) The Oxford Companion to Classical Civilisation. New York: Oxford University Press.</w:t>
      </w:r>
    </w:p>
    <w:p w14:paraId="12441207"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Johnstone, S. (2003) ‘Women, Property, and Surveillance in Classical Athens’, </w:t>
      </w:r>
      <w:r w:rsidRPr="00AA1F07">
        <w:rPr>
          <w:rFonts w:ascii="Times New Roman" w:hAnsi="Times New Roman" w:cs="Times New Roman"/>
          <w:i/>
          <w:iCs/>
          <w:color w:val="000000"/>
          <w:sz w:val="24"/>
          <w:szCs w:val="24"/>
        </w:rPr>
        <w:t>Classical Antiquity</w:t>
      </w:r>
      <w:r w:rsidRPr="00AA1F07">
        <w:rPr>
          <w:rFonts w:ascii="Times New Roman" w:hAnsi="Times New Roman" w:cs="Times New Roman"/>
          <w:color w:val="000000"/>
          <w:sz w:val="24"/>
          <w:szCs w:val="24"/>
        </w:rPr>
        <w:t>, 22(2), pp. 247-274.</w:t>
      </w:r>
    </w:p>
    <w:p w14:paraId="58744DFD"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Just, R. (1991) </w:t>
      </w:r>
      <w:r w:rsidRPr="00AA1F07">
        <w:rPr>
          <w:rFonts w:ascii="Times New Roman" w:hAnsi="Times New Roman" w:cs="Times New Roman"/>
          <w:i/>
          <w:iCs/>
          <w:color w:val="000000"/>
          <w:sz w:val="24"/>
          <w:szCs w:val="24"/>
        </w:rPr>
        <w:t>Women in Athenian Law and Life</w:t>
      </w:r>
      <w:r w:rsidRPr="00AA1F07">
        <w:rPr>
          <w:rFonts w:ascii="Times New Roman" w:hAnsi="Times New Roman" w:cs="Times New Roman"/>
          <w:color w:val="000000"/>
          <w:sz w:val="24"/>
          <w:szCs w:val="24"/>
        </w:rPr>
        <w:t>. New York: Routledge.</w:t>
      </w:r>
    </w:p>
    <w:p w14:paraId="00E0CCA3"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MacDowell, D. M. (1978) </w:t>
      </w:r>
      <w:r w:rsidRPr="00AA1F07">
        <w:rPr>
          <w:rFonts w:ascii="Times New Roman" w:hAnsi="Times New Roman" w:cs="Times New Roman"/>
          <w:i/>
          <w:iCs/>
          <w:color w:val="000000"/>
          <w:sz w:val="24"/>
          <w:szCs w:val="24"/>
        </w:rPr>
        <w:t>The Law in Classical Athens</w:t>
      </w:r>
      <w:r w:rsidRPr="00AA1F07">
        <w:rPr>
          <w:rFonts w:ascii="Times New Roman" w:hAnsi="Times New Roman" w:cs="Times New Roman"/>
          <w:color w:val="000000"/>
          <w:sz w:val="24"/>
          <w:szCs w:val="24"/>
        </w:rPr>
        <w:t>. New York: Cornell University Press.</w:t>
      </w:r>
    </w:p>
    <w:p w14:paraId="4B174801"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Maffi, A. (1997)</w:t>
      </w:r>
      <w:r w:rsidRPr="00AA1F07">
        <w:rPr>
          <w:rFonts w:ascii="Times New Roman" w:hAnsi="Times New Roman" w:cs="Times New Roman"/>
          <w:i/>
          <w:iCs/>
          <w:color w:val="000000"/>
          <w:sz w:val="24"/>
          <w:szCs w:val="24"/>
        </w:rPr>
        <w:t xml:space="preserve"> Il diritto di famiglia nel Codice di Gortina</w:t>
      </w:r>
      <w:r w:rsidRPr="00AA1F07">
        <w:rPr>
          <w:rFonts w:ascii="Times New Roman" w:hAnsi="Times New Roman" w:cs="Times New Roman"/>
          <w:color w:val="000000"/>
          <w:sz w:val="24"/>
          <w:szCs w:val="24"/>
        </w:rPr>
        <w:t>. Milan.</w:t>
      </w:r>
    </w:p>
    <w:p w14:paraId="57323072"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Maffi, A. (2003) ’Studi recenti sul Codice di Gortina’, </w:t>
      </w:r>
      <w:r w:rsidRPr="00AA1F07">
        <w:rPr>
          <w:rFonts w:ascii="Times New Roman" w:hAnsi="Times New Roman" w:cs="Times New Roman"/>
          <w:i/>
          <w:iCs/>
          <w:color w:val="000000"/>
          <w:sz w:val="24"/>
          <w:szCs w:val="24"/>
        </w:rPr>
        <w:t>Dike</w:t>
      </w:r>
      <w:r w:rsidRPr="00AA1F07">
        <w:rPr>
          <w:rFonts w:ascii="Times New Roman" w:hAnsi="Times New Roman" w:cs="Times New Roman"/>
          <w:color w:val="000000"/>
          <w:sz w:val="24"/>
          <w:szCs w:val="24"/>
        </w:rPr>
        <w:t>, 6, pp. 161-226.</w:t>
      </w:r>
    </w:p>
    <w:p w14:paraId="3B7961CD"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Schulzki, H. J. (2006) ‘Medimnos’, in Cancik, H. and Schneider, H. (ed.) Brill’s New Pauly. Available at: </w:t>
      </w:r>
      <w:r w:rsidRPr="00D61FC4">
        <w:rPr>
          <w:rFonts w:ascii="Times New Roman" w:hAnsi="Times New Roman" w:cs="Times New Roman"/>
          <w:sz w:val="24"/>
          <w:szCs w:val="24"/>
        </w:rPr>
        <w:t>https://referenceworks.brillonline.com/entries/brill-s-new-pauly/medimnos-e728180</w:t>
      </w:r>
      <w:r w:rsidRPr="00AA1F07">
        <w:rPr>
          <w:rFonts w:ascii="Times New Roman" w:hAnsi="Times New Roman" w:cs="Times New Roman"/>
          <w:color w:val="000000"/>
          <w:sz w:val="24"/>
          <w:szCs w:val="24"/>
        </w:rPr>
        <w:t>. (Accessed: 22 April 2020).</w:t>
      </w:r>
    </w:p>
    <w:p w14:paraId="3AA9CDE4"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Stalley, R. F. (1983) </w:t>
      </w:r>
      <w:r w:rsidRPr="00AA1F07">
        <w:rPr>
          <w:rFonts w:ascii="Times New Roman" w:hAnsi="Times New Roman" w:cs="Times New Roman"/>
          <w:i/>
          <w:iCs/>
          <w:color w:val="000000"/>
          <w:sz w:val="24"/>
          <w:szCs w:val="24"/>
        </w:rPr>
        <w:t>An Introduction to Plato’s Laws</w:t>
      </w:r>
      <w:r w:rsidRPr="00AA1F07">
        <w:rPr>
          <w:rFonts w:ascii="Times New Roman" w:hAnsi="Times New Roman" w:cs="Times New Roman"/>
          <w:color w:val="000000"/>
          <w:sz w:val="24"/>
          <w:szCs w:val="24"/>
        </w:rPr>
        <w:t>. Indiana: Hackett Publishing Company.</w:t>
      </w:r>
    </w:p>
    <w:p w14:paraId="1F4C6432"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Westbrook, R. (2005) Law in the Ancient World: Model Syllabus and Sources. </w:t>
      </w:r>
    </w:p>
    <w:p w14:paraId="50AC86C3" w14:textId="77777777" w:rsidR="00D61FC4" w:rsidRPr="00AA1F07" w:rsidRDefault="00D61FC4" w:rsidP="00D61FC4">
      <w:pPr>
        <w:widowControl w:val="0"/>
        <w:autoSpaceDE w:val="0"/>
        <w:autoSpaceDN w:val="0"/>
        <w:adjustRightInd w:val="0"/>
        <w:spacing w:after="0" w:line="480" w:lineRule="auto"/>
        <w:rPr>
          <w:rFonts w:ascii="Times New Roman" w:hAnsi="Times New Roman" w:cs="Times New Roman"/>
          <w:color w:val="000000"/>
          <w:sz w:val="24"/>
          <w:szCs w:val="24"/>
        </w:rPr>
      </w:pPr>
      <w:r w:rsidRPr="00AA1F07">
        <w:rPr>
          <w:rFonts w:ascii="Times New Roman" w:hAnsi="Times New Roman" w:cs="Times New Roman"/>
          <w:color w:val="000000"/>
          <w:sz w:val="24"/>
          <w:szCs w:val="24"/>
        </w:rPr>
        <w:t xml:space="preserve">Willetts, R. F. (1967) </w:t>
      </w:r>
      <w:r w:rsidRPr="00AA1F07">
        <w:rPr>
          <w:rFonts w:ascii="Times New Roman" w:hAnsi="Times New Roman" w:cs="Times New Roman"/>
          <w:i/>
          <w:iCs/>
          <w:color w:val="000000"/>
          <w:sz w:val="24"/>
          <w:szCs w:val="24"/>
        </w:rPr>
        <w:t>The Law Code of Gortyn</w:t>
      </w:r>
      <w:r w:rsidRPr="00AA1F07">
        <w:rPr>
          <w:rFonts w:ascii="Times New Roman" w:hAnsi="Times New Roman" w:cs="Times New Roman"/>
          <w:color w:val="000000"/>
          <w:sz w:val="24"/>
          <w:szCs w:val="24"/>
        </w:rPr>
        <w:t>. Berlin: Walter de Gruyter &amp; Co.</w:t>
      </w:r>
    </w:p>
    <w:p w14:paraId="3FD73FF4" w14:textId="7E108ACE" w:rsidR="1E08C8F8" w:rsidRPr="0077037B" w:rsidRDefault="1E08C8F8" w:rsidP="00D61FC4">
      <w:pPr>
        <w:spacing w:line="480" w:lineRule="auto"/>
        <w:jc w:val="both"/>
        <w:rPr>
          <w:rFonts w:ascii="Times New Roman" w:eastAsia="Times New Roman" w:hAnsi="Times New Roman" w:cs="Times New Roman"/>
          <w:sz w:val="24"/>
          <w:szCs w:val="24"/>
        </w:rPr>
      </w:pPr>
    </w:p>
    <w:sectPr w:rsidR="1E08C8F8" w:rsidRPr="0077037B">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F06FC8" w14:textId="77777777" w:rsidR="004C49C7" w:rsidRDefault="006655EA">
      <w:pPr>
        <w:spacing w:after="0" w:line="240" w:lineRule="auto"/>
      </w:pPr>
      <w:r>
        <w:separator/>
      </w:r>
    </w:p>
  </w:endnote>
  <w:endnote w:type="continuationSeparator" w:id="0">
    <w:p w14:paraId="33EFAA37" w14:textId="77777777" w:rsidR="004C49C7" w:rsidRDefault="00665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77C7AE9B" w14:paraId="65BBBF32" w14:textId="77777777" w:rsidTr="77C7AE9B">
      <w:tc>
        <w:tcPr>
          <w:tcW w:w="3009" w:type="dxa"/>
        </w:tcPr>
        <w:p w14:paraId="51DE6ACD" w14:textId="588EDE10" w:rsidR="77C7AE9B" w:rsidRDefault="77C7AE9B" w:rsidP="77C7AE9B">
          <w:pPr>
            <w:pStyle w:val="Header"/>
            <w:ind w:left="-115"/>
          </w:pPr>
        </w:p>
      </w:tc>
      <w:tc>
        <w:tcPr>
          <w:tcW w:w="3009" w:type="dxa"/>
        </w:tcPr>
        <w:p w14:paraId="0C7511D1" w14:textId="3669F60E" w:rsidR="77C7AE9B" w:rsidRDefault="77C7AE9B" w:rsidP="77C7AE9B">
          <w:pPr>
            <w:pStyle w:val="Header"/>
            <w:jc w:val="center"/>
          </w:pPr>
        </w:p>
      </w:tc>
      <w:tc>
        <w:tcPr>
          <w:tcW w:w="3009" w:type="dxa"/>
        </w:tcPr>
        <w:p w14:paraId="1816B6CF" w14:textId="125AB387" w:rsidR="77C7AE9B" w:rsidRDefault="77C7AE9B" w:rsidP="77C7AE9B">
          <w:pPr>
            <w:pStyle w:val="Header"/>
            <w:ind w:right="-115"/>
            <w:jc w:val="right"/>
          </w:pPr>
        </w:p>
      </w:tc>
    </w:tr>
  </w:tbl>
  <w:p w14:paraId="10359E17" w14:textId="7C51D8CA" w:rsidR="77C7AE9B" w:rsidRDefault="77C7AE9B" w:rsidP="77C7AE9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CC566F" w14:textId="7385034C" w:rsidR="377A4EB2" w:rsidRDefault="377A4EB2">
      <w:pPr>
        <w:spacing w:after="0" w:line="240" w:lineRule="auto"/>
      </w:pPr>
      <w:r>
        <w:separator/>
      </w:r>
    </w:p>
  </w:footnote>
  <w:footnote w:type="continuationSeparator" w:id="0">
    <w:p w14:paraId="0FCB1E1F" w14:textId="119E799E" w:rsidR="377A4EB2" w:rsidRDefault="377A4EB2">
      <w:pPr>
        <w:spacing w:after="0" w:line="240" w:lineRule="auto"/>
      </w:pPr>
      <w:r>
        <w:continuationSeparator/>
      </w:r>
    </w:p>
  </w:footnote>
  <w:footnote w:id="1">
    <w:p w14:paraId="42E5FC8E" w14:textId="3A390CFE"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Hornblower and Spawforth 2004, p. 779.</w:t>
      </w:r>
    </w:p>
  </w:footnote>
  <w:footnote w:id="2">
    <w:p w14:paraId="68EB7783" w14:textId="078174E9"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Hornblower and Spawforth 2004, p. 410.</w:t>
      </w:r>
    </w:p>
  </w:footnote>
  <w:footnote w:id="3">
    <w:p w14:paraId="6CF1EEFE" w14:textId="5BCD6D5E"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Cartwright 2016.</w:t>
      </w:r>
    </w:p>
  </w:footnote>
  <w:footnote w:id="4">
    <w:p w14:paraId="62627136" w14:textId="2332CBB9"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Cartwright 2016.</w:t>
      </w:r>
    </w:p>
  </w:footnote>
  <w:footnote w:id="5">
    <w:p w14:paraId="57066279" w14:textId="207B80C3"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Luis and Ramon 2006.</w:t>
      </w:r>
    </w:p>
  </w:footnote>
  <w:footnote w:id="6">
    <w:p w14:paraId="6DACAADD" w14:textId="306C5F34"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Cartwright 2016.</w:t>
      </w:r>
    </w:p>
  </w:footnote>
  <w:footnote w:id="7">
    <w:p w14:paraId="04D7FEB4" w14:textId="77FC791A"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Willetts 1967, p. vii.</w:t>
      </w:r>
    </w:p>
  </w:footnote>
  <w:footnote w:id="8">
    <w:p w14:paraId="17E8432D" w14:textId="23423F99"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1E08C8F8" w:rsidRPr="00035D63">
        <w:rPr>
          <w:rFonts w:ascii="Times New Roman" w:hAnsi="Times New Roman" w:cs="Times New Roman"/>
          <w:sz w:val="24"/>
          <w:szCs w:val="24"/>
        </w:rPr>
        <w:t xml:space="preserve"> Hornblower and Spawforth 2004, p. 410.</w:t>
      </w:r>
    </w:p>
  </w:footnote>
  <w:footnote w:id="9">
    <w:p w14:paraId="203054D0" w14:textId="4E079300"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009731D3">
        <w:rPr>
          <w:rFonts w:ascii="Times New Roman" w:hAnsi="Times New Roman" w:cs="Times New Roman"/>
          <w:sz w:val="24"/>
          <w:szCs w:val="24"/>
        </w:rPr>
        <w:t xml:space="preserve"> Blundell 1995; Gould 19</w:t>
      </w:r>
      <w:r w:rsidRPr="00035D63">
        <w:rPr>
          <w:rFonts w:ascii="Times New Roman" w:hAnsi="Times New Roman" w:cs="Times New Roman"/>
          <w:sz w:val="24"/>
          <w:szCs w:val="24"/>
        </w:rPr>
        <w:t>8</w:t>
      </w:r>
      <w:r w:rsidR="009731D3">
        <w:rPr>
          <w:rFonts w:ascii="Times New Roman" w:hAnsi="Times New Roman" w:cs="Times New Roman"/>
          <w:sz w:val="24"/>
          <w:szCs w:val="24"/>
        </w:rPr>
        <w:t>0</w:t>
      </w:r>
      <w:r w:rsidRPr="00035D63">
        <w:rPr>
          <w:rFonts w:ascii="Times New Roman" w:hAnsi="Times New Roman" w:cs="Times New Roman"/>
          <w:sz w:val="24"/>
          <w:szCs w:val="24"/>
        </w:rPr>
        <w:t>; Just 1991.</w:t>
      </w:r>
    </w:p>
  </w:footnote>
  <w:footnote w:id="10">
    <w:p w14:paraId="6E845467" w14:textId="79068322"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Hornblower and Spawforth 2004, p. 396.</w:t>
      </w:r>
    </w:p>
  </w:footnote>
  <w:footnote w:id="11">
    <w:p w14:paraId="37D61C7F" w14:textId="56388CB8"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MacDowell 1978, p. 8.</w:t>
      </w:r>
    </w:p>
  </w:footnote>
  <w:footnote w:id="12">
    <w:p w14:paraId="774B4B40" w14:textId="4F2D86ED"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1E08C8F8" w:rsidRPr="00035D63">
        <w:rPr>
          <w:rFonts w:ascii="Times New Roman" w:hAnsi="Times New Roman" w:cs="Times New Roman"/>
          <w:sz w:val="24"/>
          <w:szCs w:val="24"/>
        </w:rPr>
        <w:t xml:space="preserve"> Hornblower and Spawforth 2004, p. 396.</w:t>
      </w:r>
    </w:p>
  </w:footnote>
  <w:footnote w:id="13">
    <w:p w14:paraId="39EBF525" w14:textId="10F6BD76"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MacDowell 1978, p. 8.</w:t>
      </w:r>
    </w:p>
  </w:footnote>
  <w:footnote w:id="14">
    <w:p w14:paraId="1A9E7EBB" w14:textId="578D4EA0"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Gerhard 2006.</w:t>
      </w:r>
    </w:p>
  </w:footnote>
  <w:footnote w:id="15">
    <w:p w14:paraId="0C3EC698" w14:textId="6EEA1514"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1E08C8F8" w:rsidRPr="00035D63">
        <w:rPr>
          <w:rFonts w:ascii="Times New Roman" w:hAnsi="Times New Roman" w:cs="Times New Roman"/>
          <w:sz w:val="24"/>
          <w:szCs w:val="24"/>
        </w:rPr>
        <w:t xml:space="preserve"> Stalley 1983, p. 1.</w:t>
      </w:r>
    </w:p>
  </w:footnote>
  <w:footnote w:id="16">
    <w:p w14:paraId="0D32823E" w14:textId="007375B9"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w:t>
      </w:r>
      <w:r w:rsidR="00BD2122">
        <w:rPr>
          <w:rFonts w:ascii="Times New Roman" w:hAnsi="Times New Roman" w:cs="Times New Roman"/>
          <w:sz w:val="24"/>
          <w:szCs w:val="24"/>
        </w:rPr>
        <w:t>‘Civilisation’</w:t>
      </w:r>
      <w:r w:rsidRPr="00035D63">
        <w:rPr>
          <w:rFonts w:ascii="Times New Roman" w:hAnsi="Times New Roman" w:cs="Times New Roman"/>
          <w:sz w:val="24"/>
          <w:szCs w:val="24"/>
        </w:rPr>
        <w:t xml:space="preserve"> 2015.</w:t>
      </w:r>
    </w:p>
  </w:footnote>
  <w:footnote w:id="17">
    <w:p w14:paraId="5C896A3C" w14:textId="2B5AF2CA"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Just 1991.</w:t>
      </w:r>
    </w:p>
  </w:footnote>
  <w:footnote w:id="18">
    <w:p w14:paraId="31EF6B6D" w14:textId="7ED67B47"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Just 1991, p. 18.</w:t>
      </w:r>
    </w:p>
  </w:footnote>
  <w:footnote w:id="19">
    <w:p w14:paraId="43BD2CA8" w14:textId="736A8415"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Just 1991, p. 18.</w:t>
      </w:r>
    </w:p>
  </w:footnote>
  <w:footnote w:id="20">
    <w:p w14:paraId="20022A16" w14:textId="2E49F04E"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Just 1991, p. 18.</w:t>
      </w:r>
    </w:p>
  </w:footnote>
  <w:footnote w:id="21">
    <w:p w14:paraId="2A002058" w14:textId="2414867E"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MacDowell 1978, p. 84.</w:t>
      </w:r>
    </w:p>
  </w:footnote>
  <w:footnote w:id="22">
    <w:p w14:paraId="0BD2DAD8" w14:textId="58D5E1FF"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Gagarin 2012, p. 73.</w:t>
      </w:r>
    </w:p>
  </w:footnote>
  <w:footnote w:id="23">
    <w:p w14:paraId="5B788544" w14:textId="05BBA129"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Maffi 1997; 2003.</w:t>
      </w:r>
    </w:p>
  </w:footnote>
  <w:footnote w:id="24">
    <w:p w14:paraId="6B3EF16F" w14:textId="4E4463EA"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Found from Westbrook 2005 ’Law in the Ancient World: Model Syllabus and Sources’</w:t>
      </w:r>
    </w:p>
  </w:footnote>
  <w:footnote w:id="25">
    <w:p w14:paraId="626F2441" w14:textId="60C59F85"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Gagarin 2012, p. 73.</w:t>
      </w:r>
    </w:p>
  </w:footnote>
  <w:footnote w:id="26">
    <w:p w14:paraId="772D2771" w14:textId="40F7B003"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Gagarin 2012, p. 76.</w:t>
      </w:r>
    </w:p>
  </w:footnote>
  <w:footnote w:id="27">
    <w:p w14:paraId="24BC750E" w14:textId="11C6022D"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Economou and Kyriazis 2017, p. 70.</w:t>
      </w:r>
    </w:p>
  </w:footnote>
  <w:footnote w:id="28">
    <w:p w14:paraId="3977BA77" w14:textId="77777777" w:rsidR="005D1BDA" w:rsidRPr="00990FA9" w:rsidRDefault="005D1BDA" w:rsidP="005D1BDA">
      <w:pPr>
        <w:pStyle w:val="FootnoteText"/>
        <w:rPr>
          <w:rFonts w:ascii="Times New Roman" w:hAnsi="Times New Roman" w:cs="Times New Roman"/>
          <w:sz w:val="24"/>
          <w:szCs w:val="24"/>
          <w:lang w:val="en-US"/>
        </w:rPr>
      </w:pPr>
      <w:r>
        <w:rPr>
          <w:rStyle w:val="FootnoteReference"/>
        </w:rPr>
        <w:footnoteRef/>
      </w:r>
      <w:r>
        <w:t xml:space="preserve"> </w:t>
      </w:r>
      <w:r w:rsidRPr="00EF4A12">
        <w:rPr>
          <w:rFonts w:ascii="Times New Roman" w:hAnsi="Times New Roman" w:cs="Times New Roman"/>
          <w:sz w:val="24"/>
          <w:szCs w:val="24"/>
        </w:rPr>
        <w:t>Arist. Ath. Pol. XXXV. 2.</w:t>
      </w:r>
    </w:p>
  </w:footnote>
  <w:footnote w:id="29">
    <w:p w14:paraId="41394C4F" w14:textId="77777777" w:rsidR="005D1BDA" w:rsidRPr="00EF4A12" w:rsidRDefault="005D1BDA" w:rsidP="005D1BDA">
      <w:pPr>
        <w:pStyle w:val="FootnoteText"/>
        <w:rPr>
          <w:lang w:val="en-US"/>
        </w:rPr>
      </w:pPr>
      <w:r>
        <w:rPr>
          <w:rStyle w:val="FootnoteReference"/>
        </w:rPr>
        <w:footnoteRef/>
      </w:r>
      <w:r>
        <w:t xml:space="preserve"> </w:t>
      </w:r>
      <w:r w:rsidRPr="00EF4A12">
        <w:rPr>
          <w:rFonts w:ascii="Times New Roman" w:hAnsi="Times New Roman" w:cs="Times New Roman"/>
          <w:sz w:val="24"/>
          <w:szCs w:val="24"/>
        </w:rPr>
        <w:t>Arist. Ath. Pol. XXXV. 2.</w:t>
      </w:r>
    </w:p>
  </w:footnote>
  <w:footnote w:id="30">
    <w:p w14:paraId="468AF96E" w14:textId="7E50C1EB"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Johnstone 2003, p. 247.</w:t>
      </w:r>
    </w:p>
  </w:footnote>
  <w:footnote w:id="31">
    <w:p w14:paraId="518159A2" w14:textId="3ABE3E89"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Johnstone 2003, p. 247.</w:t>
      </w:r>
    </w:p>
  </w:footnote>
  <w:footnote w:id="32">
    <w:p w14:paraId="55997286" w14:textId="701B7F78"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Schulzki 2006.</w:t>
      </w:r>
    </w:p>
  </w:footnote>
  <w:footnote w:id="33">
    <w:p w14:paraId="195A0E10" w14:textId="1B159C9C"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Johnstone 2003, p. 247.</w:t>
      </w:r>
    </w:p>
  </w:footnote>
  <w:footnote w:id="34">
    <w:p w14:paraId="06EC19EE" w14:textId="37EA3F71"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Cohen 1997; Fleck and Hanssen 2009.</w:t>
      </w:r>
    </w:p>
  </w:footnote>
  <w:footnote w:id="35">
    <w:p w14:paraId="6135DDB4" w14:textId="03030487" w:rsidR="5833BE80" w:rsidRPr="00035D63" w:rsidRDefault="5833BE80" w:rsidP="5833BE80">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Economou and Kyriazis 2017, p. 57.</w:t>
      </w:r>
    </w:p>
  </w:footnote>
  <w:footnote w:id="36">
    <w:p w14:paraId="77F2A6EB" w14:textId="603E35CE"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Foxhall 1989, p. 22.</w:t>
      </w:r>
    </w:p>
  </w:footnote>
  <w:footnote w:id="37">
    <w:p w14:paraId="01C09C37" w14:textId="4676DA4A"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Gagarin 2012, p. 77.</w:t>
      </w:r>
    </w:p>
  </w:footnote>
  <w:footnote w:id="38">
    <w:p w14:paraId="60E8B772" w14:textId="5A99D524"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Gagarin 2012, p. 77.</w:t>
      </w:r>
    </w:p>
  </w:footnote>
  <w:footnote w:id="39">
    <w:p w14:paraId="1D22288A" w14:textId="6A868DA8" w:rsidR="1E08C8F8" w:rsidRPr="00035D63" w:rsidRDefault="1E08C8F8" w:rsidP="1E08C8F8">
      <w:pPr>
        <w:pStyle w:val="FootnoteText"/>
        <w:rPr>
          <w:rFonts w:ascii="Times New Roman" w:hAnsi="Times New Roman" w:cs="Times New Roman"/>
          <w:sz w:val="24"/>
          <w:szCs w:val="24"/>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Gagarin 2012, p. 77.</w:t>
      </w:r>
    </w:p>
  </w:footnote>
  <w:footnote w:id="40">
    <w:p w14:paraId="7A6475AF" w14:textId="19DC2E4A" w:rsidR="00334990" w:rsidRPr="00035D63" w:rsidRDefault="00334990">
      <w:pPr>
        <w:pStyle w:val="FootnoteText"/>
        <w:rPr>
          <w:rFonts w:ascii="Times New Roman" w:hAnsi="Times New Roman" w:cs="Times New Roman"/>
          <w:sz w:val="24"/>
          <w:szCs w:val="24"/>
          <w:lang w:val="en-US"/>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w:t>
      </w:r>
      <w:r w:rsidRPr="00035D63">
        <w:rPr>
          <w:rFonts w:ascii="Times New Roman" w:hAnsi="Times New Roman" w:cs="Times New Roman"/>
          <w:sz w:val="24"/>
          <w:szCs w:val="24"/>
          <w:lang w:val="en-US"/>
        </w:rPr>
        <w:t>Gagarin 2012, p. 78.</w:t>
      </w:r>
    </w:p>
  </w:footnote>
  <w:footnote w:id="41">
    <w:p w14:paraId="1239AFC0" w14:textId="14D5AA76" w:rsidR="008A5055" w:rsidRPr="00035D63" w:rsidRDefault="008A5055">
      <w:pPr>
        <w:pStyle w:val="FootnoteText"/>
        <w:rPr>
          <w:rFonts w:ascii="Times New Roman" w:hAnsi="Times New Roman" w:cs="Times New Roman"/>
          <w:sz w:val="24"/>
          <w:szCs w:val="24"/>
          <w:lang w:val="en-US"/>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w:t>
      </w:r>
      <w:r w:rsidRPr="00035D63">
        <w:rPr>
          <w:rFonts w:ascii="Times New Roman" w:hAnsi="Times New Roman" w:cs="Times New Roman"/>
          <w:sz w:val="24"/>
          <w:szCs w:val="24"/>
          <w:lang w:val="en-US"/>
        </w:rPr>
        <w:t>Gagarin 2012, p. 77.</w:t>
      </w:r>
    </w:p>
  </w:footnote>
  <w:footnote w:id="42">
    <w:p w14:paraId="211A09CA" w14:textId="77777777" w:rsidR="0077037B" w:rsidRPr="00035D63" w:rsidRDefault="0077037B" w:rsidP="0077037B">
      <w:pPr>
        <w:pStyle w:val="FootnoteText"/>
        <w:rPr>
          <w:rFonts w:ascii="Times New Roman" w:hAnsi="Times New Roman" w:cs="Times New Roman"/>
          <w:sz w:val="24"/>
          <w:szCs w:val="24"/>
          <w:lang w:val="en-US"/>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w:t>
      </w:r>
      <w:r w:rsidRPr="00035D63">
        <w:rPr>
          <w:rFonts w:ascii="Times New Roman" w:hAnsi="Times New Roman" w:cs="Times New Roman"/>
          <w:sz w:val="24"/>
          <w:szCs w:val="24"/>
          <w:lang w:val="en-US"/>
        </w:rPr>
        <w:t>Foxhall 1989, p. 32.</w:t>
      </w:r>
    </w:p>
  </w:footnote>
  <w:footnote w:id="43">
    <w:p w14:paraId="7EF65E39" w14:textId="77777777" w:rsidR="0077037B" w:rsidRPr="00035D63" w:rsidRDefault="0077037B" w:rsidP="0077037B">
      <w:pPr>
        <w:pStyle w:val="FootnoteText"/>
        <w:rPr>
          <w:rFonts w:ascii="Times New Roman" w:hAnsi="Times New Roman" w:cs="Times New Roman"/>
          <w:sz w:val="24"/>
          <w:szCs w:val="24"/>
          <w:lang w:val="en-US"/>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w:t>
      </w:r>
      <w:r w:rsidRPr="00035D63">
        <w:rPr>
          <w:rFonts w:ascii="Times New Roman" w:hAnsi="Times New Roman" w:cs="Times New Roman"/>
          <w:sz w:val="24"/>
          <w:szCs w:val="24"/>
          <w:lang w:val="en-US"/>
        </w:rPr>
        <w:t>Foxhall 1989, p. 33.</w:t>
      </w:r>
    </w:p>
  </w:footnote>
  <w:footnote w:id="44">
    <w:p w14:paraId="4C89BAB9" w14:textId="77777777" w:rsidR="0077037B" w:rsidRPr="00035D63" w:rsidRDefault="0077037B" w:rsidP="0077037B">
      <w:pPr>
        <w:pStyle w:val="FootnoteText"/>
        <w:rPr>
          <w:rFonts w:ascii="Times New Roman" w:hAnsi="Times New Roman" w:cs="Times New Roman"/>
          <w:sz w:val="24"/>
          <w:szCs w:val="24"/>
          <w:lang w:val="en-US"/>
        </w:rPr>
      </w:pPr>
      <w:r w:rsidRPr="00035D63">
        <w:rPr>
          <w:rStyle w:val="FootnoteReference"/>
          <w:rFonts w:ascii="Times New Roman" w:hAnsi="Times New Roman" w:cs="Times New Roman"/>
          <w:sz w:val="24"/>
          <w:szCs w:val="24"/>
        </w:rPr>
        <w:footnoteRef/>
      </w:r>
      <w:r w:rsidRPr="00035D63">
        <w:rPr>
          <w:rFonts w:ascii="Times New Roman" w:hAnsi="Times New Roman" w:cs="Times New Roman"/>
          <w:sz w:val="24"/>
          <w:szCs w:val="24"/>
        </w:rPr>
        <w:t xml:space="preserve"> </w:t>
      </w:r>
      <w:r w:rsidRPr="00035D63">
        <w:rPr>
          <w:rFonts w:ascii="Times New Roman" w:hAnsi="Times New Roman" w:cs="Times New Roman"/>
          <w:sz w:val="24"/>
          <w:szCs w:val="24"/>
          <w:lang w:val="en-US"/>
        </w:rPr>
        <w:t>Foxhall 1989, p. 34.</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77C7AE9B" w14:paraId="03238E08" w14:textId="77777777" w:rsidTr="77C7AE9B">
      <w:tc>
        <w:tcPr>
          <w:tcW w:w="3009" w:type="dxa"/>
        </w:tcPr>
        <w:p w14:paraId="147F2CB9" w14:textId="430BE6A9" w:rsidR="77C7AE9B" w:rsidRDefault="77C7AE9B" w:rsidP="77C7AE9B">
          <w:pPr>
            <w:pStyle w:val="Header"/>
            <w:ind w:left="-115"/>
          </w:pPr>
        </w:p>
      </w:tc>
      <w:tc>
        <w:tcPr>
          <w:tcW w:w="3009" w:type="dxa"/>
        </w:tcPr>
        <w:p w14:paraId="34AEC885" w14:textId="16746730" w:rsidR="77C7AE9B" w:rsidRDefault="77C7AE9B" w:rsidP="77C7AE9B">
          <w:pPr>
            <w:pStyle w:val="Header"/>
            <w:jc w:val="center"/>
          </w:pPr>
        </w:p>
      </w:tc>
      <w:tc>
        <w:tcPr>
          <w:tcW w:w="3009" w:type="dxa"/>
        </w:tcPr>
        <w:p w14:paraId="43A77313" w14:textId="22B7C07B" w:rsidR="77C7AE9B" w:rsidRDefault="77C7AE9B" w:rsidP="77C7AE9B">
          <w:pPr>
            <w:pStyle w:val="Header"/>
            <w:ind w:right="-115"/>
            <w:jc w:val="right"/>
          </w:pPr>
        </w:p>
      </w:tc>
    </w:tr>
  </w:tbl>
  <w:p w14:paraId="4AF7D715" w14:textId="190A6162" w:rsidR="77C7AE9B" w:rsidRDefault="77C7AE9B" w:rsidP="77C7AE9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2C4ECB"/>
    <w:multiLevelType w:val="hybridMultilevel"/>
    <w:tmpl w:val="0E60CD02"/>
    <w:lvl w:ilvl="0" w:tplc="56D0FCE0">
      <w:start w:val="1"/>
      <w:numFmt w:val="bullet"/>
      <w:lvlText w:val=""/>
      <w:lvlJc w:val="left"/>
      <w:pPr>
        <w:ind w:left="720" w:hanging="360"/>
      </w:pPr>
      <w:rPr>
        <w:rFonts w:ascii="Symbol" w:hAnsi="Symbol" w:hint="default"/>
      </w:rPr>
    </w:lvl>
    <w:lvl w:ilvl="1" w:tplc="A5E83AA8">
      <w:start w:val="1"/>
      <w:numFmt w:val="bullet"/>
      <w:lvlText w:val="o"/>
      <w:lvlJc w:val="left"/>
      <w:pPr>
        <w:ind w:left="1440" w:hanging="360"/>
      </w:pPr>
      <w:rPr>
        <w:rFonts w:ascii="Courier New" w:hAnsi="Courier New" w:hint="default"/>
      </w:rPr>
    </w:lvl>
    <w:lvl w:ilvl="2" w:tplc="C9C2D67C">
      <w:start w:val="1"/>
      <w:numFmt w:val="bullet"/>
      <w:lvlText w:val=""/>
      <w:lvlJc w:val="left"/>
      <w:pPr>
        <w:ind w:left="2160" w:hanging="360"/>
      </w:pPr>
      <w:rPr>
        <w:rFonts w:ascii="Wingdings" w:hAnsi="Wingdings" w:hint="default"/>
      </w:rPr>
    </w:lvl>
    <w:lvl w:ilvl="3" w:tplc="D03E6A80">
      <w:start w:val="1"/>
      <w:numFmt w:val="bullet"/>
      <w:lvlText w:val=""/>
      <w:lvlJc w:val="left"/>
      <w:pPr>
        <w:ind w:left="2880" w:hanging="360"/>
      </w:pPr>
      <w:rPr>
        <w:rFonts w:ascii="Symbol" w:hAnsi="Symbol" w:hint="default"/>
      </w:rPr>
    </w:lvl>
    <w:lvl w:ilvl="4" w:tplc="3F88B4FA">
      <w:start w:val="1"/>
      <w:numFmt w:val="bullet"/>
      <w:lvlText w:val="o"/>
      <w:lvlJc w:val="left"/>
      <w:pPr>
        <w:ind w:left="3600" w:hanging="360"/>
      </w:pPr>
      <w:rPr>
        <w:rFonts w:ascii="Courier New" w:hAnsi="Courier New" w:hint="default"/>
      </w:rPr>
    </w:lvl>
    <w:lvl w:ilvl="5" w:tplc="5756D552">
      <w:start w:val="1"/>
      <w:numFmt w:val="bullet"/>
      <w:lvlText w:val=""/>
      <w:lvlJc w:val="left"/>
      <w:pPr>
        <w:ind w:left="4320" w:hanging="360"/>
      </w:pPr>
      <w:rPr>
        <w:rFonts w:ascii="Wingdings" w:hAnsi="Wingdings" w:hint="default"/>
      </w:rPr>
    </w:lvl>
    <w:lvl w:ilvl="6" w:tplc="221E1FD2">
      <w:start w:val="1"/>
      <w:numFmt w:val="bullet"/>
      <w:lvlText w:val=""/>
      <w:lvlJc w:val="left"/>
      <w:pPr>
        <w:ind w:left="5040" w:hanging="360"/>
      </w:pPr>
      <w:rPr>
        <w:rFonts w:ascii="Symbol" w:hAnsi="Symbol" w:hint="default"/>
      </w:rPr>
    </w:lvl>
    <w:lvl w:ilvl="7" w:tplc="3FFC2B6E">
      <w:start w:val="1"/>
      <w:numFmt w:val="bullet"/>
      <w:lvlText w:val="o"/>
      <w:lvlJc w:val="left"/>
      <w:pPr>
        <w:ind w:left="5760" w:hanging="360"/>
      </w:pPr>
      <w:rPr>
        <w:rFonts w:ascii="Courier New" w:hAnsi="Courier New" w:hint="default"/>
      </w:rPr>
    </w:lvl>
    <w:lvl w:ilvl="8" w:tplc="609CDC84">
      <w:start w:val="1"/>
      <w:numFmt w:val="bullet"/>
      <w:lvlText w:val=""/>
      <w:lvlJc w:val="left"/>
      <w:pPr>
        <w:ind w:left="6480" w:hanging="360"/>
      </w:pPr>
      <w:rPr>
        <w:rFonts w:ascii="Wingdings" w:hAnsi="Wingdings" w:hint="default"/>
      </w:rPr>
    </w:lvl>
  </w:abstractNum>
  <w:abstractNum w:abstractNumId="1">
    <w:nsid w:val="41010A01"/>
    <w:multiLevelType w:val="hybridMultilevel"/>
    <w:tmpl w:val="EEBC2B82"/>
    <w:lvl w:ilvl="0" w:tplc="88A6B4B6">
      <w:start w:val="1"/>
      <w:numFmt w:val="bullet"/>
      <w:lvlText w:val=""/>
      <w:lvlJc w:val="left"/>
      <w:pPr>
        <w:ind w:left="720" w:hanging="360"/>
      </w:pPr>
      <w:rPr>
        <w:rFonts w:ascii="Symbol" w:hAnsi="Symbol" w:hint="default"/>
      </w:rPr>
    </w:lvl>
    <w:lvl w:ilvl="1" w:tplc="61F0B158">
      <w:start w:val="1"/>
      <w:numFmt w:val="bullet"/>
      <w:lvlText w:val="o"/>
      <w:lvlJc w:val="left"/>
      <w:pPr>
        <w:ind w:left="1440" w:hanging="360"/>
      </w:pPr>
      <w:rPr>
        <w:rFonts w:ascii="Courier New" w:hAnsi="Courier New" w:hint="default"/>
      </w:rPr>
    </w:lvl>
    <w:lvl w:ilvl="2" w:tplc="19BA644A">
      <w:start w:val="1"/>
      <w:numFmt w:val="bullet"/>
      <w:lvlText w:val=""/>
      <w:lvlJc w:val="left"/>
      <w:pPr>
        <w:ind w:left="2160" w:hanging="360"/>
      </w:pPr>
      <w:rPr>
        <w:rFonts w:ascii="Wingdings" w:hAnsi="Wingdings" w:hint="default"/>
      </w:rPr>
    </w:lvl>
    <w:lvl w:ilvl="3" w:tplc="FFF86D7E">
      <w:start w:val="1"/>
      <w:numFmt w:val="bullet"/>
      <w:lvlText w:val=""/>
      <w:lvlJc w:val="left"/>
      <w:pPr>
        <w:ind w:left="2880" w:hanging="360"/>
      </w:pPr>
      <w:rPr>
        <w:rFonts w:ascii="Symbol" w:hAnsi="Symbol" w:hint="default"/>
      </w:rPr>
    </w:lvl>
    <w:lvl w:ilvl="4" w:tplc="EFD2DBE0">
      <w:start w:val="1"/>
      <w:numFmt w:val="bullet"/>
      <w:lvlText w:val="o"/>
      <w:lvlJc w:val="left"/>
      <w:pPr>
        <w:ind w:left="3600" w:hanging="360"/>
      </w:pPr>
      <w:rPr>
        <w:rFonts w:ascii="Courier New" w:hAnsi="Courier New" w:hint="default"/>
      </w:rPr>
    </w:lvl>
    <w:lvl w:ilvl="5" w:tplc="B510DA2C">
      <w:start w:val="1"/>
      <w:numFmt w:val="bullet"/>
      <w:lvlText w:val=""/>
      <w:lvlJc w:val="left"/>
      <w:pPr>
        <w:ind w:left="4320" w:hanging="360"/>
      </w:pPr>
      <w:rPr>
        <w:rFonts w:ascii="Wingdings" w:hAnsi="Wingdings" w:hint="default"/>
      </w:rPr>
    </w:lvl>
    <w:lvl w:ilvl="6" w:tplc="8034C208">
      <w:start w:val="1"/>
      <w:numFmt w:val="bullet"/>
      <w:lvlText w:val=""/>
      <w:lvlJc w:val="left"/>
      <w:pPr>
        <w:ind w:left="5040" w:hanging="360"/>
      </w:pPr>
      <w:rPr>
        <w:rFonts w:ascii="Symbol" w:hAnsi="Symbol" w:hint="default"/>
      </w:rPr>
    </w:lvl>
    <w:lvl w:ilvl="7" w:tplc="3D62685C">
      <w:start w:val="1"/>
      <w:numFmt w:val="bullet"/>
      <w:lvlText w:val="o"/>
      <w:lvlJc w:val="left"/>
      <w:pPr>
        <w:ind w:left="5760" w:hanging="360"/>
      </w:pPr>
      <w:rPr>
        <w:rFonts w:ascii="Courier New" w:hAnsi="Courier New" w:hint="default"/>
      </w:rPr>
    </w:lvl>
    <w:lvl w:ilvl="8" w:tplc="3378FEAC">
      <w:start w:val="1"/>
      <w:numFmt w:val="bullet"/>
      <w:lvlText w:val=""/>
      <w:lvlJc w:val="left"/>
      <w:pPr>
        <w:ind w:left="6480" w:hanging="360"/>
      </w:pPr>
      <w:rPr>
        <w:rFonts w:ascii="Wingdings" w:hAnsi="Wingdings" w:hint="default"/>
      </w:rPr>
    </w:lvl>
  </w:abstractNum>
  <w:abstractNum w:abstractNumId="2">
    <w:nsid w:val="67BA26FA"/>
    <w:multiLevelType w:val="hybridMultilevel"/>
    <w:tmpl w:val="02FAB18A"/>
    <w:lvl w:ilvl="0" w:tplc="88F6C122">
      <w:start w:val="1"/>
      <w:numFmt w:val="bullet"/>
      <w:lvlText w:val=""/>
      <w:lvlJc w:val="left"/>
      <w:pPr>
        <w:ind w:left="720" w:hanging="360"/>
      </w:pPr>
      <w:rPr>
        <w:rFonts w:ascii="Symbol" w:hAnsi="Symbol" w:hint="default"/>
      </w:rPr>
    </w:lvl>
    <w:lvl w:ilvl="1" w:tplc="A6105A9E">
      <w:start w:val="1"/>
      <w:numFmt w:val="bullet"/>
      <w:lvlText w:val="o"/>
      <w:lvlJc w:val="left"/>
      <w:pPr>
        <w:ind w:left="1440" w:hanging="360"/>
      </w:pPr>
      <w:rPr>
        <w:rFonts w:ascii="Courier New" w:hAnsi="Courier New" w:hint="default"/>
      </w:rPr>
    </w:lvl>
    <w:lvl w:ilvl="2" w:tplc="C82E070A">
      <w:start w:val="1"/>
      <w:numFmt w:val="bullet"/>
      <w:lvlText w:val=""/>
      <w:lvlJc w:val="left"/>
      <w:pPr>
        <w:ind w:left="2160" w:hanging="360"/>
      </w:pPr>
      <w:rPr>
        <w:rFonts w:ascii="Wingdings" w:hAnsi="Wingdings" w:hint="default"/>
      </w:rPr>
    </w:lvl>
    <w:lvl w:ilvl="3" w:tplc="577A34F8">
      <w:start w:val="1"/>
      <w:numFmt w:val="bullet"/>
      <w:lvlText w:val=""/>
      <w:lvlJc w:val="left"/>
      <w:pPr>
        <w:ind w:left="2880" w:hanging="360"/>
      </w:pPr>
      <w:rPr>
        <w:rFonts w:ascii="Symbol" w:hAnsi="Symbol" w:hint="default"/>
      </w:rPr>
    </w:lvl>
    <w:lvl w:ilvl="4" w:tplc="9A2C0886">
      <w:start w:val="1"/>
      <w:numFmt w:val="bullet"/>
      <w:lvlText w:val="o"/>
      <w:lvlJc w:val="left"/>
      <w:pPr>
        <w:ind w:left="3600" w:hanging="360"/>
      </w:pPr>
      <w:rPr>
        <w:rFonts w:ascii="Courier New" w:hAnsi="Courier New" w:hint="default"/>
      </w:rPr>
    </w:lvl>
    <w:lvl w:ilvl="5" w:tplc="6504C7D6">
      <w:start w:val="1"/>
      <w:numFmt w:val="bullet"/>
      <w:lvlText w:val=""/>
      <w:lvlJc w:val="left"/>
      <w:pPr>
        <w:ind w:left="4320" w:hanging="360"/>
      </w:pPr>
      <w:rPr>
        <w:rFonts w:ascii="Wingdings" w:hAnsi="Wingdings" w:hint="default"/>
      </w:rPr>
    </w:lvl>
    <w:lvl w:ilvl="6" w:tplc="D4C4215E">
      <w:start w:val="1"/>
      <w:numFmt w:val="bullet"/>
      <w:lvlText w:val=""/>
      <w:lvlJc w:val="left"/>
      <w:pPr>
        <w:ind w:left="5040" w:hanging="360"/>
      </w:pPr>
      <w:rPr>
        <w:rFonts w:ascii="Symbol" w:hAnsi="Symbol" w:hint="default"/>
      </w:rPr>
    </w:lvl>
    <w:lvl w:ilvl="7" w:tplc="64600EFA">
      <w:start w:val="1"/>
      <w:numFmt w:val="bullet"/>
      <w:lvlText w:val="o"/>
      <w:lvlJc w:val="left"/>
      <w:pPr>
        <w:ind w:left="5760" w:hanging="360"/>
      </w:pPr>
      <w:rPr>
        <w:rFonts w:ascii="Courier New" w:hAnsi="Courier New" w:hint="default"/>
      </w:rPr>
    </w:lvl>
    <w:lvl w:ilvl="8" w:tplc="F80681E4">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428F6D"/>
    <w:rsid w:val="00014721"/>
    <w:rsid w:val="00035D63"/>
    <w:rsid w:val="00043C91"/>
    <w:rsid w:val="000B514D"/>
    <w:rsid w:val="000F6CD3"/>
    <w:rsid w:val="001509C7"/>
    <w:rsid w:val="001D0F25"/>
    <w:rsid w:val="002654A6"/>
    <w:rsid w:val="002C2823"/>
    <w:rsid w:val="002D77DD"/>
    <w:rsid w:val="002E7D10"/>
    <w:rsid w:val="00333B02"/>
    <w:rsid w:val="00334990"/>
    <w:rsid w:val="003462F3"/>
    <w:rsid w:val="00357C15"/>
    <w:rsid w:val="0041388A"/>
    <w:rsid w:val="004C49C7"/>
    <w:rsid w:val="00552420"/>
    <w:rsid w:val="005A172F"/>
    <w:rsid w:val="005B50BF"/>
    <w:rsid w:val="005D1BDA"/>
    <w:rsid w:val="005D7D5B"/>
    <w:rsid w:val="00630220"/>
    <w:rsid w:val="00644B30"/>
    <w:rsid w:val="006655EA"/>
    <w:rsid w:val="006F4C72"/>
    <w:rsid w:val="00763C10"/>
    <w:rsid w:val="0077037B"/>
    <w:rsid w:val="007C7001"/>
    <w:rsid w:val="007F5820"/>
    <w:rsid w:val="008601DA"/>
    <w:rsid w:val="008A5055"/>
    <w:rsid w:val="008F27CC"/>
    <w:rsid w:val="0091264A"/>
    <w:rsid w:val="009375BE"/>
    <w:rsid w:val="00970E0E"/>
    <w:rsid w:val="009731D3"/>
    <w:rsid w:val="00980DB8"/>
    <w:rsid w:val="0098590B"/>
    <w:rsid w:val="00990FA9"/>
    <w:rsid w:val="009977F3"/>
    <w:rsid w:val="00A15263"/>
    <w:rsid w:val="00A76BA9"/>
    <w:rsid w:val="00AA1F07"/>
    <w:rsid w:val="00AD7979"/>
    <w:rsid w:val="00BA1276"/>
    <w:rsid w:val="00BD2122"/>
    <w:rsid w:val="00BF39F7"/>
    <w:rsid w:val="00C02B2A"/>
    <w:rsid w:val="00C07409"/>
    <w:rsid w:val="00C36496"/>
    <w:rsid w:val="00C439B7"/>
    <w:rsid w:val="00CE3D38"/>
    <w:rsid w:val="00D61FC4"/>
    <w:rsid w:val="00DE4556"/>
    <w:rsid w:val="00E27A01"/>
    <w:rsid w:val="00E30AA1"/>
    <w:rsid w:val="00E74AFD"/>
    <w:rsid w:val="00E8675F"/>
    <w:rsid w:val="00EF4A12"/>
    <w:rsid w:val="011A3C8C"/>
    <w:rsid w:val="011AEF15"/>
    <w:rsid w:val="0127FB68"/>
    <w:rsid w:val="01EADAC8"/>
    <w:rsid w:val="02195D6D"/>
    <w:rsid w:val="02213399"/>
    <w:rsid w:val="02276BC5"/>
    <w:rsid w:val="02319680"/>
    <w:rsid w:val="02384435"/>
    <w:rsid w:val="025A1808"/>
    <w:rsid w:val="02793D91"/>
    <w:rsid w:val="0282EC9C"/>
    <w:rsid w:val="031A2EFD"/>
    <w:rsid w:val="032EB34D"/>
    <w:rsid w:val="033EA73E"/>
    <w:rsid w:val="040222FA"/>
    <w:rsid w:val="040F0230"/>
    <w:rsid w:val="042A1D58"/>
    <w:rsid w:val="04469B3A"/>
    <w:rsid w:val="0467941B"/>
    <w:rsid w:val="05108915"/>
    <w:rsid w:val="05240728"/>
    <w:rsid w:val="054DB006"/>
    <w:rsid w:val="055313E1"/>
    <w:rsid w:val="0562C01B"/>
    <w:rsid w:val="056AF761"/>
    <w:rsid w:val="0587E320"/>
    <w:rsid w:val="05E9F17D"/>
    <w:rsid w:val="05FD904C"/>
    <w:rsid w:val="0608D4EC"/>
    <w:rsid w:val="060E1881"/>
    <w:rsid w:val="06106449"/>
    <w:rsid w:val="061F3DCA"/>
    <w:rsid w:val="064CC10A"/>
    <w:rsid w:val="067FE072"/>
    <w:rsid w:val="068E9FA1"/>
    <w:rsid w:val="06D84DE4"/>
    <w:rsid w:val="07133E8E"/>
    <w:rsid w:val="0735BAFE"/>
    <w:rsid w:val="0741EB9A"/>
    <w:rsid w:val="077558EE"/>
    <w:rsid w:val="07BBE309"/>
    <w:rsid w:val="07BDCE09"/>
    <w:rsid w:val="07D570E5"/>
    <w:rsid w:val="07D95F85"/>
    <w:rsid w:val="07EE4217"/>
    <w:rsid w:val="082CF340"/>
    <w:rsid w:val="0834E4F7"/>
    <w:rsid w:val="083D4109"/>
    <w:rsid w:val="083E8DBF"/>
    <w:rsid w:val="085AF2EC"/>
    <w:rsid w:val="086BB4CC"/>
    <w:rsid w:val="08ADB5D5"/>
    <w:rsid w:val="08DF6EAA"/>
    <w:rsid w:val="094003EF"/>
    <w:rsid w:val="094100A6"/>
    <w:rsid w:val="095FEC27"/>
    <w:rsid w:val="099A5C24"/>
    <w:rsid w:val="09BAEF39"/>
    <w:rsid w:val="09C478FC"/>
    <w:rsid w:val="09E4E28A"/>
    <w:rsid w:val="0A01DBAC"/>
    <w:rsid w:val="0A105264"/>
    <w:rsid w:val="0A3BCF55"/>
    <w:rsid w:val="0A8264A6"/>
    <w:rsid w:val="0AA09260"/>
    <w:rsid w:val="0ABA3EB0"/>
    <w:rsid w:val="0ACF3A77"/>
    <w:rsid w:val="0ADAE615"/>
    <w:rsid w:val="0B2AC298"/>
    <w:rsid w:val="0B4F22C4"/>
    <w:rsid w:val="0B9F0A4B"/>
    <w:rsid w:val="0BE83AAC"/>
    <w:rsid w:val="0C0E2946"/>
    <w:rsid w:val="0C11CFC3"/>
    <w:rsid w:val="0C2E0222"/>
    <w:rsid w:val="0C4F553E"/>
    <w:rsid w:val="0C62E664"/>
    <w:rsid w:val="0C683F08"/>
    <w:rsid w:val="0CAE35F0"/>
    <w:rsid w:val="0CAF56EF"/>
    <w:rsid w:val="0CB0C3F9"/>
    <w:rsid w:val="0CB8343C"/>
    <w:rsid w:val="0CD6CC88"/>
    <w:rsid w:val="0CFCA15D"/>
    <w:rsid w:val="0CFF12DE"/>
    <w:rsid w:val="0D21C32D"/>
    <w:rsid w:val="0D26D942"/>
    <w:rsid w:val="0D2E3885"/>
    <w:rsid w:val="0D4B0BB6"/>
    <w:rsid w:val="0D8CF7F3"/>
    <w:rsid w:val="0DB7031A"/>
    <w:rsid w:val="0DDA4936"/>
    <w:rsid w:val="0DE69B32"/>
    <w:rsid w:val="0E681756"/>
    <w:rsid w:val="0E8D0B64"/>
    <w:rsid w:val="0EA103C7"/>
    <w:rsid w:val="0EAE8F08"/>
    <w:rsid w:val="0EBD52B2"/>
    <w:rsid w:val="0F03CCBC"/>
    <w:rsid w:val="0F0C8261"/>
    <w:rsid w:val="0F393ABC"/>
    <w:rsid w:val="0F428F6D"/>
    <w:rsid w:val="0FBB21DB"/>
    <w:rsid w:val="0FE14AF8"/>
    <w:rsid w:val="0FE3E761"/>
    <w:rsid w:val="0FF4469C"/>
    <w:rsid w:val="1004C59E"/>
    <w:rsid w:val="10101A19"/>
    <w:rsid w:val="104B9358"/>
    <w:rsid w:val="10584747"/>
    <w:rsid w:val="105FD765"/>
    <w:rsid w:val="10624A7C"/>
    <w:rsid w:val="107BB4B3"/>
    <w:rsid w:val="1090B1CD"/>
    <w:rsid w:val="1095C1FB"/>
    <w:rsid w:val="10E58C6A"/>
    <w:rsid w:val="115DE2A8"/>
    <w:rsid w:val="1173AF18"/>
    <w:rsid w:val="11957DBA"/>
    <w:rsid w:val="119A178C"/>
    <w:rsid w:val="11A2DD71"/>
    <w:rsid w:val="11CD1184"/>
    <w:rsid w:val="11D91AFE"/>
    <w:rsid w:val="11EECC85"/>
    <w:rsid w:val="11FB8703"/>
    <w:rsid w:val="120CB42F"/>
    <w:rsid w:val="12275ADC"/>
    <w:rsid w:val="124B42B0"/>
    <w:rsid w:val="127EAF42"/>
    <w:rsid w:val="12940A73"/>
    <w:rsid w:val="12A08316"/>
    <w:rsid w:val="1320FABA"/>
    <w:rsid w:val="1338F2D1"/>
    <w:rsid w:val="137134BF"/>
    <w:rsid w:val="138CD5F7"/>
    <w:rsid w:val="139266B7"/>
    <w:rsid w:val="139412C2"/>
    <w:rsid w:val="1398027C"/>
    <w:rsid w:val="13B32612"/>
    <w:rsid w:val="140A692A"/>
    <w:rsid w:val="14114D7F"/>
    <w:rsid w:val="141F9763"/>
    <w:rsid w:val="1423DECE"/>
    <w:rsid w:val="143A631B"/>
    <w:rsid w:val="144F80AC"/>
    <w:rsid w:val="145D50F4"/>
    <w:rsid w:val="146C8EED"/>
    <w:rsid w:val="149C0924"/>
    <w:rsid w:val="1516441B"/>
    <w:rsid w:val="157C2706"/>
    <w:rsid w:val="15925486"/>
    <w:rsid w:val="15CEEA50"/>
    <w:rsid w:val="16547FF5"/>
    <w:rsid w:val="16788150"/>
    <w:rsid w:val="16799767"/>
    <w:rsid w:val="16C27F9E"/>
    <w:rsid w:val="1708202A"/>
    <w:rsid w:val="173D8C8F"/>
    <w:rsid w:val="177F68A7"/>
    <w:rsid w:val="178BD78C"/>
    <w:rsid w:val="17C3BA3C"/>
    <w:rsid w:val="17E835D8"/>
    <w:rsid w:val="17F79F4C"/>
    <w:rsid w:val="18067828"/>
    <w:rsid w:val="180B974B"/>
    <w:rsid w:val="18610117"/>
    <w:rsid w:val="186D70A7"/>
    <w:rsid w:val="1880122E"/>
    <w:rsid w:val="18844F80"/>
    <w:rsid w:val="18AA4ED4"/>
    <w:rsid w:val="18ACE75F"/>
    <w:rsid w:val="18FB4488"/>
    <w:rsid w:val="190D4BAA"/>
    <w:rsid w:val="1914754E"/>
    <w:rsid w:val="19179D9E"/>
    <w:rsid w:val="19421BFD"/>
    <w:rsid w:val="194E715F"/>
    <w:rsid w:val="1987B7D8"/>
    <w:rsid w:val="198DA6D2"/>
    <w:rsid w:val="1998DCC6"/>
    <w:rsid w:val="19A61AFB"/>
    <w:rsid w:val="19BB335A"/>
    <w:rsid w:val="19D1C9E8"/>
    <w:rsid w:val="19D9701F"/>
    <w:rsid w:val="19E87E5D"/>
    <w:rsid w:val="19F85FDF"/>
    <w:rsid w:val="19FA4507"/>
    <w:rsid w:val="1A20A97E"/>
    <w:rsid w:val="1A2EE07A"/>
    <w:rsid w:val="1A6B2429"/>
    <w:rsid w:val="1A8A4302"/>
    <w:rsid w:val="1A8A94AB"/>
    <w:rsid w:val="1AC56F0A"/>
    <w:rsid w:val="1AFA759A"/>
    <w:rsid w:val="1B142AA8"/>
    <w:rsid w:val="1B1CDB01"/>
    <w:rsid w:val="1B33A5F1"/>
    <w:rsid w:val="1B48428E"/>
    <w:rsid w:val="1B7B355A"/>
    <w:rsid w:val="1B833237"/>
    <w:rsid w:val="1BBF51F2"/>
    <w:rsid w:val="1BC7E96E"/>
    <w:rsid w:val="1C54FECE"/>
    <w:rsid w:val="1C5875E3"/>
    <w:rsid w:val="1C8E5C3E"/>
    <w:rsid w:val="1CCADBDD"/>
    <w:rsid w:val="1D083E62"/>
    <w:rsid w:val="1D61A6E8"/>
    <w:rsid w:val="1DB7F12B"/>
    <w:rsid w:val="1DCAB470"/>
    <w:rsid w:val="1DDD3730"/>
    <w:rsid w:val="1E08C8F8"/>
    <w:rsid w:val="1E1B4F09"/>
    <w:rsid w:val="1E4C9FAC"/>
    <w:rsid w:val="1E9FD5EE"/>
    <w:rsid w:val="1EA7B00C"/>
    <w:rsid w:val="1EB1BC57"/>
    <w:rsid w:val="1EBF89C1"/>
    <w:rsid w:val="1EC29399"/>
    <w:rsid w:val="1F2E250E"/>
    <w:rsid w:val="1F2FEA2E"/>
    <w:rsid w:val="1F7C8614"/>
    <w:rsid w:val="1FA82D68"/>
    <w:rsid w:val="1FC81360"/>
    <w:rsid w:val="202946A7"/>
    <w:rsid w:val="2050B445"/>
    <w:rsid w:val="206D6670"/>
    <w:rsid w:val="2075D47A"/>
    <w:rsid w:val="20AC9DA2"/>
    <w:rsid w:val="20B3DDDE"/>
    <w:rsid w:val="20C7E62D"/>
    <w:rsid w:val="20D98AC1"/>
    <w:rsid w:val="20E2395B"/>
    <w:rsid w:val="20E705D2"/>
    <w:rsid w:val="2100598A"/>
    <w:rsid w:val="21079AE9"/>
    <w:rsid w:val="212ABE64"/>
    <w:rsid w:val="21323562"/>
    <w:rsid w:val="21628463"/>
    <w:rsid w:val="216B70BD"/>
    <w:rsid w:val="218DA307"/>
    <w:rsid w:val="21D5EA13"/>
    <w:rsid w:val="21F77892"/>
    <w:rsid w:val="21F89F26"/>
    <w:rsid w:val="22095B9D"/>
    <w:rsid w:val="220A3D74"/>
    <w:rsid w:val="221A71E3"/>
    <w:rsid w:val="222B11C7"/>
    <w:rsid w:val="2240F6DB"/>
    <w:rsid w:val="22961FE3"/>
    <w:rsid w:val="22B729F0"/>
    <w:rsid w:val="22D135DE"/>
    <w:rsid w:val="2361869A"/>
    <w:rsid w:val="23905E38"/>
    <w:rsid w:val="23FEF0A2"/>
    <w:rsid w:val="24039B85"/>
    <w:rsid w:val="240F7F0F"/>
    <w:rsid w:val="241EA5F5"/>
    <w:rsid w:val="24887D68"/>
    <w:rsid w:val="24914F93"/>
    <w:rsid w:val="249C8E50"/>
    <w:rsid w:val="24B1A834"/>
    <w:rsid w:val="24FB61D2"/>
    <w:rsid w:val="256675EB"/>
    <w:rsid w:val="25686D09"/>
    <w:rsid w:val="25BFB02F"/>
    <w:rsid w:val="2604272D"/>
    <w:rsid w:val="261917DA"/>
    <w:rsid w:val="2627A1BD"/>
    <w:rsid w:val="2653AE3B"/>
    <w:rsid w:val="2655BC74"/>
    <w:rsid w:val="2662C804"/>
    <w:rsid w:val="268EADD0"/>
    <w:rsid w:val="26958137"/>
    <w:rsid w:val="269765B9"/>
    <w:rsid w:val="26A5F69F"/>
    <w:rsid w:val="26A657C6"/>
    <w:rsid w:val="26E419C9"/>
    <w:rsid w:val="26EADA5B"/>
    <w:rsid w:val="272798B5"/>
    <w:rsid w:val="273D5DCD"/>
    <w:rsid w:val="275B4641"/>
    <w:rsid w:val="278970DF"/>
    <w:rsid w:val="278DB965"/>
    <w:rsid w:val="27B0B09A"/>
    <w:rsid w:val="27F089C1"/>
    <w:rsid w:val="280C4FE4"/>
    <w:rsid w:val="2815367B"/>
    <w:rsid w:val="282F236A"/>
    <w:rsid w:val="2832C785"/>
    <w:rsid w:val="286040CC"/>
    <w:rsid w:val="28791B1A"/>
    <w:rsid w:val="288756B7"/>
    <w:rsid w:val="2895209D"/>
    <w:rsid w:val="28972191"/>
    <w:rsid w:val="28994914"/>
    <w:rsid w:val="28C9B920"/>
    <w:rsid w:val="28E3C193"/>
    <w:rsid w:val="28E5C47C"/>
    <w:rsid w:val="28ED6C73"/>
    <w:rsid w:val="28F812AC"/>
    <w:rsid w:val="2909E9B7"/>
    <w:rsid w:val="29178BE7"/>
    <w:rsid w:val="291D92D1"/>
    <w:rsid w:val="2966FDB7"/>
    <w:rsid w:val="29699458"/>
    <w:rsid w:val="29C02F3E"/>
    <w:rsid w:val="29D73674"/>
    <w:rsid w:val="2A206E62"/>
    <w:rsid w:val="2A227EA3"/>
    <w:rsid w:val="2A24F01E"/>
    <w:rsid w:val="2A28A63F"/>
    <w:rsid w:val="2A3EB034"/>
    <w:rsid w:val="2A85CD1C"/>
    <w:rsid w:val="2A97AE5A"/>
    <w:rsid w:val="2AF60A92"/>
    <w:rsid w:val="2B37BD6B"/>
    <w:rsid w:val="2B4B1EAE"/>
    <w:rsid w:val="2B4EFBF1"/>
    <w:rsid w:val="2B6AC18A"/>
    <w:rsid w:val="2B71FF29"/>
    <w:rsid w:val="2BB41C13"/>
    <w:rsid w:val="2BD68039"/>
    <w:rsid w:val="2BDB4D2B"/>
    <w:rsid w:val="2C383701"/>
    <w:rsid w:val="2C393320"/>
    <w:rsid w:val="2C54D925"/>
    <w:rsid w:val="2C724A4E"/>
    <w:rsid w:val="2C78E782"/>
    <w:rsid w:val="2C7B1EA2"/>
    <w:rsid w:val="2C98B064"/>
    <w:rsid w:val="2CBDBFF3"/>
    <w:rsid w:val="2CBE712D"/>
    <w:rsid w:val="2CED7022"/>
    <w:rsid w:val="2D20D2A6"/>
    <w:rsid w:val="2DC07A3E"/>
    <w:rsid w:val="2DC58747"/>
    <w:rsid w:val="2DE92C29"/>
    <w:rsid w:val="2DEF37AD"/>
    <w:rsid w:val="2E9CB117"/>
    <w:rsid w:val="2EAA199E"/>
    <w:rsid w:val="2ECDC9E2"/>
    <w:rsid w:val="2EFC39DE"/>
    <w:rsid w:val="2F0CCC1E"/>
    <w:rsid w:val="2F1B84BC"/>
    <w:rsid w:val="2F2A887F"/>
    <w:rsid w:val="2F6DE54D"/>
    <w:rsid w:val="2F949B1B"/>
    <w:rsid w:val="3004D510"/>
    <w:rsid w:val="300D78A0"/>
    <w:rsid w:val="3010FB40"/>
    <w:rsid w:val="3025B7DA"/>
    <w:rsid w:val="30695613"/>
    <w:rsid w:val="30C5CFFD"/>
    <w:rsid w:val="30D019C9"/>
    <w:rsid w:val="312643A0"/>
    <w:rsid w:val="31475A3F"/>
    <w:rsid w:val="3161437E"/>
    <w:rsid w:val="31755C76"/>
    <w:rsid w:val="31B39B79"/>
    <w:rsid w:val="31D7031E"/>
    <w:rsid w:val="32197432"/>
    <w:rsid w:val="321CFF05"/>
    <w:rsid w:val="3230A4DF"/>
    <w:rsid w:val="3273C3E3"/>
    <w:rsid w:val="3281B1CA"/>
    <w:rsid w:val="3289422B"/>
    <w:rsid w:val="32BFD9AA"/>
    <w:rsid w:val="32EF7BAA"/>
    <w:rsid w:val="33085A6C"/>
    <w:rsid w:val="3317D3DA"/>
    <w:rsid w:val="3331B57E"/>
    <w:rsid w:val="3349CEE2"/>
    <w:rsid w:val="336F8A33"/>
    <w:rsid w:val="33C5EE25"/>
    <w:rsid w:val="33EC30EC"/>
    <w:rsid w:val="340A5EAD"/>
    <w:rsid w:val="3429A8BA"/>
    <w:rsid w:val="3454D804"/>
    <w:rsid w:val="345E3D2B"/>
    <w:rsid w:val="3481EE92"/>
    <w:rsid w:val="3495D624"/>
    <w:rsid w:val="34BFBE11"/>
    <w:rsid w:val="34CECF36"/>
    <w:rsid w:val="34CF9EDA"/>
    <w:rsid w:val="35018A54"/>
    <w:rsid w:val="3528943C"/>
    <w:rsid w:val="3534BE1B"/>
    <w:rsid w:val="35475785"/>
    <w:rsid w:val="35537920"/>
    <w:rsid w:val="3566CBE2"/>
    <w:rsid w:val="356B10A5"/>
    <w:rsid w:val="3593BB80"/>
    <w:rsid w:val="35E07DB4"/>
    <w:rsid w:val="35E793C1"/>
    <w:rsid w:val="3601678F"/>
    <w:rsid w:val="361F184B"/>
    <w:rsid w:val="36C4C944"/>
    <w:rsid w:val="36D942C3"/>
    <w:rsid w:val="36FFDC8A"/>
    <w:rsid w:val="372767EE"/>
    <w:rsid w:val="3753EE43"/>
    <w:rsid w:val="377A4EB2"/>
    <w:rsid w:val="3796EDFD"/>
    <w:rsid w:val="37AED751"/>
    <w:rsid w:val="388D6BDA"/>
    <w:rsid w:val="38D8F716"/>
    <w:rsid w:val="39505809"/>
    <w:rsid w:val="39A368C3"/>
    <w:rsid w:val="39B53FDB"/>
    <w:rsid w:val="39D34ADB"/>
    <w:rsid w:val="39D831C0"/>
    <w:rsid w:val="3A55F206"/>
    <w:rsid w:val="3A8ABED2"/>
    <w:rsid w:val="3AD1ECFA"/>
    <w:rsid w:val="3AD99D17"/>
    <w:rsid w:val="3ADD7491"/>
    <w:rsid w:val="3AFB27E1"/>
    <w:rsid w:val="3B4AA17D"/>
    <w:rsid w:val="3BB367C3"/>
    <w:rsid w:val="3BBFA9EE"/>
    <w:rsid w:val="3BCA45C5"/>
    <w:rsid w:val="3BE13DC5"/>
    <w:rsid w:val="3C42532D"/>
    <w:rsid w:val="3C4E019E"/>
    <w:rsid w:val="3C8AC280"/>
    <w:rsid w:val="3CA3E2B7"/>
    <w:rsid w:val="3CAFB245"/>
    <w:rsid w:val="3CC340CB"/>
    <w:rsid w:val="3CE720B7"/>
    <w:rsid w:val="3CE778C4"/>
    <w:rsid w:val="3D04C2C3"/>
    <w:rsid w:val="3D50986C"/>
    <w:rsid w:val="3D66B387"/>
    <w:rsid w:val="3D7F2F93"/>
    <w:rsid w:val="3DE20138"/>
    <w:rsid w:val="3E066744"/>
    <w:rsid w:val="3E1CA483"/>
    <w:rsid w:val="3E40412E"/>
    <w:rsid w:val="3E6CB0DD"/>
    <w:rsid w:val="3EA0A22B"/>
    <w:rsid w:val="3ECC129B"/>
    <w:rsid w:val="3EDB4F36"/>
    <w:rsid w:val="3EE61B16"/>
    <w:rsid w:val="3EF6C339"/>
    <w:rsid w:val="3F068970"/>
    <w:rsid w:val="3F0FCCC4"/>
    <w:rsid w:val="3F4285B7"/>
    <w:rsid w:val="3F47EA56"/>
    <w:rsid w:val="3F85E7C0"/>
    <w:rsid w:val="3FA1D798"/>
    <w:rsid w:val="3FB89971"/>
    <w:rsid w:val="3FE70D1B"/>
    <w:rsid w:val="3FEA21E4"/>
    <w:rsid w:val="401B7BBF"/>
    <w:rsid w:val="40222F4F"/>
    <w:rsid w:val="40337FAB"/>
    <w:rsid w:val="4055C3F0"/>
    <w:rsid w:val="408B4E24"/>
    <w:rsid w:val="40B6B552"/>
    <w:rsid w:val="40F439FF"/>
    <w:rsid w:val="41357505"/>
    <w:rsid w:val="4139EDA8"/>
    <w:rsid w:val="414891F2"/>
    <w:rsid w:val="41A883B7"/>
    <w:rsid w:val="41AF814B"/>
    <w:rsid w:val="41DBE0DA"/>
    <w:rsid w:val="4201D079"/>
    <w:rsid w:val="42026866"/>
    <w:rsid w:val="42113A71"/>
    <w:rsid w:val="4212296C"/>
    <w:rsid w:val="421A2D00"/>
    <w:rsid w:val="42365E7A"/>
    <w:rsid w:val="424F39D7"/>
    <w:rsid w:val="42867164"/>
    <w:rsid w:val="4293C5FB"/>
    <w:rsid w:val="42C2D4B3"/>
    <w:rsid w:val="4367C6B5"/>
    <w:rsid w:val="43844B95"/>
    <w:rsid w:val="438D36B5"/>
    <w:rsid w:val="438DBAA4"/>
    <w:rsid w:val="43AEE5CB"/>
    <w:rsid w:val="43B1965D"/>
    <w:rsid w:val="43CC3214"/>
    <w:rsid w:val="43FCDA6F"/>
    <w:rsid w:val="44068691"/>
    <w:rsid w:val="441C1061"/>
    <w:rsid w:val="44612765"/>
    <w:rsid w:val="44958A24"/>
    <w:rsid w:val="44E069AF"/>
    <w:rsid w:val="4509BE06"/>
    <w:rsid w:val="4525DFE9"/>
    <w:rsid w:val="453E6214"/>
    <w:rsid w:val="45637AD5"/>
    <w:rsid w:val="4581EC53"/>
    <w:rsid w:val="45972958"/>
    <w:rsid w:val="45A92EE8"/>
    <w:rsid w:val="45B4B050"/>
    <w:rsid w:val="45C97A52"/>
    <w:rsid w:val="45F1ABCD"/>
    <w:rsid w:val="45F234F4"/>
    <w:rsid w:val="45F2E22E"/>
    <w:rsid w:val="45F5FD0D"/>
    <w:rsid w:val="46051B3F"/>
    <w:rsid w:val="4646CD64"/>
    <w:rsid w:val="46A7848A"/>
    <w:rsid w:val="46C233DC"/>
    <w:rsid w:val="46D9AC35"/>
    <w:rsid w:val="47259006"/>
    <w:rsid w:val="47532471"/>
    <w:rsid w:val="4765EE42"/>
    <w:rsid w:val="47707A76"/>
    <w:rsid w:val="4776E11D"/>
    <w:rsid w:val="47D61F05"/>
    <w:rsid w:val="47DD169F"/>
    <w:rsid w:val="47FA8F31"/>
    <w:rsid w:val="47FDC4C5"/>
    <w:rsid w:val="4818EC48"/>
    <w:rsid w:val="485E2CE6"/>
    <w:rsid w:val="488F6D84"/>
    <w:rsid w:val="48B3AD8B"/>
    <w:rsid w:val="48B52829"/>
    <w:rsid w:val="48CB35AF"/>
    <w:rsid w:val="49344451"/>
    <w:rsid w:val="4947A244"/>
    <w:rsid w:val="495303F8"/>
    <w:rsid w:val="49D6EBB9"/>
    <w:rsid w:val="4A07A316"/>
    <w:rsid w:val="4A2168F4"/>
    <w:rsid w:val="4A26A047"/>
    <w:rsid w:val="4A286154"/>
    <w:rsid w:val="4A2ED579"/>
    <w:rsid w:val="4A448A88"/>
    <w:rsid w:val="4B2EFF9A"/>
    <w:rsid w:val="4B3F7597"/>
    <w:rsid w:val="4B748E58"/>
    <w:rsid w:val="4B83E82B"/>
    <w:rsid w:val="4BB06054"/>
    <w:rsid w:val="4BB23FB5"/>
    <w:rsid w:val="4C064CE7"/>
    <w:rsid w:val="4C6E12C7"/>
    <w:rsid w:val="4C821322"/>
    <w:rsid w:val="4C89AD64"/>
    <w:rsid w:val="4CB0F4EB"/>
    <w:rsid w:val="4D151C4C"/>
    <w:rsid w:val="4D59DD9C"/>
    <w:rsid w:val="4D5E0145"/>
    <w:rsid w:val="4D61191F"/>
    <w:rsid w:val="4D652115"/>
    <w:rsid w:val="4DBC1F82"/>
    <w:rsid w:val="4DC70893"/>
    <w:rsid w:val="4DE8828F"/>
    <w:rsid w:val="4DED002E"/>
    <w:rsid w:val="4E6374A5"/>
    <w:rsid w:val="4E6881BF"/>
    <w:rsid w:val="4E734E6A"/>
    <w:rsid w:val="4E73CEAB"/>
    <w:rsid w:val="4E7BAFA8"/>
    <w:rsid w:val="4EADA24A"/>
    <w:rsid w:val="4EC3A806"/>
    <w:rsid w:val="4EE5A216"/>
    <w:rsid w:val="4F14BD6E"/>
    <w:rsid w:val="4F63E67F"/>
    <w:rsid w:val="4FC7222D"/>
    <w:rsid w:val="4FCBF4DF"/>
    <w:rsid w:val="502E0A7F"/>
    <w:rsid w:val="5041AEC1"/>
    <w:rsid w:val="50523F7B"/>
    <w:rsid w:val="5059861C"/>
    <w:rsid w:val="5064033C"/>
    <w:rsid w:val="506FEF00"/>
    <w:rsid w:val="50A35179"/>
    <w:rsid w:val="50D77FCD"/>
    <w:rsid w:val="50E43211"/>
    <w:rsid w:val="511DC236"/>
    <w:rsid w:val="51817006"/>
    <w:rsid w:val="51D55111"/>
    <w:rsid w:val="526AA79F"/>
    <w:rsid w:val="5296E66B"/>
    <w:rsid w:val="52C2D040"/>
    <w:rsid w:val="52DE2209"/>
    <w:rsid w:val="52F8D510"/>
    <w:rsid w:val="537232A5"/>
    <w:rsid w:val="537FF79A"/>
    <w:rsid w:val="539B2D62"/>
    <w:rsid w:val="53A38F96"/>
    <w:rsid w:val="53D61DCD"/>
    <w:rsid w:val="54086E3C"/>
    <w:rsid w:val="5436CED4"/>
    <w:rsid w:val="544A2722"/>
    <w:rsid w:val="544BC025"/>
    <w:rsid w:val="547A84C2"/>
    <w:rsid w:val="54B3D913"/>
    <w:rsid w:val="54EB7801"/>
    <w:rsid w:val="5529AFFE"/>
    <w:rsid w:val="5590DE98"/>
    <w:rsid w:val="559243C4"/>
    <w:rsid w:val="559A26A5"/>
    <w:rsid w:val="559D2F70"/>
    <w:rsid w:val="55ABC4DF"/>
    <w:rsid w:val="55C043DD"/>
    <w:rsid w:val="5664742E"/>
    <w:rsid w:val="56A722EA"/>
    <w:rsid w:val="56BBACC2"/>
    <w:rsid w:val="56D5ACC4"/>
    <w:rsid w:val="56E21DB3"/>
    <w:rsid w:val="571872BA"/>
    <w:rsid w:val="57500B67"/>
    <w:rsid w:val="575B6E94"/>
    <w:rsid w:val="575CCC15"/>
    <w:rsid w:val="575E1C40"/>
    <w:rsid w:val="57A52C4B"/>
    <w:rsid w:val="57C34565"/>
    <w:rsid w:val="57E148A6"/>
    <w:rsid w:val="57E47030"/>
    <w:rsid w:val="580E959F"/>
    <w:rsid w:val="5833BE80"/>
    <w:rsid w:val="584D9D1B"/>
    <w:rsid w:val="585F8F70"/>
    <w:rsid w:val="588CEF97"/>
    <w:rsid w:val="58931807"/>
    <w:rsid w:val="58B99537"/>
    <w:rsid w:val="58C6B73A"/>
    <w:rsid w:val="594FCB5E"/>
    <w:rsid w:val="595AD1B1"/>
    <w:rsid w:val="598F0B96"/>
    <w:rsid w:val="5994DF24"/>
    <w:rsid w:val="599AF72A"/>
    <w:rsid w:val="59A01844"/>
    <w:rsid w:val="59A3B139"/>
    <w:rsid w:val="59E28A58"/>
    <w:rsid w:val="5A021FE3"/>
    <w:rsid w:val="5A3353DF"/>
    <w:rsid w:val="5A752685"/>
    <w:rsid w:val="5A9F4B86"/>
    <w:rsid w:val="5B38FBB4"/>
    <w:rsid w:val="5BB643A7"/>
    <w:rsid w:val="5BB7DB3A"/>
    <w:rsid w:val="5C4E9B76"/>
    <w:rsid w:val="5C546D5B"/>
    <w:rsid w:val="5C85F67E"/>
    <w:rsid w:val="5C92F1A5"/>
    <w:rsid w:val="5CAF3F09"/>
    <w:rsid w:val="5CF6A868"/>
    <w:rsid w:val="5D0A1FE3"/>
    <w:rsid w:val="5D11DEB5"/>
    <w:rsid w:val="5D12E3AD"/>
    <w:rsid w:val="5D6218A8"/>
    <w:rsid w:val="5E04FCB8"/>
    <w:rsid w:val="5E1EC531"/>
    <w:rsid w:val="5E5FC2D1"/>
    <w:rsid w:val="5E8AEC4F"/>
    <w:rsid w:val="5EC7A349"/>
    <w:rsid w:val="5ED0763D"/>
    <w:rsid w:val="5ED210BA"/>
    <w:rsid w:val="5EF3A317"/>
    <w:rsid w:val="5F01077A"/>
    <w:rsid w:val="5F1080C3"/>
    <w:rsid w:val="5F8524C3"/>
    <w:rsid w:val="5FCC3988"/>
    <w:rsid w:val="5FE9F782"/>
    <w:rsid w:val="5FFF0238"/>
    <w:rsid w:val="601D8B85"/>
    <w:rsid w:val="602F57D1"/>
    <w:rsid w:val="6033FC87"/>
    <w:rsid w:val="603DE075"/>
    <w:rsid w:val="60441A64"/>
    <w:rsid w:val="6097D2B7"/>
    <w:rsid w:val="609AB294"/>
    <w:rsid w:val="60A11036"/>
    <w:rsid w:val="60CEE45D"/>
    <w:rsid w:val="6104A747"/>
    <w:rsid w:val="610EE585"/>
    <w:rsid w:val="61182D56"/>
    <w:rsid w:val="61434B0A"/>
    <w:rsid w:val="61563286"/>
    <w:rsid w:val="61734C6B"/>
    <w:rsid w:val="6197E003"/>
    <w:rsid w:val="61A9475E"/>
    <w:rsid w:val="61F28610"/>
    <w:rsid w:val="61FB04FD"/>
    <w:rsid w:val="61FB3C57"/>
    <w:rsid w:val="62209632"/>
    <w:rsid w:val="62542895"/>
    <w:rsid w:val="6275343B"/>
    <w:rsid w:val="6277DE00"/>
    <w:rsid w:val="627F5775"/>
    <w:rsid w:val="629AF708"/>
    <w:rsid w:val="62F0DB26"/>
    <w:rsid w:val="630D3F29"/>
    <w:rsid w:val="633B3955"/>
    <w:rsid w:val="635E2B0D"/>
    <w:rsid w:val="6370282F"/>
    <w:rsid w:val="6379CD95"/>
    <w:rsid w:val="63883701"/>
    <w:rsid w:val="63B50BA7"/>
    <w:rsid w:val="63B9A8C8"/>
    <w:rsid w:val="64064A1D"/>
    <w:rsid w:val="6406A62E"/>
    <w:rsid w:val="6447B8F6"/>
    <w:rsid w:val="648619FA"/>
    <w:rsid w:val="648F23F2"/>
    <w:rsid w:val="64AF09E7"/>
    <w:rsid w:val="64CA1BFA"/>
    <w:rsid w:val="650FA10C"/>
    <w:rsid w:val="652C40D9"/>
    <w:rsid w:val="657CE814"/>
    <w:rsid w:val="6589880B"/>
    <w:rsid w:val="65AD7C03"/>
    <w:rsid w:val="65B4A4C5"/>
    <w:rsid w:val="65BB7C9C"/>
    <w:rsid w:val="65ECC422"/>
    <w:rsid w:val="660EE9B8"/>
    <w:rsid w:val="6612B910"/>
    <w:rsid w:val="662C78D6"/>
    <w:rsid w:val="664486F0"/>
    <w:rsid w:val="6660BB0B"/>
    <w:rsid w:val="66B0CA79"/>
    <w:rsid w:val="66B15F5B"/>
    <w:rsid w:val="66D4B3BD"/>
    <w:rsid w:val="66E7794A"/>
    <w:rsid w:val="66F8EC96"/>
    <w:rsid w:val="66FB503D"/>
    <w:rsid w:val="671756B1"/>
    <w:rsid w:val="671D4023"/>
    <w:rsid w:val="6721ACB2"/>
    <w:rsid w:val="6749C815"/>
    <w:rsid w:val="67636807"/>
    <w:rsid w:val="67F8E218"/>
    <w:rsid w:val="6834F970"/>
    <w:rsid w:val="68494F32"/>
    <w:rsid w:val="685FA960"/>
    <w:rsid w:val="686CB2BC"/>
    <w:rsid w:val="68E7CB50"/>
    <w:rsid w:val="69018A48"/>
    <w:rsid w:val="6905C8E6"/>
    <w:rsid w:val="690FE1DA"/>
    <w:rsid w:val="694CC09B"/>
    <w:rsid w:val="69547DBF"/>
    <w:rsid w:val="69D9785B"/>
    <w:rsid w:val="6A2340A1"/>
    <w:rsid w:val="6A5C5D68"/>
    <w:rsid w:val="6A77C753"/>
    <w:rsid w:val="6A82520C"/>
    <w:rsid w:val="6B0539EF"/>
    <w:rsid w:val="6B2CBE52"/>
    <w:rsid w:val="6B2EA4DE"/>
    <w:rsid w:val="6B547EDC"/>
    <w:rsid w:val="6B93F70F"/>
    <w:rsid w:val="6BF14D7D"/>
    <w:rsid w:val="6BFD510F"/>
    <w:rsid w:val="6C30DE62"/>
    <w:rsid w:val="6C7E1B4C"/>
    <w:rsid w:val="6CE36C1A"/>
    <w:rsid w:val="6CFBC466"/>
    <w:rsid w:val="6D156E50"/>
    <w:rsid w:val="6D69B121"/>
    <w:rsid w:val="6D78D00F"/>
    <w:rsid w:val="6DF4DFB5"/>
    <w:rsid w:val="6E0B14C1"/>
    <w:rsid w:val="6E1AC236"/>
    <w:rsid w:val="6E449725"/>
    <w:rsid w:val="6E7598DC"/>
    <w:rsid w:val="6E830CA3"/>
    <w:rsid w:val="6E848CCA"/>
    <w:rsid w:val="6EA55C92"/>
    <w:rsid w:val="6EB1D547"/>
    <w:rsid w:val="6EBB5667"/>
    <w:rsid w:val="6EC9C7C4"/>
    <w:rsid w:val="6EFE59CC"/>
    <w:rsid w:val="6F19A87C"/>
    <w:rsid w:val="6F2B8563"/>
    <w:rsid w:val="6F88C7C1"/>
    <w:rsid w:val="6FAD6A98"/>
    <w:rsid w:val="6FB4BD7F"/>
    <w:rsid w:val="6FCB54DA"/>
    <w:rsid w:val="7031E680"/>
    <w:rsid w:val="7036E973"/>
    <w:rsid w:val="704E302D"/>
    <w:rsid w:val="70630F06"/>
    <w:rsid w:val="70F6A95E"/>
    <w:rsid w:val="70F9D065"/>
    <w:rsid w:val="71411A29"/>
    <w:rsid w:val="71413B95"/>
    <w:rsid w:val="715DC138"/>
    <w:rsid w:val="716F62DE"/>
    <w:rsid w:val="717FB1D5"/>
    <w:rsid w:val="718043A6"/>
    <w:rsid w:val="71C99392"/>
    <w:rsid w:val="71DCFD11"/>
    <w:rsid w:val="71F5D1EE"/>
    <w:rsid w:val="7204FBA7"/>
    <w:rsid w:val="720FEC85"/>
    <w:rsid w:val="729DA7BE"/>
    <w:rsid w:val="72A9CDAD"/>
    <w:rsid w:val="72CE733A"/>
    <w:rsid w:val="72FD298F"/>
    <w:rsid w:val="734A3016"/>
    <w:rsid w:val="73FD61BB"/>
    <w:rsid w:val="742B7D6C"/>
    <w:rsid w:val="745CB27A"/>
    <w:rsid w:val="74E8FA67"/>
    <w:rsid w:val="74FCC5FC"/>
    <w:rsid w:val="7515389F"/>
    <w:rsid w:val="75169158"/>
    <w:rsid w:val="75C83C49"/>
    <w:rsid w:val="75C9F7FA"/>
    <w:rsid w:val="75D1BB9C"/>
    <w:rsid w:val="75F76813"/>
    <w:rsid w:val="761CE940"/>
    <w:rsid w:val="7658C832"/>
    <w:rsid w:val="7670BC6B"/>
    <w:rsid w:val="768ED468"/>
    <w:rsid w:val="76A2831B"/>
    <w:rsid w:val="76BB5325"/>
    <w:rsid w:val="76C4BD7B"/>
    <w:rsid w:val="76C5F2E6"/>
    <w:rsid w:val="76E213BD"/>
    <w:rsid w:val="770E162C"/>
    <w:rsid w:val="7773DD13"/>
    <w:rsid w:val="779229AC"/>
    <w:rsid w:val="77AB5C18"/>
    <w:rsid w:val="77B0818A"/>
    <w:rsid w:val="77C7AE9B"/>
    <w:rsid w:val="7858A403"/>
    <w:rsid w:val="78786AA3"/>
    <w:rsid w:val="78B9FBEC"/>
    <w:rsid w:val="78BE7231"/>
    <w:rsid w:val="78CFB83F"/>
    <w:rsid w:val="78F72CF0"/>
    <w:rsid w:val="790FA9EE"/>
    <w:rsid w:val="798BC1FC"/>
    <w:rsid w:val="79983531"/>
    <w:rsid w:val="7A34A55F"/>
    <w:rsid w:val="7A735AA2"/>
    <w:rsid w:val="7A84A676"/>
    <w:rsid w:val="7A99DE89"/>
    <w:rsid w:val="7ABC3E1D"/>
    <w:rsid w:val="7ACA412C"/>
    <w:rsid w:val="7B262033"/>
    <w:rsid w:val="7B3240E9"/>
    <w:rsid w:val="7B63819E"/>
    <w:rsid w:val="7BADB9E1"/>
    <w:rsid w:val="7BD7A07F"/>
    <w:rsid w:val="7BE003BF"/>
    <w:rsid w:val="7BEF0507"/>
    <w:rsid w:val="7BFDCD27"/>
    <w:rsid w:val="7C2E024A"/>
    <w:rsid w:val="7C8A1FAE"/>
    <w:rsid w:val="7CC3CFA7"/>
    <w:rsid w:val="7CEB6812"/>
    <w:rsid w:val="7CF6DFDB"/>
    <w:rsid w:val="7D498D53"/>
    <w:rsid w:val="7D5F2923"/>
    <w:rsid w:val="7D90C868"/>
    <w:rsid w:val="7D94F738"/>
    <w:rsid w:val="7DE9A329"/>
    <w:rsid w:val="7DEA74B6"/>
    <w:rsid w:val="7DF41553"/>
    <w:rsid w:val="7E28FE86"/>
    <w:rsid w:val="7EC6B3CC"/>
    <w:rsid w:val="7EDA8063"/>
    <w:rsid w:val="7EF38044"/>
    <w:rsid w:val="7EFD031E"/>
    <w:rsid w:val="7F26529F"/>
    <w:rsid w:val="7F34B3BF"/>
    <w:rsid w:val="7F373016"/>
    <w:rsid w:val="7F7912A0"/>
    <w:rsid w:val="7F8CDBC6"/>
    <w:rsid w:val="7FA0D862"/>
    <w:rsid w:val="7FC5DA5C"/>
    <w:rsid w:val="7FE34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428F6D"/>
  <w15:chartTrackingRefBased/>
  <w15:docId w15:val="{B4CD0C81-968B-4667-9AE0-70BD96250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unhideWhenUsed/>
    <w:rPr>
      <w:vertAlign w:val="superscript"/>
    </w:rPr>
  </w:style>
  <w:style w:type="character" w:customStyle="1" w:styleId="FootnoteTextChar">
    <w:name w:val="Footnote Text Char"/>
    <w:basedOn w:val="DefaultParagraphFont"/>
    <w:link w:val="FootnoteText"/>
    <w:uiPriority w:val="99"/>
    <w:rPr>
      <w:sz w:val="20"/>
      <w:szCs w:val="20"/>
    </w:rPr>
  </w:style>
  <w:style w:type="paragraph" w:styleId="FootnoteText">
    <w:name w:val="footnote text"/>
    <w:basedOn w:val="Normal"/>
    <w:link w:val="FootnoteTextChar"/>
    <w:uiPriority w:val="99"/>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063A917-C615-E440-B153-0320B1EDF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2615</Words>
  <Characters>14908</Characters>
  <Application>Microsoft Macintosh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2</cp:revision>
  <dcterms:created xsi:type="dcterms:W3CDTF">2020-04-25T11:51:00Z</dcterms:created>
  <dcterms:modified xsi:type="dcterms:W3CDTF">2020-04-25T11:51:00Z</dcterms:modified>
</cp:coreProperties>
</file>