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Arial" w:cs="Arial" w:eastAsia="Arial" w:hAnsi="Arial"/>
          <w:i w:val="0"/>
          <w:smallCaps w:val="0"/>
          <w:strike w:val="0"/>
          <w:color w:val="5b9bd5"/>
          <w:sz w:val="22"/>
          <w:szCs w:val="22"/>
          <w:u w:val="none"/>
          <w:shd w:fill="auto" w:val="clear"/>
          <w:vertAlign w:val="baseline"/>
        </w:rPr>
      </w:pPr>
      <w:r w:rsidDel="00000000" w:rsidR="00000000" w:rsidRPr="00000000">
        <w:rPr>
          <w:rFonts w:ascii="Arial" w:cs="Arial" w:eastAsia="Arial" w:hAnsi="Arial"/>
          <w:i w:val="0"/>
          <w:smallCaps w:val="0"/>
          <w:strike w:val="0"/>
          <w:color w:val="5b9bd5"/>
          <w:sz w:val="22"/>
          <w:szCs w:val="22"/>
          <w:u w:val="none"/>
          <w:shd w:fill="auto" w:val="clear"/>
          <w:vertAlign w:val="baseline"/>
        </w:rPr>
        <w:drawing>
          <wp:inline distB="0" distT="0" distL="0" distR="0">
            <wp:extent cx="1417320" cy="750898"/>
            <wp:effectExtent b="0" l="0" r="0" t="0"/>
            <wp:docPr id="4"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5b9bd5" w:space="6" w:sz="6" w:val="single"/>
          <w:bottom w:color="5b9bd5" w:space="6" w:sz="6" w:val="single"/>
        </w:pBdr>
        <w:spacing w:after="240" w:line="240" w:lineRule="auto"/>
        <w:jc w:val="center"/>
        <w:rPr>
          <w:rFonts w:ascii="Arial" w:cs="Arial" w:eastAsia="Arial" w:hAnsi="Arial"/>
          <w:sz w:val="32"/>
          <w:szCs w:val="32"/>
          <w:vertAlign w:val="baseline"/>
        </w:rPr>
      </w:pPr>
      <w:r w:rsidDel="00000000" w:rsidR="00000000" w:rsidRPr="00000000">
        <w:rPr>
          <w:rFonts w:ascii="Arial" w:cs="Arial" w:eastAsia="Arial" w:hAnsi="Arial"/>
          <w:sz w:val="32"/>
          <w:szCs w:val="32"/>
          <w:rtl w:val="0"/>
        </w:rPr>
        <w:t xml:space="preserve">Greenacres PLC</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5b9bd5"/>
          <w:sz w:val="28"/>
          <w:szCs w:val="28"/>
          <w:u w:val="none"/>
          <w:shd w:fill="auto" w:val="clear"/>
          <w:vertAlign w:val="baseline"/>
        </w:rPr>
      </w:pPr>
      <w:r w:rsidDel="00000000" w:rsidR="00000000" w:rsidRPr="00000000">
        <w:rPr>
          <w:rFonts w:ascii="Arial" w:cs="Arial" w:eastAsia="Arial" w:hAnsi="Arial"/>
          <w:color w:val="5b9bd5"/>
          <w:sz w:val="28"/>
          <w:szCs w:val="28"/>
          <w:rtl w:val="0"/>
        </w:rPr>
        <w:t xml:space="preserve">Assignment prepared for the Finance for Business Managers module, looking at Coca-Cola PLC and Greenacres PLC.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Arial" w:cs="Arial" w:eastAsia="Arial" w:hAnsi="Arial"/>
          <w:i w:val="0"/>
          <w:smallCaps w:val="0"/>
          <w:strike w:val="0"/>
          <w:color w:val="5b9bd5"/>
          <w:sz w:val="22"/>
          <w:szCs w:val="22"/>
          <w:u w:val="none"/>
          <w:shd w:fill="auto" w:val="clear"/>
          <w:vertAlign w:val="baseline"/>
        </w:rPr>
      </w:pPr>
      <w:r w:rsidDel="00000000" w:rsidR="00000000" w:rsidRPr="00000000">
        <w:rPr>
          <w:rFonts w:ascii="Arial" w:cs="Arial" w:eastAsia="Arial" w:hAnsi="Arial"/>
          <w:i w:val="0"/>
          <w:smallCaps w:val="0"/>
          <w:strike w:val="0"/>
          <w:color w:val="5b9bd5"/>
          <w:sz w:val="22"/>
          <w:szCs w:val="22"/>
          <w:u w:val="none"/>
          <w:shd w:fill="auto" w:val="clear"/>
          <w:vertAlign w:val="baseline"/>
        </w:rPr>
        <w:drawing>
          <wp:inline distB="0" distT="0" distL="0" distR="0">
            <wp:extent cx="758952" cy="478932"/>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58952" cy="47893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Style w:val="Heading2"/>
        <w:spacing w:after="0" w:before="480" w:line="240" w:lineRule="auto"/>
        <w:jc w:val="center"/>
        <w:rPr>
          <w:rFonts w:ascii="Arial" w:cs="Arial" w:eastAsia="Arial" w:hAnsi="Arial"/>
        </w:rPr>
      </w:pPr>
      <w:bookmarkStart w:colFirst="0" w:colLast="0" w:name="_jeuccokb6xjr" w:id="0"/>
      <w:bookmarkEnd w:id="0"/>
      <w:r w:rsidDel="00000000" w:rsidR="00000000" w:rsidRPr="00000000">
        <w:rPr>
          <w:rtl w:val="0"/>
        </w:rPr>
      </w:r>
    </w:p>
    <w:p w:rsidR="00000000" w:rsidDel="00000000" w:rsidP="00000000" w:rsidRDefault="00000000" w:rsidRPr="00000000" w14:paraId="00000006">
      <w:pPr>
        <w:pStyle w:val="Heading2"/>
        <w:spacing w:after="0" w:before="480" w:line="240" w:lineRule="auto"/>
        <w:jc w:val="center"/>
        <w:rPr>
          <w:rFonts w:ascii="Arial" w:cs="Arial" w:eastAsia="Arial" w:hAnsi="Arial"/>
        </w:rPr>
      </w:pPr>
      <w:bookmarkStart w:colFirst="0" w:colLast="0" w:name="_xadt1es8kjkd" w:id="1"/>
      <w:bookmarkEnd w:id="1"/>
      <w:r w:rsidDel="00000000" w:rsidR="00000000" w:rsidRPr="00000000">
        <w:rPr>
          <w:rtl w:val="0"/>
        </w:rPr>
      </w:r>
    </w:p>
    <w:p w:rsidR="00000000" w:rsidDel="00000000" w:rsidP="00000000" w:rsidRDefault="00000000" w:rsidRPr="00000000" w14:paraId="00000007">
      <w:pPr>
        <w:pStyle w:val="Heading2"/>
        <w:spacing w:after="0" w:before="480" w:line="240" w:lineRule="auto"/>
        <w:jc w:val="center"/>
        <w:rPr>
          <w:rFonts w:ascii="Arial" w:cs="Arial" w:eastAsia="Arial" w:hAnsi="Arial"/>
        </w:rPr>
      </w:pPr>
      <w:bookmarkStart w:colFirst="0" w:colLast="0" w:name="_viqti8nhv34t" w:id="2"/>
      <w:bookmarkEnd w:id="2"/>
      <w:r w:rsidDel="00000000" w:rsidR="00000000" w:rsidRPr="00000000">
        <w:rPr>
          <w:rtl w:val="0"/>
        </w:rPr>
      </w:r>
    </w:p>
    <w:p w:rsidR="00000000" w:rsidDel="00000000" w:rsidP="00000000" w:rsidRDefault="00000000" w:rsidRPr="00000000" w14:paraId="00000008">
      <w:pPr>
        <w:pStyle w:val="Heading2"/>
        <w:spacing w:after="0" w:before="480" w:line="240" w:lineRule="auto"/>
        <w:jc w:val="center"/>
        <w:rPr>
          <w:rFonts w:ascii="Arial" w:cs="Arial" w:eastAsia="Arial" w:hAnsi="Arial"/>
        </w:rPr>
      </w:pPr>
      <w:bookmarkStart w:colFirst="0" w:colLast="0" w:name="_tmpx2o4vgrr4" w:id="3"/>
      <w:bookmarkEnd w:id="3"/>
      <w:r w:rsidDel="00000000" w:rsidR="00000000" w:rsidRPr="00000000">
        <w:rPr>
          <w:rtl w:val="0"/>
        </w:rPr>
      </w:r>
    </w:p>
    <w:p w:rsidR="00000000" w:rsidDel="00000000" w:rsidP="00000000" w:rsidRDefault="00000000" w:rsidRPr="00000000" w14:paraId="00000009">
      <w:pPr>
        <w:pStyle w:val="Heading2"/>
        <w:spacing w:after="0" w:before="480" w:line="240" w:lineRule="auto"/>
        <w:jc w:val="left"/>
        <w:rPr>
          <w:rFonts w:ascii="Arial" w:cs="Arial" w:eastAsia="Arial" w:hAnsi="Arial"/>
        </w:rPr>
      </w:pPr>
      <w:bookmarkStart w:colFirst="0" w:colLast="0" w:name="_9k6tfzme64c2" w:id="4"/>
      <w:bookmarkEnd w:id="4"/>
      <w:r w:rsidDel="00000000" w:rsidR="00000000" w:rsidRPr="00000000">
        <w:rPr>
          <w:rtl w:val="0"/>
        </w:rPr>
      </w:r>
    </w:p>
    <w:p w:rsidR="00000000" w:rsidDel="00000000" w:rsidP="00000000" w:rsidRDefault="00000000" w:rsidRPr="00000000" w14:paraId="0000000A">
      <w:pPr>
        <w:pStyle w:val="Heading2"/>
        <w:spacing w:after="0" w:before="480" w:line="240" w:lineRule="auto"/>
        <w:jc w:val="center"/>
        <w:rPr>
          <w:rFonts w:ascii="Arial" w:cs="Arial" w:eastAsia="Arial" w:hAnsi="Arial"/>
        </w:rPr>
      </w:pPr>
      <w:bookmarkStart w:colFirst="0" w:colLast="0" w:name="_4hyj6yk69l4j" w:id="5"/>
      <w:bookmarkEnd w:id="5"/>
      <w:r w:rsidDel="00000000" w:rsidR="00000000" w:rsidRPr="00000000">
        <w:rPr>
          <w:rtl w:val="0"/>
        </w:rPr>
      </w:r>
    </w:p>
    <w:p w:rsidR="00000000" w:rsidDel="00000000" w:rsidP="00000000" w:rsidRDefault="00000000" w:rsidRPr="00000000" w14:paraId="0000000B">
      <w:pPr>
        <w:spacing w:before="48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Charlotte Thomas - 1700949</w:t>
      </w:r>
    </w:p>
    <w:p w:rsidR="00000000" w:rsidDel="00000000" w:rsidP="00000000" w:rsidRDefault="00000000" w:rsidRPr="00000000" w14:paraId="0000000C">
      <w:pPr>
        <w:spacing w:before="48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20th January 2025</w:t>
      </w:r>
    </w:p>
    <w:p w:rsidR="00000000" w:rsidDel="00000000" w:rsidP="00000000" w:rsidRDefault="00000000" w:rsidRPr="00000000" w14:paraId="0000000D">
      <w:pPr>
        <w:spacing w:before="48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University of Wales Trinity St David</w:t>
      </w:r>
    </w:p>
    <w:p w:rsidR="00000000" w:rsidDel="00000000" w:rsidP="00000000" w:rsidRDefault="00000000" w:rsidRPr="00000000" w14:paraId="0000000E">
      <w:pPr>
        <w:pStyle w:val="Heading1"/>
        <w:rPr>
          <w:rFonts w:ascii="Arial" w:cs="Arial" w:eastAsia="Arial" w:hAnsi="Arial"/>
          <w:color w:val="5b9bd5"/>
          <w:sz w:val="24"/>
          <w:szCs w:val="24"/>
          <w:vertAlign w:val="baseline"/>
        </w:rPr>
      </w:pPr>
      <w:bookmarkStart w:colFirst="0" w:colLast="0" w:name="_r848uywvpzbz" w:id="6"/>
      <w:bookmarkEnd w:id="6"/>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rFonts w:ascii="Arial" w:cs="Arial" w:eastAsia="Arial" w:hAnsi="Arial"/>
        </w:rPr>
      </w:pPr>
      <w:bookmarkStart w:colFirst="0" w:colLast="0" w:name="_h1aaui2xw4jo" w:id="7"/>
      <w:bookmarkEnd w:id="7"/>
      <w:r w:rsidDel="00000000" w:rsidR="00000000" w:rsidRPr="00000000">
        <w:rPr>
          <w:rFonts w:ascii="Arial" w:cs="Arial" w:eastAsia="Arial" w:hAnsi="Arial"/>
          <w:rtl w:val="0"/>
        </w:rPr>
        <w:t xml:space="preserve">Executive Summary</w:t>
      </w:r>
    </w:p>
    <w:p w:rsidR="00000000" w:rsidDel="00000000" w:rsidP="00000000" w:rsidRDefault="00000000" w:rsidRPr="00000000" w14:paraId="00000010">
      <w:pPr>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this report is to analyse the financial statements and information of two different companies. The report can be divided into two tasks - task one and task two and provides recommendations for both companies based on the financial information provided in the statement. </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Task one focuses on Coca-Cola PLC, an international company that specialises in soft drinks and syrups. Coca-Cola was first founded in 1892 and the company has evolved a lot since then. The company has become one of the leading soft drink providers with ‘Coca-Cola’ and the various sugar-free alternatives being some of the most popular soft drinks in the world. Coca-Cola PLC manufactures, sells, and markets soft drinks, non-alcoholic drinks, and some alcoholic drinks too. Coca-Cola became a public limited company around 30 years into operation in 1919 and has the ticker symbol ‘KO’ on the New York Stock Exchange. Task One takes all of this information into account along with the financial reports for Coca-Cola PLC in 2023 and 2024 to assess the liquidity, profitability, gearing, efficiency and investor ratios. It analyses this information and provides recommendations for Coca-Cola PLC moving forward including working to reduce its “days” calculations, and identifying why their figures dropped between 2023 and 2024 to consider if this could be an ongoing change for the business or if the company was simply impacted heavily by external business factors in that year. </w:t>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Task two focuses on Greenacres PLC, a company that specialises in producing a variety of high-quality outdoor rattan furniture and other items. Greenacres PLC is at a crossroads in business where the company is struggling to identify which option to move forward with as part of its 4-year plan. The report looks at the NPV and IRR of the three options - option (a) expanding its current outlet to include all products, option (b) developing into online sales, and option (c) producing greenhouses and conservatories. The report uses this information to provide a recommendation of which option the company should choose and also looks at an option if the company were able to invest a total of £2.5 million across various investment opportunities. It concludes by outlining potential ways that Greenacres could fund this expansion, including equity and debt financing. Using the information included in this report, Greenacres PLC would be able to identify a good way forward for their business.</w:t>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spacing w:before="240" w:lineRule="auto"/>
        <w:rPr>
          <w:rFonts w:ascii="Arial" w:cs="Arial" w:eastAsia="Arial" w:hAnsi="Arial"/>
          <w:vertAlign w:val="baseline"/>
        </w:rPr>
      </w:pPr>
      <w:bookmarkStart w:colFirst="0" w:colLast="0" w:name="_rpovja2ujud9" w:id="8"/>
      <w:bookmarkEnd w:id="8"/>
      <w:r w:rsidDel="00000000" w:rsidR="00000000" w:rsidRPr="00000000">
        <w:rPr>
          <w:rFonts w:ascii="Arial" w:cs="Arial" w:eastAsia="Arial" w:hAnsi="Arial"/>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1aaui2xw4j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Executive Summary</w:t>
              <w:tab/>
              <w:t xml:space="preserve">1</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rpovja2ujud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1</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nmu39z4x7s8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mjv5f39p9zv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Main Findings</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lwmox5g1sbz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Recommendations</w:t>
              <w:tab/>
              <w:t xml:space="preserve">6</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2</w:t>
              <w:tab/>
              <w:t xml:space="preserve">8</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467i5bifm6r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8</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jfnuthsncg5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Main Findings</w:t>
              <w:tab/>
              <w:t xml:space="preserve">8</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qf6xcxt0s3c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Recommendations</w:t>
              <w:tab/>
              <w:t xml:space="preserve">11</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poj2i2uncko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Bibliography</w:t>
              <w:tab/>
              <w:t xml:space="preserve">14</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w:t>
              <w:tab/>
              <w:t xml:space="preserve">19</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dqj3firu7q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 Calculations for Coca-Cola PLC</w:t>
              <w:tab/>
              <w:t xml:space="preserve">19</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2pnya7l7cx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 Calculations for Greenacres PLC</w:t>
              <w:tab/>
              <w:t xml:space="preserve">22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pStyle w:val="Heading1"/>
        <w:rPr>
          <w:rFonts w:ascii="Arial" w:cs="Arial" w:eastAsia="Arial" w:hAnsi="Arial"/>
        </w:rPr>
      </w:pPr>
      <w:bookmarkStart w:colFirst="0" w:colLast="0" w:name="_8zky7vezzv85" w:id="9"/>
      <w:bookmarkEnd w:id="9"/>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rFonts w:ascii="Arial" w:cs="Arial" w:eastAsia="Arial" w:hAnsi="Arial"/>
        </w:rPr>
      </w:pPr>
      <w:bookmarkStart w:colFirst="0" w:colLast="0" w:name="_30j0zll" w:id="10"/>
      <w:bookmarkEnd w:id="10"/>
      <w:r w:rsidDel="00000000" w:rsidR="00000000" w:rsidRPr="00000000">
        <w:rPr>
          <w:rFonts w:ascii="Arial" w:cs="Arial" w:eastAsia="Arial" w:hAnsi="Arial"/>
          <w:rtl w:val="0"/>
        </w:rPr>
        <w:t xml:space="preserve">Introduction </w:t>
      </w:r>
    </w:p>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report is made up of two parts, with both parts focusing on financial analysis for a business. Part one looks at Coca-Cola PLC and the company’s financial records over the past two years (2023 and 2024). Part two of the assignment looks at Greenacres PLC, a company that makes and sells high-quality outdoor rattan furniture and other products. </w:t>
      </w:r>
    </w:p>
    <w:p w:rsidR="00000000" w:rsidDel="00000000" w:rsidP="00000000" w:rsidRDefault="00000000" w:rsidRPr="00000000" w14:paraId="00000029">
      <w:pPr>
        <w:rPr>
          <w:rFonts w:ascii="Arial" w:cs="Arial" w:eastAsia="Arial" w:hAnsi="Arial"/>
          <w:sz w:val="24"/>
          <w:szCs w:val="24"/>
        </w:rPr>
      </w:pPr>
      <w:r w:rsidDel="00000000" w:rsidR="00000000" w:rsidRPr="00000000">
        <w:rPr>
          <w:rFonts w:ascii="Arial" w:cs="Arial" w:eastAsia="Arial" w:hAnsi="Arial"/>
          <w:sz w:val="24"/>
          <w:szCs w:val="24"/>
          <w:rtl w:val="0"/>
        </w:rPr>
        <w:t xml:space="preserve">Coca-Cola PLC was first founded in 1892 and it is an American Multinational Corporation primarily known for the production of soft drinks. The company’s primary product shares a name with the company, and that is the Coca-Cola soft drink, it is one of the most popular cola drinks in the world and is very much a household name. The company manufactures, sells, and markets a variety of drinks, including Coca-Cola, alongside syrups. The company’s biggest rival is PepsiCo Inc., a company that also produces cola-flavoured soft drinks, including Pepsi and PepsiMax. In 2017, James Quincey became CEO of Coca-Cola, following a long list of CEOs that have run the company across its </w:t>
      </w:r>
      <w:r w:rsidDel="00000000" w:rsidR="00000000" w:rsidRPr="00000000">
        <w:rPr>
          <w:rFonts w:ascii="Arial" w:cs="Arial" w:eastAsia="Arial" w:hAnsi="Arial"/>
          <w:sz w:val="24"/>
          <w:szCs w:val="24"/>
          <w:rtl w:val="0"/>
        </w:rPr>
        <w:t xml:space="preserve">100-year+</w:t>
      </w:r>
      <w:r w:rsidDel="00000000" w:rsidR="00000000" w:rsidRPr="00000000">
        <w:rPr>
          <w:rFonts w:ascii="Arial" w:cs="Arial" w:eastAsia="Arial" w:hAnsi="Arial"/>
          <w:sz w:val="24"/>
          <w:szCs w:val="24"/>
          <w:rtl w:val="0"/>
        </w:rPr>
        <w:t xml:space="preserve"> history. Coca-Cola is a successful brand with a big focus on innovation, and a strong portfolio of brands. The company has evolved a lot from the early days when cocaine was included in the drinks that the company produced, but as the economy adapts, Coca-Cola will have to make big business decisions to ensure that it remains successful. The financial statements for the company for the last two financial years will be analysed in this report, and from that recommendations for future business moves that Coca-Cola should make will be provided</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(The Coca-Cola Company, 2024).</w:t>
      </w:r>
    </w:p>
    <w:p w:rsidR="00000000" w:rsidDel="00000000" w:rsidP="00000000" w:rsidRDefault="00000000" w:rsidRPr="00000000" w14:paraId="0000002A">
      <w:pPr>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second part of the report focuses on Greenacres PLC, a rattan furniture company that specialises in outdoor furniture. The company produces high-quality furniture and this is one of the factors that has contributed to its success. At present, Greenacres PLC is debating whether or not to invest in the expansion of the business. The company has three options to choose from and is debating which is best for the company, the options include: expanding its retail outlet to include all products, developing its internet sales, or producing greenhouses and conservatories. All of the options will be completed across a 4-year plan but will require initial expenditure which makes it difficult for the company to decide which option is best. This report will look at the three options that Greenacres is currently debating and provide information that will help the directors at Greenacres decide which option is best. </w:t>
      </w:r>
      <w:r w:rsidDel="00000000" w:rsidR="00000000" w:rsidRPr="00000000">
        <w:rPr>
          <w:rtl w:val="0"/>
        </w:rPr>
      </w:r>
    </w:p>
    <w:p w:rsidR="00000000" w:rsidDel="00000000" w:rsidP="00000000" w:rsidRDefault="00000000" w:rsidRPr="00000000" w14:paraId="0000002B">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will use financial theory alongside financial calculations to help advise both Coca-Cola PLC and Greenacres PLC of ways forward to ensure the success of both businesses.</w:t>
      </w:r>
    </w:p>
    <w:p w:rsidR="00000000" w:rsidDel="00000000" w:rsidP="00000000" w:rsidRDefault="00000000" w:rsidRPr="00000000" w14:paraId="0000002C">
      <w:pPr>
        <w:rPr>
          <w:rFonts w:ascii="Arial" w:cs="Arial" w:eastAsia="Arial" w:hAnsi="Arial"/>
        </w:rPr>
      </w:pP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pStyle w:val="Heading1"/>
        <w:rPr>
          <w:rFonts w:ascii="Arial" w:cs="Arial" w:eastAsia="Arial" w:hAnsi="Arial"/>
          <w:sz w:val="28"/>
          <w:szCs w:val="28"/>
        </w:rPr>
      </w:pPr>
      <w:bookmarkStart w:colFirst="0" w:colLast="0" w:name="_1fob9te" w:id="11"/>
      <w:bookmarkEnd w:id="11"/>
      <w:r w:rsidDel="00000000" w:rsidR="00000000" w:rsidRPr="00000000">
        <w:rPr>
          <w:rFonts w:ascii="Arial" w:cs="Arial" w:eastAsia="Arial" w:hAnsi="Arial"/>
          <w:sz w:val="28"/>
          <w:szCs w:val="28"/>
          <w:rtl w:val="0"/>
        </w:rPr>
        <w:t xml:space="preserve">Main Body</w:t>
      </w:r>
    </w:p>
    <w:p w:rsidR="00000000" w:rsidDel="00000000" w:rsidP="00000000" w:rsidRDefault="00000000" w:rsidRPr="00000000" w14:paraId="00000030">
      <w:pPr>
        <w:pStyle w:val="Heading2"/>
        <w:rPr>
          <w:rFonts w:ascii="Arial" w:cs="Arial" w:eastAsia="Arial" w:hAnsi="Arial"/>
          <w:sz w:val="28"/>
          <w:szCs w:val="28"/>
        </w:rPr>
      </w:pPr>
      <w:bookmarkStart w:colFirst="0" w:colLast="0" w:name="_3znysh7" w:id="12"/>
      <w:bookmarkEnd w:id="12"/>
      <w:r w:rsidDel="00000000" w:rsidR="00000000" w:rsidRPr="00000000">
        <w:rPr>
          <w:rFonts w:ascii="Arial" w:cs="Arial" w:eastAsia="Arial" w:hAnsi="Arial"/>
          <w:sz w:val="28"/>
          <w:szCs w:val="28"/>
          <w:rtl w:val="0"/>
        </w:rPr>
        <w:t xml:space="preserve">Task 1</w:t>
      </w:r>
    </w:p>
    <w:p w:rsidR="00000000" w:rsidDel="00000000" w:rsidP="00000000" w:rsidRDefault="00000000" w:rsidRPr="00000000" w14:paraId="00000031">
      <w:pPr>
        <w:pStyle w:val="Heading3"/>
        <w:rPr/>
      </w:pPr>
      <w:bookmarkStart w:colFirst="0" w:colLast="0" w:name="_nmu39z4x7s86" w:id="13"/>
      <w:bookmarkEnd w:id="13"/>
      <w:r w:rsidDel="00000000" w:rsidR="00000000" w:rsidRPr="00000000">
        <w:rPr>
          <w:rtl w:val="0"/>
        </w:rPr>
        <w:t xml:space="preserve">Introduction</w:t>
      </w:r>
    </w:p>
    <w:p w:rsidR="00000000" w:rsidDel="00000000" w:rsidP="00000000" w:rsidRDefault="00000000" w:rsidRPr="00000000" w14:paraId="00000032">
      <w:pPr>
        <w:rPr>
          <w:rFonts w:ascii="Arial" w:cs="Arial" w:eastAsia="Arial" w:hAnsi="Arial"/>
          <w:sz w:val="24"/>
          <w:szCs w:val="24"/>
        </w:rPr>
      </w:pPr>
      <w:r w:rsidDel="00000000" w:rsidR="00000000" w:rsidRPr="00000000">
        <w:rPr>
          <w:rFonts w:ascii="Arial" w:cs="Arial" w:eastAsia="Arial" w:hAnsi="Arial"/>
          <w:sz w:val="24"/>
          <w:szCs w:val="24"/>
          <w:rtl w:val="0"/>
        </w:rPr>
        <w:t xml:space="preserve">Financial statements are incredibly valuable when analysing the operations of a </w:t>
      </w:r>
      <w:r w:rsidDel="00000000" w:rsidR="00000000" w:rsidRPr="00000000">
        <w:rPr>
          <w:rFonts w:ascii="Arial" w:cs="Arial" w:eastAsia="Arial" w:hAnsi="Arial"/>
          <w:sz w:val="24"/>
          <w:szCs w:val="24"/>
          <w:rtl w:val="0"/>
        </w:rPr>
        <w:t xml:space="preserve">business (Barman, 2023). </w:t>
      </w:r>
      <w:r w:rsidDel="00000000" w:rsidR="00000000" w:rsidRPr="00000000">
        <w:rPr>
          <w:rFonts w:ascii="Arial" w:cs="Arial" w:eastAsia="Arial" w:hAnsi="Arial"/>
          <w:sz w:val="24"/>
          <w:szCs w:val="24"/>
          <w:rtl w:val="0"/>
        </w:rPr>
        <w:t xml:space="preserve">They can paint a picture of a business that you might not see on the surface and can reveal a lot about things that have been successful within the business, and things that haven’t been so successful. While historical data is useful for comparing business successes and failures over a prolonged period </w:t>
      </w:r>
      <w:r w:rsidDel="00000000" w:rsidR="00000000" w:rsidRPr="00000000">
        <w:rPr>
          <w:rFonts w:ascii="Arial" w:cs="Arial" w:eastAsia="Arial" w:hAnsi="Arial"/>
          <w:sz w:val="24"/>
          <w:szCs w:val="24"/>
          <w:rtl w:val="0"/>
        </w:rPr>
        <w:t xml:space="preserve">(Kerrigan, 2023)</w:t>
      </w:r>
      <w:r w:rsidDel="00000000" w:rsidR="00000000" w:rsidRPr="00000000">
        <w:rPr>
          <w:rFonts w:ascii="Arial" w:cs="Arial" w:eastAsia="Arial" w:hAnsi="Arial"/>
          <w:sz w:val="24"/>
          <w:szCs w:val="24"/>
          <w:rtl w:val="0"/>
        </w:rPr>
        <w:t xml:space="preserve">, the most useful data for business decisions will be found within the last two years of data </w:t>
      </w:r>
      <w:r w:rsidDel="00000000" w:rsidR="00000000" w:rsidRPr="00000000">
        <w:rPr>
          <w:rFonts w:ascii="Arial" w:cs="Arial" w:eastAsia="Arial" w:hAnsi="Arial"/>
          <w:sz w:val="24"/>
          <w:szCs w:val="24"/>
          <w:rtl w:val="0"/>
        </w:rPr>
        <w:t xml:space="preserve">(BBC, 2025)</w:t>
      </w:r>
      <w:r w:rsidDel="00000000" w:rsidR="00000000" w:rsidRPr="00000000">
        <w:rPr>
          <w:rFonts w:ascii="Arial" w:cs="Arial" w:eastAsia="Arial" w:hAnsi="Arial"/>
          <w:sz w:val="24"/>
          <w:szCs w:val="24"/>
          <w:rtl w:val="0"/>
        </w:rPr>
        <w:t xml:space="preserve">. With that in mind, the following report analyses the data from the last two years of operations for Coca-Cola PLC. </w:t>
      </w:r>
    </w:p>
    <w:p w:rsidR="00000000" w:rsidDel="00000000" w:rsidP="00000000" w:rsidRDefault="00000000" w:rsidRPr="00000000" w14:paraId="00000033">
      <w:pPr>
        <w:rPr>
          <w:rFonts w:ascii="Arial" w:cs="Arial" w:eastAsia="Arial" w:hAnsi="Arial"/>
          <w:sz w:val="24"/>
          <w:szCs w:val="24"/>
        </w:rPr>
      </w:pPr>
      <w:r w:rsidDel="00000000" w:rsidR="00000000" w:rsidRPr="00000000">
        <w:rPr>
          <w:rFonts w:ascii="Arial" w:cs="Arial" w:eastAsia="Arial" w:hAnsi="Arial"/>
          <w:sz w:val="24"/>
          <w:szCs w:val="24"/>
          <w:rtl w:val="0"/>
        </w:rPr>
        <w:t xml:space="preserve">Coca-Cola PLC is a large company and a household name, so it is easy to assume that they are operating successfully, however, it is only by looking at their financial statements that one can confirm this. For this report, a range of calculations have been completed using figures from Coca-Cola’s financial statements for 2023 and 2024. These calculations have been included in the appendix of this report and will be referred to throughout. They provide a better idea of the company’s operations in recent years and can help shed some light on issues that the business might have faced. The ratios calculated have provided some interesting insights into the company, and are as follows. </w:t>
      </w:r>
    </w:p>
    <w:p w:rsidR="00000000" w:rsidDel="00000000" w:rsidP="00000000" w:rsidRDefault="00000000" w:rsidRPr="00000000" w14:paraId="00000034">
      <w:pPr>
        <w:pStyle w:val="Heading3"/>
        <w:rPr/>
      </w:pPr>
      <w:bookmarkStart w:colFirst="0" w:colLast="0" w:name="_mjv5f39p9zve" w:id="14"/>
      <w:bookmarkEnd w:id="14"/>
      <w:r w:rsidDel="00000000" w:rsidR="00000000" w:rsidRPr="00000000">
        <w:rPr>
          <w:rtl w:val="0"/>
        </w:rPr>
        <w:t xml:space="preserve">Main Findings</w:t>
      </w:r>
    </w:p>
    <w:p w:rsidR="00000000" w:rsidDel="00000000" w:rsidP="00000000" w:rsidRDefault="00000000" w:rsidRPr="00000000" w14:paraId="00000035">
      <w:pPr>
        <w:rPr>
          <w:rFonts w:ascii="Arial" w:cs="Arial" w:eastAsia="Arial" w:hAnsi="Arial"/>
          <w:sz w:val="24"/>
          <w:szCs w:val="24"/>
        </w:rPr>
      </w:pPr>
      <w:r w:rsidDel="00000000" w:rsidR="00000000" w:rsidRPr="00000000">
        <w:rPr>
          <w:rFonts w:ascii="Arial" w:cs="Arial" w:eastAsia="Arial" w:hAnsi="Arial"/>
          <w:sz w:val="24"/>
          <w:szCs w:val="24"/>
          <w:rtl w:val="0"/>
        </w:rPr>
        <w:t xml:space="preserve">In the years leading up to financial years 2023 and 2024, there are a number of external factors that will have impacted Coca-Cola PLC. From the “sugar tax” levy implemented in the UK in 2018 </w:t>
      </w:r>
      <w:r w:rsidDel="00000000" w:rsidR="00000000" w:rsidRPr="00000000">
        <w:rPr>
          <w:rFonts w:ascii="Arial" w:cs="Arial" w:eastAsia="Arial" w:hAnsi="Arial"/>
          <w:sz w:val="24"/>
          <w:szCs w:val="24"/>
          <w:rtl w:val="0"/>
        </w:rPr>
        <w:t xml:space="preserve">(University of Cambridge, 2023)</w:t>
      </w:r>
      <w:r w:rsidDel="00000000" w:rsidR="00000000" w:rsidRPr="00000000">
        <w:rPr>
          <w:rFonts w:ascii="Arial" w:cs="Arial" w:eastAsia="Arial" w:hAnsi="Arial"/>
          <w:sz w:val="24"/>
          <w:szCs w:val="24"/>
          <w:rtl w:val="0"/>
        </w:rPr>
        <w:t xml:space="preserve">, to a rise in health consciousness among consumers leading to a reduction in the number of soft drinks bought</w:t>
      </w:r>
      <w:r w:rsidDel="00000000" w:rsidR="00000000" w:rsidRPr="00000000">
        <w:rPr>
          <w:rFonts w:ascii="Arial" w:cs="Arial" w:eastAsia="Arial" w:hAnsi="Arial"/>
          <w:sz w:val="24"/>
          <w:szCs w:val="24"/>
          <w:rtl w:val="0"/>
        </w:rPr>
        <w:t xml:space="preserve"> (Beaumont Health, 2025),</w:t>
      </w:r>
      <w:r w:rsidDel="00000000" w:rsidR="00000000" w:rsidRPr="00000000">
        <w:rPr>
          <w:rFonts w:ascii="Arial" w:cs="Arial" w:eastAsia="Arial" w:hAnsi="Arial"/>
          <w:sz w:val="24"/>
          <w:szCs w:val="24"/>
          <w:rtl w:val="0"/>
        </w:rPr>
        <w:t xml:space="preserve"> there are a number of things that would have impacted operations for Coca-Cola. Despite this, the company has remained profitable, with a gross profit ratio, or margin, of 60.5 in 2023 which rose to 61.4 in 2024. According to Ratnasari and Handayani (2013), gross profit margin is the ratio between the gross profit of a company and the level of sales achieved in a set period. The fact that Coca-Cola has a high-profit margin that rose from 2023 to 2024 is a really good sign for the business, it highlights that Coca-Cola is a profitable and efficient company. Coca-Cola reported that its successes in 2024 can hugely be attributed to social media success, including the launch of its ‘Happy Tears Zero Sugar’ campaign which was a big hit in the UK and the US </w:t>
      </w:r>
      <w:r w:rsidDel="00000000" w:rsidR="00000000" w:rsidRPr="00000000">
        <w:rPr>
          <w:rFonts w:ascii="Arial" w:cs="Arial" w:eastAsia="Arial" w:hAnsi="Arial"/>
          <w:sz w:val="24"/>
          <w:szCs w:val="24"/>
          <w:rtl w:val="0"/>
        </w:rPr>
        <w:t xml:space="preserve">(Coca-Cola, 2024)</w:t>
      </w:r>
      <w:r w:rsidDel="00000000" w:rsidR="00000000" w:rsidRPr="00000000">
        <w:rPr>
          <w:rFonts w:ascii="Arial" w:cs="Arial" w:eastAsia="Arial" w:hAnsi="Arial"/>
          <w:sz w:val="24"/>
          <w:szCs w:val="24"/>
          <w:rtl w:val="0"/>
        </w:rPr>
        <w:t xml:space="preserve">. One of the key limitations of gross profit ratios is that they don’t account for a number of things, including operating costs, interest, taxes, and non-cash items </w:t>
      </w:r>
      <w:r w:rsidDel="00000000" w:rsidR="00000000" w:rsidRPr="00000000">
        <w:rPr>
          <w:rFonts w:ascii="Arial" w:cs="Arial" w:eastAsia="Arial" w:hAnsi="Arial"/>
          <w:sz w:val="24"/>
          <w:szCs w:val="24"/>
          <w:rtl w:val="0"/>
        </w:rPr>
        <w:t xml:space="preserve">(Andrianto, 2023)</w:t>
      </w:r>
      <w:r w:rsidDel="00000000" w:rsidR="00000000" w:rsidRPr="00000000">
        <w:rPr>
          <w:rFonts w:ascii="Arial" w:cs="Arial" w:eastAsia="Arial" w:hAnsi="Arial"/>
          <w:sz w:val="24"/>
          <w:szCs w:val="24"/>
          <w:rtl w:val="0"/>
        </w:rPr>
        <w:t xml:space="preserve">. However, further information can be drawn by looking at the net profit margin. </w:t>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calculations, the net profit for Coca-Cola PLC actually decreased in 2024 compared to 2024, dropping from 25.9 in 2023 to 20.5 in 2024. Net profit reflects the revenue remaining after all expenses for a set period have been deducted (Kagan, 2020), so it is a more realistic demonstration of profit available to a company than gross profit. A reduction in net profit from one year to the next could be concerning, especially if it is not easy to identify what has caused the reduction. However, in the case of Coca-Cola, a clear explanation for the reduction in net profit can be identified. At the start of 2024, Coca-Cola pledged to invest a huge $1 billion into two goals: being the best partner possible to their customers and delivering sustainable growth </w:t>
      </w:r>
      <w:r w:rsidDel="00000000" w:rsidR="00000000" w:rsidRPr="00000000">
        <w:rPr>
          <w:rFonts w:ascii="Arial" w:cs="Arial" w:eastAsia="Arial" w:hAnsi="Arial"/>
          <w:sz w:val="24"/>
          <w:szCs w:val="24"/>
          <w:rtl w:val="0"/>
        </w:rPr>
        <w:t xml:space="preserve">(Reuter, 2024)</w:t>
      </w:r>
      <w:r w:rsidDel="00000000" w:rsidR="00000000" w:rsidRPr="00000000">
        <w:rPr>
          <w:rFonts w:ascii="Arial" w:cs="Arial" w:eastAsia="Arial" w:hAnsi="Arial"/>
          <w:sz w:val="24"/>
          <w:szCs w:val="24"/>
          <w:rtl w:val="0"/>
        </w:rPr>
        <w:t xml:space="preserve">. The latter of these two goals is likely a direct response to one of the biggest external factors impacting business operations for Coca-Cola - global warming and consumer response to it through sustainability </w:t>
      </w:r>
      <w:r w:rsidDel="00000000" w:rsidR="00000000" w:rsidRPr="00000000">
        <w:rPr>
          <w:rFonts w:ascii="Arial" w:cs="Arial" w:eastAsia="Arial" w:hAnsi="Arial"/>
          <w:sz w:val="24"/>
          <w:szCs w:val="24"/>
          <w:rtl w:val="0"/>
        </w:rPr>
        <w:t xml:space="preserve">(Meligi, 2016)</w:t>
      </w:r>
      <w:r w:rsidDel="00000000" w:rsidR="00000000" w:rsidRPr="00000000">
        <w:rPr>
          <w:rFonts w:ascii="Arial" w:cs="Arial" w:eastAsia="Arial" w:hAnsi="Arial"/>
          <w:sz w:val="24"/>
          <w:szCs w:val="24"/>
          <w:rtl w:val="0"/>
        </w:rPr>
        <w:t xml:space="preserve">. Investing $1 billion into the company is going to impact the company’s net profit as this is an operating cost, so this negates any worries associated with the drop in profit between 2023 and 2024. That being said, something that could be concerning for the company is the drop in Return On Capital Employed (ROCE) between 2023 and 2024. According to calculations in the appendix, the ROCE for Coca-Cola was 12.9% in 2023 which is already a low number, this dropped further to 9.4% in 2024. ROCE looks at the profit produced in relation to the capital used to produce it (Whiting, 1986), and would ideally be a high number, however, for Coca-Cola, the ROCE is low. ROCE can be low for a number of reasons, one of which is high debt </w:t>
      </w:r>
      <w:r w:rsidDel="00000000" w:rsidR="00000000" w:rsidRPr="00000000">
        <w:rPr>
          <w:rFonts w:ascii="Arial" w:cs="Arial" w:eastAsia="Arial" w:hAnsi="Arial"/>
          <w:sz w:val="24"/>
          <w:szCs w:val="24"/>
          <w:rtl w:val="0"/>
        </w:rPr>
        <w:t xml:space="preserve">(Enyi, 2005)</w:t>
      </w:r>
      <w:r w:rsidDel="00000000" w:rsidR="00000000" w:rsidRPr="00000000">
        <w:rPr>
          <w:rFonts w:ascii="Arial" w:cs="Arial" w:eastAsia="Arial" w:hAnsi="Arial"/>
          <w:sz w:val="24"/>
          <w:szCs w:val="24"/>
          <w:rtl w:val="0"/>
        </w:rPr>
        <w:t xml:space="preserve">, and this could be what is causing Coca-Cola to have a low ROCE as their long-term debt exceeds $42,994,000,000 (Coca-Cola, 2025). </w:t>
      </w:r>
    </w:p>
    <w:p w:rsidR="00000000" w:rsidDel="00000000" w:rsidP="00000000" w:rsidRDefault="00000000" w:rsidRPr="00000000" w14:paraId="00000037">
      <w:pPr>
        <w:rPr>
          <w:rFonts w:ascii="Arial" w:cs="Arial" w:eastAsia="Arial" w:hAnsi="Arial"/>
          <w:sz w:val="24"/>
          <w:szCs w:val="24"/>
        </w:rPr>
      </w:pPr>
      <w:r w:rsidDel="00000000" w:rsidR="00000000" w:rsidRPr="00000000">
        <w:rPr>
          <w:rFonts w:ascii="Arial" w:cs="Arial" w:eastAsia="Arial" w:hAnsi="Arial"/>
          <w:sz w:val="24"/>
          <w:szCs w:val="24"/>
          <w:rtl w:val="0"/>
        </w:rPr>
        <w:t xml:space="preserve">Despite a low ROCE, Coca-Cola is still a profitable company, but this isn’t the only measure of company success. Liquidity is also important in business, and the best way to quickly work out how liquid a company is is through a quick acid test. This calculation looks at a company’s ability to cover its current liabilities through its current assets and an ideal ratio of 1 or slightly above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(Pandeirot et al, 2022)</w:t>
      </w:r>
      <w:r w:rsidDel="00000000" w:rsidR="00000000" w:rsidRPr="00000000">
        <w:rPr>
          <w:rFonts w:ascii="Arial" w:cs="Arial" w:eastAsia="Arial" w:hAnsi="Arial"/>
          <w:sz w:val="24"/>
          <w:szCs w:val="24"/>
          <w:rtl w:val="0"/>
        </w:rPr>
        <w:t xml:space="preserve"> as this means a company can cover its liabilities through its assets if needed. As seen in the appendix, the acid test ratio for Coca-Cola was 0.94 in 2023 and this dropped to 0.89 in 2024 which means that the company cannot cover its short-term debts through its short-term assets. As Coca-Cola is such a large company this is less of a concern than if it were a much smaller company, however, it is a cause for concern that will be addressed through the recommendations. A possible explanation for this lack of liquidity can be found in the company’s efficiency, specifically in the debtor days and stock days for the company. In 2024 Coca-Cola took 43.5 days to receive payments from their creditors and took an average of 61 days to turn over stock. For both calculations, the ideal number is 30 days, so it is taking Coca-Cola longer to receive payment from their debtors and much longer for them to shift their stock which will make them less liquid </w:t>
      </w:r>
      <w:r w:rsidDel="00000000" w:rsidR="00000000" w:rsidRPr="00000000">
        <w:rPr>
          <w:rFonts w:ascii="Arial" w:cs="Arial" w:eastAsia="Arial" w:hAnsi="Arial"/>
          <w:sz w:val="24"/>
          <w:szCs w:val="24"/>
          <w:rtl w:val="0"/>
        </w:rPr>
        <w:t xml:space="preserve">(Sharp Accounting, 2023).</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8">
      <w:pPr>
        <w:rPr>
          <w:rFonts w:ascii="Arial" w:cs="Arial" w:eastAsia="Arial" w:hAnsi="Arial"/>
          <w:sz w:val="24"/>
          <w:szCs w:val="24"/>
          <w:vertAlign w:val="subscript"/>
        </w:rPr>
      </w:pPr>
      <w:r w:rsidDel="00000000" w:rsidR="00000000" w:rsidRPr="00000000">
        <w:rPr>
          <w:rFonts w:ascii="Arial" w:cs="Arial" w:eastAsia="Arial" w:hAnsi="Arial"/>
          <w:sz w:val="24"/>
          <w:szCs w:val="24"/>
          <w:rtl w:val="0"/>
        </w:rPr>
        <w:t xml:space="preserve">Another key calculation that can give insight into Coca-Cola PLC is gearing ratios. Gearing ratios give insight into a company’s debt in comparison to its equity </w:t>
      </w:r>
      <w:r w:rsidDel="00000000" w:rsidR="00000000" w:rsidRPr="00000000">
        <w:rPr>
          <w:rFonts w:ascii="Arial" w:cs="Arial" w:eastAsia="Arial" w:hAnsi="Arial"/>
          <w:sz w:val="24"/>
          <w:szCs w:val="24"/>
          <w:rtl w:val="0"/>
        </w:rPr>
        <w:t xml:space="preserve">(Siyanbola et al, 2015),</w:t>
      </w:r>
      <w:r w:rsidDel="00000000" w:rsidR="00000000" w:rsidRPr="00000000">
        <w:rPr>
          <w:rFonts w:ascii="Arial" w:cs="Arial" w:eastAsia="Arial" w:hAnsi="Arial"/>
          <w:sz w:val="24"/>
          <w:szCs w:val="24"/>
          <w:rtl w:val="0"/>
        </w:rPr>
        <w:t xml:space="preserve"> and can tell an outsider a lot about how sustainable a company’s current operations are. Gearing ratio 1 provides some clear insight into Coca-Cola and shows a different perspective on the company’s numbers. In 2023, Coca-Cola had a gearing ratio of 1 of 48% which increased to 55% by 2024. These ratios aren’t too high which is a good sign as it means the company’s level of debt is not disproportionate to company equity </w:t>
      </w:r>
      <w:r w:rsidDel="00000000" w:rsidR="00000000" w:rsidRPr="00000000">
        <w:rPr>
          <w:rFonts w:ascii="Arial" w:cs="Arial" w:eastAsia="Arial" w:hAnsi="Arial"/>
          <w:sz w:val="24"/>
          <w:szCs w:val="24"/>
          <w:rtl w:val="0"/>
        </w:rPr>
        <w:t xml:space="preserve">(Investopedia, 2024).</w:t>
      </w:r>
      <w:r w:rsidDel="00000000" w:rsidR="00000000" w:rsidRPr="00000000">
        <w:rPr>
          <w:rFonts w:ascii="Arial" w:cs="Arial" w:eastAsia="Arial" w:hAnsi="Arial"/>
          <w:sz w:val="24"/>
          <w:szCs w:val="24"/>
          <w:rtl w:val="0"/>
        </w:rPr>
        <w:t xml:space="preserve"> Likewise, they are not too low so do not indicate poor capital structure decisions, and the company’s interest cover numbers are promising too. Based on the financial statements for 2023 and 2024, Coca-Cola has more than enough profit to cover its interest, but it is worth noting that this number did decrease between 2023 and 2024, so it is something that the company should remain watchful of. It should also be noted that one of the key limitations of gearing ratios is that it does not consider industry context </w:t>
      </w:r>
      <w:r w:rsidDel="00000000" w:rsidR="00000000" w:rsidRPr="00000000">
        <w:rPr>
          <w:rFonts w:ascii="Arial" w:cs="Arial" w:eastAsia="Arial" w:hAnsi="Arial"/>
          <w:sz w:val="24"/>
          <w:szCs w:val="24"/>
          <w:rtl w:val="0"/>
        </w:rPr>
        <w:t xml:space="preserve">(Faster Capital, 2024)</w:t>
      </w:r>
      <w:r w:rsidDel="00000000" w:rsidR="00000000" w:rsidRPr="00000000">
        <w:rPr>
          <w:rFonts w:ascii="Arial" w:cs="Arial" w:eastAsia="Arial" w:hAnsi="Arial"/>
          <w:sz w:val="24"/>
          <w:szCs w:val="24"/>
          <w:rtl w:val="0"/>
        </w:rPr>
        <w:t xml:space="preserve">, so while these numbers appear healthy on the surface, the context of the company should also be considered. </w:t>
      </w:r>
      <w:r w:rsidDel="00000000" w:rsidR="00000000" w:rsidRPr="00000000">
        <w:rPr>
          <w:rtl w:val="0"/>
        </w:rPr>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Finally, investor ratios can give an idea of how a company is performing from the perspective of someone invested in that company </w:t>
      </w:r>
      <w:r w:rsidDel="00000000" w:rsidR="00000000" w:rsidRPr="00000000">
        <w:rPr>
          <w:rFonts w:ascii="Arial" w:cs="Arial" w:eastAsia="Arial" w:hAnsi="Arial"/>
          <w:sz w:val="24"/>
          <w:szCs w:val="24"/>
          <w:rtl w:val="0"/>
        </w:rPr>
        <w:t xml:space="preserve">(Morris et al, 2009).</w:t>
      </w:r>
      <w:r w:rsidDel="00000000" w:rsidR="00000000" w:rsidRPr="00000000">
        <w:rPr>
          <w:rFonts w:ascii="Arial" w:cs="Arial" w:eastAsia="Arial" w:hAnsi="Arial"/>
          <w:sz w:val="24"/>
          <w:szCs w:val="24"/>
          <w:rtl w:val="0"/>
        </w:rPr>
        <w:t xml:space="preserve"> Coca-Cola PLC is a huge company with lots of investors, so investment ratios are very important. All of the calculations for Coca-Cola show that the company is performing well for its investors. The return on owner’s equity is circling around the 22/23 mark for both 2023 and 2024, and the earnings per share is just below 5 which are both good numbers. Likewise, Coca-Cola has enough profit after tax to cover its dividends almost twice over which is another good sign for the company. It is worth drawing attention to the fact that these numbers have all decreased between 2023 and 2024 which is worth monitoring, however, there are lots of external factors that might have impacted company operations in 2024, including a range of political elections across the world which would have lead to new laws, rules and initiatives for tackling things such as obesity </w:t>
      </w:r>
      <w:r w:rsidDel="00000000" w:rsidR="00000000" w:rsidRPr="00000000">
        <w:rPr>
          <w:rFonts w:ascii="Arial" w:cs="Arial" w:eastAsia="Arial" w:hAnsi="Arial"/>
          <w:sz w:val="24"/>
          <w:szCs w:val="24"/>
          <w:rtl w:val="0"/>
        </w:rPr>
        <w:t xml:space="preserve">(UK Parliament, 2023)</w:t>
      </w:r>
      <w:r w:rsidDel="00000000" w:rsidR="00000000" w:rsidRPr="00000000">
        <w:rPr>
          <w:rFonts w:ascii="Arial" w:cs="Arial" w:eastAsia="Arial" w:hAnsi="Arial"/>
          <w:sz w:val="24"/>
          <w:szCs w:val="24"/>
          <w:rtl w:val="0"/>
        </w:rPr>
        <w:t xml:space="preserve">. While these calculations look promising for Coca-Cola PLC, it does need to be acknowledged that there are some drawbacks to investment ratios, primarily that they only look at quantitative data and not qualitative data </w:t>
      </w:r>
      <w:r w:rsidDel="00000000" w:rsidR="00000000" w:rsidRPr="00000000">
        <w:rPr>
          <w:rFonts w:ascii="Arial" w:cs="Arial" w:eastAsia="Arial" w:hAnsi="Arial"/>
          <w:sz w:val="24"/>
          <w:szCs w:val="24"/>
          <w:rtl w:val="0"/>
        </w:rPr>
        <w:t xml:space="preserve">(Faello, 2015)</w:t>
      </w:r>
      <w:r w:rsidDel="00000000" w:rsidR="00000000" w:rsidRPr="00000000">
        <w:rPr>
          <w:rFonts w:ascii="Arial" w:cs="Arial" w:eastAsia="Arial" w:hAnsi="Arial"/>
          <w:sz w:val="24"/>
          <w:szCs w:val="24"/>
          <w:rtl w:val="0"/>
        </w:rPr>
        <w:t xml:space="preserve">. While the numbers suggest that Coca-Cola is operating well for its investors, a more comprehensive view of this would be drawn by looking at qualitative data in addition to quantitative data. </w:t>
      </w:r>
    </w:p>
    <w:p w:rsidR="00000000" w:rsidDel="00000000" w:rsidP="00000000" w:rsidRDefault="00000000" w:rsidRPr="00000000" w14:paraId="0000003A">
      <w:pPr>
        <w:pStyle w:val="Heading3"/>
        <w:rPr/>
      </w:pPr>
      <w:bookmarkStart w:colFirst="0" w:colLast="0" w:name="_lwmox5g1sbza" w:id="15"/>
      <w:bookmarkEnd w:id="15"/>
      <w:r w:rsidDel="00000000" w:rsidR="00000000" w:rsidRPr="00000000">
        <w:rPr>
          <w:rtl w:val="0"/>
        </w:rPr>
        <w:t xml:space="preserve">Recommendations</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The calculations in the appendix provide a good idea of how Coca-Cola is operating currently, and they also clearly highlight some areas where improvement is needed for the company. While Coca-Cola is currently a giant in the industry, there have been numerous cases where large companies have ultimately failed due to poor financial management. That is why the following recommendations have been made to help Coca-Cola remain profitable in the future, and potentially return figures to the 2023 rates after a slight drop across the board in 2024. </w:t>
      </w:r>
    </w:p>
    <w:p w:rsidR="00000000" w:rsidDel="00000000" w:rsidP="00000000" w:rsidRDefault="00000000" w:rsidRPr="00000000" w14:paraId="0000003C">
      <w:pPr>
        <w:rPr>
          <w:rFonts w:ascii="Arial" w:cs="Arial" w:eastAsia="Arial" w:hAnsi="Arial"/>
          <w:sz w:val="24"/>
          <w:szCs w:val="24"/>
        </w:rPr>
      </w:pPr>
      <w:r w:rsidDel="00000000" w:rsidR="00000000" w:rsidRPr="00000000">
        <w:rPr>
          <w:rFonts w:ascii="Arial" w:cs="Arial" w:eastAsia="Arial" w:hAnsi="Arial"/>
          <w:sz w:val="24"/>
          <w:szCs w:val="24"/>
          <w:rtl w:val="0"/>
        </w:rPr>
        <w:t xml:space="preserve">The first recommendation for Coca-Cola is that the company make a change to their strategies with the aim to reduce its “days” figures. Coca-Cola has above-ideal debtor days, stock days, creditor days and stock turnover days, and all of these things will impact profitability for the company. An ideal number is around 30 days, but in 2024 it was taking Coca-Cola over 43 days to receive payments from those who had made purchases on credit which will impact the company’s profitability month or month. Likewise, it has taken over 120 days for Coca-Cola to turn over their stock, which is a very high number when you consider the fact that Coca-Cola sells products with expiry dates. Reducing these numbers would help the company have access to more money month on month and this will drive up their gearing ratios, and their ability to cover month-to-month expenses. By reducing the amount of time it takes for debtors to pay Coca-Cola the money they owe, would further benefit the company as it would give it more money to be able to pay off the company’s own debts. In 2024, it took Coca-Cola over 300 days to pay its creditors, which could have a massive negative impact on the company’s reputation if it were to continue to take this long to pay off its debts. So reducing these numbers would benefit the profitability of the company, the operations of the company, and its reputation too.</w:t>
      </w:r>
    </w:p>
    <w:p w:rsidR="00000000" w:rsidDel="00000000" w:rsidP="00000000" w:rsidRDefault="00000000" w:rsidRPr="00000000" w14:paraId="0000003D">
      <w:pPr>
        <w:rPr>
          <w:rFonts w:ascii="Arial" w:cs="Arial" w:eastAsia="Arial" w:hAnsi="Arial"/>
          <w:sz w:val="24"/>
          <w:szCs w:val="24"/>
        </w:rPr>
      </w:pPr>
      <w:r w:rsidDel="00000000" w:rsidR="00000000" w:rsidRPr="00000000">
        <w:rPr>
          <w:rFonts w:ascii="Arial" w:cs="Arial" w:eastAsia="Arial" w:hAnsi="Arial"/>
          <w:sz w:val="24"/>
          <w:szCs w:val="24"/>
          <w:rtl w:val="0"/>
        </w:rPr>
        <w:t xml:space="preserve">Another recommendation for Coca-Cola would be that the company work to identify the factors that caused its numbers to drop between 2023 and 2024. A small decrease is not a huge cause for concern, but if these numbers continue to fall throughout 2025, it would be beneficial for Coca-Cola to identify the cause at the root of the problem. There are so many external factors that could have impacted Coca-Cola last year. From the wars in Israel and Ukraine impacting the consumer perspective of businesses and the supply chain to a change in social perspective regarding the consumption of unhealthy products, such as soft drinks, there are lots of things that could have contributed to the dip in numbers that Coca-Cola experienced in 2024. Identifying the specific cause would allow Coca-Cola to make business changes to combat the impact of these factors, especially if these factors are likely to be ongoing things. Social changes don’t simply go away, and if these are the main cause of Coca-Cola’s drop in profitability, then the company will need to make changes to remain successful. This could include things such as investing in their sugar-free range, or even expanding to try and produce a healthier version of their key products. Both of these recommendations will help Coca-Cola remain successful and increase its profits in the future.</w:t>
      </w:r>
    </w:p>
    <w:p w:rsidR="00000000" w:rsidDel="00000000" w:rsidP="00000000" w:rsidRDefault="00000000" w:rsidRPr="00000000" w14:paraId="0000003E">
      <w:pPr>
        <w:pStyle w:val="Heading2"/>
        <w:rPr>
          <w:rFonts w:ascii="Arial" w:cs="Arial" w:eastAsia="Arial" w:hAnsi="Arial"/>
        </w:rPr>
      </w:pPr>
      <w:bookmarkStart w:colFirst="0" w:colLast="0" w:name="_l8gqhc9culqr" w:id="16"/>
      <w:bookmarkEnd w:id="16"/>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2"/>
        <w:rPr>
          <w:rFonts w:ascii="Arial" w:cs="Arial" w:eastAsia="Arial" w:hAnsi="Arial"/>
          <w:sz w:val="28"/>
          <w:szCs w:val="28"/>
        </w:rPr>
      </w:pPr>
      <w:bookmarkStart w:colFirst="0" w:colLast="0" w:name="_2et92p0" w:id="17"/>
      <w:bookmarkEnd w:id="17"/>
      <w:r w:rsidDel="00000000" w:rsidR="00000000" w:rsidRPr="00000000">
        <w:rPr>
          <w:rFonts w:ascii="Arial" w:cs="Arial" w:eastAsia="Arial" w:hAnsi="Arial"/>
          <w:sz w:val="28"/>
          <w:szCs w:val="28"/>
          <w:rtl w:val="0"/>
        </w:rPr>
        <w:t xml:space="preserve">Task 2</w:t>
      </w:r>
    </w:p>
    <w:p w:rsidR="00000000" w:rsidDel="00000000" w:rsidP="00000000" w:rsidRDefault="00000000" w:rsidRPr="00000000" w14:paraId="00000040">
      <w:pPr>
        <w:pStyle w:val="Heading3"/>
        <w:rPr>
          <w:rFonts w:ascii="Arial" w:cs="Arial" w:eastAsia="Arial" w:hAnsi="Arial"/>
        </w:rPr>
      </w:pPr>
      <w:bookmarkStart w:colFirst="0" w:colLast="0" w:name="_467i5bifm6r7" w:id="18"/>
      <w:bookmarkEnd w:id="18"/>
      <w:r w:rsidDel="00000000" w:rsidR="00000000" w:rsidRPr="00000000">
        <w:rPr>
          <w:rFonts w:ascii="Arial" w:cs="Arial" w:eastAsia="Arial" w:hAnsi="Arial"/>
          <w:rtl w:val="0"/>
        </w:rPr>
        <w:t xml:space="preserve">Introduction</w:t>
      </w:r>
    </w:p>
    <w:p w:rsidR="00000000" w:rsidDel="00000000" w:rsidP="00000000" w:rsidRDefault="00000000" w:rsidRPr="00000000" w14:paraId="00000041">
      <w:pPr>
        <w:rPr>
          <w:rFonts w:ascii="Arial" w:cs="Arial" w:eastAsia="Arial" w:hAnsi="Arial"/>
          <w:sz w:val="24"/>
          <w:szCs w:val="24"/>
        </w:rPr>
      </w:pPr>
      <w:r w:rsidDel="00000000" w:rsidR="00000000" w:rsidRPr="00000000">
        <w:rPr>
          <w:rFonts w:ascii="Arial" w:cs="Arial" w:eastAsia="Arial" w:hAnsi="Arial"/>
          <w:sz w:val="24"/>
          <w:szCs w:val="24"/>
          <w:rtl w:val="0"/>
        </w:rPr>
        <w:t xml:space="preserve">Greenacres PLC is an outdoor rattan furniture manufacturer that produces high-quality items with much success. The directors of the company are currently in the process of considering 3 different routes to expand and grow the business in a 4-year plan. The options include expanding its current retail outlet which is flourishing to include all products, developing the company’s ability to make internet sales, or expanding the business to produce greenhouses and conservatories in addition to its current products. </w:t>
      </w:r>
    </w:p>
    <w:p w:rsidR="00000000" w:rsidDel="00000000" w:rsidP="00000000" w:rsidRDefault="00000000" w:rsidRPr="00000000" w14:paraId="00000042">
      <w:pPr>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report analyses the three options using techniques such as net present value, internal rate of return and more to conclude which business move would be best for the company. All calculations are included in the appendix and discussed in the main findings of the report. </w:t>
      </w:r>
    </w:p>
    <w:p w:rsidR="00000000" w:rsidDel="00000000" w:rsidP="00000000" w:rsidRDefault="00000000" w:rsidRPr="00000000" w14:paraId="00000043">
      <w:pPr>
        <w:pStyle w:val="Heading3"/>
        <w:rPr>
          <w:rFonts w:ascii="Arial" w:cs="Arial" w:eastAsia="Arial" w:hAnsi="Arial"/>
        </w:rPr>
      </w:pPr>
      <w:bookmarkStart w:colFirst="0" w:colLast="0" w:name="_jfnuthsncg54" w:id="19"/>
      <w:bookmarkEnd w:id="19"/>
      <w:r w:rsidDel="00000000" w:rsidR="00000000" w:rsidRPr="00000000">
        <w:rPr>
          <w:rFonts w:ascii="Arial" w:cs="Arial" w:eastAsia="Arial" w:hAnsi="Arial"/>
          <w:rtl w:val="0"/>
        </w:rPr>
        <w:t xml:space="preserve">Main Findings</w:t>
      </w:r>
    </w:p>
    <w:p w:rsidR="00000000" w:rsidDel="00000000" w:rsidP="00000000" w:rsidRDefault="00000000" w:rsidRPr="00000000" w14:paraId="00000044">
      <w:pPr>
        <w:rPr>
          <w:rFonts w:ascii="Arial" w:cs="Arial" w:eastAsia="Arial" w:hAnsi="Arial"/>
          <w:sz w:val="24"/>
          <w:szCs w:val="24"/>
        </w:rPr>
      </w:pPr>
      <w:r w:rsidDel="00000000" w:rsidR="00000000" w:rsidRPr="00000000">
        <w:rPr>
          <w:rFonts w:ascii="Arial" w:cs="Arial" w:eastAsia="Arial" w:hAnsi="Arial"/>
          <w:sz w:val="24"/>
          <w:szCs w:val="24"/>
          <w:rtl w:val="0"/>
        </w:rPr>
        <w:t xml:space="preserve">There are clear benefits to all of the potential routes of action outlined, and this could make it difficult for the directors at Greenacres Ltd to decide which route to go down. Option A provides a lower return in terms of profit but requires less of an initial expense than the other two options. Likewise, option C produces the greatest amount of profit for Greenacres Ltd but will require a large upfront investment by the company, and questions have to be raised about the affordability of this outlay. </w:t>
      </w:r>
    </w:p>
    <w:p w:rsidR="00000000" w:rsidDel="00000000" w:rsidP="00000000" w:rsidRDefault="00000000" w:rsidRPr="00000000" w14:paraId="00000045">
      <w:pPr>
        <w:rPr>
          <w:rFonts w:ascii="Arial" w:cs="Arial" w:eastAsia="Arial" w:hAnsi="Arial"/>
          <w:sz w:val="24"/>
          <w:szCs w:val="24"/>
        </w:rPr>
      </w:pPr>
      <w:r w:rsidDel="00000000" w:rsidR="00000000" w:rsidRPr="00000000">
        <w:rPr>
          <w:rFonts w:ascii="Arial" w:cs="Arial" w:eastAsia="Arial" w:hAnsi="Arial"/>
          <w:sz w:val="24"/>
          <w:szCs w:val="24"/>
          <w:rtl w:val="0"/>
        </w:rPr>
        <w:t xml:space="preserve">Net present value (NPV) is widely used internationally as the first calculation used to make financial investment decisions, it is an analysis method that can help businesses decide whether, or not, investment in a certain route is a good idea (Chen, 2022). Before you decide if an investment route is a good decision, you’ve first got to define what is considered a “good” investment decision. According to Xu (2015), a good investment decision is a choice that will increase the current market value of a company by increasing equity and increasing the value of the company for its directors. NPV is commonly used to compare the projected results for different investment routes that a company can choose (Investopedia, 2025), and generally, a higher NPV suggests better results for the company. The calculations of NPV for the various options presented to the directors of Greenacres PLC are included in Appendix 2.0, and by looking at these calculations, one might assume that option C would be the most lucrative route for Greenacres. Option C requires the largest upfront investment for Greenacres, however, it also produces the highest NPV by a considerable amount. With an NPV of £4,715,807 in return for an investment of £1.7 million, it is clear to see that this is a good route for Greenacres to explore. However, NPV alone isn’t enough for a business to make such a big investment decision, which is why the Internal Rate of Return (IRR) is also looked at.</w:t>
      </w:r>
    </w:p>
    <w:p w:rsidR="00000000" w:rsidDel="00000000" w:rsidP="00000000" w:rsidRDefault="00000000" w:rsidRPr="00000000" w14:paraId="00000046">
      <w:pPr>
        <w:rPr>
          <w:rFonts w:ascii="Arial" w:cs="Arial" w:eastAsia="Arial" w:hAnsi="Arial"/>
          <w:sz w:val="24"/>
          <w:szCs w:val="24"/>
        </w:rPr>
      </w:pPr>
      <w:r w:rsidDel="00000000" w:rsidR="00000000" w:rsidRPr="00000000">
        <w:rPr>
          <w:rFonts w:ascii="Arial" w:cs="Arial" w:eastAsia="Arial" w:hAnsi="Arial"/>
          <w:sz w:val="24"/>
          <w:szCs w:val="24"/>
          <w:rtl w:val="0"/>
        </w:rPr>
        <w:t xml:space="preserve">Further, in Appendix 2.0, there are also calculations for the Internal Rate of Return (IRR) for option C if Greenacres PLC were to go down this route. IRR is a tool commonly used in capital budgeting to measure the potential profitability of an investment by looking at the company’s required rate of return, this allows a company to identify whether, or not, a business decision is actually realistic for their business, or if it is a poor decision (Mujahed and Elshareif, 2017). As seen in Appendix 2.0, the IRR for option C for Greenacres PLC is 32% which is actually a very high rate of return in investment terms. When looking at investment opportunities, businesses will often compare their IRR with inflation, and it is clear that 32% is significantly higher than inflation which means that this option could be an excellent investment route for Greenacres PLC. However, once corporation tax at 25% and capital allowance at 20% are factored in, suddenly 32% doesn’t look as exciting. Once the IRR is calculated for all of the different investment opportunities, it quickly becomes clear that option B is the best option for Greenacres PLC. While it doesn’t produce as large of a sum as option C, option B has an IRR of 48% which means that after corporation tax and capital allowance are considered, the company will still be making a profit. So based on the calculations completed, it would be recommended that Greenacres PLC go with option B for their investment. Option B is the perfect middle line between the 3 options, the initial investment is neither too low nor too high, and its return is excellent. Option B also refers to expanding into online sales which is an excellent choice for any company operating in the modern day. Online selling platforms give companies a chance to reach customers who wouldn’t be able to access their products and services due to geographical restraints and allow companies to enter previously untapped markets </w:t>
      </w:r>
      <w:r w:rsidDel="00000000" w:rsidR="00000000" w:rsidRPr="00000000">
        <w:rPr>
          <w:rFonts w:ascii="Arial" w:cs="Arial" w:eastAsia="Arial" w:hAnsi="Arial"/>
          <w:sz w:val="24"/>
          <w:szCs w:val="24"/>
          <w:rtl w:val="0"/>
        </w:rPr>
        <w:t xml:space="preserve">(Santos et al, 2023)</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Both IRR and NPV are not new calculations, these are business calculations that have been used for investment opportunities for a great number of years, and that is why they remain so popular. There are a lot of professionals who will argue that NPV is the best calculation to use when you are exploring investment routes. There are lots of reasons why NPV is a good calculation to use, including the fact that NPV specifically looks at the impact of an investment opportunity on shareholder wealth </w:t>
      </w:r>
      <w:r w:rsidDel="00000000" w:rsidR="00000000" w:rsidRPr="00000000">
        <w:rPr>
          <w:rFonts w:ascii="Arial" w:cs="Arial" w:eastAsia="Arial" w:hAnsi="Arial"/>
          <w:sz w:val="24"/>
          <w:szCs w:val="24"/>
          <w:rtl w:val="0"/>
        </w:rPr>
        <w:t xml:space="preserve">(Gallo, 2014)</w:t>
      </w:r>
      <w:r w:rsidDel="00000000" w:rsidR="00000000" w:rsidRPr="00000000">
        <w:rPr>
          <w:rFonts w:ascii="Arial" w:cs="Arial" w:eastAsia="Arial" w:hAnsi="Arial"/>
          <w:sz w:val="24"/>
          <w:szCs w:val="24"/>
          <w:rtl w:val="0"/>
        </w:rPr>
        <w:t xml:space="preserve">. When a business has shareholders, it is important that they are considered in business decisions, and NPV does just that which is part of the reason it has remained so popular over the years. Another big reason why businesses like to use NPV when analysing investment opportunities is that it also looks at the time value of money. Some calculations don’t consider the impact of deductions over the years when looking at investment outcomes, and this provides an inaccurate picture of what the future might look like. However, NPV actually takes into account discounts on future cash flows and paints a more realistic picture of how investments might benefit a company in the future </w:t>
      </w:r>
      <w:r w:rsidDel="00000000" w:rsidR="00000000" w:rsidRPr="00000000">
        <w:rPr>
          <w:rFonts w:ascii="Arial" w:cs="Arial" w:eastAsia="Arial" w:hAnsi="Arial"/>
          <w:sz w:val="24"/>
          <w:szCs w:val="24"/>
          <w:rtl w:val="0"/>
        </w:rPr>
        <w:t xml:space="preserve">(Investopedia, 2025)</w:t>
      </w:r>
      <w:r w:rsidDel="00000000" w:rsidR="00000000" w:rsidRPr="00000000">
        <w:rPr>
          <w:rFonts w:ascii="Arial" w:cs="Arial" w:eastAsia="Arial" w:hAnsi="Arial"/>
          <w:sz w:val="24"/>
          <w:szCs w:val="24"/>
          <w:rtl w:val="0"/>
        </w:rPr>
        <w:t xml:space="preserve">. These are two of the primary reasons why NPV is often referred to as the best method of investment appraisal. Just like NPV, IRR is not a new calculation, in fact, it has been one of the most important investment calculations since the 1960s. For some business people, IRR is the more preferable method and that is because it shows potential results as a percentage rather than a whole number (Kierulff, 2012). When you think of future predictions, it is sometimes easier to analyse percentages than whole numbers, simply because a percentage will always be a ratio of 100. Whereas whole numbers are harder to compare as they don’t have a relative figure. That being said, NPV still remains one of the most commonly used investment calculations. </w:t>
      </w:r>
    </w:p>
    <w:p w:rsidR="00000000" w:rsidDel="00000000" w:rsidP="00000000" w:rsidRDefault="00000000" w:rsidRPr="00000000" w14:paraId="00000048">
      <w:pPr>
        <w:rPr>
          <w:rFonts w:ascii="Arial" w:cs="Arial" w:eastAsia="Arial" w:hAnsi="Arial"/>
          <w:sz w:val="24"/>
          <w:szCs w:val="24"/>
        </w:rPr>
      </w:pPr>
      <w:r w:rsidDel="00000000" w:rsidR="00000000" w:rsidRPr="00000000">
        <w:rPr>
          <w:rFonts w:ascii="Arial" w:cs="Arial" w:eastAsia="Arial" w:hAnsi="Arial"/>
          <w:sz w:val="24"/>
          <w:szCs w:val="24"/>
          <w:rtl w:val="0"/>
        </w:rPr>
        <w:t xml:space="preserve">As mentioned earlier, NPV is an investment calculation that discounts over the years, and this is why it can provide a more realistic picture of what potential investments might look like. However, non-discounting methods of investment appraisal are still very popular, and there are a lot of reasons for this. One of the main reasons is the fact that non-discounting methods are generally easier to calculate than discounting methods. If you want a quick calculation, then a non-discounting method can be done instantly as opposed to discounting methods, such as IRR and NPV which take more complex calculations</w:t>
      </w:r>
      <w:r w:rsidDel="00000000" w:rsidR="00000000" w:rsidRPr="00000000">
        <w:rPr>
          <w:rFonts w:ascii="Arial" w:cs="Arial" w:eastAsia="Arial" w:hAnsi="Arial"/>
          <w:sz w:val="24"/>
          <w:szCs w:val="24"/>
          <w:rtl w:val="0"/>
        </w:rPr>
        <w:t xml:space="preserve"> (CFI Team, 2025)</w:t>
      </w:r>
      <w:r w:rsidDel="00000000" w:rsidR="00000000" w:rsidRPr="00000000">
        <w:rPr>
          <w:rFonts w:ascii="Arial" w:cs="Arial" w:eastAsia="Arial" w:hAnsi="Arial"/>
          <w:sz w:val="24"/>
          <w:szCs w:val="24"/>
          <w:rtl w:val="0"/>
        </w:rPr>
        <w:t xml:space="preserve">. From a manager's perspective, non-discounting methods are also easier to understand as they require less accounting knowledge, and they give managers a simple number, allowing them to make quick decisions </w:t>
      </w:r>
      <w:r w:rsidDel="00000000" w:rsidR="00000000" w:rsidRPr="00000000">
        <w:rPr>
          <w:rFonts w:ascii="Arial" w:cs="Arial" w:eastAsia="Arial" w:hAnsi="Arial"/>
          <w:sz w:val="24"/>
          <w:szCs w:val="24"/>
          <w:rtl w:val="0"/>
        </w:rPr>
        <w:t xml:space="preserve">(ACCA, 2025)</w:t>
      </w:r>
      <w:r w:rsidDel="00000000" w:rsidR="00000000" w:rsidRPr="00000000">
        <w:rPr>
          <w:rFonts w:ascii="Arial" w:cs="Arial" w:eastAsia="Arial" w:hAnsi="Arial"/>
          <w:sz w:val="24"/>
          <w:szCs w:val="24"/>
          <w:rtl w:val="0"/>
        </w:rPr>
        <w:t xml:space="preserve">, however, investment decisions made on the basis of discounting methods of investment appraisal will be more beneficial to companies. Another reason why non-discounting methods of investment appraisal have remained popular is because they are great for short-term investment opportunities. While discounting methods will be more beneficial for long-term, larger investments, short-term investments will be easier to analyse using non-discounting methods of investment appraisal </w:t>
      </w:r>
      <w:r w:rsidDel="00000000" w:rsidR="00000000" w:rsidRPr="00000000">
        <w:rPr>
          <w:rFonts w:ascii="Arial" w:cs="Arial" w:eastAsia="Arial" w:hAnsi="Arial"/>
          <w:sz w:val="24"/>
          <w:szCs w:val="24"/>
          <w:rtl w:val="0"/>
        </w:rPr>
        <w:t xml:space="preserve">(Imarticus, 2025)</w:t>
      </w:r>
      <w:r w:rsidDel="00000000" w:rsidR="00000000" w:rsidRPr="00000000">
        <w:rPr>
          <w:rFonts w:ascii="Arial" w:cs="Arial" w:eastAsia="Arial" w:hAnsi="Arial"/>
          <w:sz w:val="24"/>
          <w:szCs w:val="24"/>
          <w:rtl w:val="0"/>
        </w:rPr>
        <w:t xml:space="preserve">. Short-term investments tend to require a smaller upfront investment, and as they will usually return a profit within a short period of time, the time value of the money is less significant than for long-term investments </w:t>
      </w:r>
      <w:r w:rsidDel="00000000" w:rsidR="00000000" w:rsidRPr="00000000">
        <w:rPr>
          <w:rFonts w:ascii="Arial" w:cs="Arial" w:eastAsia="Arial" w:hAnsi="Arial"/>
          <w:sz w:val="24"/>
          <w:szCs w:val="24"/>
          <w:rtl w:val="0"/>
        </w:rPr>
        <w:t xml:space="preserve">(Wesleyan, 2025)</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and that is why non-discounting methods will often be more appropriate for these quick calculations. Generally, when it comes to discounting methods vs non-discounting methods of investment appraisal, the right calculation must be used for the type of investment that a business is looking to make. If a business is analysing long-term investments, like Greenacres PLC is, then a discounting method will be more appropriate. But if a company is simply analysing short-term investment success, then a non-discounting method of investment appraisal will be fine for this purpose. </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Before making an investment decision, there are other things that a company will need to consider in addition to investment appraisal calculations. Firstly, the company should consider its goals, both short-term and long-term. While investing in something might bring in money for a company, it could prevent the company from reaching other goals within that period, so it is important to confirm that investment opportunities help a company work towards achieving goals, rather than take away from them </w:t>
      </w:r>
      <w:r w:rsidDel="00000000" w:rsidR="00000000" w:rsidRPr="00000000">
        <w:rPr>
          <w:rFonts w:ascii="Arial" w:cs="Arial" w:eastAsia="Arial" w:hAnsi="Arial"/>
          <w:sz w:val="24"/>
          <w:szCs w:val="24"/>
          <w:rtl w:val="0"/>
        </w:rPr>
        <w:t xml:space="preserve">(Sull, 2018)</w:t>
      </w:r>
      <w:r w:rsidDel="00000000" w:rsidR="00000000" w:rsidRPr="00000000">
        <w:rPr>
          <w:rFonts w:ascii="Arial" w:cs="Arial" w:eastAsia="Arial" w:hAnsi="Arial"/>
          <w:sz w:val="24"/>
          <w:szCs w:val="24"/>
          <w:rtl w:val="0"/>
        </w:rPr>
        <w:t xml:space="preserve">. It is also important to ensure that investment doesn’t put a company into a tricky financial position, investments should only be made when a company has an adequate amount of capital to continue operations, it shouldn’t be made as a last resort to save a company, it should be made as an opportunity for a company to grow </w:t>
      </w:r>
      <w:r w:rsidDel="00000000" w:rsidR="00000000" w:rsidRPr="00000000">
        <w:rPr>
          <w:rFonts w:ascii="Arial" w:cs="Arial" w:eastAsia="Arial" w:hAnsi="Arial"/>
          <w:sz w:val="24"/>
          <w:szCs w:val="24"/>
          <w:rtl w:val="0"/>
        </w:rPr>
        <w:t xml:space="preserve">(Bradley et al, 2022)</w:t>
      </w:r>
      <w:r w:rsidDel="00000000" w:rsidR="00000000" w:rsidRPr="00000000">
        <w:rPr>
          <w:rFonts w:ascii="Arial" w:cs="Arial" w:eastAsia="Arial" w:hAnsi="Arial"/>
          <w:sz w:val="24"/>
          <w:szCs w:val="24"/>
          <w:rtl w:val="0"/>
        </w:rPr>
        <w:t xml:space="preserve">. Before making any investments, companies should also consider their own liquidity and their current investment portfolio. Ideally investment portfolios should be diverse to help protect the company’s assets </w:t>
      </w:r>
      <w:r w:rsidDel="00000000" w:rsidR="00000000" w:rsidRPr="00000000">
        <w:rPr>
          <w:rFonts w:ascii="Arial" w:cs="Arial" w:eastAsia="Arial" w:hAnsi="Arial"/>
          <w:sz w:val="24"/>
          <w:szCs w:val="24"/>
          <w:rtl w:val="0"/>
        </w:rPr>
        <w:t xml:space="preserve">(Antretter et al, 2020)</w:t>
      </w:r>
      <w:r w:rsidDel="00000000" w:rsidR="00000000" w:rsidRPr="00000000">
        <w:rPr>
          <w:rFonts w:ascii="Arial" w:cs="Arial" w:eastAsia="Arial" w:hAnsi="Arial"/>
          <w:sz w:val="24"/>
          <w:szCs w:val="24"/>
          <w:rtl w:val="0"/>
        </w:rPr>
        <w:t xml:space="preserve">, so it is important to consider this before making any new investments. Finally, external and internal factors need to be considered before investments are made. Business leaders should question how potential investments would impact employees both financially and emotionally too, would employees be happy with that investment? Or is it likely to impact employee morale? These are questions that need to be asked before investing. Likewise, external factors need to be considered </w:t>
      </w:r>
      <w:r w:rsidDel="00000000" w:rsidR="00000000" w:rsidRPr="00000000">
        <w:rPr>
          <w:rFonts w:ascii="Arial" w:cs="Arial" w:eastAsia="Arial" w:hAnsi="Arial"/>
          <w:sz w:val="24"/>
          <w:szCs w:val="24"/>
          <w:rtl w:val="0"/>
        </w:rPr>
        <w:t xml:space="preserve">(Bialowolski, 2014)</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 is the current economic environment suitable for investment? What are the social opinions on your potential investment route? Will any legal factors affect your ability to invest? The external business environment is incredibly important and can make the difference between an investment being successful or failing, so conducting a thorough PESTLE analysis</w:t>
      </w:r>
      <w:r w:rsidDel="00000000" w:rsidR="00000000" w:rsidRPr="00000000">
        <w:rPr>
          <w:rFonts w:ascii="Arial" w:cs="Arial" w:eastAsia="Arial" w:hAnsi="Arial"/>
          <w:sz w:val="24"/>
          <w:szCs w:val="24"/>
          <w:rtl w:val="0"/>
        </w:rPr>
        <w:t xml:space="preserve"> (CIPD, 2024) i</w:t>
      </w:r>
      <w:r w:rsidDel="00000000" w:rsidR="00000000" w:rsidRPr="00000000">
        <w:rPr>
          <w:rFonts w:ascii="Arial" w:cs="Arial" w:eastAsia="Arial" w:hAnsi="Arial"/>
          <w:sz w:val="24"/>
          <w:szCs w:val="24"/>
          <w:rtl w:val="0"/>
        </w:rPr>
        <w:t xml:space="preserve">s just as crucial as completing investment appraisal calculations before choosing which investment route to take. </w:t>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In Appendix 2.0, there are also calculations that look at an alternative opportunity for investment where Greenacres PLC can divide £2,500,000 between different investment routes. After calculating the NPV and IRR earlier for these investment routes, it would be recommended for Greenacres PLC to split the £2,500,000 between the 3 routes. It would be recommended that Greenacres invest the total amount of £660,000 into Project A and the total amount of £1,000,000 into Project B. As mentioned earlier, these were the two most lucrative opportunities so investing the full amount in these will produce an excellent return for Greenacres PLC. Then with the remaining money, it is recommended that Greenacres PLC invest a total of £850,000 into option C. Option C previously produced the largest number when looking at NPV, but had the lowest IRR which made it a less attractive investment opportunity. But when combined with options A and B, it would be a good opportunity for Greenacres PLC. This would produce an NPV of £8,875,000 for Greenacres PLC and would produce an IRR of 43%, both of which are excellent numbers for an investment opportunity for a business. Of course, the external business environment should be analysed before making this investment, but based on the numbers alone, it is clear that it could be a really good opportunity for Greenacres PLC. </w:t>
      </w:r>
    </w:p>
    <w:p w:rsidR="00000000" w:rsidDel="00000000" w:rsidP="00000000" w:rsidRDefault="00000000" w:rsidRPr="00000000" w14:paraId="0000004B">
      <w:pPr>
        <w:pStyle w:val="Heading3"/>
        <w:spacing w:after="160" w:before="320" w:lineRule="auto"/>
        <w:rPr>
          <w:rFonts w:ascii="Arial" w:cs="Arial" w:eastAsia="Arial" w:hAnsi="Arial"/>
        </w:rPr>
      </w:pPr>
      <w:bookmarkStart w:colFirst="0" w:colLast="0" w:name="_qf6xcxt0s3cx" w:id="20"/>
      <w:bookmarkEnd w:id="20"/>
      <w:r w:rsidDel="00000000" w:rsidR="00000000" w:rsidRPr="00000000">
        <w:rPr>
          <w:rFonts w:ascii="Arial" w:cs="Arial" w:eastAsia="Arial" w:hAnsi="Arial"/>
          <w:rtl w:val="0"/>
        </w:rPr>
        <w:t xml:space="preserve">Recommendations</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sz w:val="24"/>
          <w:szCs w:val="24"/>
          <w:rtl w:val="0"/>
        </w:rPr>
        <w:t xml:space="preserve">This report has analysed all the different potential routes that Greenacres PLC could go down if they wanted to invest in growing the business. Depending on the route that is chosen by the directors, there are a couple of different ways that the project could be funded. An ideal investment would include Greenacres PLC using their funds to grow the business, however, with the upfront cost of the investments assessed in this report, it is unlikely that the business would have that much capital available to them. However, if they used equity funding they could combine their capital with new shares issued to new shareholders, or existing shareholders </w:t>
      </w:r>
      <w:r w:rsidDel="00000000" w:rsidR="00000000" w:rsidRPr="00000000">
        <w:rPr>
          <w:rFonts w:ascii="Arial" w:cs="Arial" w:eastAsia="Arial" w:hAnsi="Arial"/>
          <w:sz w:val="24"/>
          <w:szCs w:val="24"/>
          <w:rtl w:val="0"/>
        </w:rPr>
        <w:t xml:space="preserve">(Gompers, 2003)</w:t>
      </w:r>
      <w:r w:rsidDel="00000000" w:rsidR="00000000" w:rsidRPr="00000000">
        <w:rPr>
          <w:rFonts w:ascii="Arial" w:cs="Arial" w:eastAsia="Arial" w:hAnsi="Arial"/>
          <w:sz w:val="24"/>
          <w:szCs w:val="24"/>
          <w:rtl w:val="0"/>
        </w:rPr>
        <w:t xml:space="preserve">. One of the biggest drawbacks of equity finance is that it does mean that the ownership of the company becomes diluted as more shares are sold, however, investment from external shareholders could be offered on a short-term basis if the company is able to return the investment amount to shareholders within a set period</w:t>
      </w:r>
      <w:r w:rsidDel="00000000" w:rsidR="00000000" w:rsidRPr="00000000">
        <w:rPr>
          <w:rFonts w:ascii="Arial" w:cs="Arial" w:eastAsia="Arial" w:hAnsi="Arial"/>
          <w:sz w:val="24"/>
          <w:szCs w:val="24"/>
          <w:rtl w:val="0"/>
        </w:rPr>
        <w:t xml:space="preserve"> (Almanaseer, 2024)</w:t>
      </w:r>
      <w:r w:rsidDel="00000000" w:rsidR="00000000" w:rsidRPr="00000000">
        <w:rPr>
          <w:rFonts w:ascii="Arial" w:cs="Arial" w:eastAsia="Arial" w:hAnsi="Arial"/>
          <w:sz w:val="24"/>
          <w:szCs w:val="24"/>
          <w:rtl w:val="0"/>
        </w:rPr>
        <w:t xml:space="preserve">. Another opportunity would be debt financing, which would require Greenacres PLC to take out a loan to cover the new investment. Debt financing could involve the use of bank loans, bond issues or debentures, but they all essentially require Greenacres PLC to borrow money to grow the business </w:t>
      </w:r>
      <w:r w:rsidDel="00000000" w:rsidR="00000000" w:rsidRPr="00000000">
        <w:rPr>
          <w:rFonts w:ascii="Arial" w:cs="Arial" w:eastAsia="Arial" w:hAnsi="Arial"/>
          <w:sz w:val="24"/>
          <w:szCs w:val="24"/>
          <w:rtl w:val="0"/>
        </w:rPr>
        <w:t xml:space="preserve">(Legesse et al, 2021)</w:t>
      </w:r>
      <w:r w:rsidDel="00000000" w:rsidR="00000000" w:rsidRPr="00000000">
        <w:rPr>
          <w:rFonts w:ascii="Arial" w:cs="Arial" w:eastAsia="Arial" w:hAnsi="Arial"/>
          <w:sz w:val="24"/>
          <w:szCs w:val="24"/>
          <w:rtl w:val="0"/>
        </w:rPr>
        <w:t xml:space="preserve">. This is the biggest drawback of debt financing, however, it does mean that Greenacres wouldn’t have to finance the investment themselves, and as such a large company, they would probably be able to negotiate fair loan terms with their lenders. Finally, Greenacres PLC could look into other sources of finance, such as government grants, asset finance or venture capital. Grants are hard to come by, but excellent for businesses that qualify for them, asset finance could be possible depending on what machinery Greenacres has that they could lease without reducing their business operations, and venture capital could be an opportunity as the investments outlined in this report show that Greenacres could return high amounts for this investment opportunity. Before the directors choose a route for financing the investment, all options must be analysed to ensure that the business has the best chance of a successful investment. </w:t>
      </w:r>
      <w:r w:rsidDel="00000000" w:rsidR="00000000" w:rsidRPr="00000000">
        <w:rPr>
          <w:rtl w:val="0"/>
        </w:rPr>
      </w:r>
    </w:p>
    <w:p w:rsidR="00000000" w:rsidDel="00000000" w:rsidP="00000000" w:rsidRDefault="00000000" w:rsidRPr="00000000" w14:paraId="0000004D">
      <w:pPr>
        <w:pStyle w:val="Heading1"/>
        <w:rPr>
          <w:rFonts w:ascii="Arial" w:cs="Arial" w:eastAsia="Arial" w:hAnsi="Arial"/>
        </w:rPr>
      </w:pPr>
      <w:bookmarkStart w:colFirst="0" w:colLast="0" w:name="_ng4xkmhxv6x2" w:id="21"/>
      <w:bookmarkEnd w:id="21"/>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rFonts w:ascii="Arial" w:cs="Arial" w:eastAsia="Arial" w:hAnsi="Arial"/>
          <w:sz w:val="28"/>
          <w:szCs w:val="28"/>
        </w:rPr>
      </w:pPr>
      <w:bookmarkStart w:colFirst="0" w:colLast="0" w:name="_poj2i2unckom" w:id="22"/>
      <w:bookmarkEnd w:id="22"/>
      <w:r w:rsidDel="00000000" w:rsidR="00000000" w:rsidRPr="00000000">
        <w:rPr>
          <w:rFonts w:ascii="Arial" w:cs="Arial" w:eastAsia="Arial" w:hAnsi="Arial"/>
          <w:sz w:val="28"/>
          <w:szCs w:val="28"/>
          <w:rtl w:val="0"/>
        </w:rPr>
        <w:t xml:space="preserve">Conclusion </w:t>
      </w:r>
    </w:p>
    <w:p w:rsidR="00000000" w:rsidDel="00000000" w:rsidP="00000000" w:rsidRDefault="00000000" w:rsidRPr="00000000" w14:paraId="0000004F">
      <w:pPr>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this report has looked at both Coca-Cola PLC and Greenacres PLC and has used financial theory and calculations to paint a picture of business operations for both companies. In the case of Coca-Cola, it has assessed previous business operations to provide recommendations moving forward, and in the case of Greenacres PLC it has looked at potential routes the business could take in the future and their potential success. </w:t>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The report for Coca-Cola PLC drew some interesting conclusions based on their operations in the years 2023 and 2024, it highlighted that there has been a reduction in numbers across the board which could potentially be a cause for concern for Coca-Cola. It has suggested that this is something the company should monitor moving into 2025 and has provided recommendations for how the company should manage to remain successful. One of these recommendations includes focusing on the number of days it takes for Coca-Cola to receive payments from debtors, make payments to their creditors, and turn over their stock. All of these numbers are way too high, and this could be impacting the profitability of Coca-Cola, so working to reduce them would be beneficial. Likewise, it has been suggested that Coca-Cola complete further research into the root cause for their drop in numbers in 2024. While this could have been caused by an external factor that only impacted the company in that business year, it could just as easily be something that will impact Coca-Cola in future years too. So identifying what has impacted business operations will allow Coca-Cola to plan and adapt to this, ensuring they remain successful in the future. </w:t>
      </w:r>
    </w:p>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sz w:val="24"/>
          <w:szCs w:val="24"/>
          <w:rtl w:val="0"/>
        </w:rPr>
        <w:t xml:space="preserve">The report for Greenacres PLC also draws some interesting conclusions by analysing the different investment routes offered to the business. If Greenacres PLC is only able to choose one option for investment, then investment option B is the most favourable as it has the highest IRR after looking at the NPV, the profits drawn from this would allow Greenacres PLC to pay capital allowance and corporation tax while still retaining a profit. The report also outlines option D which would involve the company investing a total of £2.5 million into growing the business, option D would involve a full investment into options A and B and a partial investment into option C. This option would produce an NPV of £8,875,000 which is an excellent figure, and understandably the highest of all the investment routes. However, £2.5 million is a large amount of capital to raise for an initial investment, so the affordability of this would have to be assessed by the company, alongside potential ways to finance the investment. But what is certain from this report is that Greenacres has several potentially highly successful investment routes that its board of directors really should consider. </w:t>
      </w: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rPr>
          <w:rFonts w:ascii="Arial" w:cs="Arial" w:eastAsia="Arial" w:hAnsi="Arial"/>
        </w:rPr>
      </w:pPr>
      <w:bookmarkStart w:colFirst="0" w:colLast="0" w:name="_3dy6vkm" w:id="23"/>
      <w:bookmarkEnd w:id="23"/>
      <w:r w:rsidDel="00000000" w:rsidR="00000000" w:rsidRPr="00000000">
        <w:rPr>
          <w:rFonts w:ascii="Arial" w:cs="Arial" w:eastAsia="Arial" w:hAnsi="Arial"/>
          <w:rtl w:val="0"/>
        </w:rPr>
        <w:t xml:space="preserve">Bibliography</w:t>
      </w:r>
    </w:p>
    <w:p w:rsidR="00000000" w:rsidDel="00000000" w:rsidP="00000000" w:rsidRDefault="00000000" w:rsidRPr="00000000" w14:paraId="00000053">
      <w:pPr>
        <w:spacing w:line="276" w:lineRule="auto"/>
        <w:rPr>
          <w:rFonts w:ascii="Arial" w:cs="Arial" w:eastAsia="Arial" w:hAnsi="Arial"/>
          <w:color w:val="333333"/>
          <w:sz w:val="24"/>
          <w:szCs w:val="24"/>
          <w:highlight w:val="white"/>
        </w:rPr>
      </w:pPr>
      <w:r w:rsidDel="00000000" w:rsidR="00000000" w:rsidRPr="00000000">
        <w:rPr>
          <w:rFonts w:ascii="Arial" w:cs="Arial" w:eastAsia="Arial" w:hAnsi="Arial"/>
          <w:sz w:val="24"/>
          <w:szCs w:val="24"/>
          <w:highlight w:val="white"/>
          <w:rtl w:val="0"/>
        </w:rPr>
        <w:t xml:space="preserve">ACCA (2025) ‘Advanced Investment Appraisal’. Available at: </w:t>
      </w:r>
      <w:hyperlink r:id="rId8">
        <w:r w:rsidDel="00000000" w:rsidR="00000000" w:rsidRPr="00000000">
          <w:rPr>
            <w:rFonts w:ascii="Arial" w:cs="Arial" w:eastAsia="Arial" w:hAnsi="Arial"/>
            <w:color w:val="1155cc"/>
            <w:sz w:val="24"/>
            <w:szCs w:val="24"/>
            <w:highlight w:val="white"/>
            <w:u w:val="single"/>
            <w:rtl w:val="0"/>
          </w:rPr>
          <w:t xml:space="preserve">https://www.accaglobal.com/gb/en/student/exam-support-resources/fundamentals-exams-study-resources/f9/technical-articles/advanced-investment-appraisal.html</w:t>
        </w:r>
      </w:hyperlink>
      <w:r w:rsidDel="00000000" w:rsidR="00000000" w:rsidRPr="00000000">
        <w:rPr>
          <w:rFonts w:ascii="Arial" w:cs="Arial" w:eastAsia="Arial" w:hAnsi="Arial"/>
          <w:color w:val="333333"/>
          <w:sz w:val="24"/>
          <w:szCs w:val="24"/>
          <w:highlight w:val="white"/>
          <w:rtl w:val="0"/>
        </w:rPr>
        <w:t xml:space="preserve"> (Accessed: 19 January 2025)</w:t>
      </w:r>
    </w:p>
    <w:p w:rsidR="00000000" w:rsidDel="00000000" w:rsidP="00000000" w:rsidRDefault="00000000" w:rsidRPr="00000000" w14:paraId="00000054">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Almanaseer, S.R. (2024) ‘The Impact of Equity Financing on Financial Performance: Evidence from Jordan’, </w:t>
      </w:r>
      <w:r w:rsidDel="00000000" w:rsidR="00000000" w:rsidRPr="00000000">
        <w:rPr>
          <w:rFonts w:ascii="Arial" w:cs="Arial" w:eastAsia="Arial" w:hAnsi="Arial"/>
          <w:i w:val="1"/>
          <w:sz w:val="24"/>
          <w:szCs w:val="24"/>
          <w:highlight w:val="white"/>
          <w:rtl w:val="0"/>
        </w:rPr>
        <w:t xml:space="preserve">Foundations of Management, </w:t>
      </w:r>
      <w:r w:rsidDel="00000000" w:rsidR="00000000" w:rsidRPr="00000000">
        <w:rPr>
          <w:rFonts w:ascii="Arial" w:cs="Arial" w:eastAsia="Arial" w:hAnsi="Arial"/>
          <w:sz w:val="24"/>
          <w:szCs w:val="24"/>
          <w:highlight w:val="white"/>
          <w:rtl w:val="0"/>
        </w:rPr>
        <w:t xml:space="preserve">16(1), pp. 157-176. Available at: </w:t>
      </w:r>
      <w:hyperlink r:id="rId9">
        <w:r w:rsidDel="00000000" w:rsidR="00000000" w:rsidRPr="00000000">
          <w:rPr>
            <w:rFonts w:ascii="Arial" w:cs="Arial" w:eastAsia="Arial" w:hAnsi="Arial"/>
            <w:color w:val="1155cc"/>
            <w:sz w:val="24"/>
            <w:szCs w:val="24"/>
            <w:highlight w:val="white"/>
            <w:u w:val="single"/>
            <w:rtl w:val="0"/>
          </w:rPr>
          <w:t xml:space="preserve">https://www.researchgate.net/publication/383799902_The_Impact_of_Equity_Financing_on_Financial_Performance_Evidence_from_Jordan</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55">
      <w:pPr>
        <w:spacing w:line="276" w:lineRule="auto"/>
        <w:rPr>
          <w:rFonts w:ascii="Arial" w:cs="Arial" w:eastAsia="Arial" w:hAnsi="Arial"/>
          <w:color w:val="333333"/>
          <w:sz w:val="24"/>
          <w:szCs w:val="24"/>
          <w:highlight w:val="white"/>
        </w:rPr>
      </w:pPr>
      <w:r w:rsidDel="00000000" w:rsidR="00000000" w:rsidRPr="00000000">
        <w:rPr>
          <w:rFonts w:ascii="Arial" w:cs="Arial" w:eastAsia="Arial" w:hAnsi="Arial"/>
          <w:sz w:val="24"/>
          <w:szCs w:val="24"/>
          <w:highlight w:val="white"/>
          <w:rtl w:val="0"/>
        </w:rPr>
        <w:t xml:space="preserve">Andrianto, A., and Amin, A. (2023) ‘The Effect of Gross Profit Margin,  Intellectual Capital, Investment Opportunity Set on Firm Value with Earnings Management as an Intervening Variable’,  </w:t>
      </w:r>
      <w:r w:rsidDel="00000000" w:rsidR="00000000" w:rsidRPr="00000000">
        <w:rPr>
          <w:rFonts w:ascii="Arial" w:cs="Arial" w:eastAsia="Arial" w:hAnsi="Arial"/>
          <w:i w:val="1"/>
          <w:sz w:val="24"/>
          <w:szCs w:val="24"/>
          <w:highlight w:val="white"/>
          <w:rtl w:val="0"/>
        </w:rPr>
        <w:t xml:space="preserve">Journal of Social Research, </w:t>
      </w:r>
      <w:r w:rsidDel="00000000" w:rsidR="00000000" w:rsidRPr="00000000">
        <w:rPr>
          <w:rFonts w:ascii="Arial" w:cs="Arial" w:eastAsia="Arial" w:hAnsi="Arial"/>
          <w:sz w:val="24"/>
          <w:szCs w:val="24"/>
          <w:highlight w:val="white"/>
          <w:rtl w:val="0"/>
        </w:rPr>
        <w:t xml:space="preserve">2(10), pp. 3428-3450. Available at: </w:t>
      </w:r>
      <w:hyperlink r:id="rId10">
        <w:r w:rsidDel="00000000" w:rsidR="00000000" w:rsidRPr="00000000">
          <w:rPr>
            <w:rFonts w:ascii="Arial" w:cs="Arial" w:eastAsia="Arial" w:hAnsi="Arial"/>
            <w:color w:val="1155cc"/>
            <w:sz w:val="24"/>
            <w:szCs w:val="24"/>
            <w:highlight w:val="white"/>
            <w:u w:val="single"/>
            <w:rtl w:val="0"/>
          </w:rPr>
          <w:t xml:space="preserve">https://www.researchgate.net/publication/373665140_The_Effect_of_Gross_Profit_Margin_Intellectual_Capital_Investment_Opportunity_Set_on_Firm_Value_with_Earnings_Management_as_an_Intervening_Variable</w:t>
        </w:r>
      </w:hyperlink>
      <w:r w:rsidDel="00000000" w:rsidR="00000000" w:rsidRPr="00000000">
        <w:rPr>
          <w:rFonts w:ascii="Arial" w:cs="Arial" w:eastAsia="Arial" w:hAnsi="Arial"/>
          <w:color w:val="333333"/>
          <w:sz w:val="24"/>
          <w:szCs w:val="24"/>
          <w:highlight w:val="white"/>
          <w:rtl w:val="0"/>
        </w:rPr>
        <w:t xml:space="preserve"> (Accessed: 19 January 2025)</w:t>
      </w:r>
    </w:p>
    <w:p w:rsidR="00000000" w:rsidDel="00000000" w:rsidP="00000000" w:rsidRDefault="00000000" w:rsidRPr="00000000" w14:paraId="00000056">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Antretter, T., Siren, C., Grichnik, D., and Wincent, J. (2020) ‘Should Business Angels Diversify Their Investment Portfolios to Achieve Higher Performance? The Role of Knowledge Access through Co-Investment Networks’, </w:t>
      </w:r>
      <w:r w:rsidDel="00000000" w:rsidR="00000000" w:rsidRPr="00000000">
        <w:rPr>
          <w:rFonts w:ascii="Arial" w:cs="Arial" w:eastAsia="Arial" w:hAnsi="Arial"/>
          <w:i w:val="1"/>
          <w:sz w:val="24"/>
          <w:szCs w:val="24"/>
          <w:highlight w:val="white"/>
          <w:rtl w:val="0"/>
        </w:rPr>
        <w:t xml:space="preserve">Journal of Business Venturing, </w:t>
      </w:r>
      <w:r w:rsidDel="00000000" w:rsidR="00000000" w:rsidRPr="00000000">
        <w:rPr>
          <w:rFonts w:ascii="Arial" w:cs="Arial" w:eastAsia="Arial" w:hAnsi="Arial"/>
          <w:sz w:val="24"/>
          <w:szCs w:val="24"/>
          <w:highlight w:val="white"/>
          <w:rtl w:val="0"/>
        </w:rPr>
        <w:t xml:space="preserve">35(5). Available at: </w:t>
      </w:r>
      <w:hyperlink r:id="rId11">
        <w:r w:rsidDel="00000000" w:rsidR="00000000" w:rsidRPr="00000000">
          <w:rPr>
            <w:rFonts w:ascii="Arial" w:cs="Arial" w:eastAsia="Arial" w:hAnsi="Arial"/>
            <w:color w:val="1155cc"/>
            <w:sz w:val="24"/>
            <w:szCs w:val="24"/>
            <w:highlight w:val="white"/>
            <w:u w:val="single"/>
            <w:rtl w:val="0"/>
          </w:rPr>
          <w:t xml:space="preserve">https://www.sciencedirect.com/science/article/pii/S088390261830781X</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57">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Atrill, P. (2020) </w:t>
      </w:r>
      <w:r w:rsidDel="00000000" w:rsidR="00000000" w:rsidRPr="00000000">
        <w:rPr>
          <w:rFonts w:ascii="Arial" w:cs="Arial" w:eastAsia="Arial" w:hAnsi="Arial"/>
          <w:i w:val="1"/>
          <w:sz w:val="24"/>
          <w:szCs w:val="24"/>
          <w:highlight w:val="white"/>
          <w:rtl w:val="0"/>
        </w:rPr>
        <w:t xml:space="preserve">Financial management for decision makers </w:t>
      </w:r>
      <w:r w:rsidDel="00000000" w:rsidR="00000000" w:rsidRPr="00000000">
        <w:rPr>
          <w:rFonts w:ascii="Arial" w:cs="Arial" w:eastAsia="Arial" w:hAnsi="Arial"/>
          <w:sz w:val="24"/>
          <w:szCs w:val="24"/>
          <w:highlight w:val="white"/>
          <w:rtl w:val="0"/>
        </w:rPr>
        <w:t xml:space="preserve">. Ninth edition. Harlow :, Pearson Education.</w:t>
      </w:r>
    </w:p>
    <w:p w:rsidR="00000000" w:rsidDel="00000000" w:rsidP="00000000" w:rsidRDefault="00000000" w:rsidRPr="00000000" w14:paraId="00000058">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Atrill, P. (2021) </w:t>
      </w:r>
      <w:r w:rsidDel="00000000" w:rsidR="00000000" w:rsidRPr="00000000">
        <w:rPr>
          <w:rFonts w:ascii="Arial" w:cs="Arial" w:eastAsia="Arial" w:hAnsi="Arial"/>
          <w:i w:val="1"/>
          <w:sz w:val="24"/>
          <w:szCs w:val="24"/>
          <w:highlight w:val="white"/>
          <w:rtl w:val="0"/>
        </w:rPr>
        <w:t xml:space="preserve">Management accounting for decision makers </w:t>
      </w:r>
      <w:r w:rsidDel="00000000" w:rsidR="00000000" w:rsidRPr="00000000">
        <w:rPr>
          <w:rFonts w:ascii="Arial" w:cs="Arial" w:eastAsia="Arial" w:hAnsi="Arial"/>
          <w:sz w:val="24"/>
          <w:szCs w:val="24"/>
          <w:highlight w:val="white"/>
          <w:rtl w:val="0"/>
        </w:rPr>
        <w:t xml:space="preserve">. Tenth edition. Harlow, England :, Pearson.</w:t>
      </w:r>
    </w:p>
    <w:p w:rsidR="00000000" w:rsidDel="00000000" w:rsidP="00000000" w:rsidRDefault="00000000" w:rsidRPr="00000000" w14:paraId="00000059">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Barman, R.D. (2023) ‘Financial Statement: A Tools To Evaluate Business Performance’, </w:t>
      </w:r>
      <w:r w:rsidDel="00000000" w:rsidR="00000000" w:rsidRPr="00000000">
        <w:rPr>
          <w:rFonts w:ascii="Arial" w:cs="Arial" w:eastAsia="Arial" w:hAnsi="Arial"/>
          <w:i w:val="1"/>
          <w:sz w:val="24"/>
          <w:szCs w:val="24"/>
          <w:highlight w:val="white"/>
          <w:rtl w:val="0"/>
        </w:rPr>
        <w:t xml:space="preserve">Business Management and Economics Engineering, </w:t>
      </w:r>
      <w:r w:rsidDel="00000000" w:rsidR="00000000" w:rsidRPr="00000000">
        <w:rPr>
          <w:rFonts w:ascii="Arial" w:cs="Arial" w:eastAsia="Arial" w:hAnsi="Arial"/>
          <w:sz w:val="24"/>
          <w:szCs w:val="24"/>
          <w:highlight w:val="white"/>
          <w:rtl w:val="0"/>
        </w:rPr>
        <w:t xml:space="preserve">21(2), pp. 819-835. Available at: </w:t>
      </w:r>
      <w:hyperlink r:id="rId12">
        <w:r w:rsidDel="00000000" w:rsidR="00000000" w:rsidRPr="00000000">
          <w:rPr>
            <w:rFonts w:ascii="Arial" w:cs="Arial" w:eastAsia="Arial" w:hAnsi="Arial"/>
            <w:color w:val="1155cc"/>
            <w:sz w:val="24"/>
            <w:szCs w:val="24"/>
            <w:highlight w:val="white"/>
            <w:u w:val="single"/>
            <w:rtl w:val="0"/>
          </w:rPr>
          <w:t xml:space="preserve">https://www.researchgate.net/publication/379993047_Financial_Statement_A_tools_to_evaluate_Business_Performance</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5A">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BBC Bitesize (2025) ‘Understanding Business Performance - Edexcel’. Available at: </w:t>
      </w:r>
      <w:hyperlink r:id="rId13">
        <w:r w:rsidDel="00000000" w:rsidR="00000000" w:rsidRPr="00000000">
          <w:rPr>
            <w:rFonts w:ascii="Arial" w:cs="Arial" w:eastAsia="Arial" w:hAnsi="Arial"/>
            <w:color w:val="1155cc"/>
            <w:sz w:val="24"/>
            <w:szCs w:val="24"/>
            <w:highlight w:val="white"/>
            <w:u w:val="single"/>
            <w:rtl w:val="0"/>
          </w:rPr>
          <w:t xml:space="preserve">https://www.bbc.co.uk/bitesize/guides/zms4gwx/revision/2</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5B">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Bhimani, A. (2022) </w:t>
      </w:r>
      <w:r w:rsidDel="00000000" w:rsidR="00000000" w:rsidRPr="00000000">
        <w:rPr>
          <w:rFonts w:ascii="Arial" w:cs="Arial" w:eastAsia="Arial" w:hAnsi="Arial"/>
          <w:i w:val="1"/>
          <w:sz w:val="24"/>
          <w:szCs w:val="24"/>
          <w:highlight w:val="white"/>
          <w:rtl w:val="0"/>
        </w:rPr>
        <w:t xml:space="preserve">Financial management for technology start-ups : how to power growth, track performance and drive innovation</w:t>
      </w:r>
      <w:r w:rsidDel="00000000" w:rsidR="00000000" w:rsidRPr="00000000">
        <w:rPr>
          <w:rFonts w:ascii="Arial" w:cs="Arial" w:eastAsia="Arial" w:hAnsi="Arial"/>
          <w:sz w:val="24"/>
          <w:szCs w:val="24"/>
          <w:highlight w:val="white"/>
          <w:rtl w:val="0"/>
        </w:rPr>
        <w:t xml:space="preserve">. Second edition. London ; New York :; London ; New York : KoganPage.</w:t>
      </w:r>
    </w:p>
    <w:p w:rsidR="00000000" w:rsidDel="00000000" w:rsidP="00000000" w:rsidRDefault="00000000" w:rsidRPr="00000000" w14:paraId="0000005C">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Bialowolski, P., and Weziak-Bialowolska, D. (2014) ‘External Factors Affecting Investment Decisions of Companies’, </w:t>
      </w:r>
      <w:r w:rsidDel="00000000" w:rsidR="00000000" w:rsidRPr="00000000">
        <w:rPr>
          <w:rFonts w:ascii="Arial" w:cs="Arial" w:eastAsia="Arial" w:hAnsi="Arial"/>
          <w:i w:val="1"/>
          <w:sz w:val="24"/>
          <w:szCs w:val="24"/>
          <w:highlight w:val="white"/>
          <w:rtl w:val="0"/>
        </w:rPr>
        <w:t xml:space="preserve">Economics E-Journal, </w:t>
      </w:r>
      <w:r w:rsidDel="00000000" w:rsidR="00000000" w:rsidRPr="00000000">
        <w:rPr>
          <w:rFonts w:ascii="Arial" w:cs="Arial" w:eastAsia="Arial" w:hAnsi="Arial"/>
          <w:sz w:val="24"/>
          <w:szCs w:val="24"/>
          <w:highlight w:val="white"/>
          <w:rtl w:val="0"/>
        </w:rPr>
        <w:t xml:space="preserve">8(2014-11):2014-11. Available at: </w:t>
      </w:r>
      <w:hyperlink r:id="rId14">
        <w:r w:rsidDel="00000000" w:rsidR="00000000" w:rsidRPr="00000000">
          <w:rPr>
            <w:rFonts w:ascii="Arial" w:cs="Arial" w:eastAsia="Arial" w:hAnsi="Arial"/>
            <w:color w:val="1155cc"/>
            <w:sz w:val="24"/>
            <w:szCs w:val="24"/>
            <w:highlight w:val="white"/>
            <w:u w:val="single"/>
            <w:rtl w:val="0"/>
          </w:rPr>
          <w:t xml:space="preserve">https://www.researchgate.net/publication/260591127_External_Factors_Affecting_Investment_Decisions_of_Companies</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5D">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Bradley, C., Doherty, R., Northcote, N., and Roder, T. (2022) ‘The Ten Rules of Growth’</w:t>
      </w:r>
      <w:r w:rsidDel="00000000" w:rsidR="00000000" w:rsidRPr="00000000">
        <w:rPr>
          <w:rFonts w:ascii="Arial" w:cs="Arial" w:eastAsia="Arial" w:hAnsi="Arial"/>
          <w:i w:val="1"/>
          <w:sz w:val="24"/>
          <w:szCs w:val="24"/>
          <w:highlight w:val="white"/>
          <w:rtl w:val="0"/>
        </w:rPr>
        <w:t xml:space="preserve">, McKinsey. </w:t>
      </w:r>
      <w:r w:rsidDel="00000000" w:rsidR="00000000" w:rsidRPr="00000000">
        <w:rPr>
          <w:rFonts w:ascii="Arial" w:cs="Arial" w:eastAsia="Arial" w:hAnsi="Arial"/>
          <w:sz w:val="24"/>
          <w:szCs w:val="24"/>
          <w:highlight w:val="white"/>
          <w:rtl w:val="0"/>
        </w:rPr>
        <w:t xml:space="preserve">Available at:</w:t>
      </w:r>
      <w:r w:rsidDel="00000000" w:rsidR="00000000" w:rsidRPr="00000000">
        <w:rPr>
          <w:rFonts w:ascii="Arial" w:cs="Arial" w:eastAsia="Arial" w:hAnsi="Arial"/>
          <w:color w:val="333333"/>
          <w:sz w:val="24"/>
          <w:szCs w:val="24"/>
          <w:highlight w:val="white"/>
          <w:rtl w:val="0"/>
        </w:rPr>
        <w:t xml:space="preserve"> </w:t>
      </w:r>
      <w:hyperlink r:id="rId15">
        <w:r w:rsidDel="00000000" w:rsidR="00000000" w:rsidRPr="00000000">
          <w:rPr>
            <w:rFonts w:ascii="Arial" w:cs="Arial" w:eastAsia="Arial" w:hAnsi="Arial"/>
            <w:color w:val="1155cc"/>
            <w:sz w:val="24"/>
            <w:szCs w:val="24"/>
            <w:highlight w:val="white"/>
            <w:u w:val="single"/>
            <w:rtl w:val="0"/>
          </w:rPr>
          <w:t xml:space="preserve">https://www.mckinsey.com/capabilities/strategy-and-corporate-finance/our-insights/the-ten-rules-of-growth</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5E">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CCEP (2024) ‘Investing to Go Even Further for Customers, Consumers and Colleagues’. Available at: </w:t>
      </w:r>
      <w:hyperlink r:id="rId16">
        <w:r w:rsidDel="00000000" w:rsidR="00000000" w:rsidRPr="00000000">
          <w:rPr>
            <w:rFonts w:ascii="Arial" w:cs="Arial" w:eastAsia="Arial" w:hAnsi="Arial"/>
            <w:color w:val="1155cc"/>
            <w:sz w:val="24"/>
            <w:szCs w:val="24"/>
            <w:highlight w:val="white"/>
            <w:u w:val="single"/>
            <w:rtl w:val="0"/>
          </w:rPr>
          <w:t xml:space="preserve">https://www.cocacolaep.com/news-and-stories/investing-to-go-even-further-for-customers-consumers-and-colleagues/</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5F">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CFI Team (2025) ‘NPV vs IRR’. Available at:</w:t>
      </w:r>
      <w:r w:rsidDel="00000000" w:rsidR="00000000" w:rsidRPr="00000000">
        <w:rPr>
          <w:rFonts w:ascii="Arial" w:cs="Arial" w:eastAsia="Arial" w:hAnsi="Arial"/>
          <w:color w:val="333333"/>
          <w:sz w:val="24"/>
          <w:szCs w:val="24"/>
          <w:highlight w:val="white"/>
          <w:rtl w:val="0"/>
        </w:rPr>
        <w:t xml:space="preserve"> </w:t>
      </w:r>
      <w:hyperlink r:id="rId17">
        <w:r w:rsidDel="00000000" w:rsidR="00000000" w:rsidRPr="00000000">
          <w:rPr>
            <w:rFonts w:ascii="Arial" w:cs="Arial" w:eastAsia="Arial" w:hAnsi="Arial"/>
            <w:color w:val="1155cc"/>
            <w:sz w:val="24"/>
            <w:szCs w:val="24"/>
            <w:highlight w:val="white"/>
            <w:u w:val="single"/>
            <w:rtl w:val="0"/>
          </w:rPr>
          <w:t xml:space="preserve">https://corporatefinanceinstitute.com/resources/valuation/npv-vs-irr/</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60">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Chartered Institute of Management Accountants. (ed.) (2000) </w:t>
      </w:r>
      <w:r w:rsidDel="00000000" w:rsidR="00000000" w:rsidRPr="00000000">
        <w:rPr>
          <w:rFonts w:ascii="Arial" w:cs="Arial" w:eastAsia="Arial" w:hAnsi="Arial"/>
          <w:i w:val="1"/>
          <w:sz w:val="24"/>
          <w:szCs w:val="24"/>
          <w:highlight w:val="white"/>
          <w:rtl w:val="0"/>
        </w:rPr>
        <w:t xml:space="preserve">Financial management : the magazine from CIMA.</w:t>
      </w:r>
      <w:r w:rsidDel="00000000" w:rsidR="00000000" w:rsidRPr="00000000">
        <w:rPr>
          <w:rFonts w:ascii="Arial" w:cs="Arial" w:eastAsia="Arial" w:hAnsi="Arial"/>
          <w:sz w:val="24"/>
          <w:szCs w:val="24"/>
          <w:highlight w:val="white"/>
          <w:rtl w:val="0"/>
        </w:rPr>
        <w:t xml:space="preserve"> London :, CIMA.</w:t>
      </w:r>
    </w:p>
    <w:p w:rsidR="00000000" w:rsidDel="00000000" w:rsidP="00000000" w:rsidRDefault="00000000" w:rsidRPr="00000000" w14:paraId="00000061">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Chen, X. (2022) ‘Theoretical Analysis of Net Present Value’, </w:t>
      </w:r>
      <w:r w:rsidDel="00000000" w:rsidR="00000000" w:rsidRPr="00000000">
        <w:rPr>
          <w:rFonts w:ascii="Arial" w:cs="Arial" w:eastAsia="Arial" w:hAnsi="Arial"/>
          <w:i w:val="1"/>
          <w:sz w:val="24"/>
          <w:szCs w:val="24"/>
          <w:highlight w:val="white"/>
          <w:rtl w:val="0"/>
        </w:rPr>
        <w:t xml:space="preserve">BCP Business &amp; Management. </w:t>
      </w:r>
      <w:r w:rsidDel="00000000" w:rsidR="00000000" w:rsidRPr="00000000">
        <w:rPr>
          <w:rFonts w:ascii="Arial" w:cs="Arial" w:eastAsia="Arial" w:hAnsi="Arial"/>
          <w:sz w:val="24"/>
          <w:szCs w:val="24"/>
          <w:highlight w:val="white"/>
          <w:rtl w:val="0"/>
        </w:rPr>
        <w:t xml:space="preserve">Available at: </w:t>
      </w:r>
      <w:hyperlink r:id="rId18">
        <w:r w:rsidDel="00000000" w:rsidR="00000000" w:rsidRPr="00000000">
          <w:rPr>
            <w:rFonts w:ascii="Arial" w:cs="Arial" w:eastAsia="Arial" w:hAnsi="Arial"/>
            <w:color w:val="1155cc"/>
            <w:sz w:val="24"/>
            <w:szCs w:val="24"/>
            <w:highlight w:val="white"/>
            <w:u w:val="single"/>
            <w:rtl w:val="0"/>
          </w:rPr>
          <w:t xml:space="preserve">https://www.researchgate.net/publication/364713880_Theoretical_Analysis_of_Net_Present_Value</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62">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Corewell Health (2025) ‘6 Reasons to Stop Drinking Pop’. Available at:</w:t>
      </w:r>
      <w:r w:rsidDel="00000000" w:rsidR="00000000" w:rsidRPr="00000000">
        <w:rPr>
          <w:rFonts w:ascii="Arial" w:cs="Arial" w:eastAsia="Arial" w:hAnsi="Arial"/>
          <w:color w:val="333333"/>
          <w:sz w:val="24"/>
          <w:szCs w:val="24"/>
          <w:highlight w:val="white"/>
          <w:rtl w:val="0"/>
        </w:rPr>
        <w:t xml:space="preserve"> </w:t>
      </w:r>
      <w:hyperlink r:id="rId19">
        <w:r w:rsidDel="00000000" w:rsidR="00000000" w:rsidRPr="00000000">
          <w:rPr>
            <w:rFonts w:ascii="Arial" w:cs="Arial" w:eastAsia="Arial" w:hAnsi="Arial"/>
            <w:color w:val="1155cc"/>
            <w:sz w:val="24"/>
            <w:szCs w:val="24"/>
            <w:highlight w:val="white"/>
            <w:u w:val="single"/>
            <w:rtl w:val="0"/>
          </w:rPr>
          <w:t xml:space="preserve">https://www.beaumont.org/health-wellness/blogs/6-reasons-to-stop-drinking-soda</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63">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Drury, C. (2021) </w:t>
      </w:r>
      <w:r w:rsidDel="00000000" w:rsidR="00000000" w:rsidRPr="00000000">
        <w:rPr>
          <w:rFonts w:ascii="Arial" w:cs="Arial" w:eastAsia="Arial" w:hAnsi="Arial"/>
          <w:i w:val="1"/>
          <w:sz w:val="24"/>
          <w:szCs w:val="24"/>
          <w:highlight w:val="white"/>
          <w:rtl w:val="0"/>
        </w:rPr>
        <w:t xml:space="preserve">Management and Cost Accounting</w:t>
      </w:r>
      <w:r w:rsidDel="00000000" w:rsidR="00000000" w:rsidRPr="00000000">
        <w:rPr>
          <w:rFonts w:ascii="Arial" w:cs="Arial" w:eastAsia="Arial" w:hAnsi="Arial"/>
          <w:sz w:val="24"/>
          <w:szCs w:val="24"/>
          <w:highlight w:val="white"/>
          <w:rtl w:val="0"/>
        </w:rPr>
        <w:t xml:space="preserve">. Eleventh edition. Australia :, Cengage.</w:t>
      </w:r>
    </w:p>
    <w:p w:rsidR="00000000" w:rsidDel="00000000" w:rsidP="00000000" w:rsidRDefault="00000000" w:rsidRPr="00000000" w14:paraId="00000064">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Edwin Whiting (1986). "</w:t>
      </w:r>
      <w:r w:rsidDel="00000000" w:rsidR="00000000" w:rsidRPr="00000000">
        <w:rPr>
          <w:rFonts w:ascii="Arial" w:cs="Arial" w:eastAsia="Arial" w:hAnsi="Arial"/>
          <w:sz w:val="24"/>
          <w:szCs w:val="24"/>
          <w:rtl w:val="0"/>
        </w:rPr>
        <w:t xml:space="preserve">Return on capital employed</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Palgrave Macmillan Books</w:t>
      </w:r>
      <w:r w:rsidDel="00000000" w:rsidR="00000000" w:rsidRPr="00000000">
        <w:rPr>
          <w:rFonts w:ascii="Arial" w:cs="Arial" w:eastAsia="Arial" w:hAnsi="Arial"/>
          <w:sz w:val="24"/>
          <w:szCs w:val="24"/>
          <w:highlight w:val="white"/>
          <w:rtl w:val="0"/>
        </w:rPr>
        <w:t xml:space="preserve">, in: </w:t>
      </w:r>
      <w:r w:rsidDel="00000000" w:rsidR="00000000" w:rsidRPr="00000000">
        <w:rPr>
          <w:rFonts w:ascii="Arial" w:cs="Arial" w:eastAsia="Arial" w:hAnsi="Arial"/>
          <w:sz w:val="24"/>
          <w:szCs w:val="24"/>
          <w:rtl w:val="0"/>
        </w:rPr>
        <w:t xml:space="preserve">A Guide to Business Performance Measurements</w:t>
      </w:r>
      <w:r w:rsidDel="00000000" w:rsidR="00000000" w:rsidRPr="00000000">
        <w:rPr>
          <w:rFonts w:ascii="Arial" w:cs="Arial" w:eastAsia="Arial" w:hAnsi="Arial"/>
          <w:sz w:val="24"/>
          <w:szCs w:val="24"/>
          <w:highlight w:val="white"/>
          <w:rtl w:val="0"/>
        </w:rPr>
        <w:t xml:space="preserve">, chapter 18, pages 214-231. Palgrave Macmillan. Available at: </w:t>
      </w:r>
      <w:hyperlink r:id="rId20">
        <w:r w:rsidDel="00000000" w:rsidR="00000000" w:rsidRPr="00000000">
          <w:rPr>
            <w:rFonts w:ascii="Arial" w:cs="Arial" w:eastAsia="Arial" w:hAnsi="Arial"/>
            <w:color w:val="3c78d8"/>
            <w:sz w:val="24"/>
            <w:szCs w:val="24"/>
            <w:highlight w:val="white"/>
            <w:u w:val="single"/>
            <w:rtl w:val="0"/>
          </w:rPr>
          <w:t xml:space="preserve">https://ideas.repec.org/b/pal/palbok/978-1-349-07472-3.html</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65">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El-Meligi, A.A. (2016) ‘Research and Global Warming: Economic Consequences on Business’, </w:t>
      </w:r>
      <w:r w:rsidDel="00000000" w:rsidR="00000000" w:rsidRPr="00000000">
        <w:rPr>
          <w:rFonts w:ascii="Arial" w:cs="Arial" w:eastAsia="Arial" w:hAnsi="Arial"/>
          <w:i w:val="1"/>
          <w:sz w:val="24"/>
          <w:szCs w:val="24"/>
          <w:highlight w:val="white"/>
          <w:rtl w:val="0"/>
        </w:rPr>
        <w:t xml:space="preserve">Journal of Empirical Research in Accounting &amp; Auditing, </w:t>
      </w:r>
      <w:r w:rsidDel="00000000" w:rsidR="00000000" w:rsidRPr="00000000">
        <w:rPr>
          <w:rFonts w:ascii="Arial" w:cs="Arial" w:eastAsia="Arial" w:hAnsi="Arial"/>
          <w:sz w:val="24"/>
          <w:szCs w:val="24"/>
          <w:highlight w:val="white"/>
          <w:rtl w:val="0"/>
        </w:rPr>
        <w:t xml:space="preserve">3(2). Available at: </w:t>
      </w:r>
      <w:hyperlink r:id="rId21">
        <w:r w:rsidDel="00000000" w:rsidR="00000000" w:rsidRPr="00000000">
          <w:rPr>
            <w:rFonts w:ascii="Arial" w:cs="Arial" w:eastAsia="Arial" w:hAnsi="Arial"/>
            <w:color w:val="1155cc"/>
            <w:sz w:val="24"/>
            <w:szCs w:val="24"/>
            <w:highlight w:val="white"/>
            <w:u w:val="single"/>
            <w:rtl w:val="0"/>
          </w:rPr>
          <w:t xml:space="preserve">https://pdfs.semanticscholar.org/72fd/ec3b6885e8d885cce6208d9602c349540adc.pdf</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66">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Enyi, E. (2005) ‘How Useful is the Return on Capital Employed (RoCE) as a Performance Indicator?’. Available at: </w:t>
      </w:r>
      <w:hyperlink r:id="rId22">
        <w:r w:rsidDel="00000000" w:rsidR="00000000" w:rsidRPr="00000000">
          <w:rPr>
            <w:rFonts w:ascii="Arial" w:cs="Arial" w:eastAsia="Arial" w:hAnsi="Arial"/>
            <w:color w:val="1155cc"/>
            <w:sz w:val="24"/>
            <w:szCs w:val="24"/>
            <w:highlight w:val="white"/>
            <w:u w:val="single"/>
            <w:rtl w:val="0"/>
          </w:rPr>
          <w:t xml:space="preserve">https://www.researchgate.net/publication/228306393_How_Useful_is_the_Return_on_Capital_Employed_ROCE_as_a_Performance_Indicator</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67">
      <w:pPr>
        <w:spacing w:line="276" w:lineRule="auto"/>
        <w:rPr>
          <w:rFonts w:ascii="Arial" w:cs="Arial" w:eastAsia="Arial" w:hAnsi="Arial"/>
          <w:color w:val="333333"/>
          <w:sz w:val="24"/>
          <w:szCs w:val="24"/>
          <w:highlight w:val="white"/>
        </w:rPr>
      </w:pPr>
      <w:r w:rsidDel="00000000" w:rsidR="00000000" w:rsidRPr="00000000">
        <w:rPr>
          <w:rFonts w:ascii="Arial" w:cs="Arial" w:eastAsia="Arial" w:hAnsi="Arial"/>
          <w:sz w:val="24"/>
          <w:szCs w:val="24"/>
          <w:highlight w:val="white"/>
          <w:rtl w:val="0"/>
        </w:rPr>
        <w:t xml:space="preserve">Faello, J. (2015) ‘Understanding the Limitations of Financial Ratios’, </w:t>
      </w:r>
      <w:r w:rsidDel="00000000" w:rsidR="00000000" w:rsidRPr="00000000">
        <w:rPr>
          <w:rFonts w:ascii="Arial" w:cs="Arial" w:eastAsia="Arial" w:hAnsi="Arial"/>
          <w:i w:val="1"/>
          <w:sz w:val="24"/>
          <w:szCs w:val="24"/>
          <w:highlight w:val="white"/>
          <w:rtl w:val="0"/>
        </w:rPr>
        <w:t xml:space="preserve">Academy of Accounting and Financial Studies Journal, </w:t>
      </w:r>
      <w:r w:rsidDel="00000000" w:rsidR="00000000" w:rsidRPr="00000000">
        <w:rPr>
          <w:rFonts w:ascii="Arial" w:cs="Arial" w:eastAsia="Arial" w:hAnsi="Arial"/>
          <w:sz w:val="24"/>
          <w:szCs w:val="24"/>
          <w:highlight w:val="white"/>
          <w:rtl w:val="0"/>
        </w:rPr>
        <w:t xml:space="preserve">19(3), pp. 75-86. Available at: </w:t>
      </w:r>
      <w:hyperlink r:id="rId23">
        <w:r w:rsidDel="00000000" w:rsidR="00000000" w:rsidRPr="00000000">
          <w:rPr>
            <w:rFonts w:ascii="Arial" w:cs="Arial" w:eastAsia="Arial" w:hAnsi="Arial"/>
            <w:color w:val="1155cc"/>
            <w:sz w:val="24"/>
            <w:szCs w:val="24"/>
            <w:highlight w:val="white"/>
            <w:u w:val="single"/>
            <w:rtl w:val="0"/>
          </w:rPr>
          <w:t xml:space="preserve">https://www.researchgate.net/publication/330988084_Understanding_the_limitations_of_financial_ratios</w:t>
        </w:r>
      </w:hyperlink>
      <w:r w:rsidDel="00000000" w:rsidR="00000000" w:rsidRPr="00000000">
        <w:rPr>
          <w:rFonts w:ascii="Arial" w:cs="Arial" w:eastAsia="Arial" w:hAnsi="Arial"/>
          <w:color w:val="333333"/>
          <w:sz w:val="24"/>
          <w:szCs w:val="24"/>
          <w:highlight w:val="white"/>
          <w:rtl w:val="0"/>
        </w:rPr>
        <w:t xml:space="preserve"> (Accessed: 19 January 2025)</w:t>
      </w:r>
    </w:p>
    <w:p w:rsidR="00000000" w:rsidDel="00000000" w:rsidP="00000000" w:rsidRDefault="00000000" w:rsidRPr="00000000" w14:paraId="00000068">
      <w:pPr>
        <w:spacing w:line="276" w:lineRule="auto"/>
        <w:rPr>
          <w:rFonts w:ascii="Arial" w:cs="Arial" w:eastAsia="Arial" w:hAnsi="Arial"/>
          <w:color w:val="333333"/>
          <w:sz w:val="24"/>
          <w:szCs w:val="24"/>
          <w:highlight w:val="white"/>
        </w:rPr>
      </w:pPr>
      <w:r w:rsidDel="00000000" w:rsidR="00000000" w:rsidRPr="00000000">
        <w:rPr>
          <w:rFonts w:ascii="Arial" w:cs="Arial" w:eastAsia="Arial" w:hAnsi="Arial"/>
          <w:color w:val="333333"/>
          <w:sz w:val="24"/>
          <w:szCs w:val="24"/>
          <w:highlight w:val="white"/>
          <w:rtl w:val="0"/>
        </w:rPr>
        <w:t xml:space="preserve">Faster Capital (2025) ‘Limitations of Gearing Ratio’. Available at: </w:t>
      </w:r>
      <w:hyperlink r:id="rId24">
        <w:r w:rsidDel="00000000" w:rsidR="00000000" w:rsidRPr="00000000">
          <w:rPr>
            <w:rFonts w:ascii="Arial" w:cs="Arial" w:eastAsia="Arial" w:hAnsi="Arial"/>
            <w:color w:val="1155cc"/>
            <w:sz w:val="24"/>
            <w:szCs w:val="24"/>
            <w:highlight w:val="white"/>
            <w:u w:val="single"/>
            <w:rtl w:val="0"/>
          </w:rPr>
          <w:t xml:space="preserve">https://fastercapital.com/topics/limitations-of-gearing-ratio.html</w:t>
        </w:r>
      </w:hyperlink>
      <w:r w:rsidDel="00000000" w:rsidR="00000000" w:rsidRPr="00000000">
        <w:rPr>
          <w:rFonts w:ascii="Arial" w:cs="Arial" w:eastAsia="Arial" w:hAnsi="Arial"/>
          <w:color w:val="333333"/>
          <w:sz w:val="24"/>
          <w:szCs w:val="24"/>
          <w:highlight w:val="white"/>
          <w:rtl w:val="0"/>
        </w:rPr>
        <w:t xml:space="preserve"> (Accessed: 19 January 2025)</w:t>
      </w:r>
    </w:p>
    <w:p w:rsidR="00000000" w:rsidDel="00000000" w:rsidP="00000000" w:rsidRDefault="00000000" w:rsidRPr="00000000" w14:paraId="00000069">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Fernando, J. (2024) ‘Net Present Value (NPV): What It Means and Steps to Calculate It’. Available at:</w:t>
      </w:r>
      <w:r w:rsidDel="00000000" w:rsidR="00000000" w:rsidRPr="00000000">
        <w:rPr>
          <w:rFonts w:ascii="Arial" w:cs="Arial" w:eastAsia="Arial" w:hAnsi="Arial"/>
          <w:color w:val="333333"/>
          <w:sz w:val="24"/>
          <w:szCs w:val="24"/>
          <w:highlight w:val="white"/>
          <w:rtl w:val="0"/>
        </w:rPr>
        <w:t xml:space="preserve"> </w:t>
      </w:r>
      <w:hyperlink r:id="rId25">
        <w:r w:rsidDel="00000000" w:rsidR="00000000" w:rsidRPr="00000000">
          <w:rPr>
            <w:rFonts w:ascii="Arial" w:cs="Arial" w:eastAsia="Arial" w:hAnsi="Arial"/>
            <w:color w:val="1155cc"/>
            <w:sz w:val="24"/>
            <w:szCs w:val="24"/>
            <w:highlight w:val="white"/>
            <w:u w:val="single"/>
            <w:rtl w:val="0"/>
          </w:rPr>
          <w:t xml:space="preserve">https://www.investopedia.com/terms/n/npv.asp</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6A">
      <w:pPr>
        <w:spacing w:line="276" w:lineRule="auto"/>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Gallo, A. (2014) ‘A Refresher on Net Present Value’. Available at: </w:t>
      </w:r>
      <w:hyperlink r:id="rId26">
        <w:r w:rsidDel="00000000" w:rsidR="00000000" w:rsidRPr="00000000">
          <w:rPr>
            <w:rFonts w:ascii="Arial" w:cs="Arial" w:eastAsia="Arial" w:hAnsi="Arial"/>
            <w:color w:val="1155cc"/>
            <w:sz w:val="24"/>
            <w:szCs w:val="24"/>
            <w:highlight w:val="white"/>
            <w:u w:val="single"/>
            <w:rtl w:val="0"/>
          </w:rPr>
          <w:t xml:space="preserve">https://hbr.org/2014/11/a-refresher-on-net-present-value</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r w:rsidDel="00000000" w:rsidR="00000000" w:rsidRPr="00000000">
        <w:rPr>
          <w:rtl w:val="0"/>
        </w:rPr>
      </w:r>
    </w:p>
    <w:p w:rsidR="00000000" w:rsidDel="00000000" w:rsidP="00000000" w:rsidRDefault="00000000" w:rsidRPr="00000000" w14:paraId="0000006B">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Gompers, P., and Lerner, J. (2003) ‘Equity Financing’ in Handbook of Entrepreneurship Research. International Handbook Series on Entrepreneurship, vol 1. Springer, Boston, MA. Available at: </w:t>
      </w:r>
      <w:hyperlink r:id="rId27">
        <w:r w:rsidDel="00000000" w:rsidR="00000000" w:rsidRPr="00000000">
          <w:rPr>
            <w:rFonts w:ascii="Arial" w:cs="Arial" w:eastAsia="Arial" w:hAnsi="Arial"/>
            <w:color w:val="1155cc"/>
            <w:sz w:val="24"/>
            <w:szCs w:val="24"/>
            <w:highlight w:val="white"/>
            <w:u w:val="single"/>
            <w:rtl w:val="0"/>
          </w:rPr>
          <w:t xml:space="preserve">https://link.springer.com/chapter/10.1007/0-387-24519-7_12</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6C">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Jayathilaka, A. (2020) ‘Operating Profit and Net Profit: Measurements of Profitability’, </w:t>
      </w:r>
      <w:r w:rsidDel="00000000" w:rsidR="00000000" w:rsidRPr="00000000">
        <w:rPr>
          <w:rFonts w:ascii="Arial" w:cs="Arial" w:eastAsia="Arial" w:hAnsi="Arial"/>
          <w:i w:val="1"/>
          <w:sz w:val="24"/>
          <w:szCs w:val="24"/>
          <w:rtl w:val="0"/>
        </w:rPr>
        <w:t xml:space="preserve">Open Access Library Journal, </w:t>
      </w:r>
      <w:r w:rsidDel="00000000" w:rsidR="00000000" w:rsidRPr="00000000">
        <w:rPr>
          <w:rFonts w:ascii="Arial" w:cs="Arial" w:eastAsia="Arial" w:hAnsi="Arial"/>
          <w:sz w:val="24"/>
          <w:szCs w:val="24"/>
          <w:rtl w:val="0"/>
        </w:rPr>
        <w:t xml:space="preserve">7(12), pp. 1-11. Available at: </w:t>
      </w:r>
      <w:hyperlink r:id="rId28">
        <w:r w:rsidDel="00000000" w:rsidR="00000000" w:rsidRPr="00000000">
          <w:rPr>
            <w:rFonts w:ascii="Arial" w:cs="Arial" w:eastAsia="Arial" w:hAnsi="Arial"/>
            <w:color w:val="1155cc"/>
            <w:sz w:val="24"/>
            <w:szCs w:val="24"/>
            <w:u w:val="single"/>
            <w:rtl w:val="0"/>
          </w:rPr>
          <w:t xml:space="preserve">https://www.researchgate.net/publication/347873167_Operating_Profit_and_Net_Profit_Measurements_of_Profitability</w:t>
        </w:r>
      </w:hyperlink>
      <w:r w:rsidDel="00000000" w:rsidR="00000000" w:rsidRPr="00000000">
        <w:rPr>
          <w:rFonts w:ascii="Arial" w:cs="Arial" w:eastAsia="Arial" w:hAnsi="Arial"/>
          <w:color w:val="333333"/>
          <w:sz w:val="24"/>
          <w:szCs w:val="24"/>
          <w:rtl w:val="0"/>
        </w:rPr>
        <w:t xml:space="preserve"> </w:t>
      </w:r>
      <w:r w:rsidDel="00000000" w:rsidR="00000000" w:rsidRPr="00000000">
        <w:rPr>
          <w:rFonts w:ascii="Arial" w:cs="Arial" w:eastAsia="Arial" w:hAnsi="Arial"/>
          <w:sz w:val="24"/>
          <w:szCs w:val="24"/>
          <w:rtl w:val="0"/>
        </w:rPr>
        <w:t xml:space="preserve">(Accessed: 19 January 2025)</w:t>
      </w:r>
    </w:p>
    <w:p w:rsidR="00000000" w:rsidDel="00000000" w:rsidP="00000000" w:rsidRDefault="00000000" w:rsidRPr="00000000" w14:paraId="0000006D">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Kerrigan, B. (2023) ‘The Importance of Past and Current Financial Performance in Calculating a Business Sale Multiple’. Available at: </w:t>
      </w:r>
      <w:hyperlink r:id="rId29">
        <w:r w:rsidDel="00000000" w:rsidR="00000000" w:rsidRPr="00000000">
          <w:rPr>
            <w:rFonts w:ascii="Arial" w:cs="Arial" w:eastAsia="Arial" w:hAnsi="Arial"/>
            <w:color w:val="1155cc"/>
            <w:sz w:val="24"/>
            <w:szCs w:val="24"/>
            <w:highlight w:val="white"/>
            <w:u w:val="single"/>
            <w:rtl w:val="0"/>
          </w:rPr>
          <w:t xml:space="preserve">https://www.linkedin.com/pulse/importance-past-current-financial-performance-sale-brian-kerrigan-jvkbe/</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6E">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Kierulff, H. (2012) ‘IRR: A Blind Guide’, </w:t>
      </w:r>
      <w:r w:rsidDel="00000000" w:rsidR="00000000" w:rsidRPr="00000000">
        <w:rPr>
          <w:rFonts w:ascii="Arial" w:cs="Arial" w:eastAsia="Arial" w:hAnsi="Arial"/>
          <w:i w:val="1"/>
          <w:sz w:val="24"/>
          <w:szCs w:val="24"/>
          <w:highlight w:val="white"/>
          <w:rtl w:val="0"/>
        </w:rPr>
        <w:t xml:space="preserve">American Journal of Business Education, </w:t>
      </w:r>
      <w:r w:rsidDel="00000000" w:rsidR="00000000" w:rsidRPr="00000000">
        <w:rPr>
          <w:rFonts w:ascii="Arial" w:cs="Arial" w:eastAsia="Arial" w:hAnsi="Arial"/>
          <w:sz w:val="24"/>
          <w:szCs w:val="24"/>
          <w:highlight w:val="white"/>
          <w:rtl w:val="0"/>
        </w:rPr>
        <w:t xml:space="preserve">5(4). Available at: </w:t>
      </w:r>
      <w:hyperlink r:id="rId30">
        <w:r w:rsidDel="00000000" w:rsidR="00000000" w:rsidRPr="00000000">
          <w:rPr>
            <w:rFonts w:ascii="Arial" w:cs="Arial" w:eastAsia="Arial" w:hAnsi="Arial"/>
            <w:color w:val="1155cc"/>
            <w:sz w:val="24"/>
            <w:szCs w:val="24"/>
            <w:highlight w:val="white"/>
            <w:u w:val="single"/>
            <w:rtl w:val="0"/>
          </w:rPr>
          <w:t xml:space="preserve">https://files.eric.ed.gov/fulltext/EJ1056227.pdf</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6F">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Legesse, T.S., Tang, J., Wu, Z., and Guo, H. (2021) </w:t>
      </w:r>
      <w:r w:rsidDel="00000000" w:rsidR="00000000" w:rsidRPr="00000000">
        <w:rPr>
          <w:rFonts w:ascii="Arial" w:cs="Arial" w:eastAsia="Arial" w:hAnsi="Arial"/>
          <w:sz w:val="24"/>
          <w:szCs w:val="24"/>
          <w:highlight w:val="white"/>
          <w:rtl w:val="0"/>
        </w:rPr>
        <w:t xml:space="preserve">‘Debt</w:t>
      </w:r>
      <w:r w:rsidDel="00000000" w:rsidR="00000000" w:rsidRPr="00000000">
        <w:rPr>
          <w:rFonts w:ascii="Arial" w:cs="Arial" w:eastAsia="Arial" w:hAnsi="Arial"/>
          <w:sz w:val="24"/>
          <w:szCs w:val="24"/>
          <w:highlight w:val="white"/>
          <w:rtl w:val="0"/>
        </w:rPr>
        <w:t xml:space="preserve"> financing, corporate investment and the productivity of capital invested: Evidence from biggest manufacturing </w:t>
      </w:r>
      <w:r w:rsidDel="00000000" w:rsidR="00000000" w:rsidRPr="00000000">
        <w:rPr>
          <w:rFonts w:ascii="Arial" w:cs="Arial" w:eastAsia="Arial" w:hAnsi="Arial"/>
          <w:sz w:val="24"/>
          <w:szCs w:val="24"/>
          <w:highlight w:val="white"/>
          <w:rtl w:val="0"/>
        </w:rPr>
        <w:t xml:space="preserve">countries’</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Cogent Economics &amp; Finance, </w:t>
      </w:r>
      <w:r w:rsidDel="00000000" w:rsidR="00000000" w:rsidRPr="00000000">
        <w:rPr>
          <w:rFonts w:ascii="Arial" w:cs="Arial" w:eastAsia="Arial" w:hAnsi="Arial"/>
          <w:sz w:val="24"/>
          <w:szCs w:val="24"/>
          <w:highlight w:val="white"/>
          <w:rtl w:val="0"/>
        </w:rPr>
        <w:t xml:space="preserve">9(1). Available at: </w:t>
      </w:r>
      <w:hyperlink r:id="rId31">
        <w:r w:rsidDel="00000000" w:rsidR="00000000" w:rsidRPr="00000000">
          <w:rPr>
            <w:rFonts w:ascii="Arial" w:cs="Arial" w:eastAsia="Arial" w:hAnsi="Arial"/>
            <w:color w:val="1155cc"/>
            <w:sz w:val="24"/>
            <w:szCs w:val="24"/>
            <w:highlight w:val="white"/>
            <w:u w:val="single"/>
            <w:rtl w:val="0"/>
          </w:rPr>
          <w:t xml:space="preserve">https://www.tandfonline.com/doi/full/10.1080/23322039.2021.1936369</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70">
      <w:pPr>
        <w:spacing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Mahdi, M., and Khaddafi, M. (2020) ‘The Influence of Gross Profit Margin, Operating Profit Margin and Net Profit Margin on the Stock Price of Consumer Good Industry in the Indonesia Stock Exchange on 2012-2014’, </w:t>
      </w:r>
      <w:r w:rsidDel="00000000" w:rsidR="00000000" w:rsidRPr="00000000">
        <w:rPr>
          <w:rFonts w:ascii="Arial" w:cs="Arial" w:eastAsia="Arial" w:hAnsi="Arial"/>
          <w:i w:val="1"/>
          <w:sz w:val="24"/>
          <w:szCs w:val="24"/>
          <w:rtl w:val="0"/>
        </w:rPr>
        <w:t xml:space="preserve">International Journal of Business Economics and Social Development, </w:t>
      </w:r>
      <w:r w:rsidDel="00000000" w:rsidR="00000000" w:rsidRPr="00000000">
        <w:rPr>
          <w:rFonts w:ascii="Arial" w:cs="Arial" w:eastAsia="Arial" w:hAnsi="Arial"/>
          <w:sz w:val="24"/>
          <w:szCs w:val="24"/>
          <w:rtl w:val="0"/>
        </w:rPr>
        <w:t xml:space="preserve">1(3). Available at: </w:t>
      </w:r>
      <w:hyperlink r:id="rId32">
        <w:r w:rsidDel="00000000" w:rsidR="00000000" w:rsidRPr="00000000">
          <w:rPr>
            <w:rFonts w:ascii="Arial" w:cs="Arial" w:eastAsia="Arial" w:hAnsi="Arial"/>
            <w:color w:val="1155cc"/>
            <w:sz w:val="24"/>
            <w:szCs w:val="24"/>
            <w:u w:val="single"/>
            <w:rtl w:val="0"/>
          </w:rPr>
          <w:t xml:space="preserve">https://www.researchgate.net/publication/346297688_The_Influence_of_Gross_Profit_Margin_Operating_Profit_Margin_and_Net_Profit_Margin_on_the_Stock_Price_of_Consumer_Good_Industry_in_the_Indonesia_Stock_Exchange_on_2012-2014</w:t>
        </w:r>
      </w:hyperlink>
      <w:r w:rsidDel="00000000" w:rsidR="00000000" w:rsidRPr="00000000">
        <w:rPr>
          <w:rFonts w:ascii="Arial" w:cs="Arial" w:eastAsia="Arial" w:hAnsi="Arial"/>
          <w:color w:val="333333"/>
          <w:sz w:val="24"/>
          <w:szCs w:val="24"/>
          <w:rtl w:val="0"/>
        </w:rPr>
        <w:t xml:space="preserve"> </w:t>
      </w:r>
      <w:r w:rsidDel="00000000" w:rsidR="00000000" w:rsidRPr="00000000">
        <w:rPr>
          <w:rFonts w:ascii="Arial" w:cs="Arial" w:eastAsia="Arial" w:hAnsi="Arial"/>
          <w:sz w:val="24"/>
          <w:szCs w:val="24"/>
          <w:rtl w:val="0"/>
        </w:rPr>
        <w:t xml:space="preserve">(Accessed: 19 January 2025)</w:t>
      </w:r>
    </w:p>
    <w:p w:rsidR="00000000" w:rsidDel="00000000" w:rsidP="00000000" w:rsidRDefault="00000000" w:rsidRPr="00000000" w14:paraId="00000071">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Marr, B. (2012) </w:t>
      </w:r>
      <w:r w:rsidDel="00000000" w:rsidR="00000000" w:rsidRPr="00000000">
        <w:rPr>
          <w:rFonts w:ascii="Arial" w:cs="Arial" w:eastAsia="Arial" w:hAnsi="Arial"/>
          <w:i w:val="1"/>
          <w:sz w:val="24"/>
          <w:szCs w:val="24"/>
          <w:highlight w:val="white"/>
          <w:rtl w:val="0"/>
        </w:rPr>
        <w:t xml:space="preserve">Key performance indicators : the 75 measures every manager needs to know</w:t>
      </w:r>
      <w:r w:rsidDel="00000000" w:rsidR="00000000" w:rsidRPr="00000000">
        <w:rPr>
          <w:rFonts w:ascii="Arial" w:cs="Arial" w:eastAsia="Arial" w:hAnsi="Arial"/>
          <w:sz w:val="24"/>
          <w:szCs w:val="24"/>
          <w:highlight w:val="white"/>
          <w:rtl w:val="0"/>
        </w:rPr>
        <w:t xml:space="preserve">. 1st edition. Harlow, England :, Pearson.</w:t>
      </w:r>
    </w:p>
    <w:p w:rsidR="00000000" w:rsidDel="00000000" w:rsidP="00000000" w:rsidRDefault="00000000" w:rsidRPr="00000000" w14:paraId="00000072">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Morris, G.D., McKay, S., and Oates, A. (2009) ‘Chapter 19 - Management Accounting’ in </w:t>
      </w:r>
      <w:r w:rsidDel="00000000" w:rsidR="00000000" w:rsidRPr="00000000">
        <w:rPr>
          <w:rFonts w:ascii="Arial" w:cs="Arial" w:eastAsia="Arial" w:hAnsi="Arial"/>
          <w:i w:val="1"/>
          <w:sz w:val="24"/>
          <w:szCs w:val="24"/>
          <w:highlight w:val="white"/>
          <w:rtl w:val="0"/>
        </w:rPr>
        <w:t xml:space="preserve">Finance Director’s Handbook (Fifth Edition), </w:t>
      </w:r>
      <w:r w:rsidDel="00000000" w:rsidR="00000000" w:rsidRPr="00000000">
        <w:rPr>
          <w:rFonts w:ascii="Arial" w:cs="Arial" w:eastAsia="Arial" w:hAnsi="Arial"/>
          <w:sz w:val="24"/>
          <w:szCs w:val="24"/>
          <w:highlight w:val="white"/>
          <w:rtl w:val="0"/>
        </w:rPr>
        <w:t xml:space="preserve">pp. 765-778. Available at: </w:t>
      </w:r>
      <w:hyperlink r:id="rId33">
        <w:r w:rsidDel="00000000" w:rsidR="00000000" w:rsidRPr="00000000">
          <w:rPr>
            <w:rFonts w:ascii="Arial" w:cs="Arial" w:eastAsia="Arial" w:hAnsi="Arial"/>
            <w:color w:val="1155cc"/>
            <w:sz w:val="24"/>
            <w:szCs w:val="24"/>
            <w:highlight w:val="white"/>
            <w:u w:val="single"/>
            <w:rtl w:val="0"/>
          </w:rPr>
          <w:t xml:space="preserve">https://www.sciencedirect.com/science/article/abs/pii/B9780750687010000199</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3">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Mujahed, M., and Elshareif, E.E. (2017) ‘Internal Rate of Return (IRR): A New Proposed Approach’, </w:t>
      </w:r>
      <w:r w:rsidDel="00000000" w:rsidR="00000000" w:rsidRPr="00000000">
        <w:rPr>
          <w:rFonts w:ascii="Arial" w:cs="Arial" w:eastAsia="Arial" w:hAnsi="Arial"/>
          <w:i w:val="1"/>
          <w:sz w:val="24"/>
          <w:szCs w:val="24"/>
          <w:highlight w:val="white"/>
          <w:rtl w:val="0"/>
        </w:rPr>
        <w:t xml:space="preserve">Leadership, Innovation, and Entrepreneurship as Driving Forces of the Global Economy, </w:t>
      </w:r>
      <w:r w:rsidDel="00000000" w:rsidR="00000000" w:rsidRPr="00000000">
        <w:rPr>
          <w:rFonts w:ascii="Arial" w:cs="Arial" w:eastAsia="Arial" w:hAnsi="Arial"/>
          <w:sz w:val="24"/>
          <w:szCs w:val="24"/>
          <w:highlight w:val="white"/>
          <w:rtl w:val="0"/>
        </w:rPr>
        <w:t xml:space="preserve">pp. 761-767. Available at: </w:t>
      </w:r>
      <w:hyperlink r:id="rId34">
        <w:r w:rsidDel="00000000" w:rsidR="00000000" w:rsidRPr="00000000">
          <w:rPr>
            <w:rFonts w:ascii="Arial" w:cs="Arial" w:eastAsia="Arial" w:hAnsi="Arial"/>
            <w:color w:val="1155cc"/>
            <w:sz w:val="24"/>
            <w:szCs w:val="24"/>
            <w:highlight w:val="white"/>
            <w:u w:val="single"/>
            <w:rtl w:val="0"/>
          </w:rPr>
          <w:t xml:space="preserve">https://www.researchgate.net/publication/312008408_Internal_Rate_of_Return_IRR_A_New_Proposed_Approach</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4">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Pandeirot, L., Sumanti, E.R., Aseng, A.C. (2022) ‘An Empirical Study of Quick Ratio and Profitability on Manufacturing Firms in Indonesia’, </w:t>
      </w:r>
      <w:r w:rsidDel="00000000" w:rsidR="00000000" w:rsidRPr="00000000">
        <w:rPr>
          <w:rFonts w:ascii="Arial" w:cs="Arial" w:eastAsia="Arial" w:hAnsi="Arial"/>
          <w:i w:val="1"/>
          <w:sz w:val="24"/>
          <w:szCs w:val="24"/>
          <w:highlight w:val="white"/>
          <w:rtl w:val="0"/>
        </w:rPr>
        <w:t xml:space="preserve">Society, </w:t>
      </w:r>
      <w:r w:rsidDel="00000000" w:rsidR="00000000" w:rsidRPr="00000000">
        <w:rPr>
          <w:rFonts w:ascii="Arial" w:cs="Arial" w:eastAsia="Arial" w:hAnsi="Arial"/>
          <w:sz w:val="24"/>
          <w:szCs w:val="24"/>
          <w:highlight w:val="white"/>
          <w:rtl w:val="0"/>
        </w:rPr>
        <w:t xml:space="preserve">10(2), pp. 426-434. Available at: </w:t>
      </w:r>
      <w:hyperlink r:id="rId35">
        <w:r w:rsidDel="00000000" w:rsidR="00000000" w:rsidRPr="00000000">
          <w:rPr>
            <w:rFonts w:ascii="Arial" w:cs="Arial" w:eastAsia="Arial" w:hAnsi="Arial"/>
            <w:color w:val="1155cc"/>
            <w:sz w:val="24"/>
            <w:szCs w:val="24"/>
            <w:highlight w:val="white"/>
            <w:u w:val="single"/>
            <w:rtl w:val="0"/>
          </w:rPr>
          <w:t xml:space="preserve">https://www.researchgate.net/publication/367148669_An_Empirical_Study_of_Quick_Ratio_and_Profitability_on_Manufacturing_Firms_in_Indonesia</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5">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Performance Measurement Association. (ed.) (2005) </w:t>
      </w:r>
      <w:r w:rsidDel="00000000" w:rsidR="00000000" w:rsidRPr="00000000">
        <w:rPr>
          <w:rFonts w:ascii="Arial" w:cs="Arial" w:eastAsia="Arial" w:hAnsi="Arial"/>
          <w:i w:val="1"/>
          <w:sz w:val="24"/>
          <w:szCs w:val="24"/>
          <w:highlight w:val="white"/>
          <w:rtl w:val="0"/>
        </w:rPr>
        <w:t xml:space="preserve">Journal of accounting, finance &amp; management strategy.</w:t>
      </w:r>
      <w:r w:rsidDel="00000000" w:rsidR="00000000" w:rsidRPr="00000000">
        <w:rPr>
          <w:rFonts w:ascii="Arial" w:cs="Arial" w:eastAsia="Arial" w:hAnsi="Arial"/>
          <w:sz w:val="24"/>
          <w:szCs w:val="24"/>
          <w:highlight w:val="white"/>
          <w:rtl w:val="0"/>
        </w:rPr>
        <w:t xml:space="preserve"> Fort Lauderdale, FL :, PMA Pub.</w:t>
      </w:r>
    </w:p>
    <w:p w:rsidR="00000000" w:rsidDel="00000000" w:rsidP="00000000" w:rsidRDefault="00000000" w:rsidRPr="00000000" w14:paraId="00000076">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Santos, V., Augusto, T., Vieira, J., and Mendes, L. (2023) ‘E-Commerce: Issues, Opportunities, Challenges, and Trends’, </w:t>
      </w:r>
      <w:r w:rsidDel="00000000" w:rsidR="00000000" w:rsidRPr="00000000">
        <w:rPr>
          <w:rFonts w:ascii="Arial" w:cs="Arial" w:eastAsia="Arial" w:hAnsi="Arial"/>
          <w:i w:val="1"/>
          <w:sz w:val="24"/>
          <w:szCs w:val="24"/>
          <w:highlight w:val="white"/>
          <w:rtl w:val="0"/>
        </w:rPr>
        <w:t xml:space="preserve">Promoting Organizational Performance Through 5G and Agile Marketing, </w:t>
      </w:r>
      <w:r w:rsidDel="00000000" w:rsidR="00000000" w:rsidRPr="00000000">
        <w:rPr>
          <w:rFonts w:ascii="Arial" w:cs="Arial" w:eastAsia="Arial" w:hAnsi="Arial"/>
          <w:sz w:val="24"/>
          <w:szCs w:val="24"/>
          <w:highlight w:val="white"/>
          <w:rtl w:val="0"/>
        </w:rPr>
        <w:t xml:space="preserve">pp. 224-244. Available at: </w:t>
      </w:r>
      <w:hyperlink r:id="rId36">
        <w:r w:rsidDel="00000000" w:rsidR="00000000" w:rsidRPr="00000000">
          <w:rPr>
            <w:rFonts w:ascii="Arial" w:cs="Arial" w:eastAsia="Arial" w:hAnsi="Arial"/>
            <w:color w:val="1155cc"/>
            <w:sz w:val="24"/>
            <w:szCs w:val="24"/>
            <w:highlight w:val="white"/>
            <w:u w:val="single"/>
            <w:rtl w:val="0"/>
          </w:rPr>
          <w:t xml:space="preserve">https://www.researchgate.net/publication/364338640_E-Commerce_Issues_Opportunities_Challenges_and_Trends</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7">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Saunders, A. (2021) </w:t>
      </w:r>
      <w:r w:rsidDel="00000000" w:rsidR="00000000" w:rsidRPr="00000000">
        <w:rPr>
          <w:rFonts w:ascii="Arial" w:cs="Arial" w:eastAsia="Arial" w:hAnsi="Arial"/>
          <w:i w:val="1"/>
          <w:sz w:val="24"/>
          <w:szCs w:val="24"/>
          <w:highlight w:val="white"/>
          <w:rtl w:val="0"/>
        </w:rPr>
        <w:t xml:space="preserve">Financial institutions management : a risk management approach </w:t>
      </w:r>
      <w:r w:rsidDel="00000000" w:rsidR="00000000" w:rsidRPr="00000000">
        <w:rPr>
          <w:rFonts w:ascii="Arial" w:cs="Arial" w:eastAsia="Arial" w:hAnsi="Arial"/>
          <w:sz w:val="24"/>
          <w:szCs w:val="24"/>
          <w:highlight w:val="white"/>
          <w:rtl w:val="0"/>
        </w:rPr>
        <w:t xml:space="preserve">. Tenth edition ; International student edition. New York, NY :, McGraw-Hill Education.</w:t>
      </w:r>
    </w:p>
    <w:p w:rsidR="00000000" w:rsidDel="00000000" w:rsidP="00000000" w:rsidRDefault="00000000" w:rsidRPr="00000000" w14:paraId="00000078">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Sharp, G. (2023) ‘How to Improve Debtor Days to Enhance </w:t>
      </w:r>
      <w:r w:rsidDel="00000000" w:rsidR="00000000" w:rsidRPr="00000000">
        <w:rPr>
          <w:rFonts w:ascii="Arial" w:cs="Arial" w:eastAsia="Arial" w:hAnsi="Arial"/>
          <w:sz w:val="24"/>
          <w:szCs w:val="24"/>
          <w:highlight w:val="white"/>
          <w:rtl w:val="0"/>
        </w:rPr>
        <w:t xml:space="preserve">Cashflow</w:t>
      </w:r>
      <w:r w:rsidDel="00000000" w:rsidR="00000000" w:rsidRPr="00000000">
        <w:rPr>
          <w:rFonts w:ascii="Arial" w:cs="Arial" w:eastAsia="Arial" w:hAnsi="Arial"/>
          <w:sz w:val="24"/>
          <w:szCs w:val="24"/>
          <w:highlight w:val="white"/>
          <w:rtl w:val="0"/>
        </w:rPr>
        <w:t xml:space="preserve">’. Available at: </w:t>
      </w:r>
      <w:hyperlink r:id="rId37">
        <w:r w:rsidDel="00000000" w:rsidR="00000000" w:rsidRPr="00000000">
          <w:rPr>
            <w:rFonts w:ascii="Arial" w:cs="Arial" w:eastAsia="Arial" w:hAnsi="Arial"/>
            <w:color w:val="1155cc"/>
            <w:sz w:val="24"/>
            <w:szCs w:val="24"/>
            <w:highlight w:val="white"/>
            <w:u w:val="single"/>
            <w:rtl w:val="0"/>
          </w:rPr>
          <w:t xml:space="preserve">https://sharpaccounting.com.au/2023/10/how-to-improve-debtor-days-to-enhance-cashflow</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79">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Siyanbola, T.T., Olayoye, S.A., and Olurin, O.T. (2015) ‘Impact of Gearing on Performance of Companies’, </w:t>
      </w:r>
      <w:r w:rsidDel="00000000" w:rsidR="00000000" w:rsidRPr="00000000">
        <w:rPr>
          <w:rFonts w:ascii="Arial" w:cs="Arial" w:eastAsia="Arial" w:hAnsi="Arial"/>
          <w:i w:val="1"/>
          <w:sz w:val="24"/>
          <w:szCs w:val="24"/>
          <w:highlight w:val="white"/>
          <w:rtl w:val="0"/>
        </w:rPr>
        <w:t xml:space="preserve">Arabian Journal of Business and Management Review (Nigerian Chapter), </w:t>
      </w:r>
      <w:r w:rsidDel="00000000" w:rsidR="00000000" w:rsidRPr="00000000">
        <w:rPr>
          <w:rFonts w:ascii="Arial" w:cs="Arial" w:eastAsia="Arial" w:hAnsi="Arial"/>
          <w:sz w:val="24"/>
          <w:szCs w:val="24"/>
          <w:highlight w:val="white"/>
          <w:rtl w:val="0"/>
        </w:rPr>
        <w:t xml:space="preserve">3(1). Available at: </w:t>
      </w:r>
      <w:hyperlink r:id="rId38">
        <w:r w:rsidDel="00000000" w:rsidR="00000000" w:rsidRPr="00000000">
          <w:rPr>
            <w:rFonts w:ascii="Arial" w:cs="Arial" w:eastAsia="Arial" w:hAnsi="Arial"/>
            <w:color w:val="1155cc"/>
            <w:sz w:val="24"/>
            <w:szCs w:val="24"/>
            <w:highlight w:val="white"/>
            <w:u w:val="single"/>
            <w:rtl w:val="0"/>
          </w:rPr>
          <w:t xml:space="preserve">https://www.arabianjbmr.com/pdfs/NG_VOL_3_1/5.pdf</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A">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Sull, D., and Sull, C. (2018) ‘With Goals, FAST Beats SMART’, </w:t>
      </w:r>
      <w:r w:rsidDel="00000000" w:rsidR="00000000" w:rsidRPr="00000000">
        <w:rPr>
          <w:rFonts w:ascii="Arial" w:cs="Arial" w:eastAsia="Arial" w:hAnsi="Arial"/>
          <w:i w:val="1"/>
          <w:sz w:val="24"/>
          <w:szCs w:val="24"/>
          <w:highlight w:val="white"/>
          <w:rtl w:val="0"/>
        </w:rPr>
        <w:t xml:space="preserve">MIT Sloan Management Review. </w:t>
      </w:r>
      <w:r w:rsidDel="00000000" w:rsidR="00000000" w:rsidRPr="00000000">
        <w:rPr>
          <w:rFonts w:ascii="Arial" w:cs="Arial" w:eastAsia="Arial" w:hAnsi="Arial"/>
          <w:sz w:val="24"/>
          <w:szCs w:val="24"/>
          <w:highlight w:val="white"/>
          <w:rtl w:val="0"/>
        </w:rPr>
        <w:t xml:space="preserve">Available at: </w:t>
      </w:r>
      <w:hyperlink r:id="rId39">
        <w:r w:rsidDel="00000000" w:rsidR="00000000" w:rsidRPr="00000000">
          <w:rPr>
            <w:rFonts w:ascii="Arial" w:cs="Arial" w:eastAsia="Arial" w:hAnsi="Arial"/>
            <w:color w:val="1155cc"/>
            <w:sz w:val="24"/>
            <w:szCs w:val="24"/>
            <w:highlight w:val="white"/>
            <w:u w:val="single"/>
            <w:rtl w:val="0"/>
          </w:rPr>
          <w:t xml:space="preserve">https://sloanreview.mit.edu/article/with-goals-fast-beats-smart/</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B">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Coca-Cola Company (2025) ‘Financial Results’, </w:t>
      </w:r>
      <w:r w:rsidDel="00000000" w:rsidR="00000000" w:rsidRPr="00000000">
        <w:rPr>
          <w:rFonts w:ascii="Arial" w:cs="Arial" w:eastAsia="Arial" w:hAnsi="Arial"/>
          <w:i w:val="1"/>
          <w:sz w:val="24"/>
          <w:szCs w:val="24"/>
          <w:highlight w:val="white"/>
          <w:rtl w:val="0"/>
        </w:rPr>
        <w:t xml:space="preserve">Coca-Cola Company, </w:t>
      </w:r>
      <w:r w:rsidDel="00000000" w:rsidR="00000000" w:rsidRPr="00000000">
        <w:rPr>
          <w:rFonts w:ascii="Arial" w:cs="Arial" w:eastAsia="Arial" w:hAnsi="Arial"/>
          <w:sz w:val="24"/>
          <w:szCs w:val="24"/>
          <w:highlight w:val="white"/>
          <w:rtl w:val="0"/>
        </w:rPr>
        <w:t xml:space="preserve">19 January. Available at: </w:t>
      </w:r>
      <w:hyperlink r:id="rId40">
        <w:r w:rsidDel="00000000" w:rsidR="00000000" w:rsidRPr="00000000">
          <w:rPr>
            <w:rFonts w:ascii="Arial" w:cs="Arial" w:eastAsia="Arial" w:hAnsi="Arial"/>
            <w:color w:val="1155cc"/>
            <w:sz w:val="24"/>
            <w:szCs w:val="24"/>
            <w:highlight w:val="white"/>
            <w:u w:val="single"/>
            <w:rtl w:val="0"/>
          </w:rPr>
          <w:t xml:space="preserve">https://investors.coca-colacompany.com/financial-information/financial-results</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7C">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Coca-Cola Company (2025) ‘Our History’, </w:t>
      </w:r>
      <w:r w:rsidDel="00000000" w:rsidR="00000000" w:rsidRPr="00000000">
        <w:rPr>
          <w:rFonts w:ascii="Arial" w:cs="Arial" w:eastAsia="Arial" w:hAnsi="Arial"/>
          <w:i w:val="1"/>
          <w:sz w:val="24"/>
          <w:szCs w:val="24"/>
          <w:highlight w:val="white"/>
          <w:rtl w:val="0"/>
        </w:rPr>
        <w:t xml:space="preserve">Coca-Cola Company, </w:t>
      </w:r>
      <w:r w:rsidDel="00000000" w:rsidR="00000000" w:rsidRPr="00000000">
        <w:rPr>
          <w:rFonts w:ascii="Arial" w:cs="Arial" w:eastAsia="Arial" w:hAnsi="Arial"/>
          <w:sz w:val="24"/>
          <w:szCs w:val="24"/>
          <w:highlight w:val="white"/>
          <w:rtl w:val="0"/>
        </w:rPr>
        <w:t xml:space="preserve">19 January. Available at: </w:t>
      </w:r>
      <w:hyperlink r:id="rId41">
        <w:r w:rsidDel="00000000" w:rsidR="00000000" w:rsidRPr="00000000">
          <w:rPr>
            <w:rFonts w:ascii="Arial" w:cs="Arial" w:eastAsia="Arial" w:hAnsi="Arial"/>
            <w:color w:val="1155cc"/>
            <w:sz w:val="24"/>
            <w:szCs w:val="24"/>
            <w:highlight w:val="white"/>
            <w:u w:val="single"/>
            <w:rtl w:val="0"/>
          </w:rPr>
          <w:t xml:space="preserve">https://www.coca-colacompany.com/about-us/history</w:t>
        </w:r>
      </w:hyperlink>
      <w:r w:rsidDel="00000000" w:rsidR="00000000" w:rsidRPr="00000000">
        <w:rPr>
          <w:rFonts w:ascii="Arial" w:cs="Arial" w:eastAsia="Arial" w:hAnsi="Arial"/>
          <w:sz w:val="24"/>
          <w:szCs w:val="24"/>
          <w:highlight w:val="white"/>
          <w:rtl w:val="0"/>
        </w:rPr>
        <w:t xml:space="preserve"> (Accessed: 19 January 2025)</w:t>
      </w:r>
    </w:p>
    <w:p w:rsidR="00000000" w:rsidDel="00000000" w:rsidP="00000000" w:rsidRDefault="00000000" w:rsidRPr="00000000" w14:paraId="0000007D">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University of Cambridge (2025) ‘Sugary Drinks Tax May Have Prevented Over 5,000 Cases of Obesity a Year in Year Six Girls Alone’. Available at: </w:t>
      </w:r>
      <w:hyperlink r:id="rId42">
        <w:r w:rsidDel="00000000" w:rsidR="00000000" w:rsidRPr="00000000">
          <w:rPr>
            <w:rFonts w:ascii="Arial" w:cs="Arial" w:eastAsia="Arial" w:hAnsi="Arial"/>
            <w:color w:val="1155cc"/>
            <w:sz w:val="24"/>
            <w:szCs w:val="24"/>
            <w:highlight w:val="white"/>
            <w:u w:val="single"/>
            <w:rtl w:val="0"/>
          </w:rPr>
          <w:t xml:space="preserve">https://www.cam.ac.uk/research/news/sugary-drinks-tax-may-have-prevented-over-5000-cases-of-obesity-a-year-in-year-six-girls-alone</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7E">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Walsh, C. (2008) </w:t>
      </w:r>
      <w:r w:rsidDel="00000000" w:rsidR="00000000" w:rsidRPr="00000000">
        <w:rPr>
          <w:rFonts w:ascii="Arial" w:cs="Arial" w:eastAsia="Arial" w:hAnsi="Arial"/>
          <w:i w:val="1"/>
          <w:sz w:val="24"/>
          <w:szCs w:val="24"/>
          <w:highlight w:val="white"/>
          <w:rtl w:val="0"/>
        </w:rPr>
        <w:t xml:space="preserve">Key management ratios : the 100+ ratios every manager needs to know </w:t>
      </w:r>
      <w:r w:rsidDel="00000000" w:rsidR="00000000" w:rsidRPr="00000000">
        <w:rPr>
          <w:rFonts w:ascii="Arial" w:cs="Arial" w:eastAsia="Arial" w:hAnsi="Arial"/>
          <w:sz w:val="24"/>
          <w:szCs w:val="24"/>
          <w:highlight w:val="white"/>
          <w:rtl w:val="0"/>
        </w:rPr>
        <w:t xml:space="preserve">. Fourth edition. Harlow, England :, FT Prentice Hall.</w:t>
      </w:r>
    </w:p>
    <w:p w:rsidR="00000000" w:rsidDel="00000000" w:rsidP="00000000" w:rsidRDefault="00000000" w:rsidRPr="00000000" w14:paraId="0000007F">
      <w:pPr>
        <w:spacing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Wesleyan (2025) ‘Short-term vs Long-term Investing’. Available at: </w:t>
      </w:r>
      <w:hyperlink r:id="rId43">
        <w:r w:rsidDel="00000000" w:rsidR="00000000" w:rsidRPr="00000000">
          <w:rPr>
            <w:rFonts w:ascii="Arial" w:cs="Arial" w:eastAsia="Arial" w:hAnsi="Arial"/>
            <w:color w:val="1155cc"/>
            <w:sz w:val="24"/>
            <w:szCs w:val="24"/>
            <w:highlight w:val="white"/>
            <w:u w:val="single"/>
            <w:rtl w:val="0"/>
          </w:rPr>
          <w:t xml:space="preserve">https://www.wesleyan.co.uk/savings-and-investments/long-vs-short-term-investing</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p>
    <w:p w:rsidR="00000000" w:rsidDel="00000000" w:rsidP="00000000" w:rsidRDefault="00000000" w:rsidRPr="00000000" w14:paraId="00000080">
      <w:pPr>
        <w:spacing w:line="276" w:lineRule="auto"/>
        <w:rPr>
          <w:rFonts w:ascii="Arial" w:cs="Arial" w:eastAsia="Arial" w:hAnsi="Arial"/>
        </w:rPr>
      </w:pPr>
      <w:r w:rsidDel="00000000" w:rsidR="00000000" w:rsidRPr="00000000">
        <w:rPr>
          <w:rFonts w:ascii="Arial" w:cs="Arial" w:eastAsia="Arial" w:hAnsi="Arial"/>
          <w:sz w:val="24"/>
          <w:szCs w:val="24"/>
          <w:highlight w:val="white"/>
          <w:rtl w:val="0"/>
        </w:rPr>
        <w:t xml:space="preserve">Xu, H. (2015) ‘Using the Net Present Value Rule to Make Value-Creating Investment Decisions’, </w:t>
      </w:r>
      <w:r w:rsidDel="00000000" w:rsidR="00000000" w:rsidRPr="00000000">
        <w:rPr>
          <w:rFonts w:ascii="Arial" w:cs="Arial" w:eastAsia="Arial" w:hAnsi="Arial"/>
          <w:i w:val="1"/>
          <w:sz w:val="24"/>
          <w:szCs w:val="24"/>
          <w:highlight w:val="white"/>
          <w:rtl w:val="0"/>
        </w:rPr>
        <w:t xml:space="preserve">Internal Conference on Chemical, Material and Food Engineering. </w:t>
      </w:r>
      <w:r w:rsidDel="00000000" w:rsidR="00000000" w:rsidRPr="00000000">
        <w:rPr>
          <w:rFonts w:ascii="Arial" w:cs="Arial" w:eastAsia="Arial" w:hAnsi="Arial"/>
          <w:sz w:val="24"/>
          <w:szCs w:val="24"/>
          <w:highlight w:val="white"/>
          <w:rtl w:val="0"/>
        </w:rPr>
        <w:t xml:space="preserve">Available at: </w:t>
      </w:r>
      <w:hyperlink r:id="rId44">
        <w:r w:rsidDel="00000000" w:rsidR="00000000" w:rsidRPr="00000000">
          <w:rPr>
            <w:rFonts w:ascii="Arial" w:cs="Arial" w:eastAsia="Arial" w:hAnsi="Arial"/>
            <w:color w:val="1155cc"/>
            <w:sz w:val="24"/>
            <w:szCs w:val="24"/>
            <w:highlight w:val="white"/>
            <w:u w:val="single"/>
            <w:rtl w:val="0"/>
          </w:rPr>
          <w:t xml:space="preserve">https://www.researchgate.net/publication/299965551_Using_the_Net_Present_Value_Rule_to_Make_Value-Creating_Investment_Decisions</w:t>
        </w:r>
      </w:hyperlink>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(Accessed: 19 January 2025)</w:t>
      </w:r>
      <w:r w:rsidDel="00000000" w:rsidR="00000000" w:rsidRPr="00000000">
        <w:rPr>
          <w:rtl w:val="0"/>
        </w:rPr>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tl w:val="0"/>
        </w:rPr>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rFonts w:ascii="Arial" w:cs="Arial" w:eastAsia="Arial" w:hAnsi="Arial"/>
        </w:rPr>
      </w:pPr>
      <w:r w:rsidDel="00000000" w:rsidR="00000000" w:rsidRPr="00000000">
        <w:rPr>
          <w:rtl w:val="0"/>
        </w:rPr>
      </w:r>
    </w:p>
    <w:p w:rsidR="00000000" w:rsidDel="00000000" w:rsidP="00000000" w:rsidRDefault="00000000" w:rsidRPr="00000000" w14:paraId="00000085">
      <w:pPr>
        <w:rPr>
          <w:rFonts w:ascii="Arial" w:cs="Arial" w:eastAsia="Arial" w:hAnsi="Arial"/>
        </w:rPr>
      </w:pP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tl w:val="0"/>
        </w:rPr>
      </w:r>
    </w:p>
    <w:p w:rsidR="00000000" w:rsidDel="00000000" w:rsidP="00000000" w:rsidRDefault="00000000" w:rsidRPr="00000000" w14:paraId="00000088">
      <w:pPr>
        <w:rPr>
          <w:rFonts w:ascii="Arial" w:cs="Arial" w:eastAsia="Arial" w:hAnsi="Arial"/>
        </w:rPr>
      </w:pPr>
      <w:r w:rsidDel="00000000" w:rsidR="00000000" w:rsidRPr="00000000">
        <w:rPr>
          <w:rtl w:val="0"/>
        </w:rPr>
      </w:r>
    </w:p>
    <w:p w:rsidR="00000000" w:rsidDel="00000000" w:rsidP="00000000" w:rsidRDefault="00000000" w:rsidRPr="00000000" w14:paraId="00000089">
      <w:pPr>
        <w:pStyle w:val="Heading1"/>
        <w:rPr>
          <w:rFonts w:ascii="Arial" w:cs="Arial" w:eastAsia="Arial" w:hAnsi="Arial"/>
        </w:rPr>
      </w:pPr>
      <w:bookmarkStart w:colFirst="0" w:colLast="0" w:name="_1t3h5sf" w:id="24"/>
      <w:bookmarkEnd w:id="24"/>
      <w:r w:rsidDel="00000000" w:rsidR="00000000" w:rsidRPr="00000000">
        <w:rPr>
          <w:rFonts w:ascii="Arial" w:cs="Arial" w:eastAsia="Arial" w:hAnsi="Arial"/>
          <w:rtl w:val="0"/>
        </w:rPr>
        <w:t xml:space="preserve">Appendix</w:t>
      </w:r>
    </w:p>
    <w:p w:rsidR="00000000" w:rsidDel="00000000" w:rsidP="00000000" w:rsidRDefault="00000000" w:rsidRPr="00000000" w14:paraId="0000008A">
      <w:pPr>
        <w:rPr>
          <w:rFonts w:ascii="Arial" w:cs="Arial" w:eastAsia="Arial" w:hAnsi="Arial"/>
          <w:sz w:val="24"/>
          <w:szCs w:val="24"/>
        </w:rPr>
      </w:pPr>
      <w:r w:rsidDel="00000000" w:rsidR="00000000" w:rsidRPr="00000000">
        <w:rPr>
          <w:rFonts w:ascii="Arial" w:cs="Arial" w:eastAsia="Arial" w:hAnsi="Arial"/>
          <w:sz w:val="24"/>
          <w:szCs w:val="24"/>
          <w:rtl w:val="0"/>
        </w:rPr>
        <w:t xml:space="preserve">All financial information for Coca-Cola PLC can be found here - </w:t>
      </w:r>
      <w:hyperlink r:id="rId45">
        <w:r w:rsidDel="00000000" w:rsidR="00000000" w:rsidRPr="00000000">
          <w:rPr>
            <w:rFonts w:ascii="Arial" w:cs="Arial" w:eastAsia="Arial" w:hAnsi="Arial"/>
            <w:color w:val="1155cc"/>
            <w:sz w:val="24"/>
            <w:szCs w:val="24"/>
            <w:u w:val="single"/>
            <w:rtl w:val="0"/>
          </w:rPr>
          <w:t xml:space="preserve">https://investors.coca-colacompany.com/financial-information/income-statement</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8B">
      <w:pPr>
        <w:pStyle w:val="Heading2"/>
        <w:rPr>
          <w:rFonts w:ascii="Arial" w:cs="Arial" w:eastAsia="Arial" w:hAnsi="Arial"/>
          <w:sz w:val="28"/>
          <w:szCs w:val="28"/>
        </w:rPr>
      </w:pPr>
      <w:bookmarkStart w:colFirst="0" w:colLast="0" w:name="_fdqj3firu7qw" w:id="25"/>
      <w:bookmarkEnd w:id="25"/>
      <w:r w:rsidDel="00000000" w:rsidR="00000000" w:rsidRPr="00000000">
        <w:rPr>
          <w:rFonts w:ascii="Arial" w:cs="Arial" w:eastAsia="Arial" w:hAnsi="Arial"/>
          <w:sz w:val="28"/>
          <w:szCs w:val="28"/>
          <w:rtl w:val="0"/>
        </w:rPr>
        <w:t xml:space="preserve">1.0. </w:t>
      </w:r>
      <w:r w:rsidDel="00000000" w:rsidR="00000000" w:rsidRPr="00000000">
        <w:rPr>
          <w:rFonts w:ascii="Arial" w:cs="Arial" w:eastAsia="Arial" w:hAnsi="Arial"/>
          <w:sz w:val="28"/>
          <w:szCs w:val="28"/>
          <w:rtl w:val="0"/>
        </w:rPr>
        <w:t xml:space="preserve">Calculations for Coca-Cola PLC</w:t>
      </w:r>
    </w:p>
    <w:p w:rsidR="00000000" w:rsidDel="00000000" w:rsidP="00000000" w:rsidRDefault="00000000" w:rsidRPr="00000000" w14:paraId="0000008C">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Gross Profit -</w:t>
      </w:r>
    </w:p>
    <w:p w:rsidR="00000000" w:rsidDel="00000000" w:rsidP="00000000" w:rsidRDefault="00000000" w:rsidRPr="00000000" w14:paraId="0000008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 </w:t>
      </w:r>
    </w:p>
    <w:p w:rsidR="00000000" w:rsidDel="00000000" w:rsidP="00000000" w:rsidRDefault="00000000" w:rsidRPr="00000000" w14:paraId="0000008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21806/35517 x 100</w:t>
      </w:r>
    </w:p>
    <w:p w:rsidR="00000000" w:rsidDel="00000000" w:rsidP="00000000" w:rsidRDefault="00000000" w:rsidRPr="00000000" w14:paraId="0000008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61.4</w:t>
      </w:r>
    </w:p>
    <w:p w:rsidR="00000000" w:rsidDel="00000000" w:rsidP="00000000" w:rsidRDefault="00000000" w:rsidRPr="00000000" w14:paraId="0000009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9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21109/34905 x 100</w:t>
      </w:r>
    </w:p>
    <w:p w:rsidR="00000000" w:rsidDel="00000000" w:rsidP="00000000" w:rsidRDefault="00000000" w:rsidRPr="00000000" w14:paraId="0000009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60.5</w:t>
      </w:r>
    </w:p>
    <w:p w:rsidR="00000000" w:rsidDel="00000000" w:rsidP="00000000" w:rsidRDefault="00000000" w:rsidRPr="00000000" w14:paraId="00000093">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Net Profit -</w:t>
      </w:r>
    </w:p>
    <w:p w:rsidR="00000000" w:rsidDel="00000000" w:rsidP="00000000" w:rsidRDefault="00000000" w:rsidRPr="00000000" w14:paraId="0000009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9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7283/35517 x 100</w:t>
      </w:r>
    </w:p>
    <w:p w:rsidR="00000000" w:rsidDel="00000000" w:rsidP="00000000" w:rsidRDefault="00000000" w:rsidRPr="00000000" w14:paraId="0000009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=20.5</w:t>
      </w:r>
    </w:p>
    <w:p w:rsidR="00000000" w:rsidDel="00000000" w:rsidP="00000000" w:rsidRDefault="00000000" w:rsidRPr="00000000" w14:paraId="0000009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9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9038/34905 x 100</w:t>
      </w:r>
    </w:p>
    <w:p w:rsidR="00000000" w:rsidDel="00000000" w:rsidP="00000000" w:rsidRDefault="00000000" w:rsidRPr="00000000" w14:paraId="0000009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25.9</w:t>
      </w:r>
    </w:p>
    <w:p w:rsidR="00000000" w:rsidDel="00000000" w:rsidP="00000000" w:rsidRDefault="00000000" w:rsidRPr="00000000" w14:paraId="0000009B">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ROCE -</w:t>
      </w:r>
    </w:p>
    <w:p w:rsidR="00000000" w:rsidDel="00000000" w:rsidP="00000000" w:rsidRDefault="00000000" w:rsidRPr="00000000" w14:paraId="0000009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9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7283/(106266-28569) x 100</w:t>
      </w:r>
    </w:p>
    <w:p w:rsidR="00000000" w:rsidDel="00000000" w:rsidP="00000000" w:rsidRDefault="00000000" w:rsidRPr="00000000" w14:paraId="0000009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9.4</w:t>
      </w:r>
    </w:p>
    <w:p w:rsidR="00000000" w:rsidDel="00000000" w:rsidP="00000000" w:rsidRDefault="00000000" w:rsidRPr="00000000" w14:paraId="000000A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A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9038/(97703-23571) x 100</w:t>
      </w:r>
    </w:p>
    <w:p w:rsidR="00000000" w:rsidDel="00000000" w:rsidP="00000000" w:rsidRDefault="00000000" w:rsidRPr="00000000" w14:paraId="000000A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12.2</w:t>
      </w:r>
    </w:p>
    <w:p w:rsidR="00000000" w:rsidDel="00000000" w:rsidP="00000000" w:rsidRDefault="00000000" w:rsidRPr="00000000" w14:paraId="000000A3">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4">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Working Capital - </w:t>
      </w:r>
    </w:p>
    <w:p w:rsidR="00000000" w:rsidDel="00000000" w:rsidP="00000000" w:rsidRDefault="00000000" w:rsidRPr="00000000" w14:paraId="000000A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A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30288/28569 x 100 </w:t>
      </w:r>
    </w:p>
    <w:p w:rsidR="00000000" w:rsidDel="00000000" w:rsidP="00000000" w:rsidRDefault="00000000" w:rsidRPr="00000000" w14:paraId="000000A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106%</w:t>
      </w:r>
    </w:p>
    <w:p w:rsidR="00000000" w:rsidDel="00000000" w:rsidP="00000000" w:rsidRDefault="00000000" w:rsidRPr="00000000" w14:paraId="000000A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A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26732/23671 x 100</w:t>
      </w:r>
    </w:p>
    <w:p w:rsidR="00000000" w:rsidDel="00000000" w:rsidP="00000000" w:rsidRDefault="00000000" w:rsidRPr="00000000" w14:paraId="000000AA">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112%</w:t>
      </w:r>
    </w:p>
    <w:p w:rsidR="00000000" w:rsidDel="00000000" w:rsidP="00000000" w:rsidRDefault="00000000" w:rsidRPr="00000000" w14:paraId="000000AB">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C">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Acid Test -</w:t>
      </w:r>
    </w:p>
    <w:p w:rsidR="00000000" w:rsidDel="00000000" w:rsidP="00000000" w:rsidRDefault="00000000" w:rsidRPr="00000000" w14:paraId="000000A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A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(30288-4714)/28569 </w:t>
      </w:r>
    </w:p>
    <w:p w:rsidR="00000000" w:rsidDel="00000000" w:rsidP="00000000" w:rsidRDefault="00000000" w:rsidRPr="00000000" w14:paraId="000000A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0.89</w:t>
      </w:r>
    </w:p>
    <w:p w:rsidR="00000000" w:rsidDel="00000000" w:rsidP="00000000" w:rsidRDefault="00000000" w:rsidRPr="00000000" w14:paraId="000000B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B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(26732-4424)/23571 </w:t>
      </w:r>
    </w:p>
    <w:p w:rsidR="00000000" w:rsidDel="00000000" w:rsidP="00000000" w:rsidRDefault="00000000" w:rsidRPr="00000000" w14:paraId="000000B2">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0.94</w:t>
      </w:r>
    </w:p>
    <w:p w:rsidR="00000000" w:rsidDel="00000000" w:rsidP="00000000" w:rsidRDefault="00000000" w:rsidRPr="00000000" w14:paraId="000000B3">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Asset Turnover -</w:t>
      </w:r>
    </w:p>
    <w:p w:rsidR="00000000" w:rsidDel="00000000" w:rsidP="00000000" w:rsidRDefault="00000000" w:rsidRPr="00000000" w14:paraId="000000B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 </w:t>
      </w:r>
    </w:p>
    <w:p w:rsidR="00000000" w:rsidDel="00000000" w:rsidP="00000000" w:rsidRDefault="00000000" w:rsidRPr="00000000" w14:paraId="000000B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35517/(106266-28569) x 100</w:t>
      </w:r>
    </w:p>
    <w:p w:rsidR="00000000" w:rsidDel="00000000" w:rsidP="00000000" w:rsidRDefault="00000000" w:rsidRPr="00000000" w14:paraId="000000B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45.7%</w:t>
      </w:r>
    </w:p>
    <w:p w:rsidR="00000000" w:rsidDel="00000000" w:rsidP="00000000" w:rsidRDefault="00000000" w:rsidRPr="00000000" w14:paraId="000000B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34905/(97703-23571) x 100</w:t>
      </w:r>
    </w:p>
    <w:p w:rsidR="00000000" w:rsidDel="00000000" w:rsidP="00000000" w:rsidRDefault="00000000" w:rsidRPr="00000000" w14:paraId="000000B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47.1%</w:t>
      </w:r>
    </w:p>
    <w:p w:rsidR="00000000" w:rsidDel="00000000" w:rsidP="00000000" w:rsidRDefault="00000000" w:rsidRPr="00000000" w14:paraId="000000B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Debtor Days - </w:t>
      </w:r>
    </w:p>
    <w:p w:rsidR="00000000" w:rsidDel="00000000" w:rsidP="00000000" w:rsidRDefault="00000000" w:rsidRPr="00000000" w14:paraId="000000B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B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(4233 x 365)/35517</w:t>
      </w:r>
    </w:p>
    <w:p w:rsidR="00000000" w:rsidDel="00000000" w:rsidP="00000000" w:rsidRDefault="00000000" w:rsidRPr="00000000" w14:paraId="000000B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43.5 days</w:t>
      </w:r>
    </w:p>
    <w:p w:rsidR="00000000" w:rsidDel="00000000" w:rsidP="00000000" w:rsidRDefault="00000000" w:rsidRPr="00000000" w14:paraId="000000B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 </w:t>
      </w:r>
    </w:p>
    <w:p w:rsidR="00000000" w:rsidDel="00000000" w:rsidP="00000000" w:rsidRDefault="00000000" w:rsidRPr="00000000" w14:paraId="000000C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(3410 x 365)/34905</w:t>
      </w:r>
    </w:p>
    <w:p w:rsidR="00000000" w:rsidDel="00000000" w:rsidP="00000000" w:rsidRDefault="00000000" w:rsidRPr="00000000" w14:paraId="000000C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36 days</w:t>
      </w:r>
    </w:p>
    <w:p w:rsidR="00000000" w:rsidDel="00000000" w:rsidP="00000000" w:rsidRDefault="00000000" w:rsidRPr="00000000" w14:paraId="000000C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3">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Stock Days -</w:t>
      </w:r>
    </w:p>
    <w:p w:rsidR="00000000" w:rsidDel="00000000" w:rsidP="00000000" w:rsidRDefault="00000000" w:rsidRPr="00000000" w14:paraId="000000C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C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(4714 x 365)/28234</w:t>
      </w:r>
    </w:p>
    <w:p w:rsidR="00000000" w:rsidDel="00000000" w:rsidP="00000000" w:rsidRDefault="00000000" w:rsidRPr="00000000" w14:paraId="000000C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61 days</w:t>
      </w:r>
    </w:p>
    <w:p w:rsidR="00000000" w:rsidDel="00000000" w:rsidP="00000000" w:rsidRDefault="00000000" w:rsidRPr="00000000" w14:paraId="000000C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C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(4424 x 365)/25847</w:t>
      </w:r>
    </w:p>
    <w:p w:rsidR="00000000" w:rsidDel="00000000" w:rsidP="00000000" w:rsidRDefault="00000000" w:rsidRPr="00000000" w14:paraId="000000C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62.5 days</w:t>
      </w:r>
    </w:p>
    <w:p w:rsidR="00000000" w:rsidDel="00000000" w:rsidP="00000000" w:rsidRDefault="00000000" w:rsidRPr="00000000" w14:paraId="000000C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Creditor Days -</w:t>
      </w:r>
    </w:p>
    <w:p w:rsidR="00000000" w:rsidDel="00000000" w:rsidP="00000000" w:rsidRDefault="00000000" w:rsidRPr="00000000" w14:paraId="000000C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C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(23820 x 365)/28234</w:t>
      </w:r>
    </w:p>
    <w:p w:rsidR="00000000" w:rsidDel="00000000" w:rsidP="00000000" w:rsidRDefault="00000000" w:rsidRPr="00000000" w14:paraId="000000C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307 days</w:t>
      </w:r>
    </w:p>
    <w:p w:rsidR="00000000" w:rsidDel="00000000" w:rsidP="00000000" w:rsidRDefault="00000000" w:rsidRPr="00000000" w14:paraId="000000C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D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(15485 x 365)/25847</w:t>
      </w:r>
    </w:p>
    <w:p w:rsidR="00000000" w:rsidDel="00000000" w:rsidP="00000000" w:rsidRDefault="00000000" w:rsidRPr="00000000" w14:paraId="000000D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219 days</w:t>
      </w:r>
    </w:p>
    <w:p w:rsidR="00000000" w:rsidDel="00000000" w:rsidP="00000000" w:rsidRDefault="00000000" w:rsidRPr="00000000" w14:paraId="000000D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Stock Turnover Days -</w:t>
      </w:r>
    </w:p>
    <w:p w:rsidR="00000000" w:rsidDel="00000000" w:rsidP="00000000" w:rsidRDefault="00000000" w:rsidRPr="00000000" w14:paraId="000000D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 </w:t>
      </w:r>
    </w:p>
    <w:p w:rsidR="00000000" w:rsidDel="00000000" w:rsidP="00000000" w:rsidRDefault="00000000" w:rsidRPr="00000000" w14:paraId="000000D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4714/13711 x 365</w:t>
      </w:r>
    </w:p>
    <w:p w:rsidR="00000000" w:rsidDel="00000000" w:rsidP="00000000" w:rsidRDefault="00000000" w:rsidRPr="00000000" w14:paraId="000000D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=125.5 days</w:t>
      </w:r>
    </w:p>
    <w:p w:rsidR="00000000" w:rsidDel="00000000" w:rsidP="00000000" w:rsidRDefault="00000000" w:rsidRPr="00000000" w14:paraId="000000D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D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4424/13886 x 365</w:t>
      </w:r>
    </w:p>
    <w:p w:rsidR="00000000" w:rsidDel="00000000" w:rsidP="00000000" w:rsidRDefault="00000000" w:rsidRPr="00000000" w14:paraId="000000D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116 days</w:t>
      </w:r>
    </w:p>
    <w:p w:rsidR="00000000" w:rsidDel="00000000" w:rsidP="00000000" w:rsidRDefault="00000000" w:rsidRPr="00000000" w14:paraId="000000D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Times Stock is Turned Over - </w:t>
      </w:r>
    </w:p>
    <w:p w:rsidR="00000000" w:rsidDel="00000000" w:rsidP="00000000" w:rsidRDefault="00000000" w:rsidRPr="00000000" w14:paraId="000000D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 </w:t>
      </w:r>
    </w:p>
    <w:p w:rsidR="00000000" w:rsidDel="00000000" w:rsidP="00000000" w:rsidRDefault="00000000" w:rsidRPr="00000000" w14:paraId="000000D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13711/4714 </w:t>
      </w:r>
    </w:p>
    <w:p w:rsidR="00000000" w:rsidDel="00000000" w:rsidP="00000000" w:rsidRDefault="00000000" w:rsidRPr="00000000" w14:paraId="000000D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2.9</w:t>
      </w:r>
    </w:p>
    <w:p w:rsidR="00000000" w:rsidDel="00000000" w:rsidP="00000000" w:rsidRDefault="00000000" w:rsidRPr="00000000" w14:paraId="000000D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E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13886/4424</w:t>
      </w:r>
    </w:p>
    <w:p w:rsidR="00000000" w:rsidDel="00000000" w:rsidP="00000000" w:rsidRDefault="00000000" w:rsidRPr="00000000" w14:paraId="000000E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=3.1</w:t>
      </w:r>
    </w:p>
    <w:p w:rsidR="00000000" w:rsidDel="00000000" w:rsidP="00000000" w:rsidRDefault="00000000" w:rsidRPr="00000000" w14:paraId="000000E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Current Ratio - </w:t>
      </w:r>
    </w:p>
    <w:p w:rsidR="00000000" w:rsidDel="00000000" w:rsidP="00000000" w:rsidRDefault="00000000" w:rsidRPr="00000000" w14:paraId="000000E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E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30288/28569 </w:t>
      </w:r>
    </w:p>
    <w:p w:rsidR="00000000" w:rsidDel="00000000" w:rsidP="00000000" w:rsidRDefault="00000000" w:rsidRPr="00000000" w14:paraId="000000E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1.06</w:t>
      </w:r>
    </w:p>
    <w:p w:rsidR="00000000" w:rsidDel="00000000" w:rsidP="00000000" w:rsidRDefault="00000000" w:rsidRPr="00000000" w14:paraId="000000E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 </w:t>
      </w:r>
    </w:p>
    <w:p w:rsidR="00000000" w:rsidDel="00000000" w:rsidP="00000000" w:rsidRDefault="00000000" w:rsidRPr="00000000" w14:paraId="000000E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26732/23571</w:t>
      </w:r>
    </w:p>
    <w:p w:rsidR="00000000" w:rsidDel="00000000" w:rsidP="00000000" w:rsidRDefault="00000000" w:rsidRPr="00000000" w14:paraId="000000E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1.13</w:t>
      </w:r>
    </w:p>
    <w:p w:rsidR="00000000" w:rsidDel="00000000" w:rsidP="00000000" w:rsidRDefault="00000000" w:rsidRPr="00000000" w14:paraId="000000E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Acid Test Ratio -</w:t>
      </w:r>
    </w:p>
    <w:p w:rsidR="00000000" w:rsidDel="00000000" w:rsidP="00000000" w:rsidRDefault="00000000" w:rsidRPr="00000000" w14:paraId="000000E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E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(30288 - 4714)/28569 </w:t>
      </w:r>
    </w:p>
    <w:p w:rsidR="00000000" w:rsidDel="00000000" w:rsidP="00000000" w:rsidRDefault="00000000" w:rsidRPr="00000000" w14:paraId="000000E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=0.9</w:t>
      </w:r>
    </w:p>
    <w:p w:rsidR="00000000" w:rsidDel="00000000" w:rsidP="00000000" w:rsidRDefault="00000000" w:rsidRPr="00000000" w14:paraId="000000E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F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(26732 - 4424)/23571 </w:t>
      </w:r>
    </w:p>
    <w:p w:rsidR="00000000" w:rsidDel="00000000" w:rsidP="00000000" w:rsidRDefault="00000000" w:rsidRPr="00000000" w14:paraId="000000F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=0/95</w:t>
      </w:r>
    </w:p>
    <w:p w:rsidR="00000000" w:rsidDel="00000000" w:rsidP="00000000" w:rsidRDefault="00000000" w:rsidRPr="00000000" w14:paraId="000000F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Return On Owner’s Equity -</w:t>
      </w:r>
    </w:p>
    <w:p w:rsidR="00000000" w:rsidDel="00000000" w:rsidP="00000000" w:rsidRDefault="00000000" w:rsidRPr="00000000" w14:paraId="000000F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F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8436/(1760+35517) x 100 </w:t>
      </w:r>
    </w:p>
    <w:p w:rsidR="00000000" w:rsidDel="00000000" w:rsidP="00000000" w:rsidRDefault="00000000" w:rsidRPr="00000000" w14:paraId="000000F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=22.6</w:t>
      </w:r>
    </w:p>
    <w:p w:rsidR="00000000" w:rsidDel="00000000" w:rsidP="00000000" w:rsidRDefault="00000000" w:rsidRPr="00000000" w14:paraId="000000F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0F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8741/(1760+34905) x 100 </w:t>
      </w:r>
    </w:p>
    <w:p w:rsidR="00000000" w:rsidDel="00000000" w:rsidP="00000000" w:rsidRDefault="00000000" w:rsidRPr="00000000" w14:paraId="000000F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23.8</w:t>
      </w:r>
    </w:p>
    <w:p w:rsidR="00000000" w:rsidDel="00000000" w:rsidP="00000000" w:rsidRDefault="00000000" w:rsidRPr="00000000" w14:paraId="000000F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Earnings Per Share - </w:t>
      </w:r>
    </w:p>
    <w:p w:rsidR="00000000" w:rsidDel="00000000" w:rsidP="00000000" w:rsidRDefault="00000000" w:rsidRPr="00000000" w14:paraId="000000F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0F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8436/1760 </w:t>
      </w:r>
    </w:p>
    <w:p w:rsidR="00000000" w:rsidDel="00000000" w:rsidP="00000000" w:rsidRDefault="00000000" w:rsidRPr="00000000" w14:paraId="000000F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4.8</w:t>
      </w:r>
    </w:p>
    <w:p w:rsidR="00000000" w:rsidDel="00000000" w:rsidP="00000000" w:rsidRDefault="00000000" w:rsidRPr="00000000" w14:paraId="000000F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10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8741/1760</w:t>
      </w:r>
    </w:p>
    <w:p w:rsidR="00000000" w:rsidDel="00000000" w:rsidP="00000000" w:rsidRDefault="00000000" w:rsidRPr="00000000" w14:paraId="0000010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4.9</w:t>
      </w:r>
    </w:p>
    <w:p w:rsidR="00000000" w:rsidDel="00000000" w:rsidP="00000000" w:rsidRDefault="00000000" w:rsidRPr="00000000" w14:paraId="0000010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3">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Dividend Cover - </w:t>
      </w:r>
    </w:p>
    <w:p w:rsidR="00000000" w:rsidDel="00000000" w:rsidP="00000000" w:rsidRDefault="00000000" w:rsidRPr="00000000" w14:paraId="0000010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10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8436/4274 </w:t>
      </w:r>
    </w:p>
    <w:p w:rsidR="00000000" w:rsidDel="00000000" w:rsidP="00000000" w:rsidRDefault="00000000" w:rsidRPr="00000000" w14:paraId="0000010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1.97</w:t>
      </w:r>
    </w:p>
    <w:p w:rsidR="00000000" w:rsidDel="00000000" w:rsidP="00000000" w:rsidRDefault="00000000" w:rsidRPr="00000000" w14:paraId="0000010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10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8741/4078</w:t>
      </w:r>
    </w:p>
    <w:p w:rsidR="00000000" w:rsidDel="00000000" w:rsidP="00000000" w:rsidRDefault="00000000" w:rsidRPr="00000000" w14:paraId="0000010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2.14</w:t>
      </w:r>
    </w:p>
    <w:p w:rsidR="00000000" w:rsidDel="00000000" w:rsidP="00000000" w:rsidRDefault="00000000" w:rsidRPr="00000000" w14:paraId="0000010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GR1 -</w:t>
      </w:r>
    </w:p>
    <w:p w:rsidR="00000000" w:rsidDel="00000000" w:rsidP="00000000" w:rsidRDefault="00000000" w:rsidRPr="00000000" w14:paraId="0000010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10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42994/(106266 - 28569)</w:t>
      </w:r>
    </w:p>
    <w:p w:rsidR="00000000" w:rsidDel="00000000" w:rsidP="00000000" w:rsidRDefault="00000000" w:rsidRPr="00000000" w14:paraId="0000010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55%</w:t>
      </w:r>
    </w:p>
    <w:p w:rsidR="00000000" w:rsidDel="00000000" w:rsidP="00000000" w:rsidRDefault="00000000" w:rsidRPr="00000000" w14:paraId="0000010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11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35547/(97703 - 23571)</w:t>
      </w:r>
    </w:p>
    <w:p w:rsidR="00000000" w:rsidDel="00000000" w:rsidP="00000000" w:rsidRDefault="00000000" w:rsidRPr="00000000" w14:paraId="0000011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48%</w:t>
      </w:r>
    </w:p>
    <w:p w:rsidR="00000000" w:rsidDel="00000000" w:rsidP="00000000" w:rsidRDefault="00000000" w:rsidRPr="00000000" w14:paraId="0000011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3">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GR2 - </w:t>
      </w:r>
    </w:p>
    <w:p w:rsidR="00000000" w:rsidDel="00000000" w:rsidP="00000000" w:rsidRDefault="00000000" w:rsidRPr="00000000" w14:paraId="00000114">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115">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42994/28154 x 100 </w:t>
      </w:r>
    </w:p>
    <w:p w:rsidR="00000000" w:rsidDel="00000000" w:rsidP="00000000" w:rsidRDefault="00000000" w:rsidRPr="00000000" w14:paraId="00000116">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152.7%</w:t>
      </w:r>
    </w:p>
    <w:p w:rsidR="00000000" w:rsidDel="00000000" w:rsidP="00000000" w:rsidRDefault="00000000" w:rsidRPr="00000000" w14:paraId="00000117">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118">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35547/27480 x 100</w:t>
      </w:r>
    </w:p>
    <w:p w:rsidR="00000000" w:rsidDel="00000000" w:rsidP="00000000" w:rsidRDefault="00000000" w:rsidRPr="00000000" w14:paraId="00000119">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129.4%</w:t>
      </w:r>
    </w:p>
    <w:p w:rsidR="00000000" w:rsidDel="00000000" w:rsidP="00000000" w:rsidRDefault="00000000" w:rsidRPr="00000000" w14:paraId="0000011A">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Interest Cover - </w:t>
      </w:r>
    </w:p>
    <w:p w:rsidR="00000000" w:rsidDel="00000000" w:rsidP="00000000" w:rsidRDefault="00000000" w:rsidRPr="00000000" w14:paraId="0000011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2024 =</w:t>
      </w:r>
    </w:p>
    <w:p w:rsidR="00000000" w:rsidDel="00000000" w:rsidP="00000000" w:rsidRDefault="00000000" w:rsidRPr="00000000" w14:paraId="0000011D">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7283/1225 </w:t>
      </w:r>
    </w:p>
    <w:p w:rsidR="00000000" w:rsidDel="00000000" w:rsidP="00000000" w:rsidRDefault="00000000" w:rsidRPr="00000000" w14:paraId="0000011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5.9</w:t>
      </w:r>
    </w:p>
    <w:p w:rsidR="00000000" w:rsidDel="00000000" w:rsidP="00000000" w:rsidRDefault="00000000" w:rsidRPr="00000000" w14:paraId="0000011F">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2023 =</w:t>
      </w:r>
    </w:p>
    <w:p w:rsidR="00000000" w:rsidDel="00000000" w:rsidP="00000000" w:rsidRDefault="00000000" w:rsidRPr="00000000" w14:paraId="00000120">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9038/1114</w:t>
      </w:r>
    </w:p>
    <w:p w:rsidR="00000000" w:rsidDel="00000000" w:rsidP="00000000" w:rsidRDefault="00000000" w:rsidRPr="00000000" w14:paraId="00000121">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8.1</w:t>
      </w:r>
    </w:p>
    <w:p w:rsidR="00000000" w:rsidDel="00000000" w:rsidP="00000000" w:rsidRDefault="00000000" w:rsidRPr="00000000" w14:paraId="00000122">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3">
      <w:pPr>
        <w:pStyle w:val="Heading2"/>
        <w:rPr>
          <w:rFonts w:ascii="Arial" w:cs="Arial" w:eastAsia="Arial" w:hAnsi="Arial"/>
          <w:sz w:val="28"/>
          <w:szCs w:val="28"/>
        </w:rPr>
      </w:pPr>
      <w:bookmarkStart w:colFirst="0" w:colLast="0" w:name="_42pnya7l7cx2" w:id="26"/>
      <w:bookmarkEnd w:id="26"/>
      <w:r w:rsidDel="00000000" w:rsidR="00000000" w:rsidRPr="00000000">
        <w:rPr>
          <w:rFonts w:ascii="Arial" w:cs="Arial" w:eastAsia="Arial" w:hAnsi="Arial"/>
          <w:sz w:val="28"/>
          <w:szCs w:val="28"/>
          <w:rtl w:val="0"/>
        </w:rPr>
        <w:t xml:space="preserve">2.0. Calculations for Greenacres PLC</w:t>
      </w:r>
    </w:p>
    <w:p w:rsidR="00000000" w:rsidDel="00000000" w:rsidP="00000000" w:rsidRDefault="00000000" w:rsidRPr="00000000" w14:paraId="00000124">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NPV</w:t>
      </w:r>
    </w:p>
    <w:p w:rsidR="00000000" w:rsidDel="00000000" w:rsidP="00000000" w:rsidRDefault="00000000" w:rsidRPr="00000000" w14:paraId="00000126">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1689612" cy="3133725"/>
            <wp:effectExtent b="0" l="0" r="0" t="0"/>
            <wp:docPr id="3" name="image2.png"/>
            <a:graphic>
              <a:graphicData uri="http://schemas.openxmlformats.org/drawingml/2006/picture">
                <pic:pic>
                  <pic:nvPicPr>
                    <pic:cNvPr id="0" name="image2.png"/>
                    <pic:cNvPicPr preferRelativeResize="0"/>
                  </pic:nvPicPr>
                  <pic:blipFill>
                    <a:blip r:embed="rId46"/>
                    <a:srcRect b="0" l="0" r="0" t="0"/>
                    <a:stretch>
                      <a:fillRect/>
                    </a:stretch>
                  </pic:blipFill>
                  <pic:spPr>
                    <a:xfrm>
                      <a:off x="0" y="0"/>
                      <a:ext cx="1689612" cy="3133725"/>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1638300" cy="1280593"/>
            <wp:effectExtent b="0" l="0" r="0" t="0"/>
            <wp:docPr id="6" name="image3.png"/>
            <a:graphic>
              <a:graphicData uri="http://schemas.openxmlformats.org/drawingml/2006/picture">
                <pic:pic>
                  <pic:nvPicPr>
                    <pic:cNvPr id="0" name="image3.png"/>
                    <pic:cNvPicPr preferRelativeResize="0"/>
                  </pic:nvPicPr>
                  <pic:blipFill>
                    <a:blip r:embed="rId47"/>
                    <a:srcRect b="0" l="0" r="0" t="0"/>
                    <a:stretch>
                      <a:fillRect/>
                    </a:stretch>
                  </pic:blipFill>
                  <pic:spPr>
                    <a:xfrm>
                      <a:off x="0" y="0"/>
                      <a:ext cx="1638300" cy="1280593"/>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spacing w:after="0"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9">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IRR</w:t>
      </w:r>
    </w:p>
    <w:p w:rsidR="00000000" w:rsidDel="00000000" w:rsidP="00000000" w:rsidRDefault="00000000" w:rsidRPr="00000000" w14:paraId="0000012A">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5731200" cy="1549400"/>
            <wp:effectExtent b="0" l="0" r="0" t="0"/>
            <wp:docPr id="1" name="image6.png"/>
            <a:graphic>
              <a:graphicData uri="http://schemas.openxmlformats.org/drawingml/2006/picture">
                <pic:pic>
                  <pic:nvPicPr>
                    <pic:cNvPr id="0" name="image6.png"/>
                    <pic:cNvPicPr preferRelativeResize="0"/>
                  </pic:nvPicPr>
                  <pic:blipFill>
                    <a:blip r:embed="rId48"/>
                    <a:srcRect b="0" l="0" r="0" t="0"/>
                    <a:stretch>
                      <a:fillRect/>
                    </a:stretch>
                  </pic:blipFill>
                  <pic:spPr>
                    <a:xfrm>
                      <a:off x="0" y="0"/>
                      <a:ext cx="5731200" cy="154940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spacing w:after="0"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C">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NPV for Project D</w:t>
      </w:r>
    </w:p>
    <w:p w:rsidR="00000000" w:rsidDel="00000000" w:rsidP="00000000" w:rsidRDefault="00000000" w:rsidRPr="00000000" w14:paraId="0000012D">
      <w:pPr>
        <w:spacing w:after="0" w:line="276" w:lineRule="auto"/>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1743537" cy="1457958"/>
            <wp:effectExtent b="0" l="0" r="0" t="0"/>
            <wp:docPr id="2" name="image4.png"/>
            <a:graphic>
              <a:graphicData uri="http://schemas.openxmlformats.org/drawingml/2006/picture">
                <pic:pic>
                  <pic:nvPicPr>
                    <pic:cNvPr id="0" name="image4.png"/>
                    <pic:cNvPicPr preferRelativeResize="0"/>
                  </pic:nvPicPr>
                  <pic:blipFill>
                    <a:blip r:embed="rId49"/>
                    <a:srcRect b="0" l="0" r="0" t="0"/>
                    <a:stretch>
                      <a:fillRect/>
                    </a:stretch>
                  </pic:blipFill>
                  <pic:spPr>
                    <a:xfrm>
                      <a:off x="0" y="0"/>
                      <a:ext cx="1743537" cy="1457958"/>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spacing w:after="0" w:line="27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2F">
      <w:pPr>
        <w:rPr>
          <w:rFonts w:ascii="Arial" w:cs="Arial" w:eastAsia="Arial" w:hAnsi="Arial"/>
        </w:rPr>
      </w:pPr>
      <w:r w:rsidDel="00000000" w:rsidR="00000000" w:rsidRPr="00000000">
        <w:rPr>
          <w:rtl w:val="0"/>
        </w:rPr>
      </w:r>
    </w:p>
    <w:sectPr>
      <w:headerReference r:id="rId50" w:type="default"/>
      <w:headerReference r:id="rId51" w:type="first"/>
      <w:footerReference r:id="rId52" w:type="default"/>
      <w:pgSz w:h="16838" w:w="11906" w:orient="portrait"/>
      <w:pgMar w:bottom="1440" w:top="1440" w:left="1440" w:right="1440"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jc w:val="right"/>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Charlotte Thomas - 1700949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jc w:val="right"/>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Charlotte Thomas - 1700949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investors.coca-colacompany.com/financial-information/financial-results" TargetMode="External"/><Relationship Id="rId42" Type="http://schemas.openxmlformats.org/officeDocument/2006/relationships/hyperlink" Target="https://www.cam.ac.uk/research/news/sugary-drinks-tax-may-have-prevented-over-5000-cases-of-obesity-a-year-in-year-six-girls-alone" TargetMode="External"/><Relationship Id="rId41" Type="http://schemas.openxmlformats.org/officeDocument/2006/relationships/hyperlink" Target="https://www.coca-colacompany.com/about-us/history" TargetMode="External"/><Relationship Id="rId44" Type="http://schemas.openxmlformats.org/officeDocument/2006/relationships/hyperlink" Target="https://www.researchgate.net/publication/299965551_Using_the_Net_Present_Value_Rule_to_Make_Value-Creating_Investment_Decisions" TargetMode="External"/><Relationship Id="rId43" Type="http://schemas.openxmlformats.org/officeDocument/2006/relationships/hyperlink" Target="https://www.wesleyan.co.uk/savings-and-investments/long-vs-short-term-investing" TargetMode="External"/><Relationship Id="rId46" Type="http://schemas.openxmlformats.org/officeDocument/2006/relationships/image" Target="media/image2.png"/><Relationship Id="rId45" Type="http://schemas.openxmlformats.org/officeDocument/2006/relationships/hyperlink" Target="https://investors.coca-colacompany.com/financial-information/income-state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383799902_The_Impact_of_Equity_Financing_on_Financial_Performance_Evidence_from_Jordan" TargetMode="External"/><Relationship Id="rId48" Type="http://schemas.openxmlformats.org/officeDocument/2006/relationships/image" Target="media/image6.png"/><Relationship Id="rId47" Type="http://schemas.openxmlformats.org/officeDocument/2006/relationships/image" Target="media/image3.png"/><Relationship Id="rId4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1.png"/><Relationship Id="rId8" Type="http://schemas.openxmlformats.org/officeDocument/2006/relationships/hyperlink" Target="https://www.accaglobal.com/gb/en/student/exam-support-resources/fundamentals-exams-study-resources/f9/technical-articles/advanced-investment-appraisal.html" TargetMode="External"/><Relationship Id="rId31" Type="http://schemas.openxmlformats.org/officeDocument/2006/relationships/hyperlink" Target="https://www.tandfonline.com/doi/full/10.1080/23322039.2021.1936369" TargetMode="External"/><Relationship Id="rId30" Type="http://schemas.openxmlformats.org/officeDocument/2006/relationships/hyperlink" Target="https://files.eric.ed.gov/fulltext/EJ1056227.pdf" TargetMode="External"/><Relationship Id="rId33" Type="http://schemas.openxmlformats.org/officeDocument/2006/relationships/hyperlink" Target="https://www.sciencedirect.com/science/article/abs/pii/B9780750687010000199" TargetMode="External"/><Relationship Id="rId32" Type="http://schemas.openxmlformats.org/officeDocument/2006/relationships/hyperlink" Target="https://www.researchgate.net/publication/346297688_The_Influence_of_Gross_Profit_Margin_Operating_Profit_Margin_and_Net_Profit_Margin_on_the_Stock_Price_of_Consumer_Good_Industry_in_the_Indonesia_Stock_Exchange_on_2012-2014" TargetMode="External"/><Relationship Id="rId35" Type="http://schemas.openxmlformats.org/officeDocument/2006/relationships/hyperlink" Target="https://www.researchgate.net/publication/367148669_An_Empirical_Study_of_Quick_Ratio_and_Profitability_on_Manufacturing_Firms_in_Indonesia" TargetMode="External"/><Relationship Id="rId34" Type="http://schemas.openxmlformats.org/officeDocument/2006/relationships/hyperlink" Target="https://www.researchgate.net/publication/312008408_Internal_Rate_of_Return_IRR_A_New_Proposed_Approach" TargetMode="External"/><Relationship Id="rId37" Type="http://schemas.openxmlformats.org/officeDocument/2006/relationships/hyperlink" Target="https://sharpaccounting.com.au/2023/10/how-to-improve-debtor-days-to-enhance-cashflow" TargetMode="External"/><Relationship Id="rId36" Type="http://schemas.openxmlformats.org/officeDocument/2006/relationships/hyperlink" Target="https://www.researchgate.net/publication/364338640_E-Commerce_Issues_Opportunities_Challenges_and_Trends" TargetMode="External"/><Relationship Id="rId39" Type="http://schemas.openxmlformats.org/officeDocument/2006/relationships/hyperlink" Target="https://sloanreview.mit.edu/article/with-goals-fast-beats-smart/" TargetMode="External"/><Relationship Id="rId38" Type="http://schemas.openxmlformats.org/officeDocument/2006/relationships/hyperlink" Target="https://www.arabianjbmr.com/pdfs/NG_VOL_3_1/5.pdf" TargetMode="External"/><Relationship Id="rId20" Type="http://schemas.openxmlformats.org/officeDocument/2006/relationships/hyperlink" Target="https://ideas.repec.org/b/pal/palbok/978-1-349-07472-3.html" TargetMode="External"/><Relationship Id="rId22" Type="http://schemas.openxmlformats.org/officeDocument/2006/relationships/hyperlink" Target="https://www.researchgate.net/publication/228306393_How_Useful_is_the_Return_on_Capital_Employed_ROCE_as_a_Performance_Indicator" TargetMode="External"/><Relationship Id="rId21" Type="http://schemas.openxmlformats.org/officeDocument/2006/relationships/hyperlink" Target="https://pdfs.semanticscholar.org/72fd/ec3b6885e8d885cce6208d9602c349540adc.pdf" TargetMode="External"/><Relationship Id="rId24" Type="http://schemas.openxmlformats.org/officeDocument/2006/relationships/hyperlink" Target="https://fastercapital.com/topics/limitations-of-gearing-ratio.html" TargetMode="External"/><Relationship Id="rId23" Type="http://schemas.openxmlformats.org/officeDocument/2006/relationships/hyperlink" Target="https://www.researchgate.net/publication/330988084_Understanding_the_limitations_of_financial_ratios" TargetMode="External"/><Relationship Id="rId26" Type="http://schemas.openxmlformats.org/officeDocument/2006/relationships/hyperlink" Target="https://hbr.org/2014/11/a-refresher-on-net-present-value" TargetMode="External"/><Relationship Id="rId25" Type="http://schemas.openxmlformats.org/officeDocument/2006/relationships/hyperlink" Target="https://www.investopedia.com/terms/n/npv.asp" TargetMode="External"/><Relationship Id="rId28" Type="http://schemas.openxmlformats.org/officeDocument/2006/relationships/hyperlink" Target="https://www.researchgate.net/publication/347873167_Operating_Profit_and_Net_Profit_Measurements_of_Profitability" TargetMode="External"/><Relationship Id="rId27" Type="http://schemas.openxmlformats.org/officeDocument/2006/relationships/hyperlink" Target="https://link.springer.com/chapter/10.1007/0-387-24519-7_12" TargetMode="External"/><Relationship Id="rId29" Type="http://schemas.openxmlformats.org/officeDocument/2006/relationships/hyperlink" Target="https://www.linkedin.com/pulse/importance-past-current-financial-performance-sale-brian-kerrigan-jvkbe/" TargetMode="External"/><Relationship Id="rId51" Type="http://schemas.openxmlformats.org/officeDocument/2006/relationships/header" Target="header2.xml"/><Relationship Id="rId50" Type="http://schemas.openxmlformats.org/officeDocument/2006/relationships/header" Target="header1.xml"/><Relationship Id="rId52" Type="http://schemas.openxmlformats.org/officeDocument/2006/relationships/footer" Target="footer1.xml"/><Relationship Id="rId11" Type="http://schemas.openxmlformats.org/officeDocument/2006/relationships/hyperlink" Target="https://www.sciencedirect.com/science/article/pii/S088390261830781X" TargetMode="External"/><Relationship Id="rId10" Type="http://schemas.openxmlformats.org/officeDocument/2006/relationships/hyperlink" Target="https://www.researchgate.net/publication/373665140_The_Effect_of_Gross_Profit_Margin_Intellectual_Capital_Investment_Opportunity_Set_on_Firm_Value_with_Earnings_Management_as_an_Intervening_Variable" TargetMode="External"/><Relationship Id="rId13" Type="http://schemas.openxmlformats.org/officeDocument/2006/relationships/hyperlink" Target="https://www.bbc.co.uk/bitesize/guides/zms4gwx/revision/2" TargetMode="External"/><Relationship Id="rId12" Type="http://schemas.openxmlformats.org/officeDocument/2006/relationships/hyperlink" Target="https://www.researchgate.net/publication/379993047_Financial_Statement_A_tools_to_evaluate_Business_Performance" TargetMode="External"/><Relationship Id="rId15" Type="http://schemas.openxmlformats.org/officeDocument/2006/relationships/hyperlink" Target="https://www.mckinsey.com/capabilities/strategy-and-corporate-finance/our-insights/the-ten-rules-of-growth" TargetMode="External"/><Relationship Id="rId14" Type="http://schemas.openxmlformats.org/officeDocument/2006/relationships/hyperlink" Target="https://www.researchgate.net/publication/260591127_External_Factors_Affecting_Investment_Decisions_of_Companies" TargetMode="External"/><Relationship Id="rId17" Type="http://schemas.openxmlformats.org/officeDocument/2006/relationships/hyperlink" Target="https://corporatefinanceinstitute.com/resources/valuation/npv-vs-irr/" TargetMode="External"/><Relationship Id="rId16" Type="http://schemas.openxmlformats.org/officeDocument/2006/relationships/hyperlink" Target="https://www.cocacolaep.com/news-and-stories/investing-to-go-even-further-for-customers-consumers-and-colleagues/" TargetMode="External"/><Relationship Id="rId19" Type="http://schemas.openxmlformats.org/officeDocument/2006/relationships/hyperlink" Target="https://www.beaumont.org/health-wellness/blogs/6-reasons-to-stop-drinking-soda" TargetMode="External"/><Relationship Id="rId18" Type="http://schemas.openxmlformats.org/officeDocument/2006/relationships/hyperlink" Target="https://www.researchgate.net/publication/364713880_Theoretical_Analysis_of_Net_Present_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