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F793D6" wp14:paraId="5E5787A5" wp14:textId="0F4BD6AD">
      <w:pPr>
        <w:rPr>
          <w:rFonts w:ascii="Aptos" w:hAnsi="Aptos" w:eastAsia="Aptos" w:cs="Aptos" w:asciiTheme="minorAscii" w:hAnsiTheme="minorAscii" w:eastAsiaTheme="minorAscii" w:cstheme="minorAscii"/>
          <w:sz w:val="24"/>
          <w:szCs w:val="24"/>
        </w:rPr>
      </w:pPr>
      <w:r w:rsidRPr="3BF793D6" w:rsidR="78BB99C1">
        <w:rPr>
          <w:rFonts w:ascii="Aptos" w:hAnsi="Aptos" w:eastAsia="Aptos" w:cs="Aptos" w:asciiTheme="minorAscii" w:hAnsiTheme="minorAscii" w:eastAsiaTheme="minorAscii" w:cstheme="minorAscii"/>
          <w:sz w:val="24"/>
          <w:szCs w:val="24"/>
        </w:rPr>
        <w:t>AC</w:t>
      </w:r>
      <w:r w:rsidRPr="3BF793D6" w:rsidR="59407D74">
        <w:rPr>
          <w:rFonts w:ascii="Aptos" w:hAnsi="Aptos" w:eastAsia="Aptos" w:cs="Aptos" w:asciiTheme="minorAscii" w:hAnsiTheme="minorAscii" w:eastAsiaTheme="minorAscii" w:cstheme="minorAscii"/>
          <w:sz w:val="24"/>
          <w:szCs w:val="24"/>
        </w:rPr>
        <w:t xml:space="preserve"> </w:t>
      </w:r>
      <w:r w:rsidRPr="3BF793D6" w:rsidR="78BB99C1">
        <w:rPr>
          <w:rFonts w:ascii="Aptos" w:hAnsi="Aptos" w:eastAsia="Aptos" w:cs="Aptos" w:asciiTheme="minorAscii" w:hAnsiTheme="minorAscii" w:eastAsiaTheme="minorAscii" w:cstheme="minorAscii"/>
          <w:sz w:val="24"/>
          <w:szCs w:val="24"/>
        </w:rPr>
        <w:t>1.1</w:t>
      </w:r>
    </w:p>
    <w:p w:rsidR="78BB99C1" w:rsidP="3BF793D6" w:rsidRDefault="78BB99C1" w14:paraId="0E239C87" w14:textId="1E5D2A6D">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Dear colleague,</w:t>
      </w:r>
    </w:p>
    <w:p w:rsidR="78BB99C1" w:rsidP="3BF793D6" w:rsidRDefault="78BB99C1" w14:paraId="21F3C97A" w14:textId="7845B64A">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appreciate that regulatory work can take time away from individual-focused improvements. However, employment regulations are as</w:t>
      </w:r>
      <w:r w:rsidRPr="3BF793D6" w:rsidR="34D78C3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important in safeguarding our employees.</w:t>
      </w:r>
    </w:p>
    <w:p w:rsidR="78BB99C1" w:rsidP="3BF793D6" w:rsidRDefault="78BB99C1" w14:paraId="6FCBA1A6" w14:textId="39B748E0">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Employment regulations are protecting our employees from unfairness and exploitation </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no date).</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legislations are establishing a minimum standard (such as work pay, equality or work time), to address the power imbalance between employees and employers </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(Daniels, 2022)</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while this compliance feels time-consuming, it brings consistency and reduces the risk of harm, which is especially important in organisations like the NHS, where fairness and consistency are key components to protect employees rights and safeguard their wellbeing. </w:t>
      </w:r>
    </w:p>
    <w:p w:rsidR="78BB99C1" w:rsidP="3BF793D6" w:rsidRDefault="78BB99C1" w14:paraId="55BF4085" w14:textId="28B9C7A9">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Secondly, regulations are aimed to provide clarity in employment practices. </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Armstrong and Taylor (2023)</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explain that frameworks guide management in making justifiable and unbiased decision, and while it can reduce flexibility, it supports organisational consistency, essential in large trusts where inconsistency is more prone to appear if wider communication is missed. </w:t>
      </w:r>
    </w:p>
    <w:p w:rsidR="78BB99C1" w:rsidP="3BF793D6" w:rsidRDefault="78BB99C1" w14:paraId="49E82A0A" w14:textId="61C19B5B">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Furthermore, employment law is crucial in social justice within the organisation, safeguarding employees from discrimination against age, disability, race or gender </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(Equality Act, 2010)</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not only promoting an inclusive culture and equal opportunities (</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Ali, 2022)</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also enriching the talent pool withing the organisation, which is helping the NHS enhance their practices and stay up to date with the ongoing developments on the medicine industry, improving their customer’s overall experience and trust. </w:t>
      </w:r>
    </w:p>
    <w:p w:rsidR="78BB99C1" w:rsidP="3BF793D6" w:rsidRDefault="78BB99C1" w14:paraId="496CE03C" w14:textId="72CC0AB2">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From a people professional viewpoint, increased regulations are changing the workforce expectations </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(People Management, 2025)</w:t>
      </w: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supporting the economic goals by strengthening performance and the social ones by revitalizing wellbeing. While this can look like an increase in workload in the short term, it fundamentally improves retention, engagement and organisation reputation. </w:t>
      </w:r>
    </w:p>
    <w:p w:rsidR="78BB99C1" w:rsidP="3BF793D6" w:rsidRDefault="78BB99C1" w14:paraId="3F6DB85B" w14:textId="1BBDF93C">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Overall, while employment law can bring challenges, especially in terms of cost, time and complexity, the benefits are outweighing the drawback as it reduces the legal risks, promotes trust and fairness and creates advanced employee experience. In practice, the time spent on handling compliance issues is not “lost”, but rather invested in building trust and consistency, protecting not only the employees, but the organisation too. </w:t>
      </w:r>
    </w:p>
    <w:p w:rsidR="78BB99C1" w:rsidP="3BF793D6" w:rsidRDefault="78BB99C1" w14:paraId="0E35AA30" w14:textId="70F76987">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8BB99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Importantly, the work you do in handling compliance is not taking away from employees' experience, it is a core component of it, ensuring fairness and offering legal protection. You are helping staff avoid possible issues and create a better working environment while enhancing the company reputation and meet the trust’s objectives.</w:t>
      </w:r>
    </w:p>
    <w:p w:rsidR="3BF793D6" w:rsidP="3BF793D6" w:rsidRDefault="3BF793D6" w14:paraId="216FC55D" w14:textId="4BED9691">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F793D6" w:rsidP="3BF793D6" w:rsidRDefault="3BF793D6" w14:paraId="517677CA" w14:textId="661D650F">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E240506" w:rsidP="3BF793D6" w:rsidRDefault="6E240506" w14:paraId="53AE1A73" w14:textId="779C28BB">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w:t>
      </w:r>
      <w:r w:rsidRPr="3BF793D6" w:rsidR="3475B0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1.2 </w:t>
      </w:r>
    </w:p>
    <w:p w:rsidR="6E240506" w:rsidP="3BF793D6" w:rsidRDefault="6E240506" w14:paraId="463AC047" w14:textId="479FC36A">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Dear colleague,</w:t>
      </w:r>
    </w:p>
    <w:p w:rsidR="6E240506" w:rsidP="3BF793D6" w:rsidRDefault="6E240506" w14:paraId="3E6B5D83" w14:textId="492E5386">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Thank you for questioning whether judgements made by the </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European Court of Justice (ECJ) prior to the UK's departure from the European Union in 2020 are still binding on UK courts, the short answer to your questions is no, these judgements are no longer having a binding authority in the UK </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(Daniels, 2022)</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However, they have not been completely dismissed when UK left EU but rather continue to be a part of the UK law under what is known as The Retained EU Law.</w:t>
      </w:r>
    </w:p>
    <w:p w:rsidR="6E240506" w:rsidP="3BF793D6" w:rsidRDefault="6E240506" w14:paraId="637AEBBF" w14:textId="20508878">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Following Brexit, pre-2020 ECJ laws were </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retained</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part of the UK law under the European Union (Withdrawal) Act 2018 (EU </w:t>
      </w:r>
      <w:r w:rsidRPr="3BF793D6" w:rsidR="59D3C32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(Withdrawal) Act, 2018</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was decided with the intention of ensuring legal continuity and to avoid confusion at the point of exiting EU (Daniels, 202</w:t>
      </w:r>
      <w:r w:rsidRPr="3BF793D6" w:rsidR="31960B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theory, ECJ laws can now be disregarded, but in practice, they have heavily influenced and are now integrated into the UK laws, especially in areas such as discrimination, working time or TUPE </w:t>
      </w:r>
      <w:r w:rsidRPr="3BF793D6" w:rsidR="7605D7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(CIPS, 2025a)</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6E240506" w:rsidP="3BF793D6" w:rsidRDefault="6E240506" w14:paraId="60FC0AC4" w14:textId="3189CF9D">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Although transferring positive ECJ restrictions maintained the promised continuity and provided the much-needed stability at the time of Brexit,</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(Armstrong and Taylor, 2023)</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political move has given the UK legal system more autonomy and freedom, allowing the law to evolve independently from the EU influence. </w:t>
      </w:r>
    </w:p>
    <w:p w:rsidR="6E240506" w:rsidP="3BF793D6" w:rsidRDefault="6E240506" w14:paraId="4CAC1F66" w14:textId="34CE7526">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illustrate how it works, a useful example would </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represent</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laws on working time rights. Under the Working Time Directive (WTD</w:t>
      </w:r>
      <w:r w:rsidRPr="3BF793D6" w:rsidR="700A75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no date</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who was interpreted by the ECJ, employees are entitled to limited on average weekly working hours (48 hours for workers over 18- unless they formally opt out, and 40 for workers under 18), minimum resting breaks (at least 20 mins after 6 working hours and 11 consecutive hours of rest during a 24 hours period) and paid annual leave (normal pay, not just basic annual leave). Those regulations interpreted by the ECJ served as a base into shaping the UK’s Working Time Regulations 1998 </w:t>
      </w:r>
      <w:r w:rsidRPr="3BF793D6" w:rsidR="743FBC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Working Time Regulations, 1998</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and against the ECJ no longer binding the UK to adhere to these requirements, the present UK employment laws has incorporated them, and as of today, we are still following the same regulations.</w:t>
      </w:r>
    </w:p>
    <w:p w:rsidR="6E240506" w:rsidP="3BF793D6" w:rsidRDefault="6E240506" w14:paraId="4FB50EE0" w14:textId="44058F99">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Overall, ECJ judgements are no longer biding the </w:t>
      </w:r>
      <w:r w:rsidRPr="3BF793D6" w:rsidR="4139C6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w:t>
      </w:r>
      <w:r w:rsidRPr="3BF793D6" w:rsidR="6E2405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they can be disregarded, however, they still carry a strong influence into today’s UK employment law, meaning they stay relevant and continue to shape how regulations are applied and interpreted</w:t>
      </w:r>
      <w:r w:rsidRPr="3BF793D6" w:rsidR="6CBF78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687510C" w:rsidP="3BF793D6" w:rsidRDefault="3687510C" w14:paraId="47D192DB" w14:textId="20A0A326">
      <w:pPr>
        <w:rPr>
          <w:rFonts w:ascii="Aptos" w:hAnsi="Aptos" w:eastAsia="Aptos" w:cs="Aptos" w:asciiTheme="minorAscii" w:hAnsiTheme="minorAscii" w:eastAsiaTheme="minorAscii" w:cstheme="minorAscii"/>
          <w:sz w:val="24"/>
          <w:szCs w:val="24"/>
        </w:rPr>
      </w:pPr>
      <w:r w:rsidRPr="3BF793D6" w:rsidR="3687510C">
        <w:rPr>
          <w:rFonts w:ascii="Aptos" w:hAnsi="Aptos" w:eastAsia="Aptos" w:cs="Aptos" w:asciiTheme="minorAscii" w:hAnsiTheme="minorAscii" w:eastAsiaTheme="minorAscii" w:cstheme="minorAscii"/>
          <w:sz w:val="24"/>
          <w:szCs w:val="24"/>
        </w:rPr>
        <w:t>AC 2.1</w:t>
      </w:r>
    </w:p>
    <w:p w:rsidR="3687510C" w:rsidP="3BF793D6" w:rsidRDefault="3687510C" w14:paraId="4A1852D6" w14:textId="4AE5E2CC">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Dear Colleague,</w:t>
      </w:r>
    </w:p>
    <w:p w:rsidR="3687510C" w:rsidP="3BF793D6" w:rsidRDefault="3687510C" w14:paraId="15DF110B" w14:textId="3E723C38">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It is important to understand the principles of discrimination through law lenses in recruitment and selection, as occupational requirements are a limited series of exceptions from those principles. </w:t>
      </w:r>
    </w:p>
    <w:p w:rsidR="3687510C" w:rsidP="3BF793D6" w:rsidRDefault="3687510C" w14:paraId="5B25FDA1" w14:textId="2CFBF101">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main legislation is The Equality act (Equality Act, 2010), which was built to protect job applicants and existing employees from discrimination derived from protected characteristics such as age, disability, sex, race, religion or believe, sexual orientation or gender reassignment, marriage or partnership, or pregnancy and maternity.</w:t>
      </w:r>
    </w:p>
    <w:p w:rsidR="3687510C" w:rsidP="3BF793D6" w:rsidRDefault="3687510C" w14:paraId="58F3FB4D" w14:textId="6D6A3099">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legislations acknowledge multiple types of discrimination in the recruitment process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(Ali, 2022</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23A91A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D</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irect discrimination </w:t>
      </w:r>
      <w:r w:rsidRPr="3BF793D6" w:rsidR="1F23E3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happens</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someone is treated unfairly because of their protected characteristic. An example for us would be to refuse a male nurse applicant under the assumption that female nurses are better than male nurses. Indirect discrimination happens when a company applies an equal policy or requirement for everyone,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failing to consider</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disadvantage it can create for a particular group, without a justifiable cause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(Daniels, 2022)</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For example, when advertising a full-time nurse position without considering flexible working options, it can be a disadvantage for wom</w:t>
      </w:r>
      <w:r w:rsidRPr="3BF793D6" w:rsidR="62E4CD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who are statistically more likely to have caring responsibilities. </w:t>
      </w:r>
    </w:p>
    <w:p w:rsidR="3687510C" w:rsidP="3BF793D6" w:rsidRDefault="3687510C" w14:paraId="0CAE693C" w14:textId="66A6283D">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Overall, these legal requirements under the Code of Practice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(Code of Practice, 2015)</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in place to ensure fairness and equality, ensuring recruitment is based on job analysis and persons qualification, which can reduce bias and maintain legal decisions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(Taylor and Woodhams, 2022)</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being especially important in the public sector, where transparency and equality are core values of the NHS. </w:t>
      </w:r>
    </w:p>
    <w:p w:rsidR="3687510C" w:rsidP="3BF793D6" w:rsidRDefault="3687510C" w14:paraId="7E8752FF" w14:textId="49AB3EF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However, there are exceptions made under limited circumstances called occupational requirements. Under Schedule 9 of the Equality Act 2010, an employer may use an occupational requirement where being a male or female is genuinely necessary for the job and where doing so is achieving a legitimate aim such as privacy protection, dignity, safeguarding of vulnerable individuals or delivering of successful therapy programs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(Lewis, Sargeant and Schwab, 2023)</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example, </w:t>
      </w:r>
      <w:r w:rsidRPr="3BF793D6" w:rsidR="3B9503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our NHS environment, it can be lawful to recruit a female nurse to provide care for female patients who require female-only support for their wellbeing and recovery. Likewise, a male nurse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can be required</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provide personal care to male patients where privacy and dignity are central components of the service. However, occupational requirements cannot be based on convenience, customer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preference</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stereotypes, but genuinely necessary, not just desirable. </w:t>
      </w:r>
    </w:p>
    <w:p w:rsidR="3687510C" w:rsidP="3BF793D6" w:rsidRDefault="3687510C" w14:paraId="7378296A" w14:textId="20546010">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conclusion, the recruitment process should always start with equal opportunities</w:t>
      </w:r>
      <w:r w:rsidRPr="3BF793D6" w:rsidR="208F9A5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(CIPD, 2026a)</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gender only being specified when there is a clear justification supported by risk assessments, </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evidence</w:t>
      </w:r>
      <w:r w:rsidRPr="3BF793D6" w:rsidR="368751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operational needs.</w:t>
      </w:r>
    </w:p>
    <w:p w:rsidR="3BF793D6" w:rsidP="3BF793D6" w:rsidRDefault="3BF793D6" w14:paraId="641F35F0" w14:textId="250032F7">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F793D6" w:rsidP="3BF793D6" w:rsidRDefault="3BF793D6" w14:paraId="06675CBC" w14:textId="40FEFF3A">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0BFD194" w:rsidP="3BF793D6" w:rsidRDefault="60BFD194" w14:paraId="58793D25" w14:textId="36AF6DEB">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0BFD1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 2.2</w:t>
      </w:r>
    </w:p>
    <w:p w:rsidR="1D5AA5DD" w:rsidP="3BF793D6" w:rsidRDefault="1D5AA5DD" w14:paraId="1E03FEA9" w14:textId="649A79C6">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Dear colleague,</w:t>
      </w:r>
    </w:p>
    <w:p w:rsidR="1D5AA5DD" w:rsidP="3BF793D6" w:rsidRDefault="1D5AA5DD" w14:paraId="74F748CF" w14:textId="44691EDB">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Based on the details provided, I cannot approve the upgrade at this stage as it might create potential equal pay issues that need to be addressed first.</w:t>
      </w:r>
    </w:p>
    <w:p w:rsidR="1D5AA5DD" w:rsidP="3BF793D6" w:rsidRDefault="1D5AA5DD" w14:paraId="0EC8F7F3" w14:textId="75D1EF8F">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When it comes to equal pay, the relevant legislation can be found in the Equality Act 2010 </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Equality Act,2010</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more specific, on sections 64-80, which is the legal work frame for equal pay in the UK, establishing that men and women are entitled to equal pay and equal contractual conditions when they carry equal work </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(ACAS, no date)</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D5AA5DD" w:rsidP="3BF793D6" w:rsidRDefault="1D5AA5DD" w14:paraId="3B4F76F3" w14:textId="5DE97E0F">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Under the Equality Act, opposite sex colleagues can be compared when they are performing like work (same or very similar work), when their work is rated as equivalent and when their work has an equal value (different roles bringing similar skills levels, responsivity and effort) </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2026b)</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our case, it can create a potential risk if females working on the similar role, with similar responsibilities and similar work value will remain at the same pay grade while the males pay grade will increase. </w:t>
      </w:r>
    </w:p>
    <w:p w:rsidR="1D5AA5DD" w:rsidP="3BF793D6" w:rsidRDefault="1D5AA5DD" w14:paraId="70B58476" w14:textId="160F96EE">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 key </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component</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whether the research surplus available is a valid defence for the pay increase of those two male workers, which lawfully, it is not. Having additional funding does not itself legally justify increasing male salaries, but not women, when performing equal work (</w:t>
      </w:r>
      <w:r w:rsidRPr="3BF793D6" w:rsidR="284B75F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Lew</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Sargeant and Schwab, 2023), pay difference only being acceptable when it’s caused by material factors (additional responsibilities, leadership tasks, mentoring, specialist in clinical duties, or other responsibilities associated with a higher grade), and not related to sex. </w:t>
      </w:r>
    </w:p>
    <w:p w:rsidR="1D5AA5DD" w:rsidP="3BF793D6" w:rsidRDefault="1D5AA5DD" w14:paraId="38C33811" w14:textId="245E892E">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minimise legal risks, before approving your request, I would advise you to re-evaluate and conduct a formal job evaluation to analyse whether the two male employees are undertaking tasks that can justify the increase, compare their role against similar ones (including those of female workers) to establish weather other are doing similar work or bringing similar work value and documents the change rationale carefully ensuring the pay decisions are evidence-based and justifiable </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(Daniels, 2022)</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If their skills are genuinely proven, please consider similar opportunities should be offered to other staff with comparable duties. </w:t>
      </w:r>
    </w:p>
    <w:p w:rsidR="1D5AA5DD" w:rsidP="3BF793D6" w:rsidRDefault="1D5AA5DD" w14:paraId="3764A115" w14:textId="20545545">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Overall, with the current available information, we cannot approve the pay increase without risking inequal pay, and until there is objective evidence to support that these two employees are conducting higher-lever work, approving the regrading could endanger the Trust to equal pay claims.</w:t>
      </w:r>
    </w:p>
    <w:p w:rsidR="3BF793D6" w:rsidP="3BF793D6" w:rsidRDefault="3BF793D6" w14:paraId="352C713E" w14:textId="5B273E05">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F793D6" w:rsidP="3BF793D6" w:rsidRDefault="3BF793D6" w14:paraId="59605961" w14:textId="1F707889">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9A2DCBF" w:rsidP="3BF793D6" w:rsidRDefault="49A2DCBF" w14:paraId="311E1647" w14:textId="7A245085">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 3.1</w:t>
      </w:r>
    </w:p>
    <w:p w:rsidR="49A2DCBF" w:rsidP="3BF793D6" w:rsidRDefault="49A2DCBF" w14:paraId="2567478C" w14:textId="74ABC820">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Dear colleague,</w:t>
      </w:r>
    </w:p>
    <w:p w:rsidR="49A2DCBF" w:rsidP="3BF793D6" w:rsidRDefault="49A2DCBF" w14:paraId="52DA3AF5" w14:textId="6568CFBB">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Constructive dismissal occurs when an employee reigns because their employer committed a significant breach of contract that made their employment untenable </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(Employment Rights Act, 1996)</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49A2DCBF" w:rsidP="3BF793D6" w:rsidRDefault="49A2DCBF" w14:paraId="318E5EEF" w14:textId="61A6E5E8">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a constructive dismissal claim to be successful in court, the employee needs to establish that the employer committed a fundamental breach of contract, that the employee resigned because of that repudiatory breach and that the resignation came right after the breach was committed (Daniels, 2022). A repudiatory breach</w:t>
      </w:r>
      <w:r w:rsidRPr="3BF793D6" w:rsidR="5782E23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(Landy, 2017)</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a breach so serious </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that the employees were left with no </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option</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but to resign, and it may involve breaching direct contractual terms (such as agreed working hours) or implied contractual terms (mutual trust and confidence).</w:t>
      </w:r>
    </w:p>
    <w:p w:rsidR="49A2DCBF" w:rsidP="3BF793D6" w:rsidRDefault="49A2DCBF" w14:paraId="393F6E4F" w14:textId="1150D5E1">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our case, the key is whether the working hours change was significant enough to equal such a breach. If the change was </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substantial</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(i.e. moved from agreed daytime to unsocial longer hours) (ACAS,</w:t>
      </w:r>
      <w:r w:rsidRPr="3BF793D6" w:rsidR="45672A0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2026</w:t>
      </w:r>
      <w:r w:rsidRPr="3BF793D6" w:rsidR="7D33398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made without consulting and agreeing with the employee first, they can argue that this fundamentally changed the terms they agreed to work on. </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Previous</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cases, such as Hart v St Mary’s School (Colchester)</w:t>
      </w:r>
      <w:r w:rsidRPr="3BF793D6" w:rsidR="6319D44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(2015)</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Gregory v Royal Mail </w:t>
      </w:r>
      <w:r w:rsidRPr="3BF793D6" w:rsidR="63AF30B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Group Ltd</w:t>
      </w:r>
      <w:r w:rsidRPr="3BF793D6" w:rsidR="4A2971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(2017)</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demonstrating</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importance of consultation and acceptance of new contractual terms. </w:t>
      </w:r>
    </w:p>
    <w:p w:rsidR="49A2DCBF" w:rsidP="3BF793D6" w:rsidRDefault="49A2DCBF" w14:paraId="78EB24BA" w14:textId="0E854B9A">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However, not every change in hours will amount to constructive dismissal</w:t>
      </w:r>
      <w:r w:rsidRPr="3BF793D6" w:rsidR="2A26C3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(CIPD, 2026c)</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tribunals taking into consideration weather there was a contractual flexibility clause, if a genuine operational change reasoned the changed working hours and weather consultation took place before the it was put in place (Lewis, Sargeant and Schwab, 2023). </w:t>
      </w:r>
    </w:p>
    <w:p w:rsidR="49A2DCBF" w:rsidP="3BF793D6" w:rsidRDefault="49A2DCBF" w14:paraId="7A1E8978" w14:textId="275DC083">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As a former employee has three months less one day to bring a claim to the Employment Tribunal, deadline that can be extended as they must complete the ACAS Early Conciliatio</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n </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3BF793D6" w:rsidR="318AE4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CAS, 2025</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my advice for you would be to prepare immediately. </w:t>
      </w:r>
    </w:p>
    <w:p w:rsidR="49A2DCBF" w:rsidP="3BF793D6" w:rsidRDefault="49A2DCBF" w14:paraId="5982C7CA" w14:textId="2D269EAC">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would recommend you get everyone partaking in the working hours change decision to write down statements of everything they can remember now, as the event is still fresh in mind, including all the details about your meetings, informal discussions, business reasoning or employee objections. We would also need to review the staff’s contract and rotas in addition to their consultation records and correspondence during the change process to assess whether we follow a lawful and fair process. </w:t>
      </w:r>
    </w:p>
    <w:p w:rsidR="49A2DCBF" w:rsidP="3BF793D6" w:rsidRDefault="49A2DCBF" w14:paraId="4A8067A6" w14:textId="7249C388">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9A2DC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 conclusion, based on the information you provided, there is a potential risk if the working hours change was imposed without agreement, but early preparation and documentation will place the Trust in the best possible position if a claim will arise.</w:t>
      </w:r>
    </w:p>
    <w:p w:rsidR="3BF793D6" w:rsidP="3BF793D6" w:rsidRDefault="3BF793D6" w14:paraId="632A5944" w14:textId="21CA3E9E">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A065CB0" w:rsidP="3BF793D6" w:rsidRDefault="5A065CB0" w14:paraId="150FD9F7" w14:textId="45DB41AE">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 3.2</w:t>
      </w:r>
    </w:p>
    <w:p w:rsidR="5A065CB0" w:rsidP="3BF793D6" w:rsidRDefault="5A065CB0" w14:paraId="052371C2" w14:textId="60D0C5F2">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Dear colleague,</w:t>
      </w:r>
    </w:p>
    <w:p w:rsidR="5A065CB0" w:rsidP="3BF793D6" w:rsidRDefault="5A065CB0" w14:paraId="0819B4B2" w14:textId="46BD3684">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I appreciated your willingness for quick reorganisation, however, based on what you disclosed, I would advise against dismissing the poorest performers and reducing consultation to speed up the process.</w:t>
      </w:r>
      <w:r w:rsidRPr="3BF793D6" w:rsidR="5A065CB0">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As the proposal includes 50 redundancies and the Trust has legal obligations during this process, failure to follow those can bring major lawsuits and reputational damage.</w:t>
      </w:r>
    </w:p>
    <w:p w:rsidR="5A065CB0" w:rsidP="3BF793D6" w:rsidRDefault="5A065CB0" w14:paraId="43F6EE75" w14:textId="5E90C99C">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Before considering redundancy, the Trust should consult on ways to avoid dismissals altogether or reduce the numbers of redundancies by redeployment or retraining, redundancy being the last resort</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(ACAS, 2024)</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w:t>
      </w:r>
    </w:p>
    <w:p w:rsidR="5A065CB0" w:rsidP="3BF793D6" w:rsidRDefault="5A065CB0" w14:paraId="2729B03A" w14:textId="6F083B33">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The definition of redundancy can be found on the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Employment Rights Act 1996</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which confirms a genuine redundancy arise from a reduced need of employees, which suits your situation as the 50 posts are going to be lost, however, you will need to make sure the dismissal process stays fair</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(Daniels, 2022)</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A065CB0" w:rsidP="3BF793D6" w:rsidRDefault="5A065CB0" w14:paraId="391BA82A" w14:textId="67AC658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One aspect to focus on would be the selection process, typical criteria including disciplinary records, attendance,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skills</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and qualification (Lewis, Sargeant and Schwab, 2023). If performance is used withing the redundancy selection, it must be measured under an objective, fair and evidence-based process, avoiding at all costs bias managerial perceptions of low performance as unsupported decision are increasing the risk of unlawful actions and difficult to defend in tribunal</w:t>
      </w:r>
      <w:r w:rsidRPr="3BF793D6" w:rsidR="7B1645E9">
        <w:rPr>
          <w:rFonts w:ascii="Aptos" w:hAnsi="Aptos" w:eastAsia="Aptos" w:cs="Aptos"/>
          <w:b w:val="0"/>
          <w:bCs w:val="0"/>
          <w:i w:val="0"/>
          <w:iCs w:val="0"/>
          <w:caps w:val="0"/>
          <w:smallCaps w:val="0"/>
          <w:noProof w:val="0"/>
          <w:color w:val="000000" w:themeColor="text1" w:themeTint="FF" w:themeShade="FF"/>
          <w:sz w:val="24"/>
          <w:szCs w:val="24"/>
          <w:lang w:val="en-GB"/>
        </w:rPr>
        <w:t xml:space="preserve"> (CIPD, 2026d)</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w:t>
      </w:r>
    </w:p>
    <w:p w:rsidR="5A065CB0" w:rsidP="3BF793D6" w:rsidRDefault="5A065CB0" w14:paraId="0B1B1868" w14:textId="5C62740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Regards to consultation, as 50 employees are at risk, a very important aspect is based on the collective aspect of the process</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33CFF87B">
        <w:rPr>
          <w:rFonts w:ascii="Aptos" w:hAnsi="Aptos" w:eastAsia="Aptos" w:cs="Aptos"/>
          <w:b w:val="0"/>
          <w:bCs w:val="0"/>
          <w:i w:val="0"/>
          <w:iCs w:val="0"/>
          <w:caps w:val="0"/>
          <w:smallCaps w:val="0"/>
          <w:noProof w:val="0"/>
          <w:color w:val="000000" w:themeColor="text1" w:themeTint="FF" w:themeShade="FF"/>
          <w:sz w:val="24"/>
          <w:szCs w:val="24"/>
          <w:lang w:val="en-GB"/>
        </w:rPr>
        <w:t>(</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Trade Union and Labour Relations (Consolidation) Act</w:t>
      </w:r>
      <w:r w:rsidRPr="3BF793D6" w:rsidR="022BFA9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1992</w:t>
      </w:r>
      <w:r w:rsidRPr="3BF793D6" w:rsidR="01A60B61">
        <w:rPr>
          <w:rFonts w:ascii="Aptos" w:hAnsi="Aptos" w:eastAsia="Aptos" w:cs="Aptos"/>
          <w:b w:val="0"/>
          <w:bCs w:val="0"/>
          <w:i w:val="0"/>
          <w:iCs w:val="0"/>
          <w:caps w:val="0"/>
          <w:smallCaps w:val="0"/>
          <w:noProof w:val="0"/>
          <w:color w:val="000000" w:themeColor="text1" w:themeTint="FF" w:themeShade="FF"/>
          <w:sz w:val="24"/>
          <w:szCs w:val="24"/>
          <w:lang w:val="en-GB"/>
        </w:rPr>
        <w:t>)</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which means consultations should be taking place with trade unions or elected representatives to meet the legal requirements. Due to this high number, the consultation process must take at least 30 days and they should be genuine, giving the employees the opportunity to shape the outcome.</w:t>
      </w:r>
    </w:p>
    <w:p w:rsidR="5A065CB0" w:rsidP="3BF793D6" w:rsidRDefault="5A065CB0" w14:paraId="1AD41030" w14:textId="34732B6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In addition to the above legal steps, the Trust must also notify the Secretary of State by completing the HR1 form (</w:t>
      </w:r>
      <w:r w:rsidRPr="3BF793D6" w:rsidR="53192EB2">
        <w:rPr>
          <w:rFonts w:ascii="Aptos" w:hAnsi="Aptos" w:eastAsia="Aptos" w:cs="Aptos"/>
          <w:b w:val="0"/>
          <w:bCs w:val="0"/>
          <w:i w:val="0"/>
          <w:iCs w:val="0"/>
          <w:caps w:val="0"/>
          <w:smallCaps w:val="0"/>
          <w:noProof w:val="0"/>
          <w:color w:val="000000" w:themeColor="text1" w:themeTint="FF" w:themeShade="FF"/>
          <w:sz w:val="24"/>
          <w:szCs w:val="24"/>
          <w:lang w:val="en-GB"/>
        </w:rPr>
        <w:t>Gov, 2025</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before the consultation begins, failure to do so being a criminal offence.</w:t>
      </w:r>
    </w:p>
    <w:p w:rsidR="5A065CB0" w:rsidP="3BF793D6" w:rsidRDefault="5A065CB0" w14:paraId="5D0F4EDA" w14:textId="346D5643">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My advice would be to delay the dismissal process until you have first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identified</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the redundancy pool and settled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an objective</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and evidence-based selection criteria. If the redundancy number stays between 20 and 99 employees and the decision-making process was fair and unbiased, before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notifying them</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about the dismissal, ensure that the HR1 form is </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submitted</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to the Sos. At this point, you can start having meaningful collective consultation</w:t>
      </w:r>
      <w:r w:rsidRPr="3BF793D6" w:rsidR="23F426CD">
        <w:rPr>
          <w:rFonts w:ascii="Aptos" w:hAnsi="Aptos" w:eastAsia="Aptos" w:cs="Aptos"/>
          <w:b w:val="0"/>
          <w:bCs w:val="0"/>
          <w:i w:val="0"/>
          <w:iCs w:val="0"/>
          <w:caps w:val="0"/>
          <w:smallCaps w:val="0"/>
          <w:noProof w:val="0"/>
          <w:color w:val="000000" w:themeColor="text1" w:themeTint="FF" w:themeShade="FF"/>
          <w:sz w:val="24"/>
          <w:szCs w:val="24"/>
          <w:lang w:val="en-GB"/>
        </w:rPr>
        <w:t xml:space="preserve"> with</w:t>
      </w: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 xml:space="preserve"> trade unions and elected employees' representative, as those might explore new options (redeployment, retraining or voluntary redundancy).</w:t>
      </w:r>
    </w:p>
    <w:p w:rsidR="5A065CB0" w:rsidP="3BF793D6" w:rsidRDefault="5A065CB0" w14:paraId="6451DCC5" w14:textId="16D23F4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5A065CB0">
        <w:rPr>
          <w:rFonts w:ascii="Aptos" w:hAnsi="Aptos" w:eastAsia="Aptos" w:cs="Aptos"/>
          <w:b w:val="0"/>
          <w:bCs w:val="0"/>
          <w:i w:val="0"/>
          <w:iCs w:val="0"/>
          <w:caps w:val="0"/>
          <w:smallCaps w:val="0"/>
          <w:noProof w:val="0"/>
          <w:color w:val="000000" w:themeColor="text1" w:themeTint="FF" w:themeShade="FF"/>
          <w:sz w:val="24"/>
          <w:szCs w:val="24"/>
          <w:lang w:val="en-GB"/>
        </w:rPr>
        <w:t>As much as we want a quick process, following the right steps will save the Trust risks of unfair dismissal, safeguarding us from legal claims and loss of reputation.</w:t>
      </w:r>
    </w:p>
    <w:p w:rsidR="3BF793D6" w:rsidP="3BF793D6" w:rsidRDefault="3BF793D6" w14:paraId="5A30A4E1" w14:textId="28023E9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BF793D6" w:rsidP="3BF793D6" w:rsidRDefault="3BF793D6" w14:paraId="647D8504" w14:textId="6623349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036E0CCB" w:rsidP="3BF793D6" w:rsidRDefault="036E0CCB" w14:paraId="203BDE8D" w14:textId="4148C50C">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 3.3 </w:t>
      </w:r>
    </w:p>
    <w:p w:rsidR="036E0CCB" w:rsidP="3BF793D6" w:rsidRDefault="036E0CCB" w14:paraId="7BC70B64" w14:textId="7D4CAADF">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Dear colleague,</w:t>
      </w:r>
    </w:p>
    <w:p w:rsidR="036E0CCB" w:rsidP="3BF793D6" w:rsidRDefault="036E0CCB" w14:paraId="7BF65594" w14:textId="43E54B23">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You are asking for an explanation of the major tights that may apply under the TUPE regulations, based on the information provided, it is very likely that this would apply for your situation. </w:t>
      </w:r>
    </w:p>
    <w:p w:rsidR="036E0CCB" w:rsidP="3BF793D6" w:rsidRDefault="036E0CCB" w14:paraId="7F6F64E9" w14:textId="7C983D6B">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TUPE applies where there is either a transfer of an economic entity retains its characteristics while being sold or a change in the service provider while continuing to operate in a similar way, </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(ACAS, 2026b)</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being designed to protect staffs’ employment rights when organisational restructuring arrangements or employer changes are happening </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(Daniels, 2022)</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36E0CCB" w:rsidP="3BF793D6" w:rsidRDefault="036E0CCB" w14:paraId="0FE36F56" w14:textId="35120490">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key elements of TUPE is that affected staff are transferring to the new employer on their existing term and conditions, meaning the employees who will be transferring to the Trust will retain pay, annual leave entitlements, sick pay, continuity of service and all the other contractual benefits agreed with their current employer </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(Lewis, Sargeant and Schwab, 2023)</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36E0CCB" w:rsidP="3BF793D6" w:rsidRDefault="036E0CCB" w14:paraId="5D1D1EBD" w14:textId="2D28FA6A">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TUPE also covers protection against dismissal, the new employers not having the right to dismiss staff simply because of the transfer. However, there can be exceptions if they can demonstrate an economic, technical or organisation (ETO) </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2024)</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reason bringing changes to the workforce need. </w:t>
      </w:r>
    </w:p>
    <w:p w:rsidR="036E0CCB" w:rsidP="3BF793D6" w:rsidRDefault="036E0CCB" w14:paraId="6B938515" w14:textId="459D0686">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When starting the TUPE process, both employers have the legal obligations to inform and consult with the affected staff, recognised trade unions or the elected employee about the transfer taking place, the timing of the transfer, the reason of the transfer, the economic and social implications</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2025</w:t>
      </w:r>
      <w:r w:rsidRPr="3BF793D6" w:rsidR="2D7161E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If there are any proposed measures brought forwards, meaningful consultations must take place before decisions are made, failure to complain risking compensations of up to 13 weeks’ pay.</w:t>
      </w:r>
    </w:p>
    <w:p w:rsidR="036E0CCB" w:rsidP="3BF793D6" w:rsidRDefault="036E0CCB" w14:paraId="1806BBA6" w14:textId="63B5170B">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My advice would be to start planning correspondingly from this early stage and start preparing for negotiation by starting to identify the affected group of employees, review the differences in terms and conditions between the Trust’ contacts and what they are currently under and secure consultation planning as part of the merge strategy. It is also </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important</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document the process and keep records of the proposed changes, as this will help the Trust </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demonstrate</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genuine ETO reasoning if workforce reductions become necessary </w:t>
      </w:r>
      <w:r w:rsidRPr="3BF793D6" w:rsidR="1A1BA3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later</w:t>
      </w: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036E0CCB" w:rsidP="3BF793D6" w:rsidRDefault="036E0CCB" w14:paraId="7FB44949" w14:textId="62D8E215">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36E0C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Overall, you will need to keep in mind TUPE protects employees' contractual rights during the transfer and reduces the extent in which the new employer can change the terms or dismiss after the transfer, reducing the organisational flexibility but assuring fairness and stability for staff during periods of change.</w:t>
      </w:r>
    </w:p>
    <w:p w:rsidR="3BF793D6" w:rsidP="3BF793D6" w:rsidRDefault="3BF793D6" w14:paraId="51C3A350" w14:textId="45291DE9">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F793D6" w:rsidP="3BF793D6" w:rsidRDefault="3BF793D6" w14:paraId="0B76C269" w14:textId="3182D4B7">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EC8F209" w:rsidP="3BF793D6" w:rsidRDefault="5EC8F209" w14:paraId="088E445A" w14:textId="30903886">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 4.1</w:t>
      </w:r>
    </w:p>
    <w:p w:rsidR="5EC8F209" w:rsidP="3BF793D6" w:rsidRDefault="5EC8F209" w14:paraId="151FDB8F" w14:textId="759B3AAD">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Dear colleague,</w:t>
      </w:r>
    </w:p>
    <w:p w:rsidR="5EC8F209" w:rsidP="3BF793D6" w:rsidRDefault="5EC8F209" w14:paraId="18A68076" w14:textId="74D82327">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Welcome to our team and thank you for getting in touch regarding the holiday pay calculations for bank employees. </w:t>
      </w:r>
    </w:p>
    <w:p w:rsidR="5EC8F209" w:rsidP="3BF793D6" w:rsidRDefault="5EC8F209" w14:paraId="4AD1D5F9" w14:textId="40370439">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 NHS, bank staff are workers following irregular hours who are hired to cover absences, staff shortages, annual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leave</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higher service demands (Daniels, 2022). Although they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don’t</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certain holiday hours as the permanent staff, under </w:t>
      </w:r>
      <w:r w:rsidRPr="3BF793D6" w:rsidR="332860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Working</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Time Regulations (1998)</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have the legal rights for paid annual leave. </w:t>
      </w:r>
    </w:p>
    <w:p w:rsidR="5EC8F209" w:rsidP="3BF793D6" w:rsidRDefault="5EC8F209" w14:paraId="69522E56" w14:textId="01E52DCA">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Under the above regulations, workers are entitled to 5.6 weeks of paid annual leave every year. For bank staff, their holiday entitlement is calculated based on the hours they worked during </w:t>
      </w:r>
      <w:r w:rsidRPr="3BF793D6" w:rsidR="30AB2F6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specific period</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(ACAS</w:t>
      </w:r>
      <w:r w:rsidRPr="3BF793D6" w:rsidR="4CB39D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2026c</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Irregular workers accrue holiday at a rate of 12.07% of their worked time, bearing in mind that if they are under the statutory minimum holiday entitlement, they cannot accrue more than 28 days yearly. </w:t>
      </w:r>
    </w:p>
    <w:p w:rsidR="5EC8F209" w:rsidP="3BF793D6" w:rsidRDefault="5EC8F209" w14:paraId="07A07473" w14:textId="18194D3B">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Historically, employers used the rolled-up holiday pay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(ACAS, </w:t>
      </w:r>
      <w:r w:rsidRPr="3BF793D6" w:rsidR="236DFFF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2026d</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where the pay was added as an additional payment to substitute the employers taking their time off, but cases such as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Robinson-Steele v RD Retail Services Ltd</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brought this under attention, the European Court of Justice then discouraging the rolled-up pay practice, reinforcing that employees should take paid annual leave. </w:t>
      </w:r>
    </w:p>
    <w:p w:rsidR="5EC8F209" w:rsidP="3BF793D6" w:rsidRDefault="5EC8F209" w14:paraId="63115809" w14:textId="59CEFC5E">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 healthcare sector, annual leave should not be viewed only a financial entitlement, but rather as a tool to safeguard staff’s health and safety, giving them the time to rest and protecting them from burnouts,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stress</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 fatigue. This is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important</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within the Trust, as tiredness can affect not only the staff’ state, but the decision-making process, the quality of care and the overall patient safety.</w:t>
      </w:r>
    </w:p>
    <w:p w:rsidR="5EC8F209" w:rsidP="3BF793D6" w:rsidRDefault="5EC8F209" w14:paraId="52EB85D8" w14:textId="14D65304">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There should be a distinction between bank workers who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regularly work</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full-time hours and the genuine bank workers who are only picking hours at the time in need. When someone continue working regular shifts, they should be encouraged to take their annual leave rather than receiving the rolled-up payment as this supports the aim of the working time regulations </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2026</w:t>
      </w:r>
      <w:r w:rsidRPr="3BF793D6" w:rsidR="53CD86F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to safeguard employees and offer them ensure their receive rest from work. </w:t>
      </w:r>
    </w:p>
    <w:p w:rsidR="5EC8F209" w:rsidP="3BF793D6" w:rsidRDefault="5EC8F209" w14:paraId="271F0225" w14:textId="4A98C77C">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EC8F20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My advice would be to make sure that you keep consistent records of the worked hours and enhancements, ensure your calculations are accurate based on the 12.07% rate and encourage consistent staff to take time off, rather than opting for the rolled up pay.</w:t>
      </w:r>
    </w:p>
    <w:p w:rsidR="3BF793D6" w:rsidP="3BF793D6" w:rsidRDefault="3BF793D6" w14:paraId="320146B8" w14:textId="74C65AD7">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F793D6" w:rsidP="3BF793D6" w:rsidRDefault="3BF793D6" w14:paraId="47094DAF" w14:textId="71AC9DCC">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77A5502" w:rsidP="3BF793D6" w:rsidRDefault="177A5502" w14:paraId="56E4BB9A" w14:textId="7BC010C0">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77A55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 4.1</w:t>
      </w:r>
    </w:p>
    <w:p w:rsidR="177A5502" w:rsidP="3BF793D6" w:rsidRDefault="177A5502" w14:paraId="0C6EB292" w14:textId="0AC8B1F7">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Dear colleague,</w:t>
      </w:r>
    </w:p>
    <w:p w:rsidR="177A5502" w:rsidP="3BF793D6" w:rsidRDefault="177A5502" w14:paraId="5C5DA1A6" w14:textId="23E05BA2">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Under the UK employment law, only pregnant employees are entitled to maternity leave</w:t>
      </w:r>
      <w:r w:rsidRPr="3BF793D6" w:rsidR="410020A9">
        <w:rPr>
          <w:rFonts w:ascii="Aptos" w:hAnsi="Aptos" w:eastAsia="Aptos" w:cs="Aptos"/>
          <w:b w:val="0"/>
          <w:bCs w:val="0"/>
          <w:i w:val="0"/>
          <w:iCs w:val="0"/>
          <w:caps w:val="0"/>
          <w:smallCaps w:val="0"/>
          <w:noProof w:val="0"/>
          <w:color w:val="000000" w:themeColor="text1" w:themeTint="FF" w:themeShade="FF"/>
          <w:sz w:val="24"/>
          <w:szCs w:val="24"/>
          <w:lang w:val="en-GB"/>
        </w:rPr>
        <w:t xml:space="preserve"> (Gov, no </w:t>
      </w:r>
      <w:r w:rsidRPr="3BF793D6" w:rsidR="410020A9">
        <w:rPr>
          <w:rFonts w:ascii="Aptos" w:hAnsi="Aptos" w:eastAsia="Aptos" w:cs="Aptos"/>
          <w:b w:val="0"/>
          <w:bCs w:val="0"/>
          <w:i w:val="0"/>
          <w:iCs w:val="0"/>
          <w:caps w:val="0"/>
          <w:smallCaps w:val="0"/>
          <w:noProof w:val="0"/>
          <w:color w:val="000000" w:themeColor="text1" w:themeTint="FF" w:themeShade="FF"/>
          <w:sz w:val="24"/>
          <w:szCs w:val="24"/>
          <w:lang w:val="en-GB"/>
        </w:rPr>
        <w:t>dateA</w:t>
      </w:r>
      <w:r w:rsidRPr="3BF793D6" w:rsidR="410020A9">
        <w:rPr>
          <w:rFonts w:ascii="Aptos" w:hAnsi="Aptos" w:eastAsia="Aptos" w:cs="Aptos"/>
          <w:b w:val="0"/>
          <w:bCs w:val="0"/>
          <w:i w:val="0"/>
          <w:iCs w:val="0"/>
          <w:caps w:val="0"/>
          <w:smallCaps w:val="0"/>
          <w:noProof w:val="0"/>
          <w:color w:val="000000" w:themeColor="text1" w:themeTint="FF" w:themeShade="FF"/>
          <w:sz w:val="24"/>
          <w:szCs w:val="24"/>
          <w:lang w:val="en-GB"/>
        </w:rPr>
        <w:t>)</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 regardless of the length of service, them being able to take up to 52 weeks (26 weeks of Ordinary Maternity Leave, and 26 weeks of Additional Maternity Leave), only 2 weeks being mandatory (4 if you are a factory worker). Shared parental leave (SPL)</w:t>
      </w:r>
      <w:r w:rsidRPr="3BF793D6" w:rsidR="4DA179ED">
        <w:rPr>
          <w:rFonts w:ascii="Aptos" w:hAnsi="Aptos" w:eastAsia="Aptos" w:cs="Aptos"/>
          <w:b w:val="0"/>
          <w:bCs w:val="0"/>
          <w:i w:val="0"/>
          <w:iCs w:val="0"/>
          <w:caps w:val="0"/>
          <w:smallCaps w:val="0"/>
          <w:noProof w:val="0"/>
          <w:color w:val="000000" w:themeColor="text1" w:themeTint="FF" w:themeShade="FF"/>
          <w:sz w:val="24"/>
          <w:szCs w:val="24"/>
          <w:lang w:val="en-GB"/>
        </w:rPr>
        <w:t xml:space="preserve"> (Gov, no </w:t>
      </w:r>
      <w:r w:rsidRPr="3BF793D6" w:rsidR="4DA179ED">
        <w:rPr>
          <w:rFonts w:ascii="Aptos" w:hAnsi="Aptos" w:eastAsia="Aptos" w:cs="Aptos"/>
          <w:b w:val="0"/>
          <w:bCs w:val="0"/>
          <w:i w:val="0"/>
          <w:iCs w:val="0"/>
          <w:caps w:val="0"/>
          <w:smallCaps w:val="0"/>
          <w:noProof w:val="0"/>
          <w:color w:val="000000" w:themeColor="text1" w:themeTint="FF" w:themeShade="FF"/>
          <w:sz w:val="24"/>
          <w:szCs w:val="24"/>
          <w:lang w:val="en-GB"/>
        </w:rPr>
        <w:t>dateB</w:t>
      </w:r>
      <w:r w:rsidRPr="3BF793D6" w:rsidR="4DA179ED">
        <w:rPr>
          <w:rFonts w:ascii="Aptos" w:hAnsi="Aptos" w:eastAsia="Aptos" w:cs="Aptos"/>
          <w:b w:val="0"/>
          <w:bCs w:val="0"/>
          <w:i w:val="0"/>
          <w:iCs w:val="0"/>
          <w:caps w:val="0"/>
          <w:smallCaps w:val="0"/>
          <w:noProof w:val="0"/>
          <w:color w:val="000000" w:themeColor="text1" w:themeTint="FF" w:themeShade="FF"/>
          <w:sz w:val="24"/>
          <w:szCs w:val="24"/>
          <w:lang w:val="en-GB"/>
        </w:rPr>
        <w:t>)</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 functions differently as it allows both parents to share up to 50 weeks (after the 2 weeks of mandatory leave of the birth parent)</w:t>
      </w:r>
    </w:p>
    <w:p w:rsidR="177A5502" w:rsidP="3BF793D6" w:rsidRDefault="177A5502" w14:paraId="040D2100" w14:textId="7F832E5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The major difference between them is flexibility. Maternity leave is taken by one parent in one continued period, whether SPL can be split between both parents and time blocks. Under SPL, parents can take time off together or alternate periods of leave to suit their schedules. </w:t>
      </w:r>
    </w:p>
    <w:p w:rsidR="177A5502" w:rsidP="3BF793D6" w:rsidRDefault="177A5502" w14:paraId="47C4EB93" w14:textId="5C48BEF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The edibility criteria also difference, while maternity leave is offered from day one of employment, although the Statutory Maternity Pay requires a minimum of  26 weeks of employment and other earning conditions, SLP has more manifolded eligibility rules as both parents’ employment and earnings are to be considered. </w:t>
      </w:r>
    </w:p>
    <w:p w:rsidR="177A5502" w:rsidP="3BF793D6" w:rsidRDefault="177A5502" w14:paraId="0395784B" w14:textId="28677EC3">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SLP and Maternity Leave pay are different too. Employees who are eligible for SMP</w:t>
      </w:r>
      <w:r w:rsidRPr="3BF793D6" w:rsidR="14BBB4EA">
        <w:rPr>
          <w:rFonts w:ascii="Aptos" w:hAnsi="Aptos" w:eastAsia="Aptos" w:cs="Aptos"/>
          <w:b w:val="0"/>
          <w:bCs w:val="0"/>
          <w:i w:val="0"/>
          <w:iCs w:val="0"/>
          <w:caps w:val="0"/>
          <w:smallCaps w:val="0"/>
          <w:noProof w:val="0"/>
          <w:color w:val="000000" w:themeColor="text1" w:themeTint="FF" w:themeShade="FF"/>
          <w:sz w:val="24"/>
          <w:szCs w:val="24"/>
          <w:lang w:val="en-GB"/>
        </w:rPr>
        <w:t xml:space="preserve"> (ACAS, 2026e)</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 are entitled to 90% of their average weekly earing (AWE) before tax for the first 6 weeks, and £194.3</w:t>
      </w:r>
      <w:r w:rsidRPr="3BF793D6" w:rsidR="1B37B223">
        <w:rPr>
          <w:rFonts w:ascii="Aptos" w:hAnsi="Aptos" w:eastAsia="Aptos" w:cs="Aptos"/>
          <w:b w:val="0"/>
          <w:bCs w:val="0"/>
          <w:i w:val="0"/>
          <w:iCs w:val="0"/>
          <w:caps w:val="0"/>
          <w:smallCaps w:val="0"/>
          <w:noProof w:val="0"/>
          <w:color w:val="000000" w:themeColor="text1" w:themeTint="FF" w:themeShade="FF"/>
          <w:sz w:val="24"/>
          <w:szCs w:val="24"/>
          <w:lang w:val="en-GB"/>
        </w:rPr>
        <w:t>2</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 or 90% of their AWE (whichever is the lowest) on the remaining weeks. </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ShPP</w:t>
      </w:r>
      <w:r w:rsidRPr="3BF793D6" w:rsidR="063DB27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063DB2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ACAS, 2026f)</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 functions differently, being paid at a rate of £194.32 a week or 90% of their AWE (whichever is the lowest) during its whole duration. </w:t>
      </w:r>
    </w:p>
    <w:p w:rsidR="177A5502" w:rsidP="3BF793D6" w:rsidRDefault="177A5502" w14:paraId="2FDB4992" w14:textId="7CFBC8E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If eligible for both, employees can also combine ML and SPL, for example, an employee can start their ML 4 weeks before their due date and give notice of SPL from week 10 after the birth. In this way, they will be paid 90% of their AWE as SMP for 6 weeks of maternity leave, and then the £194.3</w:t>
      </w:r>
      <w:r w:rsidRPr="3BF793D6" w:rsidR="0F132B10">
        <w:rPr>
          <w:rFonts w:ascii="Aptos" w:hAnsi="Aptos" w:eastAsia="Aptos" w:cs="Aptos"/>
          <w:b w:val="0"/>
          <w:bCs w:val="0"/>
          <w:i w:val="0"/>
          <w:iCs w:val="0"/>
          <w:caps w:val="0"/>
          <w:smallCaps w:val="0"/>
          <w:noProof w:val="0"/>
          <w:color w:val="000000" w:themeColor="text1" w:themeTint="FF" w:themeShade="FF"/>
          <w:sz w:val="24"/>
          <w:szCs w:val="24"/>
          <w:lang w:val="en-GB"/>
        </w:rPr>
        <w:t>2</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 or 90% of their AWE (whichever is the lowest) until week 10. Starting from week 10, they will be paid the </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ShPP</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 of £194.32.</w:t>
      </w:r>
    </w:p>
    <w:p w:rsidR="177A5502" w:rsidP="3BF793D6" w:rsidRDefault="177A5502" w14:paraId="61785FF1" w14:textId="274B22A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My advice for you would be to review the NHS policies of ML and SPL before deciding, having in mind the financial, </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personal</w:t>
      </w:r>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 xml:space="preserve"> and family arrangements of yours. As I do not know your circumstances regarding childcare plans, career aspirations or partners’ employment situation, I cannot offer you specific guidance, but if you find it useful to discuss your circumstances together, we can arrange a meeting</w:t>
      </w:r>
      <w:r w:rsidRPr="3BF793D6" w:rsidR="6B829398">
        <w:rPr>
          <w:rFonts w:ascii="Aptos" w:hAnsi="Aptos" w:eastAsia="Aptos" w:cs="Aptos"/>
          <w:b w:val="0"/>
          <w:bCs w:val="0"/>
          <w:i w:val="0"/>
          <w:iCs w:val="0"/>
          <w:caps w:val="0"/>
          <w:smallCaps w:val="0"/>
          <w:noProof w:val="0"/>
          <w:color w:val="000000" w:themeColor="text1" w:themeTint="FF" w:themeShade="FF"/>
          <w:sz w:val="24"/>
          <w:szCs w:val="24"/>
          <w:lang w:val="en-GB"/>
        </w:rPr>
        <w:t xml:space="preserve"> or you can get support at </w:t>
      </w:r>
      <w:hyperlink r:id="Rc2bc09534ed54170">
        <w:r w:rsidRPr="3BF793D6" w:rsidR="6B829398">
          <w:rPr>
            <w:rStyle w:val="Hyperlink"/>
            <w:b w:val="0"/>
            <w:bCs w:val="0"/>
            <w:i w:val="0"/>
            <w:iCs w:val="0"/>
            <w:caps w:val="0"/>
            <w:smallCaps w:val="0"/>
            <w:noProof w:val="0"/>
            <w:lang w:val="en-GB"/>
          </w:rPr>
          <w:t>https://maternityaction.org.uk/</w:t>
        </w:r>
      </w:hyperlink>
      <w:r w:rsidRPr="3BF793D6" w:rsidR="177A5502">
        <w:rPr>
          <w:rFonts w:ascii="Aptos" w:hAnsi="Aptos" w:eastAsia="Aptos" w:cs="Aptos"/>
          <w:b w:val="0"/>
          <w:bCs w:val="0"/>
          <w:i w:val="0"/>
          <w:iCs w:val="0"/>
          <w:caps w:val="0"/>
          <w:smallCaps w:val="0"/>
          <w:noProof w:val="0"/>
          <w:color w:val="000000" w:themeColor="text1" w:themeTint="FF" w:themeShade="FF"/>
          <w:sz w:val="24"/>
          <w:szCs w:val="24"/>
          <w:lang w:val="en-GB"/>
        </w:rPr>
        <w:t>.</w:t>
      </w:r>
    </w:p>
    <w:p w:rsidR="3BF793D6" w:rsidP="3BF793D6" w:rsidRDefault="3BF793D6" w14:paraId="2113BF55" w14:textId="7CF87D06">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0FBA504" w:rsidP="3BF793D6" w:rsidRDefault="40FBA504" w14:paraId="684048BC" w14:textId="0024572F">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0FBA5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 4.3</w:t>
      </w:r>
    </w:p>
    <w:p w:rsidR="40FBA504" w:rsidP="3BF793D6" w:rsidRDefault="40FBA504" w14:paraId="189E770E" w14:textId="1897D895">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Dear colleague,</w:t>
      </w:r>
    </w:p>
    <w:p w:rsidR="40FBA504" w:rsidP="3BF793D6" w:rsidRDefault="40FBA504" w14:paraId="388F319F" w14:textId="3CB61FCD">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 xml:space="preserve">Under the Employment Relations (Flexible Working) Act </w:t>
      </w:r>
      <w:r w:rsidRPr="3BF793D6" w:rsidR="1EE6C748">
        <w:rPr>
          <w:rFonts w:ascii="Aptos" w:hAnsi="Aptos" w:eastAsia="Aptos" w:cs="Aptos"/>
          <w:b w:val="0"/>
          <w:bCs w:val="0"/>
          <w:i w:val="0"/>
          <w:iCs w:val="0"/>
          <w:caps w:val="0"/>
          <w:smallCaps w:val="0"/>
          <w:noProof w:val="0"/>
          <w:color w:val="000000" w:themeColor="text1" w:themeTint="FF" w:themeShade="FF"/>
          <w:sz w:val="24"/>
          <w:szCs w:val="24"/>
          <w:lang w:val="en-GB"/>
        </w:rPr>
        <w:t>(</w:t>
      </w: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2023</w:t>
      </w:r>
      <w:r w:rsidRPr="3BF793D6" w:rsidR="6F86549C">
        <w:rPr>
          <w:rFonts w:ascii="Aptos" w:hAnsi="Aptos" w:eastAsia="Aptos" w:cs="Aptos"/>
          <w:b w:val="0"/>
          <w:bCs w:val="0"/>
          <w:i w:val="0"/>
          <w:iCs w:val="0"/>
          <w:caps w:val="0"/>
          <w:smallCaps w:val="0"/>
          <w:noProof w:val="0"/>
          <w:color w:val="000000" w:themeColor="text1" w:themeTint="FF" w:themeShade="FF"/>
          <w:sz w:val="24"/>
          <w:szCs w:val="24"/>
          <w:lang w:val="en-GB"/>
        </w:rPr>
        <w:t>)</w:t>
      </w: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 xml:space="preserve"> and flexible working regulations, employees have the right to request flexible working from the first day of employment, including changes in hours or remote working. </w:t>
      </w:r>
    </w:p>
    <w:p w:rsidR="40FBA504" w:rsidP="3BF793D6" w:rsidRDefault="40FBA504" w14:paraId="2403F972" w14:textId="7E724C87">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It is important to understand this does not mean they automatically have the right to work from home</w:t>
      </w:r>
      <w:r w:rsidRPr="3BF793D6" w:rsidR="1098C7A0">
        <w:rPr>
          <w:rFonts w:ascii="Aptos" w:hAnsi="Aptos" w:eastAsia="Aptos" w:cs="Aptos"/>
          <w:b w:val="0"/>
          <w:bCs w:val="0"/>
          <w:i w:val="0"/>
          <w:iCs w:val="0"/>
          <w:caps w:val="0"/>
          <w:smallCaps w:val="0"/>
          <w:noProof w:val="0"/>
          <w:color w:val="000000" w:themeColor="text1" w:themeTint="FF" w:themeShade="FF"/>
          <w:sz w:val="24"/>
          <w:szCs w:val="24"/>
          <w:lang w:val="en-GB"/>
        </w:rPr>
        <w:t xml:space="preserve"> (Gov, no dateC)</w:t>
      </w: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 xml:space="preserve">, but they have the right to formally request it, which then transfers the responsibility to the employer to consider the request reasonably and fairly. This law aims to encourage practical conversations between employees and employers while still giving organisation the freedom to reject the request where there are rooted business reasons. </w:t>
      </w:r>
    </w:p>
    <w:p w:rsidR="40FBA504" w:rsidP="3BF793D6" w:rsidRDefault="40FBA504" w14:paraId="154D0310" w14:textId="7F20F8A6">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Some of the grounds on which a business can lawfully reject the request are related to the impact on quality and performance, the inability to reorganise existing staff and workload, the effect it might have on meeting customers or the service demands, or if there is insufficient workload for the period proposed</w:t>
      </w:r>
      <w:r w:rsidRPr="3BF793D6" w:rsidR="27CCAAD4">
        <w:rPr>
          <w:rFonts w:ascii="Aptos" w:hAnsi="Aptos" w:eastAsia="Aptos" w:cs="Aptos"/>
          <w:b w:val="0"/>
          <w:bCs w:val="0"/>
          <w:i w:val="0"/>
          <w:iCs w:val="0"/>
          <w:caps w:val="0"/>
          <w:smallCaps w:val="0"/>
          <w:noProof w:val="0"/>
          <w:color w:val="000000" w:themeColor="text1" w:themeTint="FF" w:themeShade="FF"/>
          <w:sz w:val="24"/>
          <w:szCs w:val="24"/>
          <w:lang w:val="en-GB"/>
        </w:rPr>
        <w:t xml:space="preserve"> (Daniels, 2022)</w:t>
      </w: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 xml:space="preserve">. However, requests should not be rejected because is a concern about other employees making similar requests, as this basis alone could bring employee relationship issues and can be viewed as unreasonable. </w:t>
      </w:r>
    </w:p>
    <w:p w:rsidR="40FBA504" w:rsidP="3BF793D6" w:rsidRDefault="40FBA504" w14:paraId="11C73252" w14:textId="6AC28D92">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 xml:space="preserve">Despite this employee not stating the reason for their request, flexible working requests are sometimes linked to disability, childcare, pregnancy or other protected characteristics under the Equality Act 2010, which means a direct refusal may disadvantage certain groups and raise discriminatory claims if not fairly justified. </w:t>
      </w:r>
    </w:p>
    <w:p w:rsidR="40FBA504" w:rsidP="3BF793D6" w:rsidRDefault="40FBA504" w14:paraId="4BF9D9F9" w14:textId="7115764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As flexible working might improve employee wellbeing, engagement and retention</w:t>
      </w:r>
      <w:r w:rsidRPr="3BF793D6" w:rsidR="3CC4618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3CC4618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2026f)</w:t>
      </w: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 xml:space="preserve"> and each request should be assed individually</w:t>
      </w:r>
      <w:r w:rsidRPr="3BF793D6" w:rsidR="5219B53D">
        <w:rPr>
          <w:rFonts w:ascii="Aptos" w:hAnsi="Aptos" w:eastAsia="Aptos" w:cs="Aptos"/>
          <w:b w:val="0"/>
          <w:bCs w:val="0"/>
          <w:i w:val="0"/>
          <w:iCs w:val="0"/>
          <w:caps w:val="0"/>
          <w:smallCaps w:val="0"/>
          <w:noProof w:val="0"/>
          <w:color w:val="000000" w:themeColor="text1" w:themeTint="FF" w:themeShade="FF"/>
          <w:sz w:val="24"/>
          <w:szCs w:val="24"/>
          <w:lang w:val="en-GB"/>
        </w:rPr>
        <w:t xml:space="preserve"> (ACAS, 2026g)</w:t>
      </w: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 xml:space="preserve">, taking into consideration both the organisation needs and the team member circumstances, my advice would be to avoid making immediate decisions and consider objectively. You could start by reviewing the nature of the job and the impact working from home might have on delivery, check the confidentiality requirements and measures that would need to be taken to maintain it, workload structure and how it can be dealt if the requests is approved and how hybrid working may impact the team. It may also help to open communication around the topic with your team member exploring compromises such as trial period before deciding. </w:t>
      </w:r>
    </w:p>
    <w:p w:rsidR="40FBA504" w:rsidP="3BF793D6" w:rsidRDefault="40FBA504" w14:paraId="724C5F31" w14:textId="1C8F301E">
      <w:pPr>
        <w:rPr>
          <w:rFonts w:ascii="Aptos" w:hAnsi="Aptos" w:eastAsia="Aptos" w:cs="Aptos"/>
          <w:b w:val="0"/>
          <w:bCs w:val="0"/>
          <w:i w:val="0"/>
          <w:iCs w:val="0"/>
          <w:caps w:val="0"/>
          <w:smallCaps w:val="0"/>
          <w:noProof w:val="0"/>
          <w:color w:val="000000" w:themeColor="text1" w:themeTint="FF" w:themeShade="FF"/>
          <w:sz w:val="24"/>
          <w:szCs w:val="24"/>
          <w:lang w:val="en-GB"/>
        </w:rPr>
      </w:pPr>
      <w:r w:rsidRPr="3BF793D6" w:rsidR="40FBA504">
        <w:rPr>
          <w:rFonts w:ascii="Aptos" w:hAnsi="Aptos" w:eastAsia="Aptos" w:cs="Aptos"/>
          <w:b w:val="0"/>
          <w:bCs w:val="0"/>
          <w:i w:val="0"/>
          <w:iCs w:val="0"/>
          <w:caps w:val="0"/>
          <w:smallCaps w:val="0"/>
          <w:noProof w:val="0"/>
          <w:color w:val="000000" w:themeColor="text1" w:themeTint="FF" w:themeShade="FF"/>
          <w:sz w:val="24"/>
          <w:szCs w:val="24"/>
          <w:lang w:val="en-GB"/>
        </w:rPr>
        <w:t>As a manager, you should establish a fully documented process including the request, the discussions you had with your member of staff, the business analytics and the clear reason for the decision taken, as this will help demonstrated a reasonable and fair process if the decision would be challenge later.</w:t>
      </w:r>
    </w:p>
    <w:p w:rsidR="3BF793D6" w:rsidP="3BF793D6" w:rsidRDefault="3BF793D6" w14:paraId="3DEDAD7A" w14:textId="40B5A7E4">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F793D6" w:rsidP="3BF793D6" w:rsidRDefault="3BF793D6" w14:paraId="75851988" w14:textId="717B3683">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F793D6" w:rsidP="3BF793D6" w:rsidRDefault="3BF793D6" w14:paraId="7042199D" w14:textId="50160C3D">
      <w:pPr>
        <w:pStyle w:val="Normal"/>
        <w:rPr>
          <w:rFonts w:ascii="Trebuchet MS" w:hAnsi="Trebuchet MS" w:eastAsia="Trebuchet MS" w:cs="Trebuchet MS"/>
          <w:b w:val="0"/>
          <w:bCs w:val="0"/>
          <w:i w:val="0"/>
          <w:iCs w:val="0"/>
          <w:caps w:val="0"/>
          <w:smallCaps w:val="0"/>
          <w:noProof w:val="0"/>
          <w:color w:val="000000" w:themeColor="text1" w:themeTint="FF" w:themeShade="FF"/>
          <w:sz w:val="22"/>
          <w:szCs w:val="22"/>
          <w:lang w:val="en-GB"/>
        </w:rPr>
      </w:pPr>
    </w:p>
    <w:p w:rsidR="1D5AA5DD" w:rsidP="3BF793D6" w:rsidRDefault="1D5AA5DD" w14:paraId="4629926A" w14:textId="20D4ECA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ACAS (no date) </w:t>
      </w:r>
      <w:r w:rsidRPr="3BF793D6" w:rsidR="1D5AA5D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Equal pay and the law</w:t>
      </w:r>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64d957ada5574ca5">
        <w:r w:rsidRPr="3BF793D6" w:rsidR="1D5AA5DD">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https://www.acas.org.uk/equal-pay/equal-pay-law</w:t>
        </w:r>
      </w:hyperlink>
      <w:r w:rsidRPr="3BF793D6" w:rsidR="1D5AA5D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25/04/2026)</w:t>
      </w:r>
    </w:p>
    <w:p w:rsidR="72DFDA14" w:rsidP="3BF793D6" w:rsidRDefault="72DFDA14" w14:paraId="30A01FDE" w14:textId="6463B36F">
      <w:pPr>
        <w:jc w:val="left"/>
        <w:rPr>
          <w:rFonts w:ascii="Aptos" w:hAnsi="Aptos" w:eastAsia="Aptos" w:cs="Aptos" w:asciiTheme="minorAscii" w:hAnsiTheme="minorAscii" w:eastAsiaTheme="minorAscii" w:cstheme="minorAscii"/>
          <w:noProof w:val="0"/>
          <w:sz w:val="24"/>
          <w:szCs w:val="24"/>
          <w:lang w:val="en-GB"/>
        </w:rPr>
      </w:pPr>
      <w:r w:rsidRPr="3BF793D6" w:rsidR="72DFD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ACAS (2024) Managing staff redundancies. Available at: </w:t>
      </w:r>
      <w:hyperlink r:id="R28611bef12c44d15">
        <w:r w:rsidRPr="3BF793D6" w:rsidR="72DFDA14">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https://www.acas.org.uk/manage-staff-redundancies</w:t>
        </w:r>
      </w:hyperlink>
      <w:r w:rsidRPr="3BF793D6" w:rsidR="72DFD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72DFDA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on 27/04/2026)</w:t>
      </w:r>
    </w:p>
    <w:p w:rsidR="7FF624CB" w:rsidP="3BF793D6" w:rsidRDefault="7FF624CB" w14:paraId="4A6FAB05" w14:textId="2CBB3EC3">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FF624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ACAS (2025) Employment tribunal time limits. Available at: </w:t>
      </w:r>
      <w:hyperlink r:id="Rb7f0b1d139c24b8d">
        <w:r w:rsidRPr="3BF793D6" w:rsidR="7FF624CB">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https://www.acas.org.uk/employment-tribunal-time-limits</w:t>
        </w:r>
      </w:hyperlink>
      <w:r w:rsidRPr="3BF793D6" w:rsidR="7FF624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02/05/2026)</w:t>
      </w:r>
    </w:p>
    <w:p w:rsidR="5CAFBDC9" w:rsidP="3BF793D6" w:rsidRDefault="5CAFBDC9" w14:paraId="6D46826C" w14:textId="21925566">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CAFBD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ACAS (2026a) </w:t>
      </w:r>
      <w:r w:rsidRPr="3BF793D6" w:rsidR="5CAFBDC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Constructive dismissal</w:t>
      </w:r>
      <w:r w:rsidRPr="3BF793D6" w:rsidR="5CAFBD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545bcce1e66748aa">
        <w:r w:rsidRPr="3BF793D6" w:rsidR="5CAFBDC9">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https://www.acas.org.uk/dismissals/constructive-dismissal</w:t>
        </w:r>
      </w:hyperlink>
      <w:r w:rsidRPr="3BF793D6" w:rsidR="5CAFBD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5CAFBD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30/04/2026)</w:t>
      </w:r>
    </w:p>
    <w:p w:rsidR="59BC6C89" w:rsidP="3BF793D6" w:rsidRDefault="59BC6C89" w14:paraId="27A1C378" w14:textId="0275B255">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9BC6C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ACAS (2026b) </w:t>
      </w:r>
      <w:r w:rsidRPr="3BF793D6" w:rsidR="59BC6C8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TUPE What a TUPE transfer is</w:t>
      </w:r>
      <w:r w:rsidRPr="3BF793D6" w:rsidR="59BC6C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6a9bac43a4c1431e">
        <w:r w:rsidRPr="3BF793D6" w:rsidR="59BC6C89">
          <w:rPr>
            <w:rStyle w:val="Hyperlink"/>
            <w:b w:val="0"/>
            <w:bCs w:val="0"/>
            <w:i w:val="0"/>
            <w:iCs w:val="0"/>
            <w:caps w:val="0"/>
            <w:smallCaps w:val="0"/>
            <w:noProof w:val="0"/>
            <w:lang w:val="en-GB"/>
          </w:rPr>
          <w:t>https://www.acas.org.uk/tupe/advice-for-employers-and-employees</w:t>
        </w:r>
      </w:hyperlink>
      <w:r w:rsidRPr="3BF793D6" w:rsidR="59BC6C8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06/05/2026)</w:t>
      </w:r>
    </w:p>
    <w:p w:rsidR="26813CEC" w:rsidP="3BF793D6" w:rsidRDefault="26813CEC" w14:paraId="7A0F0796" w14:textId="10F1264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26813C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ACAS (2026c)</w:t>
      </w:r>
      <w:r w:rsidRPr="3BF793D6" w:rsidR="26813CE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Irregular hours and part-year workers. Building up holiday</w:t>
      </w:r>
      <w:r w:rsidRPr="3BF793D6" w:rsidR="26813C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bbbaccc2d8da4c73">
        <w:r w:rsidRPr="3BF793D6" w:rsidR="26813CEC">
          <w:rPr>
            <w:rStyle w:val="Hyperlink"/>
            <w:b w:val="0"/>
            <w:bCs w:val="0"/>
            <w:i w:val="0"/>
            <w:iCs w:val="0"/>
            <w:caps w:val="0"/>
            <w:smallCaps w:val="0"/>
            <w:noProof w:val="0"/>
            <w:lang w:val="en-GB"/>
          </w:rPr>
          <w:t>https://www.acas.org.uk/irregular-hours-and-part-year-workers</w:t>
        </w:r>
      </w:hyperlink>
      <w:r w:rsidRPr="3BF793D6" w:rsidR="26813C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0</w:t>
      </w:r>
      <w:r w:rsidRPr="3BF793D6" w:rsidR="41C489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7</w:t>
      </w:r>
      <w:r w:rsidRPr="3BF793D6" w:rsidR="26813C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/05/2026)</w:t>
      </w:r>
    </w:p>
    <w:p w:rsidR="7583B32B" w:rsidP="3BF793D6" w:rsidRDefault="7583B32B" w14:paraId="03C11BA9" w14:textId="6FADFB2D">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583B32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ACAS (2026d) </w:t>
      </w:r>
      <w:r w:rsidRPr="3BF793D6" w:rsidR="5736CD7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Irregular hours and part-year workers. Rolled-up holiday pay. </w:t>
      </w:r>
      <w:r w:rsidRPr="3BF793D6" w:rsidR="5736CD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Available at: </w:t>
      </w:r>
      <w:hyperlink r:id="R3d24218497b8425f">
        <w:r w:rsidRPr="3BF793D6" w:rsidR="5736CD7B">
          <w:rPr>
            <w:rStyle w:val="Hyperlink"/>
            <w:b w:val="0"/>
            <w:bCs w:val="0"/>
            <w:i w:val="0"/>
            <w:iCs w:val="0"/>
            <w:caps w:val="0"/>
            <w:smallCaps w:val="0"/>
            <w:noProof w:val="0"/>
            <w:lang w:val="en-GB"/>
          </w:rPr>
          <w:t>https://www.acas.org.uk/irregular-hours-and-part-year-workers/rolled-up-holiday-pay</w:t>
        </w:r>
      </w:hyperlink>
      <w:r w:rsidRPr="3BF793D6" w:rsidR="5736CD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07/05/2026)</w:t>
      </w:r>
    </w:p>
    <w:p w:rsidR="2B64BC0F" w:rsidP="3BF793D6" w:rsidRDefault="2B64BC0F" w14:paraId="5AB5A43F" w14:textId="472D62B2">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2B64BC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ACAS (2026e) Statutory maternity leave and pay. Eligibility for pay. Available at: </w:t>
      </w:r>
      <w:hyperlink r:id="Ra0ce073f3f184435">
        <w:r w:rsidRPr="3BF793D6" w:rsidR="2B64BC0F">
          <w:rPr>
            <w:rStyle w:val="Hyperlink"/>
            <w:b w:val="0"/>
            <w:bCs w:val="0"/>
            <w:i w:val="0"/>
            <w:iCs w:val="0"/>
            <w:caps w:val="0"/>
            <w:smallCaps w:val="0"/>
            <w:noProof w:val="0"/>
            <w:lang w:val="en-GB"/>
          </w:rPr>
          <w:t>https://www.acas.org.uk/statutory-maternity-leave-and-pay/eligibility-for-pay</w:t>
        </w:r>
      </w:hyperlink>
      <w:r w:rsidRPr="3BF793D6" w:rsidR="2B64BC0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10/05/2026)</w:t>
      </w:r>
    </w:p>
    <w:p w:rsidR="1E3B8A13" w:rsidP="3BF793D6" w:rsidRDefault="1E3B8A13" w14:paraId="5DDFD293" w14:textId="7E5E1779">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E3B8A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ACAS (2026f)</w:t>
      </w:r>
      <w:r w:rsidRPr="3BF793D6" w:rsidR="1E3B8A1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Shared parental leave and pay. Shared parental pay</w:t>
      </w:r>
      <w:r w:rsidRPr="3BF793D6" w:rsidR="1E3B8A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e6a84b4696b74c01">
        <w:r w:rsidRPr="3BF793D6" w:rsidR="1E3B8A13">
          <w:rPr>
            <w:rStyle w:val="Hyperlink"/>
            <w:b w:val="0"/>
            <w:bCs w:val="0"/>
            <w:i w:val="0"/>
            <w:iCs w:val="0"/>
            <w:caps w:val="0"/>
            <w:smallCaps w:val="0"/>
            <w:noProof w:val="0"/>
            <w:lang w:val="en-GB"/>
          </w:rPr>
          <w:t>https://www.acas.org.uk/shared-parental-leave-and-pay/shared-parental-pay</w:t>
        </w:r>
      </w:hyperlink>
      <w:r w:rsidRPr="3BF793D6" w:rsidR="1E3B8A1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10/05/2026)</w:t>
      </w:r>
    </w:p>
    <w:p w:rsidR="2013E7DC" w:rsidP="3BF793D6" w:rsidRDefault="2013E7DC" w14:paraId="444D0D2E" w14:textId="483AD740">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2013E7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ACAS (2026g)</w:t>
      </w:r>
      <w:r w:rsidRPr="3BF793D6" w:rsidR="2013E7D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Statutory flexible working requests. Considering a request</w:t>
      </w:r>
      <w:r w:rsidRPr="3BF793D6" w:rsidR="2013E7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f8ae51f2d5944f10">
        <w:r w:rsidRPr="3BF793D6" w:rsidR="2013E7DC">
          <w:rPr>
            <w:rStyle w:val="Hyperlink"/>
            <w:b w:val="0"/>
            <w:bCs w:val="0"/>
            <w:i w:val="0"/>
            <w:iCs w:val="0"/>
            <w:caps w:val="0"/>
            <w:smallCaps w:val="0"/>
            <w:noProof w:val="0"/>
            <w:lang w:val="en-GB"/>
          </w:rPr>
          <w:t>https://www.acas.org.uk/statutory-flexible-working-requests/considering-a-request</w:t>
        </w:r>
      </w:hyperlink>
      <w:r w:rsidRPr="3BF793D6" w:rsidR="2013E7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17/05/2026)</w:t>
      </w:r>
    </w:p>
    <w:p w:rsidR="18236E78" w:rsidP="3BF793D6" w:rsidRDefault="18236E78" w14:paraId="349F667C" w14:textId="7E8E1ECC">
      <w:p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Ali, L. (2022)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Equality,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diversity</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inclusion (EDI) in the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work place</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4224108391054a65">
        <w:r w:rsidRPr="3BF793D6" w:rsidR="18236E7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https://www.cipd.org/uk/knowledge/factsheets/diversity-factsheet/</w:t>
        </w:r>
      </w:hyperlink>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t>
      </w:r>
      <w:r w:rsidRPr="3BF793D6" w:rsidR="6D680E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w:t>
      </w:r>
      <w:r w:rsidRPr="3BF793D6" w:rsidR="6D680EE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20/04/2026)</w:t>
      </w:r>
    </w:p>
    <w:p w:rsidR="18236E78" w:rsidP="3BF793D6" w:rsidRDefault="18236E78" w14:paraId="22B11111" w14:textId="6F200373">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Armstrong, M. and Taylor, S. (2023)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Armstrong’s Handbook of Human Resource Management Practice</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16th edn. London: Kogan Page</w:t>
      </w:r>
    </w:p>
    <w:p w:rsidR="18236E78" w:rsidP="3BF793D6" w:rsidRDefault="18236E78" w14:paraId="7C4C2CD9" w14:textId="0706B093">
      <w:pPr>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CIPD (no date)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Employment status,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rights</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regulation</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3132e30f49cb43af">
        <w:r w:rsidRPr="3BF793D6" w:rsidR="18236E7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https://www.cipd.org/uk/views-and-insights/cipd-viewpoint/employment-status-rights/</w:t>
        </w:r>
      </w:hyperlink>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w:t>
      </w:r>
      <w:r w:rsidRPr="3BF793D6" w:rsidR="727A34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0/04/2026)</w:t>
      </w:r>
    </w:p>
    <w:p w:rsidR="5DB76DCE" w:rsidP="3BF793D6" w:rsidRDefault="5DB76DCE" w14:paraId="726CF7CD" w14:textId="338DF927">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DB76D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CIPD (2024) TUPE transfers: Guide for people professionals. Available at: </w:t>
      </w:r>
      <w:hyperlink r:id="Raa60c056ffcc4dd9">
        <w:r w:rsidRPr="3BF793D6" w:rsidR="5DB76DCE">
          <w:rPr>
            <w:rStyle w:val="Hyperlink"/>
            <w:b w:val="0"/>
            <w:bCs w:val="0"/>
            <w:i w:val="0"/>
            <w:iCs w:val="0"/>
            <w:caps w:val="0"/>
            <w:smallCaps w:val="0"/>
            <w:noProof w:val="0"/>
            <w:lang w:val="en-GB"/>
          </w:rPr>
          <w:t>https://www.cipd.org/uk/knowledge/guides/tupe-guide/</w:t>
        </w:r>
      </w:hyperlink>
      <w:r w:rsidRPr="3BF793D6" w:rsidR="5DB76D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46D2D9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5DB76D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w:t>
      </w:r>
      <w:r w:rsidRPr="3BF793D6" w:rsidR="5CDA7D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5DB76D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07/05/2026)</w:t>
      </w:r>
    </w:p>
    <w:p w:rsidR="63290ECE" w:rsidP="3BF793D6" w:rsidRDefault="63290ECE" w14:paraId="22F03FBE" w14:textId="7A9CD843">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3290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(2025</w:t>
      </w:r>
      <w:r w:rsidRPr="3BF793D6" w:rsidR="24DF39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3BF793D6" w:rsidR="63290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63290EC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UK Employment law and the EU</w:t>
      </w:r>
      <w:r w:rsidRPr="3BF793D6" w:rsidR="63290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233db31f6dbd45c1">
        <w:r w:rsidRPr="3BF793D6" w:rsidR="63290EC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https://www.cipd.org/uk/knowledge/employment-law/uk-employment-law-eu/</w:t>
        </w:r>
      </w:hyperlink>
      <w:r w:rsidRPr="3BF793D6" w:rsidR="63290ECE">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3BF793D6" w:rsidR="63290EC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20/04/2026)</w:t>
      </w:r>
    </w:p>
    <w:p w:rsidR="6824EDB7" w:rsidP="3BF793D6" w:rsidRDefault="6824EDB7" w14:paraId="79551723" w14:textId="18AE5033">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824ED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CIPD (2025b) </w:t>
      </w:r>
      <w:r w:rsidRPr="3BF793D6" w:rsidR="6824EDB7">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TUPE (transfer of undertakings): An introduction</w:t>
      </w:r>
      <w:r w:rsidRPr="3BF793D6" w:rsidR="6824ED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aeaaa6ef75d84b70">
        <w:r w:rsidRPr="3BF793D6" w:rsidR="6824EDB7">
          <w:rPr>
            <w:rStyle w:val="Hyperlink"/>
            <w:b w:val="0"/>
            <w:bCs w:val="0"/>
            <w:i w:val="0"/>
            <w:iCs w:val="0"/>
            <w:caps w:val="0"/>
            <w:smallCaps w:val="0"/>
            <w:noProof w:val="0"/>
            <w:lang w:val="en-GB"/>
          </w:rPr>
          <w:t>https://www.cipd.org/uk/knowledge/factsheets/tupe-factsheet/</w:t>
        </w:r>
      </w:hyperlink>
      <w:r w:rsidRPr="3BF793D6" w:rsidR="6824EDB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07/05/2026)</w:t>
      </w:r>
    </w:p>
    <w:p w:rsidR="3639BAA8" w:rsidP="3BF793D6" w:rsidRDefault="3639BAA8" w14:paraId="24EB39C9" w14:textId="64CC5466">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639BA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CIPD (2026a) </w:t>
      </w:r>
      <w:r w:rsidRPr="3BF793D6" w:rsidR="3639BAA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Equality, </w:t>
      </w:r>
      <w:r w:rsidRPr="3BF793D6" w:rsidR="3639BAA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diversity</w:t>
      </w:r>
      <w:r w:rsidRPr="3BF793D6" w:rsidR="3639BAA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inclusion (EDI) in the workplace.</w:t>
      </w:r>
      <w:r w:rsidRPr="3BF793D6" w:rsidR="3639BA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935850c417d14c39">
        <w:r w:rsidRPr="3BF793D6" w:rsidR="3639BAA8">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https://www.cipd.org/uk/knowledge/factsheets/diversity-factsheet/</w:t>
        </w:r>
      </w:hyperlink>
      <w:r w:rsidRPr="3BF793D6" w:rsidR="3639BAA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24/04/2026)</w:t>
      </w:r>
    </w:p>
    <w:p w:rsidR="291762AC" w:rsidP="3BF793D6" w:rsidRDefault="291762AC" w14:paraId="18598C40" w14:textId="773F8ED4">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291762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CIPD (2026b) </w:t>
      </w:r>
      <w:r w:rsidRPr="3BF793D6" w:rsidR="291762A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Equal pay: UK employment law</w:t>
      </w:r>
      <w:r w:rsidRPr="3BF793D6" w:rsidR="291762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8cbcdbce9ecf4710">
        <w:r w:rsidRPr="3BF793D6" w:rsidR="291762AC">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https://www.cipd.org/uk/knowledge/employment-law/equal-pay/</w:t>
        </w:r>
      </w:hyperlink>
      <w:r w:rsidRPr="3BF793D6" w:rsidR="291762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26/04/2026)</w:t>
      </w:r>
    </w:p>
    <w:p w:rsidR="25E827FB" w:rsidP="3BF793D6" w:rsidRDefault="25E827FB" w14:paraId="31F5F311" w14:textId="3D31C80A">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noProof w:val="0"/>
          <w:sz w:val="24"/>
          <w:szCs w:val="24"/>
          <w:lang w:val="en-GB"/>
        </w:rPr>
      </w:pPr>
      <w:r w:rsidRPr="3BF793D6" w:rsidR="25E827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CIPD (2026c) </w:t>
      </w:r>
      <w:r w:rsidRPr="3BF793D6" w:rsidR="25E827F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Dismissal procedures</w:t>
      </w:r>
      <w:r w:rsidRPr="3BF793D6" w:rsidR="25E827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2d3f17a2b69a411c">
        <w:r w:rsidRPr="3BF793D6" w:rsidR="25E827FB">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https://www.cipd.org/uk/knowledge/factsheets/dismissal-factsheet/#constructive-dismissal</w:t>
        </w:r>
      </w:hyperlink>
      <w:r w:rsidRPr="3BF793D6" w:rsidR="25E827F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30/04/2026)</w:t>
      </w:r>
    </w:p>
    <w:p w:rsidR="10AAF172" w:rsidP="3BF793D6" w:rsidRDefault="10AAF172" w14:paraId="2604E205" w14:textId="4C1E2204">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0AAF172">
        <w:rPr>
          <w:rFonts w:ascii="Aptos" w:hAnsi="Aptos" w:eastAsia="Aptos" w:cs="Aptos"/>
          <w:b w:val="0"/>
          <w:bCs w:val="0"/>
          <w:i w:val="0"/>
          <w:iCs w:val="0"/>
          <w:caps w:val="0"/>
          <w:smallCaps w:val="0"/>
          <w:noProof w:val="0"/>
          <w:color w:val="000000" w:themeColor="text1" w:themeTint="FF" w:themeShade="FF"/>
          <w:sz w:val="24"/>
          <w:szCs w:val="24"/>
          <w:lang w:val="en-GB"/>
        </w:rPr>
        <w:t xml:space="preserve">CIPD (2026d) </w:t>
      </w:r>
      <w:r w:rsidRPr="3BF793D6" w:rsidR="10AAF172">
        <w:rPr>
          <w:rFonts w:ascii="Aptos" w:hAnsi="Aptos" w:eastAsia="Aptos" w:cs="Aptos"/>
          <w:b w:val="0"/>
          <w:bCs w:val="0"/>
          <w:i w:val="1"/>
          <w:iCs w:val="1"/>
          <w:caps w:val="0"/>
          <w:smallCaps w:val="0"/>
          <w:noProof w:val="0"/>
          <w:color w:val="000000" w:themeColor="text1" w:themeTint="FF" w:themeShade="FF"/>
          <w:sz w:val="24"/>
          <w:szCs w:val="24"/>
          <w:lang w:val="en-GB"/>
        </w:rPr>
        <w:t>Redundancy: UK Employment law</w:t>
      </w:r>
      <w:r w:rsidRPr="3BF793D6" w:rsidR="10AAF172">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388c042a4da744a8">
        <w:r w:rsidRPr="3BF793D6" w:rsidR="10AAF172">
          <w:rPr>
            <w:rStyle w:val="Hyperlink"/>
            <w:b w:val="0"/>
            <w:bCs w:val="0"/>
            <w:i w:val="0"/>
            <w:iCs w:val="0"/>
            <w:caps w:val="0"/>
            <w:smallCaps w:val="0"/>
            <w:noProof w:val="0"/>
            <w:lang w:val="en-GB"/>
          </w:rPr>
          <w:t>https://www.cipd.org/uk/knowledge/employment-law/redundancy/</w:t>
        </w:r>
      </w:hyperlink>
      <w:r w:rsidRPr="3BF793D6" w:rsidR="10AAF17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15ED5A0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02/05/2026)</w:t>
      </w:r>
    </w:p>
    <w:p w:rsidR="3C68FD59" w:rsidP="3BF793D6" w:rsidRDefault="3C68FD59" w14:paraId="3F53471A" w14:textId="45D49659">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C68FD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CIPD (2026e) </w:t>
      </w:r>
      <w:r w:rsidRPr="3BF793D6" w:rsidR="3C68FD5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Working time: UK employment law</w:t>
      </w:r>
      <w:r w:rsidRPr="3BF793D6" w:rsidR="3C68FD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3C68FD59">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63c9a8d9f81b4f13">
        <w:r w:rsidRPr="3BF793D6" w:rsidR="3C68FD59">
          <w:rPr>
            <w:rStyle w:val="Hyperlink"/>
            <w:b w:val="0"/>
            <w:bCs w:val="0"/>
            <w:i w:val="0"/>
            <w:iCs w:val="0"/>
            <w:caps w:val="0"/>
            <w:smallCaps w:val="0"/>
            <w:noProof w:val="0"/>
            <w:lang w:val="en-GB"/>
          </w:rPr>
          <w:t>https://www.cipd.org/uk/knowledge/employment-law/working-time/</w:t>
        </w:r>
      </w:hyperlink>
      <w:r w:rsidRPr="3BF793D6" w:rsidR="3C68FD5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3C68FD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09/05/2026)</w:t>
      </w:r>
    </w:p>
    <w:p w:rsidR="65B26299" w:rsidP="3BF793D6" w:rsidRDefault="65B26299" w14:paraId="30E69A4D" w14:textId="603E142A">
      <w:pPr>
        <w:pStyle w:val="Normal"/>
        <w:spacing w:before="0" w:beforeAutospacing="off" w:after="160" w:afterAutospacing="off" w:line="257"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65B262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CIPD (2026f) Flexible working practices. </w:t>
      </w:r>
      <w:r w:rsidRPr="3BF793D6" w:rsidR="65B26299">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f0a0a83dcc1a48bc">
        <w:r w:rsidRPr="3BF793D6" w:rsidR="65B26299">
          <w:rPr>
            <w:rStyle w:val="Hyperlink"/>
            <w:b w:val="0"/>
            <w:bCs w:val="0"/>
            <w:i w:val="0"/>
            <w:iCs w:val="0"/>
            <w:caps w:val="0"/>
            <w:smallCaps w:val="0"/>
            <w:noProof w:val="0"/>
            <w:lang w:val="en-GB"/>
          </w:rPr>
          <w:t>https://www.cipd.org/uk/knowledge/factsheets/flexible-working-factsheet/</w:t>
        </w:r>
      </w:hyperlink>
      <w:r w:rsidRPr="3BF793D6" w:rsidR="65B2629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BF793D6" w:rsidR="65B262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15/05/2026)</w:t>
      </w:r>
    </w:p>
    <w:p w:rsidR="18236E78" w:rsidP="3BF793D6" w:rsidRDefault="18236E78" w14:paraId="2FCA77E1" w14:textId="00D34C32">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Daniels, K. (2022)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Introduction to Employment Law: Fundamentals for HR and Business Students</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6th edn. London: Kogan Page</w:t>
      </w:r>
    </w:p>
    <w:p w:rsidR="53D54841" w:rsidP="3BF793D6" w:rsidRDefault="53D54841" w14:paraId="75F1EB44" w14:textId="6B8C2060">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3D54841">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Employment: Code of practice</w:t>
      </w:r>
      <w:r w:rsidRPr="3BF793D6" w:rsidR="53D5484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(2015)</w:t>
      </w:r>
      <w:r w:rsidRPr="3BF793D6" w:rsidR="044995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a49c166425d44cf7">
        <w:r w:rsidRPr="3BF793D6" w:rsidR="0449959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https://www.equalityhumanrights.com/equality/equality-act-2010/codes-practice/employment-code-practice-0</w:t>
        </w:r>
      </w:hyperlink>
      <w:r w:rsidRPr="3BF793D6" w:rsidR="044995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23/04/2026)</w:t>
      </w:r>
    </w:p>
    <w:p w:rsidR="2ACB7A35" w:rsidP="3BF793D6" w:rsidRDefault="2ACB7A35" w14:paraId="5C8F3F7C" w14:textId="239FAEDD">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2ACB7A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Employment Relations (Flexible Working) Act (2023) Available at: </w:t>
      </w:r>
      <w:hyperlink r:id="R4779d032e1584ad2">
        <w:r w:rsidRPr="3BF793D6" w:rsidR="2ACB7A35">
          <w:rPr>
            <w:rStyle w:val="Hyperlink"/>
            <w:b w:val="0"/>
            <w:bCs w:val="0"/>
            <w:i w:val="0"/>
            <w:iCs w:val="0"/>
            <w:caps w:val="0"/>
            <w:smallCaps w:val="0"/>
            <w:noProof w:val="0"/>
            <w:lang w:val="en-GB"/>
          </w:rPr>
          <w:t>https://www.legislation.gov.uk/ukpga/2023/33</w:t>
        </w:r>
      </w:hyperlink>
      <w:r w:rsidRPr="3BF793D6" w:rsidR="2ACB7A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15/05/2026)</w:t>
      </w:r>
    </w:p>
    <w:p w:rsidR="26DA3FAD" w:rsidP="3BF793D6" w:rsidRDefault="26DA3FAD" w14:paraId="6372EB55" w14:textId="22737653">
      <w:pPr>
        <w:pStyle w:val="Normal"/>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26DA3FA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Employment Rights Act</w:t>
      </w:r>
      <w:r w:rsidRPr="3BF793D6" w:rsidR="26DA3F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(1996) Available at: </w:t>
      </w:r>
      <w:hyperlink r:id="R8be5a7f4b68544ab">
        <w:r w:rsidRPr="3BF793D6" w:rsidR="26DA3FA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https://www.legislation.gov.uk/ukpga/1996/18/contents</w:t>
        </w:r>
      </w:hyperlink>
      <w:r w:rsidRPr="3BF793D6" w:rsidR="26DA3F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27/04/2026)</w:t>
      </w:r>
    </w:p>
    <w:p w:rsidR="203D6EEE" w:rsidP="3BF793D6" w:rsidRDefault="203D6EEE" w14:paraId="4D4C840B" w14:textId="087D15F8">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203D6EE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European Union (Withdrawal) Act </w:t>
      </w:r>
      <w:r w:rsidRPr="3BF793D6" w:rsidR="203D6E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(2018) Available at: </w:t>
      </w:r>
      <w:hyperlink r:id="R5157f8b7f16f44c9">
        <w:r w:rsidRPr="3BF793D6" w:rsidR="203D6EE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https://www.legislation.gov.uk/ukpga/2018/16/contents</w:t>
        </w:r>
      </w:hyperlink>
      <w:r w:rsidRPr="3BF793D6" w:rsidR="203D6E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21/04/2026)</w:t>
      </w:r>
    </w:p>
    <w:p w:rsidR="57055E4F" w:rsidP="3BF793D6" w:rsidRDefault="57055E4F" w14:paraId="70CFC98D" w14:textId="6692006E">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7055E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Gregory v Royal Mail Group Ltd (2017)</w:t>
      </w:r>
      <w:r w:rsidRPr="3BF793D6" w:rsidR="57055E4F">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Employment Tribunals </w:t>
      </w:r>
      <w:r w:rsidRPr="3BF793D6" w:rsidR="57055E4F">
        <w:rPr>
          <w:rFonts w:ascii="Aptos" w:hAnsi="Aptos" w:eastAsia="Aptos" w:cs="Aptos" w:asciiTheme="minorAscii" w:hAnsiTheme="minorAscii" w:eastAsiaTheme="minorAscii" w:cstheme="minorAscii"/>
          <w:i w:val="1"/>
          <w:iCs w:val="1"/>
          <w:noProof w:val="0"/>
          <w:sz w:val="24"/>
          <w:szCs w:val="24"/>
          <w:lang w:val="en-GB"/>
        </w:rPr>
        <w:t>Case No. 2402587/2016</w:t>
      </w:r>
      <w:r w:rsidRPr="3BF793D6" w:rsidR="57055E4F">
        <w:rPr>
          <w:rFonts w:ascii="Aptos" w:hAnsi="Aptos" w:eastAsia="Aptos" w:cs="Aptos" w:asciiTheme="minorAscii" w:hAnsiTheme="minorAscii" w:eastAsiaTheme="minorAscii" w:cstheme="minorAscii"/>
          <w:noProof w:val="0"/>
          <w:sz w:val="24"/>
          <w:szCs w:val="24"/>
          <w:lang w:val="en-GB"/>
        </w:rPr>
        <w:t xml:space="preserve">. Available at: </w:t>
      </w:r>
      <w:hyperlink r:id="Rf560991a55364ce8">
        <w:r w:rsidRPr="3BF793D6" w:rsidR="57055E4F">
          <w:rPr>
            <w:rStyle w:val="Hyperlink"/>
            <w:rFonts w:ascii="Aptos" w:hAnsi="Aptos" w:eastAsia="Aptos" w:cs="Aptos" w:asciiTheme="minorAscii" w:hAnsiTheme="minorAscii" w:eastAsiaTheme="minorAscii" w:cstheme="minorAscii"/>
            <w:noProof w:val="0"/>
            <w:sz w:val="24"/>
            <w:szCs w:val="24"/>
            <w:lang w:val="en-GB"/>
          </w:rPr>
          <w:t>https://assets.publishing.service.gov.uk/media/5912f99040f0b638b000000d/Mr_A_Gregory_v_Royal_Mail_Group_Ltd_24025872016_Final.pdf</w:t>
        </w:r>
      </w:hyperlink>
      <w:r w:rsidRPr="3BF793D6" w:rsidR="57055E4F">
        <w:rPr>
          <w:rFonts w:ascii="Aptos" w:hAnsi="Aptos" w:eastAsia="Aptos" w:cs="Aptos" w:asciiTheme="minorAscii" w:hAnsiTheme="minorAscii" w:eastAsiaTheme="minorAscii" w:cstheme="minorAscii"/>
          <w:noProof w:val="0"/>
          <w:sz w:val="24"/>
          <w:szCs w:val="24"/>
          <w:lang w:val="en-GB"/>
        </w:rPr>
        <w:t xml:space="preserve">  </w:t>
      </w:r>
      <w:r w:rsidRPr="3BF793D6" w:rsidR="57055E4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27/04/2026)</w:t>
      </w:r>
    </w:p>
    <w:p w:rsidR="5AACF55B" w:rsidP="3BF793D6" w:rsidRDefault="5AACF55B" w14:paraId="2387B0F2" w14:textId="7D4AA440">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AACF5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GOV (2025) </w:t>
      </w:r>
      <w:r w:rsidRPr="3BF793D6" w:rsidR="5AACF55B">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Redundancy payments: HR1 form - advance notification of redundancies</w:t>
      </w:r>
      <w:r w:rsidRPr="3BF793D6" w:rsidR="5AACF5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61316c7b728c4d6e">
        <w:r w:rsidRPr="3BF793D6" w:rsidR="5AACF55B">
          <w:rPr>
            <w:rStyle w:val="Hyperlink"/>
            <w:b w:val="0"/>
            <w:bCs w:val="0"/>
            <w:i w:val="0"/>
            <w:iCs w:val="0"/>
            <w:caps w:val="0"/>
            <w:smallCaps w:val="0"/>
            <w:noProof w:val="0"/>
            <w:lang w:val="en-GB"/>
          </w:rPr>
          <w:t>https://www.gov.uk/government/publications/redundancy-payments-form-hr1-advance-notification-of-redundancies</w:t>
        </w:r>
      </w:hyperlink>
      <w:r w:rsidRPr="3BF793D6" w:rsidR="5AACF5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05/05/2026)</w:t>
      </w:r>
    </w:p>
    <w:p w:rsidR="3035D1A0" w:rsidP="3BF793D6" w:rsidRDefault="3035D1A0" w14:paraId="39A84A85" w14:textId="2524F08D">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3035D1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GOV (</w:t>
      </w:r>
      <w:r w:rsidRPr="3BF793D6" w:rsidR="690CCF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3BF793D6" w:rsidR="3035D1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 </w:t>
      </w:r>
      <w:r w:rsidRPr="3BF793D6" w:rsidR="3035D1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dateA</w:t>
      </w:r>
      <w:r w:rsidRPr="3BF793D6" w:rsidR="3035D1A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45C3713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Maternity pay and leave</w:t>
      </w:r>
      <w:r w:rsidRPr="3BF793D6" w:rsidR="45C371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b6fbf4c213d447d6">
        <w:r w:rsidRPr="3BF793D6" w:rsidR="74996A5E">
          <w:rPr>
            <w:rStyle w:val="Hyperlink"/>
            <w:b w:val="0"/>
            <w:bCs w:val="0"/>
            <w:i w:val="0"/>
            <w:iCs w:val="0"/>
            <w:caps w:val="0"/>
            <w:smallCaps w:val="0"/>
            <w:noProof w:val="0"/>
            <w:lang w:val="en-GB"/>
          </w:rPr>
          <w:t>https://www.gov.uk/maternity-pay-leave</w:t>
        </w:r>
      </w:hyperlink>
      <w:r w:rsidRPr="3BF793D6" w:rsidR="74996A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45C371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10/05/2026)</w:t>
      </w:r>
    </w:p>
    <w:p w:rsidR="45C37132" w:rsidP="3BF793D6" w:rsidRDefault="45C37132" w14:paraId="0C91330F" w14:textId="24B2C8F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5C371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GOV (</w:t>
      </w:r>
      <w:r w:rsidRPr="3BF793D6" w:rsidR="46AB7C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3BF793D6" w:rsidR="45C371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3BF793D6" w:rsidR="4D0446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4D0446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dateB</w:t>
      </w:r>
      <w:r w:rsidRPr="3BF793D6" w:rsidR="4D0446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Shared Parental Leave and Pay. Available at: </w:t>
      </w:r>
      <w:hyperlink r:id="R791632aae5b04495">
        <w:r w:rsidRPr="3BF793D6" w:rsidR="4F123393">
          <w:rPr>
            <w:rStyle w:val="Hyperlink"/>
            <w:b w:val="0"/>
            <w:bCs w:val="0"/>
            <w:i w:val="0"/>
            <w:iCs w:val="0"/>
            <w:caps w:val="0"/>
            <w:smallCaps w:val="0"/>
            <w:noProof w:val="0"/>
            <w:lang w:val="en-GB"/>
          </w:rPr>
          <w:t>https://www.gov.uk/shared-parental-leave-and-pay</w:t>
        </w:r>
      </w:hyperlink>
      <w:r w:rsidRPr="3BF793D6" w:rsidR="4F12339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4D04469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10/05/2026)</w:t>
      </w:r>
    </w:p>
    <w:p w:rsidR="0EEC95CC" w:rsidP="3BF793D6" w:rsidRDefault="0EEC95CC" w14:paraId="3C4EDB8F" w14:textId="54999F52">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0EEC95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GOV (no </w:t>
      </w:r>
      <w:r w:rsidRPr="3BF793D6" w:rsidR="0EEC95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datedC</w:t>
      </w:r>
      <w:r w:rsidRPr="3BF793D6" w:rsidR="0EEC95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0EEC95C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Flexible working</w:t>
      </w:r>
      <w:r w:rsidRPr="3BF793D6" w:rsidR="0EEC95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791a747a0be14c0a">
        <w:r w:rsidRPr="3BF793D6" w:rsidR="0EEC95CC">
          <w:rPr>
            <w:rStyle w:val="Hyperlink"/>
            <w:b w:val="0"/>
            <w:bCs w:val="0"/>
            <w:i w:val="0"/>
            <w:iCs w:val="0"/>
            <w:caps w:val="0"/>
            <w:smallCaps w:val="0"/>
            <w:noProof w:val="0"/>
            <w:lang w:val="en-GB"/>
          </w:rPr>
          <w:t>https://www.gov.uk/flexible-working</w:t>
        </w:r>
      </w:hyperlink>
      <w:r w:rsidRPr="3BF793D6" w:rsidR="0EEC95C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15/05/2026)</w:t>
      </w:r>
    </w:p>
    <w:p w:rsidR="5B1C0C8D" w:rsidP="3BF793D6" w:rsidRDefault="5B1C0C8D" w14:paraId="0E939E13" w14:textId="2636B3DD">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B1C0C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Hart v St Mary’s School (Colchester) (2015), </w:t>
      </w:r>
      <w:r w:rsidRPr="3BF793D6" w:rsidR="5B1C0C8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Employment Appeal Tribunal, </w:t>
      </w:r>
      <w:r w:rsidRPr="3BF793D6" w:rsidR="5B1C0C8D">
        <w:rPr>
          <w:rFonts w:ascii="Aptos" w:hAnsi="Aptos" w:eastAsia="Aptos" w:cs="Aptos" w:asciiTheme="minorAscii" w:hAnsiTheme="minorAscii" w:eastAsiaTheme="minorAscii" w:cstheme="minorAscii"/>
          <w:i w:val="1"/>
          <w:iCs w:val="1"/>
          <w:noProof w:val="0"/>
          <w:sz w:val="24"/>
          <w:szCs w:val="24"/>
          <w:lang w:val="en-GB"/>
        </w:rPr>
        <w:t>Appeal No. UKEAT/0305/14/DM</w:t>
      </w:r>
      <w:r w:rsidRPr="3BF793D6" w:rsidR="5B1C0C8D">
        <w:rPr>
          <w:rFonts w:ascii="Aptos" w:hAnsi="Aptos" w:eastAsia="Aptos" w:cs="Aptos" w:asciiTheme="minorAscii" w:hAnsiTheme="minorAscii" w:eastAsiaTheme="minorAscii" w:cstheme="minorAscii"/>
          <w:noProof w:val="0"/>
          <w:sz w:val="24"/>
          <w:szCs w:val="24"/>
          <w:lang w:val="en-GB"/>
        </w:rPr>
        <w:t xml:space="preserve"> </w:t>
      </w:r>
      <w:r w:rsidRPr="3BF793D6" w:rsidR="5F7DAD92">
        <w:rPr>
          <w:rFonts w:ascii="Aptos" w:hAnsi="Aptos" w:eastAsia="Aptos" w:cs="Aptos" w:asciiTheme="minorAscii" w:hAnsiTheme="minorAscii" w:eastAsiaTheme="minorAscii" w:cstheme="minorAscii"/>
          <w:noProof w:val="0"/>
          <w:sz w:val="24"/>
          <w:szCs w:val="24"/>
          <w:lang w:val="en-GB"/>
        </w:rPr>
        <w:t xml:space="preserve">Available at: </w:t>
      </w:r>
      <w:hyperlink r:id="R2a2a9a6fdbff4623">
        <w:r w:rsidRPr="3BF793D6" w:rsidR="5F7DAD92">
          <w:rPr>
            <w:rStyle w:val="Hyperlink"/>
            <w:rFonts w:ascii="Aptos" w:hAnsi="Aptos" w:eastAsia="Aptos" w:cs="Aptos" w:asciiTheme="minorAscii" w:hAnsiTheme="minorAscii" w:eastAsiaTheme="minorAscii" w:cstheme="minorAscii"/>
            <w:noProof w:val="0"/>
            <w:sz w:val="24"/>
            <w:szCs w:val="24"/>
            <w:lang w:val="en-GB"/>
          </w:rPr>
          <w:t>https://assets.publishing.service.gov.uk/media/59b134afe5274a180b403e1f/Mrs_D_Hart_v_St_Mary_s_School__Colchester__Ltd_EAT_0305_14__DM.pdf</w:t>
        </w:r>
      </w:hyperlink>
      <w:r w:rsidRPr="3BF793D6" w:rsidR="5F7DAD92">
        <w:rPr>
          <w:rFonts w:ascii="Aptos" w:hAnsi="Aptos" w:eastAsia="Aptos" w:cs="Aptos" w:asciiTheme="minorAscii" w:hAnsiTheme="minorAscii" w:eastAsiaTheme="minorAscii" w:cstheme="minorAscii"/>
          <w:noProof w:val="0"/>
          <w:sz w:val="24"/>
          <w:szCs w:val="24"/>
          <w:lang w:val="en-GB"/>
        </w:rPr>
        <w:t xml:space="preserve"> </w:t>
      </w:r>
      <w:r w:rsidRPr="3BF793D6" w:rsidR="5F7DAD9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27/04/2026)</w:t>
      </w:r>
    </w:p>
    <w:p w:rsidR="24A0CC28" w:rsidP="3BF793D6" w:rsidRDefault="24A0CC28" w14:paraId="3338B533" w14:textId="74CBE611">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24A0CC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Landy, M C (2017) </w:t>
      </w:r>
      <w:r w:rsidRPr="3BF793D6" w:rsidR="24A0CC2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Constructive dismissal: a guide for employers</w:t>
      </w:r>
      <w:r w:rsidRPr="3BF793D6" w:rsidR="24A0CC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966daa277a664a6f">
        <w:r w:rsidRPr="3BF793D6" w:rsidR="24A0CC28">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https://www.peoplemanagement.co.uk/article/1743377/constructive-dismissal-guide</w:t>
        </w:r>
      </w:hyperlink>
      <w:r w:rsidRPr="3BF793D6" w:rsidR="24A0CC2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01/05/2026)</w:t>
      </w:r>
    </w:p>
    <w:p w:rsidR="01BA872A" w:rsidP="3BF793D6" w:rsidRDefault="01BA872A" w14:paraId="54749A9D" w14:textId="08200FFA">
      <w:p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GB"/>
        </w:rPr>
      </w:pPr>
      <w:r w:rsidRPr="3BF793D6" w:rsidR="01BA87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Lewis, D., Sargeant, M. and Schwab, B. (2023) </w:t>
      </w:r>
      <w:r w:rsidRPr="3BF793D6" w:rsidR="01BA872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Employment law: the essentials</w:t>
      </w:r>
      <w:r w:rsidRPr="3BF793D6" w:rsidR="01BA87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16th </w:t>
      </w:r>
      <w:r w:rsidRPr="3BF793D6" w:rsidR="01BA87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edn</w:t>
      </w:r>
      <w:r w:rsidRPr="3BF793D6" w:rsidR="01BA87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London: Kogan Page.</w:t>
      </w:r>
    </w:p>
    <w:p w:rsidR="18236E78" w:rsidP="3BF793D6" w:rsidRDefault="18236E78" w14:paraId="70EBFD0E" w14:textId="13425B75">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People Management article on future employment law expectations</w:t>
      </w:r>
      <w:r w:rsidRPr="3BF793D6" w:rsidR="7C31CF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(2025)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Employment law: what to expect in 2025</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03407154b7794547">
        <w:r w:rsidRPr="3BF793D6" w:rsidR="18236E7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https://www.peoplemanagement.co.uk/article/1901051/employment-law-expect-2025</w:t>
        </w:r>
      </w:hyperlink>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18</w:t>
      </w:r>
      <w:r w:rsidRPr="3BF793D6" w:rsidR="40E425A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/04/</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2026).</w:t>
      </w:r>
    </w:p>
    <w:p w:rsidR="3AC34A29" w:rsidP="3BF793D6" w:rsidRDefault="3AC34A29" w14:paraId="33621303" w14:textId="37F00E98">
      <w:pPr>
        <w:spacing w:before="240" w:beforeAutospacing="off" w:after="240" w:afterAutospacing="off"/>
        <w:jc w:val="left"/>
        <w:rPr>
          <w:rFonts w:ascii="Aptos" w:hAnsi="Aptos" w:eastAsia="Aptos" w:cs="Aptos" w:asciiTheme="minorAscii" w:hAnsiTheme="minorAscii" w:eastAsiaTheme="minorAscii" w:cstheme="minorAscii"/>
          <w:noProof w:val="0"/>
          <w:sz w:val="24"/>
          <w:szCs w:val="24"/>
          <w:lang w:val="en-GB"/>
        </w:rPr>
      </w:pPr>
      <w:r w:rsidRPr="3BF793D6" w:rsidR="3AC34A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Taylor, S. and Woodhams, C. (2022) </w:t>
      </w:r>
      <w:r w:rsidRPr="3BF793D6" w:rsidR="3AC34A2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Human resource management: people and organisations</w:t>
      </w:r>
      <w:r w:rsidRPr="3BF793D6" w:rsidR="3AC34A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3rd </w:t>
      </w:r>
      <w:r w:rsidRPr="3BF793D6" w:rsidR="3AC34A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edn</w:t>
      </w:r>
      <w:r w:rsidRPr="3BF793D6" w:rsidR="3AC34A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London: Kogan Page.</w:t>
      </w:r>
    </w:p>
    <w:p w:rsidR="18236E78" w:rsidP="3BF793D6" w:rsidRDefault="18236E78" w14:paraId="1067F05A" w14:textId="3C81089F">
      <w:pPr>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w:t>
      </w:r>
      <w:r w:rsidRPr="3BF793D6" w:rsidR="7748AD5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3BF793D6" w:rsidR="18236E7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Equality Act</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(2010) Available at: </w:t>
      </w:r>
      <w:hyperlink r:id="R081489923606411e">
        <w:r w:rsidRPr="3BF793D6" w:rsidR="18236E78">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lang w:val="en-GB"/>
          </w:rPr>
          <w:t>https://www.legislation.gov.uk/ukpga/2010/15/contents</w:t>
        </w:r>
      </w:hyperlink>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w:t>
      </w:r>
      <w:r w:rsidRPr="3BF793D6" w:rsidR="79B98E8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18236E7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21/04/2026)</w:t>
      </w:r>
    </w:p>
    <w:p w:rsidR="73E04DE2" w:rsidP="3BF793D6" w:rsidRDefault="73E04DE2" w14:paraId="35196E75" w14:textId="6EABC513">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73E04DE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The Working Time Regulations </w:t>
      </w:r>
      <w:r w:rsidRPr="3BF793D6" w:rsidR="2D91BAA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3BF793D6" w:rsidR="73E04D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1998</w:t>
      </w:r>
      <w:r w:rsidRPr="3BF793D6" w:rsidR="7EFE21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F793D6" w:rsidR="73E04D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b00c2fffef4347f3">
        <w:r w:rsidRPr="3BF793D6" w:rsidR="73E04DE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https://www.legislation.gov.uk/uksi/1998/1833/contents</w:t>
        </w:r>
      </w:hyperlink>
      <w:r w:rsidRPr="3BF793D6" w:rsidR="73E04D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21/04/2026)</w:t>
      </w:r>
    </w:p>
    <w:p w:rsidR="55CFA348" w:rsidP="3BF793D6" w:rsidRDefault="55CFA348" w14:paraId="26732A7F" w14:textId="599C0F67">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55CFA34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Trade Union and Labour Relations (Consolidation) Act </w:t>
      </w:r>
      <w:r w:rsidRPr="3BF793D6" w:rsidR="55CFA3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(1992) Available at: </w:t>
      </w:r>
      <w:hyperlink r:id="Rf29541e40adb47a7">
        <w:r w:rsidRPr="3BF793D6" w:rsidR="55CFA348">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https://www.legislation.gov.uk/ukpga/1992/52/contents</w:t>
        </w:r>
      </w:hyperlink>
      <w:r w:rsidRPr="3BF793D6" w:rsidR="55CFA3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F793D6" w:rsidR="7C1FA1E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02/05/2026)</w:t>
      </w:r>
    </w:p>
    <w:p w:rsidR="4A1D925B" w:rsidP="3BF793D6" w:rsidRDefault="4A1D925B" w14:paraId="422D8F3F" w14:textId="2F8F219A">
      <w:pPr>
        <w:pStyle w:val="Normal"/>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F793D6" w:rsidR="4A1D925B">
        <w:rPr>
          <w:rFonts w:ascii="Aptos" w:hAnsi="Aptos" w:eastAsia="Aptos" w:cs="Aptos" w:asciiTheme="minorAscii" w:hAnsiTheme="minorAscii" w:eastAsiaTheme="minorAscii" w:cstheme="minorAscii"/>
          <w:i w:val="1"/>
          <w:iCs w:val="1"/>
          <w:sz w:val="24"/>
          <w:szCs w:val="24"/>
        </w:rPr>
        <w:t>Working time Directive</w:t>
      </w:r>
      <w:r w:rsidRPr="3BF793D6" w:rsidR="4A1D925B">
        <w:rPr>
          <w:rFonts w:ascii="Aptos" w:hAnsi="Aptos" w:eastAsia="Aptos" w:cs="Aptos" w:asciiTheme="minorAscii" w:hAnsiTheme="minorAscii" w:eastAsiaTheme="minorAscii" w:cstheme="minorAscii"/>
          <w:sz w:val="24"/>
          <w:szCs w:val="24"/>
        </w:rPr>
        <w:t xml:space="preserve"> (no date) Available at: </w:t>
      </w:r>
      <w:hyperlink r:id="R52484b09736d47f1">
        <w:r w:rsidRPr="3BF793D6" w:rsidR="4A1D925B">
          <w:rPr>
            <w:rStyle w:val="Hyperlink"/>
            <w:rFonts w:ascii="Aptos" w:hAnsi="Aptos" w:eastAsia="Aptos" w:cs="Aptos" w:asciiTheme="minorAscii" w:hAnsiTheme="minorAscii" w:eastAsiaTheme="minorAscii" w:cstheme="minorAscii"/>
            <w:sz w:val="24"/>
            <w:szCs w:val="24"/>
          </w:rPr>
          <w:t>https://employment-social-affairs.ec.europa.eu/policies-and-activities/rights-work/labour-law/working-conditions/working-time-directive_en</w:t>
        </w:r>
      </w:hyperlink>
      <w:r w:rsidRPr="3BF793D6" w:rsidR="4A1D925B">
        <w:rPr>
          <w:rFonts w:ascii="Aptos" w:hAnsi="Aptos" w:eastAsia="Aptos" w:cs="Aptos" w:asciiTheme="minorAscii" w:hAnsiTheme="minorAscii" w:eastAsiaTheme="minorAscii" w:cstheme="minorAscii"/>
          <w:sz w:val="24"/>
          <w:szCs w:val="24"/>
        </w:rPr>
        <w:t xml:space="preserve"> </w:t>
      </w:r>
      <w:r w:rsidRPr="3BF793D6" w:rsidR="4A1D92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(Accessed: 21/04/2026)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7656F7"/>
    <w:rsid w:val="016381D9"/>
    <w:rsid w:val="01A60B61"/>
    <w:rsid w:val="01BA872A"/>
    <w:rsid w:val="022BFA9A"/>
    <w:rsid w:val="0295340C"/>
    <w:rsid w:val="036E0CCB"/>
    <w:rsid w:val="0449959C"/>
    <w:rsid w:val="060FE4D1"/>
    <w:rsid w:val="063DB27B"/>
    <w:rsid w:val="070614D4"/>
    <w:rsid w:val="07C25D41"/>
    <w:rsid w:val="080EBEFD"/>
    <w:rsid w:val="08340F9B"/>
    <w:rsid w:val="08489A18"/>
    <w:rsid w:val="0850E00D"/>
    <w:rsid w:val="099CAE7F"/>
    <w:rsid w:val="09F47372"/>
    <w:rsid w:val="0A1592D6"/>
    <w:rsid w:val="0A7E7EA1"/>
    <w:rsid w:val="0BB68002"/>
    <w:rsid w:val="0C5C435D"/>
    <w:rsid w:val="0D5AEFF4"/>
    <w:rsid w:val="0DC34FF4"/>
    <w:rsid w:val="0E6C701E"/>
    <w:rsid w:val="0E7656F7"/>
    <w:rsid w:val="0EEC95CC"/>
    <w:rsid w:val="0F132B10"/>
    <w:rsid w:val="1098C7A0"/>
    <w:rsid w:val="10AAF172"/>
    <w:rsid w:val="135F57BE"/>
    <w:rsid w:val="136CCEE5"/>
    <w:rsid w:val="137E7757"/>
    <w:rsid w:val="1438B4BC"/>
    <w:rsid w:val="14BBB4EA"/>
    <w:rsid w:val="14DC4843"/>
    <w:rsid w:val="15C0F67D"/>
    <w:rsid w:val="15E386A0"/>
    <w:rsid w:val="15ED5A00"/>
    <w:rsid w:val="16804418"/>
    <w:rsid w:val="177A5502"/>
    <w:rsid w:val="180DBAAD"/>
    <w:rsid w:val="18236E78"/>
    <w:rsid w:val="18F13EE8"/>
    <w:rsid w:val="1944E2A3"/>
    <w:rsid w:val="1A1BA3D8"/>
    <w:rsid w:val="1B37B223"/>
    <w:rsid w:val="1BEECD73"/>
    <w:rsid w:val="1CCE4B12"/>
    <w:rsid w:val="1D5AA5DD"/>
    <w:rsid w:val="1DC9647E"/>
    <w:rsid w:val="1E394730"/>
    <w:rsid w:val="1E3B8A13"/>
    <w:rsid w:val="1EDE6A1A"/>
    <w:rsid w:val="1EE6C748"/>
    <w:rsid w:val="1F23E39E"/>
    <w:rsid w:val="1FE3F422"/>
    <w:rsid w:val="2013E7DC"/>
    <w:rsid w:val="203D6EEE"/>
    <w:rsid w:val="208F9A5F"/>
    <w:rsid w:val="221894DA"/>
    <w:rsid w:val="233B3903"/>
    <w:rsid w:val="236DFFFD"/>
    <w:rsid w:val="2381C597"/>
    <w:rsid w:val="23A91AD9"/>
    <w:rsid w:val="23F426CD"/>
    <w:rsid w:val="24A0CC28"/>
    <w:rsid w:val="24DF3954"/>
    <w:rsid w:val="24E25CDA"/>
    <w:rsid w:val="2587D9CB"/>
    <w:rsid w:val="25E827FB"/>
    <w:rsid w:val="26813CEC"/>
    <w:rsid w:val="26DA3FAD"/>
    <w:rsid w:val="27CCAAD4"/>
    <w:rsid w:val="284B75F3"/>
    <w:rsid w:val="28F279C7"/>
    <w:rsid w:val="291762AC"/>
    <w:rsid w:val="29EB1DE3"/>
    <w:rsid w:val="2A26C3B0"/>
    <w:rsid w:val="2ACB7A35"/>
    <w:rsid w:val="2B64BC0F"/>
    <w:rsid w:val="2C1C59B0"/>
    <w:rsid w:val="2CB21353"/>
    <w:rsid w:val="2D7161E6"/>
    <w:rsid w:val="2D91BAA3"/>
    <w:rsid w:val="2DD69B66"/>
    <w:rsid w:val="2E9567F0"/>
    <w:rsid w:val="2ED54103"/>
    <w:rsid w:val="3035D1A0"/>
    <w:rsid w:val="30AB2F61"/>
    <w:rsid w:val="316A32D0"/>
    <w:rsid w:val="318AE48A"/>
    <w:rsid w:val="31960B1A"/>
    <w:rsid w:val="31B88BF7"/>
    <w:rsid w:val="332860C1"/>
    <w:rsid w:val="3388208B"/>
    <w:rsid w:val="33CFF87B"/>
    <w:rsid w:val="341E335A"/>
    <w:rsid w:val="3475B0C4"/>
    <w:rsid w:val="34D78C30"/>
    <w:rsid w:val="35437F6A"/>
    <w:rsid w:val="3639BAA8"/>
    <w:rsid w:val="3687510C"/>
    <w:rsid w:val="36BEDA32"/>
    <w:rsid w:val="3722C0E1"/>
    <w:rsid w:val="3769DFAC"/>
    <w:rsid w:val="3799ABBB"/>
    <w:rsid w:val="3990E545"/>
    <w:rsid w:val="3A1D72E3"/>
    <w:rsid w:val="3A34413E"/>
    <w:rsid w:val="3A6DF3BC"/>
    <w:rsid w:val="3AC34A29"/>
    <w:rsid w:val="3B9503A0"/>
    <w:rsid w:val="3BA50350"/>
    <w:rsid w:val="3BB2B0A8"/>
    <w:rsid w:val="3BF793D6"/>
    <w:rsid w:val="3C68FD59"/>
    <w:rsid w:val="3CC46181"/>
    <w:rsid w:val="405A67DD"/>
    <w:rsid w:val="4083CDA0"/>
    <w:rsid w:val="40E425A7"/>
    <w:rsid w:val="40FBA504"/>
    <w:rsid w:val="410020A9"/>
    <w:rsid w:val="4139C6DB"/>
    <w:rsid w:val="41C48951"/>
    <w:rsid w:val="420AC629"/>
    <w:rsid w:val="42253828"/>
    <w:rsid w:val="4305685C"/>
    <w:rsid w:val="4423E4A4"/>
    <w:rsid w:val="444A3E84"/>
    <w:rsid w:val="45672A07"/>
    <w:rsid w:val="45C37132"/>
    <w:rsid w:val="466F0059"/>
    <w:rsid w:val="46AB7C59"/>
    <w:rsid w:val="46D2D9E0"/>
    <w:rsid w:val="48A36F26"/>
    <w:rsid w:val="48A812C1"/>
    <w:rsid w:val="49A2DCBF"/>
    <w:rsid w:val="4A1D925B"/>
    <w:rsid w:val="4A22FC68"/>
    <w:rsid w:val="4A29718B"/>
    <w:rsid w:val="4BBAD498"/>
    <w:rsid w:val="4CB39D89"/>
    <w:rsid w:val="4D044691"/>
    <w:rsid w:val="4DA179ED"/>
    <w:rsid w:val="4DAA57C8"/>
    <w:rsid w:val="4DE57325"/>
    <w:rsid w:val="4F0DC83C"/>
    <w:rsid w:val="4F123393"/>
    <w:rsid w:val="4F76644C"/>
    <w:rsid w:val="4F899623"/>
    <w:rsid w:val="4F9F523A"/>
    <w:rsid w:val="4FD0D48D"/>
    <w:rsid w:val="4FE3C200"/>
    <w:rsid w:val="50020214"/>
    <w:rsid w:val="50C7A46D"/>
    <w:rsid w:val="5131D044"/>
    <w:rsid w:val="51C92E58"/>
    <w:rsid w:val="52176672"/>
    <w:rsid w:val="5219B53D"/>
    <w:rsid w:val="53192EB2"/>
    <w:rsid w:val="53BDB437"/>
    <w:rsid w:val="53CD86F2"/>
    <w:rsid w:val="53D54841"/>
    <w:rsid w:val="5423BBED"/>
    <w:rsid w:val="549287B0"/>
    <w:rsid w:val="54E1D4FC"/>
    <w:rsid w:val="55CFA348"/>
    <w:rsid w:val="564DF825"/>
    <w:rsid w:val="565A3739"/>
    <w:rsid w:val="56CD6446"/>
    <w:rsid w:val="57055E4F"/>
    <w:rsid w:val="5736CD7B"/>
    <w:rsid w:val="5782E23E"/>
    <w:rsid w:val="578C1450"/>
    <w:rsid w:val="57B0532C"/>
    <w:rsid w:val="5885F41E"/>
    <w:rsid w:val="59407D74"/>
    <w:rsid w:val="59BC6C89"/>
    <w:rsid w:val="59D3C325"/>
    <w:rsid w:val="5A065CB0"/>
    <w:rsid w:val="5AACF55B"/>
    <w:rsid w:val="5B1C0C8D"/>
    <w:rsid w:val="5B35FDAD"/>
    <w:rsid w:val="5B99E4C6"/>
    <w:rsid w:val="5C72E517"/>
    <w:rsid w:val="5CAFBDC9"/>
    <w:rsid w:val="5CD90038"/>
    <w:rsid w:val="5CDA7D17"/>
    <w:rsid w:val="5D7C5987"/>
    <w:rsid w:val="5DB76DCE"/>
    <w:rsid w:val="5DDA9493"/>
    <w:rsid w:val="5E7A0F04"/>
    <w:rsid w:val="5EC8F209"/>
    <w:rsid w:val="5ECEF6F3"/>
    <w:rsid w:val="5F7DAD92"/>
    <w:rsid w:val="5FD45D94"/>
    <w:rsid w:val="60BFD194"/>
    <w:rsid w:val="626297C0"/>
    <w:rsid w:val="6285B7CD"/>
    <w:rsid w:val="62D0B0D7"/>
    <w:rsid w:val="62E4CD00"/>
    <w:rsid w:val="6319D44C"/>
    <w:rsid w:val="63290ECE"/>
    <w:rsid w:val="63AF30B3"/>
    <w:rsid w:val="64880DD9"/>
    <w:rsid w:val="64F6AA3B"/>
    <w:rsid w:val="65026077"/>
    <w:rsid w:val="6515F592"/>
    <w:rsid w:val="65B26299"/>
    <w:rsid w:val="66693A00"/>
    <w:rsid w:val="66C2478D"/>
    <w:rsid w:val="6824EDB7"/>
    <w:rsid w:val="68BB5958"/>
    <w:rsid w:val="68EF0D2F"/>
    <w:rsid w:val="690CCF97"/>
    <w:rsid w:val="693D0E94"/>
    <w:rsid w:val="696434C5"/>
    <w:rsid w:val="6AC7952C"/>
    <w:rsid w:val="6B0821BF"/>
    <w:rsid w:val="6B326C2A"/>
    <w:rsid w:val="6B829398"/>
    <w:rsid w:val="6C34676F"/>
    <w:rsid w:val="6C5DC74C"/>
    <w:rsid w:val="6CA36913"/>
    <w:rsid w:val="6CBF78E7"/>
    <w:rsid w:val="6D680EE7"/>
    <w:rsid w:val="6E240506"/>
    <w:rsid w:val="6F86549C"/>
    <w:rsid w:val="700A7528"/>
    <w:rsid w:val="70663F7C"/>
    <w:rsid w:val="706A9242"/>
    <w:rsid w:val="70C6D443"/>
    <w:rsid w:val="725FF23C"/>
    <w:rsid w:val="727A34AC"/>
    <w:rsid w:val="72B5E23A"/>
    <w:rsid w:val="72DFDA14"/>
    <w:rsid w:val="73032F72"/>
    <w:rsid w:val="73A1CFA0"/>
    <w:rsid w:val="73E04DE2"/>
    <w:rsid w:val="73FEF87D"/>
    <w:rsid w:val="743FBC8D"/>
    <w:rsid w:val="74996A5E"/>
    <w:rsid w:val="7583B32B"/>
    <w:rsid w:val="75E03BC8"/>
    <w:rsid w:val="7605D7D8"/>
    <w:rsid w:val="76809542"/>
    <w:rsid w:val="7698F4B5"/>
    <w:rsid w:val="7748AD53"/>
    <w:rsid w:val="776BE0C4"/>
    <w:rsid w:val="77C52AFD"/>
    <w:rsid w:val="77D6CCD1"/>
    <w:rsid w:val="77F2F2CA"/>
    <w:rsid w:val="78A61A96"/>
    <w:rsid w:val="78BB99C1"/>
    <w:rsid w:val="79162336"/>
    <w:rsid w:val="795BE397"/>
    <w:rsid w:val="79A3E42C"/>
    <w:rsid w:val="79B98E8F"/>
    <w:rsid w:val="7A57DF08"/>
    <w:rsid w:val="7A6CCE56"/>
    <w:rsid w:val="7B1645E9"/>
    <w:rsid w:val="7C1FA1E4"/>
    <w:rsid w:val="7C31CFA9"/>
    <w:rsid w:val="7D33398C"/>
    <w:rsid w:val="7DA9829C"/>
    <w:rsid w:val="7EFE21F8"/>
    <w:rsid w:val="7F8EB0E4"/>
    <w:rsid w:val="7FF62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C3FFF"/>
  <w15:chartTrackingRefBased/>
  <w15:docId w15:val="{324215DC-6C2F-4F5D-BED7-ED86F4DF20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BF793D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maternityaction.org.uk/" TargetMode="External" Id="Rc2bc09534ed54170" /><Relationship Type="http://schemas.openxmlformats.org/officeDocument/2006/relationships/hyperlink" Target="https://www.acas.org.uk/equal-pay/equal-pay-law" TargetMode="External" Id="R64d957ada5574ca5" /><Relationship Type="http://schemas.openxmlformats.org/officeDocument/2006/relationships/hyperlink" Target="https://www.acas.org.uk/manage-staff-redundancies" TargetMode="External" Id="R28611bef12c44d15" /><Relationship Type="http://schemas.openxmlformats.org/officeDocument/2006/relationships/hyperlink" Target="https://www.acas.org.uk/employment-tribunal-time-limits" TargetMode="External" Id="Rb7f0b1d139c24b8d" /><Relationship Type="http://schemas.openxmlformats.org/officeDocument/2006/relationships/hyperlink" Target="https://www.acas.org.uk/dismissals/constructive-dismissal" TargetMode="External" Id="R545bcce1e66748aa" /><Relationship Type="http://schemas.openxmlformats.org/officeDocument/2006/relationships/hyperlink" Target="https://www.acas.org.uk/tupe/advice-for-employers-and-employees" TargetMode="External" Id="R6a9bac43a4c1431e" /><Relationship Type="http://schemas.openxmlformats.org/officeDocument/2006/relationships/hyperlink" Target="https://www.acas.org.uk/irregular-hours-and-part-year-workers" TargetMode="External" Id="Rbbbaccc2d8da4c73" /><Relationship Type="http://schemas.openxmlformats.org/officeDocument/2006/relationships/hyperlink" Target="https://www.acas.org.uk/irregular-hours-and-part-year-workers/rolled-up-holiday-pay" TargetMode="External" Id="R3d24218497b8425f" /><Relationship Type="http://schemas.openxmlformats.org/officeDocument/2006/relationships/hyperlink" Target="https://www.acas.org.uk/statutory-maternity-leave-and-pay/eligibility-for-pay" TargetMode="External" Id="Ra0ce073f3f184435" /><Relationship Type="http://schemas.openxmlformats.org/officeDocument/2006/relationships/hyperlink" Target="https://www.acas.org.uk/shared-parental-leave-and-pay/shared-parental-pay" TargetMode="External" Id="Re6a84b4696b74c01" /><Relationship Type="http://schemas.openxmlformats.org/officeDocument/2006/relationships/hyperlink" Target="https://www.acas.org.uk/statutory-flexible-working-requests/considering-a-request" TargetMode="External" Id="Rf8ae51f2d5944f10" /><Relationship Type="http://schemas.openxmlformats.org/officeDocument/2006/relationships/hyperlink" Target="https://www.cipd.org/uk/knowledge/factsheets/diversity-factsheet/" TargetMode="External" Id="R4224108391054a65" /><Relationship Type="http://schemas.openxmlformats.org/officeDocument/2006/relationships/hyperlink" Target="https://www.cipd.org/uk/views-and-insights/cipd-viewpoint/employment-status-rights/" TargetMode="External" Id="R3132e30f49cb43af" /><Relationship Type="http://schemas.openxmlformats.org/officeDocument/2006/relationships/hyperlink" Target="https://www.cipd.org/uk/knowledge/guides/tupe-guide/" TargetMode="External" Id="Raa60c056ffcc4dd9" /><Relationship Type="http://schemas.openxmlformats.org/officeDocument/2006/relationships/hyperlink" Target="https://www.cipd.org/uk/knowledge/employment-law/uk-employment-law-eu/" TargetMode="External" Id="R233db31f6dbd45c1" /><Relationship Type="http://schemas.openxmlformats.org/officeDocument/2006/relationships/hyperlink" Target="https://www.cipd.org/uk/knowledge/factsheets/tupe-factsheet/" TargetMode="External" Id="Raeaaa6ef75d84b70" /><Relationship Type="http://schemas.openxmlformats.org/officeDocument/2006/relationships/hyperlink" Target="https://www.cipd.org/uk/knowledge/factsheets/diversity-factsheet/" TargetMode="External" Id="R935850c417d14c39" /><Relationship Type="http://schemas.openxmlformats.org/officeDocument/2006/relationships/hyperlink" Target="https://www.cipd.org/uk/knowledge/employment-law/equal-pay/" TargetMode="External" Id="R8cbcdbce9ecf4710" /><Relationship Type="http://schemas.openxmlformats.org/officeDocument/2006/relationships/hyperlink" Target="https://www.cipd.org/uk/knowledge/factsheets/dismissal-factsheet/#constructive-dismissal" TargetMode="External" Id="R2d3f17a2b69a411c" /><Relationship Type="http://schemas.openxmlformats.org/officeDocument/2006/relationships/hyperlink" Target="https://www.cipd.org/uk/knowledge/employment-law/redundancy/" TargetMode="External" Id="R388c042a4da744a8" /><Relationship Type="http://schemas.openxmlformats.org/officeDocument/2006/relationships/hyperlink" Target="https://www.cipd.org/uk/knowledge/employment-law/working-time/" TargetMode="External" Id="R63c9a8d9f81b4f13" /><Relationship Type="http://schemas.openxmlformats.org/officeDocument/2006/relationships/hyperlink" Target="https://www.cipd.org/uk/knowledge/factsheets/flexible-working-factsheet/" TargetMode="External" Id="Rf0a0a83dcc1a48bc" /><Relationship Type="http://schemas.openxmlformats.org/officeDocument/2006/relationships/hyperlink" Target="https://www.equalityhumanrights.com/equality/equality-act-2010/codes-practice/employment-code-practice-0" TargetMode="External" Id="Ra49c166425d44cf7" /><Relationship Type="http://schemas.openxmlformats.org/officeDocument/2006/relationships/hyperlink" Target="https://www.legislation.gov.uk/ukpga/2023/33" TargetMode="External" Id="R4779d032e1584ad2" /><Relationship Type="http://schemas.openxmlformats.org/officeDocument/2006/relationships/hyperlink" Target="https://www.legislation.gov.uk/ukpga/1996/18/contents" TargetMode="External" Id="R8be5a7f4b68544ab" /><Relationship Type="http://schemas.openxmlformats.org/officeDocument/2006/relationships/hyperlink" Target="https://www.legislation.gov.uk/ukpga/2018/16/contents" TargetMode="External" Id="R5157f8b7f16f44c9" /><Relationship Type="http://schemas.openxmlformats.org/officeDocument/2006/relationships/hyperlink" Target="https://assets.publishing.service.gov.uk/media/5912f99040f0b638b000000d/Mr_A_Gregory_v_Royal_Mail_Group_Ltd_24025872016_Final.pdf" TargetMode="External" Id="Rf560991a55364ce8" /><Relationship Type="http://schemas.openxmlformats.org/officeDocument/2006/relationships/hyperlink" Target="https://www.gov.uk/government/publications/redundancy-payments-form-hr1-advance-notification-of-redundancies" TargetMode="External" Id="R61316c7b728c4d6e" /><Relationship Type="http://schemas.openxmlformats.org/officeDocument/2006/relationships/hyperlink" Target="https://www.gov.uk/maternity-pay-leave" TargetMode="External" Id="Rb6fbf4c213d447d6" /><Relationship Type="http://schemas.openxmlformats.org/officeDocument/2006/relationships/hyperlink" Target="https://www.gov.uk/shared-parental-leave-and-pay" TargetMode="External" Id="R791632aae5b04495" /><Relationship Type="http://schemas.openxmlformats.org/officeDocument/2006/relationships/hyperlink" Target="https://www.gov.uk/flexible-working" TargetMode="External" Id="R791a747a0be14c0a" /><Relationship Type="http://schemas.openxmlformats.org/officeDocument/2006/relationships/hyperlink" Target="https://assets.publishing.service.gov.uk/media/59b134afe5274a180b403e1f/Mrs_D_Hart_v_St_Mary_s_School__Colchester__Ltd_EAT_0305_14__DM.pdf" TargetMode="External" Id="R2a2a9a6fdbff4623" /><Relationship Type="http://schemas.openxmlformats.org/officeDocument/2006/relationships/hyperlink" Target="https://www.peoplemanagement.co.uk/article/1743377/constructive-dismissal-guide" TargetMode="External" Id="R966daa277a664a6f" /><Relationship Type="http://schemas.openxmlformats.org/officeDocument/2006/relationships/hyperlink" Target="https://www.peoplemanagement.co.uk/article/1901051/employment-law-expect-2025" TargetMode="External" Id="R03407154b7794547" /><Relationship Type="http://schemas.openxmlformats.org/officeDocument/2006/relationships/hyperlink" Target="https://www.legislation.gov.uk/ukpga/2010/15/contents" TargetMode="External" Id="R081489923606411e" /><Relationship Type="http://schemas.openxmlformats.org/officeDocument/2006/relationships/hyperlink" Target="https://www.legislation.gov.uk/uksi/1998/1833/contents" TargetMode="External" Id="Rb00c2fffef4347f3" /><Relationship Type="http://schemas.openxmlformats.org/officeDocument/2006/relationships/hyperlink" Target="https://www.legislation.gov.uk/ukpga/1992/52/contents" TargetMode="External" Id="Rf29541e40adb47a7" /><Relationship Type="http://schemas.openxmlformats.org/officeDocument/2006/relationships/hyperlink" Target="https://employment-social-affairs.ec.europa.eu/policies-and-activities/rights-work/labour-law/working-conditions/working-time-directive_en" TargetMode="External" Id="R52484b09736d47f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Celia Stavarache</dc:creator>
  <keywords/>
  <dc:description/>
  <lastModifiedBy>Celia Stavarache</lastModifiedBy>
  <revision>2</revision>
  <dcterms:created xsi:type="dcterms:W3CDTF">2026-05-29T08:39:49.5446301Z</dcterms:created>
  <dcterms:modified xsi:type="dcterms:W3CDTF">2026-06-01T08:36:40.8558090Z</dcterms:modified>
</coreProperties>
</file>