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8E48" w14:textId="77777777" w:rsidR="000C57DD" w:rsidRDefault="000C57DD" w:rsidP="000C57DD">
      <w:r>
        <w:t>Assessment one</w:t>
      </w:r>
    </w:p>
    <w:p w14:paraId="2DB71375" w14:textId="77777777" w:rsidR="000C57DD" w:rsidRDefault="000C57DD"/>
    <w:p w14:paraId="3146B439" w14:textId="77777777" w:rsidR="000C57DD" w:rsidRDefault="000C57DD"/>
    <w:p w14:paraId="3C466020" w14:textId="77777777" w:rsidR="000C57DD" w:rsidRDefault="000C57DD"/>
    <w:p w14:paraId="75720B8F" w14:textId="77777777" w:rsidR="000C57DD" w:rsidRDefault="000C57DD"/>
    <w:p w14:paraId="49F08507" w14:textId="77777777" w:rsidR="000C57DD" w:rsidRDefault="000C57DD"/>
    <w:p w14:paraId="5BE515C2" w14:textId="77777777" w:rsidR="000C57DD" w:rsidRDefault="000C57DD"/>
    <w:p w14:paraId="16B40E14" w14:textId="77777777" w:rsidR="000C57DD" w:rsidRDefault="000C57DD" w:rsidP="000C57DD">
      <w:pPr>
        <w:jc w:val="center"/>
        <w:rPr>
          <w:b/>
          <w:bCs w:val="0"/>
          <w:sz w:val="32"/>
          <w:szCs w:val="32"/>
        </w:rPr>
      </w:pPr>
    </w:p>
    <w:p w14:paraId="7B900991" w14:textId="77777777" w:rsidR="000C57DD" w:rsidRDefault="000C57DD" w:rsidP="000C57DD">
      <w:pPr>
        <w:jc w:val="center"/>
        <w:rPr>
          <w:b/>
          <w:bCs w:val="0"/>
          <w:sz w:val="32"/>
          <w:szCs w:val="32"/>
        </w:rPr>
      </w:pPr>
    </w:p>
    <w:p w14:paraId="2F2737DE" w14:textId="77777777" w:rsidR="000C57DD" w:rsidRDefault="000C57DD" w:rsidP="000C57DD">
      <w:pPr>
        <w:jc w:val="center"/>
        <w:rPr>
          <w:b/>
          <w:bCs w:val="0"/>
          <w:sz w:val="32"/>
          <w:szCs w:val="32"/>
        </w:rPr>
      </w:pPr>
    </w:p>
    <w:p w14:paraId="538EDB0B" w14:textId="77777777" w:rsidR="000C57DD" w:rsidRPr="000C57DD" w:rsidRDefault="000C57DD" w:rsidP="000C57DD">
      <w:pPr>
        <w:jc w:val="center"/>
        <w:rPr>
          <w:b/>
          <w:bCs w:val="0"/>
          <w:color w:val="156082" w:themeColor="accent1"/>
          <w:sz w:val="36"/>
          <w:szCs w:val="36"/>
        </w:rPr>
      </w:pPr>
    </w:p>
    <w:p w14:paraId="37750755" w14:textId="3BF1234A" w:rsidR="000C57DD" w:rsidRPr="000C57DD" w:rsidRDefault="000C57DD" w:rsidP="000C57DD">
      <w:pPr>
        <w:jc w:val="center"/>
        <w:rPr>
          <w:b/>
          <w:bCs w:val="0"/>
          <w:sz w:val="32"/>
          <w:szCs w:val="32"/>
        </w:rPr>
      </w:pPr>
      <w:r w:rsidRPr="000C57DD">
        <w:rPr>
          <w:b/>
          <w:bCs w:val="0"/>
          <w:sz w:val="32"/>
          <w:szCs w:val="32"/>
        </w:rPr>
        <w:t>Article Review</w:t>
      </w:r>
    </w:p>
    <w:p w14:paraId="5578CD69" w14:textId="77777777" w:rsidR="000C57DD" w:rsidRDefault="000C57DD" w:rsidP="000C57DD">
      <w:pPr>
        <w:jc w:val="center"/>
        <w:rPr>
          <w:b/>
          <w:bCs w:val="0"/>
          <w:color w:val="156082" w:themeColor="accent1"/>
          <w:sz w:val="36"/>
          <w:szCs w:val="36"/>
        </w:rPr>
      </w:pPr>
    </w:p>
    <w:p w14:paraId="738B0CB2" w14:textId="27BCD001" w:rsidR="000C57DD" w:rsidRPr="000C57DD" w:rsidRDefault="000C57DD" w:rsidP="000C57DD">
      <w:pPr>
        <w:jc w:val="center"/>
        <w:rPr>
          <w:b/>
          <w:bCs w:val="0"/>
          <w:sz w:val="36"/>
          <w:szCs w:val="36"/>
        </w:rPr>
      </w:pPr>
      <w:r w:rsidRPr="000C57DD">
        <w:rPr>
          <w:b/>
          <w:bCs w:val="0"/>
          <w:sz w:val="36"/>
          <w:szCs w:val="36"/>
        </w:rPr>
        <w:t>Humour as Cultural Heritage</w:t>
      </w:r>
    </w:p>
    <w:p w14:paraId="207867CC" w14:textId="77777777" w:rsidR="000C57DD" w:rsidRDefault="000C57DD" w:rsidP="000C57DD">
      <w:pPr>
        <w:jc w:val="center"/>
        <w:rPr>
          <w:b/>
          <w:bCs w:val="0"/>
          <w:color w:val="156082" w:themeColor="accent1"/>
          <w:sz w:val="36"/>
          <w:szCs w:val="36"/>
        </w:rPr>
      </w:pPr>
    </w:p>
    <w:p w14:paraId="22C12FC0" w14:textId="59FE1EDC" w:rsidR="000C57DD" w:rsidRPr="000C57DD" w:rsidRDefault="000C57DD" w:rsidP="000C57DD">
      <w:pPr>
        <w:jc w:val="center"/>
        <w:rPr>
          <w:b/>
          <w:bCs w:val="0"/>
          <w:sz w:val="32"/>
          <w:szCs w:val="32"/>
        </w:rPr>
      </w:pPr>
      <w:r w:rsidRPr="000C57DD">
        <w:rPr>
          <w:b/>
          <w:bCs w:val="0"/>
          <w:sz w:val="32"/>
          <w:szCs w:val="32"/>
        </w:rPr>
        <w:t>Anastasiya Fiadotava</w:t>
      </w:r>
    </w:p>
    <w:p w14:paraId="5162C447" w14:textId="77777777" w:rsidR="000C57DD" w:rsidRDefault="000C57DD" w:rsidP="000C57DD">
      <w:pPr>
        <w:jc w:val="center"/>
        <w:rPr>
          <w:b/>
          <w:bCs w:val="0"/>
          <w:sz w:val="32"/>
          <w:szCs w:val="32"/>
        </w:rPr>
      </w:pPr>
    </w:p>
    <w:p w14:paraId="333E6D69" w14:textId="77777777" w:rsidR="000C57DD" w:rsidRDefault="000C57DD" w:rsidP="000C57DD">
      <w:pPr>
        <w:jc w:val="center"/>
        <w:rPr>
          <w:b/>
          <w:bCs w:val="0"/>
          <w:sz w:val="32"/>
          <w:szCs w:val="32"/>
        </w:rPr>
      </w:pPr>
    </w:p>
    <w:p w14:paraId="486DBE8A" w14:textId="77777777" w:rsidR="000C57DD" w:rsidRPr="000C57DD" w:rsidRDefault="000C57DD" w:rsidP="000C57DD">
      <w:pPr>
        <w:jc w:val="center"/>
        <w:rPr>
          <w:b/>
          <w:bCs w:val="0"/>
          <w:sz w:val="32"/>
          <w:szCs w:val="32"/>
        </w:rPr>
      </w:pPr>
    </w:p>
    <w:p w14:paraId="6C9247E1" w14:textId="77777777" w:rsidR="000C57DD" w:rsidRDefault="000C57DD" w:rsidP="000C57DD">
      <w:pPr>
        <w:jc w:val="center"/>
        <w:rPr>
          <w:b/>
          <w:bCs w:val="0"/>
          <w:sz w:val="32"/>
          <w:szCs w:val="32"/>
        </w:rPr>
      </w:pPr>
    </w:p>
    <w:p w14:paraId="1FEBB10F" w14:textId="77777777" w:rsidR="000C57DD" w:rsidRDefault="000C57DD" w:rsidP="000C57DD">
      <w:pPr>
        <w:jc w:val="center"/>
        <w:rPr>
          <w:b/>
          <w:bCs w:val="0"/>
          <w:sz w:val="32"/>
          <w:szCs w:val="32"/>
        </w:rPr>
      </w:pPr>
    </w:p>
    <w:p w14:paraId="4BCEB008" w14:textId="77777777" w:rsidR="000C57DD" w:rsidRDefault="000C57DD" w:rsidP="000C57DD">
      <w:pPr>
        <w:jc w:val="center"/>
        <w:rPr>
          <w:b/>
          <w:bCs w:val="0"/>
          <w:sz w:val="32"/>
          <w:szCs w:val="32"/>
        </w:rPr>
      </w:pPr>
    </w:p>
    <w:p w14:paraId="3E46EC2B" w14:textId="77777777" w:rsidR="000C57DD" w:rsidRDefault="000C57DD" w:rsidP="000C57DD">
      <w:pPr>
        <w:contextualSpacing/>
        <w:rPr>
          <w:b/>
          <w:bCs w:val="0"/>
          <w:sz w:val="16"/>
          <w:szCs w:val="16"/>
        </w:rPr>
      </w:pPr>
    </w:p>
    <w:p w14:paraId="249866C2" w14:textId="77777777" w:rsidR="000C57DD" w:rsidRDefault="000C57DD" w:rsidP="000C57DD">
      <w:pPr>
        <w:contextualSpacing/>
        <w:rPr>
          <w:b/>
          <w:bCs w:val="0"/>
          <w:sz w:val="16"/>
          <w:szCs w:val="16"/>
        </w:rPr>
      </w:pPr>
    </w:p>
    <w:p w14:paraId="05A62869" w14:textId="77777777" w:rsidR="000C57DD" w:rsidRDefault="000C57DD" w:rsidP="000C57DD">
      <w:pPr>
        <w:contextualSpacing/>
        <w:rPr>
          <w:b/>
          <w:bCs w:val="0"/>
          <w:sz w:val="16"/>
          <w:szCs w:val="16"/>
        </w:rPr>
      </w:pPr>
    </w:p>
    <w:p w14:paraId="214C30CA" w14:textId="77777777" w:rsidR="000C57DD" w:rsidRDefault="000C57DD" w:rsidP="000C57DD">
      <w:pPr>
        <w:contextualSpacing/>
        <w:rPr>
          <w:b/>
          <w:bCs w:val="0"/>
          <w:sz w:val="16"/>
          <w:szCs w:val="16"/>
        </w:rPr>
      </w:pPr>
    </w:p>
    <w:p w14:paraId="0ECD323E" w14:textId="77777777" w:rsidR="000C57DD" w:rsidRDefault="000C57DD" w:rsidP="000C57DD">
      <w:pPr>
        <w:contextualSpacing/>
        <w:rPr>
          <w:b/>
          <w:bCs w:val="0"/>
          <w:sz w:val="16"/>
          <w:szCs w:val="16"/>
        </w:rPr>
      </w:pPr>
    </w:p>
    <w:p w14:paraId="23C9ADE3" w14:textId="77777777" w:rsidR="000C57DD" w:rsidRDefault="000C57DD" w:rsidP="000C57DD">
      <w:pPr>
        <w:contextualSpacing/>
        <w:rPr>
          <w:b/>
          <w:bCs w:val="0"/>
          <w:sz w:val="16"/>
          <w:szCs w:val="16"/>
        </w:rPr>
      </w:pPr>
    </w:p>
    <w:p w14:paraId="00560653" w14:textId="77777777" w:rsidR="000C57DD" w:rsidRDefault="000C57DD" w:rsidP="000C57DD">
      <w:pPr>
        <w:contextualSpacing/>
        <w:rPr>
          <w:b/>
          <w:bCs w:val="0"/>
          <w:sz w:val="16"/>
          <w:szCs w:val="16"/>
        </w:rPr>
      </w:pPr>
    </w:p>
    <w:p w14:paraId="6CD93186" w14:textId="77777777" w:rsidR="000C57DD" w:rsidRDefault="000C57DD" w:rsidP="000C57DD">
      <w:pPr>
        <w:contextualSpacing/>
        <w:rPr>
          <w:b/>
          <w:bCs w:val="0"/>
          <w:sz w:val="16"/>
          <w:szCs w:val="16"/>
        </w:rPr>
      </w:pPr>
    </w:p>
    <w:p w14:paraId="3BAC0632" w14:textId="77777777" w:rsidR="000C57DD" w:rsidRDefault="000C57DD" w:rsidP="000C57DD">
      <w:pPr>
        <w:contextualSpacing/>
        <w:rPr>
          <w:b/>
          <w:bCs w:val="0"/>
          <w:sz w:val="16"/>
          <w:szCs w:val="16"/>
        </w:rPr>
      </w:pPr>
    </w:p>
    <w:p w14:paraId="4C4A372A" w14:textId="77777777" w:rsidR="000C57DD" w:rsidRDefault="000C57DD" w:rsidP="000C57DD">
      <w:pPr>
        <w:contextualSpacing/>
        <w:rPr>
          <w:b/>
          <w:bCs w:val="0"/>
          <w:sz w:val="16"/>
          <w:szCs w:val="16"/>
        </w:rPr>
      </w:pPr>
    </w:p>
    <w:p w14:paraId="0049A8F1" w14:textId="77777777" w:rsidR="000C57DD" w:rsidRDefault="000C57DD" w:rsidP="000C57DD">
      <w:pPr>
        <w:contextualSpacing/>
        <w:rPr>
          <w:b/>
          <w:bCs w:val="0"/>
          <w:sz w:val="16"/>
          <w:szCs w:val="16"/>
        </w:rPr>
      </w:pPr>
    </w:p>
    <w:p w14:paraId="2E1CCE2D" w14:textId="77777777" w:rsidR="000C57DD" w:rsidRDefault="000C57DD" w:rsidP="000C57DD">
      <w:pPr>
        <w:contextualSpacing/>
        <w:rPr>
          <w:b/>
          <w:bCs w:val="0"/>
          <w:sz w:val="16"/>
          <w:szCs w:val="16"/>
        </w:rPr>
      </w:pPr>
    </w:p>
    <w:p w14:paraId="7FB60FD0" w14:textId="77777777" w:rsidR="000C57DD" w:rsidRDefault="000C57DD" w:rsidP="000C57DD">
      <w:pPr>
        <w:contextualSpacing/>
        <w:rPr>
          <w:b/>
          <w:bCs w:val="0"/>
          <w:sz w:val="16"/>
          <w:szCs w:val="16"/>
        </w:rPr>
      </w:pPr>
    </w:p>
    <w:p w14:paraId="65525CEA" w14:textId="77777777" w:rsidR="000C57DD" w:rsidRDefault="000C57DD" w:rsidP="000C57DD">
      <w:pPr>
        <w:contextualSpacing/>
        <w:rPr>
          <w:b/>
          <w:bCs w:val="0"/>
          <w:sz w:val="16"/>
          <w:szCs w:val="16"/>
        </w:rPr>
      </w:pPr>
    </w:p>
    <w:p w14:paraId="1CA77DCD" w14:textId="77777777" w:rsidR="000C57DD" w:rsidRDefault="000C57DD" w:rsidP="000C57DD">
      <w:pPr>
        <w:contextualSpacing/>
        <w:rPr>
          <w:b/>
          <w:bCs w:val="0"/>
          <w:sz w:val="16"/>
          <w:szCs w:val="16"/>
        </w:rPr>
      </w:pPr>
    </w:p>
    <w:p w14:paraId="58CAFB9C" w14:textId="77777777" w:rsidR="000C57DD" w:rsidRDefault="000C57DD" w:rsidP="000C57DD">
      <w:pPr>
        <w:contextualSpacing/>
        <w:rPr>
          <w:b/>
          <w:bCs w:val="0"/>
          <w:sz w:val="16"/>
          <w:szCs w:val="16"/>
        </w:rPr>
      </w:pPr>
    </w:p>
    <w:p w14:paraId="2E714553" w14:textId="77777777" w:rsidR="000C57DD" w:rsidRDefault="000C57DD" w:rsidP="000C57DD">
      <w:pPr>
        <w:contextualSpacing/>
        <w:rPr>
          <w:b/>
          <w:bCs w:val="0"/>
          <w:sz w:val="16"/>
          <w:szCs w:val="16"/>
        </w:rPr>
      </w:pPr>
    </w:p>
    <w:p w14:paraId="452CDE8D" w14:textId="77777777" w:rsidR="000C57DD" w:rsidRDefault="000C57DD" w:rsidP="000C57DD">
      <w:pPr>
        <w:contextualSpacing/>
        <w:rPr>
          <w:b/>
          <w:bCs w:val="0"/>
          <w:sz w:val="16"/>
          <w:szCs w:val="16"/>
        </w:rPr>
      </w:pPr>
    </w:p>
    <w:p w14:paraId="129EC1F0" w14:textId="77777777" w:rsidR="000C57DD" w:rsidRDefault="000C57DD" w:rsidP="000C57DD">
      <w:pPr>
        <w:contextualSpacing/>
        <w:rPr>
          <w:b/>
          <w:bCs w:val="0"/>
          <w:sz w:val="16"/>
          <w:szCs w:val="16"/>
        </w:rPr>
      </w:pPr>
    </w:p>
    <w:p w14:paraId="081E4BD4" w14:textId="77777777" w:rsidR="000C57DD" w:rsidRDefault="000C57DD" w:rsidP="000C57DD">
      <w:pPr>
        <w:contextualSpacing/>
        <w:rPr>
          <w:b/>
          <w:bCs w:val="0"/>
          <w:sz w:val="16"/>
          <w:szCs w:val="16"/>
        </w:rPr>
      </w:pPr>
    </w:p>
    <w:p w14:paraId="4747A28C" w14:textId="77777777" w:rsidR="000C57DD" w:rsidRDefault="000C57DD" w:rsidP="000C57DD">
      <w:pPr>
        <w:contextualSpacing/>
        <w:rPr>
          <w:b/>
          <w:bCs w:val="0"/>
          <w:sz w:val="16"/>
          <w:szCs w:val="16"/>
        </w:rPr>
      </w:pPr>
    </w:p>
    <w:p w14:paraId="345D13B7" w14:textId="77777777" w:rsidR="000C57DD" w:rsidRDefault="000C57DD" w:rsidP="000C57DD">
      <w:pPr>
        <w:contextualSpacing/>
        <w:rPr>
          <w:b/>
          <w:bCs w:val="0"/>
          <w:sz w:val="16"/>
          <w:szCs w:val="16"/>
        </w:rPr>
      </w:pPr>
    </w:p>
    <w:p w14:paraId="754D680B" w14:textId="77777777" w:rsidR="000C57DD" w:rsidRDefault="000C57DD" w:rsidP="000C57DD">
      <w:pPr>
        <w:contextualSpacing/>
        <w:rPr>
          <w:b/>
          <w:bCs w:val="0"/>
          <w:sz w:val="16"/>
          <w:szCs w:val="16"/>
        </w:rPr>
      </w:pPr>
    </w:p>
    <w:p w14:paraId="71C2017B" w14:textId="77777777" w:rsidR="000C57DD" w:rsidRDefault="000C57DD" w:rsidP="000C57DD">
      <w:pPr>
        <w:contextualSpacing/>
        <w:rPr>
          <w:b/>
          <w:bCs w:val="0"/>
          <w:sz w:val="16"/>
          <w:szCs w:val="16"/>
        </w:rPr>
      </w:pPr>
    </w:p>
    <w:p w14:paraId="69C44361" w14:textId="77777777" w:rsidR="000C57DD" w:rsidRDefault="000C57DD" w:rsidP="000C57DD">
      <w:pPr>
        <w:contextualSpacing/>
        <w:rPr>
          <w:b/>
          <w:bCs w:val="0"/>
          <w:sz w:val="16"/>
          <w:szCs w:val="16"/>
        </w:rPr>
      </w:pPr>
    </w:p>
    <w:p w14:paraId="785D3CB6" w14:textId="77777777" w:rsidR="000C57DD" w:rsidRDefault="000C57DD" w:rsidP="000C57DD">
      <w:pPr>
        <w:contextualSpacing/>
        <w:rPr>
          <w:b/>
          <w:bCs w:val="0"/>
          <w:sz w:val="16"/>
          <w:szCs w:val="16"/>
        </w:rPr>
      </w:pPr>
    </w:p>
    <w:p w14:paraId="0BA79C19" w14:textId="77777777" w:rsidR="000C57DD" w:rsidRDefault="000C57DD" w:rsidP="000C57DD">
      <w:pPr>
        <w:contextualSpacing/>
        <w:rPr>
          <w:b/>
          <w:bCs w:val="0"/>
          <w:sz w:val="16"/>
          <w:szCs w:val="16"/>
        </w:rPr>
      </w:pPr>
    </w:p>
    <w:p w14:paraId="676A0E15" w14:textId="77777777" w:rsidR="000C57DD" w:rsidRDefault="000C57DD" w:rsidP="000C57DD">
      <w:pPr>
        <w:contextualSpacing/>
        <w:jc w:val="both"/>
        <w:rPr>
          <w:b/>
          <w:bCs w:val="0"/>
          <w:sz w:val="16"/>
          <w:szCs w:val="16"/>
        </w:rPr>
      </w:pPr>
    </w:p>
    <w:p w14:paraId="56248E18" w14:textId="6AAB2A98" w:rsidR="000C57DD" w:rsidRDefault="000C57DD" w:rsidP="000C57DD">
      <w:pPr>
        <w:contextualSpacing/>
        <w:rPr>
          <w:b/>
          <w:bCs w:val="0"/>
          <w:sz w:val="16"/>
          <w:szCs w:val="16"/>
        </w:rPr>
      </w:pPr>
      <w:r>
        <w:rPr>
          <w:b/>
          <w:bCs w:val="0"/>
          <w:sz w:val="16"/>
          <w:szCs w:val="16"/>
        </w:rPr>
        <w:t>Alyson Greening</w:t>
      </w:r>
    </w:p>
    <w:p w14:paraId="73215319" w14:textId="2328251D" w:rsidR="000C57DD" w:rsidRDefault="000C57DD" w:rsidP="000C57DD">
      <w:pPr>
        <w:contextualSpacing/>
        <w:rPr>
          <w:b/>
          <w:bCs w:val="0"/>
          <w:sz w:val="16"/>
          <w:szCs w:val="16"/>
        </w:rPr>
      </w:pPr>
      <w:r>
        <w:rPr>
          <w:b/>
          <w:bCs w:val="0"/>
          <w:sz w:val="16"/>
          <w:szCs w:val="16"/>
        </w:rPr>
        <w:t>1450605</w:t>
      </w:r>
    </w:p>
    <w:p w14:paraId="11B8A8B8" w14:textId="77777777" w:rsidR="000C57DD" w:rsidRDefault="000C57DD" w:rsidP="000C57DD">
      <w:pPr>
        <w:contextualSpacing/>
        <w:rPr>
          <w:b/>
          <w:bCs w:val="0"/>
          <w:sz w:val="16"/>
          <w:szCs w:val="16"/>
        </w:rPr>
      </w:pPr>
    </w:p>
    <w:p w14:paraId="73B93A4C" w14:textId="2B627B5E" w:rsidR="000C57DD" w:rsidRDefault="000C57DD" w:rsidP="000C57DD">
      <w:pPr>
        <w:contextualSpacing/>
        <w:rPr>
          <w:b/>
          <w:bCs w:val="0"/>
          <w:sz w:val="16"/>
          <w:szCs w:val="16"/>
        </w:rPr>
      </w:pPr>
      <w:r>
        <w:rPr>
          <w:b/>
          <w:bCs w:val="0"/>
          <w:sz w:val="16"/>
          <w:szCs w:val="16"/>
        </w:rPr>
        <w:t>Unravelling Heritage: History, Theory Methods (HPHE7002)</w:t>
      </w:r>
    </w:p>
    <w:p w14:paraId="08DD7492" w14:textId="77777777" w:rsidR="000C57DD" w:rsidRDefault="000C57DD" w:rsidP="000C57DD">
      <w:pPr>
        <w:contextualSpacing/>
        <w:rPr>
          <w:b/>
          <w:bCs w:val="0"/>
          <w:sz w:val="16"/>
          <w:szCs w:val="16"/>
        </w:rPr>
      </w:pPr>
    </w:p>
    <w:p w14:paraId="50AD054B" w14:textId="16E0539E" w:rsidR="000C57DD" w:rsidRDefault="000C57DD" w:rsidP="000C57DD">
      <w:pPr>
        <w:contextualSpacing/>
        <w:rPr>
          <w:b/>
          <w:bCs w:val="0"/>
          <w:sz w:val="16"/>
          <w:szCs w:val="16"/>
        </w:rPr>
      </w:pPr>
      <w:r>
        <w:rPr>
          <w:b/>
          <w:bCs w:val="0"/>
          <w:sz w:val="16"/>
          <w:szCs w:val="16"/>
        </w:rPr>
        <w:t>16/10/2025</w:t>
      </w:r>
    </w:p>
    <w:p w14:paraId="59BC7826" w14:textId="2F449CC7" w:rsidR="000C57DD" w:rsidRDefault="000C57DD" w:rsidP="000C57DD">
      <w:pPr>
        <w:contextualSpacing/>
        <w:jc w:val="left"/>
        <w:rPr>
          <w:b/>
          <w:bCs w:val="0"/>
        </w:rPr>
      </w:pPr>
      <w:r w:rsidRPr="000C57DD">
        <w:rPr>
          <w:b/>
          <w:bCs w:val="0"/>
        </w:rPr>
        <w:lastRenderedPageBreak/>
        <w:t>Introduction</w:t>
      </w:r>
    </w:p>
    <w:p w14:paraId="0BCF6F90" w14:textId="77777777" w:rsidR="000C57DD" w:rsidRDefault="000C57DD" w:rsidP="000C57DD">
      <w:pPr>
        <w:spacing w:line="360" w:lineRule="auto"/>
        <w:contextualSpacing/>
        <w:jc w:val="left"/>
        <w:rPr>
          <w:b/>
          <w:bCs w:val="0"/>
        </w:rPr>
      </w:pPr>
    </w:p>
    <w:p w14:paraId="1AB5AC3A" w14:textId="2E01B4D3" w:rsidR="000664B3" w:rsidRDefault="0074779C" w:rsidP="000C57DD">
      <w:pPr>
        <w:spacing w:line="360" w:lineRule="auto"/>
        <w:contextualSpacing/>
        <w:jc w:val="left"/>
      </w:pPr>
      <w:r>
        <w:t>In her article “Humour as Cultural Heritage”</w:t>
      </w:r>
      <w:r w:rsidR="008203AD">
        <w:t xml:space="preserve">, </w:t>
      </w:r>
      <w:r>
        <w:t xml:space="preserve">Anastasiya Fiadotava argues that </w:t>
      </w:r>
      <w:r w:rsidR="00C415FD">
        <w:t>cultural heritage is a ve</w:t>
      </w:r>
      <w:r w:rsidR="00015E00">
        <w:t xml:space="preserve">hicle for the construction of social identity and </w:t>
      </w:r>
      <w:r w:rsidR="00412F24">
        <w:t>group cohesion</w:t>
      </w:r>
      <w:r w:rsidR="003A026B">
        <w:t xml:space="preserve"> which can create a safe space</w:t>
      </w:r>
      <w:r w:rsidR="00656ECA">
        <w:t xml:space="preserve"> for its </w:t>
      </w:r>
      <w:r w:rsidR="0077237B">
        <w:t>members</w:t>
      </w:r>
      <w:r w:rsidR="00DE54A8">
        <w:t xml:space="preserve">.  </w:t>
      </w:r>
      <w:r w:rsidR="00105F31">
        <w:t>Taking a holistic approach</w:t>
      </w:r>
      <w:r w:rsidR="007A6EEF">
        <w:t xml:space="preserve"> </w:t>
      </w:r>
      <w:r w:rsidR="00900F04">
        <w:t xml:space="preserve">Fiadotava </w:t>
      </w:r>
      <w:r w:rsidR="00137AD3">
        <w:t xml:space="preserve">argues for the heritisation </w:t>
      </w:r>
      <w:r w:rsidR="008F3D53">
        <w:t>of humour</w:t>
      </w:r>
      <w:r w:rsidR="000349C7">
        <w:t xml:space="preserve"> and </w:t>
      </w:r>
      <w:r w:rsidR="00F11D6A">
        <w:t>us</w:t>
      </w:r>
      <w:r w:rsidR="00137AD3">
        <w:t>es</w:t>
      </w:r>
      <w:r w:rsidR="00F11D6A">
        <w:t xml:space="preserve"> case studies</w:t>
      </w:r>
      <w:r w:rsidR="00CE2106">
        <w:t xml:space="preserve"> and examples to explore the following questions: </w:t>
      </w:r>
    </w:p>
    <w:p w14:paraId="0BC0CEE6" w14:textId="77777777" w:rsidR="004843C4" w:rsidRDefault="004843C4" w:rsidP="000C57DD">
      <w:pPr>
        <w:spacing w:line="360" w:lineRule="auto"/>
        <w:contextualSpacing/>
        <w:jc w:val="left"/>
      </w:pPr>
    </w:p>
    <w:p w14:paraId="5A9A7922" w14:textId="77777777" w:rsidR="004843C4" w:rsidRDefault="000664B3" w:rsidP="004843C4">
      <w:pPr>
        <w:spacing w:line="360" w:lineRule="auto"/>
        <w:ind w:firstLine="720"/>
        <w:contextualSpacing/>
        <w:jc w:val="left"/>
      </w:pPr>
      <w:r>
        <w:t>What form does the institutionalisation of humorous heritage take?</w:t>
      </w:r>
      <w:r w:rsidR="008203AD">
        <w:t xml:space="preserve"> </w:t>
      </w:r>
    </w:p>
    <w:p w14:paraId="1250BB63" w14:textId="77777777" w:rsidR="004843C4" w:rsidRDefault="000664B3" w:rsidP="004843C4">
      <w:pPr>
        <w:spacing w:line="360" w:lineRule="auto"/>
        <w:ind w:left="720"/>
        <w:contextualSpacing/>
        <w:jc w:val="left"/>
      </w:pPr>
      <w:r>
        <w:t xml:space="preserve">What </w:t>
      </w:r>
      <w:r w:rsidR="00AC6E2B">
        <w:t>are</w:t>
      </w:r>
      <w:r>
        <w:t xml:space="preserve"> the challenges face by humorous heritage preservation and showcasing, and how can these challenges be mitigated?</w:t>
      </w:r>
      <w:r w:rsidR="008203AD">
        <w:t xml:space="preserve"> </w:t>
      </w:r>
    </w:p>
    <w:p w14:paraId="2F6920DB" w14:textId="7325F5B9" w:rsidR="000664B3" w:rsidRDefault="000664B3" w:rsidP="004843C4">
      <w:pPr>
        <w:spacing w:line="360" w:lineRule="auto"/>
        <w:ind w:left="720"/>
        <w:contextualSpacing/>
        <w:jc w:val="left"/>
      </w:pPr>
      <w:r>
        <w:t>In what ways can humorous heritage stand out among other cultural heritage?</w:t>
      </w:r>
      <w:r>
        <w:rPr>
          <w:rStyle w:val="FootnoteReference"/>
        </w:rPr>
        <w:footnoteReference w:id="1"/>
      </w:r>
    </w:p>
    <w:p w14:paraId="7CBFEB20" w14:textId="77777777" w:rsidR="00C73620" w:rsidRDefault="00C73620" w:rsidP="000C57DD">
      <w:pPr>
        <w:spacing w:line="360" w:lineRule="auto"/>
        <w:contextualSpacing/>
        <w:jc w:val="left"/>
      </w:pPr>
    </w:p>
    <w:p w14:paraId="25679346" w14:textId="1BDB1532" w:rsidR="000B57C8" w:rsidRPr="000B57C8" w:rsidRDefault="000B57C8" w:rsidP="000C57DD">
      <w:pPr>
        <w:spacing w:line="360" w:lineRule="auto"/>
        <w:contextualSpacing/>
        <w:jc w:val="left"/>
        <w:rPr>
          <w:b/>
          <w:bCs w:val="0"/>
        </w:rPr>
      </w:pPr>
      <w:r w:rsidRPr="000B57C8">
        <w:rPr>
          <w:b/>
          <w:bCs w:val="0"/>
        </w:rPr>
        <w:t>Methodolog</w:t>
      </w:r>
      <w:r w:rsidR="0020081F">
        <w:rPr>
          <w:b/>
          <w:bCs w:val="0"/>
        </w:rPr>
        <w:t>y</w:t>
      </w:r>
      <w:r w:rsidRPr="000B57C8">
        <w:rPr>
          <w:b/>
          <w:bCs w:val="0"/>
        </w:rPr>
        <w:t xml:space="preserve"> </w:t>
      </w:r>
      <w:r w:rsidR="00B61405">
        <w:rPr>
          <w:b/>
          <w:bCs w:val="0"/>
        </w:rPr>
        <w:t>and theoretical underpinning</w:t>
      </w:r>
    </w:p>
    <w:p w14:paraId="6AD12032" w14:textId="77777777" w:rsidR="000B57C8" w:rsidRDefault="000B57C8" w:rsidP="000C57DD">
      <w:pPr>
        <w:spacing w:line="360" w:lineRule="auto"/>
        <w:contextualSpacing/>
        <w:jc w:val="left"/>
      </w:pPr>
    </w:p>
    <w:p w14:paraId="246A2CB6" w14:textId="1B077B9D" w:rsidR="005D6730" w:rsidRDefault="00397794" w:rsidP="00885CD0">
      <w:pPr>
        <w:spacing w:line="360" w:lineRule="auto"/>
        <w:contextualSpacing/>
        <w:jc w:val="left"/>
      </w:pPr>
      <w:r>
        <w:t>F</w:t>
      </w:r>
      <w:r w:rsidR="00966C9A">
        <w:t xml:space="preserve">iadotava </w:t>
      </w:r>
      <w:r w:rsidR="005C3801">
        <w:t xml:space="preserve">discusses </w:t>
      </w:r>
      <w:r w:rsidR="008F3D53">
        <w:t>her theoretical</w:t>
      </w:r>
      <w:r w:rsidR="00966C9A">
        <w:t xml:space="preserve"> </w:t>
      </w:r>
      <w:r w:rsidR="000C218B">
        <w:t xml:space="preserve">approach as ‘research </w:t>
      </w:r>
      <w:r w:rsidR="0015476E">
        <w:t xml:space="preserve">on humour </w:t>
      </w:r>
      <w:r w:rsidR="000C218B">
        <w:t>in</w:t>
      </w:r>
      <w:r w:rsidR="0015476E">
        <w:t xml:space="preserve"> and as heritage’</w:t>
      </w:r>
      <w:r w:rsidR="00EE68D8">
        <w:t>.</w:t>
      </w:r>
      <w:r w:rsidR="0015476E">
        <w:rPr>
          <w:rStyle w:val="FootnoteReference"/>
        </w:rPr>
        <w:footnoteReference w:id="2"/>
      </w:r>
      <w:r w:rsidR="005C3801">
        <w:t xml:space="preserve"> </w:t>
      </w:r>
      <w:r w:rsidR="00EE68D8">
        <w:t xml:space="preserve"> </w:t>
      </w:r>
      <w:r w:rsidR="00654E48">
        <w:t>She cites several other research</w:t>
      </w:r>
      <w:r w:rsidR="00485F58">
        <w:t xml:space="preserve">ers </w:t>
      </w:r>
      <w:r w:rsidR="00F816ED">
        <w:t>to support her view</w:t>
      </w:r>
      <w:r w:rsidR="00485F58">
        <w:t xml:space="preserve"> that</w:t>
      </w:r>
      <w:r w:rsidR="00161ECE">
        <w:t xml:space="preserve"> h</w:t>
      </w:r>
      <w:r w:rsidR="00722AA5">
        <w:t xml:space="preserve">umorous heritage </w:t>
      </w:r>
      <w:r w:rsidR="00F816ED">
        <w:t>is located</w:t>
      </w:r>
      <w:r w:rsidR="00FD6755">
        <w:t xml:space="preserve"> on a continuum</w:t>
      </w:r>
      <w:r w:rsidR="00485F58">
        <w:t>. A</w:t>
      </w:r>
      <w:r w:rsidR="00FD6755">
        <w:t>t one end, humour being a vehicle</w:t>
      </w:r>
      <w:r w:rsidR="00677143">
        <w:t xml:space="preserve"> to interpret </w:t>
      </w:r>
      <w:r w:rsidR="009A5639">
        <w:t>heritage</w:t>
      </w:r>
      <w:r w:rsidR="00A64CFE">
        <w:t xml:space="preserve"> </w:t>
      </w:r>
      <w:r w:rsidR="00A64CFE">
        <w:rPr>
          <w:i/>
          <w:iCs/>
        </w:rPr>
        <w:t>in</w:t>
      </w:r>
      <w:r w:rsidR="009A5639">
        <w:t xml:space="preserve"> (for example using h</w:t>
      </w:r>
      <w:r w:rsidR="00FA153B">
        <w:t>umour to engage participants in heritage tourism</w:t>
      </w:r>
      <w:r w:rsidR="00497648">
        <w:t xml:space="preserve"> or to enable children to participate in cultural heritage more easily)</w:t>
      </w:r>
      <w:r w:rsidR="0030594D">
        <w:t xml:space="preserve">, and she quotes Tu et al in </w:t>
      </w:r>
      <w:r w:rsidR="00BA573A">
        <w:t>arguing that humour used in this way helps to promote positive engagement</w:t>
      </w:r>
      <w:r w:rsidR="002408D8">
        <w:t xml:space="preserve">.  </w:t>
      </w:r>
      <w:r w:rsidR="0006588C">
        <w:t xml:space="preserve"> </w:t>
      </w:r>
      <w:r w:rsidR="0080428C">
        <w:t xml:space="preserve"> </w:t>
      </w:r>
      <w:r w:rsidR="0014087A">
        <w:t xml:space="preserve">Further along the spectrum, Fiadotava notes that </w:t>
      </w:r>
      <w:r w:rsidR="00E10B01">
        <w:t xml:space="preserve">humour can be the thing that propels an otherwise inauspicious </w:t>
      </w:r>
      <w:r w:rsidR="000351B1">
        <w:t xml:space="preserve">object </w:t>
      </w:r>
      <w:r w:rsidR="00427678">
        <w:t>or practice into the sphere of</w:t>
      </w:r>
      <w:r w:rsidR="000351B1">
        <w:t xml:space="preserve"> heritage. </w:t>
      </w:r>
      <w:r w:rsidR="007004B0">
        <w:t xml:space="preserve"> For </w:t>
      </w:r>
      <w:r w:rsidR="00D207A1">
        <w:t>example,</w:t>
      </w:r>
      <w:r w:rsidR="007004B0">
        <w:t xml:space="preserve"> by using satire </w:t>
      </w:r>
      <w:r w:rsidR="003402D7">
        <w:t>as in the case of the ‘Incom</w:t>
      </w:r>
      <w:r w:rsidR="006A0AE3">
        <w:t xml:space="preserve">piuto Siciliano </w:t>
      </w:r>
      <w:r w:rsidR="007A213B">
        <w:t>Archaeological</w:t>
      </w:r>
      <w:r w:rsidR="006A0AE3">
        <w:t xml:space="preserve"> Park</w:t>
      </w:r>
      <w:r w:rsidR="0080428C">
        <w:t>’</w:t>
      </w:r>
      <w:r w:rsidR="00C52913">
        <w:rPr>
          <w:rStyle w:val="FootnoteReference"/>
        </w:rPr>
        <w:footnoteReference w:id="3"/>
      </w:r>
      <w:r w:rsidR="0080428C">
        <w:t xml:space="preserve">.  The main focus of her research however is that of humour </w:t>
      </w:r>
      <w:r w:rsidR="0080428C">
        <w:rPr>
          <w:i/>
          <w:iCs/>
        </w:rPr>
        <w:t>as</w:t>
      </w:r>
      <w:r w:rsidR="0080428C">
        <w:t xml:space="preserve"> heritage</w:t>
      </w:r>
      <w:r w:rsidR="00811D32">
        <w:t xml:space="preserve"> where she </w:t>
      </w:r>
      <w:r w:rsidR="00CB04EE">
        <w:t xml:space="preserve">explores humour as </w:t>
      </w:r>
      <w:r w:rsidR="003116AE">
        <w:t>a cultural</w:t>
      </w:r>
      <w:r w:rsidR="000A005C">
        <w:t xml:space="preserve"> practice which is governed by </w:t>
      </w:r>
      <w:r w:rsidR="00C52913">
        <w:t>‘culture specific discursive regimes’</w:t>
      </w:r>
      <w:r w:rsidR="00C52913">
        <w:rPr>
          <w:rStyle w:val="FootnoteReference"/>
        </w:rPr>
        <w:footnoteReference w:id="4"/>
      </w:r>
      <w:r w:rsidR="00D615BF">
        <w:t xml:space="preserve"> </w:t>
      </w:r>
      <w:r w:rsidR="00122B99">
        <w:t xml:space="preserve"> </w:t>
      </w:r>
      <w:r w:rsidR="001E4391">
        <w:t xml:space="preserve">She </w:t>
      </w:r>
      <w:r w:rsidR="001D2F75">
        <w:t xml:space="preserve">identifies </w:t>
      </w:r>
      <w:r w:rsidR="001E4391">
        <w:t xml:space="preserve">the notion of humour as </w:t>
      </w:r>
      <w:r w:rsidR="003F4839">
        <w:t xml:space="preserve">a subtle yet implicit component of </w:t>
      </w:r>
      <w:r w:rsidR="00AC671F">
        <w:t xml:space="preserve"> </w:t>
      </w:r>
      <w:r w:rsidR="001E4391">
        <w:t>national</w:t>
      </w:r>
      <w:r w:rsidR="00AC671F">
        <w:t xml:space="preserve"> identit</w:t>
      </w:r>
      <w:r w:rsidR="001845C1">
        <w:t xml:space="preserve">y </w:t>
      </w:r>
      <w:r w:rsidR="00850909">
        <w:t>and</w:t>
      </w:r>
      <w:r w:rsidR="001D2F75">
        <w:t xml:space="preserve"> </w:t>
      </w:r>
      <w:r w:rsidR="00554A9E">
        <w:t xml:space="preserve"> </w:t>
      </w:r>
      <w:r w:rsidR="003F4839">
        <w:t xml:space="preserve">while </w:t>
      </w:r>
      <w:r w:rsidR="00554A9E">
        <w:t>she observes</w:t>
      </w:r>
      <w:r w:rsidR="00843A99">
        <w:t xml:space="preserve"> while</w:t>
      </w:r>
      <w:r w:rsidR="00554A9E">
        <w:t xml:space="preserve"> that much research has been carried out</w:t>
      </w:r>
      <w:r w:rsidR="00FD10D3">
        <w:t xml:space="preserve"> on the intersections between humour and heritage</w:t>
      </w:r>
      <w:r w:rsidR="00843A99">
        <w:t xml:space="preserve">, </w:t>
      </w:r>
      <w:r w:rsidR="00FE10A0">
        <w:t xml:space="preserve">she argues </w:t>
      </w:r>
      <w:r w:rsidR="00FE10A0">
        <w:lastRenderedPageBreak/>
        <w:t xml:space="preserve">that this has </w:t>
      </w:r>
      <w:r w:rsidR="00AE1DD1">
        <w:t>taken a</w:t>
      </w:r>
      <w:r w:rsidR="00FE10A0">
        <w:t xml:space="preserve"> </w:t>
      </w:r>
      <w:r w:rsidR="00D81070">
        <w:t xml:space="preserve"> narrow approach</w:t>
      </w:r>
      <w:r w:rsidR="00AE1DD1">
        <w:t xml:space="preserve">. Her stated aim therefore is to take </w:t>
      </w:r>
      <w:r w:rsidR="00271BCC">
        <w:t xml:space="preserve">a more </w:t>
      </w:r>
      <w:r w:rsidR="003F031D">
        <w:t>holistic perspective to consider</w:t>
      </w:r>
      <w:r w:rsidR="005F77A1">
        <w:t xml:space="preserve"> how something as </w:t>
      </w:r>
      <w:r w:rsidR="00213128">
        <w:t>multifaceted and</w:t>
      </w:r>
      <w:r w:rsidR="005F77A1">
        <w:t xml:space="preserve"> </w:t>
      </w:r>
      <w:r w:rsidR="0050221D">
        <w:t xml:space="preserve">situational </w:t>
      </w:r>
      <w:r w:rsidR="0078631D">
        <w:t>as humour aligns with</w:t>
      </w:r>
      <w:r w:rsidR="007B34FF">
        <w:t>,</w:t>
      </w:r>
      <w:r w:rsidR="0078631D">
        <w:t xml:space="preserve"> </w:t>
      </w:r>
      <w:r w:rsidR="00B4442F">
        <w:t>but is distinct from</w:t>
      </w:r>
      <w:r w:rsidR="007B34FF">
        <w:t>,</w:t>
      </w:r>
      <w:r w:rsidR="00B4442F">
        <w:t xml:space="preserve"> </w:t>
      </w:r>
      <w:r w:rsidR="00132BEB">
        <w:t>institutional heritage practice.</w:t>
      </w:r>
      <w:r w:rsidR="005B32DD">
        <w:t xml:space="preserve"> However, she </w:t>
      </w:r>
      <w:r w:rsidR="00996EA5">
        <w:t>deliberately omits an analysis of perception of humorous heritage</w:t>
      </w:r>
      <w:r w:rsidR="00BD7CAF">
        <w:t>, arguing that this would necessitate a more thorough ethnographic process</w:t>
      </w:r>
      <w:r w:rsidR="007F29F3">
        <w:t xml:space="preserve">, choosing instead to cite other researchers.  This makes the paper </w:t>
      </w:r>
      <w:r w:rsidR="000F3C64">
        <w:t>somewhat descriptive.</w:t>
      </w:r>
      <w:r w:rsidR="00BD7CAF">
        <w:t xml:space="preserve">  </w:t>
      </w:r>
    </w:p>
    <w:p w14:paraId="50F24578" w14:textId="77777777" w:rsidR="007B34FF" w:rsidRDefault="007B34FF" w:rsidP="00885CD0">
      <w:pPr>
        <w:spacing w:line="360" w:lineRule="auto"/>
        <w:contextualSpacing/>
        <w:jc w:val="left"/>
      </w:pPr>
    </w:p>
    <w:p w14:paraId="4C6AD212" w14:textId="77777777" w:rsidR="00555AE6" w:rsidRPr="00555AE6" w:rsidRDefault="00555AE6" w:rsidP="00885CD0">
      <w:pPr>
        <w:spacing w:line="360" w:lineRule="auto"/>
        <w:contextualSpacing/>
        <w:jc w:val="left"/>
        <w:rPr>
          <w:b/>
          <w:bCs w:val="0"/>
        </w:rPr>
      </w:pPr>
      <w:r w:rsidRPr="00555AE6">
        <w:rPr>
          <w:b/>
          <w:bCs w:val="0"/>
        </w:rPr>
        <w:t>Static and dynamic approaches</w:t>
      </w:r>
    </w:p>
    <w:p w14:paraId="4A860C7F" w14:textId="77777777" w:rsidR="00555AE6" w:rsidRDefault="00555AE6" w:rsidP="00885CD0">
      <w:pPr>
        <w:spacing w:line="360" w:lineRule="auto"/>
        <w:contextualSpacing/>
        <w:jc w:val="left"/>
      </w:pPr>
    </w:p>
    <w:p w14:paraId="749737BF" w14:textId="5EDB196D" w:rsidR="00CC1653" w:rsidRDefault="00CC1653" w:rsidP="00885CD0">
      <w:pPr>
        <w:spacing w:line="360" w:lineRule="auto"/>
        <w:contextualSpacing/>
        <w:jc w:val="left"/>
      </w:pPr>
      <w:r>
        <w:t xml:space="preserve">Fiadotava approaches this study from both a static and a dynamic </w:t>
      </w:r>
      <w:r w:rsidR="00361D7E">
        <w:t>perspective</w:t>
      </w:r>
      <w:r w:rsidR="00D8565C">
        <w:t xml:space="preserve"> </w:t>
      </w:r>
      <w:r w:rsidR="00B175EF">
        <w:t>Considering static forms of heritage,</w:t>
      </w:r>
      <w:r w:rsidR="00404D21">
        <w:t xml:space="preserve"> which she </w:t>
      </w:r>
      <w:r w:rsidR="002A0AEE">
        <w:t>says ‘focus on the preservation and st</w:t>
      </w:r>
      <w:r w:rsidR="001D6E78">
        <w:t>atic displays of heritage’</w:t>
      </w:r>
      <w:r w:rsidR="001D6E78">
        <w:rPr>
          <w:rStyle w:val="FootnoteReference"/>
        </w:rPr>
        <w:footnoteReference w:id="5"/>
      </w:r>
      <w:r w:rsidR="001D6E78">
        <w:t>,</w:t>
      </w:r>
      <w:r w:rsidR="00B175EF">
        <w:t xml:space="preserve"> she explores museum</w:t>
      </w:r>
      <w:r w:rsidR="0039359C">
        <w:t xml:space="preserve">s </w:t>
      </w:r>
      <w:r w:rsidR="00EB4618">
        <w:t xml:space="preserve">including the Cartoon Museum of London but also considers </w:t>
      </w:r>
      <w:r w:rsidR="00B14E1F">
        <w:t>other repositories such as libraries and online databanks</w:t>
      </w:r>
      <w:r w:rsidR="003F7C75">
        <w:t xml:space="preserve"> and argues that these institutions are </w:t>
      </w:r>
      <w:r w:rsidR="0027306F">
        <w:t xml:space="preserve">vital for our understanding </w:t>
      </w:r>
      <w:r w:rsidR="00E64A49">
        <w:t xml:space="preserve">as they </w:t>
      </w:r>
      <w:r w:rsidR="00C15EE5">
        <w:t>enable cross</w:t>
      </w:r>
      <w:r w:rsidR="00A115C3">
        <w:t>-</w:t>
      </w:r>
      <w:r w:rsidR="00E64A49">
        <w:t>disciplinary</w:t>
      </w:r>
      <w:r w:rsidR="00A115C3">
        <w:t xml:space="preserve"> relationships </w:t>
      </w:r>
      <w:r w:rsidR="00A912AE">
        <w:t>between different vehicles of humour.</w:t>
      </w:r>
      <w:r w:rsidR="006A6DD6">
        <w:t xml:space="preserve"> </w:t>
      </w:r>
      <w:r w:rsidR="002C10E9">
        <w:t xml:space="preserve"> </w:t>
      </w:r>
      <w:r w:rsidR="0001083C">
        <w:t>Her dynamic approach is centred around festivals</w:t>
      </w:r>
      <w:r w:rsidR="00716DCD">
        <w:t xml:space="preserve"> and </w:t>
      </w:r>
      <w:r w:rsidR="0012334A">
        <w:t>competitions</w:t>
      </w:r>
      <w:r w:rsidR="00716DCD">
        <w:t xml:space="preserve"> which she argues</w:t>
      </w:r>
      <w:r w:rsidR="00815DE9">
        <w:t xml:space="preserve"> are not always regarded as heritage practice but nonetheless are set within the framework of</w:t>
      </w:r>
      <w:r w:rsidR="003A7506">
        <w:t xml:space="preserve"> institutionalised heritage discourse.</w:t>
      </w:r>
      <w:r w:rsidR="00B37237">
        <w:t xml:space="preserve"> </w:t>
      </w:r>
      <w:r w:rsidR="00237434">
        <w:t>Specifically</w:t>
      </w:r>
      <w:r w:rsidR="00C75FD4">
        <w:t>, the Estonian Humour Museum</w:t>
      </w:r>
      <w:r w:rsidR="00EF6732">
        <w:t xml:space="preserve"> and the ‘Auciuki’ Folk Humour Festival are </w:t>
      </w:r>
      <w:r w:rsidR="003E447E">
        <w:t>used as case studies</w:t>
      </w:r>
      <w:r w:rsidR="00526CAD">
        <w:t xml:space="preserve"> as </w:t>
      </w:r>
      <w:r w:rsidR="0037183C">
        <w:t xml:space="preserve">both have common features which can be </w:t>
      </w:r>
      <w:proofErr w:type="gramStart"/>
      <w:r w:rsidR="0037183C">
        <w:t>compared and contrasted</w:t>
      </w:r>
      <w:proofErr w:type="gramEnd"/>
      <w:r w:rsidR="0037183C">
        <w:t>. For example, both have a</w:t>
      </w:r>
      <w:r w:rsidR="00B24F35">
        <w:t xml:space="preserve"> </w:t>
      </w:r>
      <w:r w:rsidR="00C64FB7">
        <w:t xml:space="preserve">broad stance on humour in general, </w:t>
      </w:r>
      <w:r w:rsidR="0071235C">
        <w:t>how they support</w:t>
      </w:r>
      <w:r w:rsidR="00C64FB7">
        <w:t xml:space="preserve"> </w:t>
      </w:r>
      <w:r w:rsidR="00095823">
        <w:t xml:space="preserve">the building of identity on a national or regional level and how both are supported from the bottom up and top down. </w:t>
      </w:r>
      <w:r w:rsidR="008F3D53">
        <w:t>In addition</w:t>
      </w:r>
      <w:r w:rsidR="0037183C">
        <w:t xml:space="preserve">, </w:t>
      </w:r>
      <w:r w:rsidR="00060877">
        <w:t xml:space="preserve">the museum </w:t>
      </w:r>
      <w:r w:rsidR="004B2D59">
        <w:t>embraces</w:t>
      </w:r>
      <w:r w:rsidR="00060877">
        <w:t xml:space="preserve"> what</w:t>
      </w:r>
      <w:r w:rsidR="004B2D59">
        <w:t xml:space="preserve"> Poulios calls ‘a living heritage approach’</w:t>
      </w:r>
      <w:r w:rsidR="00FF2F8A">
        <w:rPr>
          <w:rStyle w:val="FootnoteReference"/>
        </w:rPr>
        <w:footnoteReference w:id="6"/>
      </w:r>
      <w:r w:rsidR="00FF2F8A">
        <w:t xml:space="preserve"> </w:t>
      </w:r>
      <w:r w:rsidR="004B2D59">
        <w:t xml:space="preserve"> </w:t>
      </w:r>
      <w:r w:rsidR="0033534A">
        <w:t>in that it recognises</w:t>
      </w:r>
      <w:r w:rsidR="001E2B20">
        <w:t xml:space="preserve"> the links with </w:t>
      </w:r>
      <w:r w:rsidR="008A0AAB">
        <w:t>groups</w:t>
      </w:r>
      <w:r w:rsidR="001E2B20">
        <w:t xml:space="preserve"> that have </w:t>
      </w:r>
      <w:r w:rsidR="008A0AAB">
        <w:t>crafted and shared the humour</w:t>
      </w:r>
      <w:r w:rsidR="00EF2BF8">
        <w:t xml:space="preserve"> and exhibits</w:t>
      </w:r>
      <w:r w:rsidR="00851923">
        <w:t xml:space="preserve"> using contemporary subject matter such as </w:t>
      </w:r>
      <w:r w:rsidR="007F07FB">
        <w:t xml:space="preserve">humour around COVID 19.  The </w:t>
      </w:r>
      <w:r w:rsidR="008F3D53">
        <w:t>festival</w:t>
      </w:r>
      <w:r w:rsidR="007F07FB">
        <w:t xml:space="preserve"> also makes use of static elements</w:t>
      </w:r>
      <w:r w:rsidR="007620C7">
        <w:t xml:space="preserve"> such as monuments</w:t>
      </w:r>
      <w:r w:rsidR="00077DE4">
        <w:t xml:space="preserve"> as well as </w:t>
      </w:r>
      <w:r w:rsidR="0040131A">
        <w:t>its programme of jokes, theatre and art</w:t>
      </w:r>
      <w:r w:rsidR="002D7B27">
        <w:t xml:space="preserve"> and she posits that the differences between static and dynamic approaches to humorous heritage are not as wide as it appears.  </w:t>
      </w:r>
      <w:r w:rsidR="00AB1D65">
        <w:t xml:space="preserve">Fiadotava contends that these examples demonstrate the significance of ‘explicit connections between humour and …culture in the processes of its collection, </w:t>
      </w:r>
      <w:r w:rsidR="00AB1D65">
        <w:lastRenderedPageBreak/>
        <w:t xml:space="preserve">preservation and display’. She further argues that both static and dynamic approaches together </w:t>
      </w:r>
      <w:r w:rsidR="002D7B27">
        <w:t>assist</w:t>
      </w:r>
      <w:r w:rsidR="00AB1D65">
        <w:t xml:space="preserve"> humorous heritage to accept its creativity.</w:t>
      </w:r>
    </w:p>
    <w:p w14:paraId="31E9C1AD" w14:textId="4F271B31" w:rsidR="001B57F5" w:rsidRDefault="002D7B27" w:rsidP="00885CD0">
      <w:pPr>
        <w:spacing w:line="360" w:lineRule="auto"/>
        <w:contextualSpacing/>
        <w:jc w:val="left"/>
      </w:pPr>
      <w:r>
        <w:t>Fiadotava herself recognises the challenges that are inherent in the recognition of humorous heritage, not least the issue of trivialisation</w:t>
      </w:r>
      <w:r w:rsidR="001D2F75">
        <w:t xml:space="preserve"> where she notes she notes Herzfeld who, writing about dirty jokes, places them in juxtaposition with the authorised heritage discourse</w:t>
      </w:r>
      <w:r w:rsidR="00321322">
        <w:t xml:space="preserve"> – what Fiadotave calls</w:t>
      </w:r>
      <w:r w:rsidR="001D2F75">
        <w:t xml:space="preserve">  ’low culture’ and that of the ‘high culture of the elites’</w:t>
      </w:r>
      <w:r w:rsidR="00321322">
        <w:t xml:space="preserve"> and in this she says that humour is often overlooked </w:t>
      </w:r>
      <w:r w:rsidR="004E09B6">
        <w:t>or is not taken seriously</w:t>
      </w:r>
      <w:r w:rsidR="00517230">
        <w:t xml:space="preserve"> </w:t>
      </w:r>
      <w:r w:rsidR="00321322">
        <w:t xml:space="preserve">as heritage.  However, this concept is not critically </w:t>
      </w:r>
      <w:r w:rsidR="00DA6F18">
        <w:t>enhanced</w:t>
      </w:r>
      <w:r w:rsidR="00321322">
        <w:t xml:space="preserve">; for </w:t>
      </w:r>
      <w:r w:rsidR="00981E4B">
        <w:t>example,</w:t>
      </w:r>
      <w:r w:rsidR="00321322">
        <w:t xml:space="preserve"> Sociologist Pierre </w:t>
      </w:r>
      <w:r w:rsidR="001D2F75">
        <w:t>Bourdieu</w:t>
      </w:r>
      <w:r w:rsidR="00321322">
        <w:t xml:space="preserve"> suggests that cultur</w:t>
      </w:r>
      <w:r w:rsidR="00527D1F">
        <w:t xml:space="preserve">al </w:t>
      </w:r>
      <w:r w:rsidR="006757D0">
        <w:t>preferences are socially constructed as a part of class, education and upbringing</w:t>
      </w:r>
      <w:r w:rsidR="002D09AA">
        <w:t xml:space="preserve">.  </w:t>
      </w:r>
      <w:r w:rsidR="00874CA4">
        <w:t xml:space="preserve">Humour therefore is not </w:t>
      </w:r>
      <w:r w:rsidR="00517230">
        <w:t xml:space="preserve">trivialised by accident but is </w:t>
      </w:r>
      <w:r w:rsidR="00F1642B">
        <w:t>deliberately disregarded</w:t>
      </w:r>
      <w:r w:rsidR="00207277">
        <w:t xml:space="preserve"> </w:t>
      </w:r>
      <w:r w:rsidR="00F1642B">
        <w:t>by the ruling classes</w:t>
      </w:r>
      <w:r w:rsidR="00F67CBB">
        <w:t xml:space="preserve"> </w:t>
      </w:r>
      <w:proofErr w:type="gramStart"/>
      <w:r w:rsidR="00F67CBB">
        <w:t>in order to</w:t>
      </w:r>
      <w:proofErr w:type="gramEnd"/>
      <w:r w:rsidR="00F67CBB">
        <w:t xml:space="preserve"> protect their own status</w:t>
      </w:r>
      <w:r w:rsidR="00196952">
        <w:t xml:space="preserve">.  He argues that </w:t>
      </w:r>
      <w:r w:rsidR="00F12070">
        <w:t>heri</w:t>
      </w:r>
      <w:r w:rsidR="00313DB2">
        <w:t>tage associated with the arts</w:t>
      </w:r>
      <w:r w:rsidR="003579E1">
        <w:t xml:space="preserve"> functions as</w:t>
      </w:r>
      <w:r w:rsidR="00321322">
        <w:t xml:space="preserve"> </w:t>
      </w:r>
      <w:r w:rsidR="00A01F68">
        <w:t>‘</w:t>
      </w:r>
      <w:r w:rsidR="00321322">
        <w:t>cultural capital</w:t>
      </w:r>
      <w:r w:rsidR="00A01F68">
        <w:t>’</w:t>
      </w:r>
      <w:r w:rsidR="002D659F">
        <w:t xml:space="preserve"> and is reflective of an elite </w:t>
      </w:r>
      <w:r w:rsidR="00F67CBB">
        <w:t>position</w:t>
      </w:r>
      <w:r w:rsidR="007866DB">
        <w:t xml:space="preserve"> where this status signals the ability to understand and appreciate</w:t>
      </w:r>
      <w:r w:rsidR="001D6580">
        <w:t xml:space="preserve"> something ‘higher’ than humour. </w:t>
      </w:r>
      <w:r w:rsidR="004E0EC7">
        <w:t xml:space="preserve">Therefore, from a Bourdien perspective, </w:t>
      </w:r>
      <w:r w:rsidR="00CA6464">
        <w:t>if humorous heritage was recognised</w:t>
      </w:r>
      <w:r w:rsidR="00BC52C8">
        <w:t xml:space="preserve"> other forms would necessarily lose their elite power</w:t>
      </w:r>
      <w:r w:rsidR="00235608">
        <w:rPr>
          <w:rStyle w:val="FootnoteReference"/>
        </w:rPr>
        <w:footnoteReference w:id="7"/>
      </w:r>
      <w:r w:rsidR="00BC52C8">
        <w:t xml:space="preserve">.  </w:t>
      </w:r>
      <w:r w:rsidR="00156BF5">
        <w:t xml:space="preserve"> Th</w:t>
      </w:r>
      <w:r w:rsidR="00FD085F">
        <w:t xml:space="preserve">e inclusion of Bourdieu would </w:t>
      </w:r>
      <w:r w:rsidR="00424739">
        <w:t>allow the reader to engage with the ‘why’ of the argument and not just the ‘how’.</w:t>
      </w:r>
    </w:p>
    <w:p w14:paraId="19FA0A0A" w14:textId="77777777" w:rsidR="00424739" w:rsidRDefault="00424739" w:rsidP="00885CD0">
      <w:pPr>
        <w:spacing w:line="360" w:lineRule="auto"/>
        <w:contextualSpacing/>
        <w:jc w:val="left"/>
      </w:pPr>
    </w:p>
    <w:p w14:paraId="0F729E88" w14:textId="3F221671" w:rsidR="003154D2" w:rsidRDefault="003154D2" w:rsidP="00885CD0">
      <w:pPr>
        <w:spacing w:line="360" w:lineRule="auto"/>
        <w:contextualSpacing/>
        <w:jc w:val="left"/>
      </w:pPr>
      <w:r>
        <w:t>She also engages in Holtorf’s notion that humour can act as a bridge to change or remediate cultural heritage thereby healing rifts between dominant and minority groups and societies, what Holtorf terms ‘ironic heritage’</w:t>
      </w:r>
      <w:r>
        <w:rPr>
          <w:rStyle w:val="FootnoteReference"/>
        </w:rPr>
        <w:footnoteReference w:id="8"/>
      </w:r>
      <w:r>
        <w:t xml:space="preserve">  a form of heritage which Paillisse argues can induce an emotional response when used with heritage practices like traditional cooking. This is further supported by </w:t>
      </w:r>
      <w:r w:rsidR="00F27BB7">
        <w:t xml:space="preserve">her description of </w:t>
      </w:r>
      <w:r>
        <w:t>Khamis who contends that ironic heritage can elicit nostalgic responses and that this can be used when utilizing this form of humour in heritage for advertising campaigns.  However, she notes that an understanding of context is crucial for success or else, instead of it being a unifier, it can become an alienator.</w:t>
      </w:r>
      <w:r w:rsidR="005E493C">
        <w:t xml:space="preserve"> </w:t>
      </w:r>
      <w:r w:rsidR="0035173A">
        <w:t xml:space="preserve"> </w:t>
      </w:r>
      <w:r w:rsidR="005E493C">
        <w:t>Aga</w:t>
      </w:r>
      <w:r w:rsidR="0035173A">
        <w:t>in, this section of the paper could have benefited from further unpacking</w:t>
      </w:r>
      <w:r w:rsidR="00A73E9B">
        <w:t xml:space="preserve">.  </w:t>
      </w:r>
      <w:r w:rsidR="009015C6">
        <w:t xml:space="preserve">In  </w:t>
      </w:r>
      <w:r w:rsidR="009015C6">
        <w:rPr>
          <w:i/>
          <w:iCs/>
        </w:rPr>
        <w:t>The sociology of humour</w:t>
      </w:r>
      <w:r w:rsidR="009015C6">
        <w:t xml:space="preserve"> for example, </w:t>
      </w:r>
      <w:r w:rsidR="009015C6" w:rsidRPr="009015C6">
        <w:t>Giselinde Kuipers</w:t>
      </w:r>
      <w:r w:rsidR="009015C6">
        <w:t xml:space="preserve"> </w:t>
      </w:r>
      <w:r w:rsidR="009F0D1D">
        <w:t>explores the concept of humour as</w:t>
      </w:r>
      <w:r w:rsidR="00E3327C">
        <w:t xml:space="preserve"> a form of</w:t>
      </w:r>
      <w:r w:rsidR="009F0D1D">
        <w:t xml:space="preserve"> social control</w:t>
      </w:r>
      <w:r w:rsidR="00DE34AC">
        <w:t xml:space="preserve"> where </w:t>
      </w:r>
      <w:r w:rsidR="00D10B69">
        <w:t>responses to</w:t>
      </w:r>
      <w:r w:rsidR="00C34EBA">
        <w:t xml:space="preserve"> a</w:t>
      </w:r>
      <w:r w:rsidR="00D10B69">
        <w:t xml:space="preserve"> joke</w:t>
      </w:r>
      <w:r w:rsidR="00C34EBA">
        <w:t xml:space="preserve"> can be</w:t>
      </w:r>
      <w:r w:rsidR="00D10B69">
        <w:t xml:space="preserve"> based on</w:t>
      </w:r>
      <w:r w:rsidR="00C34EBA">
        <w:t xml:space="preserve"> the </w:t>
      </w:r>
      <w:r w:rsidR="00D10B69">
        <w:t>social status</w:t>
      </w:r>
      <w:r w:rsidR="00C34EBA">
        <w:t xml:space="preserve"> of the person making it</w:t>
      </w:r>
      <w:r w:rsidR="00D10B69">
        <w:t xml:space="preserve"> </w:t>
      </w:r>
      <w:r w:rsidR="00F07F43">
        <w:t>and</w:t>
      </w:r>
      <w:r w:rsidR="000E77AB">
        <w:t xml:space="preserve"> </w:t>
      </w:r>
      <w:r w:rsidR="00C07B59">
        <w:t>demonstrating that while</w:t>
      </w:r>
      <w:r w:rsidR="00F07F43">
        <w:t xml:space="preserve"> jokes can </w:t>
      </w:r>
      <w:r w:rsidR="00C07B59">
        <w:t>facilitate</w:t>
      </w:r>
      <w:r w:rsidR="00B67DAE">
        <w:t xml:space="preserve"> social bonding</w:t>
      </w:r>
      <w:r w:rsidR="00C07B59">
        <w:t xml:space="preserve">, they can </w:t>
      </w:r>
      <w:r w:rsidR="00C07B59">
        <w:lastRenderedPageBreak/>
        <w:t xml:space="preserve">also </w:t>
      </w:r>
      <w:r w:rsidR="00B67DAE">
        <w:t>contribute to exclusionary practices in social groups.</w:t>
      </w:r>
      <w:r w:rsidR="00B67DAE">
        <w:rPr>
          <w:rStyle w:val="FootnoteReference"/>
        </w:rPr>
        <w:footnoteReference w:id="9"/>
      </w:r>
      <w:r w:rsidR="006847C1">
        <w:t xml:space="preserve"> </w:t>
      </w:r>
      <w:r w:rsidR="004976EA">
        <w:t xml:space="preserve">Furthermore it can be argued that far from healing rifts, ironic heritage can </w:t>
      </w:r>
      <w:r w:rsidR="0033551D">
        <w:t xml:space="preserve">reinforce </w:t>
      </w:r>
      <w:r w:rsidR="00C418C5">
        <w:t>negative stereotypes</w:t>
      </w:r>
      <w:r w:rsidR="002B6585">
        <w:t xml:space="preserve"> </w:t>
      </w:r>
      <w:r w:rsidR="003E77A6">
        <w:t>and increase tensions between groups</w:t>
      </w:r>
      <w:r w:rsidR="00435B87">
        <w:t>. For</w:t>
      </w:r>
      <w:r w:rsidR="00A6349E">
        <w:t xml:space="preserve"> </w:t>
      </w:r>
      <w:r w:rsidR="00567A1B">
        <w:t>example,</w:t>
      </w:r>
      <w:r w:rsidR="00064343">
        <w:t xml:space="preserve"> in </w:t>
      </w:r>
      <w:r w:rsidR="00A6349E">
        <w:t>fig 1.</w:t>
      </w:r>
      <w:r w:rsidR="00064343">
        <w:t xml:space="preserve"> Joe Biden is shown as a drunk Irish </w:t>
      </w:r>
      <w:r w:rsidR="00F87F67">
        <w:t xml:space="preserve">leprechaun.  Created as a way of </w:t>
      </w:r>
      <w:r w:rsidR="00DD5189">
        <w:t xml:space="preserve">ridiculing Biden, it also casts </w:t>
      </w:r>
      <w:r w:rsidR="008021C1">
        <w:t xml:space="preserve">Irish communities in a negative light. </w:t>
      </w:r>
    </w:p>
    <w:p w14:paraId="64C1E71F" w14:textId="019DDA4B" w:rsidR="00A6349E" w:rsidRPr="009015C6" w:rsidRDefault="00A6349E" w:rsidP="00885CD0">
      <w:pPr>
        <w:spacing w:line="360" w:lineRule="auto"/>
        <w:contextualSpacing/>
        <w:jc w:val="left"/>
      </w:pPr>
      <w:r>
        <w:rPr>
          <w:noProof/>
        </w:rPr>
        <mc:AlternateContent>
          <mc:Choice Requires="wps">
            <w:drawing>
              <wp:anchor distT="0" distB="0" distL="114300" distR="114300" simplePos="0" relativeHeight="251660288" behindDoc="0" locked="0" layoutInCell="1" allowOverlap="1" wp14:anchorId="1FCC2FE9" wp14:editId="7165F5B2">
                <wp:simplePos x="0" y="0"/>
                <wp:positionH relativeFrom="column">
                  <wp:posOffset>1198245</wp:posOffset>
                </wp:positionH>
                <wp:positionV relativeFrom="paragraph">
                  <wp:posOffset>1502410</wp:posOffset>
                </wp:positionV>
                <wp:extent cx="2477135" cy="635"/>
                <wp:effectExtent l="0" t="0" r="0" b="0"/>
                <wp:wrapSquare wrapText="bothSides"/>
                <wp:docPr id="1108560955" name="Text Box 1"/>
                <wp:cNvGraphicFramePr/>
                <a:graphic xmlns:a="http://schemas.openxmlformats.org/drawingml/2006/main">
                  <a:graphicData uri="http://schemas.microsoft.com/office/word/2010/wordprocessingShape">
                    <wps:wsp>
                      <wps:cNvSpPr txBox="1"/>
                      <wps:spPr>
                        <a:xfrm>
                          <a:off x="0" y="0"/>
                          <a:ext cx="2477135" cy="635"/>
                        </a:xfrm>
                        <a:prstGeom prst="rect">
                          <a:avLst/>
                        </a:prstGeom>
                        <a:solidFill>
                          <a:prstClr val="white"/>
                        </a:solidFill>
                        <a:ln>
                          <a:noFill/>
                        </a:ln>
                      </wps:spPr>
                      <wps:txbx>
                        <w:txbxContent>
                          <w:p w14:paraId="10FF36FB" w14:textId="6D6A3639" w:rsidR="00A6349E" w:rsidRPr="000946FF" w:rsidRDefault="00A6349E" w:rsidP="00B201F1">
                            <w:pPr>
                              <w:pStyle w:val="Caption"/>
                              <w:jc w:val="left"/>
                              <w:rPr>
                                <w:noProof/>
                              </w:rPr>
                            </w:pPr>
                            <w:r w:rsidRPr="00B201F1">
                              <w:rPr>
                                <w:i w:val="0"/>
                                <w:iCs w:val="0"/>
                                <w:sz w:val="16"/>
                                <w:szCs w:val="16"/>
                              </w:rPr>
                              <w:t xml:space="preserve">Fig </w:t>
                            </w:r>
                            <w:r w:rsidRPr="00B201F1">
                              <w:rPr>
                                <w:i w:val="0"/>
                                <w:iCs w:val="0"/>
                                <w:sz w:val="16"/>
                                <w:szCs w:val="16"/>
                              </w:rPr>
                              <w:fldChar w:fldCharType="begin"/>
                            </w:r>
                            <w:r w:rsidRPr="00B201F1">
                              <w:rPr>
                                <w:i w:val="0"/>
                                <w:iCs w:val="0"/>
                                <w:sz w:val="16"/>
                                <w:szCs w:val="16"/>
                              </w:rPr>
                              <w:instrText xml:space="preserve"> SEQ Figure \* ARABIC </w:instrText>
                            </w:r>
                            <w:r w:rsidRPr="00B201F1">
                              <w:rPr>
                                <w:i w:val="0"/>
                                <w:iCs w:val="0"/>
                                <w:sz w:val="16"/>
                                <w:szCs w:val="16"/>
                              </w:rPr>
                              <w:fldChar w:fldCharType="separate"/>
                            </w:r>
                            <w:r w:rsidR="00317C2E">
                              <w:rPr>
                                <w:i w:val="0"/>
                                <w:iCs w:val="0"/>
                                <w:noProof/>
                                <w:sz w:val="16"/>
                                <w:szCs w:val="16"/>
                              </w:rPr>
                              <w:t>1</w:t>
                            </w:r>
                            <w:r w:rsidRPr="00B201F1">
                              <w:rPr>
                                <w:i w:val="0"/>
                                <w:iCs w:val="0"/>
                                <w:sz w:val="16"/>
                                <w:szCs w:val="16"/>
                              </w:rPr>
                              <w:fldChar w:fldCharType="end"/>
                            </w:r>
                            <w:r w:rsidRPr="00B201F1">
                              <w:rPr>
                                <w:i w:val="0"/>
                                <w:iCs w:val="0"/>
                                <w:noProof/>
                                <w:sz w:val="16"/>
                                <w:szCs w:val="16"/>
                              </w:rPr>
                              <w:t xml:space="preserve"> Joe Biden depicted as a drunk irish leprochaun</w:t>
                            </w:r>
                            <w:r w:rsidR="00B201F1">
                              <w:rPr>
                                <w:noProof/>
                              </w:rPr>
                              <w:t xml:space="preserve">. </w:t>
                            </w:r>
                            <w:r>
                              <w:rPr>
                                <w:noProof/>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CC2FE9" id="_x0000_t202" coordsize="21600,21600" o:spt="202" path="m,l,21600r21600,l21600,xe">
                <v:stroke joinstyle="miter"/>
                <v:path gradientshapeok="t" o:connecttype="rect"/>
              </v:shapetype>
              <v:shape id="Text Box 1" o:spid="_x0000_s1026" type="#_x0000_t202" style="position:absolute;margin-left:94.35pt;margin-top:118.3pt;width:195.0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" stroked="f">
                <v:textbox style="mso-fit-shape-to-text:t" inset="0,0,0,0">
                  <w:txbxContent>
                    <w:p w14:paraId="10FF36FB" w14:textId="6D6A3639" w:rsidR="00A6349E" w:rsidRPr="000946FF" w:rsidRDefault="00A6349E" w:rsidP="00B201F1">
                      <w:pPr>
                        <w:pStyle w:val="Caption"/>
                        <w:jc w:val="left"/>
                        <w:rPr>
                          <w:noProof/>
                        </w:rPr>
                      </w:pPr>
                      <w:r w:rsidRPr="00B201F1">
                        <w:rPr>
                          <w:i w:val="0"/>
                          <w:iCs w:val="0"/>
                          <w:sz w:val="16"/>
                          <w:szCs w:val="16"/>
                        </w:rPr>
                        <w:t xml:space="preserve">Fig </w:t>
                      </w:r>
                      <w:r w:rsidRPr="00B201F1">
                        <w:rPr>
                          <w:i w:val="0"/>
                          <w:iCs w:val="0"/>
                          <w:sz w:val="16"/>
                          <w:szCs w:val="16"/>
                        </w:rPr>
                        <w:fldChar w:fldCharType="begin"/>
                      </w:r>
                      <w:r w:rsidRPr="00B201F1">
                        <w:rPr>
                          <w:i w:val="0"/>
                          <w:iCs w:val="0"/>
                          <w:sz w:val="16"/>
                          <w:szCs w:val="16"/>
                        </w:rPr>
                        <w:instrText xml:space="preserve"> SEQ Figure \* ARABIC </w:instrText>
                      </w:r>
                      <w:r w:rsidRPr="00B201F1">
                        <w:rPr>
                          <w:i w:val="0"/>
                          <w:iCs w:val="0"/>
                          <w:sz w:val="16"/>
                          <w:szCs w:val="16"/>
                        </w:rPr>
                        <w:fldChar w:fldCharType="separate"/>
                      </w:r>
                      <w:r w:rsidR="00317C2E">
                        <w:rPr>
                          <w:i w:val="0"/>
                          <w:iCs w:val="0"/>
                          <w:noProof/>
                          <w:sz w:val="16"/>
                          <w:szCs w:val="16"/>
                        </w:rPr>
                        <w:t>1</w:t>
                      </w:r>
                      <w:r w:rsidRPr="00B201F1">
                        <w:rPr>
                          <w:i w:val="0"/>
                          <w:iCs w:val="0"/>
                          <w:sz w:val="16"/>
                          <w:szCs w:val="16"/>
                        </w:rPr>
                        <w:fldChar w:fldCharType="end"/>
                      </w:r>
                      <w:r w:rsidRPr="00B201F1">
                        <w:rPr>
                          <w:i w:val="0"/>
                          <w:iCs w:val="0"/>
                          <w:noProof/>
                          <w:sz w:val="16"/>
                          <w:szCs w:val="16"/>
                        </w:rPr>
                        <w:t xml:space="preserve"> Joe Biden depicted as a drunk irish leprochaun</w:t>
                      </w:r>
                      <w:r w:rsidR="00B201F1">
                        <w:rPr>
                          <w:noProof/>
                        </w:rPr>
                        <w:t xml:space="preserve">. </w:t>
                      </w:r>
                      <w:r>
                        <w:rPr>
                          <w:noProof/>
                        </w:rPr>
                        <w:t xml:space="preserve">  </w:t>
                      </w:r>
                    </w:p>
                  </w:txbxContent>
                </v:textbox>
                <w10:wrap type="square"/>
              </v:shape>
            </w:pict>
          </mc:Fallback>
        </mc:AlternateContent>
      </w:r>
      <w:r>
        <w:rPr>
          <w:noProof/>
        </w:rPr>
        <w:drawing>
          <wp:anchor distT="0" distB="0" distL="114300" distR="114300" simplePos="0" relativeHeight="251658240" behindDoc="0" locked="0" layoutInCell="1" allowOverlap="1" wp14:anchorId="5C4C3C2C" wp14:editId="1FCA8B79">
            <wp:simplePos x="0" y="0"/>
            <wp:positionH relativeFrom="column">
              <wp:posOffset>1198709</wp:posOffset>
            </wp:positionH>
            <wp:positionV relativeFrom="paragraph">
              <wp:posOffset>-325</wp:posOffset>
            </wp:positionV>
            <wp:extent cx="2477766" cy="1445318"/>
            <wp:effectExtent l="0" t="0" r="0" b="2540"/>
            <wp:wrapSquare wrapText="bothSides"/>
            <wp:docPr id="1163331620" name="Picture 1" descr="Political Cartoon Slammed For Irish Stereotype In Latest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tical Cartoon Slammed For Irish Stereotype In Latest Carto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7766" cy="1445318"/>
                    </a:xfrm>
                    <a:prstGeom prst="rect">
                      <a:avLst/>
                    </a:prstGeom>
                    <a:noFill/>
                    <a:ln>
                      <a:noFill/>
                    </a:ln>
                  </pic:spPr>
                </pic:pic>
              </a:graphicData>
            </a:graphic>
          </wp:anchor>
        </w:drawing>
      </w:r>
    </w:p>
    <w:p w14:paraId="031EA5E6" w14:textId="26E57530" w:rsidR="002D7B27" w:rsidRDefault="007866DB" w:rsidP="00885CD0">
      <w:pPr>
        <w:spacing w:line="360" w:lineRule="auto"/>
        <w:contextualSpacing/>
        <w:jc w:val="left"/>
      </w:pPr>
      <w:r>
        <w:t xml:space="preserve">  </w:t>
      </w:r>
    </w:p>
    <w:p w14:paraId="2AAC827C" w14:textId="7C7652B9" w:rsidR="002D7B27" w:rsidRDefault="002D7B27" w:rsidP="00885CD0">
      <w:pPr>
        <w:spacing w:line="360" w:lineRule="auto"/>
        <w:contextualSpacing/>
        <w:jc w:val="left"/>
      </w:pPr>
    </w:p>
    <w:p w14:paraId="054DFDA9" w14:textId="77777777" w:rsidR="00AB1D65" w:rsidRDefault="00AB1D65" w:rsidP="00885CD0">
      <w:pPr>
        <w:spacing w:line="360" w:lineRule="auto"/>
        <w:contextualSpacing/>
        <w:jc w:val="left"/>
      </w:pPr>
    </w:p>
    <w:p w14:paraId="166462E1" w14:textId="77777777" w:rsidR="002E7551" w:rsidRDefault="002E7551" w:rsidP="00885CD0">
      <w:pPr>
        <w:spacing w:line="360" w:lineRule="auto"/>
        <w:contextualSpacing/>
        <w:jc w:val="left"/>
      </w:pPr>
    </w:p>
    <w:p w14:paraId="092B848D" w14:textId="77777777" w:rsidR="0033551D" w:rsidRDefault="0033551D" w:rsidP="002E7551">
      <w:pPr>
        <w:spacing w:line="360" w:lineRule="auto"/>
        <w:contextualSpacing/>
        <w:jc w:val="left"/>
      </w:pPr>
    </w:p>
    <w:p w14:paraId="4C65A2BE" w14:textId="77777777" w:rsidR="0033551D" w:rsidRDefault="0033551D" w:rsidP="002E7551">
      <w:pPr>
        <w:spacing w:line="360" w:lineRule="auto"/>
        <w:contextualSpacing/>
        <w:jc w:val="left"/>
      </w:pPr>
    </w:p>
    <w:p w14:paraId="2DFCA58E" w14:textId="3F9DCA16" w:rsidR="000F057B" w:rsidRDefault="00AB28C7" w:rsidP="002E7551">
      <w:pPr>
        <w:spacing w:line="360" w:lineRule="auto"/>
        <w:contextualSpacing/>
        <w:jc w:val="left"/>
      </w:pPr>
      <w:r>
        <w:t xml:space="preserve">The inclusion of </w:t>
      </w:r>
      <w:r w:rsidR="00153565">
        <w:t>digital memes as part of cultural heritage may also be questionable</w:t>
      </w:r>
      <w:r w:rsidR="00FB4613">
        <w:t xml:space="preserve">.  </w:t>
      </w:r>
      <w:r w:rsidR="00912509">
        <w:t>If one accepts Assmann’s theory of cultural mem</w:t>
      </w:r>
      <w:r w:rsidR="00D66EC7">
        <w:t xml:space="preserve">ory, it </w:t>
      </w:r>
      <w:r w:rsidR="00AF2179">
        <w:t>resides in the past</w:t>
      </w:r>
      <w:r w:rsidR="005857A6">
        <w:t xml:space="preserve">, usually </w:t>
      </w:r>
      <w:r w:rsidR="00D25AFE">
        <w:t xml:space="preserve">taking </w:t>
      </w:r>
      <w:r w:rsidR="005857A6">
        <w:t xml:space="preserve">more </w:t>
      </w:r>
      <w:r w:rsidR="00D25AFE">
        <w:t>than</w:t>
      </w:r>
      <w:r w:rsidR="005857A6">
        <w:t xml:space="preserve"> three generations</w:t>
      </w:r>
      <w:r w:rsidR="00D25AFE">
        <w:t xml:space="preserve"> to form</w:t>
      </w:r>
      <w:r w:rsidR="00D25AFE">
        <w:rPr>
          <w:rStyle w:val="FootnoteReference"/>
        </w:rPr>
        <w:footnoteReference w:id="10"/>
      </w:r>
      <w:r w:rsidR="00AF2179">
        <w:t xml:space="preserve">.  It may be that digitization of culture </w:t>
      </w:r>
      <w:r w:rsidR="005A6527">
        <w:t xml:space="preserve">accelerates the process of cultural memory formation but neither concept is </w:t>
      </w:r>
      <w:r w:rsidR="005857A6">
        <w:t>discussed here</w:t>
      </w:r>
      <w:r w:rsidR="0056050A">
        <w:t xml:space="preserve"> and </w:t>
      </w:r>
      <w:r w:rsidR="0094603D">
        <w:t xml:space="preserve">while </w:t>
      </w:r>
      <w:r w:rsidR="0056050A">
        <w:t xml:space="preserve">this section </w:t>
      </w:r>
      <w:r w:rsidR="002E20AD">
        <w:t xml:space="preserve">is useful when discussing digital preservation, </w:t>
      </w:r>
      <w:r w:rsidR="00F11EFE">
        <w:t xml:space="preserve">the issue of </w:t>
      </w:r>
      <w:r w:rsidR="0086094B">
        <w:t xml:space="preserve">cultural heritage and the internet </w:t>
      </w:r>
      <w:r w:rsidR="0068755B">
        <w:t>could have been further explored.</w:t>
      </w:r>
    </w:p>
    <w:p w14:paraId="1657F510" w14:textId="77777777" w:rsidR="00455EA1" w:rsidRDefault="00455EA1" w:rsidP="002E7551">
      <w:pPr>
        <w:spacing w:line="360" w:lineRule="auto"/>
        <w:contextualSpacing/>
        <w:jc w:val="left"/>
      </w:pPr>
    </w:p>
    <w:p w14:paraId="6AD31270" w14:textId="25A4CB0C" w:rsidR="0041797E" w:rsidRDefault="00455EA1" w:rsidP="002E7551">
      <w:pPr>
        <w:spacing w:line="360" w:lineRule="auto"/>
        <w:contextualSpacing/>
        <w:jc w:val="left"/>
      </w:pPr>
      <w:r>
        <w:t xml:space="preserve">The </w:t>
      </w:r>
      <w:r w:rsidR="00FD08E1">
        <w:t>position of humour as contextually specific</w:t>
      </w:r>
      <w:r>
        <w:t xml:space="preserve"> also brings</w:t>
      </w:r>
      <w:r w:rsidR="00FD08E1">
        <w:t xml:space="preserve"> with it questions about </w:t>
      </w:r>
      <w:r w:rsidR="00675462">
        <w:t>what humour should be preserved in transforming cultures</w:t>
      </w:r>
      <w:r w:rsidR="00A07751">
        <w:t xml:space="preserve"> and this is not addressed</w:t>
      </w:r>
      <w:r w:rsidR="00675462">
        <w:t>.  For example</w:t>
      </w:r>
      <w:r w:rsidR="00A07751">
        <w:t>, contemporary society would not accept</w:t>
      </w:r>
      <w:r w:rsidR="007F6736">
        <w:t xml:space="preserve"> the humour of some of the 1990’s comedy sketch shows such as </w:t>
      </w:r>
      <w:r w:rsidR="0012383C">
        <w:rPr>
          <w:i/>
          <w:iCs/>
        </w:rPr>
        <w:t>Little Britain</w:t>
      </w:r>
      <w:r w:rsidR="0012383C">
        <w:t xml:space="preserve"> so how does humour which is no longer regarded as such be presented as humorous heritage?</w:t>
      </w:r>
      <w:r w:rsidR="00CF43C2">
        <w:t xml:space="preserve">  It is not enough to state that</w:t>
      </w:r>
      <w:r w:rsidR="0074080F">
        <w:t xml:space="preserve"> if the context is recognised, it should be </w:t>
      </w:r>
      <w:r w:rsidR="000A7DC5">
        <w:t>seen as humour</w:t>
      </w:r>
      <w:r w:rsidR="006E30CA">
        <w:t>; a joke can cease to be funny</w:t>
      </w:r>
      <w:r w:rsidR="00073F82">
        <w:t xml:space="preserve"> very quickly if social values change</w:t>
      </w:r>
      <w:r w:rsidR="000A7DC5">
        <w:t xml:space="preserve">. </w:t>
      </w:r>
      <w:r w:rsidR="00B769EB">
        <w:t xml:space="preserve"> As a further </w:t>
      </w:r>
      <w:r w:rsidR="00567A1B">
        <w:t>example, Punch</w:t>
      </w:r>
      <w:r w:rsidR="000A7DC5">
        <w:t xml:space="preserve"> and Judy shows </w:t>
      </w:r>
      <w:r w:rsidR="007F59A6">
        <w:t xml:space="preserve">have been the subject of whether </w:t>
      </w:r>
      <w:r w:rsidR="0081453A">
        <w:t>they are humorous since the 1840s</w:t>
      </w:r>
      <w:r w:rsidR="00AB00D2">
        <w:t xml:space="preserve"> with the likes of Charles Dickens</w:t>
      </w:r>
      <w:r w:rsidR="003E3EB4">
        <w:t xml:space="preserve"> declaring it to be harmless </w:t>
      </w:r>
      <w:r w:rsidR="0067227F">
        <w:t>whilst</w:t>
      </w:r>
      <w:r w:rsidR="003E3EB4">
        <w:t xml:space="preserve"> other voices continued to </w:t>
      </w:r>
      <w:r w:rsidR="00B555F6">
        <w:t>object to what was considered the glorification of domestic violence</w:t>
      </w:r>
      <w:r w:rsidR="00B95F41">
        <w:rPr>
          <w:rStyle w:val="FootnoteReference"/>
        </w:rPr>
        <w:footnoteReference w:id="11"/>
      </w:r>
      <w:r w:rsidR="00B555F6">
        <w:t>.</w:t>
      </w:r>
      <w:r w:rsidR="00072C46">
        <w:t xml:space="preserve"> </w:t>
      </w:r>
      <w:r w:rsidR="00245497">
        <w:lastRenderedPageBreak/>
        <w:t>Fiadotava does conclude that humo</w:t>
      </w:r>
      <w:r w:rsidR="00C37165">
        <w:t>rous heritage</w:t>
      </w:r>
      <w:r w:rsidR="00245497">
        <w:t xml:space="preserve"> should not </w:t>
      </w:r>
      <w:r w:rsidR="00C37165">
        <w:t>be considered as individual jokes or practices</w:t>
      </w:r>
      <w:r w:rsidR="00872A8E">
        <w:t xml:space="preserve"> rather as a set of collections and practices which </w:t>
      </w:r>
      <w:r w:rsidR="00A706C8">
        <w:t xml:space="preserve">merges serious and nonserious heritage and recognises </w:t>
      </w:r>
      <w:r w:rsidR="00614446">
        <w:t xml:space="preserve">that humour is </w:t>
      </w:r>
      <w:r w:rsidR="00B61748">
        <w:t>both a transitory and</w:t>
      </w:r>
      <w:r w:rsidR="00DC13FC">
        <w:t xml:space="preserve"> ubiquitous part of our society.</w:t>
      </w:r>
      <w:r w:rsidR="00B61748">
        <w:t xml:space="preserve"> </w:t>
      </w:r>
      <w:r w:rsidR="00DF1229">
        <w:t xml:space="preserve">However, the question of how one categorises and archives </w:t>
      </w:r>
      <w:r w:rsidR="006D37D9">
        <w:t xml:space="preserve">as humorous heritage something that was once humorous and now </w:t>
      </w:r>
      <w:r w:rsidR="00CB2F19">
        <w:t xml:space="preserve">is not, is surely a challenging one.  </w:t>
      </w:r>
    </w:p>
    <w:p w14:paraId="7DCB9F29" w14:textId="77777777" w:rsidR="0041797E" w:rsidRDefault="0041797E" w:rsidP="002E7551">
      <w:pPr>
        <w:spacing w:line="360" w:lineRule="auto"/>
        <w:contextualSpacing/>
        <w:jc w:val="left"/>
      </w:pPr>
    </w:p>
    <w:p w14:paraId="7792C881" w14:textId="1E50CF1B" w:rsidR="00455EA1" w:rsidRDefault="0041797E" w:rsidP="002E7551">
      <w:pPr>
        <w:spacing w:line="360" w:lineRule="auto"/>
        <w:contextualSpacing/>
        <w:jc w:val="left"/>
      </w:pPr>
      <w:r>
        <w:t xml:space="preserve">Her final discussion point is that of </w:t>
      </w:r>
      <w:r w:rsidR="000D6862">
        <w:t>the sacralisati</w:t>
      </w:r>
      <w:r w:rsidR="00C5783D">
        <w:t>on of humorous heritage</w:t>
      </w:r>
      <w:r w:rsidR="00226C18">
        <w:t xml:space="preserve"> is difficult </w:t>
      </w:r>
      <w:r w:rsidR="00103A26">
        <w:t>because, unlike the argument put forward by Meyer and De Witte</w:t>
      </w:r>
      <w:r w:rsidR="00EE1CE3">
        <w:t xml:space="preserve"> </w:t>
      </w:r>
      <w:r w:rsidR="00DA1DB0">
        <w:t>that</w:t>
      </w:r>
      <w:r w:rsidR="00EE1CE3">
        <w:t xml:space="preserve"> heritage </w:t>
      </w:r>
      <w:r w:rsidR="00861787">
        <w:t xml:space="preserve">comprises </w:t>
      </w:r>
      <w:r w:rsidR="001A6C96">
        <w:t>aspects of sacralisation where ‘cultural forms</w:t>
      </w:r>
      <w:r w:rsidR="00C519D5">
        <w:t xml:space="preserve"> are lifted up and set apart</w:t>
      </w:r>
      <w:r w:rsidR="00C519D5">
        <w:rPr>
          <w:rStyle w:val="FootnoteReference"/>
        </w:rPr>
        <w:footnoteReference w:id="12"/>
      </w:r>
      <w:r w:rsidR="00C519D5">
        <w:t xml:space="preserve">’ </w:t>
      </w:r>
      <w:proofErr w:type="gramStart"/>
      <w:r w:rsidR="00BE4E01">
        <w:t>in order to</w:t>
      </w:r>
      <w:proofErr w:type="gramEnd"/>
      <w:r w:rsidR="00BE4E01">
        <w:t xml:space="preserve"> be </w:t>
      </w:r>
      <w:r w:rsidR="003474EA">
        <w:t>integral to society</w:t>
      </w:r>
      <w:r w:rsidR="002600C8">
        <w:t>, humour is often profane and therefore does not need to be sacred.</w:t>
      </w:r>
      <w:r w:rsidR="000D3197">
        <w:t xml:space="preserve">  It is essential she argues that humour maintains close connections with those that create it</w:t>
      </w:r>
      <w:r w:rsidR="00B87B0F">
        <w:t xml:space="preserve">.  </w:t>
      </w:r>
      <w:r w:rsidR="001258D5">
        <w:t>In this part of the text</w:t>
      </w:r>
      <w:r w:rsidR="00F6101E">
        <w:t xml:space="preserve"> Fiadotava </w:t>
      </w:r>
      <w:r w:rsidR="00FD737E">
        <w:t>is</w:t>
      </w:r>
      <w:r w:rsidR="00F6101E">
        <w:t xml:space="preserve"> arguing for the democratisation of all heritage</w:t>
      </w:r>
      <w:r w:rsidR="003F530C">
        <w:t>. This feels like an important discussion point</w:t>
      </w:r>
      <w:r w:rsidR="004176B9">
        <w:t xml:space="preserve">; </w:t>
      </w:r>
      <w:r w:rsidR="003F530C">
        <w:t>one which takes the reader away from humour per se</w:t>
      </w:r>
      <w:r w:rsidR="004176B9">
        <w:t xml:space="preserve"> and into a more </w:t>
      </w:r>
      <w:r w:rsidR="002052EB">
        <w:t xml:space="preserve">general discussion of the accessibility of heritage in society.  </w:t>
      </w:r>
      <w:r w:rsidR="007B3D2D">
        <w:t xml:space="preserve">She concludes with the assertion that ‘[since] no cultural is devoid of </w:t>
      </w:r>
      <w:r w:rsidR="00D91431">
        <w:t>humour, no</w:t>
      </w:r>
      <w:r w:rsidR="001C0769">
        <w:t xml:space="preserve"> cultural heritage is complete without </w:t>
      </w:r>
      <w:r w:rsidR="009F1AC3">
        <w:t>its</w:t>
      </w:r>
      <w:r w:rsidR="001C0769">
        <w:t xml:space="preserve"> humorous components’.  </w:t>
      </w:r>
      <w:r w:rsidR="00C20867">
        <w:t xml:space="preserve">If one explores humour from an </w:t>
      </w:r>
      <w:r w:rsidR="00A34938">
        <w:t xml:space="preserve">anthropological, sociological, </w:t>
      </w:r>
      <w:r w:rsidR="00393572">
        <w:t xml:space="preserve">philosophical </w:t>
      </w:r>
      <w:r w:rsidR="00A34938">
        <w:t xml:space="preserve">or even physiological perspective </w:t>
      </w:r>
      <w:proofErr w:type="gramStart"/>
      <w:r w:rsidR="00A34938">
        <w:t xml:space="preserve">it is clear that </w:t>
      </w:r>
      <w:r w:rsidR="009F1AC3">
        <w:t>irrespective</w:t>
      </w:r>
      <w:proofErr w:type="gramEnd"/>
      <w:r w:rsidR="009F1AC3">
        <w:t xml:space="preserve"> of the gaps in this paper, this assertion </w:t>
      </w:r>
      <w:r w:rsidR="00393572">
        <w:t>must be valid.</w:t>
      </w:r>
    </w:p>
    <w:p w14:paraId="0C1297ED" w14:textId="73F12EED" w:rsidR="005B32DD" w:rsidRPr="0012383C" w:rsidRDefault="005B32DD" w:rsidP="002E7551">
      <w:pPr>
        <w:spacing w:line="360" w:lineRule="auto"/>
        <w:contextualSpacing/>
        <w:jc w:val="left"/>
      </w:pPr>
    </w:p>
    <w:p w14:paraId="12E0D75C" w14:textId="18421477" w:rsidR="00F1077C" w:rsidRDefault="00F1077C" w:rsidP="00885CD0">
      <w:pPr>
        <w:spacing w:line="360" w:lineRule="auto"/>
        <w:contextualSpacing/>
        <w:jc w:val="left"/>
      </w:pPr>
      <w:r>
        <w:t xml:space="preserve">Writing in 2009, </w:t>
      </w:r>
      <w:r w:rsidR="00A1246E">
        <w:t xml:space="preserve">Charlotte Andrews argues that </w:t>
      </w:r>
    </w:p>
    <w:p w14:paraId="1C5D6586" w14:textId="77777777" w:rsidR="00F1077C" w:rsidRDefault="00F1077C" w:rsidP="00885CD0">
      <w:pPr>
        <w:spacing w:line="360" w:lineRule="auto"/>
        <w:contextualSpacing/>
        <w:jc w:val="left"/>
      </w:pPr>
    </w:p>
    <w:p w14:paraId="47E9568C" w14:textId="1B8B2F7A" w:rsidR="001A56FB" w:rsidRDefault="00885CD0" w:rsidP="004F00D2">
      <w:pPr>
        <w:spacing w:line="360" w:lineRule="auto"/>
        <w:ind w:left="720" w:right="1229"/>
        <w:contextualSpacing/>
        <w:jc w:val="left"/>
      </w:pPr>
      <w:r w:rsidRPr="00885CD0">
        <w:t>Heritage Studies does not yet offer a set of</w:t>
      </w:r>
      <w:r w:rsidR="001018C9">
        <w:t xml:space="preserve"> </w:t>
      </w:r>
      <w:r w:rsidRPr="00885CD0">
        <w:t>established methodologies to choose from, researchers are challenged, but also</w:t>
      </w:r>
      <w:r w:rsidR="001018C9">
        <w:t xml:space="preserve"> </w:t>
      </w:r>
      <w:r w:rsidRPr="00885CD0">
        <w:t>free, to employ novel lines of enquiry towards our aim of a more complex and</w:t>
      </w:r>
      <w:r w:rsidR="001018C9">
        <w:t xml:space="preserve"> </w:t>
      </w:r>
      <w:r w:rsidRPr="00885CD0">
        <w:t>satisfying understanding of heritage</w:t>
      </w:r>
      <w:r w:rsidR="001018C9">
        <w:rPr>
          <w:rStyle w:val="FootnoteReference"/>
        </w:rPr>
        <w:footnoteReference w:id="13"/>
      </w:r>
    </w:p>
    <w:p w14:paraId="05C506C6" w14:textId="10B98129" w:rsidR="001A56FB" w:rsidRDefault="001A56FB" w:rsidP="000C57DD">
      <w:pPr>
        <w:spacing w:line="360" w:lineRule="auto"/>
        <w:contextualSpacing/>
        <w:jc w:val="left"/>
      </w:pPr>
    </w:p>
    <w:p w14:paraId="47B5B0B8" w14:textId="5E744F98" w:rsidR="0085771C" w:rsidRDefault="00E10519" w:rsidP="000C57DD">
      <w:pPr>
        <w:spacing w:line="360" w:lineRule="auto"/>
        <w:contextualSpacing/>
        <w:jc w:val="left"/>
      </w:pPr>
      <w:proofErr w:type="gramStart"/>
      <w:r>
        <w:t>It is clear that a</w:t>
      </w:r>
      <w:proofErr w:type="gramEnd"/>
      <w:r>
        <w:t xml:space="preserve"> number of approaches have been used in this paper.  Fiadotava hers</w:t>
      </w:r>
      <w:r w:rsidR="003327F5">
        <w:t xml:space="preserve">elf is a folklorist and she has used contributions from </w:t>
      </w:r>
      <w:r w:rsidR="00680FCB">
        <w:t>heritage professionals</w:t>
      </w:r>
      <w:r w:rsidR="00945920">
        <w:t xml:space="preserve"> as well as </w:t>
      </w:r>
      <w:r w:rsidR="00DD60F1">
        <w:t xml:space="preserve">academics from the fields of </w:t>
      </w:r>
      <w:r w:rsidR="00680FCB">
        <w:t>sociolog</w:t>
      </w:r>
      <w:r w:rsidR="00DD60F1">
        <w:t>y, museum studies</w:t>
      </w:r>
      <w:r w:rsidR="000529B5">
        <w:t xml:space="preserve">, history, media, </w:t>
      </w:r>
      <w:r w:rsidR="000529B5">
        <w:lastRenderedPageBreak/>
        <w:t>linguistics and others</w:t>
      </w:r>
      <w:r w:rsidR="00CA4ECF">
        <w:rPr>
          <w:rStyle w:val="FootnoteReference"/>
        </w:rPr>
        <w:footnoteReference w:id="14"/>
      </w:r>
      <w:r w:rsidR="00C8536E">
        <w:t xml:space="preserve">.  This demonstrates that heritage studies continue to </w:t>
      </w:r>
      <w:r w:rsidR="00137FCD">
        <w:t xml:space="preserve">require </w:t>
      </w:r>
      <w:r w:rsidR="000D70C7">
        <w:t>different methodologies</w:t>
      </w:r>
      <w:r w:rsidR="00137FCD">
        <w:t xml:space="preserve"> </w:t>
      </w:r>
      <w:r w:rsidR="008152BC">
        <w:t>to</w:t>
      </w:r>
      <w:r w:rsidR="005D6724">
        <w:t xml:space="preserve"> </w:t>
      </w:r>
      <w:r w:rsidR="00CF5823">
        <w:t>garner rich understanding</w:t>
      </w:r>
      <w:r w:rsidR="00B62D4E">
        <w:t>s</w:t>
      </w:r>
      <w:r w:rsidR="00CF5823">
        <w:t xml:space="preserve"> of heritage</w:t>
      </w:r>
      <w:r w:rsidR="00B62D4E">
        <w:t>, no less than was required in 2009.</w:t>
      </w:r>
      <w:r w:rsidR="00137FCD">
        <w:t xml:space="preserve"> </w:t>
      </w:r>
      <w:r w:rsidR="00680FCB">
        <w:t xml:space="preserve"> </w:t>
      </w:r>
      <w:r w:rsidR="008B1B69">
        <w:t>Overall,</w:t>
      </w:r>
      <w:r w:rsidR="0085771C">
        <w:t xml:space="preserve"> this paper is an interesting analysis of humour as heritage</w:t>
      </w:r>
      <w:r w:rsidR="00E84778">
        <w:t xml:space="preserve"> </w:t>
      </w:r>
      <w:r w:rsidR="005E082C">
        <w:t>and Fiadotava’s approach has enabled her to consider different</w:t>
      </w:r>
      <w:r w:rsidR="00A1207F">
        <w:t xml:space="preserve"> contexts in which humour exists</w:t>
      </w:r>
      <w:r w:rsidR="006A58D1">
        <w:t xml:space="preserve"> and to </w:t>
      </w:r>
      <w:r w:rsidR="006D10E5">
        <w:t xml:space="preserve">make the argument for humour as part of our cultural heritage.  </w:t>
      </w:r>
    </w:p>
    <w:p w14:paraId="06D96B44" w14:textId="5DF4D649" w:rsidR="005B42CE" w:rsidRDefault="005B42CE">
      <w:r>
        <w:br w:type="page"/>
      </w:r>
    </w:p>
    <w:p w14:paraId="14CD8C68" w14:textId="065947D5" w:rsidR="005B42CE" w:rsidRDefault="005B42CE" w:rsidP="000C57DD">
      <w:pPr>
        <w:spacing w:line="360" w:lineRule="auto"/>
        <w:contextualSpacing/>
        <w:jc w:val="left"/>
        <w:rPr>
          <w:b/>
          <w:bCs w:val="0"/>
        </w:rPr>
      </w:pPr>
      <w:r w:rsidRPr="005B42CE">
        <w:rPr>
          <w:b/>
          <w:bCs w:val="0"/>
        </w:rPr>
        <w:lastRenderedPageBreak/>
        <w:t>Bibliography</w:t>
      </w:r>
    </w:p>
    <w:p w14:paraId="783569E9" w14:textId="77777777" w:rsidR="005B42CE" w:rsidRDefault="005B42CE" w:rsidP="000C57DD">
      <w:pPr>
        <w:spacing w:line="360" w:lineRule="auto"/>
        <w:contextualSpacing/>
        <w:jc w:val="left"/>
        <w:rPr>
          <w:b/>
          <w:bCs w:val="0"/>
        </w:rPr>
      </w:pPr>
    </w:p>
    <w:p w14:paraId="6E006599" w14:textId="77777777" w:rsidR="00E80441" w:rsidRDefault="005B42CE" w:rsidP="005B42CE">
      <w:pPr>
        <w:pStyle w:val="FootnoteText"/>
        <w:jc w:val="left"/>
        <w:rPr>
          <w:sz w:val="24"/>
          <w:szCs w:val="24"/>
        </w:rPr>
      </w:pPr>
      <w:r w:rsidRPr="005B42CE">
        <w:rPr>
          <w:sz w:val="24"/>
          <w:szCs w:val="24"/>
        </w:rPr>
        <w:t>Charlotte Andrews in Marie Louise Stig Sørensen, John Carman, </w:t>
      </w:r>
      <w:r w:rsidRPr="005B42CE">
        <w:rPr>
          <w:i/>
          <w:iCs/>
          <w:sz w:val="24"/>
          <w:szCs w:val="24"/>
        </w:rPr>
        <w:t>Heritage Studies: Methods and Approaches</w:t>
      </w:r>
      <w:r w:rsidRPr="005B42CE">
        <w:rPr>
          <w:sz w:val="24"/>
          <w:szCs w:val="24"/>
        </w:rPr>
        <w:t> (Oxford: Routledge 2009)</w:t>
      </w:r>
    </w:p>
    <w:p w14:paraId="20C34201" w14:textId="1208931C" w:rsidR="00CE0B7C" w:rsidRDefault="005B42CE" w:rsidP="005B42CE">
      <w:pPr>
        <w:pStyle w:val="FootnoteText"/>
        <w:jc w:val="left"/>
        <w:rPr>
          <w:sz w:val="24"/>
          <w:szCs w:val="24"/>
        </w:rPr>
      </w:pPr>
      <w:r w:rsidRPr="005B42CE">
        <w:rPr>
          <w:sz w:val="24"/>
          <w:szCs w:val="24"/>
        </w:rPr>
        <w:t> </w:t>
      </w:r>
    </w:p>
    <w:p w14:paraId="40FE6CA0" w14:textId="60010CCD" w:rsidR="00E80441" w:rsidRDefault="00CE0B7C" w:rsidP="00CE0B7C">
      <w:pPr>
        <w:pStyle w:val="FootnoteText"/>
        <w:jc w:val="left"/>
        <w:rPr>
          <w:sz w:val="24"/>
          <w:szCs w:val="24"/>
          <w:lang w:val="en-US"/>
        </w:rPr>
      </w:pPr>
      <w:r w:rsidRPr="005B42CE">
        <w:rPr>
          <w:sz w:val="24"/>
          <w:szCs w:val="24"/>
          <w:lang w:val="en-US"/>
        </w:rPr>
        <w:t xml:space="preserve">Jan Assmann, “Memory: Individual, Social and Cultural in Astrid Eril and Ansgar Nunning (eds) </w:t>
      </w:r>
      <w:r w:rsidRPr="005B42CE">
        <w:rPr>
          <w:i/>
          <w:iCs/>
          <w:sz w:val="24"/>
          <w:szCs w:val="24"/>
          <w:lang w:val="en-US"/>
        </w:rPr>
        <w:t xml:space="preserve">Cultural Memory Studies: An International and Interdisciplinary </w:t>
      </w:r>
      <w:r w:rsidR="008F3D53" w:rsidRPr="005B42CE">
        <w:rPr>
          <w:i/>
          <w:iCs/>
          <w:sz w:val="24"/>
          <w:szCs w:val="24"/>
          <w:lang w:val="en-US"/>
        </w:rPr>
        <w:t xml:space="preserve">Handbook </w:t>
      </w:r>
      <w:r w:rsidR="008F3D53" w:rsidRPr="005B42CE">
        <w:rPr>
          <w:sz w:val="24"/>
          <w:szCs w:val="24"/>
          <w:lang w:val="en-US"/>
        </w:rPr>
        <w:t>(</w:t>
      </w:r>
      <w:r w:rsidRPr="005B42CE">
        <w:rPr>
          <w:sz w:val="24"/>
          <w:szCs w:val="24"/>
          <w:lang w:val="en-US"/>
        </w:rPr>
        <w:t>Berlin, New York) 2008</w:t>
      </w:r>
    </w:p>
    <w:p w14:paraId="02A9A692" w14:textId="4EA23CAC" w:rsidR="00FD45AE" w:rsidRDefault="00CE0B7C" w:rsidP="00CE0B7C">
      <w:pPr>
        <w:pStyle w:val="FootnoteText"/>
        <w:jc w:val="left"/>
        <w:rPr>
          <w:sz w:val="24"/>
          <w:szCs w:val="24"/>
          <w:lang w:val="en-US"/>
        </w:rPr>
      </w:pPr>
      <w:r w:rsidRPr="005B42CE">
        <w:rPr>
          <w:sz w:val="24"/>
          <w:szCs w:val="24"/>
          <w:lang w:val="en-US"/>
        </w:rPr>
        <w:t xml:space="preserve"> </w:t>
      </w:r>
    </w:p>
    <w:p w14:paraId="192044E5" w14:textId="284888F9" w:rsidR="00CE0B7C" w:rsidRDefault="00FD45AE" w:rsidP="005B42CE">
      <w:pPr>
        <w:pStyle w:val="FootnoteText"/>
        <w:jc w:val="left"/>
        <w:rPr>
          <w:sz w:val="24"/>
          <w:szCs w:val="24"/>
          <w:lang w:val="en-US"/>
        </w:rPr>
      </w:pPr>
      <w:r w:rsidRPr="005B42CE">
        <w:rPr>
          <w:sz w:val="24"/>
          <w:szCs w:val="24"/>
          <w:lang w:val="en-US"/>
        </w:rPr>
        <w:t xml:space="preserve">Pierre Bourdieu, Distinction: </w:t>
      </w:r>
      <w:r w:rsidRPr="005B42CE">
        <w:rPr>
          <w:i/>
          <w:iCs/>
          <w:sz w:val="24"/>
          <w:szCs w:val="24"/>
          <w:lang w:val="en-US"/>
        </w:rPr>
        <w:t>A Social Critique of the Judgment of Taste</w:t>
      </w:r>
      <w:r w:rsidRPr="005B42CE">
        <w:rPr>
          <w:sz w:val="24"/>
          <w:szCs w:val="24"/>
          <w:lang w:val="en-US"/>
        </w:rPr>
        <w:t>. Tr. Richard Nice (Harvard: Routledge</w:t>
      </w:r>
      <w:r>
        <w:rPr>
          <w:sz w:val="24"/>
          <w:szCs w:val="24"/>
          <w:lang w:val="en-US"/>
        </w:rPr>
        <w:t>)</w:t>
      </w:r>
      <w:r w:rsidRPr="005B42CE">
        <w:rPr>
          <w:sz w:val="24"/>
          <w:szCs w:val="24"/>
          <w:lang w:val="en-US"/>
        </w:rPr>
        <w:t xml:space="preserve"> 1996</w:t>
      </w:r>
    </w:p>
    <w:p w14:paraId="5D97889A" w14:textId="77777777" w:rsidR="00E80441" w:rsidRPr="005B42CE" w:rsidRDefault="00E80441" w:rsidP="005B42CE">
      <w:pPr>
        <w:pStyle w:val="FootnoteText"/>
        <w:jc w:val="left"/>
        <w:rPr>
          <w:sz w:val="24"/>
          <w:szCs w:val="24"/>
        </w:rPr>
      </w:pPr>
    </w:p>
    <w:p w14:paraId="528A6C7E" w14:textId="0D49F919" w:rsidR="00CE0B7C" w:rsidRDefault="00CE0B7C" w:rsidP="00CE0B7C">
      <w:pPr>
        <w:pStyle w:val="FootnoteText"/>
        <w:jc w:val="left"/>
        <w:rPr>
          <w:sz w:val="24"/>
          <w:szCs w:val="24"/>
        </w:rPr>
      </w:pPr>
      <w:r w:rsidRPr="005B42CE">
        <w:rPr>
          <w:sz w:val="24"/>
          <w:szCs w:val="24"/>
        </w:rPr>
        <w:t>Anastasiya Fiadotava (10 Sep 2025): Humour as cultural heritage, International Journal of Heritage Studies, p</w:t>
      </w:r>
      <w:r w:rsidR="008F3D53" w:rsidRPr="005B42CE">
        <w:rPr>
          <w:sz w:val="24"/>
          <w:szCs w:val="24"/>
        </w:rPr>
        <w:t>5 DOI</w:t>
      </w:r>
      <w:r w:rsidRPr="005B42CE">
        <w:rPr>
          <w:sz w:val="24"/>
          <w:szCs w:val="24"/>
        </w:rPr>
        <w:t>: 10.1080/13527258.2025.2557837</w:t>
      </w:r>
    </w:p>
    <w:p w14:paraId="240660CF" w14:textId="77777777" w:rsidR="00E80441" w:rsidRDefault="00E80441" w:rsidP="00CE0B7C">
      <w:pPr>
        <w:pStyle w:val="FootnoteText"/>
        <w:jc w:val="left"/>
        <w:rPr>
          <w:sz w:val="24"/>
          <w:szCs w:val="24"/>
        </w:rPr>
      </w:pPr>
    </w:p>
    <w:p w14:paraId="43A2FC37" w14:textId="5EB29D4D" w:rsidR="00921F7E" w:rsidRDefault="00921F7E" w:rsidP="00CE0B7C">
      <w:pPr>
        <w:pStyle w:val="FootnoteText"/>
        <w:jc w:val="left"/>
        <w:rPr>
          <w:sz w:val="24"/>
          <w:szCs w:val="24"/>
        </w:rPr>
      </w:pPr>
      <w:r w:rsidRPr="005B42CE">
        <w:rPr>
          <w:sz w:val="24"/>
          <w:szCs w:val="24"/>
        </w:rPr>
        <w:t xml:space="preserve">Rodney Harrison, </w:t>
      </w:r>
      <w:r w:rsidRPr="005B42CE">
        <w:rPr>
          <w:i/>
          <w:iCs/>
          <w:sz w:val="24"/>
          <w:szCs w:val="24"/>
        </w:rPr>
        <w:t xml:space="preserve">Understanding the Politics of Heritage </w:t>
      </w:r>
      <w:r w:rsidRPr="005B42CE">
        <w:rPr>
          <w:sz w:val="24"/>
          <w:szCs w:val="24"/>
        </w:rPr>
        <w:t>(Milton Keynes: Open University Press, 2010)</w:t>
      </w:r>
    </w:p>
    <w:p w14:paraId="176D5D2D" w14:textId="77777777" w:rsidR="00E80441" w:rsidRDefault="00E80441" w:rsidP="00CE0B7C">
      <w:pPr>
        <w:pStyle w:val="FootnoteText"/>
        <w:jc w:val="left"/>
        <w:rPr>
          <w:sz w:val="24"/>
          <w:szCs w:val="24"/>
        </w:rPr>
      </w:pPr>
    </w:p>
    <w:p w14:paraId="45779F21" w14:textId="77777777" w:rsidR="00921F7E" w:rsidRDefault="00921F7E" w:rsidP="00921F7E">
      <w:pPr>
        <w:pStyle w:val="FootnoteText"/>
        <w:jc w:val="left"/>
        <w:rPr>
          <w:sz w:val="24"/>
          <w:szCs w:val="24"/>
        </w:rPr>
      </w:pPr>
      <w:r w:rsidRPr="005B42CE">
        <w:rPr>
          <w:sz w:val="24"/>
          <w:szCs w:val="24"/>
        </w:rPr>
        <w:t xml:space="preserve">Giselinde Kuipers, “The sociology of humor”. In: Raskin, V. ed. </w:t>
      </w:r>
      <w:r w:rsidRPr="005B42CE">
        <w:rPr>
          <w:i/>
          <w:iCs/>
          <w:sz w:val="24"/>
          <w:szCs w:val="24"/>
        </w:rPr>
        <w:t>The Primer of Humor Research</w:t>
      </w:r>
      <w:r w:rsidRPr="005B42CE">
        <w:rPr>
          <w:sz w:val="24"/>
          <w:szCs w:val="24"/>
        </w:rPr>
        <w:t xml:space="preserve">. (Berlin, New York: De Gruyter Mouton),2008. </w:t>
      </w:r>
      <w:hyperlink r:id="rId12" w:history="1">
        <w:r w:rsidRPr="005B42CE">
          <w:rPr>
            <w:rStyle w:val="Hyperlink"/>
            <w:sz w:val="24"/>
            <w:szCs w:val="24"/>
          </w:rPr>
          <w:t>https://doi.org/10.1515/9783110198492.361</w:t>
        </w:r>
      </w:hyperlink>
    </w:p>
    <w:p w14:paraId="5927C6B8" w14:textId="77777777" w:rsidR="00E80441" w:rsidRDefault="00E80441" w:rsidP="00921F7E">
      <w:pPr>
        <w:pStyle w:val="FootnoteText"/>
        <w:jc w:val="left"/>
        <w:rPr>
          <w:sz w:val="24"/>
          <w:szCs w:val="24"/>
        </w:rPr>
      </w:pPr>
    </w:p>
    <w:p w14:paraId="6C226EF3" w14:textId="77777777" w:rsidR="00921F7E" w:rsidRDefault="00921F7E" w:rsidP="00921F7E">
      <w:pPr>
        <w:pStyle w:val="FootnoteText"/>
        <w:jc w:val="left"/>
        <w:rPr>
          <w:sz w:val="24"/>
          <w:szCs w:val="24"/>
        </w:rPr>
      </w:pPr>
      <w:hyperlink r:id="rId13" w:history="1">
        <w:r w:rsidRPr="00175E13">
          <w:rPr>
            <w:rStyle w:val="Hyperlink"/>
            <w:color w:val="auto"/>
            <w:sz w:val="24"/>
            <w:szCs w:val="24"/>
            <w:u w:val="none"/>
          </w:rPr>
          <w:t>Ioannis Poulios</w:t>
        </w:r>
      </w:hyperlink>
      <w:r w:rsidRPr="005B42CE">
        <w:rPr>
          <w:sz w:val="24"/>
          <w:szCs w:val="24"/>
        </w:rPr>
        <w:t>, Discussing strategy in heritage conservation: Living heritage approach as an example of strategic innovation. </w:t>
      </w:r>
      <w:r w:rsidRPr="005B42CE">
        <w:rPr>
          <w:i/>
          <w:iCs/>
          <w:sz w:val="24"/>
          <w:szCs w:val="24"/>
        </w:rPr>
        <w:t>Journal of Cultural Heritage Management and Sustainable Development, </w:t>
      </w:r>
      <w:r w:rsidRPr="005B42CE">
        <w:rPr>
          <w:b/>
          <w:sz w:val="24"/>
          <w:szCs w:val="24"/>
        </w:rPr>
        <w:t>4</w:t>
      </w:r>
      <w:r w:rsidRPr="005B42CE">
        <w:rPr>
          <w:sz w:val="24"/>
          <w:szCs w:val="24"/>
        </w:rPr>
        <w:t>(1)</w:t>
      </w:r>
    </w:p>
    <w:p w14:paraId="13F592D5" w14:textId="77777777" w:rsidR="00E80441" w:rsidRDefault="00E80441" w:rsidP="00921F7E">
      <w:pPr>
        <w:pStyle w:val="FootnoteText"/>
        <w:jc w:val="left"/>
        <w:rPr>
          <w:sz w:val="24"/>
          <w:szCs w:val="24"/>
        </w:rPr>
      </w:pPr>
    </w:p>
    <w:p w14:paraId="2F678228" w14:textId="77777777" w:rsidR="00E80441" w:rsidRPr="005B42CE" w:rsidRDefault="00E80441" w:rsidP="00E80441">
      <w:pPr>
        <w:pStyle w:val="FootnoteText"/>
        <w:jc w:val="left"/>
        <w:rPr>
          <w:sz w:val="24"/>
          <w:szCs w:val="24"/>
        </w:rPr>
      </w:pPr>
      <w:r w:rsidRPr="005B42CE">
        <w:rPr>
          <w:sz w:val="24"/>
          <w:szCs w:val="24"/>
        </w:rPr>
        <w:t xml:space="preserve">Laurajane Smith, </w:t>
      </w:r>
      <w:r w:rsidRPr="005B42CE">
        <w:rPr>
          <w:i/>
          <w:iCs/>
          <w:sz w:val="24"/>
          <w:szCs w:val="24"/>
        </w:rPr>
        <w:t>Uses of Heritage</w:t>
      </w:r>
      <w:r w:rsidRPr="005B42CE">
        <w:rPr>
          <w:sz w:val="24"/>
          <w:szCs w:val="24"/>
        </w:rPr>
        <w:t xml:space="preserve"> (Oxford: Routledge 2006) </w:t>
      </w:r>
    </w:p>
    <w:p w14:paraId="74A82A1A" w14:textId="75A58DB6" w:rsidR="005B42CE" w:rsidRPr="005B42CE" w:rsidRDefault="005B42CE" w:rsidP="005B42CE">
      <w:pPr>
        <w:pStyle w:val="FootnoteText"/>
        <w:jc w:val="left"/>
        <w:rPr>
          <w:sz w:val="24"/>
          <w:szCs w:val="24"/>
          <w:lang w:val="en-US"/>
        </w:rPr>
      </w:pPr>
      <w:r>
        <w:rPr>
          <w:sz w:val="24"/>
          <w:szCs w:val="24"/>
        </w:rPr>
        <w:t>“</w:t>
      </w:r>
      <w:r w:rsidRPr="005B42CE">
        <w:rPr>
          <w:sz w:val="24"/>
          <w:szCs w:val="24"/>
        </w:rPr>
        <w:t xml:space="preserve">That's the way to do it!" A history of Punch &amp; Judy available at </w:t>
      </w:r>
      <w:hyperlink r:id="rId14" w:history="1">
        <w:r w:rsidRPr="005B42CE">
          <w:rPr>
            <w:rStyle w:val="Hyperlink"/>
            <w:sz w:val="24"/>
            <w:szCs w:val="24"/>
          </w:rPr>
          <w:t>https://www.vam.ac.uk/articles/thats-the-way-to-do-it-a-history-of-punch-and-judy?srsltid=AfmBOoq45TOxmGqzugOM36F8J0UFrlThtS1T6d0d0TItIb8pi3fiOHRy</w:t>
        </w:r>
      </w:hyperlink>
      <w:r w:rsidRPr="005B42CE">
        <w:rPr>
          <w:sz w:val="24"/>
          <w:szCs w:val="24"/>
        </w:rPr>
        <w:t xml:space="preserve"> </w:t>
      </w:r>
    </w:p>
    <w:p w14:paraId="5EE66EDF" w14:textId="3B05C310" w:rsidR="005B42CE" w:rsidRDefault="005B42CE" w:rsidP="005B42CE">
      <w:pPr>
        <w:pStyle w:val="FootnoteText"/>
        <w:jc w:val="left"/>
        <w:rPr>
          <w:sz w:val="24"/>
          <w:szCs w:val="24"/>
        </w:rPr>
      </w:pPr>
      <w:hyperlink r:id="rId15" w:history="1">
        <w:r w:rsidRPr="005B42CE">
          <w:rPr>
            <w:rStyle w:val="Hyperlink"/>
            <w:sz w:val="24"/>
            <w:szCs w:val="24"/>
          </w:rPr>
          <w:t>https://ich.unesco.org/en/convention</w:t>
        </w:r>
      </w:hyperlink>
      <w:r w:rsidRPr="005B42CE">
        <w:rPr>
          <w:sz w:val="24"/>
          <w:szCs w:val="24"/>
        </w:rPr>
        <w:t xml:space="preserve"> </w:t>
      </w:r>
    </w:p>
    <w:p w14:paraId="7F067B86" w14:textId="77777777" w:rsidR="00E80441" w:rsidRPr="005B42CE" w:rsidRDefault="00E80441" w:rsidP="005B42CE">
      <w:pPr>
        <w:pStyle w:val="FootnoteText"/>
        <w:jc w:val="left"/>
        <w:rPr>
          <w:sz w:val="24"/>
          <w:szCs w:val="24"/>
        </w:rPr>
      </w:pPr>
    </w:p>
    <w:p w14:paraId="0F86B43B" w14:textId="4505FEB1" w:rsidR="005B42CE" w:rsidRPr="005B42CE" w:rsidRDefault="005B42CE" w:rsidP="005B42CE">
      <w:pPr>
        <w:pStyle w:val="FootnoteText"/>
        <w:jc w:val="left"/>
        <w:rPr>
          <w:sz w:val="24"/>
          <w:szCs w:val="24"/>
          <w:lang w:val="en-US"/>
        </w:rPr>
      </w:pPr>
      <w:r w:rsidRPr="005B42CE">
        <w:rPr>
          <w:sz w:val="24"/>
          <w:szCs w:val="24"/>
        </w:rPr>
        <w:t xml:space="preserve">David Uzzell in Sharon Macdonald and Gordon Fyfe </w:t>
      </w:r>
      <w:r w:rsidRPr="005B42CE">
        <w:rPr>
          <w:i/>
          <w:iCs/>
          <w:sz w:val="24"/>
          <w:szCs w:val="24"/>
        </w:rPr>
        <w:t>Theorising Museums</w:t>
      </w:r>
      <w:r w:rsidRPr="005B42CE">
        <w:rPr>
          <w:sz w:val="24"/>
          <w:szCs w:val="24"/>
        </w:rPr>
        <w:t xml:space="preserve"> (Oxford: Blackwell 1996) </w:t>
      </w:r>
    </w:p>
    <w:p w14:paraId="7A5E1347" w14:textId="77777777" w:rsidR="005B42CE" w:rsidRPr="005B42CE" w:rsidRDefault="005B42CE" w:rsidP="005B42CE">
      <w:pPr>
        <w:pStyle w:val="FootnoteText"/>
        <w:rPr>
          <w:sz w:val="24"/>
          <w:szCs w:val="24"/>
        </w:rPr>
      </w:pPr>
    </w:p>
    <w:p w14:paraId="127D86C7" w14:textId="77777777" w:rsidR="005B42CE" w:rsidRPr="001018C9" w:rsidRDefault="005B42CE" w:rsidP="005B42CE">
      <w:pPr>
        <w:pStyle w:val="FootnoteText"/>
        <w:rPr>
          <w:lang w:val="en-US"/>
        </w:rPr>
      </w:pPr>
    </w:p>
    <w:p w14:paraId="3C3C523E" w14:textId="29DDC988" w:rsidR="005B42CE" w:rsidRDefault="00F14621" w:rsidP="000C57DD">
      <w:pPr>
        <w:spacing w:line="360" w:lineRule="auto"/>
        <w:contextualSpacing/>
        <w:jc w:val="left"/>
        <w:rPr>
          <w:b/>
          <w:bCs w:val="0"/>
        </w:rPr>
      </w:pPr>
      <w:r>
        <w:rPr>
          <w:b/>
          <w:bCs w:val="0"/>
        </w:rPr>
        <w:t>Figures</w:t>
      </w:r>
    </w:p>
    <w:p w14:paraId="644EDDDE" w14:textId="08A9FDD1" w:rsidR="00304173" w:rsidRPr="00304173" w:rsidRDefault="00F14621" w:rsidP="00C80E3B">
      <w:pPr>
        <w:contextualSpacing/>
        <w:jc w:val="left"/>
      </w:pPr>
      <w:r w:rsidRPr="00F14621">
        <w:t>Fig 1</w:t>
      </w:r>
      <w:r w:rsidR="00C80E3B">
        <w:t xml:space="preserve">. </w:t>
      </w:r>
      <w:r>
        <w:t xml:space="preserve"> </w:t>
      </w:r>
      <w:r w:rsidR="0044055E">
        <w:t>Peter Brooks – Cartoon</w:t>
      </w:r>
      <w:r w:rsidR="00212572">
        <w:t xml:space="preserve"> extracted from ‘</w:t>
      </w:r>
      <w:r w:rsidR="00304173" w:rsidRPr="00304173">
        <w:t>Disgrace’ — UK cartoon slammed for ‘lazy Irish stereotype’ of ‘Blarney Biden</w:t>
      </w:r>
      <w:r w:rsidR="001D131B">
        <w:t>’</w:t>
      </w:r>
      <w:r w:rsidR="00212572">
        <w:t xml:space="preserve">. </w:t>
      </w:r>
      <w:r w:rsidR="00304173">
        <w:t xml:space="preserve"> </w:t>
      </w:r>
      <w:r w:rsidR="00212572">
        <w:t>available at</w:t>
      </w:r>
      <w:r w:rsidR="00C80E3B">
        <w:t xml:space="preserve"> </w:t>
      </w:r>
      <w:hyperlink r:id="rId16" w:history="1">
        <w:r w:rsidR="00C80E3B" w:rsidRPr="00DE5397">
          <w:rPr>
            <w:rStyle w:val="Hyperlink"/>
          </w:rPr>
          <w:t>https://extra.ie/2023/04/14/news/cartoon-biden-visit</w:t>
        </w:r>
      </w:hyperlink>
      <w:r w:rsidR="00C80E3B">
        <w:t xml:space="preserve"> </w:t>
      </w:r>
      <w:r w:rsidR="00531BA6">
        <w:t>[accessed 25th October 2025]</w:t>
      </w:r>
    </w:p>
    <w:p w14:paraId="736ABC7E" w14:textId="40A27D4B" w:rsidR="00F14621" w:rsidRPr="00F14621" w:rsidRDefault="00F14621" w:rsidP="000C57DD">
      <w:pPr>
        <w:spacing w:line="360" w:lineRule="auto"/>
        <w:contextualSpacing/>
        <w:jc w:val="left"/>
      </w:pPr>
    </w:p>
    <w:p w14:paraId="64EA530E" w14:textId="77777777" w:rsidR="005B42CE" w:rsidRDefault="005B42CE" w:rsidP="000C57DD">
      <w:pPr>
        <w:spacing w:line="360" w:lineRule="auto"/>
        <w:contextualSpacing/>
        <w:jc w:val="left"/>
      </w:pPr>
    </w:p>
    <w:p w14:paraId="5524AD36" w14:textId="77777777" w:rsidR="005B42CE" w:rsidRPr="001A56FB" w:rsidRDefault="005B42CE" w:rsidP="000C57DD">
      <w:pPr>
        <w:spacing w:line="360" w:lineRule="auto"/>
        <w:contextualSpacing/>
        <w:jc w:val="left"/>
      </w:pPr>
    </w:p>
    <w:sectPr w:rsidR="005B42CE" w:rsidRPr="001A56FB" w:rsidSect="00FB6178">
      <w:footerReference w:type="default" r:id="rId17"/>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5A646" w14:textId="77777777" w:rsidR="00C61BBC" w:rsidRDefault="00C61BBC" w:rsidP="000664B3">
      <w:r>
        <w:separator/>
      </w:r>
    </w:p>
  </w:endnote>
  <w:endnote w:type="continuationSeparator" w:id="0">
    <w:p w14:paraId="5525FFB4" w14:textId="77777777" w:rsidR="00C61BBC" w:rsidRDefault="00C61BBC" w:rsidP="0006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459243"/>
      <w:docPartObj>
        <w:docPartGallery w:val="Page Numbers (Bottom of Page)"/>
        <w:docPartUnique/>
      </w:docPartObj>
    </w:sdtPr>
    <w:sdtEndPr>
      <w:rPr>
        <w:noProof/>
      </w:rPr>
    </w:sdtEndPr>
    <w:sdtContent>
      <w:p w14:paraId="2A62AA8F" w14:textId="7E5C8781" w:rsidR="00013402" w:rsidRDefault="000134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A1480" w14:textId="77777777" w:rsidR="00940DC5" w:rsidRDefault="00940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BF7AF" w14:textId="77777777" w:rsidR="00C61BBC" w:rsidRDefault="00C61BBC" w:rsidP="000664B3">
      <w:r>
        <w:separator/>
      </w:r>
    </w:p>
  </w:footnote>
  <w:footnote w:type="continuationSeparator" w:id="0">
    <w:p w14:paraId="689FBCEE" w14:textId="77777777" w:rsidR="00C61BBC" w:rsidRDefault="00C61BBC" w:rsidP="000664B3">
      <w:r>
        <w:continuationSeparator/>
      </w:r>
    </w:p>
  </w:footnote>
  <w:footnote w:id="1">
    <w:p w14:paraId="03D75966" w14:textId="6E57A5EE" w:rsidR="000664B3" w:rsidRDefault="000664B3">
      <w:pPr>
        <w:pStyle w:val="FootnoteText"/>
      </w:pPr>
      <w:r>
        <w:rPr>
          <w:rStyle w:val="FootnoteReference"/>
        </w:rPr>
        <w:footnoteRef/>
      </w:r>
      <w:r>
        <w:t xml:space="preserve"> </w:t>
      </w:r>
      <w:r w:rsidRPr="0057655A">
        <w:rPr>
          <w:sz w:val="16"/>
          <w:szCs w:val="16"/>
        </w:rPr>
        <w:t>Anastasiya Fiadotava (10 Sep 2025): Humour as cultural heritage, International Journal of Heritage Studies, DOI: 10.1080/13527258.2025.2557837</w:t>
      </w:r>
    </w:p>
  </w:footnote>
  <w:footnote w:id="2">
    <w:p w14:paraId="704FD5DA" w14:textId="6B18C538" w:rsidR="0015476E" w:rsidRPr="005D5D2B" w:rsidRDefault="0015476E" w:rsidP="005D5D2B">
      <w:pPr>
        <w:pStyle w:val="FootnoteText"/>
      </w:pPr>
      <w:r>
        <w:rPr>
          <w:rStyle w:val="FootnoteReference"/>
        </w:rPr>
        <w:footnoteRef/>
      </w:r>
      <w:r>
        <w:t xml:space="preserve"> </w:t>
      </w:r>
      <w:r w:rsidRPr="0057655A">
        <w:rPr>
          <w:sz w:val="16"/>
          <w:szCs w:val="16"/>
        </w:rPr>
        <w:t>Anastasiya Fiadotava (10 Sep 2025): Humour as cultural heritage, International Journal of Heritage Studies,</w:t>
      </w:r>
      <w:r w:rsidR="00EE68D8">
        <w:rPr>
          <w:sz w:val="16"/>
          <w:szCs w:val="16"/>
        </w:rPr>
        <w:t xml:space="preserve"> p</w:t>
      </w:r>
      <w:r w:rsidR="008F3D53">
        <w:rPr>
          <w:sz w:val="16"/>
          <w:szCs w:val="16"/>
        </w:rPr>
        <w:t xml:space="preserve">2 </w:t>
      </w:r>
      <w:r w:rsidR="008F3D53" w:rsidRPr="0057655A">
        <w:rPr>
          <w:sz w:val="16"/>
          <w:szCs w:val="16"/>
        </w:rPr>
        <w:t>DOI</w:t>
      </w:r>
      <w:r w:rsidRPr="0057655A">
        <w:rPr>
          <w:sz w:val="16"/>
          <w:szCs w:val="16"/>
        </w:rPr>
        <w:t>: 10.1080/13527258.2025.2557837</w:t>
      </w:r>
    </w:p>
  </w:footnote>
  <w:footnote w:id="3">
    <w:p w14:paraId="4DCF3352" w14:textId="506136FF" w:rsidR="00C52913" w:rsidRPr="007064E1" w:rsidRDefault="00C52913">
      <w:pPr>
        <w:pStyle w:val="FootnoteText"/>
        <w:rPr>
          <w:sz w:val="16"/>
          <w:szCs w:val="16"/>
        </w:rPr>
      </w:pPr>
      <w:r w:rsidRPr="005D5D2B">
        <w:rPr>
          <w:rStyle w:val="FootnoteReference"/>
          <w:sz w:val="16"/>
          <w:szCs w:val="16"/>
        </w:rPr>
        <w:footnoteRef/>
      </w:r>
      <w:r w:rsidRPr="005D5D2B">
        <w:rPr>
          <w:sz w:val="16"/>
          <w:szCs w:val="16"/>
        </w:rPr>
        <w:t xml:space="preserve"> </w:t>
      </w:r>
      <w:r w:rsidRPr="007064E1">
        <w:rPr>
          <w:sz w:val="16"/>
          <w:szCs w:val="16"/>
        </w:rPr>
        <w:t>Ibid</w:t>
      </w:r>
    </w:p>
  </w:footnote>
  <w:footnote w:id="4">
    <w:p w14:paraId="3BB63612" w14:textId="2F086407" w:rsidR="00C52913" w:rsidRDefault="00C52913">
      <w:pPr>
        <w:pStyle w:val="FootnoteText"/>
      </w:pPr>
      <w:r w:rsidRPr="007064E1">
        <w:rPr>
          <w:rStyle w:val="FootnoteReference"/>
          <w:sz w:val="16"/>
          <w:szCs w:val="16"/>
        </w:rPr>
        <w:footnoteRef/>
      </w:r>
      <w:r w:rsidRPr="007064E1">
        <w:rPr>
          <w:sz w:val="16"/>
          <w:szCs w:val="16"/>
        </w:rPr>
        <w:t xml:space="preserve"> ibid</w:t>
      </w:r>
    </w:p>
  </w:footnote>
  <w:footnote w:id="5">
    <w:p w14:paraId="42473731" w14:textId="6A00EEB0" w:rsidR="001D6E78" w:rsidRDefault="001D6E78">
      <w:pPr>
        <w:pStyle w:val="FootnoteText"/>
      </w:pPr>
      <w:r>
        <w:rPr>
          <w:rStyle w:val="FootnoteReference"/>
        </w:rPr>
        <w:footnoteRef/>
      </w:r>
      <w:r>
        <w:t xml:space="preserve"> </w:t>
      </w:r>
      <w:r w:rsidRPr="0057655A">
        <w:rPr>
          <w:sz w:val="16"/>
          <w:szCs w:val="16"/>
        </w:rPr>
        <w:t>Anastasiya Fiadotava (10 Sep 2025): Humour as cultural heritage, International Journal of Heritage Studies,</w:t>
      </w:r>
      <w:r>
        <w:rPr>
          <w:sz w:val="16"/>
          <w:szCs w:val="16"/>
        </w:rPr>
        <w:t xml:space="preserve"> p</w:t>
      </w:r>
      <w:r w:rsidR="008F3D53">
        <w:rPr>
          <w:sz w:val="16"/>
          <w:szCs w:val="16"/>
        </w:rPr>
        <w:t xml:space="preserve">5 </w:t>
      </w:r>
      <w:r w:rsidR="008F3D53" w:rsidRPr="0057655A">
        <w:rPr>
          <w:sz w:val="16"/>
          <w:szCs w:val="16"/>
        </w:rPr>
        <w:t>DOI</w:t>
      </w:r>
      <w:r w:rsidRPr="0057655A">
        <w:rPr>
          <w:sz w:val="16"/>
          <w:szCs w:val="16"/>
        </w:rPr>
        <w:t>: 10.1080/13527258.2025.2557837</w:t>
      </w:r>
    </w:p>
  </w:footnote>
  <w:footnote w:id="6">
    <w:p w14:paraId="3125B7E9" w14:textId="4B128B24" w:rsidR="00FF2F8A" w:rsidRPr="00D91431" w:rsidRDefault="00FF2F8A" w:rsidP="00D91431">
      <w:pPr>
        <w:pStyle w:val="FootnoteText"/>
        <w:rPr>
          <w:sz w:val="24"/>
          <w:szCs w:val="24"/>
        </w:rPr>
      </w:pPr>
      <w:r>
        <w:rPr>
          <w:rStyle w:val="FootnoteReference"/>
        </w:rPr>
        <w:footnoteRef/>
      </w:r>
      <w:r>
        <w:t xml:space="preserve"> </w:t>
      </w:r>
      <w:hyperlink r:id="rId1" w:history="1">
        <w:r w:rsidR="00D91431" w:rsidRPr="00D91431">
          <w:rPr>
            <w:rStyle w:val="Hyperlink"/>
            <w:color w:val="auto"/>
            <w:sz w:val="16"/>
            <w:szCs w:val="16"/>
            <w:u w:val="none"/>
          </w:rPr>
          <w:t>Ioannis Poulios</w:t>
        </w:r>
      </w:hyperlink>
      <w:r w:rsidR="00D91431" w:rsidRPr="00D91431">
        <w:rPr>
          <w:sz w:val="16"/>
          <w:szCs w:val="16"/>
        </w:rPr>
        <w:t>, Discussing strategy in heritage conservation: Living heritage approach as an example of strategic innovation. </w:t>
      </w:r>
      <w:r w:rsidR="00D91431" w:rsidRPr="00D91431">
        <w:rPr>
          <w:i/>
          <w:iCs/>
          <w:sz w:val="16"/>
          <w:szCs w:val="16"/>
        </w:rPr>
        <w:t>Journal of Cultural Heritage Management and Sustainable Development, </w:t>
      </w:r>
      <w:r w:rsidR="00D91431" w:rsidRPr="00D91431">
        <w:rPr>
          <w:b/>
          <w:sz w:val="16"/>
          <w:szCs w:val="16"/>
        </w:rPr>
        <w:t>4</w:t>
      </w:r>
      <w:r w:rsidR="00D91431" w:rsidRPr="00D91431">
        <w:rPr>
          <w:sz w:val="16"/>
          <w:szCs w:val="16"/>
        </w:rPr>
        <w:t>(1)</w:t>
      </w:r>
      <w:r w:rsidR="00D91431">
        <w:rPr>
          <w:sz w:val="24"/>
          <w:szCs w:val="24"/>
        </w:rPr>
        <w:t xml:space="preserve"> </w:t>
      </w:r>
      <w:r w:rsidRPr="001853DC">
        <w:rPr>
          <w:sz w:val="16"/>
          <w:szCs w:val="16"/>
        </w:rPr>
        <w:t>pp. 16-34</w:t>
      </w:r>
      <w:r w:rsidRPr="00B65826">
        <w:t>.</w:t>
      </w:r>
    </w:p>
  </w:footnote>
  <w:footnote w:id="7">
    <w:p w14:paraId="116BCE35" w14:textId="4FCDD1E6" w:rsidR="00235608" w:rsidRPr="00361F3E" w:rsidRDefault="00235608">
      <w:pPr>
        <w:pStyle w:val="FootnoteText"/>
        <w:rPr>
          <w:sz w:val="16"/>
          <w:szCs w:val="16"/>
          <w:lang w:val="en-US"/>
        </w:rPr>
      </w:pPr>
      <w:r>
        <w:rPr>
          <w:rStyle w:val="FootnoteReference"/>
        </w:rPr>
        <w:footnoteRef/>
      </w:r>
      <w:r>
        <w:t xml:space="preserve"> </w:t>
      </w:r>
      <w:r w:rsidR="00A57AA3" w:rsidRPr="00361F3E">
        <w:rPr>
          <w:sz w:val="16"/>
          <w:szCs w:val="16"/>
          <w:lang w:val="en-US"/>
        </w:rPr>
        <w:t xml:space="preserve">Pierre Bourdieu, Distinction: </w:t>
      </w:r>
      <w:r w:rsidR="001E3C7B" w:rsidRPr="00361F3E">
        <w:rPr>
          <w:i/>
          <w:iCs/>
          <w:sz w:val="16"/>
          <w:szCs w:val="16"/>
          <w:lang w:val="en-US"/>
        </w:rPr>
        <w:t>A Social Critique of the Judgment of Taste</w:t>
      </w:r>
      <w:r w:rsidR="001E3C7B" w:rsidRPr="00361F3E">
        <w:rPr>
          <w:sz w:val="16"/>
          <w:szCs w:val="16"/>
          <w:lang w:val="en-US"/>
        </w:rPr>
        <w:t>. Tr.</w:t>
      </w:r>
      <w:r w:rsidR="00BF0899" w:rsidRPr="00361F3E">
        <w:rPr>
          <w:sz w:val="16"/>
          <w:szCs w:val="16"/>
          <w:lang w:val="en-US"/>
        </w:rPr>
        <w:t xml:space="preserve"> Richard Nice </w:t>
      </w:r>
      <w:r w:rsidR="00361F3E" w:rsidRPr="00361F3E">
        <w:rPr>
          <w:sz w:val="16"/>
          <w:szCs w:val="16"/>
          <w:lang w:val="en-US"/>
        </w:rPr>
        <w:t>(Harvard: Routledge 1996)</w:t>
      </w:r>
    </w:p>
  </w:footnote>
  <w:footnote w:id="8">
    <w:p w14:paraId="042D5AFB" w14:textId="77777777" w:rsidR="003154D2" w:rsidRPr="00B57B5B" w:rsidRDefault="003154D2" w:rsidP="003154D2">
      <w:pPr>
        <w:pStyle w:val="FootnoteText"/>
        <w:rPr>
          <w:sz w:val="16"/>
          <w:szCs w:val="16"/>
        </w:rPr>
      </w:pPr>
      <w:r>
        <w:rPr>
          <w:rStyle w:val="FootnoteReference"/>
        </w:rPr>
        <w:footnoteRef/>
      </w:r>
      <w:r>
        <w:t xml:space="preserve"> </w:t>
      </w:r>
      <w:r w:rsidRPr="00B57B5B">
        <w:rPr>
          <w:sz w:val="16"/>
          <w:szCs w:val="16"/>
        </w:rPr>
        <w:t>Ibid. p3</w:t>
      </w:r>
    </w:p>
  </w:footnote>
  <w:footnote w:id="9">
    <w:p w14:paraId="3B434672" w14:textId="59A9EBDF" w:rsidR="00B67DAE" w:rsidRPr="00B67DAE" w:rsidRDefault="00B67DAE">
      <w:pPr>
        <w:pStyle w:val="FootnoteText"/>
        <w:rPr>
          <w:lang w:val="en-US"/>
        </w:rPr>
      </w:pPr>
      <w:r>
        <w:rPr>
          <w:rStyle w:val="FootnoteReference"/>
        </w:rPr>
        <w:footnoteRef/>
      </w:r>
      <w:r w:rsidR="000A314E" w:rsidRPr="00B57B5B">
        <w:rPr>
          <w:sz w:val="16"/>
          <w:szCs w:val="16"/>
        </w:rPr>
        <w:t>Giselinde Kuipers</w:t>
      </w:r>
      <w:r w:rsidR="00AE2283" w:rsidRPr="00B57B5B">
        <w:rPr>
          <w:sz w:val="16"/>
          <w:szCs w:val="16"/>
        </w:rPr>
        <w:t>,</w:t>
      </w:r>
      <w:r w:rsidR="000A314E" w:rsidRPr="00B57B5B">
        <w:rPr>
          <w:sz w:val="16"/>
          <w:szCs w:val="16"/>
        </w:rPr>
        <w:t xml:space="preserve"> </w:t>
      </w:r>
      <w:r w:rsidR="00B57B5B" w:rsidRPr="00B57B5B">
        <w:rPr>
          <w:sz w:val="16"/>
          <w:szCs w:val="16"/>
        </w:rPr>
        <w:t>“</w:t>
      </w:r>
      <w:r w:rsidR="000A314E" w:rsidRPr="00B57B5B">
        <w:rPr>
          <w:sz w:val="16"/>
          <w:szCs w:val="16"/>
        </w:rPr>
        <w:t>The sociology of humor</w:t>
      </w:r>
      <w:r w:rsidR="00B57B5B" w:rsidRPr="00B57B5B">
        <w:rPr>
          <w:sz w:val="16"/>
          <w:szCs w:val="16"/>
        </w:rPr>
        <w:t>”</w:t>
      </w:r>
      <w:r w:rsidR="000A314E" w:rsidRPr="00B57B5B">
        <w:rPr>
          <w:sz w:val="16"/>
          <w:szCs w:val="16"/>
        </w:rPr>
        <w:t xml:space="preserve">. In: Raskin, V. ed. </w:t>
      </w:r>
      <w:r w:rsidR="000A314E" w:rsidRPr="00B57B5B">
        <w:rPr>
          <w:i/>
          <w:iCs/>
          <w:sz w:val="16"/>
          <w:szCs w:val="16"/>
        </w:rPr>
        <w:t>The Primer of Humor Research</w:t>
      </w:r>
      <w:r w:rsidR="000A314E" w:rsidRPr="00B57B5B">
        <w:rPr>
          <w:sz w:val="16"/>
          <w:szCs w:val="16"/>
        </w:rPr>
        <w:t xml:space="preserve">. </w:t>
      </w:r>
      <w:r w:rsidR="00B57B5B" w:rsidRPr="00B57B5B">
        <w:rPr>
          <w:sz w:val="16"/>
          <w:szCs w:val="16"/>
        </w:rPr>
        <w:t>(</w:t>
      </w:r>
      <w:r w:rsidR="000A314E" w:rsidRPr="00B57B5B">
        <w:rPr>
          <w:sz w:val="16"/>
          <w:szCs w:val="16"/>
        </w:rPr>
        <w:t>Berlin, New York: De Gruyter Mouton</w:t>
      </w:r>
      <w:r w:rsidR="00B57B5B" w:rsidRPr="00B57B5B">
        <w:rPr>
          <w:sz w:val="16"/>
          <w:szCs w:val="16"/>
        </w:rPr>
        <w:t>)</w:t>
      </w:r>
      <w:r w:rsidR="000A314E" w:rsidRPr="00B57B5B">
        <w:rPr>
          <w:sz w:val="16"/>
          <w:szCs w:val="16"/>
        </w:rPr>
        <w:t>,</w:t>
      </w:r>
      <w:r w:rsidR="008F3D53" w:rsidRPr="00B57B5B">
        <w:rPr>
          <w:sz w:val="16"/>
          <w:szCs w:val="16"/>
        </w:rPr>
        <w:t>2008 pp.</w:t>
      </w:r>
      <w:r w:rsidR="000A314E" w:rsidRPr="00B57B5B">
        <w:rPr>
          <w:sz w:val="16"/>
          <w:szCs w:val="16"/>
        </w:rPr>
        <w:t xml:space="preserve"> 361-398. </w:t>
      </w:r>
      <w:hyperlink r:id="rId2" w:history="1">
        <w:r w:rsidR="000A314E" w:rsidRPr="00B57B5B">
          <w:rPr>
            <w:rStyle w:val="Hyperlink"/>
            <w:sz w:val="16"/>
            <w:szCs w:val="16"/>
          </w:rPr>
          <w:t>https://doi.org/10.1515/9783110198492.361</w:t>
        </w:r>
      </w:hyperlink>
    </w:p>
  </w:footnote>
  <w:footnote w:id="10">
    <w:p w14:paraId="235E93E6" w14:textId="69FB6DE6" w:rsidR="00D25AFE" w:rsidRPr="00CA3661" w:rsidRDefault="00D25AFE">
      <w:pPr>
        <w:pStyle w:val="FootnoteText"/>
        <w:rPr>
          <w:lang w:val="en-US"/>
        </w:rPr>
      </w:pPr>
      <w:r>
        <w:rPr>
          <w:rStyle w:val="FootnoteReference"/>
        </w:rPr>
        <w:footnoteRef/>
      </w:r>
      <w:r>
        <w:t xml:space="preserve"> </w:t>
      </w:r>
      <w:r w:rsidR="004B2AC2" w:rsidRPr="00CA3661">
        <w:rPr>
          <w:sz w:val="16"/>
          <w:szCs w:val="16"/>
          <w:lang w:val="en-US"/>
        </w:rPr>
        <w:t xml:space="preserve">Jan Assmann, </w:t>
      </w:r>
      <w:r w:rsidR="00F02E9E" w:rsidRPr="00CA3661">
        <w:rPr>
          <w:sz w:val="16"/>
          <w:szCs w:val="16"/>
          <w:lang w:val="en-US"/>
        </w:rPr>
        <w:t>“Memory: Individual, Social and Cultural</w:t>
      </w:r>
      <w:r w:rsidR="00694305" w:rsidRPr="00CA3661">
        <w:rPr>
          <w:sz w:val="16"/>
          <w:szCs w:val="16"/>
          <w:lang w:val="en-US"/>
        </w:rPr>
        <w:t xml:space="preserve"> in </w:t>
      </w:r>
      <w:r w:rsidR="002A7541" w:rsidRPr="00CA3661">
        <w:rPr>
          <w:sz w:val="16"/>
          <w:szCs w:val="16"/>
          <w:lang w:val="en-US"/>
        </w:rPr>
        <w:t xml:space="preserve">Astrid Eril and Ansgar Nunning (eds) </w:t>
      </w:r>
      <w:r w:rsidR="00694305" w:rsidRPr="00CA3661">
        <w:rPr>
          <w:i/>
          <w:iCs/>
          <w:sz w:val="16"/>
          <w:szCs w:val="16"/>
          <w:lang w:val="en-US"/>
        </w:rPr>
        <w:t>Cultural Memory Studies</w:t>
      </w:r>
      <w:r w:rsidR="002A7541" w:rsidRPr="00CA3661">
        <w:rPr>
          <w:i/>
          <w:iCs/>
          <w:sz w:val="16"/>
          <w:szCs w:val="16"/>
          <w:lang w:val="en-US"/>
        </w:rPr>
        <w:t>:</w:t>
      </w:r>
      <w:r w:rsidR="00694305" w:rsidRPr="00CA3661">
        <w:rPr>
          <w:i/>
          <w:iCs/>
          <w:sz w:val="16"/>
          <w:szCs w:val="16"/>
          <w:lang w:val="en-US"/>
        </w:rPr>
        <w:t xml:space="preserve"> An Inter</w:t>
      </w:r>
      <w:r w:rsidR="002A7541" w:rsidRPr="00CA3661">
        <w:rPr>
          <w:i/>
          <w:iCs/>
          <w:sz w:val="16"/>
          <w:szCs w:val="16"/>
          <w:lang w:val="en-US"/>
        </w:rPr>
        <w:t xml:space="preserve">national and Interdisciplinary </w:t>
      </w:r>
      <w:r w:rsidR="008F3D53" w:rsidRPr="00CA3661">
        <w:rPr>
          <w:i/>
          <w:iCs/>
          <w:sz w:val="16"/>
          <w:szCs w:val="16"/>
          <w:lang w:val="en-US"/>
        </w:rPr>
        <w:t xml:space="preserve">Handbook </w:t>
      </w:r>
      <w:r w:rsidR="008F3D53" w:rsidRPr="00CA3661">
        <w:rPr>
          <w:sz w:val="16"/>
          <w:szCs w:val="16"/>
          <w:lang w:val="en-US"/>
        </w:rPr>
        <w:t>(</w:t>
      </w:r>
      <w:r w:rsidR="00CA3661" w:rsidRPr="00CA3661">
        <w:rPr>
          <w:sz w:val="16"/>
          <w:szCs w:val="16"/>
          <w:lang w:val="en-US"/>
        </w:rPr>
        <w:t>Berlin, New York) 2008 p 109-118</w:t>
      </w:r>
    </w:p>
  </w:footnote>
  <w:footnote w:id="11">
    <w:p w14:paraId="658C1EE7" w14:textId="41BE3BC7" w:rsidR="00B95F41" w:rsidRPr="00CD2313" w:rsidRDefault="00B95F41">
      <w:pPr>
        <w:pStyle w:val="FootnoteText"/>
        <w:rPr>
          <w:sz w:val="16"/>
          <w:szCs w:val="16"/>
          <w:lang w:val="en-US"/>
        </w:rPr>
      </w:pPr>
      <w:r w:rsidRPr="00CD2313">
        <w:rPr>
          <w:rStyle w:val="FootnoteReference"/>
          <w:sz w:val="16"/>
          <w:szCs w:val="16"/>
        </w:rPr>
        <w:footnoteRef/>
      </w:r>
      <w:r w:rsidRPr="00CD2313">
        <w:rPr>
          <w:sz w:val="16"/>
          <w:szCs w:val="16"/>
        </w:rPr>
        <w:t xml:space="preserve"> "That's the way to do it!" A history of Punch &amp; Judy available at </w:t>
      </w:r>
      <w:hyperlink r:id="rId3" w:history="1">
        <w:r w:rsidR="00CD2313" w:rsidRPr="00CD2313">
          <w:rPr>
            <w:rStyle w:val="Hyperlink"/>
            <w:sz w:val="16"/>
            <w:szCs w:val="16"/>
          </w:rPr>
          <w:t>https://www.vam.ac.uk/articles/thats-the-way-to-do-it-a-history-of-punch-and-judy?srsltid=AfmBOoq45TOxmGqzugOM36F8J0UFrlThtS1T6d0d0TItIb8pi3fiOHRy</w:t>
        </w:r>
      </w:hyperlink>
      <w:r w:rsidR="00CD2313" w:rsidRPr="00CD2313">
        <w:rPr>
          <w:sz w:val="16"/>
          <w:szCs w:val="16"/>
        </w:rPr>
        <w:t xml:space="preserve"> [accessed 23</w:t>
      </w:r>
      <w:r w:rsidR="00CD2313" w:rsidRPr="00CD2313">
        <w:rPr>
          <w:sz w:val="16"/>
          <w:szCs w:val="16"/>
          <w:vertAlign w:val="superscript"/>
        </w:rPr>
        <w:t>rd</w:t>
      </w:r>
      <w:r w:rsidR="00CD2313" w:rsidRPr="00CD2313">
        <w:rPr>
          <w:sz w:val="16"/>
          <w:szCs w:val="16"/>
        </w:rPr>
        <w:t xml:space="preserve"> Oct 2025]</w:t>
      </w:r>
    </w:p>
  </w:footnote>
  <w:footnote w:id="12">
    <w:p w14:paraId="6D0A1725" w14:textId="3DCE4C85" w:rsidR="00C519D5" w:rsidRPr="00025A76" w:rsidRDefault="00C519D5" w:rsidP="00025A76">
      <w:pPr>
        <w:pStyle w:val="FootnoteText"/>
      </w:pPr>
      <w:r>
        <w:rPr>
          <w:rStyle w:val="FootnoteReference"/>
        </w:rPr>
        <w:footnoteRef/>
      </w:r>
      <w:r>
        <w:t xml:space="preserve"> </w:t>
      </w:r>
      <w:r w:rsidR="00CD3C78" w:rsidRPr="0057655A">
        <w:rPr>
          <w:sz w:val="16"/>
          <w:szCs w:val="16"/>
        </w:rPr>
        <w:t>Anastasiya Fiadotava (10 Sep 2025): Humour as cultural heritage, International Journal of Heritage Studies,</w:t>
      </w:r>
      <w:r w:rsidR="00CD3C78">
        <w:rPr>
          <w:sz w:val="16"/>
          <w:szCs w:val="16"/>
        </w:rPr>
        <w:t xml:space="preserve"> p</w:t>
      </w:r>
      <w:r w:rsidR="008F3D53">
        <w:rPr>
          <w:sz w:val="16"/>
          <w:szCs w:val="16"/>
        </w:rPr>
        <w:t xml:space="preserve">5 </w:t>
      </w:r>
      <w:r w:rsidR="008F3D53" w:rsidRPr="0057655A">
        <w:rPr>
          <w:sz w:val="16"/>
          <w:szCs w:val="16"/>
        </w:rPr>
        <w:t>DOI</w:t>
      </w:r>
      <w:r w:rsidR="00CD3C78" w:rsidRPr="0057655A">
        <w:rPr>
          <w:sz w:val="16"/>
          <w:szCs w:val="16"/>
        </w:rPr>
        <w:t>: 10.1080/13527258.2025.2557837</w:t>
      </w:r>
    </w:p>
  </w:footnote>
  <w:footnote w:id="13">
    <w:p w14:paraId="45A92C2B" w14:textId="66662848" w:rsidR="001018C9" w:rsidRPr="001018C9" w:rsidRDefault="001018C9">
      <w:pPr>
        <w:pStyle w:val="FootnoteText"/>
        <w:rPr>
          <w:lang w:val="en-US"/>
        </w:rPr>
      </w:pPr>
      <w:r w:rsidRPr="00361F3E">
        <w:rPr>
          <w:rStyle w:val="FootnoteReference"/>
          <w:sz w:val="16"/>
          <w:szCs w:val="16"/>
        </w:rPr>
        <w:footnoteRef/>
      </w:r>
      <w:r w:rsidRPr="00361F3E">
        <w:rPr>
          <w:sz w:val="16"/>
          <w:szCs w:val="16"/>
        </w:rPr>
        <w:t xml:space="preserve"> </w:t>
      </w:r>
      <w:r w:rsidR="00A47C2D" w:rsidRPr="00361F3E">
        <w:rPr>
          <w:sz w:val="16"/>
          <w:szCs w:val="16"/>
        </w:rPr>
        <w:t>Charlotte Andrews in Marie Louise Stig Sørensen, John Carman, </w:t>
      </w:r>
      <w:r w:rsidR="00A47C2D" w:rsidRPr="00361F3E">
        <w:rPr>
          <w:i/>
          <w:iCs/>
          <w:sz w:val="16"/>
          <w:szCs w:val="16"/>
        </w:rPr>
        <w:t>Heritage Studies: Methods and Approaches</w:t>
      </w:r>
      <w:r w:rsidR="00A47C2D" w:rsidRPr="00361F3E">
        <w:rPr>
          <w:sz w:val="16"/>
          <w:szCs w:val="16"/>
        </w:rPr>
        <w:t xml:space="preserve"> (Oxford: Routledge 2009) p </w:t>
      </w:r>
      <w:r w:rsidR="00A82B34" w:rsidRPr="00361F3E">
        <w:rPr>
          <w:sz w:val="16"/>
          <w:szCs w:val="16"/>
        </w:rPr>
        <w:t>140</w:t>
      </w:r>
    </w:p>
  </w:footnote>
  <w:footnote w:id="14">
    <w:p w14:paraId="2ECF279A" w14:textId="63B403B0" w:rsidR="00CA4ECF" w:rsidRPr="00025A76" w:rsidRDefault="00CA4ECF">
      <w:pPr>
        <w:pStyle w:val="FootnoteText"/>
        <w:rPr>
          <w:sz w:val="16"/>
          <w:szCs w:val="16"/>
        </w:rPr>
      </w:pPr>
      <w:r>
        <w:rPr>
          <w:rStyle w:val="FootnoteReference"/>
        </w:rPr>
        <w:footnoteRef/>
      </w:r>
      <w:r>
        <w:t xml:space="preserve"> </w:t>
      </w:r>
      <w:r w:rsidR="00903A1A" w:rsidRPr="00025A76">
        <w:rPr>
          <w:sz w:val="16"/>
          <w:szCs w:val="16"/>
        </w:rPr>
        <w:t xml:space="preserve">The categorisation of </w:t>
      </w:r>
      <w:r w:rsidR="000E213D" w:rsidRPr="00025A76">
        <w:rPr>
          <w:sz w:val="16"/>
          <w:szCs w:val="16"/>
        </w:rPr>
        <w:t>the academic expertise of the researchers cited in this paper</w:t>
      </w:r>
      <w:r w:rsidR="00025A76" w:rsidRPr="00025A76">
        <w:rPr>
          <w:sz w:val="16"/>
          <w:szCs w:val="16"/>
        </w:rPr>
        <w:t xml:space="preserve"> has been created with the help of AI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7DD"/>
    <w:rsid w:val="00006E25"/>
    <w:rsid w:val="0000750D"/>
    <w:rsid w:val="00007C2C"/>
    <w:rsid w:val="0001083C"/>
    <w:rsid w:val="000113A5"/>
    <w:rsid w:val="00013402"/>
    <w:rsid w:val="00015E00"/>
    <w:rsid w:val="00025A76"/>
    <w:rsid w:val="000349C7"/>
    <w:rsid w:val="000351B1"/>
    <w:rsid w:val="000425A1"/>
    <w:rsid w:val="000529B5"/>
    <w:rsid w:val="00060877"/>
    <w:rsid w:val="00064343"/>
    <w:rsid w:val="0006588C"/>
    <w:rsid w:val="000664B3"/>
    <w:rsid w:val="0007084D"/>
    <w:rsid w:val="00072C46"/>
    <w:rsid w:val="00073F82"/>
    <w:rsid w:val="00077DE4"/>
    <w:rsid w:val="00082601"/>
    <w:rsid w:val="00095823"/>
    <w:rsid w:val="00095A1E"/>
    <w:rsid w:val="000A005C"/>
    <w:rsid w:val="000A197C"/>
    <w:rsid w:val="000A314E"/>
    <w:rsid w:val="000A7DC5"/>
    <w:rsid w:val="000B57C8"/>
    <w:rsid w:val="000C218B"/>
    <w:rsid w:val="000C5579"/>
    <w:rsid w:val="000C57DD"/>
    <w:rsid w:val="000C5853"/>
    <w:rsid w:val="000D3197"/>
    <w:rsid w:val="000D5C8E"/>
    <w:rsid w:val="000D6862"/>
    <w:rsid w:val="000D70C7"/>
    <w:rsid w:val="000E213D"/>
    <w:rsid w:val="000E77AB"/>
    <w:rsid w:val="000F057B"/>
    <w:rsid w:val="000F249A"/>
    <w:rsid w:val="000F3C64"/>
    <w:rsid w:val="001018C9"/>
    <w:rsid w:val="00103A26"/>
    <w:rsid w:val="00105F31"/>
    <w:rsid w:val="00122B99"/>
    <w:rsid w:val="0012334A"/>
    <w:rsid w:val="0012383C"/>
    <w:rsid w:val="001247CD"/>
    <w:rsid w:val="0012532B"/>
    <w:rsid w:val="001258D5"/>
    <w:rsid w:val="00125C86"/>
    <w:rsid w:val="00132BEB"/>
    <w:rsid w:val="00136F80"/>
    <w:rsid w:val="00137AD3"/>
    <w:rsid w:val="00137FCD"/>
    <w:rsid w:val="0014087A"/>
    <w:rsid w:val="00153565"/>
    <w:rsid w:val="00153CD1"/>
    <w:rsid w:val="0015476E"/>
    <w:rsid w:val="00154C62"/>
    <w:rsid w:val="00156BF5"/>
    <w:rsid w:val="00160848"/>
    <w:rsid w:val="00161ECE"/>
    <w:rsid w:val="00175E13"/>
    <w:rsid w:val="00181B21"/>
    <w:rsid w:val="001845C1"/>
    <w:rsid w:val="001853DC"/>
    <w:rsid w:val="00191A4A"/>
    <w:rsid w:val="00196952"/>
    <w:rsid w:val="001A3B85"/>
    <w:rsid w:val="001A56FB"/>
    <w:rsid w:val="001A6C96"/>
    <w:rsid w:val="001A782E"/>
    <w:rsid w:val="001B3261"/>
    <w:rsid w:val="001B57F5"/>
    <w:rsid w:val="001C0769"/>
    <w:rsid w:val="001C1492"/>
    <w:rsid w:val="001C2C6F"/>
    <w:rsid w:val="001C5075"/>
    <w:rsid w:val="001D131B"/>
    <w:rsid w:val="001D2F75"/>
    <w:rsid w:val="001D6127"/>
    <w:rsid w:val="001D6580"/>
    <w:rsid w:val="001D6E78"/>
    <w:rsid w:val="001E1CE7"/>
    <w:rsid w:val="001E2B20"/>
    <w:rsid w:val="001E3C7B"/>
    <w:rsid w:val="001E4391"/>
    <w:rsid w:val="0020081F"/>
    <w:rsid w:val="002052EB"/>
    <w:rsid w:val="00207277"/>
    <w:rsid w:val="00212572"/>
    <w:rsid w:val="00213128"/>
    <w:rsid w:val="00226C18"/>
    <w:rsid w:val="00235608"/>
    <w:rsid w:val="00237434"/>
    <w:rsid w:val="002408D8"/>
    <w:rsid w:val="002423FF"/>
    <w:rsid w:val="00245497"/>
    <w:rsid w:val="00253AB0"/>
    <w:rsid w:val="0025785E"/>
    <w:rsid w:val="002600C8"/>
    <w:rsid w:val="00271BCC"/>
    <w:rsid w:val="0027306F"/>
    <w:rsid w:val="00273413"/>
    <w:rsid w:val="00283762"/>
    <w:rsid w:val="002A0AEE"/>
    <w:rsid w:val="002A7541"/>
    <w:rsid w:val="002B4A7A"/>
    <w:rsid w:val="002B6585"/>
    <w:rsid w:val="002C10E9"/>
    <w:rsid w:val="002D09AA"/>
    <w:rsid w:val="002D1A5F"/>
    <w:rsid w:val="002D659F"/>
    <w:rsid w:val="002D7B27"/>
    <w:rsid w:val="002E20AD"/>
    <w:rsid w:val="002E7551"/>
    <w:rsid w:val="00302E2C"/>
    <w:rsid w:val="00302E9D"/>
    <w:rsid w:val="00302F84"/>
    <w:rsid w:val="00304173"/>
    <w:rsid w:val="0030594D"/>
    <w:rsid w:val="003116AE"/>
    <w:rsid w:val="00313302"/>
    <w:rsid w:val="00313DB2"/>
    <w:rsid w:val="00314E9C"/>
    <w:rsid w:val="003154D2"/>
    <w:rsid w:val="00317C2E"/>
    <w:rsid w:val="00321322"/>
    <w:rsid w:val="00326F7D"/>
    <w:rsid w:val="003327F5"/>
    <w:rsid w:val="0033534A"/>
    <w:rsid w:val="0033551D"/>
    <w:rsid w:val="003402D7"/>
    <w:rsid w:val="003474EA"/>
    <w:rsid w:val="0035173A"/>
    <w:rsid w:val="00354BA2"/>
    <w:rsid w:val="003579E1"/>
    <w:rsid w:val="00361D7E"/>
    <w:rsid w:val="00361F3E"/>
    <w:rsid w:val="0036747B"/>
    <w:rsid w:val="0037183C"/>
    <w:rsid w:val="00373A49"/>
    <w:rsid w:val="003779D7"/>
    <w:rsid w:val="0038464B"/>
    <w:rsid w:val="0038625A"/>
    <w:rsid w:val="00390265"/>
    <w:rsid w:val="00393572"/>
    <w:rsid w:val="0039359C"/>
    <w:rsid w:val="00395B3C"/>
    <w:rsid w:val="00397794"/>
    <w:rsid w:val="00397DDE"/>
    <w:rsid w:val="003A026B"/>
    <w:rsid w:val="003A5D3A"/>
    <w:rsid w:val="003A7506"/>
    <w:rsid w:val="003C0EC6"/>
    <w:rsid w:val="003D2E37"/>
    <w:rsid w:val="003E016D"/>
    <w:rsid w:val="003E2133"/>
    <w:rsid w:val="003E3EB4"/>
    <w:rsid w:val="003E447E"/>
    <w:rsid w:val="003E5D2C"/>
    <w:rsid w:val="003E77A6"/>
    <w:rsid w:val="003F031D"/>
    <w:rsid w:val="003F2C64"/>
    <w:rsid w:val="003F4839"/>
    <w:rsid w:val="003F530C"/>
    <w:rsid w:val="003F74CA"/>
    <w:rsid w:val="003F7C75"/>
    <w:rsid w:val="0040131A"/>
    <w:rsid w:val="00404D21"/>
    <w:rsid w:val="00412F24"/>
    <w:rsid w:val="004176B9"/>
    <w:rsid w:val="0041797E"/>
    <w:rsid w:val="00424739"/>
    <w:rsid w:val="00424EBA"/>
    <w:rsid w:val="00427678"/>
    <w:rsid w:val="004278DB"/>
    <w:rsid w:val="00433479"/>
    <w:rsid w:val="00435B87"/>
    <w:rsid w:val="0044055E"/>
    <w:rsid w:val="00455EA1"/>
    <w:rsid w:val="00461586"/>
    <w:rsid w:val="004678B9"/>
    <w:rsid w:val="004843C4"/>
    <w:rsid w:val="00485F58"/>
    <w:rsid w:val="00497648"/>
    <w:rsid w:val="004976EA"/>
    <w:rsid w:val="004A363B"/>
    <w:rsid w:val="004B2AC2"/>
    <w:rsid w:val="004B2D59"/>
    <w:rsid w:val="004B686C"/>
    <w:rsid w:val="004E09B6"/>
    <w:rsid w:val="004E0EC7"/>
    <w:rsid w:val="004E59AB"/>
    <w:rsid w:val="004E6227"/>
    <w:rsid w:val="004F00D2"/>
    <w:rsid w:val="0050221D"/>
    <w:rsid w:val="005134EF"/>
    <w:rsid w:val="005171CF"/>
    <w:rsid w:val="00517230"/>
    <w:rsid w:val="00526CAD"/>
    <w:rsid w:val="00527D1F"/>
    <w:rsid w:val="00531BA6"/>
    <w:rsid w:val="00533171"/>
    <w:rsid w:val="005430F1"/>
    <w:rsid w:val="00554A9E"/>
    <w:rsid w:val="00555AE6"/>
    <w:rsid w:val="0056050A"/>
    <w:rsid w:val="00565117"/>
    <w:rsid w:val="00567A1B"/>
    <w:rsid w:val="00571570"/>
    <w:rsid w:val="005724F5"/>
    <w:rsid w:val="0057655A"/>
    <w:rsid w:val="005810E7"/>
    <w:rsid w:val="005857A6"/>
    <w:rsid w:val="00591EAB"/>
    <w:rsid w:val="0059655F"/>
    <w:rsid w:val="005A3A07"/>
    <w:rsid w:val="005A6527"/>
    <w:rsid w:val="005B32DD"/>
    <w:rsid w:val="005B42CE"/>
    <w:rsid w:val="005C3801"/>
    <w:rsid w:val="005C575A"/>
    <w:rsid w:val="005D5D2B"/>
    <w:rsid w:val="005D6724"/>
    <w:rsid w:val="005D6730"/>
    <w:rsid w:val="005E082C"/>
    <w:rsid w:val="005E1240"/>
    <w:rsid w:val="005E2157"/>
    <w:rsid w:val="005E493C"/>
    <w:rsid w:val="005E6394"/>
    <w:rsid w:val="005F2BB2"/>
    <w:rsid w:val="005F77A1"/>
    <w:rsid w:val="00611F75"/>
    <w:rsid w:val="00614446"/>
    <w:rsid w:val="00617296"/>
    <w:rsid w:val="0062790A"/>
    <w:rsid w:val="00631966"/>
    <w:rsid w:val="00650647"/>
    <w:rsid w:val="00654E48"/>
    <w:rsid w:val="00655903"/>
    <w:rsid w:val="00656E3B"/>
    <w:rsid w:val="00656ECA"/>
    <w:rsid w:val="006657CA"/>
    <w:rsid w:val="0067227F"/>
    <w:rsid w:val="00674149"/>
    <w:rsid w:val="00675462"/>
    <w:rsid w:val="006757D0"/>
    <w:rsid w:val="00675EAB"/>
    <w:rsid w:val="00677143"/>
    <w:rsid w:val="00680FCB"/>
    <w:rsid w:val="006847C1"/>
    <w:rsid w:val="00684A07"/>
    <w:rsid w:val="0068755B"/>
    <w:rsid w:val="0069380C"/>
    <w:rsid w:val="00694305"/>
    <w:rsid w:val="006A0AE3"/>
    <w:rsid w:val="006A58D1"/>
    <w:rsid w:val="006A6DD6"/>
    <w:rsid w:val="006B1C56"/>
    <w:rsid w:val="006D10E5"/>
    <w:rsid w:val="006D1FB3"/>
    <w:rsid w:val="006D37D9"/>
    <w:rsid w:val="006D397A"/>
    <w:rsid w:val="006D3A6B"/>
    <w:rsid w:val="006E190C"/>
    <w:rsid w:val="006E21EB"/>
    <w:rsid w:val="006E30CA"/>
    <w:rsid w:val="006E5E66"/>
    <w:rsid w:val="007004B0"/>
    <w:rsid w:val="007064E1"/>
    <w:rsid w:val="0071235C"/>
    <w:rsid w:val="00716DCD"/>
    <w:rsid w:val="007224B6"/>
    <w:rsid w:val="00722AA5"/>
    <w:rsid w:val="00725555"/>
    <w:rsid w:val="00733C57"/>
    <w:rsid w:val="00735890"/>
    <w:rsid w:val="0074080F"/>
    <w:rsid w:val="00744D0B"/>
    <w:rsid w:val="00746E23"/>
    <w:rsid w:val="0074779C"/>
    <w:rsid w:val="007620C7"/>
    <w:rsid w:val="00763911"/>
    <w:rsid w:val="0077237B"/>
    <w:rsid w:val="007757BA"/>
    <w:rsid w:val="00784E71"/>
    <w:rsid w:val="0078631D"/>
    <w:rsid w:val="007866DB"/>
    <w:rsid w:val="00791BA8"/>
    <w:rsid w:val="007945C8"/>
    <w:rsid w:val="00795621"/>
    <w:rsid w:val="007A1A91"/>
    <w:rsid w:val="007A213B"/>
    <w:rsid w:val="007A3668"/>
    <w:rsid w:val="007A6268"/>
    <w:rsid w:val="007A6EEF"/>
    <w:rsid w:val="007B0AA3"/>
    <w:rsid w:val="007B34FF"/>
    <w:rsid w:val="007B3D2D"/>
    <w:rsid w:val="007C1481"/>
    <w:rsid w:val="007C4E30"/>
    <w:rsid w:val="007D57E3"/>
    <w:rsid w:val="007E4034"/>
    <w:rsid w:val="007E6056"/>
    <w:rsid w:val="007F07FB"/>
    <w:rsid w:val="007F29F3"/>
    <w:rsid w:val="007F59A6"/>
    <w:rsid w:val="007F6736"/>
    <w:rsid w:val="008021C1"/>
    <w:rsid w:val="0080366B"/>
    <w:rsid w:val="0080428C"/>
    <w:rsid w:val="00811D32"/>
    <w:rsid w:val="0081453A"/>
    <w:rsid w:val="00814BBC"/>
    <w:rsid w:val="008152BC"/>
    <w:rsid w:val="00815DE9"/>
    <w:rsid w:val="008203AD"/>
    <w:rsid w:val="00833F35"/>
    <w:rsid w:val="00842001"/>
    <w:rsid w:val="00843A99"/>
    <w:rsid w:val="008452E7"/>
    <w:rsid w:val="00850909"/>
    <w:rsid w:val="00851923"/>
    <w:rsid w:val="00856E2B"/>
    <w:rsid w:val="0085771C"/>
    <w:rsid w:val="0086094B"/>
    <w:rsid w:val="00861787"/>
    <w:rsid w:val="008628AF"/>
    <w:rsid w:val="0086329B"/>
    <w:rsid w:val="00864A04"/>
    <w:rsid w:val="00872A8E"/>
    <w:rsid w:val="00874CA4"/>
    <w:rsid w:val="008762F9"/>
    <w:rsid w:val="00881BDF"/>
    <w:rsid w:val="00885CD0"/>
    <w:rsid w:val="00886DE9"/>
    <w:rsid w:val="008A0AAB"/>
    <w:rsid w:val="008B1B69"/>
    <w:rsid w:val="008C1FD7"/>
    <w:rsid w:val="008D100C"/>
    <w:rsid w:val="008D4499"/>
    <w:rsid w:val="008D6F71"/>
    <w:rsid w:val="008F0968"/>
    <w:rsid w:val="008F1CF7"/>
    <w:rsid w:val="008F3D53"/>
    <w:rsid w:val="008F5302"/>
    <w:rsid w:val="00900F04"/>
    <w:rsid w:val="009015C6"/>
    <w:rsid w:val="00903257"/>
    <w:rsid w:val="00903A1A"/>
    <w:rsid w:val="00912509"/>
    <w:rsid w:val="00917418"/>
    <w:rsid w:val="009178A2"/>
    <w:rsid w:val="00921F7E"/>
    <w:rsid w:val="00940DC5"/>
    <w:rsid w:val="00945920"/>
    <w:rsid w:val="0094603D"/>
    <w:rsid w:val="00966C9A"/>
    <w:rsid w:val="00981E4B"/>
    <w:rsid w:val="00984C7C"/>
    <w:rsid w:val="009856C7"/>
    <w:rsid w:val="00996EA5"/>
    <w:rsid w:val="009A5639"/>
    <w:rsid w:val="009B5CB3"/>
    <w:rsid w:val="009E3B15"/>
    <w:rsid w:val="009E4F85"/>
    <w:rsid w:val="009F0D1D"/>
    <w:rsid w:val="009F1AC3"/>
    <w:rsid w:val="009F4A27"/>
    <w:rsid w:val="009F4C42"/>
    <w:rsid w:val="00A01F68"/>
    <w:rsid w:val="00A06FEC"/>
    <w:rsid w:val="00A07751"/>
    <w:rsid w:val="00A115C3"/>
    <w:rsid w:val="00A1207F"/>
    <w:rsid w:val="00A1246E"/>
    <w:rsid w:val="00A173C5"/>
    <w:rsid w:val="00A21DC4"/>
    <w:rsid w:val="00A223A6"/>
    <w:rsid w:val="00A34938"/>
    <w:rsid w:val="00A47C2D"/>
    <w:rsid w:val="00A57AA3"/>
    <w:rsid w:val="00A6349E"/>
    <w:rsid w:val="00A64CFE"/>
    <w:rsid w:val="00A66E01"/>
    <w:rsid w:val="00A706C8"/>
    <w:rsid w:val="00A73E9B"/>
    <w:rsid w:val="00A75B58"/>
    <w:rsid w:val="00A82B34"/>
    <w:rsid w:val="00A82E37"/>
    <w:rsid w:val="00A8509A"/>
    <w:rsid w:val="00A90E1B"/>
    <w:rsid w:val="00A912AE"/>
    <w:rsid w:val="00AA6350"/>
    <w:rsid w:val="00AB00D2"/>
    <w:rsid w:val="00AB1BF2"/>
    <w:rsid w:val="00AB1D65"/>
    <w:rsid w:val="00AB28C7"/>
    <w:rsid w:val="00AC671F"/>
    <w:rsid w:val="00AC6DCC"/>
    <w:rsid w:val="00AC6E2B"/>
    <w:rsid w:val="00AE1DD1"/>
    <w:rsid w:val="00AE2283"/>
    <w:rsid w:val="00AF2179"/>
    <w:rsid w:val="00B14E1F"/>
    <w:rsid w:val="00B175EF"/>
    <w:rsid w:val="00B201F1"/>
    <w:rsid w:val="00B24F35"/>
    <w:rsid w:val="00B34E0E"/>
    <w:rsid w:val="00B37237"/>
    <w:rsid w:val="00B4442F"/>
    <w:rsid w:val="00B555F6"/>
    <w:rsid w:val="00B57B5B"/>
    <w:rsid w:val="00B61405"/>
    <w:rsid w:val="00B61748"/>
    <w:rsid w:val="00B62D4E"/>
    <w:rsid w:val="00B65826"/>
    <w:rsid w:val="00B67DAE"/>
    <w:rsid w:val="00B769EB"/>
    <w:rsid w:val="00B8519D"/>
    <w:rsid w:val="00B87B0F"/>
    <w:rsid w:val="00B95F41"/>
    <w:rsid w:val="00BA0A5D"/>
    <w:rsid w:val="00BA573A"/>
    <w:rsid w:val="00BC52C8"/>
    <w:rsid w:val="00BD7CAF"/>
    <w:rsid w:val="00BE4E01"/>
    <w:rsid w:val="00BF0899"/>
    <w:rsid w:val="00C07B59"/>
    <w:rsid w:val="00C1385F"/>
    <w:rsid w:val="00C15EE5"/>
    <w:rsid w:val="00C164AB"/>
    <w:rsid w:val="00C20867"/>
    <w:rsid w:val="00C31EF0"/>
    <w:rsid w:val="00C34EBA"/>
    <w:rsid w:val="00C37165"/>
    <w:rsid w:val="00C4034F"/>
    <w:rsid w:val="00C415FD"/>
    <w:rsid w:val="00C418C5"/>
    <w:rsid w:val="00C519D5"/>
    <w:rsid w:val="00C52913"/>
    <w:rsid w:val="00C55F7B"/>
    <w:rsid w:val="00C5783D"/>
    <w:rsid w:val="00C60818"/>
    <w:rsid w:val="00C61BBC"/>
    <w:rsid w:val="00C64FB7"/>
    <w:rsid w:val="00C73620"/>
    <w:rsid w:val="00C75FD4"/>
    <w:rsid w:val="00C77E48"/>
    <w:rsid w:val="00C80E3B"/>
    <w:rsid w:val="00C8536E"/>
    <w:rsid w:val="00CA3661"/>
    <w:rsid w:val="00CA4ECF"/>
    <w:rsid w:val="00CA6464"/>
    <w:rsid w:val="00CB01F3"/>
    <w:rsid w:val="00CB04EE"/>
    <w:rsid w:val="00CB1A6B"/>
    <w:rsid w:val="00CB2F19"/>
    <w:rsid w:val="00CB3AEB"/>
    <w:rsid w:val="00CC1653"/>
    <w:rsid w:val="00CD2313"/>
    <w:rsid w:val="00CD3C78"/>
    <w:rsid w:val="00CD5A4E"/>
    <w:rsid w:val="00CE0B7C"/>
    <w:rsid w:val="00CE2106"/>
    <w:rsid w:val="00CF43C2"/>
    <w:rsid w:val="00CF5823"/>
    <w:rsid w:val="00D07AD9"/>
    <w:rsid w:val="00D10B69"/>
    <w:rsid w:val="00D207A1"/>
    <w:rsid w:val="00D21274"/>
    <w:rsid w:val="00D23C46"/>
    <w:rsid w:val="00D25AFE"/>
    <w:rsid w:val="00D3150E"/>
    <w:rsid w:val="00D457F2"/>
    <w:rsid w:val="00D52F26"/>
    <w:rsid w:val="00D55385"/>
    <w:rsid w:val="00D615BF"/>
    <w:rsid w:val="00D62A1F"/>
    <w:rsid w:val="00D66E78"/>
    <w:rsid w:val="00D66EC7"/>
    <w:rsid w:val="00D730C8"/>
    <w:rsid w:val="00D7585A"/>
    <w:rsid w:val="00D802AD"/>
    <w:rsid w:val="00D81070"/>
    <w:rsid w:val="00D81A79"/>
    <w:rsid w:val="00D8387F"/>
    <w:rsid w:val="00D8565C"/>
    <w:rsid w:val="00D86A91"/>
    <w:rsid w:val="00D91431"/>
    <w:rsid w:val="00D93447"/>
    <w:rsid w:val="00DA1DB0"/>
    <w:rsid w:val="00DA6F18"/>
    <w:rsid w:val="00DC13FC"/>
    <w:rsid w:val="00DC27BE"/>
    <w:rsid w:val="00DD2F41"/>
    <w:rsid w:val="00DD5189"/>
    <w:rsid w:val="00DD53BE"/>
    <w:rsid w:val="00DD60F1"/>
    <w:rsid w:val="00DE1DDF"/>
    <w:rsid w:val="00DE34AC"/>
    <w:rsid w:val="00DE54A8"/>
    <w:rsid w:val="00DF1229"/>
    <w:rsid w:val="00DF528C"/>
    <w:rsid w:val="00E10519"/>
    <w:rsid w:val="00E10B01"/>
    <w:rsid w:val="00E167B5"/>
    <w:rsid w:val="00E303D2"/>
    <w:rsid w:val="00E331D6"/>
    <w:rsid w:val="00E3327C"/>
    <w:rsid w:val="00E51FE6"/>
    <w:rsid w:val="00E55544"/>
    <w:rsid w:val="00E64A49"/>
    <w:rsid w:val="00E70071"/>
    <w:rsid w:val="00E74962"/>
    <w:rsid w:val="00E7566F"/>
    <w:rsid w:val="00E7624A"/>
    <w:rsid w:val="00E80441"/>
    <w:rsid w:val="00E84778"/>
    <w:rsid w:val="00E960A0"/>
    <w:rsid w:val="00E964E9"/>
    <w:rsid w:val="00EA24CD"/>
    <w:rsid w:val="00EA4524"/>
    <w:rsid w:val="00EB4618"/>
    <w:rsid w:val="00EC59BF"/>
    <w:rsid w:val="00EE1CE3"/>
    <w:rsid w:val="00EE3444"/>
    <w:rsid w:val="00EE68D8"/>
    <w:rsid w:val="00EF2BF8"/>
    <w:rsid w:val="00EF3F3F"/>
    <w:rsid w:val="00EF6732"/>
    <w:rsid w:val="00EF7FA8"/>
    <w:rsid w:val="00F02E9E"/>
    <w:rsid w:val="00F071C3"/>
    <w:rsid w:val="00F07F43"/>
    <w:rsid w:val="00F1077C"/>
    <w:rsid w:val="00F11D6A"/>
    <w:rsid w:val="00F11EFE"/>
    <w:rsid w:val="00F12070"/>
    <w:rsid w:val="00F14621"/>
    <w:rsid w:val="00F1642B"/>
    <w:rsid w:val="00F27BB7"/>
    <w:rsid w:val="00F30F1A"/>
    <w:rsid w:val="00F31DB1"/>
    <w:rsid w:val="00F325A5"/>
    <w:rsid w:val="00F35B44"/>
    <w:rsid w:val="00F4556B"/>
    <w:rsid w:val="00F6101E"/>
    <w:rsid w:val="00F67CBB"/>
    <w:rsid w:val="00F715F6"/>
    <w:rsid w:val="00F816ED"/>
    <w:rsid w:val="00F8514F"/>
    <w:rsid w:val="00F87F67"/>
    <w:rsid w:val="00FA153B"/>
    <w:rsid w:val="00FB3263"/>
    <w:rsid w:val="00FB4613"/>
    <w:rsid w:val="00FB4E67"/>
    <w:rsid w:val="00FB6178"/>
    <w:rsid w:val="00FC3F23"/>
    <w:rsid w:val="00FC7CD0"/>
    <w:rsid w:val="00FD085F"/>
    <w:rsid w:val="00FD08E1"/>
    <w:rsid w:val="00FD10D3"/>
    <w:rsid w:val="00FD24C5"/>
    <w:rsid w:val="00FD45AE"/>
    <w:rsid w:val="00FD6755"/>
    <w:rsid w:val="00FD737E"/>
    <w:rsid w:val="00FE10A0"/>
    <w:rsid w:val="00FF2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437CB"/>
  <w15:chartTrackingRefBased/>
  <w15:docId w15:val="{E54B0F24-49F8-4561-86F6-A6312BF0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sz w:val="24"/>
        <w:szCs w:val="24"/>
        <w:lang w:val="en-GB"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7D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7D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57D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C57D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57D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57D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57D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7D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7D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C57D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C57D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C57D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C57D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C57D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C57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7D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7D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C57DD"/>
    <w:pPr>
      <w:spacing w:before="160"/>
      <w:jc w:val="center"/>
    </w:pPr>
    <w:rPr>
      <w:i/>
      <w:iCs/>
      <w:color w:val="404040" w:themeColor="text1" w:themeTint="BF"/>
    </w:rPr>
  </w:style>
  <w:style w:type="character" w:customStyle="1" w:styleId="QuoteChar">
    <w:name w:val="Quote Char"/>
    <w:basedOn w:val="DefaultParagraphFont"/>
    <w:link w:val="Quote"/>
    <w:uiPriority w:val="29"/>
    <w:rsid w:val="000C57DD"/>
    <w:rPr>
      <w:i/>
      <w:iCs/>
      <w:color w:val="404040" w:themeColor="text1" w:themeTint="BF"/>
    </w:rPr>
  </w:style>
  <w:style w:type="paragraph" w:styleId="ListParagraph">
    <w:name w:val="List Paragraph"/>
    <w:basedOn w:val="Normal"/>
    <w:uiPriority w:val="34"/>
    <w:qFormat/>
    <w:rsid w:val="000C57DD"/>
    <w:pPr>
      <w:ind w:left="720"/>
      <w:contextualSpacing/>
    </w:pPr>
  </w:style>
  <w:style w:type="character" w:styleId="IntenseEmphasis">
    <w:name w:val="Intense Emphasis"/>
    <w:basedOn w:val="DefaultParagraphFont"/>
    <w:uiPriority w:val="21"/>
    <w:qFormat/>
    <w:rsid w:val="000C57DD"/>
    <w:rPr>
      <w:i/>
      <w:iCs/>
      <w:color w:val="0F4761" w:themeColor="accent1" w:themeShade="BF"/>
    </w:rPr>
  </w:style>
  <w:style w:type="paragraph" w:styleId="IntenseQuote">
    <w:name w:val="Intense Quote"/>
    <w:basedOn w:val="Normal"/>
    <w:next w:val="Normal"/>
    <w:link w:val="IntenseQuoteChar"/>
    <w:uiPriority w:val="30"/>
    <w:qFormat/>
    <w:rsid w:val="000C5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7DD"/>
    <w:rPr>
      <w:i/>
      <w:iCs/>
      <w:color w:val="0F4761" w:themeColor="accent1" w:themeShade="BF"/>
    </w:rPr>
  </w:style>
  <w:style w:type="character" w:styleId="IntenseReference">
    <w:name w:val="Intense Reference"/>
    <w:basedOn w:val="DefaultParagraphFont"/>
    <w:uiPriority w:val="32"/>
    <w:qFormat/>
    <w:rsid w:val="000C57DD"/>
    <w:rPr>
      <w:b/>
      <w:bCs w:val="0"/>
      <w:smallCaps/>
      <w:color w:val="0F4761" w:themeColor="accent1" w:themeShade="BF"/>
      <w:spacing w:val="5"/>
    </w:rPr>
  </w:style>
  <w:style w:type="paragraph" w:styleId="NoSpacing">
    <w:name w:val="No Spacing"/>
    <w:link w:val="NoSpacingChar"/>
    <w:uiPriority w:val="1"/>
    <w:qFormat/>
    <w:rsid w:val="000C57DD"/>
    <w:pPr>
      <w:jc w:val="left"/>
    </w:pPr>
    <w:rPr>
      <w:rFonts w:asciiTheme="minorHAnsi" w:eastAsiaTheme="minorEastAsia" w:hAnsiTheme="minorHAnsi" w:cstheme="minorBidi"/>
      <w:bCs w:val="0"/>
      <w:sz w:val="22"/>
      <w:szCs w:val="22"/>
      <w:lang w:val="en-US"/>
    </w:rPr>
  </w:style>
  <w:style w:type="character" w:customStyle="1" w:styleId="NoSpacingChar">
    <w:name w:val="No Spacing Char"/>
    <w:basedOn w:val="DefaultParagraphFont"/>
    <w:link w:val="NoSpacing"/>
    <w:uiPriority w:val="1"/>
    <w:rsid w:val="000C57DD"/>
    <w:rPr>
      <w:rFonts w:asciiTheme="minorHAnsi" w:eastAsiaTheme="minorEastAsia" w:hAnsiTheme="minorHAnsi" w:cstheme="minorBidi"/>
      <w:bCs w:val="0"/>
      <w:sz w:val="22"/>
      <w:szCs w:val="22"/>
      <w:lang w:val="en-US"/>
    </w:rPr>
  </w:style>
  <w:style w:type="paragraph" w:styleId="FootnoteText">
    <w:name w:val="footnote text"/>
    <w:basedOn w:val="Normal"/>
    <w:link w:val="FootnoteTextChar"/>
    <w:uiPriority w:val="99"/>
    <w:semiHidden/>
    <w:unhideWhenUsed/>
    <w:rsid w:val="000664B3"/>
    <w:rPr>
      <w:sz w:val="20"/>
      <w:szCs w:val="20"/>
    </w:rPr>
  </w:style>
  <w:style w:type="character" w:customStyle="1" w:styleId="FootnoteTextChar">
    <w:name w:val="Footnote Text Char"/>
    <w:basedOn w:val="DefaultParagraphFont"/>
    <w:link w:val="FootnoteText"/>
    <w:uiPriority w:val="99"/>
    <w:semiHidden/>
    <w:rsid w:val="000664B3"/>
    <w:rPr>
      <w:sz w:val="20"/>
      <w:szCs w:val="20"/>
    </w:rPr>
  </w:style>
  <w:style w:type="character" w:styleId="FootnoteReference">
    <w:name w:val="footnote reference"/>
    <w:basedOn w:val="DefaultParagraphFont"/>
    <w:uiPriority w:val="99"/>
    <w:semiHidden/>
    <w:unhideWhenUsed/>
    <w:rsid w:val="000664B3"/>
    <w:rPr>
      <w:vertAlign w:val="superscript"/>
    </w:rPr>
  </w:style>
  <w:style w:type="character" w:styleId="PlaceholderText">
    <w:name w:val="Placeholder Text"/>
    <w:basedOn w:val="DefaultParagraphFont"/>
    <w:uiPriority w:val="99"/>
    <w:semiHidden/>
    <w:rsid w:val="00AC6E2B"/>
    <w:rPr>
      <w:color w:val="666666"/>
    </w:rPr>
  </w:style>
  <w:style w:type="character" w:styleId="Hyperlink">
    <w:name w:val="Hyperlink"/>
    <w:basedOn w:val="DefaultParagraphFont"/>
    <w:uiPriority w:val="99"/>
    <w:unhideWhenUsed/>
    <w:rsid w:val="00DD53BE"/>
    <w:rPr>
      <w:color w:val="467886" w:themeColor="hyperlink"/>
      <w:u w:val="single"/>
    </w:rPr>
  </w:style>
  <w:style w:type="character" w:styleId="UnresolvedMention">
    <w:name w:val="Unresolved Mention"/>
    <w:basedOn w:val="DefaultParagraphFont"/>
    <w:uiPriority w:val="99"/>
    <w:semiHidden/>
    <w:unhideWhenUsed/>
    <w:rsid w:val="00DD53BE"/>
    <w:rPr>
      <w:color w:val="605E5C"/>
      <w:shd w:val="clear" w:color="auto" w:fill="E1DFDD"/>
    </w:rPr>
  </w:style>
  <w:style w:type="paragraph" w:styleId="Header">
    <w:name w:val="header"/>
    <w:basedOn w:val="Normal"/>
    <w:link w:val="HeaderChar"/>
    <w:uiPriority w:val="99"/>
    <w:unhideWhenUsed/>
    <w:rsid w:val="00940DC5"/>
    <w:pPr>
      <w:tabs>
        <w:tab w:val="center" w:pos="4513"/>
        <w:tab w:val="right" w:pos="9026"/>
      </w:tabs>
    </w:pPr>
  </w:style>
  <w:style w:type="character" w:customStyle="1" w:styleId="HeaderChar">
    <w:name w:val="Header Char"/>
    <w:basedOn w:val="DefaultParagraphFont"/>
    <w:link w:val="Header"/>
    <w:uiPriority w:val="99"/>
    <w:rsid w:val="00940DC5"/>
  </w:style>
  <w:style w:type="paragraph" w:styleId="Footer">
    <w:name w:val="footer"/>
    <w:basedOn w:val="Normal"/>
    <w:link w:val="FooterChar"/>
    <w:uiPriority w:val="99"/>
    <w:unhideWhenUsed/>
    <w:rsid w:val="00940DC5"/>
    <w:pPr>
      <w:tabs>
        <w:tab w:val="center" w:pos="4513"/>
        <w:tab w:val="right" w:pos="9026"/>
      </w:tabs>
    </w:pPr>
  </w:style>
  <w:style w:type="character" w:customStyle="1" w:styleId="FooterChar">
    <w:name w:val="Footer Char"/>
    <w:basedOn w:val="DefaultParagraphFont"/>
    <w:link w:val="Footer"/>
    <w:uiPriority w:val="99"/>
    <w:rsid w:val="00940DC5"/>
  </w:style>
  <w:style w:type="paragraph" w:styleId="Caption">
    <w:name w:val="caption"/>
    <w:basedOn w:val="Normal"/>
    <w:next w:val="Normal"/>
    <w:uiPriority w:val="35"/>
    <w:unhideWhenUsed/>
    <w:qFormat/>
    <w:rsid w:val="00A6349E"/>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515/9783110198492.36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xtra.ie/2023/04/14/news/cartoon-biden-vis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hyperlink" Target="https://ich.unesco.org/en/conventio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am.ac.uk/articles/thats-the-way-to-do-it-a-history-of-punch-and-judy?srsltid=AfmBOoq45TOxmGqzugOM36F8J0UFrlThtS1T6d0d0TItIb8pi3fiOHR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vam.ac.uk/articles/thats-the-way-to-do-it-a-history-of-punch-and-judy?srsltid=AfmBOoq45TOxmGqzugOM36F8J0UFrlThtS1T6d0d0TItIb8pi3fiOHRy" TargetMode="External"/><Relationship Id="rId2" Type="http://schemas.openxmlformats.org/officeDocument/2006/relationships/hyperlink" Target="https://doi.org/10.1515/9783110198492.361" TargetMode="External"/><Relationship Id="rId1"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6AF620-CF99-4CAD-A207-0224AA2BFF83}">
  <we:reference id="wa200007520" version="3.0.0.0" store="en-GB" storeType="OMEX"/>
  <we:alternateReferences>
    <we:reference id="WA200007520" version="3.0.0.0" store="" storeType="OMEX"/>
  </we:alternateReferences>
  <we:properties>
    <we:property name="currentFolder" value="{&quot;id&quot;:&quot;project:68e8cce2b381fc49ed6ead75&quot;,&quot;userId&quot;:&quot;user:6568923492594a6ad5447e57&quot;,&quot;projectId&quot;:&quot;ap:6568923492594a6ad5447e58&quot;,&quot;name&quot;:&quot;Heritage assessment one: Article review&quot;,&quot;created&quot;:1760087266145,&quot;lastModified&quot;:1760087266145,&quot;position&quot;:1,&quot;isShared&quot;:false,&quot;isExampleCollection&quot;:false,&quot;isMyPublicationsCollection&quot;:false,&quot;notInFolder&quot;:false,&quot;totalReferences&quot;:1,&quot;depth&quot;:0}"/>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rcm.version" value="2"/>
    <we:property name="citations" value="{&quot;-2027080258&quot;:{&quot;referencesIds&quot;:[&quot;doc:68e8cefc6a2bab4e389bf94d&quot;],&quot;referencesOptions&quot;:{&quot;doc:68e8cefc6a2bab4e389bf9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080258,&quot;citationText&quot;:&quot;&lt;span style=\&quot;font-family:Arial;font-size:16px;color:#000000\&quot;&gt;(Fiadotava 2025: 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205</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c22c701da309d726eb8e985380de3d52">
  <xsd:schema xmlns:xsd="http://www.w3.org/2001/XMLSchema" xmlns:xs="http://www.w3.org/2001/XMLSchema" xmlns:p="http://schemas.microsoft.com/office/2006/metadata/properties" xmlns:ns3="d8e79d84-78fb-44a9-92e9-d04bdd8f0359" targetNamespace="http://schemas.microsoft.com/office/2006/metadata/properties" ma:root="true" ma:fieldsID="b049c01de8a0600a968de17ce993eea7"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DD9EC4-25ED-4AB1-8033-8B63CC4B8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3303B0-B3C7-45C3-B29A-60FDEDFFE4FD}">
  <ds:schemaRefs>
    <ds:schemaRef ds:uri="http://schemas.openxmlformats.org/officeDocument/2006/bibliography"/>
  </ds:schemaRefs>
</ds:datastoreItem>
</file>

<file path=customXml/itemProps4.xml><?xml version="1.0" encoding="utf-8"?>
<ds:datastoreItem xmlns:ds="http://schemas.openxmlformats.org/officeDocument/2006/customXml" ds:itemID="{A45A408B-2D54-4699-9FA9-A936AC13B1A0}">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54214954-8F88-4846-94D5-8BA5D698E4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1980</Words>
  <Characters>11069</Characters>
  <Application>Microsoft Office Word</Application>
  <DocSecurity>0</DocSecurity>
  <Lines>263</Lines>
  <Paragraphs>47</Paragraphs>
  <ScaleCrop>false</ScaleCrop>
  <HeadingPairs>
    <vt:vector size="2" baseType="variant">
      <vt:variant>
        <vt:lpstr>Title</vt:lpstr>
      </vt:variant>
      <vt:variant>
        <vt:i4>1</vt:i4>
      </vt:variant>
    </vt:vector>
  </HeadingPairs>
  <TitlesOfParts>
    <vt:vector size="1" baseType="lpstr">
      <vt:lpstr>Article Review</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Review</dc:title>
  <dc:subject>Humour s Cultural Heritage Anastasiya Fiadotava.</dc:subject>
  <dc:creator>Alyson Greening</dc:creator>
  <cp:keywords/>
  <dc:description/>
  <cp:lastModifiedBy>Alyson Greening</cp:lastModifiedBy>
  <cp:revision>2</cp:revision>
  <cp:lastPrinted>2025-10-25T16:19:00Z</cp:lastPrinted>
  <dcterms:created xsi:type="dcterms:W3CDTF">2025-10-26T09:34:00Z</dcterms:created>
  <dcterms:modified xsi:type="dcterms:W3CDTF">2025-10-26T09:34:00Z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