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D5D657" w14:textId="77777777" w:rsidR="003F3927" w:rsidRDefault="004C1D55" w:rsidP="003F3927">
      <w:r>
        <w:t xml:space="preserve">Reference list ECEY4004/C </w:t>
      </w:r>
    </w:p>
    <w:p w14:paraId="71B784A5" w14:textId="52D6A758" w:rsidR="003F3927" w:rsidRDefault="003F3927" w:rsidP="004413DD">
      <w:r>
        <w:t xml:space="preserve">Amabile, T.M. and Pratt, M. (2016) “The dynamic componential model of creativity and innovation in organizations: Making progress, making meaning,” </w:t>
      </w:r>
      <w:r>
        <w:rPr>
          <w:i/>
          <w:iCs/>
        </w:rPr>
        <w:t xml:space="preserve">Research in Organizational </w:t>
      </w:r>
      <w:proofErr w:type="spellStart"/>
      <w:r>
        <w:rPr>
          <w:i/>
          <w:iCs/>
        </w:rPr>
        <w:t>Behavior</w:t>
      </w:r>
      <w:proofErr w:type="spellEnd"/>
      <w:r>
        <w:t xml:space="preserve">, 36, pp. 157–183. Available at: </w:t>
      </w:r>
      <w:hyperlink r:id="rId5" w:history="1">
        <w:r w:rsidRPr="005E4F66">
          <w:rPr>
            <w:rStyle w:val="Hyperlink"/>
          </w:rPr>
          <w:t>https://doi.org/10.1016/j.riob.2016.10.001</w:t>
        </w:r>
      </w:hyperlink>
      <w:r>
        <w:t>.</w:t>
      </w:r>
      <w:r>
        <w:t xml:space="preserve"> </w:t>
      </w:r>
    </w:p>
    <w:p w14:paraId="0218067F" w14:textId="163E9B85" w:rsidR="0004447A" w:rsidRPr="004413DD" w:rsidRDefault="0004447A" w:rsidP="004413DD">
      <w:proofErr w:type="spellStart"/>
      <w:r w:rsidRPr="009E22DD">
        <w:rPr>
          <w:rFonts w:ascii="Arial" w:hAnsi="Arial" w:cs="Arial"/>
          <w:sz w:val="20"/>
          <w:szCs w:val="20"/>
        </w:rPr>
        <w:t>Ananiadou</w:t>
      </w:r>
      <w:proofErr w:type="spellEnd"/>
      <w:r w:rsidRPr="009E22DD">
        <w:rPr>
          <w:rFonts w:ascii="Arial" w:hAnsi="Arial" w:cs="Arial"/>
          <w:sz w:val="20"/>
          <w:szCs w:val="20"/>
        </w:rPr>
        <w:t xml:space="preserve">, K. and Claro, M. (2009) “21st Century Skills and Competences for New Millennium Learners in OECD Countries,” </w:t>
      </w:r>
      <w:r w:rsidRPr="009E22DD">
        <w:rPr>
          <w:rFonts w:ascii="Arial" w:hAnsi="Arial" w:cs="Arial"/>
          <w:i/>
          <w:iCs/>
          <w:sz w:val="20"/>
          <w:szCs w:val="20"/>
        </w:rPr>
        <w:t>OECD Education Working Papers</w:t>
      </w:r>
      <w:r w:rsidRPr="009E22DD">
        <w:rPr>
          <w:rFonts w:ascii="Arial" w:hAnsi="Arial" w:cs="Arial"/>
          <w:sz w:val="20"/>
          <w:szCs w:val="20"/>
        </w:rPr>
        <w:t xml:space="preserve"> [Preprint]. Available at: https://doi.org/10.1787/218525261154.</w:t>
      </w:r>
    </w:p>
    <w:p w14:paraId="5FF09848" w14:textId="5A42144F" w:rsidR="0004447A" w:rsidRPr="009E22DD" w:rsidRDefault="009E22DD" w:rsidP="004C1D55">
      <w:pPr>
        <w:rPr>
          <w:rFonts w:ascii="Arial" w:hAnsi="Arial" w:cs="Arial"/>
          <w:sz w:val="20"/>
          <w:szCs w:val="20"/>
        </w:rPr>
      </w:pPr>
      <w:r w:rsidRPr="009E22DD">
        <w:rPr>
          <w:rFonts w:ascii="Arial" w:hAnsi="Arial" w:cs="Arial"/>
          <w:color w:val="333333"/>
          <w:sz w:val="20"/>
          <w:szCs w:val="20"/>
          <w:shd w:val="clear" w:color="auto" w:fill="FFFFFF"/>
        </w:rPr>
        <w:t>Baker, C. (2011). Foundations of bilingual education and bilingualism (Vol. 79). Multilingual matters.</w:t>
      </w:r>
    </w:p>
    <w:p w14:paraId="0878D032" w14:textId="49679CA5" w:rsidR="00326444" w:rsidRPr="009E22DD" w:rsidRDefault="00326444" w:rsidP="004C1D55">
      <w:pPr>
        <w:rPr>
          <w:rFonts w:ascii="Arial" w:hAnsi="Arial" w:cs="Arial"/>
          <w:color w:val="181817"/>
          <w:sz w:val="20"/>
          <w:szCs w:val="20"/>
          <w:shd w:val="clear" w:color="auto" w:fill="FFFFFF"/>
        </w:rPr>
      </w:pPr>
      <w:proofErr w:type="spellStart"/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Barac</w:t>
      </w:r>
      <w:proofErr w:type="spellEnd"/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, R., &amp; Bialystok, E. (2011). </w:t>
      </w:r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‘’</w:t>
      </w:r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Cognitive development of bilingual children</w:t>
      </w:r>
      <w:r w:rsidR="0004447A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’’</w:t>
      </w:r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. </w:t>
      </w:r>
      <w:r w:rsidRPr="009E22DD">
        <w:rPr>
          <w:rFonts w:ascii="Arial" w:hAnsi="Arial" w:cs="Arial"/>
          <w:i/>
          <w:iCs/>
          <w:color w:val="181817"/>
          <w:sz w:val="20"/>
          <w:szCs w:val="20"/>
          <w:bdr w:val="none" w:sz="0" w:space="0" w:color="auto" w:frame="1"/>
          <w:shd w:val="clear" w:color="auto" w:fill="FFFFFF"/>
        </w:rPr>
        <w:t>Language Teaching,</w:t>
      </w:r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 </w:t>
      </w:r>
      <w:r w:rsidRPr="009E22DD">
        <w:rPr>
          <w:rFonts w:ascii="Arial" w:hAnsi="Arial" w:cs="Arial"/>
          <w:i/>
          <w:iCs/>
          <w:color w:val="181817"/>
          <w:sz w:val="20"/>
          <w:szCs w:val="20"/>
          <w:bdr w:val="none" w:sz="0" w:space="0" w:color="auto" w:frame="1"/>
          <w:shd w:val="clear" w:color="auto" w:fill="FFFFFF"/>
        </w:rPr>
        <w:t>44</w:t>
      </w:r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(1), 36-54. </w:t>
      </w:r>
      <w:r w:rsidR="009E22DD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D</w:t>
      </w:r>
      <w:r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oi:</w:t>
      </w:r>
      <w:r w:rsidR="004413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 </w:t>
      </w:r>
      <w:hyperlink r:id="rId6" w:history="1">
        <w:r w:rsidR="004413DD" w:rsidRPr="005E4F66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</w:t>
        </w:r>
        <w:r w:rsidR="004413DD" w:rsidRPr="005E4F66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10.1017/S0261444810000339</w:t>
        </w:r>
      </w:hyperlink>
      <w:r w:rsidR="004413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 </w:t>
      </w:r>
    </w:p>
    <w:p w14:paraId="04696C83" w14:textId="77777777" w:rsidR="004413DD" w:rsidRDefault="00E147B6" w:rsidP="004413DD">
      <w:pPr>
        <w:pStyle w:val="PlainText"/>
        <w:rPr>
          <w:rFonts w:ascii="Arial" w:hAnsi="Arial" w:cs="Arial"/>
          <w:i/>
          <w:iCs/>
          <w:sz w:val="20"/>
          <w:szCs w:val="20"/>
        </w:rPr>
      </w:pPr>
      <w:proofErr w:type="spellStart"/>
      <w:r w:rsidRPr="009E22DD">
        <w:rPr>
          <w:rFonts w:ascii="Arial" w:hAnsi="Arial" w:cs="Arial"/>
          <w:sz w:val="20"/>
          <w:szCs w:val="20"/>
        </w:rPr>
        <w:t>Booton</w:t>
      </w:r>
      <w:proofErr w:type="spellEnd"/>
      <w:r w:rsidRPr="009E22DD">
        <w:rPr>
          <w:rFonts w:ascii="Arial" w:hAnsi="Arial" w:cs="Arial"/>
          <w:sz w:val="20"/>
          <w:szCs w:val="20"/>
        </w:rPr>
        <w:t>,</w:t>
      </w:r>
      <w:r w:rsidRPr="009E22DD">
        <w:rPr>
          <w:rFonts w:ascii="Arial" w:hAnsi="Arial" w:cs="Arial"/>
          <w:sz w:val="20"/>
          <w:szCs w:val="20"/>
        </w:rPr>
        <w:t xml:space="preserve"> S. </w:t>
      </w:r>
      <w:r w:rsidRPr="009E22DD">
        <w:rPr>
          <w:rFonts w:ascii="Arial" w:hAnsi="Arial" w:cs="Arial"/>
          <w:i/>
          <w:iCs/>
          <w:sz w:val="20"/>
          <w:szCs w:val="20"/>
        </w:rPr>
        <w:t xml:space="preserve">et al. </w:t>
      </w:r>
      <w:r w:rsidRPr="009E22DD">
        <w:rPr>
          <w:rFonts w:ascii="Arial" w:hAnsi="Arial" w:cs="Arial"/>
          <w:sz w:val="20"/>
          <w:szCs w:val="20"/>
        </w:rPr>
        <w:t xml:space="preserve">(2021) </w:t>
      </w:r>
      <w:r w:rsidR="0004447A" w:rsidRPr="009E22DD">
        <w:rPr>
          <w:rFonts w:ascii="Arial" w:hAnsi="Arial" w:cs="Arial"/>
          <w:sz w:val="20"/>
          <w:szCs w:val="20"/>
        </w:rPr>
        <w:t>‘’</w:t>
      </w:r>
      <w:r w:rsidRPr="009E22DD">
        <w:rPr>
          <w:rFonts w:ascii="Arial" w:hAnsi="Arial" w:cs="Arial"/>
          <w:sz w:val="20"/>
          <w:szCs w:val="20"/>
        </w:rPr>
        <w:t>children’s divergent thinking and bilingualism</w:t>
      </w:r>
      <w:r w:rsidR="0004447A" w:rsidRPr="009E22DD">
        <w:rPr>
          <w:rFonts w:ascii="Arial" w:hAnsi="Arial" w:cs="Arial"/>
          <w:sz w:val="20"/>
          <w:szCs w:val="20"/>
        </w:rPr>
        <w:t>’’</w:t>
      </w:r>
      <w:r w:rsidRPr="009E22DD">
        <w:rPr>
          <w:rFonts w:ascii="Arial" w:hAnsi="Arial" w:cs="Arial"/>
          <w:sz w:val="20"/>
          <w:szCs w:val="20"/>
        </w:rPr>
        <w:t xml:space="preserve">. </w:t>
      </w:r>
      <w:r w:rsidRPr="009E22DD">
        <w:rPr>
          <w:rFonts w:ascii="Arial" w:hAnsi="Arial" w:cs="Arial"/>
          <w:i/>
          <w:iCs/>
          <w:sz w:val="20"/>
          <w:szCs w:val="20"/>
        </w:rPr>
        <w:t xml:space="preserve">Thinking skills and creativity. </w:t>
      </w:r>
      <w:r w:rsidR="0004447A" w:rsidRPr="009E22DD">
        <w:rPr>
          <w:rFonts w:ascii="Arial" w:hAnsi="Arial" w:cs="Arial"/>
          <w:sz w:val="20"/>
          <w:szCs w:val="20"/>
        </w:rPr>
        <w:t>41. P</w:t>
      </w:r>
      <w:r w:rsidR="0004447A" w:rsidRPr="009E22DD">
        <w:rPr>
          <w:rFonts w:ascii="Arial" w:hAnsi="Arial" w:cs="Arial"/>
          <w:i/>
          <w:iCs/>
          <w:sz w:val="20"/>
          <w:szCs w:val="20"/>
        </w:rPr>
        <w:t xml:space="preserve">. </w:t>
      </w:r>
      <w:r w:rsidR="0004447A" w:rsidRPr="009E22DD">
        <w:rPr>
          <w:rFonts w:ascii="Arial" w:hAnsi="Arial" w:cs="Arial"/>
          <w:sz w:val="20"/>
          <w:szCs w:val="20"/>
        </w:rPr>
        <w:t xml:space="preserve">100918. Available at: </w:t>
      </w:r>
      <w:hyperlink r:id="rId7" w:history="1">
        <w:r w:rsidR="0004447A" w:rsidRPr="009E22DD">
          <w:rPr>
            <w:rStyle w:val="Hyperlink"/>
            <w:rFonts w:ascii="Arial" w:hAnsi="Arial" w:cs="Arial"/>
            <w:sz w:val="20"/>
            <w:szCs w:val="20"/>
          </w:rPr>
          <w:t>https://doi.org/10.1016/j.tsc.2021.100981</w:t>
        </w:r>
      </w:hyperlink>
      <w:r w:rsidR="0004447A" w:rsidRPr="009E22DD">
        <w:rPr>
          <w:rFonts w:ascii="Arial" w:hAnsi="Arial" w:cs="Arial"/>
          <w:sz w:val="20"/>
          <w:szCs w:val="20"/>
        </w:rPr>
        <w:t xml:space="preserve"> </w:t>
      </w:r>
      <w:r w:rsidRPr="009E22DD">
        <w:rPr>
          <w:rFonts w:ascii="Arial" w:hAnsi="Arial" w:cs="Arial"/>
          <w:i/>
          <w:iCs/>
          <w:sz w:val="20"/>
          <w:szCs w:val="20"/>
        </w:rPr>
        <w:t xml:space="preserve"> </w:t>
      </w:r>
    </w:p>
    <w:p w14:paraId="2297A338" w14:textId="77777777" w:rsidR="004413DD" w:rsidRDefault="004413DD" w:rsidP="004413DD">
      <w:pPr>
        <w:pStyle w:val="PlainText"/>
        <w:rPr>
          <w:rFonts w:ascii="Arial" w:hAnsi="Arial" w:cs="Arial"/>
          <w:i/>
          <w:iCs/>
          <w:sz w:val="20"/>
          <w:szCs w:val="20"/>
        </w:rPr>
      </w:pPr>
    </w:p>
    <w:p w14:paraId="08C01F53" w14:textId="77777777" w:rsidR="00582956" w:rsidRDefault="009E22DD" w:rsidP="00582956">
      <w:pPr>
        <w:pStyle w:val="PlainText"/>
        <w:rPr>
          <w:rFonts w:ascii="Arial" w:hAnsi="Arial" w:cs="Arial"/>
          <w:sz w:val="20"/>
          <w:szCs w:val="20"/>
        </w:rPr>
      </w:pPr>
      <w:proofErr w:type="spellStart"/>
      <w:r w:rsidRPr="009E22DD">
        <w:rPr>
          <w:rFonts w:ascii="Arial" w:hAnsi="Arial" w:cs="Arial"/>
          <w:sz w:val="20"/>
          <w:szCs w:val="20"/>
        </w:rPr>
        <w:t>Burlacu</w:t>
      </w:r>
      <w:proofErr w:type="spellEnd"/>
      <w:r w:rsidRPr="009E22DD">
        <w:rPr>
          <w:rFonts w:ascii="Arial" w:hAnsi="Arial" w:cs="Arial"/>
          <w:sz w:val="20"/>
          <w:szCs w:val="20"/>
        </w:rPr>
        <w:t xml:space="preserve">, A. (2018) “What’s The Best Age For Learning A New </w:t>
      </w:r>
      <w:proofErr w:type="gramStart"/>
      <w:r w:rsidRPr="009E22DD">
        <w:rPr>
          <w:rFonts w:ascii="Arial" w:hAnsi="Arial" w:cs="Arial"/>
          <w:sz w:val="20"/>
          <w:szCs w:val="20"/>
        </w:rPr>
        <w:t>Language?,</w:t>
      </w:r>
      <w:proofErr w:type="gramEnd"/>
      <w:r w:rsidRPr="009E22DD">
        <w:rPr>
          <w:rFonts w:ascii="Arial" w:hAnsi="Arial" w:cs="Arial"/>
          <w:sz w:val="20"/>
          <w:szCs w:val="20"/>
        </w:rPr>
        <w:t xml:space="preserve">” </w:t>
      </w:r>
      <w:r w:rsidRPr="009E22DD">
        <w:rPr>
          <w:rFonts w:ascii="Arial" w:hAnsi="Arial" w:cs="Arial"/>
          <w:i/>
          <w:iCs/>
          <w:sz w:val="20"/>
          <w:szCs w:val="20"/>
        </w:rPr>
        <w:t>Tech Times</w:t>
      </w:r>
      <w:r w:rsidRPr="009E22DD">
        <w:rPr>
          <w:rFonts w:ascii="Arial" w:hAnsi="Arial" w:cs="Arial"/>
          <w:sz w:val="20"/>
          <w:szCs w:val="20"/>
        </w:rPr>
        <w:t xml:space="preserve">, 2 May. Available at: </w:t>
      </w:r>
      <w:hyperlink r:id="rId8" w:history="1">
        <w:r w:rsidR="004413DD" w:rsidRPr="005E4F66">
          <w:rPr>
            <w:rStyle w:val="Hyperlink"/>
            <w:rFonts w:ascii="Arial" w:hAnsi="Arial" w:cs="Arial"/>
            <w:sz w:val="20"/>
            <w:szCs w:val="20"/>
          </w:rPr>
          <w:t>https://www.techtimes.com/articles/226621/20180502/whats-the-best-age-for-learning-a-new-language.htm</w:t>
        </w:r>
      </w:hyperlink>
      <w:r w:rsidRPr="009E22DD">
        <w:rPr>
          <w:rFonts w:ascii="Arial" w:hAnsi="Arial" w:cs="Arial"/>
          <w:sz w:val="20"/>
          <w:szCs w:val="20"/>
        </w:rPr>
        <w:t>.</w:t>
      </w:r>
    </w:p>
    <w:p w14:paraId="03EC65E7" w14:textId="77777777" w:rsidR="00582956" w:rsidRDefault="00582956" w:rsidP="00582956">
      <w:pPr>
        <w:pStyle w:val="PlainText"/>
        <w:rPr>
          <w:rFonts w:ascii="Arial" w:hAnsi="Arial" w:cs="Arial"/>
          <w:sz w:val="20"/>
          <w:szCs w:val="20"/>
        </w:rPr>
      </w:pPr>
    </w:p>
    <w:p w14:paraId="762DFA25" w14:textId="2EF0C041" w:rsidR="00582956" w:rsidRPr="00582956" w:rsidRDefault="00582956" w:rsidP="00582956">
      <w:pPr>
        <w:pStyle w:val="PlainText"/>
        <w:rPr>
          <w:rFonts w:ascii="Arial" w:hAnsi="Arial" w:cs="Arial"/>
          <w:sz w:val="20"/>
          <w:szCs w:val="20"/>
        </w:rPr>
      </w:pPr>
      <w:r w:rsidRPr="00582956">
        <w:rPr>
          <w:rFonts w:ascii="Arial" w:hAnsi="Arial" w:cs="Arial"/>
        </w:rPr>
        <w:t xml:space="preserve">Cherry, K. (2022) </w:t>
      </w:r>
      <w:r>
        <w:rPr>
          <w:rFonts w:ascii="Arial" w:hAnsi="Arial" w:cs="Arial"/>
        </w:rPr>
        <w:t>‘’</w:t>
      </w:r>
      <w:r w:rsidRPr="00582956">
        <w:rPr>
          <w:rFonts w:ascii="Arial" w:hAnsi="Arial" w:cs="Arial"/>
        </w:rPr>
        <w:t xml:space="preserve">What Is Sociocultural </w:t>
      </w:r>
      <w:proofErr w:type="gramStart"/>
      <w:r w:rsidRPr="00582956">
        <w:rPr>
          <w:rFonts w:ascii="Arial" w:hAnsi="Arial" w:cs="Arial"/>
        </w:rPr>
        <w:t>Theory?</w:t>
      </w:r>
      <w:r>
        <w:rPr>
          <w:rFonts w:ascii="Arial" w:hAnsi="Arial" w:cs="Arial"/>
        </w:rPr>
        <w:t>,</w:t>
      </w:r>
      <w:proofErr w:type="gramEnd"/>
      <w:r>
        <w:rPr>
          <w:rFonts w:ascii="Arial" w:hAnsi="Arial" w:cs="Arial"/>
        </w:rPr>
        <w:t xml:space="preserve">’’ </w:t>
      </w:r>
      <w:proofErr w:type="spellStart"/>
      <w:r>
        <w:rPr>
          <w:rFonts w:ascii="Arial" w:hAnsi="Arial" w:cs="Arial"/>
          <w:i/>
          <w:iCs/>
        </w:rPr>
        <w:t>verywellmind</w:t>
      </w:r>
      <w:proofErr w:type="spellEnd"/>
      <w:r>
        <w:rPr>
          <w:rFonts w:ascii="Arial" w:hAnsi="Arial" w:cs="Arial"/>
          <w:i/>
          <w:iCs/>
        </w:rPr>
        <w:t xml:space="preserve">. </w:t>
      </w:r>
      <w:r w:rsidRPr="00582956">
        <w:rPr>
          <w:rFonts w:ascii="Arial" w:hAnsi="Arial" w:cs="Arial"/>
        </w:rPr>
        <w:t xml:space="preserve"> Available at: https://www.verywellmind.com/what-is-sociocultural-theory-2795088.</w:t>
      </w:r>
    </w:p>
    <w:p w14:paraId="6316A0D9" w14:textId="75AD7891" w:rsidR="00582956" w:rsidRDefault="00582956" w:rsidP="004413DD">
      <w:pPr>
        <w:pStyle w:val="PlainText"/>
        <w:rPr>
          <w:rFonts w:ascii="Arial" w:hAnsi="Arial" w:cs="Arial"/>
        </w:rPr>
      </w:pPr>
    </w:p>
    <w:p w14:paraId="1E0809EB" w14:textId="77777777" w:rsidR="00582956" w:rsidRPr="00582956" w:rsidRDefault="00582956" w:rsidP="00582956">
      <w:pPr>
        <w:rPr>
          <w:rFonts w:ascii="Arial" w:hAnsi="Arial" w:cs="Arial"/>
          <w:color w:val="181817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181817"/>
          <w:sz w:val="20"/>
          <w:szCs w:val="20"/>
          <w:shd w:val="clear" w:color="auto" w:fill="FFFFFF"/>
        </w:rPr>
        <w:t>Gov.wales</w:t>
      </w:r>
      <w:proofErr w:type="spellEnd"/>
      <w:r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(2021) ‘’Welsh language data from the annual population survey,’’ </w:t>
      </w:r>
      <w:r>
        <w:rPr>
          <w:rFonts w:ascii="Arial" w:hAnsi="Arial" w:cs="Arial"/>
          <w:i/>
          <w:iCs/>
          <w:color w:val="181817"/>
          <w:sz w:val="20"/>
          <w:szCs w:val="20"/>
          <w:shd w:val="clear" w:color="auto" w:fill="FFFFFF"/>
        </w:rPr>
        <w:t xml:space="preserve">Welsh government. </w:t>
      </w:r>
      <w:r>
        <w:rPr>
          <w:rFonts w:ascii="Arial" w:hAnsi="Arial" w:cs="Arial"/>
          <w:color w:val="181817"/>
          <w:sz w:val="20"/>
          <w:szCs w:val="20"/>
          <w:shd w:val="clear" w:color="auto" w:fill="FFFFFF"/>
        </w:rPr>
        <w:t>Available at:</w:t>
      </w:r>
      <w:r w:rsidRPr="00582956">
        <w:t xml:space="preserve"> </w:t>
      </w:r>
      <w:hyperlink r:id="rId9" w:history="1">
        <w:r>
          <w:rPr>
            <w:rStyle w:val="Hyperlink"/>
          </w:rPr>
          <w:t>Welsh language data from the Annual Population Survey: April 2020 to March 2021 | GOV.WALES</w:t>
        </w:r>
      </w:hyperlink>
      <w:r>
        <w:t xml:space="preserve"> (Accessed date: 22</w:t>
      </w:r>
      <w:r w:rsidRPr="00582956">
        <w:rPr>
          <w:vertAlign w:val="superscript"/>
        </w:rPr>
        <w:t>nd</w:t>
      </w:r>
      <w:r>
        <w:t xml:space="preserve"> march 2023)</w:t>
      </w:r>
    </w:p>
    <w:p w14:paraId="1AF7586D" w14:textId="35713851" w:rsidR="00582956" w:rsidRDefault="00582956" w:rsidP="00582956">
      <w:pPr>
        <w:pStyle w:val="PlainText"/>
        <w:rPr>
          <w:rFonts w:ascii="Arial" w:hAnsi="Arial" w:cs="Arial"/>
        </w:rPr>
      </w:pPr>
      <w:proofErr w:type="spellStart"/>
      <w:r w:rsidRPr="009E22DD">
        <w:rPr>
          <w:rFonts w:ascii="Arial" w:eastAsia="Times New Roman" w:hAnsi="Arial" w:cs="Arial"/>
          <w:color w:val="333333"/>
          <w:kern w:val="0"/>
          <w:sz w:val="20"/>
          <w:szCs w:val="20"/>
          <w:lang w:eastAsia="en-GB"/>
          <w14:ligatures w14:val="none"/>
        </w:rPr>
        <w:t>Gov.wales</w:t>
      </w:r>
      <w:proofErr w:type="spellEnd"/>
      <w:r w:rsidRPr="009E22DD">
        <w:rPr>
          <w:rFonts w:ascii="Arial" w:eastAsia="Times New Roman" w:hAnsi="Arial" w:cs="Arial"/>
          <w:color w:val="333333"/>
          <w:kern w:val="0"/>
          <w:sz w:val="20"/>
          <w:szCs w:val="20"/>
          <w:lang w:eastAsia="en-GB"/>
          <w14:ligatures w14:val="none"/>
        </w:rPr>
        <w:t xml:space="preserve"> (2015) ‘foundation phase framework’. </w:t>
      </w:r>
      <w:r w:rsidRPr="009E22DD">
        <w:rPr>
          <w:rFonts w:ascii="Arial" w:eastAsia="Times New Roman" w:hAnsi="Arial" w:cs="Arial"/>
          <w:i/>
          <w:iCs/>
          <w:color w:val="333333"/>
          <w:kern w:val="0"/>
          <w:sz w:val="20"/>
          <w:szCs w:val="20"/>
          <w:lang w:eastAsia="en-GB"/>
          <w14:ligatures w14:val="none"/>
        </w:rPr>
        <w:t xml:space="preserve">Welsh government. </w:t>
      </w:r>
      <w:r w:rsidRPr="009E22DD">
        <w:rPr>
          <w:rFonts w:ascii="Arial" w:eastAsia="Times New Roman" w:hAnsi="Arial" w:cs="Arial"/>
          <w:color w:val="333333"/>
          <w:kern w:val="0"/>
          <w:sz w:val="20"/>
          <w:szCs w:val="20"/>
          <w:lang w:eastAsia="en-GB"/>
          <w14:ligatures w14:val="none"/>
        </w:rPr>
        <w:t xml:space="preserve"> Available at: </w:t>
      </w:r>
      <w:hyperlink r:id="rId10" w:history="1">
        <w:r w:rsidRPr="009E22DD">
          <w:rPr>
            <w:rStyle w:val="Hyperlink"/>
            <w:rFonts w:ascii="Arial" w:hAnsi="Arial" w:cs="Arial"/>
            <w:sz w:val="20"/>
            <w:szCs w:val="20"/>
          </w:rPr>
          <w:t>foundation-phase-framework-revised-2015.pdf (</w:t>
        </w:r>
        <w:proofErr w:type="spellStart"/>
        <w:r w:rsidRPr="009E22DD">
          <w:rPr>
            <w:rStyle w:val="Hyperlink"/>
            <w:rFonts w:ascii="Arial" w:hAnsi="Arial" w:cs="Arial"/>
            <w:sz w:val="20"/>
            <w:szCs w:val="20"/>
          </w:rPr>
          <w:t>gov.wales</w:t>
        </w:r>
        <w:proofErr w:type="spellEnd"/>
        <w:r w:rsidRPr="009E22DD">
          <w:rPr>
            <w:rStyle w:val="Hyperlink"/>
            <w:rFonts w:ascii="Arial" w:hAnsi="Arial" w:cs="Arial"/>
            <w:sz w:val="20"/>
            <w:szCs w:val="20"/>
          </w:rPr>
          <w:t>)</w:t>
        </w:r>
      </w:hyperlink>
      <w:r w:rsidRPr="009E22DD">
        <w:rPr>
          <w:rFonts w:ascii="Arial" w:hAnsi="Arial" w:cs="Arial"/>
          <w:sz w:val="20"/>
          <w:szCs w:val="20"/>
        </w:rPr>
        <w:t xml:space="preserve"> ( Accessed date: 22</w:t>
      </w:r>
      <w:r w:rsidRPr="009E22DD">
        <w:rPr>
          <w:rFonts w:ascii="Arial" w:hAnsi="Arial" w:cs="Arial"/>
          <w:sz w:val="20"/>
          <w:szCs w:val="20"/>
          <w:vertAlign w:val="superscript"/>
        </w:rPr>
        <w:t>nd</w:t>
      </w:r>
      <w:r w:rsidRPr="009E22DD">
        <w:rPr>
          <w:rFonts w:ascii="Arial" w:hAnsi="Arial" w:cs="Arial"/>
          <w:sz w:val="20"/>
          <w:szCs w:val="20"/>
        </w:rPr>
        <w:t xml:space="preserve"> march 2023)</w:t>
      </w:r>
    </w:p>
    <w:p w14:paraId="19ACC4D0" w14:textId="77777777" w:rsidR="00582956" w:rsidRDefault="00582956" w:rsidP="004413DD">
      <w:pPr>
        <w:pStyle w:val="PlainText"/>
        <w:rPr>
          <w:rFonts w:ascii="Arial" w:hAnsi="Arial" w:cs="Arial"/>
        </w:rPr>
      </w:pPr>
    </w:p>
    <w:p w14:paraId="1C65FE92" w14:textId="76258D5B" w:rsidR="004413DD" w:rsidRPr="004413DD" w:rsidRDefault="004413DD" w:rsidP="004413DD">
      <w:pPr>
        <w:pStyle w:val="PlainText"/>
        <w:rPr>
          <w:rFonts w:ascii="Arial" w:hAnsi="Arial" w:cs="Arial"/>
          <w:sz w:val="20"/>
          <w:szCs w:val="20"/>
        </w:rPr>
      </w:pPr>
      <w:r w:rsidRPr="004413DD">
        <w:rPr>
          <w:rFonts w:ascii="Arial" w:hAnsi="Arial" w:cs="Arial"/>
        </w:rPr>
        <w:t xml:space="preserve">Gration, E. (2023) </w:t>
      </w:r>
      <w:r>
        <w:rPr>
          <w:rFonts w:ascii="Arial" w:hAnsi="Arial" w:cs="Arial"/>
        </w:rPr>
        <w:t>‘</w:t>
      </w:r>
      <w:r w:rsidRPr="004413DD">
        <w:rPr>
          <w:rFonts w:ascii="Arial" w:hAnsi="Arial" w:cs="Arial"/>
        </w:rPr>
        <w:t>’</w:t>
      </w:r>
      <w:r w:rsidRPr="004413DD">
        <w:rPr>
          <w:rFonts w:ascii="Arial" w:hAnsi="Arial" w:cs="Arial"/>
        </w:rPr>
        <w:t>Bilingualism Statistics in 2022</w:t>
      </w:r>
      <w:r>
        <w:rPr>
          <w:rFonts w:ascii="Arial" w:hAnsi="Arial" w:cs="Arial"/>
          <w:i/>
          <w:iCs/>
        </w:rPr>
        <w:t>,’’</w:t>
      </w:r>
      <w:r w:rsidRPr="004413DD">
        <w:rPr>
          <w:rFonts w:ascii="Arial" w:hAnsi="Arial" w:cs="Arial"/>
          <w:i/>
          <w:iCs/>
        </w:rPr>
        <w:t xml:space="preserve"> US, UK &amp; Global</w:t>
      </w:r>
      <w:r w:rsidRPr="004413DD">
        <w:rPr>
          <w:rFonts w:ascii="Arial" w:hAnsi="Arial" w:cs="Arial"/>
        </w:rPr>
        <w:t xml:space="preserve">. Available at: </w:t>
      </w:r>
      <w:hyperlink r:id="rId11" w:history="1">
        <w:r w:rsidRPr="005E4F66">
          <w:rPr>
            <w:rStyle w:val="Hyperlink"/>
            <w:rFonts w:ascii="Arial" w:hAnsi="Arial" w:cs="Arial"/>
          </w:rPr>
          <w:t>https://preply.com/en/blog/bilingualism-statistics/</w:t>
        </w:r>
      </w:hyperlink>
      <w:r w:rsidRPr="004413D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062D4E5" w14:textId="5869A1B1" w:rsidR="004413DD" w:rsidRDefault="004413DD" w:rsidP="004413DD">
      <w:pPr>
        <w:pStyle w:val="PlainText"/>
        <w:rPr>
          <w:rFonts w:ascii="Arial" w:hAnsi="Arial" w:cs="Arial"/>
          <w:sz w:val="20"/>
          <w:szCs w:val="20"/>
        </w:rPr>
      </w:pPr>
    </w:p>
    <w:p w14:paraId="676CEB86" w14:textId="77777777" w:rsidR="004413DD" w:rsidRPr="009E22DD" w:rsidRDefault="004413DD" w:rsidP="004413DD">
      <w:pPr>
        <w:pStyle w:val="PlainText"/>
        <w:rPr>
          <w:rFonts w:ascii="Arial" w:hAnsi="Arial" w:cs="Arial"/>
          <w:sz w:val="20"/>
          <w:szCs w:val="20"/>
        </w:rPr>
      </w:pPr>
    </w:p>
    <w:p w14:paraId="5528FC2B" w14:textId="491C6084" w:rsidR="0004447A" w:rsidRPr="004413DD" w:rsidRDefault="004413DD" w:rsidP="004C1D5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Hoff, E (2018) ‘’Bilingual Development in children of immigrant families,’’ </w:t>
      </w:r>
      <w:r>
        <w:rPr>
          <w:rFonts w:ascii="Arial" w:hAnsi="Arial" w:cs="Arial"/>
          <w:i/>
          <w:iCs/>
          <w:sz w:val="20"/>
          <w:szCs w:val="20"/>
        </w:rPr>
        <w:t xml:space="preserve">child development perspectives, </w:t>
      </w:r>
      <w:r>
        <w:rPr>
          <w:rFonts w:ascii="Arial" w:hAnsi="Arial" w:cs="Arial"/>
          <w:sz w:val="20"/>
          <w:szCs w:val="20"/>
        </w:rPr>
        <w:t xml:space="preserve">12(2), pp. 80-86. Available at: </w:t>
      </w:r>
      <w:hyperlink r:id="rId12" w:history="1">
        <w:r w:rsidRPr="005E4F66">
          <w:rPr>
            <w:rStyle w:val="Hyperlink"/>
            <w:rFonts w:ascii="Arial" w:hAnsi="Arial" w:cs="Arial"/>
            <w:sz w:val="20"/>
            <w:szCs w:val="20"/>
          </w:rPr>
          <w:t>https://doi.org/10.1111/cdep.122662</w:t>
        </w:r>
      </w:hyperlink>
      <w:r>
        <w:rPr>
          <w:rFonts w:ascii="Arial" w:hAnsi="Arial" w:cs="Arial"/>
          <w:sz w:val="20"/>
          <w:szCs w:val="20"/>
        </w:rPr>
        <w:t xml:space="preserve"> </w:t>
      </w:r>
    </w:p>
    <w:p w14:paraId="363C9CE9" w14:textId="60AF8576" w:rsidR="004413DD" w:rsidRDefault="009E22DD" w:rsidP="004C1D5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Kaufman, J.C. and </w:t>
      </w:r>
      <w:proofErr w:type="spellStart"/>
      <w:r>
        <w:rPr>
          <w:rFonts w:ascii="Arial" w:hAnsi="Arial" w:cs="Arial"/>
          <w:sz w:val="20"/>
          <w:szCs w:val="20"/>
        </w:rPr>
        <w:t>Beghetto</w:t>
      </w:r>
      <w:proofErr w:type="spellEnd"/>
      <w:r>
        <w:rPr>
          <w:rFonts w:ascii="Arial" w:hAnsi="Arial" w:cs="Arial"/>
          <w:sz w:val="20"/>
          <w:szCs w:val="20"/>
        </w:rPr>
        <w:t xml:space="preserve">, R.A. (2009) ‘’Beyond Big and Little: The four C model of creativity,’’ </w:t>
      </w:r>
      <w:r>
        <w:rPr>
          <w:rFonts w:ascii="Arial" w:hAnsi="Arial" w:cs="Arial"/>
          <w:i/>
          <w:iCs/>
          <w:sz w:val="20"/>
          <w:szCs w:val="20"/>
        </w:rPr>
        <w:t xml:space="preserve">review of general psychology, </w:t>
      </w:r>
      <w:r>
        <w:rPr>
          <w:rFonts w:ascii="Arial" w:hAnsi="Arial" w:cs="Arial"/>
          <w:sz w:val="20"/>
          <w:szCs w:val="20"/>
        </w:rPr>
        <w:t xml:space="preserve">13(1), pp.1-12. Available at: </w:t>
      </w:r>
      <w:hyperlink r:id="rId13" w:history="1">
        <w:r w:rsidRPr="005E4F66">
          <w:rPr>
            <w:rStyle w:val="Hyperlink"/>
            <w:rFonts w:ascii="Arial" w:hAnsi="Arial" w:cs="Arial"/>
            <w:sz w:val="20"/>
            <w:szCs w:val="20"/>
          </w:rPr>
          <w:t>https://doi,org/10/1037/a0013688</w:t>
        </w:r>
      </w:hyperlink>
      <w:r>
        <w:rPr>
          <w:rFonts w:ascii="Arial" w:hAnsi="Arial" w:cs="Arial"/>
          <w:sz w:val="20"/>
          <w:szCs w:val="20"/>
        </w:rPr>
        <w:t xml:space="preserve"> </w:t>
      </w:r>
    </w:p>
    <w:p w14:paraId="123A6845" w14:textId="3E44D1BF" w:rsidR="003F3927" w:rsidRDefault="009E22DD" w:rsidP="003F3927">
      <w:pPr>
        <w:rPr>
          <w:rFonts w:ascii="Arial" w:hAnsi="Arial" w:cs="Arial"/>
          <w:color w:val="181817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181817"/>
          <w:sz w:val="20"/>
          <w:szCs w:val="20"/>
          <w:shd w:val="clear" w:color="auto" w:fill="FFFFFF"/>
        </w:rPr>
        <w:t>Khark</w:t>
      </w:r>
      <w:r w:rsidR="004413DD">
        <w:rPr>
          <w:rFonts w:ascii="Arial" w:hAnsi="Arial" w:cs="Arial"/>
          <w:color w:val="181817"/>
          <w:sz w:val="20"/>
          <w:szCs w:val="20"/>
          <w:shd w:val="clear" w:color="auto" w:fill="FFFFFF"/>
        </w:rPr>
        <w:t>hurin</w:t>
      </w:r>
      <w:proofErr w:type="spellEnd"/>
      <w:r w:rsidR="004413DD">
        <w:rPr>
          <w:rFonts w:ascii="Arial" w:hAnsi="Arial" w:cs="Arial"/>
          <w:color w:val="181817"/>
          <w:sz w:val="20"/>
          <w:szCs w:val="20"/>
          <w:shd w:val="clear" w:color="auto" w:fill="FFFFFF"/>
        </w:rPr>
        <w:t>,</w:t>
      </w:r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 A. (2008). </w:t>
      </w:r>
      <w:r w:rsidR="0004447A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‘’</w:t>
      </w:r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The effect of linguistic proficiency, age of second language acquisition, and length of exposure to a new cultural environment on bilinguals' divergent thinking</w:t>
      </w:r>
      <w:r w:rsidR="0004447A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’’</w:t>
      </w:r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. </w:t>
      </w:r>
      <w:r w:rsidR="00E147B6" w:rsidRPr="009E22DD">
        <w:rPr>
          <w:rFonts w:ascii="Arial" w:hAnsi="Arial" w:cs="Arial"/>
          <w:i/>
          <w:iCs/>
          <w:color w:val="181817"/>
          <w:sz w:val="20"/>
          <w:szCs w:val="20"/>
          <w:bdr w:val="none" w:sz="0" w:space="0" w:color="auto" w:frame="1"/>
          <w:shd w:val="clear" w:color="auto" w:fill="FFFFFF"/>
        </w:rPr>
        <w:t>Bilingualism: Language and Cognition,</w:t>
      </w:r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 </w:t>
      </w:r>
      <w:r w:rsidR="00E147B6" w:rsidRPr="009E22DD">
        <w:rPr>
          <w:rFonts w:ascii="Arial" w:hAnsi="Arial" w:cs="Arial"/>
          <w:i/>
          <w:iCs/>
          <w:color w:val="181817"/>
          <w:sz w:val="20"/>
          <w:szCs w:val="20"/>
          <w:bdr w:val="none" w:sz="0" w:space="0" w:color="auto" w:frame="1"/>
          <w:shd w:val="clear" w:color="auto" w:fill="FFFFFF"/>
        </w:rPr>
        <w:t>11</w:t>
      </w:r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(2), 225-243. </w:t>
      </w:r>
      <w:proofErr w:type="spellStart"/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doi</w:t>
      </w:r>
      <w:proofErr w:type="spellEnd"/>
      <w:r w:rsidR="00E147B6" w:rsidRPr="009E22DD">
        <w:rPr>
          <w:rFonts w:ascii="Arial" w:hAnsi="Arial" w:cs="Arial"/>
          <w:color w:val="181817"/>
          <w:sz w:val="20"/>
          <w:szCs w:val="20"/>
          <w:shd w:val="clear" w:color="auto" w:fill="FFFFFF"/>
        </w:rPr>
        <w:t>:</w:t>
      </w:r>
      <w:r w:rsidR="004413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 </w:t>
      </w:r>
      <w:hyperlink r:id="rId14" w:history="1">
        <w:r w:rsidR="004413DD" w:rsidRPr="005E4F66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</w:t>
        </w:r>
        <w:r w:rsidR="004413DD" w:rsidRPr="005E4F66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10.1017/S1366728908003398</w:t>
        </w:r>
      </w:hyperlink>
      <w:r w:rsidR="004413DD">
        <w:rPr>
          <w:rFonts w:ascii="Arial" w:hAnsi="Arial" w:cs="Arial"/>
          <w:color w:val="181817"/>
          <w:sz w:val="20"/>
          <w:szCs w:val="20"/>
          <w:shd w:val="clear" w:color="auto" w:fill="FFFFFF"/>
        </w:rPr>
        <w:t xml:space="preserve"> </w:t>
      </w:r>
    </w:p>
    <w:p w14:paraId="4681C530" w14:textId="7A71E84E" w:rsidR="009E22DD" w:rsidRPr="003F3927" w:rsidRDefault="00582956" w:rsidP="004C1D55">
      <w:proofErr w:type="spellStart"/>
      <w:r>
        <w:rPr>
          <w:i/>
          <w:iCs/>
        </w:rPr>
        <w:t>Mudiad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Meithrin</w:t>
      </w:r>
      <w:proofErr w:type="spellEnd"/>
      <w:r>
        <w:t xml:space="preserve"> (</w:t>
      </w:r>
      <w:r>
        <w:t>2022</w:t>
      </w:r>
      <w:r>
        <w:t>).</w:t>
      </w:r>
      <w:r w:rsidR="003F3927">
        <w:t xml:space="preserve"> ‘’</w:t>
      </w:r>
      <w:proofErr w:type="spellStart"/>
      <w:r w:rsidR="003F3927">
        <w:t>Mudiad</w:t>
      </w:r>
      <w:proofErr w:type="spellEnd"/>
      <w:r w:rsidR="003F3927">
        <w:t xml:space="preserve"> </w:t>
      </w:r>
      <w:proofErr w:type="spellStart"/>
      <w:r w:rsidR="003F3927">
        <w:t>meithrin</w:t>
      </w:r>
      <w:proofErr w:type="spellEnd"/>
      <w:r w:rsidR="003F3927">
        <w:t xml:space="preserve">,’’ </w:t>
      </w:r>
      <w:r w:rsidR="003F3927">
        <w:rPr>
          <w:i/>
          <w:iCs/>
        </w:rPr>
        <w:t>family support services.</w:t>
      </w:r>
      <w:r>
        <w:t xml:space="preserve"> </w:t>
      </w:r>
      <w:r w:rsidR="003F3927">
        <w:t>Available at:</w:t>
      </w:r>
      <w:r w:rsidR="003F3927" w:rsidRPr="003F3927">
        <w:t xml:space="preserve"> </w:t>
      </w:r>
      <w:hyperlink r:id="rId15" w:anchor=":~:text=Mudiad%20Meithrin%20is%20a%20voluntary%20organisation%20and%20is,and%20education%20experiences%20through%20the%20medium%20of%20Welsh." w:history="1">
        <w:proofErr w:type="spellStart"/>
        <w:r w:rsidR="003F3927">
          <w:rPr>
            <w:rStyle w:val="Hyperlink"/>
          </w:rPr>
          <w:t>Mudiad</w:t>
        </w:r>
        <w:proofErr w:type="spellEnd"/>
        <w:r w:rsidR="003F3927">
          <w:rPr>
            <w:rStyle w:val="Hyperlink"/>
          </w:rPr>
          <w:t xml:space="preserve"> </w:t>
        </w:r>
        <w:proofErr w:type="spellStart"/>
        <w:r w:rsidR="003F3927">
          <w:rPr>
            <w:rStyle w:val="Hyperlink"/>
          </w:rPr>
          <w:t>Meithrin</w:t>
        </w:r>
        <w:proofErr w:type="spellEnd"/>
        <w:r w:rsidR="003F3927">
          <w:rPr>
            <w:rStyle w:val="Hyperlink"/>
          </w:rPr>
          <w:t xml:space="preserve"> (</w:t>
        </w:r>
        <w:proofErr w:type="spellStart"/>
        <w:r w:rsidR="003F3927">
          <w:rPr>
            <w:rStyle w:val="Hyperlink"/>
          </w:rPr>
          <w:t>dewis.wales</w:t>
        </w:r>
        <w:proofErr w:type="spellEnd"/>
        <w:r w:rsidR="003F3927">
          <w:rPr>
            <w:rStyle w:val="Hyperlink"/>
          </w:rPr>
          <w:t>)</w:t>
        </w:r>
      </w:hyperlink>
      <w:r w:rsidR="003F3927">
        <w:t xml:space="preserve"> </w:t>
      </w:r>
    </w:p>
    <w:p w14:paraId="39ACADD5" w14:textId="00D954CE" w:rsidR="004C1D55" w:rsidRDefault="004413DD" w:rsidP="003F3927">
      <w:pPr>
        <w:tabs>
          <w:tab w:val="left" w:pos="3915"/>
        </w:tabs>
      </w:pPr>
      <w:r>
        <w:t xml:space="preserve">Wook </w:t>
      </w:r>
      <w:proofErr w:type="spellStart"/>
      <w:r>
        <w:t>kim</w:t>
      </w:r>
      <w:proofErr w:type="spellEnd"/>
      <w:r>
        <w:t>, j.</w:t>
      </w:r>
      <w:r w:rsidRPr="004413DD">
        <w:t xml:space="preserve"> (2019)</w:t>
      </w:r>
      <w:r>
        <w:t xml:space="preserve"> ‘’b</w:t>
      </w:r>
      <w:r w:rsidRPr="004413DD">
        <w:t>ilingualism: Start early, and earn all your benefits!</w:t>
      </w:r>
      <w:r>
        <w:t xml:space="preserve">,’’ </w:t>
      </w:r>
      <w:r w:rsidRPr="004413DD">
        <w:rPr>
          <w:i/>
          <w:iCs/>
        </w:rPr>
        <w:t>Science in the News.</w:t>
      </w:r>
      <w:r w:rsidRPr="004413DD">
        <w:t xml:space="preserve"> Available at: </w:t>
      </w:r>
      <w:hyperlink r:id="rId16" w:history="1">
        <w:r w:rsidRPr="005E4F66">
          <w:rPr>
            <w:rStyle w:val="Hyperlink"/>
          </w:rPr>
          <w:t>https://sitn.hms.harvard.edu/flash/2019/bilingualism-start-early-and-earn-all-your-benefits</w:t>
        </w:r>
      </w:hyperlink>
      <w:r>
        <w:t xml:space="preserve"> </w:t>
      </w:r>
    </w:p>
    <w:p w14:paraId="2C9724D9" w14:textId="77777777" w:rsidR="003F3927" w:rsidRPr="003F3927" w:rsidRDefault="003F3927" w:rsidP="003F3927">
      <w:pPr>
        <w:tabs>
          <w:tab w:val="left" w:pos="3915"/>
        </w:tabs>
        <w:rPr>
          <w:rStyle w:val="Hyperlink"/>
          <w:color w:val="auto"/>
          <w:u w:val="none"/>
        </w:rPr>
      </w:pPr>
    </w:p>
    <w:p w14:paraId="3DEFBDA1" w14:textId="0FDEB543" w:rsidR="00475ACB" w:rsidRDefault="00475ACB" w:rsidP="004C1D55"/>
    <w:sectPr w:rsidR="00475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24025"/>
    <w:multiLevelType w:val="multilevel"/>
    <w:tmpl w:val="3DA43A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16568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D55"/>
    <w:rsid w:val="0004447A"/>
    <w:rsid w:val="00326444"/>
    <w:rsid w:val="003F3927"/>
    <w:rsid w:val="004413DD"/>
    <w:rsid w:val="00475ACB"/>
    <w:rsid w:val="004C1D55"/>
    <w:rsid w:val="00582956"/>
    <w:rsid w:val="009E22DD"/>
    <w:rsid w:val="00E14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108E4"/>
  <w15:chartTrackingRefBased/>
  <w15:docId w15:val="{57B72613-E1A9-466E-84F5-30FDBA557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1D5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1D5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C1D55"/>
    <w:rPr>
      <w:color w:val="954F72" w:themeColor="followedHyperlink"/>
      <w:u w:val="single"/>
    </w:rPr>
  </w:style>
  <w:style w:type="paragraph" w:styleId="PlainText">
    <w:name w:val="Plain Text"/>
    <w:basedOn w:val="Normal"/>
    <w:link w:val="PlainTextChar"/>
    <w:uiPriority w:val="99"/>
    <w:unhideWhenUsed/>
    <w:rsid w:val="00E147B6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E147B6"/>
    <w:rPr>
      <w:rFonts w:ascii="Consolas" w:hAnsi="Consolas"/>
      <w:sz w:val="21"/>
      <w:szCs w:val="21"/>
    </w:rPr>
  </w:style>
  <w:style w:type="character" w:styleId="UnresolvedMention">
    <w:name w:val="Unresolved Mention"/>
    <w:basedOn w:val="DefaultParagraphFont"/>
    <w:uiPriority w:val="99"/>
    <w:semiHidden/>
    <w:unhideWhenUsed/>
    <w:rsid w:val="0004447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444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98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9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3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4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96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0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6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8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chtimes.com/articles/226621/20180502/whats-the-best-age-for-learning-a-new-language.htm" TargetMode="External"/><Relationship Id="rId13" Type="http://schemas.openxmlformats.org/officeDocument/2006/relationships/hyperlink" Target="https://doi,org/10/1037/a0013688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16/j.tsc.2021.100981" TargetMode="External"/><Relationship Id="rId12" Type="http://schemas.openxmlformats.org/officeDocument/2006/relationships/hyperlink" Target="https://doi.org/10.1111/cdep.12266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sitn.hms.harvard.edu/flash/2019/bilingualism-start-early-and-earn-all-your-benefit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10.1017/S0261444810000339" TargetMode="External"/><Relationship Id="rId11" Type="http://schemas.openxmlformats.org/officeDocument/2006/relationships/hyperlink" Target="https://preply.com/en/blog/bilingualism-statistics/" TargetMode="External"/><Relationship Id="rId5" Type="http://schemas.openxmlformats.org/officeDocument/2006/relationships/hyperlink" Target="https://doi.org/10.1016/j.riob.2016.10.001" TargetMode="External"/><Relationship Id="rId15" Type="http://schemas.openxmlformats.org/officeDocument/2006/relationships/hyperlink" Target="https://www.dewis.wales/ResourceDirectory/ViewResource.aspx?id=9819" TargetMode="External"/><Relationship Id="rId10" Type="http://schemas.openxmlformats.org/officeDocument/2006/relationships/hyperlink" Target="https://www.gov.wales/sites/default/files/publications/2018-02/foundation-phase-framework-revised-2015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welsh-language-data-annual-population-survey-april-2020-march-2021" TargetMode="External"/><Relationship Id="rId14" Type="http://schemas.openxmlformats.org/officeDocument/2006/relationships/hyperlink" Target="https://10.1017/S13667289080033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581</Words>
  <Characters>3317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Aleisha Camille Johnson</dc:creator>
  <cp:keywords/>
  <dc:description/>
  <cp:lastModifiedBy>Aleisha Camille Johnson</cp:lastModifiedBy>
  <cp:revision>1</cp:revision>
  <dcterms:created xsi:type="dcterms:W3CDTF">2023-03-31T11:40:00Z</dcterms:created>
  <dcterms:modified xsi:type="dcterms:W3CDTF">2023-03-31T17:18:00Z</dcterms:modified>
</cp:coreProperties>
</file>