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B7C6D" w:rsidRDefault="00AB7C6D" w:rsidP="00AB7C6D">
      <w:pPr>
        <w:rPr>
          <w:rFonts w:asciiTheme="majorHAnsi" w:eastAsiaTheme="majorEastAsia" w:hAnsiTheme="majorHAnsi" w:cstheme="majorBidi"/>
          <w:b/>
          <w:bCs/>
          <w:color w:val="2E74B5" w:themeColor="accent1" w:themeShade="BF"/>
          <w:sz w:val="28"/>
          <w:szCs w:val="25"/>
        </w:rPr>
      </w:pPr>
      <w:r>
        <w:t>In submitting this work, I affirm that my work adheres to the scholarly and intellectual standards of honesty and integrity. I affirm that this work is my work only and that in the preparation of this work I have not consulted any person. I affirm that I have not plagiarized or misrepresented the ideas or language of someone else as my own and that I have fully and accurately attributed any ideas or text of others to the sources and documented each source.</w:t>
      </w:r>
      <w:r>
        <w:br w:type="page"/>
      </w:r>
    </w:p>
    <w:p w:rsidR="00AB7C6D" w:rsidRDefault="00AB7C6D" w:rsidP="00AB7C6D">
      <w:pPr>
        <w:pStyle w:val="Heading1"/>
        <w:sectPr w:rsidR="00AB7C6D" w:rsidSect="00FB529C">
          <w:pgSz w:w="12240" w:h="15840"/>
          <w:pgMar w:top="1440" w:right="1440" w:bottom="1440" w:left="1440" w:header="708" w:footer="708" w:gutter="0"/>
          <w:cols w:space="708"/>
          <w:docGrid w:linePitch="360"/>
        </w:sectPr>
      </w:pPr>
    </w:p>
    <w:p w:rsidR="00AB7C6D" w:rsidRDefault="00AB7C6D" w:rsidP="00AB7C6D">
      <w:pPr>
        <w:pStyle w:val="Heading1"/>
      </w:pPr>
      <w:r>
        <w:lastRenderedPageBreak/>
        <w:t>Question 1:</w:t>
      </w:r>
    </w:p>
    <w:p w:rsidR="00AB7C6D" w:rsidRDefault="00AB7C6D" w:rsidP="00AB7C6D">
      <w:pPr>
        <w:pStyle w:val="Heading2"/>
      </w:pPr>
      <w:r>
        <w:t xml:space="preserve">a. Breakeven point of the Sandals for </w:t>
      </w:r>
      <w:proofErr w:type="spellStart"/>
      <w:r>
        <w:t>Solent</w:t>
      </w:r>
      <w:proofErr w:type="spellEnd"/>
      <w:r>
        <w:t xml:space="preserve"> Ltd.</w:t>
      </w:r>
    </w:p>
    <w:p w:rsidR="00AB7C6D" w:rsidRDefault="00AB7C6D" w:rsidP="00AB7C6D">
      <w:pPr>
        <w:rPr>
          <w:u w:val="single"/>
        </w:rPr>
      </w:pPr>
      <w:r>
        <w:rPr>
          <w:u w:val="single"/>
        </w:rPr>
        <w:t>Contribution per unit:</w:t>
      </w:r>
    </w:p>
    <w:tbl>
      <w:tblPr>
        <w:tblW w:w="4123" w:type="dxa"/>
        <w:tblInd w:w="96" w:type="dxa"/>
        <w:tblLook w:val="04A0" w:firstRow="1" w:lastRow="0" w:firstColumn="1" w:lastColumn="0" w:noHBand="0" w:noVBand="1"/>
      </w:tblPr>
      <w:tblGrid>
        <w:gridCol w:w="1860"/>
        <w:gridCol w:w="2263"/>
      </w:tblGrid>
      <w:tr w:rsidR="00AB7C6D" w:rsidRPr="00E9434B" w:rsidTr="00F17BB2">
        <w:trPr>
          <w:trHeight w:val="288"/>
        </w:trPr>
        <w:tc>
          <w:tcPr>
            <w:tcW w:w="18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7C6D" w:rsidRPr="00E9434B" w:rsidRDefault="00AB7C6D" w:rsidP="00F17BB2">
            <w:pPr>
              <w:spacing w:after="0" w:line="240" w:lineRule="auto"/>
              <w:jc w:val="left"/>
              <w:rPr>
                <w:rFonts w:ascii="Calibri" w:eastAsia="Times New Roman" w:hAnsi="Calibri" w:cs="Calibri"/>
                <w:color w:val="000000"/>
                <w:sz w:val="22"/>
                <w:szCs w:val="22"/>
              </w:rPr>
            </w:pPr>
            <w:r w:rsidRPr="00E9434B">
              <w:rPr>
                <w:rFonts w:ascii="Calibri" w:eastAsia="Times New Roman" w:hAnsi="Calibri" w:cs="Calibri"/>
                <w:color w:val="000000"/>
                <w:sz w:val="22"/>
                <w:szCs w:val="22"/>
              </w:rPr>
              <w:t> </w:t>
            </w:r>
          </w:p>
        </w:tc>
        <w:tc>
          <w:tcPr>
            <w:tcW w:w="2263" w:type="dxa"/>
            <w:tcBorders>
              <w:top w:val="single" w:sz="4" w:space="0" w:color="auto"/>
              <w:left w:val="nil"/>
              <w:bottom w:val="single" w:sz="4" w:space="0" w:color="auto"/>
              <w:right w:val="single" w:sz="4" w:space="0" w:color="auto"/>
            </w:tcBorders>
            <w:shd w:val="clear" w:color="auto" w:fill="auto"/>
            <w:noWrap/>
            <w:vAlign w:val="bottom"/>
            <w:hideMark/>
          </w:tcPr>
          <w:p w:rsidR="00AB7C6D" w:rsidRPr="00E9434B" w:rsidRDefault="00AB7C6D" w:rsidP="00F17BB2">
            <w:pPr>
              <w:spacing w:after="0" w:line="240" w:lineRule="auto"/>
              <w:jc w:val="left"/>
              <w:rPr>
                <w:rFonts w:ascii="Calibri" w:eastAsia="Times New Roman" w:hAnsi="Calibri" w:cs="Calibri"/>
                <w:b/>
                <w:bCs/>
                <w:color w:val="000000"/>
                <w:sz w:val="22"/>
                <w:szCs w:val="22"/>
              </w:rPr>
            </w:pPr>
            <w:r w:rsidRPr="00E9434B">
              <w:rPr>
                <w:rFonts w:ascii="Calibri" w:eastAsia="Times New Roman" w:hAnsi="Calibri" w:cs="Calibri"/>
                <w:b/>
                <w:bCs/>
                <w:color w:val="000000"/>
                <w:sz w:val="22"/>
                <w:szCs w:val="22"/>
              </w:rPr>
              <w:t>Amount per unit (£)</w:t>
            </w:r>
          </w:p>
        </w:tc>
      </w:tr>
      <w:tr w:rsidR="00AB7C6D" w:rsidRPr="00E9434B" w:rsidTr="00F17BB2">
        <w:trPr>
          <w:trHeight w:val="288"/>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rsidR="00AB7C6D" w:rsidRPr="00E9434B" w:rsidRDefault="00AB7C6D" w:rsidP="00F17BB2">
            <w:pPr>
              <w:spacing w:after="0" w:line="240" w:lineRule="auto"/>
              <w:jc w:val="left"/>
              <w:rPr>
                <w:rFonts w:ascii="Calibri" w:eastAsia="Times New Roman" w:hAnsi="Calibri" w:cs="Calibri"/>
                <w:color w:val="000000"/>
                <w:sz w:val="22"/>
                <w:szCs w:val="22"/>
              </w:rPr>
            </w:pPr>
            <w:r w:rsidRPr="00E9434B">
              <w:rPr>
                <w:rFonts w:ascii="Calibri" w:eastAsia="Times New Roman" w:hAnsi="Calibri" w:cs="Calibri"/>
                <w:color w:val="000000"/>
                <w:sz w:val="22"/>
                <w:szCs w:val="22"/>
              </w:rPr>
              <w:t>Selling price</w:t>
            </w:r>
          </w:p>
        </w:tc>
        <w:tc>
          <w:tcPr>
            <w:tcW w:w="2263" w:type="dxa"/>
            <w:tcBorders>
              <w:top w:val="nil"/>
              <w:left w:val="nil"/>
              <w:bottom w:val="single" w:sz="4" w:space="0" w:color="auto"/>
              <w:right w:val="single" w:sz="4" w:space="0" w:color="auto"/>
            </w:tcBorders>
            <w:shd w:val="clear" w:color="auto" w:fill="auto"/>
            <w:noWrap/>
            <w:vAlign w:val="bottom"/>
            <w:hideMark/>
          </w:tcPr>
          <w:p w:rsidR="00AB7C6D" w:rsidRPr="00E9434B" w:rsidRDefault="00AB7C6D" w:rsidP="00F17BB2">
            <w:pPr>
              <w:spacing w:after="0" w:line="240" w:lineRule="auto"/>
              <w:jc w:val="right"/>
              <w:rPr>
                <w:rFonts w:ascii="Calibri" w:eastAsia="Times New Roman" w:hAnsi="Calibri" w:cs="Calibri"/>
                <w:color w:val="000000"/>
                <w:sz w:val="22"/>
                <w:szCs w:val="22"/>
              </w:rPr>
            </w:pPr>
            <w:r w:rsidRPr="00E9434B">
              <w:rPr>
                <w:rFonts w:ascii="Calibri" w:eastAsia="Times New Roman" w:hAnsi="Calibri" w:cs="Calibri"/>
                <w:color w:val="000000"/>
                <w:sz w:val="22"/>
                <w:szCs w:val="22"/>
              </w:rPr>
              <w:t>£5.75</w:t>
            </w:r>
          </w:p>
        </w:tc>
      </w:tr>
      <w:tr w:rsidR="00AB7C6D" w:rsidRPr="00E9434B" w:rsidTr="00F17BB2">
        <w:trPr>
          <w:trHeight w:val="288"/>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rsidR="00AB7C6D" w:rsidRPr="00E9434B" w:rsidRDefault="00AB7C6D" w:rsidP="00F17BB2">
            <w:pPr>
              <w:spacing w:after="0" w:line="240" w:lineRule="auto"/>
              <w:jc w:val="left"/>
              <w:rPr>
                <w:rFonts w:ascii="Calibri" w:eastAsia="Times New Roman" w:hAnsi="Calibri" w:cs="Calibri"/>
                <w:color w:val="000000"/>
                <w:sz w:val="22"/>
                <w:szCs w:val="22"/>
              </w:rPr>
            </w:pPr>
            <w:r w:rsidRPr="00E9434B">
              <w:rPr>
                <w:rFonts w:ascii="Calibri" w:eastAsia="Times New Roman" w:hAnsi="Calibri" w:cs="Calibri"/>
                <w:color w:val="000000"/>
                <w:sz w:val="22"/>
                <w:szCs w:val="22"/>
              </w:rPr>
              <w:t>Less: COGS</w:t>
            </w:r>
          </w:p>
        </w:tc>
        <w:tc>
          <w:tcPr>
            <w:tcW w:w="2263" w:type="dxa"/>
            <w:tcBorders>
              <w:top w:val="nil"/>
              <w:left w:val="nil"/>
              <w:bottom w:val="single" w:sz="4" w:space="0" w:color="auto"/>
              <w:right w:val="single" w:sz="4" w:space="0" w:color="auto"/>
            </w:tcBorders>
            <w:shd w:val="clear" w:color="auto" w:fill="auto"/>
            <w:noWrap/>
            <w:vAlign w:val="bottom"/>
            <w:hideMark/>
          </w:tcPr>
          <w:p w:rsidR="00AB7C6D" w:rsidRPr="00E9434B" w:rsidRDefault="00AB7C6D" w:rsidP="00F17BB2">
            <w:pPr>
              <w:spacing w:after="0" w:line="240" w:lineRule="auto"/>
              <w:jc w:val="left"/>
              <w:rPr>
                <w:rFonts w:ascii="Calibri" w:eastAsia="Times New Roman" w:hAnsi="Calibri" w:cs="Calibri"/>
                <w:color w:val="000000"/>
                <w:sz w:val="22"/>
                <w:szCs w:val="22"/>
              </w:rPr>
            </w:pPr>
            <w:r w:rsidRPr="00E9434B">
              <w:rPr>
                <w:rFonts w:ascii="Calibri" w:eastAsia="Times New Roman" w:hAnsi="Calibri" w:cs="Calibri"/>
                <w:color w:val="000000"/>
                <w:sz w:val="22"/>
                <w:szCs w:val="22"/>
              </w:rPr>
              <w:t> </w:t>
            </w:r>
          </w:p>
        </w:tc>
      </w:tr>
      <w:tr w:rsidR="00AB7C6D" w:rsidRPr="00E9434B" w:rsidTr="00F17BB2">
        <w:trPr>
          <w:trHeight w:val="288"/>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rsidR="00AB7C6D" w:rsidRPr="00E9434B" w:rsidRDefault="00AB7C6D" w:rsidP="00F17BB2">
            <w:pPr>
              <w:spacing w:after="0" w:line="240" w:lineRule="auto"/>
              <w:jc w:val="left"/>
              <w:rPr>
                <w:rFonts w:ascii="Calibri" w:eastAsia="Times New Roman" w:hAnsi="Calibri" w:cs="Calibri"/>
                <w:color w:val="000000"/>
                <w:sz w:val="22"/>
                <w:szCs w:val="22"/>
              </w:rPr>
            </w:pPr>
            <w:r w:rsidRPr="00E9434B">
              <w:rPr>
                <w:rFonts w:ascii="Calibri" w:eastAsia="Times New Roman" w:hAnsi="Calibri" w:cs="Calibri"/>
                <w:color w:val="000000"/>
                <w:sz w:val="22"/>
                <w:szCs w:val="22"/>
              </w:rPr>
              <w:t>Direct labor</w:t>
            </w:r>
          </w:p>
        </w:tc>
        <w:tc>
          <w:tcPr>
            <w:tcW w:w="2263" w:type="dxa"/>
            <w:tcBorders>
              <w:top w:val="nil"/>
              <w:left w:val="nil"/>
              <w:bottom w:val="single" w:sz="4" w:space="0" w:color="auto"/>
              <w:right w:val="single" w:sz="4" w:space="0" w:color="auto"/>
            </w:tcBorders>
            <w:shd w:val="clear" w:color="auto" w:fill="auto"/>
            <w:noWrap/>
            <w:vAlign w:val="bottom"/>
            <w:hideMark/>
          </w:tcPr>
          <w:p w:rsidR="00AB7C6D" w:rsidRPr="00E9434B" w:rsidRDefault="00AB7C6D" w:rsidP="00F17BB2">
            <w:pPr>
              <w:spacing w:after="0" w:line="240" w:lineRule="auto"/>
              <w:jc w:val="right"/>
              <w:rPr>
                <w:rFonts w:ascii="Calibri" w:eastAsia="Times New Roman" w:hAnsi="Calibri" w:cs="Calibri"/>
                <w:color w:val="000000"/>
                <w:sz w:val="22"/>
                <w:szCs w:val="22"/>
              </w:rPr>
            </w:pPr>
            <w:r w:rsidRPr="00E9434B">
              <w:rPr>
                <w:rFonts w:ascii="Calibri" w:eastAsia="Times New Roman" w:hAnsi="Calibri" w:cs="Calibri"/>
                <w:color w:val="000000"/>
                <w:sz w:val="22"/>
                <w:szCs w:val="22"/>
              </w:rPr>
              <w:t>£1.35</w:t>
            </w:r>
          </w:p>
        </w:tc>
      </w:tr>
      <w:tr w:rsidR="00AB7C6D" w:rsidRPr="00E9434B" w:rsidTr="00F17BB2">
        <w:trPr>
          <w:trHeight w:val="288"/>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rsidR="00AB7C6D" w:rsidRPr="00E9434B" w:rsidRDefault="00AB7C6D" w:rsidP="00F17BB2">
            <w:pPr>
              <w:spacing w:after="0" w:line="240" w:lineRule="auto"/>
              <w:jc w:val="left"/>
              <w:rPr>
                <w:rFonts w:ascii="Calibri" w:eastAsia="Times New Roman" w:hAnsi="Calibri" w:cs="Calibri"/>
                <w:color w:val="000000"/>
                <w:sz w:val="22"/>
                <w:szCs w:val="22"/>
              </w:rPr>
            </w:pPr>
            <w:r w:rsidRPr="00E9434B">
              <w:rPr>
                <w:rFonts w:ascii="Calibri" w:eastAsia="Times New Roman" w:hAnsi="Calibri" w:cs="Calibri"/>
                <w:color w:val="000000"/>
                <w:sz w:val="22"/>
                <w:szCs w:val="22"/>
              </w:rPr>
              <w:t>Direct Materials</w:t>
            </w:r>
          </w:p>
        </w:tc>
        <w:tc>
          <w:tcPr>
            <w:tcW w:w="2263" w:type="dxa"/>
            <w:tcBorders>
              <w:top w:val="nil"/>
              <w:left w:val="nil"/>
              <w:bottom w:val="single" w:sz="4" w:space="0" w:color="auto"/>
              <w:right w:val="single" w:sz="4" w:space="0" w:color="auto"/>
            </w:tcBorders>
            <w:shd w:val="clear" w:color="auto" w:fill="auto"/>
            <w:noWrap/>
            <w:vAlign w:val="bottom"/>
            <w:hideMark/>
          </w:tcPr>
          <w:p w:rsidR="00AB7C6D" w:rsidRPr="00E9434B" w:rsidRDefault="00AB7C6D" w:rsidP="00F17BB2">
            <w:pPr>
              <w:spacing w:after="0" w:line="240" w:lineRule="auto"/>
              <w:jc w:val="right"/>
              <w:rPr>
                <w:rFonts w:ascii="Calibri" w:eastAsia="Times New Roman" w:hAnsi="Calibri" w:cs="Calibri"/>
                <w:color w:val="000000"/>
                <w:sz w:val="22"/>
                <w:szCs w:val="22"/>
              </w:rPr>
            </w:pPr>
            <w:r w:rsidRPr="00E9434B">
              <w:rPr>
                <w:rFonts w:ascii="Calibri" w:eastAsia="Times New Roman" w:hAnsi="Calibri" w:cs="Calibri"/>
                <w:color w:val="000000"/>
                <w:sz w:val="22"/>
                <w:szCs w:val="22"/>
              </w:rPr>
              <w:t>£1.75</w:t>
            </w:r>
          </w:p>
        </w:tc>
      </w:tr>
      <w:tr w:rsidR="00AB7C6D" w:rsidRPr="00E9434B" w:rsidTr="00F17BB2">
        <w:trPr>
          <w:trHeight w:val="288"/>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rsidR="00AB7C6D" w:rsidRPr="00E9434B" w:rsidRDefault="00AB7C6D" w:rsidP="00F17BB2">
            <w:pPr>
              <w:spacing w:after="0" w:line="240" w:lineRule="auto"/>
              <w:jc w:val="left"/>
              <w:rPr>
                <w:rFonts w:ascii="Calibri" w:eastAsia="Times New Roman" w:hAnsi="Calibri" w:cs="Calibri"/>
                <w:color w:val="000000"/>
                <w:sz w:val="22"/>
                <w:szCs w:val="22"/>
              </w:rPr>
            </w:pPr>
            <w:r w:rsidRPr="00E9434B">
              <w:rPr>
                <w:rFonts w:ascii="Calibri" w:eastAsia="Times New Roman" w:hAnsi="Calibri" w:cs="Calibri"/>
                <w:color w:val="000000"/>
                <w:sz w:val="22"/>
                <w:szCs w:val="22"/>
              </w:rPr>
              <w:t>Other direct costs</w:t>
            </w:r>
          </w:p>
        </w:tc>
        <w:tc>
          <w:tcPr>
            <w:tcW w:w="2263" w:type="dxa"/>
            <w:tcBorders>
              <w:top w:val="nil"/>
              <w:left w:val="nil"/>
              <w:bottom w:val="single" w:sz="4" w:space="0" w:color="auto"/>
              <w:right w:val="single" w:sz="4" w:space="0" w:color="auto"/>
            </w:tcBorders>
            <w:shd w:val="clear" w:color="auto" w:fill="auto"/>
            <w:noWrap/>
            <w:vAlign w:val="bottom"/>
            <w:hideMark/>
          </w:tcPr>
          <w:p w:rsidR="00AB7C6D" w:rsidRPr="00E9434B" w:rsidRDefault="00AB7C6D" w:rsidP="00F17BB2">
            <w:pPr>
              <w:spacing w:after="0" w:line="240" w:lineRule="auto"/>
              <w:jc w:val="right"/>
              <w:rPr>
                <w:rFonts w:ascii="Calibri" w:eastAsia="Times New Roman" w:hAnsi="Calibri" w:cs="Calibri"/>
                <w:color w:val="000000"/>
                <w:sz w:val="22"/>
                <w:szCs w:val="22"/>
              </w:rPr>
            </w:pPr>
            <w:r w:rsidRPr="00E9434B">
              <w:rPr>
                <w:rFonts w:ascii="Calibri" w:eastAsia="Times New Roman" w:hAnsi="Calibri" w:cs="Calibri"/>
                <w:color w:val="000000"/>
                <w:sz w:val="22"/>
                <w:szCs w:val="22"/>
              </w:rPr>
              <w:t>£0.40</w:t>
            </w:r>
          </w:p>
        </w:tc>
      </w:tr>
      <w:tr w:rsidR="00AB7C6D" w:rsidRPr="00E9434B" w:rsidTr="00F17BB2">
        <w:trPr>
          <w:trHeight w:val="288"/>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rsidR="00AB7C6D" w:rsidRPr="00E9434B" w:rsidRDefault="00AB7C6D" w:rsidP="00F17BB2">
            <w:pPr>
              <w:spacing w:after="0" w:line="240" w:lineRule="auto"/>
              <w:jc w:val="left"/>
              <w:rPr>
                <w:rFonts w:ascii="Calibri" w:eastAsia="Times New Roman" w:hAnsi="Calibri" w:cs="Calibri"/>
                <w:b/>
                <w:bCs/>
                <w:color w:val="000000"/>
                <w:sz w:val="22"/>
                <w:szCs w:val="22"/>
              </w:rPr>
            </w:pPr>
            <w:r w:rsidRPr="00E9434B">
              <w:rPr>
                <w:rFonts w:ascii="Calibri" w:eastAsia="Times New Roman" w:hAnsi="Calibri" w:cs="Calibri"/>
                <w:b/>
                <w:bCs/>
                <w:color w:val="000000"/>
                <w:sz w:val="22"/>
                <w:szCs w:val="22"/>
              </w:rPr>
              <w:t>Contribution</w:t>
            </w:r>
          </w:p>
        </w:tc>
        <w:tc>
          <w:tcPr>
            <w:tcW w:w="2263" w:type="dxa"/>
            <w:tcBorders>
              <w:top w:val="nil"/>
              <w:left w:val="nil"/>
              <w:bottom w:val="single" w:sz="4" w:space="0" w:color="auto"/>
              <w:right w:val="single" w:sz="4" w:space="0" w:color="auto"/>
            </w:tcBorders>
            <w:shd w:val="clear" w:color="auto" w:fill="auto"/>
            <w:noWrap/>
            <w:vAlign w:val="bottom"/>
            <w:hideMark/>
          </w:tcPr>
          <w:p w:rsidR="00AB7C6D" w:rsidRPr="00E9434B" w:rsidRDefault="00AB7C6D" w:rsidP="00F17BB2">
            <w:pPr>
              <w:spacing w:after="0" w:line="240" w:lineRule="auto"/>
              <w:jc w:val="right"/>
              <w:rPr>
                <w:rFonts w:ascii="Calibri" w:eastAsia="Times New Roman" w:hAnsi="Calibri" w:cs="Calibri"/>
                <w:color w:val="000000"/>
                <w:sz w:val="22"/>
                <w:szCs w:val="22"/>
              </w:rPr>
            </w:pPr>
            <w:r w:rsidRPr="00E9434B">
              <w:rPr>
                <w:rFonts w:ascii="Calibri" w:eastAsia="Times New Roman" w:hAnsi="Calibri" w:cs="Calibri"/>
                <w:color w:val="000000"/>
                <w:sz w:val="22"/>
                <w:szCs w:val="22"/>
              </w:rPr>
              <w:t>£2.25</w:t>
            </w:r>
          </w:p>
        </w:tc>
      </w:tr>
    </w:tbl>
    <w:p w:rsidR="00AB7C6D" w:rsidRDefault="00AB7C6D" w:rsidP="00AB7C6D"/>
    <w:p w:rsidR="00AB7C6D" w:rsidRDefault="00AB7C6D" w:rsidP="00AB7C6D">
      <w:r w:rsidRPr="004742D8">
        <w:rPr>
          <w:u w:val="single"/>
        </w:rPr>
        <w:t>Breakeven point in units</w:t>
      </w:r>
      <w:r>
        <w:t>:</w:t>
      </w:r>
    </w:p>
    <w:p w:rsidR="00AB7C6D" w:rsidRDefault="00AB7C6D" w:rsidP="00AB7C6D">
      <w:pPr>
        <w:rPr>
          <w:rFonts w:eastAsiaTheme="minorEastAsia"/>
        </w:rPr>
      </w:pPr>
      <w:r>
        <w:rPr>
          <w:rFonts w:eastAsiaTheme="minorEastAsia"/>
        </w:rPr>
        <w:t xml:space="preserve">= </w:t>
      </w:r>
      <m:oMath>
        <m:f>
          <m:fPr>
            <m:ctrlPr>
              <w:rPr>
                <w:rFonts w:ascii="Cambria Math" w:hAnsi="Cambria Math"/>
                <w:i/>
                <w:sz w:val="32"/>
                <w:szCs w:val="32"/>
              </w:rPr>
            </m:ctrlPr>
          </m:fPr>
          <m:num>
            <m:r>
              <w:rPr>
                <w:rFonts w:ascii="Cambria Math" w:hAnsi="Cambria Math"/>
                <w:sz w:val="32"/>
                <w:szCs w:val="32"/>
              </w:rPr>
              <m:t>Fixed cost</m:t>
            </m:r>
          </m:num>
          <m:den>
            <m:r>
              <w:rPr>
                <w:rFonts w:ascii="Cambria Math" w:hAnsi="Cambria Math"/>
                <w:sz w:val="32"/>
                <w:szCs w:val="32"/>
              </w:rPr>
              <m:t>Contribution per unit</m:t>
            </m:r>
          </m:den>
        </m:f>
      </m:oMath>
      <w:r>
        <w:rPr>
          <w:rFonts w:eastAsiaTheme="minorEastAsia"/>
        </w:rPr>
        <w:t xml:space="preserve"> = </w:t>
      </w:r>
      <m:oMath>
        <m:f>
          <m:fPr>
            <m:ctrlPr>
              <w:rPr>
                <w:rFonts w:ascii="Cambria Math" w:eastAsiaTheme="minorEastAsia" w:hAnsi="Cambria Math"/>
                <w:i/>
                <w:sz w:val="32"/>
                <w:szCs w:val="32"/>
              </w:rPr>
            </m:ctrlPr>
          </m:fPr>
          <m:num>
            <m:r>
              <w:rPr>
                <w:rFonts w:ascii="Cambria Math" w:eastAsiaTheme="minorEastAsia" w:hAnsi="Cambria Math" w:cs="Calibri"/>
                <w:sz w:val="32"/>
                <w:szCs w:val="32"/>
              </w:rPr>
              <m:t>£</m:t>
            </m:r>
            <m:r>
              <w:rPr>
                <w:rFonts w:ascii="Cambria Math" w:eastAsiaTheme="minorEastAsia" w:hAnsi="Cambria Math"/>
                <w:sz w:val="32"/>
                <w:szCs w:val="32"/>
              </w:rPr>
              <m:t>180,000</m:t>
            </m:r>
          </m:num>
          <m:den>
            <m:r>
              <w:rPr>
                <w:rFonts w:ascii="Cambria Math" w:eastAsiaTheme="minorEastAsia" w:hAnsi="Cambria Math" w:cs="Calibri"/>
                <w:sz w:val="32"/>
                <w:szCs w:val="32"/>
              </w:rPr>
              <m:t>£</m:t>
            </m:r>
            <m:r>
              <w:rPr>
                <w:rFonts w:ascii="Cambria Math" w:eastAsiaTheme="minorEastAsia" w:hAnsi="Cambria Math"/>
                <w:sz w:val="32"/>
                <w:szCs w:val="32"/>
              </w:rPr>
              <m:t>2.25</m:t>
            </m:r>
          </m:den>
        </m:f>
      </m:oMath>
      <w:r w:rsidRPr="00954DFC">
        <w:rPr>
          <w:rFonts w:eastAsiaTheme="minorEastAsia"/>
          <w:sz w:val="32"/>
          <w:szCs w:val="32"/>
        </w:rPr>
        <w:t xml:space="preserve"> </w:t>
      </w:r>
      <w:r>
        <w:rPr>
          <w:rFonts w:eastAsiaTheme="minorEastAsia"/>
        </w:rPr>
        <w:t>= 80,000 Units</w:t>
      </w:r>
    </w:p>
    <w:p w:rsidR="00AB7C6D" w:rsidRDefault="00AB7C6D" w:rsidP="00AB7C6D">
      <w:pPr>
        <w:rPr>
          <w:rFonts w:eastAsiaTheme="minorEastAsia"/>
        </w:rPr>
      </w:pPr>
      <w:r>
        <w:rPr>
          <w:rFonts w:eastAsiaTheme="minorEastAsia"/>
        </w:rPr>
        <w:t xml:space="preserve">Hence, it can be concluded that </w:t>
      </w:r>
      <w:proofErr w:type="spellStart"/>
      <w:r>
        <w:rPr>
          <w:rFonts w:eastAsiaTheme="minorEastAsia"/>
        </w:rPr>
        <w:t>Solent</w:t>
      </w:r>
      <w:proofErr w:type="spellEnd"/>
      <w:r>
        <w:rPr>
          <w:rFonts w:eastAsiaTheme="minorEastAsia"/>
        </w:rPr>
        <w:t xml:space="preserve"> Ltd. requires to sale </w:t>
      </w:r>
      <w:proofErr w:type="spellStart"/>
      <w:r>
        <w:rPr>
          <w:rFonts w:eastAsiaTheme="minorEastAsia"/>
        </w:rPr>
        <w:t>atleast</w:t>
      </w:r>
      <w:proofErr w:type="spellEnd"/>
      <w:r>
        <w:rPr>
          <w:rFonts w:eastAsiaTheme="minorEastAsia"/>
        </w:rPr>
        <w:t xml:space="preserve"> 80,000 units of Sandals to cover its fixed expense and to attain the situation of no profit no loss. Besides this, company should also add marginal safety to calculate </w:t>
      </w:r>
      <w:proofErr w:type="gramStart"/>
      <w:r>
        <w:rPr>
          <w:rFonts w:eastAsiaTheme="minorEastAsia"/>
        </w:rPr>
        <w:t>Breakeven</w:t>
      </w:r>
      <w:proofErr w:type="gramEnd"/>
      <w:r>
        <w:rPr>
          <w:rFonts w:eastAsiaTheme="minorEastAsia"/>
        </w:rPr>
        <w:t xml:space="preserve"> point; so that it could avoid the situation of out of stock.</w:t>
      </w:r>
    </w:p>
    <w:p w:rsidR="00AB7C6D" w:rsidRDefault="00AB7C6D" w:rsidP="00AB7C6D">
      <w:pPr>
        <w:rPr>
          <w:rFonts w:eastAsiaTheme="minorEastAsia"/>
          <w:u w:val="single"/>
        </w:rPr>
      </w:pPr>
      <w:r>
        <w:rPr>
          <w:rFonts w:eastAsiaTheme="minorEastAsia"/>
          <w:u w:val="single"/>
        </w:rPr>
        <w:t>Breakeven point in revenues:</w:t>
      </w:r>
    </w:p>
    <w:p w:rsidR="00AB7C6D" w:rsidRDefault="00AB7C6D" w:rsidP="00AB7C6D">
      <w:pPr>
        <w:rPr>
          <w:rFonts w:eastAsiaTheme="minorEastAsia"/>
        </w:rPr>
      </w:pPr>
      <w:r>
        <w:rPr>
          <w:rFonts w:eastAsiaTheme="minorEastAsia"/>
        </w:rPr>
        <w:t xml:space="preserve">= Breakeven point in units </w:t>
      </w:r>
      <m:oMath>
        <m:r>
          <w:rPr>
            <w:rFonts w:ascii="Cambria Math" w:eastAsiaTheme="minorEastAsia" w:hAnsi="Cambria Math"/>
          </w:rPr>
          <m:t>×</m:t>
        </m:r>
      </m:oMath>
      <w:r>
        <w:rPr>
          <w:rFonts w:eastAsiaTheme="minorEastAsia"/>
        </w:rPr>
        <w:t xml:space="preserve"> </w:t>
      </w:r>
      <w:proofErr w:type="gramStart"/>
      <w:r>
        <w:rPr>
          <w:rFonts w:eastAsiaTheme="minorEastAsia"/>
        </w:rPr>
        <w:t>Selling</w:t>
      </w:r>
      <w:proofErr w:type="gramEnd"/>
      <w:r>
        <w:rPr>
          <w:rFonts w:eastAsiaTheme="minorEastAsia"/>
        </w:rPr>
        <w:t xml:space="preserve"> price</w:t>
      </w:r>
    </w:p>
    <w:p w:rsidR="00AB7C6D" w:rsidRDefault="00AB7C6D" w:rsidP="00AB7C6D">
      <w:r>
        <w:rPr>
          <w:rFonts w:eastAsiaTheme="minorEastAsia"/>
        </w:rPr>
        <w:t xml:space="preserve">= 80,000 </w:t>
      </w:r>
      <m:oMath>
        <m:r>
          <w:rPr>
            <w:rFonts w:ascii="Cambria Math" w:eastAsiaTheme="minorEastAsia" w:hAnsi="Cambria Math"/>
          </w:rPr>
          <m:t>×</m:t>
        </m:r>
      </m:oMath>
      <w:r>
        <w:rPr>
          <w:rFonts w:eastAsiaTheme="minorEastAsia"/>
        </w:rPr>
        <w:t xml:space="preserve"> </w:t>
      </w:r>
      <w:r w:rsidRPr="00954DFC">
        <w:t>£5.75</w:t>
      </w:r>
    </w:p>
    <w:p w:rsidR="00AB7C6D" w:rsidRDefault="00AB7C6D" w:rsidP="00AB7C6D">
      <w:r>
        <w:t xml:space="preserve">= </w:t>
      </w:r>
      <w:r w:rsidRPr="00954DFC">
        <w:t>£</w:t>
      </w:r>
      <w:r>
        <w:t>460,000</w:t>
      </w:r>
    </w:p>
    <w:p w:rsidR="00AB7C6D" w:rsidRDefault="00AB7C6D" w:rsidP="00AB7C6D">
      <w:r>
        <w:t xml:space="preserve">Therefore, it can be concluded that; </w:t>
      </w:r>
      <w:proofErr w:type="spellStart"/>
      <w:r>
        <w:t>Solent</w:t>
      </w:r>
      <w:proofErr w:type="spellEnd"/>
      <w:r>
        <w:t xml:space="preserve"> Ltd. requires to generate </w:t>
      </w:r>
      <w:proofErr w:type="spellStart"/>
      <w:r>
        <w:t>atleast</w:t>
      </w:r>
      <w:proofErr w:type="spellEnd"/>
      <w:r>
        <w:t xml:space="preserve"> </w:t>
      </w:r>
      <w:r w:rsidRPr="00954DFC">
        <w:t>£</w:t>
      </w:r>
      <w:r>
        <w:t xml:space="preserve">460,000 revenue to cover its fixed expenses; but company will not able to record neither profit nor losses. </w:t>
      </w:r>
    </w:p>
    <w:p w:rsidR="00AB7C6D" w:rsidRDefault="00AB7C6D" w:rsidP="00AB7C6D">
      <w:pPr>
        <w:pStyle w:val="Heading2"/>
      </w:pPr>
      <w:r>
        <w:t>b. Calculate the profit made on sales 90,000 units</w:t>
      </w:r>
    </w:p>
    <w:tbl>
      <w:tblPr>
        <w:tblW w:w="6920" w:type="dxa"/>
        <w:tblInd w:w="96" w:type="dxa"/>
        <w:tblLook w:val="04A0" w:firstRow="1" w:lastRow="0" w:firstColumn="1" w:lastColumn="0" w:noHBand="0" w:noVBand="1"/>
      </w:tblPr>
      <w:tblGrid>
        <w:gridCol w:w="1860"/>
        <w:gridCol w:w="2020"/>
        <w:gridCol w:w="960"/>
        <w:gridCol w:w="1052"/>
        <w:gridCol w:w="1052"/>
      </w:tblGrid>
      <w:tr w:rsidR="00AB7C6D" w:rsidRPr="004A4A3A" w:rsidTr="00F17BB2">
        <w:trPr>
          <w:trHeight w:val="288"/>
        </w:trPr>
        <w:tc>
          <w:tcPr>
            <w:tcW w:w="18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left"/>
              <w:rPr>
                <w:rFonts w:ascii="Calibri" w:eastAsia="Times New Roman" w:hAnsi="Calibri" w:cs="Calibri"/>
                <w:color w:val="000000"/>
                <w:sz w:val="22"/>
                <w:szCs w:val="22"/>
              </w:rPr>
            </w:pPr>
            <w:r w:rsidRPr="004A4A3A">
              <w:rPr>
                <w:rFonts w:ascii="Calibri" w:eastAsia="Times New Roman" w:hAnsi="Calibri" w:cs="Calibri"/>
                <w:color w:val="000000"/>
                <w:sz w:val="22"/>
                <w:szCs w:val="22"/>
              </w:rPr>
              <w:t> </w:t>
            </w:r>
          </w:p>
        </w:tc>
        <w:tc>
          <w:tcPr>
            <w:tcW w:w="2020" w:type="dxa"/>
            <w:tcBorders>
              <w:top w:val="single" w:sz="4" w:space="0" w:color="auto"/>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left"/>
              <w:rPr>
                <w:rFonts w:ascii="Calibri" w:eastAsia="Times New Roman" w:hAnsi="Calibri" w:cs="Calibri"/>
                <w:b/>
                <w:bCs/>
                <w:color w:val="000000"/>
                <w:sz w:val="22"/>
                <w:szCs w:val="22"/>
              </w:rPr>
            </w:pPr>
            <w:r w:rsidRPr="004A4A3A">
              <w:rPr>
                <w:rFonts w:ascii="Calibri" w:eastAsia="Times New Roman" w:hAnsi="Calibri" w:cs="Calibri"/>
                <w:b/>
                <w:bCs/>
                <w:color w:val="000000"/>
                <w:sz w:val="22"/>
                <w:szCs w:val="22"/>
              </w:rPr>
              <w:t>Amount per unit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left"/>
              <w:rPr>
                <w:rFonts w:ascii="Calibri" w:eastAsia="Times New Roman" w:hAnsi="Calibri" w:cs="Calibri"/>
                <w:b/>
                <w:bCs/>
                <w:color w:val="000000"/>
                <w:sz w:val="22"/>
                <w:szCs w:val="22"/>
              </w:rPr>
            </w:pPr>
            <w:r w:rsidRPr="004A4A3A">
              <w:rPr>
                <w:rFonts w:ascii="Calibri" w:eastAsia="Times New Roman" w:hAnsi="Calibri" w:cs="Calibri"/>
                <w:b/>
                <w:bCs/>
                <w:color w:val="000000"/>
                <w:sz w:val="22"/>
                <w:szCs w:val="22"/>
              </w:rPr>
              <w:t>Units</w:t>
            </w:r>
          </w:p>
        </w:tc>
        <w:tc>
          <w:tcPr>
            <w:tcW w:w="1040" w:type="dxa"/>
            <w:tcBorders>
              <w:top w:val="single" w:sz="4" w:space="0" w:color="auto"/>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left"/>
              <w:rPr>
                <w:rFonts w:ascii="Calibri" w:eastAsia="Times New Roman" w:hAnsi="Calibri" w:cs="Calibri"/>
                <w:b/>
                <w:bCs/>
                <w:color w:val="000000"/>
                <w:sz w:val="22"/>
                <w:szCs w:val="22"/>
              </w:rPr>
            </w:pPr>
            <w:r w:rsidRPr="004A4A3A">
              <w:rPr>
                <w:rFonts w:ascii="Calibri" w:eastAsia="Times New Roman" w:hAnsi="Calibri" w:cs="Calibri"/>
                <w:b/>
                <w:bCs/>
                <w:color w:val="000000"/>
                <w:sz w:val="22"/>
                <w:szCs w:val="22"/>
              </w:rPr>
              <w:t>Total (£)</w:t>
            </w:r>
          </w:p>
        </w:tc>
        <w:tc>
          <w:tcPr>
            <w:tcW w:w="1040" w:type="dxa"/>
            <w:tcBorders>
              <w:top w:val="single" w:sz="4" w:space="0" w:color="auto"/>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left"/>
              <w:rPr>
                <w:rFonts w:ascii="Calibri" w:eastAsia="Times New Roman" w:hAnsi="Calibri" w:cs="Calibri"/>
                <w:b/>
                <w:bCs/>
                <w:color w:val="000000"/>
                <w:sz w:val="22"/>
                <w:szCs w:val="22"/>
              </w:rPr>
            </w:pPr>
            <w:r w:rsidRPr="004A4A3A">
              <w:rPr>
                <w:rFonts w:ascii="Calibri" w:eastAsia="Times New Roman" w:hAnsi="Calibri" w:cs="Calibri"/>
                <w:b/>
                <w:bCs/>
                <w:color w:val="000000"/>
                <w:sz w:val="22"/>
                <w:szCs w:val="22"/>
              </w:rPr>
              <w:t>Total (£)</w:t>
            </w:r>
          </w:p>
        </w:tc>
      </w:tr>
      <w:tr w:rsidR="00AB7C6D" w:rsidRPr="004A4A3A" w:rsidTr="00F17BB2">
        <w:trPr>
          <w:trHeight w:val="288"/>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left"/>
              <w:rPr>
                <w:rFonts w:ascii="Calibri" w:eastAsia="Times New Roman" w:hAnsi="Calibri" w:cs="Calibri"/>
                <w:color w:val="000000"/>
                <w:sz w:val="22"/>
                <w:szCs w:val="22"/>
              </w:rPr>
            </w:pPr>
            <w:r w:rsidRPr="004A4A3A">
              <w:rPr>
                <w:rFonts w:ascii="Calibri" w:eastAsia="Times New Roman" w:hAnsi="Calibri" w:cs="Calibri"/>
                <w:color w:val="000000"/>
                <w:sz w:val="22"/>
                <w:szCs w:val="22"/>
              </w:rPr>
              <w:t>Selling price</w:t>
            </w:r>
          </w:p>
        </w:tc>
        <w:tc>
          <w:tcPr>
            <w:tcW w:w="202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right"/>
              <w:rPr>
                <w:rFonts w:ascii="Calibri" w:eastAsia="Times New Roman" w:hAnsi="Calibri" w:cs="Calibri"/>
                <w:color w:val="000000"/>
                <w:sz w:val="22"/>
                <w:szCs w:val="22"/>
              </w:rPr>
            </w:pPr>
            <w:r w:rsidRPr="004A4A3A">
              <w:rPr>
                <w:rFonts w:ascii="Calibri" w:eastAsia="Times New Roman" w:hAnsi="Calibri" w:cs="Calibri"/>
                <w:color w:val="000000"/>
                <w:sz w:val="22"/>
                <w:szCs w:val="22"/>
              </w:rPr>
              <w:t>£5.75</w:t>
            </w:r>
          </w:p>
        </w:tc>
        <w:tc>
          <w:tcPr>
            <w:tcW w:w="96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right"/>
              <w:rPr>
                <w:rFonts w:ascii="Calibri" w:eastAsia="Times New Roman" w:hAnsi="Calibri" w:cs="Calibri"/>
                <w:color w:val="000000"/>
                <w:sz w:val="22"/>
                <w:szCs w:val="22"/>
              </w:rPr>
            </w:pPr>
            <w:r w:rsidRPr="004A4A3A">
              <w:rPr>
                <w:rFonts w:ascii="Calibri" w:eastAsia="Times New Roman" w:hAnsi="Calibri" w:cs="Calibri"/>
                <w:color w:val="000000"/>
                <w:sz w:val="22"/>
                <w:szCs w:val="22"/>
              </w:rPr>
              <w:t>90,000</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left"/>
              <w:rPr>
                <w:rFonts w:ascii="Calibri" w:eastAsia="Times New Roman" w:hAnsi="Calibri" w:cs="Calibri"/>
                <w:color w:val="000000"/>
                <w:sz w:val="22"/>
                <w:szCs w:val="22"/>
              </w:rPr>
            </w:pPr>
            <w:r w:rsidRPr="004A4A3A">
              <w:rPr>
                <w:rFonts w:ascii="Calibri" w:eastAsia="Times New Roman" w:hAnsi="Calibri" w:cs="Calibri"/>
                <w:color w:val="000000"/>
                <w:sz w:val="22"/>
                <w:szCs w:val="22"/>
              </w:rPr>
              <w:t> </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right"/>
              <w:rPr>
                <w:rFonts w:ascii="Calibri" w:eastAsia="Times New Roman" w:hAnsi="Calibri" w:cs="Calibri"/>
                <w:color w:val="000000"/>
                <w:sz w:val="22"/>
                <w:szCs w:val="22"/>
              </w:rPr>
            </w:pPr>
            <w:r w:rsidRPr="004A4A3A">
              <w:rPr>
                <w:rFonts w:ascii="Calibri" w:eastAsia="Times New Roman" w:hAnsi="Calibri" w:cs="Calibri"/>
                <w:color w:val="000000"/>
                <w:sz w:val="22"/>
                <w:szCs w:val="22"/>
              </w:rPr>
              <w:t>£517,500</w:t>
            </w:r>
          </w:p>
        </w:tc>
      </w:tr>
      <w:tr w:rsidR="00AB7C6D" w:rsidRPr="004A4A3A" w:rsidTr="00F17BB2">
        <w:trPr>
          <w:trHeight w:val="288"/>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left"/>
              <w:rPr>
                <w:rFonts w:ascii="Calibri" w:eastAsia="Times New Roman" w:hAnsi="Calibri" w:cs="Calibri"/>
                <w:color w:val="000000"/>
                <w:sz w:val="22"/>
                <w:szCs w:val="22"/>
              </w:rPr>
            </w:pPr>
            <w:r w:rsidRPr="004A4A3A">
              <w:rPr>
                <w:rFonts w:ascii="Calibri" w:eastAsia="Times New Roman" w:hAnsi="Calibri" w:cs="Calibri"/>
                <w:color w:val="000000"/>
                <w:sz w:val="22"/>
                <w:szCs w:val="22"/>
              </w:rPr>
              <w:t>Less: COGS</w:t>
            </w:r>
          </w:p>
        </w:tc>
        <w:tc>
          <w:tcPr>
            <w:tcW w:w="202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left"/>
              <w:rPr>
                <w:rFonts w:ascii="Calibri" w:eastAsia="Times New Roman" w:hAnsi="Calibri" w:cs="Calibri"/>
                <w:color w:val="000000"/>
                <w:sz w:val="22"/>
                <w:szCs w:val="22"/>
              </w:rPr>
            </w:pPr>
            <w:r w:rsidRPr="004A4A3A">
              <w:rPr>
                <w:rFonts w:ascii="Calibri" w:eastAsia="Times New Roman" w:hAnsi="Calibri" w:cs="Calibri"/>
                <w:color w:val="000000"/>
                <w:sz w:val="22"/>
                <w:szCs w:val="22"/>
              </w:rPr>
              <w:t> </w:t>
            </w:r>
          </w:p>
        </w:tc>
        <w:tc>
          <w:tcPr>
            <w:tcW w:w="96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left"/>
              <w:rPr>
                <w:rFonts w:ascii="Calibri" w:eastAsia="Times New Roman" w:hAnsi="Calibri" w:cs="Calibri"/>
                <w:color w:val="000000"/>
                <w:sz w:val="22"/>
                <w:szCs w:val="22"/>
              </w:rPr>
            </w:pPr>
            <w:r w:rsidRPr="004A4A3A">
              <w:rPr>
                <w:rFonts w:ascii="Calibri" w:eastAsia="Times New Roman" w:hAnsi="Calibri" w:cs="Calibri"/>
                <w:color w:val="000000"/>
                <w:sz w:val="22"/>
                <w:szCs w:val="22"/>
              </w:rPr>
              <w:t> </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left"/>
              <w:rPr>
                <w:rFonts w:ascii="Calibri" w:eastAsia="Times New Roman" w:hAnsi="Calibri" w:cs="Calibri"/>
                <w:color w:val="000000"/>
                <w:sz w:val="22"/>
                <w:szCs w:val="22"/>
              </w:rPr>
            </w:pPr>
            <w:r w:rsidRPr="004A4A3A">
              <w:rPr>
                <w:rFonts w:ascii="Calibri" w:eastAsia="Times New Roman" w:hAnsi="Calibri" w:cs="Calibri"/>
                <w:color w:val="000000"/>
                <w:sz w:val="22"/>
                <w:szCs w:val="22"/>
              </w:rPr>
              <w:t> </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left"/>
              <w:rPr>
                <w:rFonts w:ascii="Calibri" w:eastAsia="Times New Roman" w:hAnsi="Calibri" w:cs="Calibri"/>
                <w:color w:val="000000"/>
                <w:sz w:val="22"/>
                <w:szCs w:val="22"/>
              </w:rPr>
            </w:pPr>
            <w:r w:rsidRPr="004A4A3A">
              <w:rPr>
                <w:rFonts w:ascii="Calibri" w:eastAsia="Times New Roman" w:hAnsi="Calibri" w:cs="Calibri"/>
                <w:color w:val="000000"/>
                <w:sz w:val="22"/>
                <w:szCs w:val="22"/>
              </w:rPr>
              <w:t> </w:t>
            </w:r>
          </w:p>
        </w:tc>
      </w:tr>
      <w:tr w:rsidR="00AB7C6D" w:rsidRPr="004A4A3A" w:rsidTr="00F17BB2">
        <w:trPr>
          <w:trHeight w:val="288"/>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left"/>
              <w:rPr>
                <w:rFonts w:ascii="Calibri" w:eastAsia="Times New Roman" w:hAnsi="Calibri" w:cs="Calibri"/>
                <w:color w:val="000000"/>
                <w:sz w:val="22"/>
                <w:szCs w:val="22"/>
              </w:rPr>
            </w:pPr>
            <w:r w:rsidRPr="004A4A3A">
              <w:rPr>
                <w:rFonts w:ascii="Calibri" w:eastAsia="Times New Roman" w:hAnsi="Calibri" w:cs="Calibri"/>
                <w:color w:val="000000"/>
                <w:sz w:val="22"/>
                <w:szCs w:val="22"/>
              </w:rPr>
              <w:lastRenderedPageBreak/>
              <w:t>Direct labor</w:t>
            </w:r>
          </w:p>
        </w:tc>
        <w:tc>
          <w:tcPr>
            <w:tcW w:w="202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right"/>
              <w:rPr>
                <w:rFonts w:ascii="Calibri" w:eastAsia="Times New Roman" w:hAnsi="Calibri" w:cs="Calibri"/>
                <w:color w:val="000000"/>
                <w:sz w:val="22"/>
                <w:szCs w:val="22"/>
              </w:rPr>
            </w:pPr>
            <w:r w:rsidRPr="004A4A3A">
              <w:rPr>
                <w:rFonts w:ascii="Calibri" w:eastAsia="Times New Roman" w:hAnsi="Calibri" w:cs="Calibri"/>
                <w:color w:val="000000"/>
                <w:sz w:val="22"/>
                <w:szCs w:val="22"/>
              </w:rPr>
              <w:t>£1.35</w:t>
            </w:r>
          </w:p>
        </w:tc>
        <w:tc>
          <w:tcPr>
            <w:tcW w:w="96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right"/>
              <w:rPr>
                <w:rFonts w:ascii="Calibri" w:eastAsia="Times New Roman" w:hAnsi="Calibri" w:cs="Calibri"/>
                <w:color w:val="000000"/>
                <w:sz w:val="22"/>
                <w:szCs w:val="22"/>
              </w:rPr>
            </w:pPr>
            <w:r w:rsidRPr="004A4A3A">
              <w:rPr>
                <w:rFonts w:ascii="Calibri" w:eastAsia="Times New Roman" w:hAnsi="Calibri" w:cs="Calibri"/>
                <w:color w:val="000000"/>
                <w:sz w:val="22"/>
                <w:szCs w:val="22"/>
              </w:rPr>
              <w:t>90,000</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right"/>
              <w:rPr>
                <w:rFonts w:ascii="Calibri" w:eastAsia="Times New Roman" w:hAnsi="Calibri" w:cs="Calibri"/>
                <w:color w:val="000000"/>
                <w:sz w:val="22"/>
                <w:szCs w:val="22"/>
              </w:rPr>
            </w:pPr>
            <w:r w:rsidRPr="004A4A3A">
              <w:rPr>
                <w:rFonts w:ascii="Calibri" w:eastAsia="Times New Roman" w:hAnsi="Calibri" w:cs="Calibri"/>
                <w:color w:val="000000"/>
                <w:sz w:val="22"/>
                <w:szCs w:val="22"/>
              </w:rPr>
              <w:t>£121,500</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left"/>
              <w:rPr>
                <w:rFonts w:ascii="Calibri" w:eastAsia="Times New Roman" w:hAnsi="Calibri" w:cs="Calibri"/>
                <w:color w:val="000000"/>
                <w:sz w:val="22"/>
                <w:szCs w:val="22"/>
              </w:rPr>
            </w:pPr>
            <w:r w:rsidRPr="004A4A3A">
              <w:rPr>
                <w:rFonts w:ascii="Calibri" w:eastAsia="Times New Roman" w:hAnsi="Calibri" w:cs="Calibri"/>
                <w:color w:val="000000"/>
                <w:sz w:val="22"/>
                <w:szCs w:val="22"/>
              </w:rPr>
              <w:t> </w:t>
            </w:r>
          </w:p>
        </w:tc>
      </w:tr>
      <w:tr w:rsidR="00AB7C6D" w:rsidRPr="004A4A3A" w:rsidTr="00F17BB2">
        <w:trPr>
          <w:trHeight w:val="288"/>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left"/>
              <w:rPr>
                <w:rFonts w:ascii="Calibri" w:eastAsia="Times New Roman" w:hAnsi="Calibri" w:cs="Calibri"/>
                <w:color w:val="000000"/>
                <w:sz w:val="22"/>
                <w:szCs w:val="22"/>
              </w:rPr>
            </w:pPr>
            <w:r w:rsidRPr="004A4A3A">
              <w:rPr>
                <w:rFonts w:ascii="Calibri" w:eastAsia="Times New Roman" w:hAnsi="Calibri" w:cs="Calibri"/>
                <w:color w:val="000000"/>
                <w:sz w:val="22"/>
                <w:szCs w:val="22"/>
              </w:rPr>
              <w:t>Direct Materials</w:t>
            </w:r>
          </w:p>
        </w:tc>
        <w:tc>
          <w:tcPr>
            <w:tcW w:w="202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right"/>
              <w:rPr>
                <w:rFonts w:ascii="Calibri" w:eastAsia="Times New Roman" w:hAnsi="Calibri" w:cs="Calibri"/>
                <w:color w:val="000000"/>
                <w:sz w:val="22"/>
                <w:szCs w:val="22"/>
              </w:rPr>
            </w:pPr>
            <w:r w:rsidRPr="004A4A3A">
              <w:rPr>
                <w:rFonts w:ascii="Calibri" w:eastAsia="Times New Roman" w:hAnsi="Calibri" w:cs="Calibri"/>
                <w:color w:val="000000"/>
                <w:sz w:val="22"/>
                <w:szCs w:val="22"/>
              </w:rPr>
              <w:t>£1.75</w:t>
            </w:r>
          </w:p>
        </w:tc>
        <w:tc>
          <w:tcPr>
            <w:tcW w:w="96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right"/>
              <w:rPr>
                <w:rFonts w:ascii="Calibri" w:eastAsia="Times New Roman" w:hAnsi="Calibri" w:cs="Calibri"/>
                <w:color w:val="000000"/>
                <w:sz w:val="22"/>
                <w:szCs w:val="22"/>
              </w:rPr>
            </w:pPr>
            <w:r w:rsidRPr="004A4A3A">
              <w:rPr>
                <w:rFonts w:ascii="Calibri" w:eastAsia="Times New Roman" w:hAnsi="Calibri" w:cs="Calibri"/>
                <w:color w:val="000000"/>
                <w:sz w:val="22"/>
                <w:szCs w:val="22"/>
              </w:rPr>
              <w:t>90,000</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right"/>
              <w:rPr>
                <w:rFonts w:ascii="Calibri" w:eastAsia="Times New Roman" w:hAnsi="Calibri" w:cs="Calibri"/>
                <w:color w:val="000000"/>
                <w:sz w:val="22"/>
                <w:szCs w:val="22"/>
              </w:rPr>
            </w:pPr>
            <w:r w:rsidRPr="004A4A3A">
              <w:rPr>
                <w:rFonts w:ascii="Calibri" w:eastAsia="Times New Roman" w:hAnsi="Calibri" w:cs="Calibri"/>
                <w:color w:val="000000"/>
                <w:sz w:val="22"/>
                <w:szCs w:val="22"/>
              </w:rPr>
              <w:t>£157,500</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left"/>
              <w:rPr>
                <w:rFonts w:ascii="Calibri" w:eastAsia="Times New Roman" w:hAnsi="Calibri" w:cs="Calibri"/>
                <w:color w:val="000000"/>
                <w:sz w:val="22"/>
                <w:szCs w:val="22"/>
              </w:rPr>
            </w:pPr>
            <w:r w:rsidRPr="004A4A3A">
              <w:rPr>
                <w:rFonts w:ascii="Calibri" w:eastAsia="Times New Roman" w:hAnsi="Calibri" w:cs="Calibri"/>
                <w:color w:val="000000"/>
                <w:sz w:val="22"/>
                <w:szCs w:val="22"/>
              </w:rPr>
              <w:t> </w:t>
            </w:r>
          </w:p>
        </w:tc>
      </w:tr>
      <w:tr w:rsidR="00AB7C6D" w:rsidRPr="004A4A3A" w:rsidTr="00F17BB2">
        <w:trPr>
          <w:trHeight w:val="288"/>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left"/>
              <w:rPr>
                <w:rFonts w:ascii="Calibri" w:eastAsia="Times New Roman" w:hAnsi="Calibri" w:cs="Calibri"/>
                <w:color w:val="000000"/>
                <w:sz w:val="22"/>
                <w:szCs w:val="22"/>
              </w:rPr>
            </w:pPr>
            <w:r w:rsidRPr="004A4A3A">
              <w:rPr>
                <w:rFonts w:ascii="Calibri" w:eastAsia="Times New Roman" w:hAnsi="Calibri" w:cs="Calibri"/>
                <w:color w:val="000000"/>
                <w:sz w:val="22"/>
                <w:szCs w:val="22"/>
              </w:rPr>
              <w:t>Other direct costs</w:t>
            </w:r>
          </w:p>
        </w:tc>
        <w:tc>
          <w:tcPr>
            <w:tcW w:w="202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right"/>
              <w:rPr>
                <w:rFonts w:ascii="Calibri" w:eastAsia="Times New Roman" w:hAnsi="Calibri" w:cs="Calibri"/>
                <w:color w:val="000000"/>
                <w:sz w:val="22"/>
                <w:szCs w:val="22"/>
              </w:rPr>
            </w:pPr>
            <w:r w:rsidRPr="004A4A3A">
              <w:rPr>
                <w:rFonts w:ascii="Calibri" w:eastAsia="Times New Roman" w:hAnsi="Calibri" w:cs="Calibri"/>
                <w:color w:val="000000"/>
                <w:sz w:val="22"/>
                <w:szCs w:val="22"/>
              </w:rPr>
              <w:t>£0.40</w:t>
            </w:r>
          </w:p>
        </w:tc>
        <w:tc>
          <w:tcPr>
            <w:tcW w:w="96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right"/>
              <w:rPr>
                <w:rFonts w:ascii="Calibri" w:eastAsia="Times New Roman" w:hAnsi="Calibri" w:cs="Calibri"/>
                <w:color w:val="000000"/>
                <w:sz w:val="22"/>
                <w:szCs w:val="22"/>
              </w:rPr>
            </w:pPr>
            <w:r w:rsidRPr="004A4A3A">
              <w:rPr>
                <w:rFonts w:ascii="Calibri" w:eastAsia="Times New Roman" w:hAnsi="Calibri" w:cs="Calibri"/>
                <w:color w:val="000000"/>
                <w:sz w:val="22"/>
                <w:szCs w:val="22"/>
              </w:rPr>
              <w:t>90,000</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right"/>
              <w:rPr>
                <w:rFonts w:ascii="Calibri" w:eastAsia="Times New Roman" w:hAnsi="Calibri" w:cs="Calibri"/>
                <w:color w:val="000000"/>
                <w:sz w:val="22"/>
                <w:szCs w:val="22"/>
              </w:rPr>
            </w:pPr>
            <w:r w:rsidRPr="004A4A3A">
              <w:rPr>
                <w:rFonts w:ascii="Calibri" w:eastAsia="Times New Roman" w:hAnsi="Calibri" w:cs="Calibri"/>
                <w:color w:val="000000"/>
                <w:sz w:val="22"/>
                <w:szCs w:val="22"/>
              </w:rPr>
              <w:t>£36,000</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right"/>
              <w:rPr>
                <w:rFonts w:ascii="Calibri" w:eastAsia="Times New Roman" w:hAnsi="Calibri" w:cs="Calibri"/>
                <w:color w:val="000000"/>
                <w:sz w:val="22"/>
                <w:szCs w:val="22"/>
              </w:rPr>
            </w:pPr>
            <w:r w:rsidRPr="004A4A3A">
              <w:rPr>
                <w:rFonts w:ascii="Calibri" w:eastAsia="Times New Roman" w:hAnsi="Calibri" w:cs="Calibri"/>
                <w:color w:val="000000"/>
                <w:sz w:val="22"/>
                <w:szCs w:val="22"/>
              </w:rPr>
              <w:t>£315,000</w:t>
            </w:r>
          </w:p>
        </w:tc>
      </w:tr>
      <w:tr w:rsidR="00AB7C6D" w:rsidRPr="004A4A3A" w:rsidTr="00F17BB2">
        <w:trPr>
          <w:trHeight w:val="288"/>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left"/>
              <w:rPr>
                <w:rFonts w:ascii="Calibri" w:eastAsia="Times New Roman" w:hAnsi="Calibri" w:cs="Calibri"/>
                <w:color w:val="000000"/>
                <w:sz w:val="22"/>
                <w:szCs w:val="22"/>
              </w:rPr>
            </w:pPr>
            <w:r w:rsidRPr="004A4A3A">
              <w:rPr>
                <w:rFonts w:ascii="Calibri" w:eastAsia="Times New Roman" w:hAnsi="Calibri" w:cs="Calibri"/>
                <w:color w:val="000000"/>
                <w:sz w:val="22"/>
                <w:szCs w:val="22"/>
              </w:rPr>
              <w:t>Contribution</w:t>
            </w:r>
          </w:p>
        </w:tc>
        <w:tc>
          <w:tcPr>
            <w:tcW w:w="202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left"/>
              <w:rPr>
                <w:rFonts w:ascii="Calibri" w:eastAsia="Times New Roman" w:hAnsi="Calibri" w:cs="Calibri"/>
                <w:color w:val="000000"/>
                <w:sz w:val="22"/>
                <w:szCs w:val="22"/>
              </w:rPr>
            </w:pPr>
            <w:r w:rsidRPr="004A4A3A">
              <w:rPr>
                <w:rFonts w:ascii="Calibri" w:eastAsia="Times New Roman" w:hAnsi="Calibri" w:cs="Calibri"/>
                <w:color w:val="000000"/>
                <w:sz w:val="22"/>
                <w:szCs w:val="22"/>
              </w:rPr>
              <w:t> </w:t>
            </w:r>
          </w:p>
        </w:tc>
        <w:tc>
          <w:tcPr>
            <w:tcW w:w="96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left"/>
              <w:rPr>
                <w:rFonts w:ascii="Calibri" w:eastAsia="Times New Roman" w:hAnsi="Calibri" w:cs="Calibri"/>
                <w:color w:val="000000"/>
                <w:sz w:val="22"/>
                <w:szCs w:val="22"/>
              </w:rPr>
            </w:pPr>
            <w:r w:rsidRPr="004A4A3A">
              <w:rPr>
                <w:rFonts w:ascii="Calibri" w:eastAsia="Times New Roman" w:hAnsi="Calibri" w:cs="Calibri"/>
                <w:color w:val="000000"/>
                <w:sz w:val="22"/>
                <w:szCs w:val="22"/>
              </w:rPr>
              <w:t> </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left"/>
              <w:rPr>
                <w:rFonts w:ascii="Calibri" w:eastAsia="Times New Roman" w:hAnsi="Calibri" w:cs="Calibri"/>
                <w:color w:val="000000"/>
                <w:sz w:val="22"/>
                <w:szCs w:val="22"/>
              </w:rPr>
            </w:pPr>
            <w:r w:rsidRPr="004A4A3A">
              <w:rPr>
                <w:rFonts w:ascii="Calibri" w:eastAsia="Times New Roman" w:hAnsi="Calibri" w:cs="Calibri"/>
                <w:color w:val="000000"/>
                <w:sz w:val="22"/>
                <w:szCs w:val="22"/>
              </w:rPr>
              <w:t> </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right"/>
              <w:rPr>
                <w:rFonts w:ascii="Calibri" w:eastAsia="Times New Roman" w:hAnsi="Calibri" w:cs="Calibri"/>
                <w:color w:val="000000"/>
                <w:sz w:val="22"/>
                <w:szCs w:val="22"/>
              </w:rPr>
            </w:pPr>
            <w:r w:rsidRPr="004A4A3A">
              <w:rPr>
                <w:rFonts w:ascii="Calibri" w:eastAsia="Times New Roman" w:hAnsi="Calibri" w:cs="Calibri"/>
                <w:color w:val="000000"/>
                <w:sz w:val="22"/>
                <w:szCs w:val="22"/>
              </w:rPr>
              <w:t>£202,500</w:t>
            </w:r>
          </w:p>
        </w:tc>
      </w:tr>
      <w:tr w:rsidR="00AB7C6D" w:rsidRPr="004A4A3A" w:rsidTr="00F17BB2">
        <w:trPr>
          <w:trHeight w:val="288"/>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left"/>
              <w:rPr>
                <w:rFonts w:ascii="Calibri" w:eastAsia="Times New Roman" w:hAnsi="Calibri" w:cs="Calibri"/>
                <w:color w:val="000000"/>
                <w:sz w:val="22"/>
                <w:szCs w:val="22"/>
              </w:rPr>
            </w:pPr>
            <w:r w:rsidRPr="004A4A3A">
              <w:rPr>
                <w:rFonts w:ascii="Calibri" w:eastAsia="Times New Roman" w:hAnsi="Calibri" w:cs="Calibri"/>
                <w:color w:val="000000"/>
                <w:sz w:val="22"/>
                <w:szCs w:val="22"/>
              </w:rPr>
              <w:t>Less: Periodic cost</w:t>
            </w:r>
          </w:p>
        </w:tc>
        <w:tc>
          <w:tcPr>
            <w:tcW w:w="202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left"/>
              <w:rPr>
                <w:rFonts w:ascii="Calibri" w:eastAsia="Times New Roman" w:hAnsi="Calibri" w:cs="Calibri"/>
                <w:color w:val="000000"/>
                <w:sz w:val="22"/>
                <w:szCs w:val="22"/>
              </w:rPr>
            </w:pPr>
            <w:r w:rsidRPr="004A4A3A">
              <w:rPr>
                <w:rFonts w:ascii="Calibri" w:eastAsia="Times New Roman" w:hAnsi="Calibri" w:cs="Calibri"/>
                <w:color w:val="000000"/>
                <w:sz w:val="22"/>
                <w:szCs w:val="22"/>
              </w:rPr>
              <w:t> </w:t>
            </w:r>
          </w:p>
        </w:tc>
        <w:tc>
          <w:tcPr>
            <w:tcW w:w="96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left"/>
              <w:rPr>
                <w:rFonts w:ascii="Calibri" w:eastAsia="Times New Roman" w:hAnsi="Calibri" w:cs="Calibri"/>
                <w:color w:val="000000"/>
                <w:sz w:val="22"/>
                <w:szCs w:val="22"/>
              </w:rPr>
            </w:pPr>
            <w:r w:rsidRPr="004A4A3A">
              <w:rPr>
                <w:rFonts w:ascii="Calibri" w:eastAsia="Times New Roman" w:hAnsi="Calibri" w:cs="Calibri"/>
                <w:color w:val="000000"/>
                <w:sz w:val="22"/>
                <w:szCs w:val="22"/>
              </w:rPr>
              <w:t> </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left"/>
              <w:rPr>
                <w:rFonts w:ascii="Calibri" w:eastAsia="Times New Roman" w:hAnsi="Calibri" w:cs="Calibri"/>
                <w:color w:val="000000"/>
                <w:sz w:val="22"/>
                <w:szCs w:val="22"/>
              </w:rPr>
            </w:pPr>
            <w:r w:rsidRPr="004A4A3A">
              <w:rPr>
                <w:rFonts w:ascii="Calibri" w:eastAsia="Times New Roman" w:hAnsi="Calibri" w:cs="Calibri"/>
                <w:color w:val="000000"/>
                <w:sz w:val="22"/>
                <w:szCs w:val="22"/>
              </w:rPr>
              <w:t> </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left"/>
              <w:rPr>
                <w:rFonts w:ascii="Calibri" w:eastAsia="Times New Roman" w:hAnsi="Calibri" w:cs="Calibri"/>
                <w:color w:val="000000"/>
                <w:sz w:val="22"/>
                <w:szCs w:val="22"/>
              </w:rPr>
            </w:pPr>
            <w:r w:rsidRPr="004A4A3A">
              <w:rPr>
                <w:rFonts w:ascii="Calibri" w:eastAsia="Times New Roman" w:hAnsi="Calibri" w:cs="Calibri"/>
                <w:color w:val="000000"/>
                <w:sz w:val="22"/>
                <w:szCs w:val="22"/>
              </w:rPr>
              <w:t> </w:t>
            </w:r>
          </w:p>
        </w:tc>
      </w:tr>
      <w:tr w:rsidR="00AB7C6D" w:rsidRPr="004A4A3A" w:rsidTr="00F17BB2">
        <w:trPr>
          <w:trHeight w:val="288"/>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left"/>
              <w:rPr>
                <w:rFonts w:ascii="Calibri" w:eastAsia="Times New Roman" w:hAnsi="Calibri" w:cs="Calibri"/>
                <w:color w:val="000000"/>
                <w:sz w:val="22"/>
                <w:szCs w:val="22"/>
              </w:rPr>
            </w:pPr>
            <w:r w:rsidRPr="004A4A3A">
              <w:rPr>
                <w:rFonts w:ascii="Calibri" w:eastAsia="Times New Roman" w:hAnsi="Calibri" w:cs="Calibri"/>
                <w:color w:val="000000"/>
                <w:sz w:val="22"/>
                <w:szCs w:val="22"/>
              </w:rPr>
              <w:t>Fixed cost</w:t>
            </w:r>
          </w:p>
        </w:tc>
        <w:tc>
          <w:tcPr>
            <w:tcW w:w="202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left"/>
              <w:rPr>
                <w:rFonts w:ascii="Calibri" w:eastAsia="Times New Roman" w:hAnsi="Calibri" w:cs="Calibri"/>
                <w:color w:val="000000"/>
                <w:sz w:val="22"/>
                <w:szCs w:val="22"/>
              </w:rPr>
            </w:pPr>
            <w:r w:rsidRPr="004A4A3A">
              <w:rPr>
                <w:rFonts w:ascii="Calibri" w:eastAsia="Times New Roman" w:hAnsi="Calibri" w:cs="Calibri"/>
                <w:color w:val="000000"/>
                <w:sz w:val="22"/>
                <w:szCs w:val="22"/>
              </w:rPr>
              <w:t> </w:t>
            </w:r>
          </w:p>
        </w:tc>
        <w:tc>
          <w:tcPr>
            <w:tcW w:w="96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left"/>
              <w:rPr>
                <w:rFonts w:ascii="Calibri" w:eastAsia="Times New Roman" w:hAnsi="Calibri" w:cs="Calibri"/>
                <w:color w:val="000000"/>
                <w:sz w:val="22"/>
                <w:szCs w:val="22"/>
              </w:rPr>
            </w:pPr>
            <w:r w:rsidRPr="004A4A3A">
              <w:rPr>
                <w:rFonts w:ascii="Calibri" w:eastAsia="Times New Roman" w:hAnsi="Calibri" w:cs="Calibri"/>
                <w:color w:val="000000"/>
                <w:sz w:val="22"/>
                <w:szCs w:val="22"/>
              </w:rPr>
              <w:t> </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right"/>
              <w:rPr>
                <w:rFonts w:ascii="Calibri" w:eastAsia="Times New Roman" w:hAnsi="Calibri" w:cs="Calibri"/>
                <w:color w:val="000000"/>
                <w:sz w:val="22"/>
                <w:szCs w:val="22"/>
              </w:rPr>
            </w:pPr>
            <w:r w:rsidRPr="004A4A3A">
              <w:rPr>
                <w:rFonts w:ascii="Calibri" w:eastAsia="Times New Roman" w:hAnsi="Calibri" w:cs="Calibri"/>
                <w:color w:val="000000"/>
                <w:sz w:val="22"/>
                <w:szCs w:val="22"/>
              </w:rPr>
              <w:t>£180,000</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right"/>
              <w:rPr>
                <w:rFonts w:ascii="Calibri" w:eastAsia="Times New Roman" w:hAnsi="Calibri" w:cs="Calibri"/>
                <w:color w:val="000000"/>
                <w:sz w:val="22"/>
                <w:szCs w:val="22"/>
              </w:rPr>
            </w:pPr>
            <w:r w:rsidRPr="004A4A3A">
              <w:rPr>
                <w:rFonts w:ascii="Calibri" w:eastAsia="Times New Roman" w:hAnsi="Calibri" w:cs="Calibri"/>
                <w:color w:val="000000"/>
                <w:sz w:val="22"/>
                <w:szCs w:val="22"/>
              </w:rPr>
              <w:t>£180,000</w:t>
            </w:r>
          </w:p>
        </w:tc>
      </w:tr>
      <w:tr w:rsidR="00AB7C6D" w:rsidRPr="004A4A3A" w:rsidTr="00F17BB2">
        <w:trPr>
          <w:trHeight w:val="288"/>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left"/>
              <w:rPr>
                <w:rFonts w:ascii="Calibri" w:eastAsia="Times New Roman" w:hAnsi="Calibri" w:cs="Calibri"/>
                <w:b/>
                <w:bCs/>
                <w:color w:val="000000"/>
                <w:sz w:val="22"/>
                <w:szCs w:val="22"/>
              </w:rPr>
            </w:pPr>
            <w:r w:rsidRPr="004A4A3A">
              <w:rPr>
                <w:rFonts w:ascii="Calibri" w:eastAsia="Times New Roman" w:hAnsi="Calibri" w:cs="Calibri"/>
                <w:b/>
                <w:bCs/>
                <w:color w:val="000000"/>
                <w:sz w:val="22"/>
                <w:szCs w:val="22"/>
              </w:rPr>
              <w:t>Net Profit</w:t>
            </w:r>
          </w:p>
        </w:tc>
        <w:tc>
          <w:tcPr>
            <w:tcW w:w="202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left"/>
              <w:rPr>
                <w:rFonts w:ascii="Calibri" w:eastAsia="Times New Roman" w:hAnsi="Calibri" w:cs="Calibri"/>
                <w:b/>
                <w:bCs/>
                <w:color w:val="000000"/>
                <w:sz w:val="22"/>
                <w:szCs w:val="22"/>
              </w:rPr>
            </w:pPr>
            <w:r w:rsidRPr="004A4A3A">
              <w:rPr>
                <w:rFonts w:ascii="Calibri" w:eastAsia="Times New Roman" w:hAnsi="Calibri" w:cs="Calibri"/>
                <w:b/>
                <w:bCs/>
                <w:color w:val="000000"/>
                <w:sz w:val="22"/>
                <w:szCs w:val="22"/>
              </w:rPr>
              <w:t> </w:t>
            </w:r>
          </w:p>
        </w:tc>
        <w:tc>
          <w:tcPr>
            <w:tcW w:w="96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left"/>
              <w:rPr>
                <w:rFonts w:ascii="Calibri" w:eastAsia="Times New Roman" w:hAnsi="Calibri" w:cs="Calibri"/>
                <w:b/>
                <w:bCs/>
                <w:color w:val="000000"/>
                <w:sz w:val="22"/>
                <w:szCs w:val="22"/>
              </w:rPr>
            </w:pPr>
            <w:r w:rsidRPr="004A4A3A">
              <w:rPr>
                <w:rFonts w:ascii="Calibri" w:eastAsia="Times New Roman" w:hAnsi="Calibri" w:cs="Calibri"/>
                <w:b/>
                <w:bCs/>
                <w:color w:val="000000"/>
                <w:sz w:val="22"/>
                <w:szCs w:val="22"/>
              </w:rPr>
              <w:t> </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left"/>
              <w:rPr>
                <w:rFonts w:ascii="Calibri" w:eastAsia="Times New Roman" w:hAnsi="Calibri" w:cs="Calibri"/>
                <w:b/>
                <w:bCs/>
                <w:color w:val="000000"/>
                <w:sz w:val="22"/>
                <w:szCs w:val="22"/>
              </w:rPr>
            </w:pPr>
            <w:r w:rsidRPr="004A4A3A">
              <w:rPr>
                <w:rFonts w:ascii="Calibri" w:eastAsia="Times New Roman" w:hAnsi="Calibri" w:cs="Calibri"/>
                <w:b/>
                <w:bCs/>
                <w:color w:val="000000"/>
                <w:sz w:val="22"/>
                <w:szCs w:val="22"/>
              </w:rPr>
              <w:t> </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4A4A3A" w:rsidRDefault="00AB7C6D" w:rsidP="00F17BB2">
            <w:pPr>
              <w:spacing w:after="0" w:line="240" w:lineRule="auto"/>
              <w:jc w:val="right"/>
              <w:rPr>
                <w:rFonts w:ascii="Calibri" w:eastAsia="Times New Roman" w:hAnsi="Calibri" w:cs="Calibri"/>
                <w:b/>
                <w:bCs/>
                <w:color w:val="000000"/>
                <w:sz w:val="22"/>
                <w:szCs w:val="22"/>
              </w:rPr>
            </w:pPr>
            <w:r w:rsidRPr="004A4A3A">
              <w:rPr>
                <w:rFonts w:ascii="Calibri" w:eastAsia="Times New Roman" w:hAnsi="Calibri" w:cs="Calibri"/>
                <w:b/>
                <w:bCs/>
                <w:color w:val="000000"/>
                <w:sz w:val="22"/>
                <w:szCs w:val="22"/>
              </w:rPr>
              <w:t>£22,500</w:t>
            </w:r>
          </w:p>
        </w:tc>
      </w:tr>
    </w:tbl>
    <w:p w:rsidR="00AB7C6D" w:rsidRDefault="00AB7C6D" w:rsidP="00AB7C6D"/>
    <w:p w:rsidR="00AB7C6D" w:rsidRDefault="00AB7C6D" w:rsidP="00AB7C6D">
      <w:r>
        <w:t xml:space="preserve">Therefore, company will earn </w:t>
      </w:r>
      <w:r>
        <w:rPr>
          <w:rFonts w:ascii="Calibri" w:hAnsi="Calibri" w:cs="Calibri"/>
        </w:rPr>
        <w:t>£</w:t>
      </w:r>
      <w:r>
        <w:t>22,500 profit by selling 90,000 units.</w:t>
      </w:r>
    </w:p>
    <w:p w:rsidR="00AB7C6D" w:rsidRDefault="00AB7C6D" w:rsidP="00AB7C6D">
      <w:pPr>
        <w:pStyle w:val="Heading2"/>
      </w:pPr>
      <w:r>
        <w:t>c. New profit figure</w:t>
      </w:r>
    </w:p>
    <w:tbl>
      <w:tblPr>
        <w:tblW w:w="7240" w:type="dxa"/>
        <w:tblInd w:w="96" w:type="dxa"/>
        <w:tblLook w:val="04A0" w:firstRow="1" w:lastRow="0" w:firstColumn="1" w:lastColumn="0" w:noHBand="0" w:noVBand="1"/>
      </w:tblPr>
      <w:tblGrid>
        <w:gridCol w:w="2180"/>
        <w:gridCol w:w="2020"/>
        <w:gridCol w:w="960"/>
        <w:gridCol w:w="1052"/>
        <w:gridCol w:w="1052"/>
      </w:tblGrid>
      <w:tr w:rsidR="00AB7C6D" w:rsidRPr="00D931B7" w:rsidTr="00F17BB2">
        <w:trPr>
          <w:trHeight w:val="288"/>
        </w:trPr>
        <w:tc>
          <w:tcPr>
            <w:tcW w:w="21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color w:val="000000"/>
                <w:sz w:val="22"/>
                <w:szCs w:val="22"/>
              </w:rPr>
            </w:pPr>
            <w:r w:rsidRPr="00D931B7">
              <w:rPr>
                <w:rFonts w:ascii="Calibri" w:eastAsia="Times New Roman" w:hAnsi="Calibri" w:cs="Calibri"/>
                <w:color w:val="000000"/>
                <w:sz w:val="22"/>
                <w:szCs w:val="22"/>
              </w:rPr>
              <w:t> </w:t>
            </w:r>
          </w:p>
        </w:tc>
        <w:tc>
          <w:tcPr>
            <w:tcW w:w="2020" w:type="dxa"/>
            <w:tcBorders>
              <w:top w:val="single" w:sz="4" w:space="0" w:color="auto"/>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b/>
                <w:bCs/>
                <w:color w:val="000000"/>
                <w:sz w:val="22"/>
                <w:szCs w:val="22"/>
              </w:rPr>
            </w:pPr>
            <w:r w:rsidRPr="00D931B7">
              <w:rPr>
                <w:rFonts w:ascii="Calibri" w:eastAsia="Times New Roman" w:hAnsi="Calibri" w:cs="Calibri"/>
                <w:b/>
                <w:bCs/>
                <w:color w:val="000000"/>
                <w:sz w:val="22"/>
                <w:szCs w:val="22"/>
              </w:rPr>
              <w:t>Amount per unit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b/>
                <w:bCs/>
                <w:color w:val="000000"/>
                <w:sz w:val="22"/>
                <w:szCs w:val="22"/>
              </w:rPr>
            </w:pPr>
            <w:r w:rsidRPr="00D931B7">
              <w:rPr>
                <w:rFonts w:ascii="Calibri" w:eastAsia="Times New Roman" w:hAnsi="Calibri" w:cs="Calibri"/>
                <w:b/>
                <w:bCs/>
                <w:color w:val="000000"/>
                <w:sz w:val="22"/>
                <w:szCs w:val="22"/>
              </w:rPr>
              <w:t>Units</w:t>
            </w:r>
          </w:p>
        </w:tc>
        <w:tc>
          <w:tcPr>
            <w:tcW w:w="1040" w:type="dxa"/>
            <w:tcBorders>
              <w:top w:val="single" w:sz="4" w:space="0" w:color="auto"/>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b/>
                <w:bCs/>
                <w:color w:val="000000"/>
                <w:sz w:val="22"/>
                <w:szCs w:val="22"/>
              </w:rPr>
            </w:pPr>
            <w:r w:rsidRPr="00D931B7">
              <w:rPr>
                <w:rFonts w:ascii="Calibri" w:eastAsia="Times New Roman" w:hAnsi="Calibri" w:cs="Calibri"/>
                <w:b/>
                <w:bCs/>
                <w:color w:val="000000"/>
                <w:sz w:val="22"/>
                <w:szCs w:val="22"/>
              </w:rPr>
              <w:t>Total (£)</w:t>
            </w:r>
          </w:p>
        </w:tc>
        <w:tc>
          <w:tcPr>
            <w:tcW w:w="1040" w:type="dxa"/>
            <w:tcBorders>
              <w:top w:val="single" w:sz="4" w:space="0" w:color="auto"/>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b/>
                <w:bCs/>
                <w:color w:val="000000"/>
                <w:sz w:val="22"/>
                <w:szCs w:val="22"/>
              </w:rPr>
            </w:pPr>
            <w:r w:rsidRPr="00D931B7">
              <w:rPr>
                <w:rFonts w:ascii="Calibri" w:eastAsia="Times New Roman" w:hAnsi="Calibri" w:cs="Calibri"/>
                <w:b/>
                <w:bCs/>
                <w:color w:val="000000"/>
                <w:sz w:val="22"/>
                <w:szCs w:val="22"/>
              </w:rPr>
              <w:t>Total (£)</w:t>
            </w:r>
          </w:p>
        </w:tc>
      </w:tr>
      <w:tr w:rsidR="00AB7C6D" w:rsidRPr="00D931B7" w:rsidTr="00F17BB2">
        <w:trPr>
          <w:trHeight w:val="288"/>
        </w:trPr>
        <w:tc>
          <w:tcPr>
            <w:tcW w:w="2180" w:type="dxa"/>
            <w:tcBorders>
              <w:top w:val="nil"/>
              <w:left w:val="single" w:sz="4" w:space="0" w:color="auto"/>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color w:val="000000"/>
                <w:sz w:val="22"/>
                <w:szCs w:val="22"/>
              </w:rPr>
            </w:pPr>
            <w:r w:rsidRPr="00D931B7">
              <w:rPr>
                <w:rFonts w:ascii="Calibri" w:eastAsia="Times New Roman" w:hAnsi="Calibri" w:cs="Calibri"/>
                <w:color w:val="000000"/>
                <w:sz w:val="22"/>
                <w:szCs w:val="22"/>
              </w:rPr>
              <w:t>Selling price</w:t>
            </w:r>
          </w:p>
        </w:tc>
        <w:tc>
          <w:tcPr>
            <w:tcW w:w="202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right"/>
              <w:rPr>
                <w:rFonts w:ascii="Calibri" w:eastAsia="Times New Roman" w:hAnsi="Calibri" w:cs="Calibri"/>
                <w:color w:val="000000"/>
                <w:sz w:val="22"/>
                <w:szCs w:val="22"/>
              </w:rPr>
            </w:pPr>
            <w:r w:rsidRPr="00D931B7">
              <w:rPr>
                <w:rFonts w:ascii="Calibri" w:eastAsia="Times New Roman" w:hAnsi="Calibri" w:cs="Calibri"/>
                <w:color w:val="000000"/>
                <w:sz w:val="22"/>
                <w:szCs w:val="22"/>
              </w:rPr>
              <w:t>£6.00</w:t>
            </w:r>
          </w:p>
        </w:tc>
        <w:tc>
          <w:tcPr>
            <w:tcW w:w="96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right"/>
              <w:rPr>
                <w:rFonts w:ascii="Calibri" w:eastAsia="Times New Roman" w:hAnsi="Calibri" w:cs="Calibri"/>
                <w:color w:val="000000"/>
                <w:sz w:val="22"/>
                <w:szCs w:val="22"/>
              </w:rPr>
            </w:pPr>
            <w:r w:rsidRPr="00D931B7">
              <w:rPr>
                <w:rFonts w:ascii="Calibri" w:eastAsia="Times New Roman" w:hAnsi="Calibri" w:cs="Calibri"/>
                <w:color w:val="000000"/>
                <w:sz w:val="22"/>
                <w:szCs w:val="22"/>
              </w:rPr>
              <w:t>94,500</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color w:val="000000"/>
                <w:sz w:val="22"/>
                <w:szCs w:val="22"/>
              </w:rPr>
            </w:pPr>
            <w:r w:rsidRPr="00D931B7">
              <w:rPr>
                <w:rFonts w:ascii="Calibri" w:eastAsia="Times New Roman" w:hAnsi="Calibri" w:cs="Calibri"/>
                <w:color w:val="000000"/>
                <w:sz w:val="22"/>
                <w:szCs w:val="22"/>
              </w:rPr>
              <w:t> </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right"/>
              <w:rPr>
                <w:rFonts w:ascii="Calibri" w:eastAsia="Times New Roman" w:hAnsi="Calibri" w:cs="Calibri"/>
                <w:color w:val="000000"/>
                <w:sz w:val="22"/>
                <w:szCs w:val="22"/>
              </w:rPr>
            </w:pPr>
            <w:r w:rsidRPr="00D931B7">
              <w:rPr>
                <w:rFonts w:ascii="Calibri" w:eastAsia="Times New Roman" w:hAnsi="Calibri" w:cs="Calibri"/>
                <w:color w:val="000000"/>
                <w:sz w:val="22"/>
                <w:szCs w:val="22"/>
              </w:rPr>
              <w:t>£567,000</w:t>
            </w:r>
          </w:p>
        </w:tc>
      </w:tr>
      <w:tr w:rsidR="00AB7C6D" w:rsidRPr="00D931B7" w:rsidTr="00F17BB2">
        <w:trPr>
          <w:trHeight w:val="288"/>
        </w:trPr>
        <w:tc>
          <w:tcPr>
            <w:tcW w:w="2180" w:type="dxa"/>
            <w:tcBorders>
              <w:top w:val="nil"/>
              <w:left w:val="single" w:sz="4" w:space="0" w:color="auto"/>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color w:val="000000"/>
                <w:sz w:val="22"/>
                <w:szCs w:val="22"/>
              </w:rPr>
            </w:pPr>
            <w:r w:rsidRPr="00D931B7">
              <w:rPr>
                <w:rFonts w:ascii="Calibri" w:eastAsia="Times New Roman" w:hAnsi="Calibri" w:cs="Calibri"/>
                <w:color w:val="000000"/>
                <w:sz w:val="22"/>
                <w:szCs w:val="22"/>
              </w:rPr>
              <w:t>Less: COGS</w:t>
            </w:r>
          </w:p>
        </w:tc>
        <w:tc>
          <w:tcPr>
            <w:tcW w:w="202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color w:val="000000"/>
                <w:sz w:val="22"/>
                <w:szCs w:val="22"/>
              </w:rPr>
            </w:pPr>
            <w:r w:rsidRPr="00D931B7">
              <w:rPr>
                <w:rFonts w:ascii="Calibri" w:eastAsia="Times New Roman" w:hAnsi="Calibri" w:cs="Calibri"/>
                <w:color w:val="000000"/>
                <w:sz w:val="22"/>
                <w:szCs w:val="22"/>
              </w:rPr>
              <w:t> </w:t>
            </w:r>
          </w:p>
        </w:tc>
        <w:tc>
          <w:tcPr>
            <w:tcW w:w="96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color w:val="000000"/>
                <w:sz w:val="22"/>
                <w:szCs w:val="22"/>
              </w:rPr>
            </w:pPr>
            <w:r w:rsidRPr="00D931B7">
              <w:rPr>
                <w:rFonts w:ascii="Calibri" w:eastAsia="Times New Roman" w:hAnsi="Calibri" w:cs="Calibri"/>
                <w:color w:val="000000"/>
                <w:sz w:val="22"/>
                <w:szCs w:val="22"/>
              </w:rPr>
              <w:t> </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color w:val="000000"/>
                <w:sz w:val="22"/>
                <w:szCs w:val="22"/>
              </w:rPr>
            </w:pPr>
            <w:r w:rsidRPr="00D931B7">
              <w:rPr>
                <w:rFonts w:ascii="Calibri" w:eastAsia="Times New Roman" w:hAnsi="Calibri" w:cs="Calibri"/>
                <w:color w:val="000000"/>
                <w:sz w:val="22"/>
                <w:szCs w:val="22"/>
              </w:rPr>
              <w:t> </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color w:val="000000"/>
                <w:sz w:val="22"/>
                <w:szCs w:val="22"/>
              </w:rPr>
            </w:pPr>
            <w:r w:rsidRPr="00D931B7">
              <w:rPr>
                <w:rFonts w:ascii="Calibri" w:eastAsia="Times New Roman" w:hAnsi="Calibri" w:cs="Calibri"/>
                <w:color w:val="000000"/>
                <w:sz w:val="22"/>
                <w:szCs w:val="22"/>
              </w:rPr>
              <w:t> </w:t>
            </w:r>
          </w:p>
        </w:tc>
      </w:tr>
      <w:tr w:rsidR="00AB7C6D" w:rsidRPr="00D931B7" w:rsidTr="00F17BB2">
        <w:trPr>
          <w:trHeight w:val="288"/>
        </w:trPr>
        <w:tc>
          <w:tcPr>
            <w:tcW w:w="2180" w:type="dxa"/>
            <w:tcBorders>
              <w:top w:val="nil"/>
              <w:left w:val="single" w:sz="4" w:space="0" w:color="auto"/>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color w:val="000000"/>
                <w:sz w:val="22"/>
                <w:szCs w:val="22"/>
              </w:rPr>
            </w:pPr>
            <w:r w:rsidRPr="00D931B7">
              <w:rPr>
                <w:rFonts w:ascii="Calibri" w:eastAsia="Times New Roman" w:hAnsi="Calibri" w:cs="Calibri"/>
                <w:color w:val="000000"/>
                <w:sz w:val="22"/>
                <w:szCs w:val="22"/>
              </w:rPr>
              <w:t>Direct labor</w:t>
            </w:r>
          </w:p>
        </w:tc>
        <w:tc>
          <w:tcPr>
            <w:tcW w:w="202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right"/>
              <w:rPr>
                <w:rFonts w:ascii="Calibri" w:eastAsia="Times New Roman" w:hAnsi="Calibri" w:cs="Calibri"/>
                <w:color w:val="000000"/>
                <w:sz w:val="22"/>
                <w:szCs w:val="22"/>
              </w:rPr>
            </w:pPr>
            <w:r w:rsidRPr="00D931B7">
              <w:rPr>
                <w:rFonts w:ascii="Calibri" w:eastAsia="Times New Roman" w:hAnsi="Calibri" w:cs="Calibri"/>
                <w:color w:val="000000"/>
                <w:sz w:val="22"/>
                <w:szCs w:val="22"/>
              </w:rPr>
              <w:t>£1.40</w:t>
            </w:r>
          </w:p>
        </w:tc>
        <w:tc>
          <w:tcPr>
            <w:tcW w:w="96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right"/>
              <w:rPr>
                <w:rFonts w:ascii="Calibri" w:eastAsia="Times New Roman" w:hAnsi="Calibri" w:cs="Calibri"/>
                <w:color w:val="000000"/>
                <w:sz w:val="22"/>
                <w:szCs w:val="22"/>
              </w:rPr>
            </w:pPr>
            <w:r w:rsidRPr="00D931B7">
              <w:rPr>
                <w:rFonts w:ascii="Calibri" w:eastAsia="Times New Roman" w:hAnsi="Calibri" w:cs="Calibri"/>
                <w:color w:val="000000"/>
                <w:sz w:val="22"/>
                <w:szCs w:val="22"/>
              </w:rPr>
              <w:t>94,500</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right"/>
              <w:rPr>
                <w:rFonts w:ascii="Calibri" w:eastAsia="Times New Roman" w:hAnsi="Calibri" w:cs="Calibri"/>
                <w:color w:val="000000"/>
                <w:sz w:val="22"/>
                <w:szCs w:val="22"/>
              </w:rPr>
            </w:pPr>
            <w:r w:rsidRPr="00D931B7">
              <w:rPr>
                <w:rFonts w:ascii="Calibri" w:eastAsia="Times New Roman" w:hAnsi="Calibri" w:cs="Calibri"/>
                <w:color w:val="000000"/>
                <w:sz w:val="22"/>
                <w:szCs w:val="22"/>
              </w:rPr>
              <w:t>£132,300</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color w:val="000000"/>
                <w:sz w:val="22"/>
                <w:szCs w:val="22"/>
              </w:rPr>
            </w:pPr>
            <w:r w:rsidRPr="00D931B7">
              <w:rPr>
                <w:rFonts w:ascii="Calibri" w:eastAsia="Times New Roman" w:hAnsi="Calibri" w:cs="Calibri"/>
                <w:color w:val="000000"/>
                <w:sz w:val="22"/>
                <w:szCs w:val="22"/>
              </w:rPr>
              <w:t> </w:t>
            </w:r>
          </w:p>
        </w:tc>
      </w:tr>
      <w:tr w:rsidR="00AB7C6D" w:rsidRPr="00D931B7" w:rsidTr="00F17BB2">
        <w:trPr>
          <w:trHeight w:val="288"/>
        </w:trPr>
        <w:tc>
          <w:tcPr>
            <w:tcW w:w="2180" w:type="dxa"/>
            <w:tcBorders>
              <w:top w:val="nil"/>
              <w:left w:val="single" w:sz="4" w:space="0" w:color="auto"/>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color w:val="000000"/>
                <w:sz w:val="22"/>
                <w:szCs w:val="22"/>
              </w:rPr>
            </w:pPr>
            <w:r w:rsidRPr="00D931B7">
              <w:rPr>
                <w:rFonts w:ascii="Calibri" w:eastAsia="Times New Roman" w:hAnsi="Calibri" w:cs="Calibri"/>
                <w:color w:val="000000"/>
                <w:sz w:val="22"/>
                <w:szCs w:val="22"/>
              </w:rPr>
              <w:t>Direct Materials</w:t>
            </w:r>
          </w:p>
        </w:tc>
        <w:tc>
          <w:tcPr>
            <w:tcW w:w="202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right"/>
              <w:rPr>
                <w:rFonts w:ascii="Calibri" w:eastAsia="Times New Roman" w:hAnsi="Calibri" w:cs="Calibri"/>
                <w:color w:val="000000"/>
                <w:sz w:val="22"/>
                <w:szCs w:val="22"/>
              </w:rPr>
            </w:pPr>
            <w:r w:rsidRPr="00D931B7">
              <w:rPr>
                <w:rFonts w:ascii="Calibri" w:eastAsia="Times New Roman" w:hAnsi="Calibri" w:cs="Calibri"/>
                <w:color w:val="000000"/>
                <w:sz w:val="22"/>
                <w:szCs w:val="22"/>
              </w:rPr>
              <w:t>£1.90</w:t>
            </w:r>
          </w:p>
        </w:tc>
        <w:tc>
          <w:tcPr>
            <w:tcW w:w="96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right"/>
              <w:rPr>
                <w:rFonts w:ascii="Calibri" w:eastAsia="Times New Roman" w:hAnsi="Calibri" w:cs="Calibri"/>
                <w:color w:val="000000"/>
                <w:sz w:val="22"/>
                <w:szCs w:val="22"/>
              </w:rPr>
            </w:pPr>
            <w:r w:rsidRPr="00D931B7">
              <w:rPr>
                <w:rFonts w:ascii="Calibri" w:eastAsia="Times New Roman" w:hAnsi="Calibri" w:cs="Calibri"/>
                <w:color w:val="000000"/>
                <w:sz w:val="22"/>
                <w:szCs w:val="22"/>
              </w:rPr>
              <w:t>94,500</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right"/>
              <w:rPr>
                <w:rFonts w:ascii="Calibri" w:eastAsia="Times New Roman" w:hAnsi="Calibri" w:cs="Calibri"/>
                <w:color w:val="000000"/>
                <w:sz w:val="22"/>
                <w:szCs w:val="22"/>
              </w:rPr>
            </w:pPr>
            <w:r w:rsidRPr="00D931B7">
              <w:rPr>
                <w:rFonts w:ascii="Calibri" w:eastAsia="Times New Roman" w:hAnsi="Calibri" w:cs="Calibri"/>
                <w:color w:val="000000"/>
                <w:sz w:val="22"/>
                <w:szCs w:val="22"/>
              </w:rPr>
              <w:t>£179,550</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color w:val="000000"/>
                <w:sz w:val="22"/>
                <w:szCs w:val="22"/>
              </w:rPr>
            </w:pPr>
            <w:r w:rsidRPr="00D931B7">
              <w:rPr>
                <w:rFonts w:ascii="Calibri" w:eastAsia="Times New Roman" w:hAnsi="Calibri" w:cs="Calibri"/>
                <w:color w:val="000000"/>
                <w:sz w:val="22"/>
                <w:szCs w:val="22"/>
              </w:rPr>
              <w:t> </w:t>
            </w:r>
          </w:p>
        </w:tc>
      </w:tr>
      <w:tr w:rsidR="00AB7C6D" w:rsidRPr="00D931B7" w:rsidTr="00F17BB2">
        <w:trPr>
          <w:trHeight w:val="288"/>
        </w:trPr>
        <w:tc>
          <w:tcPr>
            <w:tcW w:w="2180" w:type="dxa"/>
            <w:tcBorders>
              <w:top w:val="nil"/>
              <w:left w:val="single" w:sz="4" w:space="0" w:color="auto"/>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color w:val="000000"/>
                <w:sz w:val="22"/>
                <w:szCs w:val="22"/>
              </w:rPr>
            </w:pPr>
            <w:r w:rsidRPr="00D931B7">
              <w:rPr>
                <w:rFonts w:ascii="Calibri" w:eastAsia="Times New Roman" w:hAnsi="Calibri" w:cs="Calibri"/>
                <w:color w:val="000000"/>
                <w:sz w:val="22"/>
                <w:szCs w:val="22"/>
              </w:rPr>
              <w:t>Other direct costs</w:t>
            </w:r>
          </w:p>
        </w:tc>
        <w:tc>
          <w:tcPr>
            <w:tcW w:w="202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right"/>
              <w:rPr>
                <w:rFonts w:ascii="Calibri" w:eastAsia="Times New Roman" w:hAnsi="Calibri" w:cs="Calibri"/>
                <w:color w:val="000000"/>
                <w:sz w:val="22"/>
                <w:szCs w:val="22"/>
              </w:rPr>
            </w:pPr>
            <w:r w:rsidRPr="00D931B7">
              <w:rPr>
                <w:rFonts w:ascii="Calibri" w:eastAsia="Times New Roman" w:hAnsi="Calibri" w:cs="Calibri"/>
                <w:color w:val="000000"/>
                <w:sz w:val="22"/>
                <w:szCs w:val="22"/>
              </w:rPr>
              <w:t>£0.40</w:t>
            </w:r>
          </w:p>
        </w:tc>
        <w:tc>
          <w:tcPr>
            <w:tcW w:w="96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right"/>
              <w:rPr>
                <w:rFonts w:ascii="Calibri" w:eastAsia="Times New Roman" w:hAnsi="Calibri" w:cs="Calibri"/>
                <w:color w:val="000000"/>
                <w:sz w:val="22"/>
                <w:szCs w:val="22"/>
              </w:rPr>
            </w:pPr>
            <w:r w:rsidRPr="00D931B7">
              <w:rPr>
                <w:rFonts w:ascii="Calibri" w:eastAsia="Times New Roman" w:hAnsi="Calibri" w:cs="Calibri"/>
                <w:color w:val="000000"/>
                <w:sz w:val="22"/>
                <w:szCs w:val="22"/>
              </w:rPr>
              <w:t>94,500</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right"/>
              <w:rPr>
                <w:rFonts w:ascii="Calibri" w:eastAsia="Times New Roman" w:hAnsi="Calibri" w:cs="Calibri"/>
                <w:color w:val="000000"/>
                <w:sz w:val="22"/>
                <w:szCs w:val="22"/>
              </w:rPr>
            </w:pPr>
            <w:r w:rsidRPr="00D931B7">
              <w:rPr>
                <w:rFonts w:ascii="Calibri" w:eastAsia="Times New Roman" w:hAnsi="Calibri" w:cs="Calibri"/>
                <w:color w:val="000000"/>
                <w:sz w:val="22"/>
                <w:szCs w:val="22"/>
              </w:rPr>
              <w:t>£37,800</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right"/>
              <w:rPr>
                <w:rFonts w:ascii="Calibri" w:eastAsia="Times New Roman" w:hAnsi="Calibri" w:cs="Calibri"/>
                <w:color w:val="000000"/>
                <w:sz w:val="22"/>
                <w:szCs w:val="22"/>
              </w:rPr>
            </w:pPr>
            <w:r w:rsidRPr="00D931B7">
              <w:rPr>
                <w:rFonts w:ascii="Calibri" w:eastAsia="Times New Roman" w:hAnsi="Calibri" w:cs="Calibri"/>
                <w:color w:val="000000"/>
                <w:sz w:val="22"/>
                <w:szCs w:val="22"/>
              </w:rPr>
              <w:t>£349,650</w:t>
            </w:r>
          </w:p>
        </w:tc>
      </w:tr>
      <w:tr w:rsidR="00AB7C6D" w:rsidRPr="00D931B7" w:rsidTr="00F17BB2">
        <w:trPr>
          <w:trHeight w:val="288"/>
        </w:trPr>
        <w:tc>
          <w:tcPr>
            <w:tcW w:w="2180" w:type="dxa"/>
            <w:tcBorders>
              <w:top w:val="nil"/>
              <w:left w:val="single" w:sz="4" w:space="0" w:color="auto"/>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color w:val="000000"/>
                <w:sz w:val="22"/>
                <w:szCs w:val="22"/>
              </w:rPr>
            </w:pPr>
            <w:r w:rsidRPr="00D931B7">
              <w:rPr>
                <w:rFonts w:ascii="Calibri" w:eastAsia="Times New Roman" w:hAnsi="Calibri" w:cs="Calibri"/>
                <w:color w:val="000000"/>
                <w:sz w:val="22"/>
                <w:szCs w:val="22"/>
              </w:rPr>
              <w:t>Contribution</w:t>
            </w:r>
          </w:p>
        </w:tc>
        <w:tc>
          <w:tcPr>
            <w:tcW w:w="202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color w:val="000000"/>
                <w:sz w:val="22"/>
                <w:szCs w:val="22"/>
              </w:rPr>
            </w:pPr>
            <w:r w:rsidRPr="00D931B7">
              <w:rPr>
                <w:rFonts w:ascii="Calibri" w:eastAsia="Times New Roman" w:hAnsi="Calibri" w:cs="Calibri"/>
                <w:color w:val="000000"/>
                <w:sz w:val="22"/>
                <w:szCs w:val="22"/>
              </w:rPr>
              <w:t> </w:t>
            </w:r>
          </w:p>
        </w:tc>
        <w:tc>
          <w:tcPr>
            <w:tcW w:w="96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color w:val="000000"/>
                <w:sz w:val="22"/>
                <w:szCs w:val="22"/>
              </w:rPr>
            </w:pPr>
            <w:r w:rsidRPr="00D931B7">
              <w:rPr>
                <w:rFonts w:ascii="Calibri" w:eastAsia="Times New Roman" w:hAnsi="Calibri" w:cs="Calibri"/>
                <w:color w:val="000000"/>
                <w:sz w:val="22"/>
                <w:szCs w:val="22"/>
              </w:rPr>
              <w:t> </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color w:val="000000"/>
                <w:sz w:val="22"/>
                <w:szCs w:val="22"/>
              </w:rPr>
            </w:pPr>
            <w:r w:rsidRPr="00D931B7">
              <w:rPr>
                <w:rFonts w:ascii="Calibri" w:eastAsia="Times New Roman" w:hAnsi="Calibri" w:cs="Calibri"/>
                <w:color w:val="000000"/>
                <w:sz w:val="22"/>
                <w:szCs w:val="22"/>
              </w:rPr>
              <w:t> </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right"/>
              <w:rPr>
                <w:rFonts w:ascii="Calibri" w:eastAsia="Times New Roman" w:hAnsi="Calibri" w:cs="Calibri"/>
                <w:color w:val="000000"/>
                <w:sz w:val="22"/>
                <w:szCs w:val="22"/>
              </w:rPr>
            </w:pPr>
            <w:r w:rsidRPr="00D931B7">
              <w:rPr>
                <w:rFonts w:ascii="Calibri" w:eastAsia="Times New Roman" w:hAnsi="Calibri" w:cs="Calibri"/>
                <w:color w:val="000000"/>
                <w:sz w:val="22"/>
                <w:szCs w:val="22"/>
              </w:rPr>
              <w:t>£217,350</w:t>
            </w:r>
          </w:p>
        </w:tc>
      </w:tr>
      <w:tr w:rsidR="00AB7C6D" w:rsidRPr="00D931B7" w:rsidTr="00F17BB2">
        <w:trPr>
          <w:trHeight w:val="288"/>
        </w:trPr>
        <w:tc>
          <w:tcPr>
            <w:tcW w:w="2180" w:type="dxa"/>
            <w:tcBorders>
              <w:top w:val="nil"/>
              <w:left w:val="single" w:sz="4" w:space="0" w:color="auto"/>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color w:val="000000"/>
                <w:sz w:val="22"/>
                <w:szCs w:val="22"/>
              </w:rPr>
            </w:pPr>
            <w:r w:rsidRPr="00D931B7">
              <w:rPr>
                <w:rFonts w:ascii="Calibri" w:eastAsia="Times New Roman" w:hAnsi="Calibri" w:cs="Calibri"/>
                <w:color w:val="000000"/>
                <w:sz w:val="22"/>
                <w:szCs w:val="22"/>
              </w:rPr>
              <w:t>Less: Periodic cost</w:t>
            </w:r>
          </w:p>
        </w:tc>
        <w:tc>
          <w:tcPr>
            <w:tcW w:w="202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color w:val="000000"/>
                <w:sz w:val="22"/>
                <w:szCs w:val="22"/>
              </w:rPr>
            </w:pPr>
            <w:r w:rsidRPr="00D931B7">
              <w:rPr>
                <w:rFonts w:ascii="Calibri" w:eastAsia="Times New Roman" w:hAnsi="Calibri" w:cs="Calibri"/>
                <w:color w:val="000000"/>
                <w:sz w:val="22"/>
                <w:szCs w:val="22"/>
              </w:rPr>
              <w:t> </w:t>
            </w:r>
          </w:p>
        </w:tc>
        <w:tc>
          <w:tcPr>
            <w:tcW w:w="96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color w:val="000000"/>
                <w:sz w:val="22"/>
                <w:szCs w:val="22"/>
              </w:rPr>
            </w:pPr>
            <w:r w:rsidRPr="00D931B7">
              <w:rPr>
                <w:rFonts w:ascii="Calibri" w:eastAsia="Times New Roman" w:hAnsi="Calibri" w:cs="Calibri"/>
                <w:color w:val="000000"/>
                <w:sz w:val="22"/>
                <w:szCs w:val="22"/>
              </w:rPr>
              <w:t> </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color w:val="000000"/>
                <w:sz w:val="22"/>
                <w:szCs w:val="22"/>
              </w:rPr>
            </w:pPr>
            <w:r w:rsidRPr="00D931B7">
              <w:rPr>
                <w:rFonts w:ascii="Calibri" w:eastAsia="Times New Roman" w:hAnsi="Calibri" w:cs="Calibri"/>
                <w:color w:val="000000"/>
                <w:sz w:val="22"/>
                <w:szCs w:val="22"/>
              </w:rPr>
              <w:t> </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color w:val="000000"/>
                <w:sz w:val="22"/>
                <w:szCs w:val="22"/>
              </w:rPr>
            </w:pPr>
            <w:r w:rsidRPr="00D931B7">
              <w:rPr>
                <w:rFonts w:ascii="Calibri" w:eastAsia="Times New Roman" w:hAnsi="Calibri" w:cs="Calibri"/>
                <w:color w:val="000000"/>
                <w:sz w:val="22"/>
                <w:szCs w:val="22"/>
              </w:rPr>
              <w:t> </w:t>
            </w:r>
          </w:p>
        </w:tc>
      </w:tr>
      <w:tr w:rsidR="00AB7C6D" w:rsidRPr="00D931B7" w:rsidTr="00F17BB2">
        <w:trPr>
          <w:trHeight w:val="288"/>
        </w:trPr>
        <w:tc>
          <w:tcPr>
            <w:tcW w:w="2180" w:type="dxa"/>
            <w:tcBorders>
              <w:top w:val="nil"/>
              <w:left w:val="single" w:sz="4" w:space="0" w:color="auto"/>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color w:val="000000"/>
                <w:sz w:val="22"/>
                <w:szCs w:val="22"/>
              </w:rPr>
            </w:pPr>
            <w:r w:rsidRPr="00D931B7">
              <w:rPr>
                <w:rFonts w:ascii="Calibri" w:eastAsia="Times New Roman" w:hAnsi="Calibri" w:cs="Calibri"/>
                <w:color w:val="000000"/>
                <w:sz w:val="22"/>
                <w:szCs w:val="22"/>
              </w:rPr>
              <w:t>Advertising campaign</w:t>
            </w:r>
          </w:p>
        </w:tc>
        <w:tc>
          <w:tcPr>
            <w:tcW w:w="202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color w:val="000000"/>
                <w:sz w:val="22"/>
                <w:szCs w:val="22"/>
              </w:rPr>
            </w:pPr>
            <w:r w:rsidRPr="00D931B7">
              <w:rPr>
                <w:rFonts w:ascii="Calibri" w:eastAsia="Times New Roman" w:hAnsi="Calibri" w:cs="Calibri"/>
                <w:color w:val="000000"/>
                <w:sz w:val="22"/>
                <w:szCs w:val="22"/>
              </w:rPr>
              <w:t> </w:t>
            </w:r>
          </w:p>
        </w:tc>
        <w:tc>
          <w:tcPr>
            <w:tcW w:w="96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color w:val="000000"/>
                <w:sz w:val="22"/>
                <w:szCs w:val="22"/>
              </w:rPr>
            </w:pPr>
            <w:r w:rsidRPr="00D931B7">
              <w:rPr>
                <w:rFonts w:ascii="Calibri" w:eastAsia="Times New Roman" w:hAnsi="Calibri" w:cs="Calibri"/>
                <w:color w:val="000000"/>
                <w:sz w:val="22"/>
                <w:szCs w:val="22"/>
              </w:rPr>
              <w:t> </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right"/>
              <w:rPr>
                <w:rFonts w:ascii="Calibri" w:eastAsia="Times New Roman" w:hAnsi="Calibri" w:cs="Calibri"/>
                <w:color w:val="000000"/>
                <w:sz w:val="22"/>
                <w:szCs w:val="22"/>
              </w:rPr>
            </w:pPr>
            <w:r w:rsidRPr="00D931B7">
              <w:rPr>
                <w:rFonts w:ascii="Calibri" w:eastAsia="Times New Roman" w:hAnsi="Calibri" w:cs="Calibri"/>
                <w:color w:val="000000"/>
                <w:sz w:val="22"/>
                <w:szCs w:val="22"/>
              </w:rPr>
              <w:t>£12,500</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color w:val="000000"/>
                <w:sz w:val="22"/>
                <w:szCs w:val="22"/>
              </w:rPr>
            </w:pPr>
            <w:r w:rsidRPr="00D931B7">
              <w:rPr>
                <w:rFonts w:ascii="Calibri" w:eastAsia="Times New Roman" w:hAnsi="Calibri" w:cs="Calibri"/>
                <w:color w:val="000000"/>
                <w:sz w:val="22"/>
                <w:szCs w:val="22"/>
              </w:rPr>
              <w:t> </w:t>
            </w:r>
          </w:p>
        </w:tc>
      </w:tr>
      <w:tr w:rsidR="00AB7C6D" w:rsidRPr="00D931B7" w:rsidTr="00F17BB2">
        <w:trPr>
          <w:trHeight w:val="288"/>
        </w:trPr>
        <w:tc>
          <w:tcPr>
            <w:tcW w:w="2180" w:type="dxa"/>
            <w:tcBorders>
              <w:top w:val="nil"/>
              <w:left w:val="single" w:sz="4" w:space="0" w:color="auto"/>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color w:val="000000"/>
                <w:sz w:val="22"/>
                <w:szCs w:val="22"/>
              </w:rPr>
            </w:pPr>
            <w:r w:rsidRPr="00D931B7">
              <w:rPr>
                <w:rFonts w:ascii="Calibri" w:eastAsia="Times New Roman" w:hAnsi="Calibri" w:cs="Calibri"/>
                <w:color w:val="000000"/>
                <w:sz w:val="22"/>
                <w:szCs w:val="22"/>
              </w:rPr>
              <w:t>Fixed cost</w:t>
            </w:r>
          </w:p>
        </w:tc>
        <w:tc>
          <w:tcPr>
            <w:tcW w:w="202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color w:val="000000"/>
                <w:sz w:val="22"/>
                <w:szCs w:val="22"/>
              </w:rPr>
            </w:pPr>
            <w:r w:rsidRPr="00D931B7">
              <w:rPr>
                <w:rFonts w:ascii="Calibri" w:eastAsia="Times New Roman" w:hAnsi="Calibri" w:cs="Calibri"/>
                <w:color w:val="000000"/>
                <w:sz w:val="22"/>
                <w:szCs w:val="22"/>
              </w:rPr>
              <w:t> </w:t>
            </w:r>
          </w:p>
        </w:tc>
        <w:tc>
          <w:tcPr>
            <w:tcW w:w="96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color w:val="000000"/>
                <w:sz w:val="22"/>
                <w:szCs w:val="22"/>
              </w:rPr>
            </w:pPr>
            <w:r w:rsidRPr="00D931B7">
              <w:rPr>
                <w:rFonts w:ascii="Calibri" w:eastAsia="Times New Roman" w:hAnsi="Calibri" w:cs="Calibri"/>
                <w:color w:val="000000"/>
                <w:sz w:val="22"/>
                <w:szCs w:val="22"/>
              </w:rPr>
              <w:t> </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right"/>
              <w:rPr>
                <w:rFonts w:ascii="Calibri" w:eastAsia="Times New Roman" w:hAnsi="Calibri" w:cs="Calibri"/>
                <w:color w:val="000000"/>
                <w:sz w:val="22"/>
                <w:szCs w:val="22"/>
              </w:rPr>
            </w:pPr>
            <w:r w:rsidRPr="00D931B7">
              <w:rPr>
                <w:rFonts w:ascii="Calibri" w:eastAsia="Times New Roman" w:hAnsi="Calibri" w:cs="Calibri"/>
                <w:color w:val="000000"/>
                <w:sz w:val="22"/>
                <w:szCs w:val="22"/>
              </w:rPr>
              <w:t>£180,000</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right"/>
              <w:rPr>
                <w:rFonts w:ascii="Calibri" w:eastAsia="Times New Roman" w:hAnsi="Calibri" w:cs="Calibri"/>
                <w:color w:val="000000"/>
                <w:sz w:val="22"/>
                <w:szCs w:val="22"/>
              </w:rPr>
            </w:pPr>
            <w:r w:rsidRPr="00D931B7">
              <w:rPr>
                <w:rFonts w:ascii="Calibri" w:eastAsia="Times New Roman" w:hAnsi="Calibri" w:cs="Calibri"/>
                <w:color w:val="000000"/>
                <w:sz w:val="22"/>
                <w:szCs w:val="22"/>
              </w:rPr>
              <w:t>£192,500</w:t>
            </w:r>
          </w:p>
        </w:tc>
      </w:tr>
      <w:tr w:rsidR="00AB7C6D" w:rsidRPr="00D931B7" w:rsidTr="00F17BB2">
        <w:trPr>
          <w:trHeight w:val="288"/>
        </w:trPr>
        <w:tc>
          <w:tcPr>
            <w:tcW w:w="2180" w:type="dxa"/>
            <w:tcBorders>
              <w:top w:val="nil"/>
              <w:left w:val="single" w:sz="4" w:space="0" w:color="auto"/>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b/>
                <w:bCs/>
                <w:color w:val="000000"/>
                <w:sz w:val="22"/>
                <w:szCs w:val="22"/>
              </w:rPr>
            </w:pPr>
            <w:r w:rsidRPr="00D931B7">
              <w:rPr>
                <w:rFonts w:ascii="Calibri" w:eastAsia="Times New Roman" w:hAnsi="Calibri" w:cs="Calibri"/>
                <w:b/>
                <w:bCs/>
                <w:color w:val="000000"/>
                <w:sz w:val="22"/>
                <w:szCs w:val="22"/>
              </w:rPr>
              <w:t>Net Profit</w:t>
            </w:r>
          </w:p>
        </w:tc>
        <w:tc>
          <w:tcPr>
            <w:tcW w:w="202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b/>
                <w:bCs/>
                <w:color w:val="000000"/>
                <w:sz w:val="22"/>
                <w:szCs w:val="22"/>
              </w:rPr>
            </w:pPr>
            <w:r w:rsidRPr="00D931B7">
              <w:rPr>
                <w:rFonts w:ascii="Calibri" w:eastAsia="Times New Roman" w:hAnsi="Calibri" w:cs="Calibri"/>
                <w:b/>
                <w:bCs/>
                <w:color w:val="000000"/>
                <w:sz w:val="22"/>
                <w:szCs w:val="22"/>
              </w:rPr>
              <w:t> </w:t>
            </w:r>
          </w:p>
        </w:tc>
        <w:tc>
          <w:tcPr>
            <w:tcW w:w="96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b/>
                <w:bCs/>
                <w:color w:val="000000"/>
                <w:sz w:val="22"/>
                <w:szCs w:val="22"/>
              </w:rPr>
            </w:pPr>
            <w:r w:rsidRPr="00D931B7">
              <w:rPr>
                <w:rFonts w:ascii="Calibri" w:eastAsia="Times New Roman" w:hAnsi="Calibri" w:cs="Calibri"/>
                <w:b/>
                <w:bCs/>
                <w:color w:val="000000"/>
                <w:sz w:val="22"/>
                <w:szCs w:val="22"/>
              </w:rPr>
              <w:t> </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left"/>
              <w:rPr>
                <w:rFonts w:ascii="Calibri" w:eastAsia="Times New Roman" w:hAnsi="Calibri" w:cs="Calibri"/>
                <w:b/>
                <w:bCs/>
                <w:color w:val="000000"/>
                <w:sz w:val="22"/>
                <w:szCs w:val="22"/>
              </w:rPr>
            </w:pPr>
            <w:r w:rsidRPr="00D931B7">
              <w:rPr>
                <w:rFonts w:ascii="Calibri" w:eastAsia="Times New Roman" w:hAnsi="Calibri" w:cs="Calibri"/>
                <w:b/>
                <w:bCs/>
                <w:color w:val="000000"/>
                <w:sz w:val="22"/>
                <w:szCs w:val="22"/>
              </w:rPr>
              <w:t> </w:t>
            </w:r>
          </w:p>
        </w:tc>
        <w:tc>
          <w:tcPr>
            <w:tcW w:w="1040" w:type="dxa"/>
            <w:tcBorders>
              <w:top w:val="nil"/>
              <w:left w:val="nil"/>
              <w:bottom w:val="single" w:sz="4" w:space="0" w:color="auto"/>
              <w:right w:val="single" w:sz="4" w:space="0" w:color="auto"/>
            </w:tcBorders>
            <w:shd w:val="clear" w:color="auto" w:fill="auto"/>
            <w:noWrap/>
            <w:vAlign w:val="bottom"/>
            <w:hideMark/>
          </w:tcPr>
          <w:p w:rsidR="00AB7C6D" w:rsidRPr="00D931B7" w:rsidRDefault="00AB7C6D" w:rsidP="00F17BB2">
            <w:pPr>
              <w:spacing w:after="0" w:line="240" w:lineRule="auto"/>
              <w:jc w:val="right"/>
              <w:rPr>
                <w:rFonts w:ascii="Calibri" w:eastAsia="Times New Roman" w:hAnsi="Calibri" w:cs="Calibri"/>
                <w:b/>
                <w:bCs/>
                <w:color w:val="000000"/>
                <w:sz w:val="22"/>
                <w:szCs w:val="22"/>
              </w:rPr>
            </w:pPr>
            <w:r w:rsidRPr="00D931B7">
              <w:rPr>
                <w:rFonts w:ascii="Calibri" w:eastAsia="Times New Roman" w:hAnsi="Calibri" w:cs="Calibri"/>
                <w:b/>
                <w:bCs/>
                <w:color w:val="000000"/>
                <w:sz w:val="22"/>
                <w:szCs w:val="22"/>
              </w:rPr>
              <w:t>£24,850</w:t>
            </w:r>
          </w:p>
        </w:tc>
      </w:tr>
    </w:tbl>
    <w:p w:rsidR="00AB7C6D" w:rsidRDefault="00AB7C6D" w:rsidP="00AB7C6D">
      <w:r>
        <w:t xml:space="preserve"> </w:t>
      </w:r>
    </w:p>
    <w:p w:rsidR="00AB7C6D" w:rsidRDefault="00AB7C6D" w:rsidP="00AB7C6D">
      <w:r>
        <w:t xml:space="preserve">Hence, after improvement of product; </w:t>
      </w:r>
      <w:proofErr w:type="spellStart"/>
      <w:r>
        <w:t>Solent</w:t>
      </w:r>
      <w:proofErr w:type="spellEnd"/>
      <w:r>
        <w:t xml:space="preserve"> Ltd. will get revised profit of </w:t>
      </w:r>
      <w:r>
        <w:rPr>
          <w:rFonts w:ascii="Calibri" w:hAnsi="Calibri" w:cs="Calibri"/>
        </w:rPr>
        <w:t>£</w:t>
      </w:r>
      <w:r>
        <w:t xml:space="preserve">24,850 which is </w:t>
      </w:r>
      <w:r w:rsidRPr="006C532E">
        <w:t xml:space="preserve">£2,350 more </w:t>
      </w:r>
      <w:r>
        <w:t xml:space="preserve">than that of previous profit. </w:t>
      </w:r>
    </w:p>
    <w:p w:rsidR="00AB7C6D" w:rsidRDefault="00AB7C6D" w:rsidP="00AB7C6D">
      <w:pPr>
        <w:pStyle w:val="Heading2"/>
      </w:pPr>
      <w:r>
        <w:t>d. Limitations of break-even analysis</w:t>
      </w:r>
    </w:p>
    <w:p w:rsidR="0044137F" w:rsidRDefault="0044137F" w:rsidP="0044137F">
      <w:r>
        <w:t>Equivalence analysis seems to be a very important and useful guide for decision making. In general, equivalence charts are moderately easy to construct and provide managers with data on the return of equivalence forecasts, safety margins, and gains and losses at different output levels. In addition, there are some of the limitations of break-even analysis, which have been discussed below:</w:t>
      </w:r>
    </w:p>
    <w:p w:rsidR="0044137F" w:rsidRDefault="0044137F" w:rsidP="0044137F">
      <w:r>
        <w:t>1. The cost-effectiveness analysis is based on the assumption that all costs and expenses can be unfairly divided into fixed and variable segments. In practice, however, it may not be possible to achieve a clear division of costs between fixed and variable types.</w:t>
      </w:r>
    </w:p>
    <w:p w:rsidR="0044137F" w:rsidRDefault="0044137F" w:rsidP="0044137F">
      <w:r>
        <w:lastRenderedPageBreak/>
        <w:t>2. Fixed costs are expected to remain constant at all stages of the transition. It should be noted that fixed costs usually exceed a certain level of activity.</w:t>
      </w:r>
    </w:p>
    <w:p w:rsidR="0044137F" w:rsidRDefault="0044137F" w:rsidP="0044137F">
      <w:r>
        <w:t>3. Variable costs are expected to vary depending on the size of the product. In practice, they move in uncertainty, in sympathy with the size of the product, but not in direct measurement.</w:t>
      </w:r>
    </w:p>
    <w:p w:rsidR="0044137F" w:rsidRDefault="0044137F" w:rsidP="0044137F">
      <w:r>
        <w:t>4. The suspicion that the value of sales remains unchanged provides a direct line of potentially invalid income. The cost of selling an item is based on certain variables such as market demand and grace, conflict, and so on, so that it remains almost constant.</w:t>
      </w:r>
    </w:p>
    <w:p w:rsidR="0044137F" w:rsidRDefault="0044137F" w:rsidP="0044137F">
      <w:r>
        <w:t>5. It is difficult to predict that only one item will be delivered or that the combination of items will remain unchanged over time.</w:t>
      </w:r>
    </w:p>
    <w:p w:rsidR="0044137F" w:rsidRDefault="0044137F" w:rsidP="0044137F">
      <w:r>
        <w:t>6. Assigning fixed costs to a number of elements is a problem.</w:t>
      </w:r>
    </w:p>
    <w:p w:rsidR="0044137F" w:rsidRDefault="0044137F" w:rsidP="0044137F">
      <w:r>
        <w:t>7. Trading conditions are not expected to change, which is wrong.</w:t>
      </w:r>
    </w:p>
    <w:p w:rsidR="0044137F" w:rsidRDefault="0044137F" w:rsidP="0044137F">
      <w:r>
        <w:t>8. The amounts for creation and implementation are expected to be the same and there will be no change in the opening and closing of deliveries of finished products, this is not very practical.</w:t>
      </w:r>
    </w:p>
    <w:p w:rsidR="00AB7C6D" w:rsidRDefault="0044137F" w:rsidP="0044137F">
      <w:r>
        <w:t>9. The return on investment from the initial investment does not reflect the level of capital employed by the organization. Of course, the capital used is an important indicator of a company's profitability.</w:t>
      </w:r>
      <w:r w:rsidR="00AB7C6D">
        <w:br w:type="page"/>
      </w:r>
    </w:p>
    <w:p w:rsidR="00AB7C6D" w:rsidRDefault="00AB7C6D" w:rsidP="00AB7C6D">
      <w:pPr>
        <w:pStyle w:val="Heading1"/>
      </w:pPr>
      <w:r>
        <w:lastRenderedPageBreak/>
        <w:t>Question 2</w:t>
      </w:r>
    </w:p>
    <w:p w:rsidR="00AB7C6D" w:rsidRDefault="00AB7C6D" w:rsidP="00AB7C6D">
      <w:pPr>
        <w:pStyle w:val="Heading2"/>
      </w:pPr>
      <w:r>
        <w:t>(a) Critically discuss why management accounting is necessary, given that most businesses have to prepare financial accounts in accordance with the law.</w:t>
      </w:r>
    </w:p>
    <w:p w:rsidR="00AB7C6D" w:rsidRDefault="005A4400" w:rsidP="00AB7C6D">
      <w:pPr>
        <w:rPr>
          <w:u w:val="single"/>
        </w:rPr>
      </w:pPr>
      <w:r w:rsidRPr="005A4400">
        <w:t>Managerial accounting</w:t>
      </w:r>
      <w:proofErr w:type="gramStart"/>
      <w:r w:rsidRPr="005A4400">
        <w:t>,,</w:t>
      </w:r>
      <w:proofErr w:type="gramEnd"/>
      <w:r w:rsidRPr="005A4400">
        <w:t xml:space="preserve"> defines the use and arrangement of accounting data required by administrators, accountants and auditors of an association. Encourages them to make informed choices regarding any emerging problems in society.  Helps them </w:t>
      </w:r>
      <w:proofErr w:type="spellStart"/>
      <w:r w:rsidRPr="005A4400">
        <w:t>familiarise</w:t>
      </w:r>
      <w:proofErr w:type="spellEnd"/>
      <w:r w:rsidRPr="005A4400">
        <w:t xml:space="preserve"> themselves with administrative control capabilities that prevent them from taking any off-base options that could harm the </w:t>
      </w:r>
      <w:proofErr w:type="spellStart"/>
      <w:r w:rsidRPr="005A4400">
        <w:t>organisation's</w:t>
      </w:r>
      <w:proofErr w:type="spellEnd"/>
      <w:r w:rsidRPr="005A4400">
        <w:t xml:space="preserve"> operations. He chooses a positive approach that predicts the future of the group's previous presentation. It was not based on authentication models that discouraged administrative choices during execution.  Specifically designed to support management in making important choices and is not disclosed to investors or credit institutions. It is usually deeply classified</w:t>
      </w:r>
      <w:r>
        <w:rPr>
          <w:u w:val="single"/>
        </w:rPr>
        <w:t>.</w:t>
      </w:r>
    </w:p>
    <w:p w:rsidR="00AB7C6D" w:rsidRDefault="00AB7C6D" w:rsidP="00AB7C6D">
      <w:r>
        <w:t>Managerial accounting is the type of accounting that provides financial data to administrators and leaders</w:t>
      </w:r>
      <w:r w:rsidR="005A4400">
        <w:t xml:space="preserve"> within an </w:t>
      </w:r>
      <w:proofErr w:type="spellStart"/>
      <w:r w:rsidR="005A4400">
        <w:t>organis</w:t>
      </w:r>
      <w:r>
        <w:t>ation</w:t>
      </w:r>
      <w:proofErr w:type="spellEnd"/>
      <w:r>
        <w:t xml:space="preserve"> or association. Administrative accounting, for example, week-to-week or daily planning, is used to help leaders make choices that increase the suitability and viability of the association.</w:t>
      </w:r>
    </w:p>
    <w:p w:rsidR="00AB7C6D" w:rsidRDefault="00AB7C6D" w:rsidP="00AB7C6D">
      <w:r>
        <w:t xml:space="preserve">Management accounting is not the same as financial accounting as cash related accounting is based on the provision of quarterly or annual balance sheet data to financial experts, investors, tenants and others outside. </w:t>
      </w:r>
      <w:proofErr w:type="gramStart"/>
      <w:r>
        <w:t>the</w:t>
      </w:r>
      <w:proofErr w:type="gramEnd"/>
      <w:r>
        <w:t xml:space="preserve"> society. On the other hand, internal accounting is used internally to improve internal efficiency. </w:t>
      </w:r>
    </w:p>
    <w:p w:rsidR="00AB7C6D" w:rsidRDefault="00AB7C6D" w:rsidP="00AB7C6D"/>
    <w:p w:rsidR="00AB7C6D" w:rsidRDefault="00AB7C6D" w:rsidP="00AB7C6D">
      <w:proofErr w:type="gramStart"/>
      <w:r>
        <w:t>cost</w:t>
      </w:r>
      <w:proofErr w:type="gramEnd"/>
      <w:r>
        <w:t xml:space="preserve"> accounting tools can certainly give managers to decide on efficient and centralized options that will help them gain the upper hand and added benefit. Moreover, there is no doubt about their importance in society. </w:t>
      </w:r>
    </w:p>
    <w:p w:rsidR="00AB7C6D" w:rsidRDefault="00AB7C6D" w:rsidP="00AB7C6D">
      <w:r>
        <w:t>Another key function of action accounting is to assist managers in setting item costs by providing all data relating to costs, market segments and profit. Similarly, action accountants can help determine the life cycle of existing items as well as the rationality of new items. Board accounting is a comparison of cash related accounting.</w:t>
      </w:r>
    </w:p>
    <w:p w:rsidR="00AB7C6D" w:rsidRDefault="005A4400" w:rsidP="00AB7C6D">
      <w:pPr>
        <w:pStyle w:val="Heading2"/>
      </w:pPr>
      <w:r>
        <w:lastRenderedPageBreak/>
        <w:t xml:space="preserve"> </w:t>
      </w:r>
      <w:r w:rsidR="00AB7C6D">
        <w:t>(b) Critically discuss the techniques by which the management accountant can achieve the above objectives.</w:t>
      </w:r>
    </w:p>
    <w:p w:rsidR="005A4400" w:rsidRPr="005A4400" w:rsidRDefault="005A4400" w:rsidP="005A4400">
      <w:r w:rsidRPr="005A4400">
        <w:t xml:space="preserve">Financial accounting is a </w:t>
      </w:r>
      <w:proofErr w:type="spellStart"/>
      <w:r w:rsidRPr="005A4400">
        <w:t>valuablel</w:t>
      </w:r>
      <w:proofErr w:type="spellEnd"/>
      <w:r w:rsidRPr="005A4400">
        <w:t xml:space="preserve"> for </w:t>
      </w:r>
      <w:proofErr w:type="gramStart"/>
      <w:r w:rsidRPr="005A4400">
        <w:t>the  clients</w:t>
      </w:r>
      <w:proofErr w:type="gramEnd"/>
      <w:r w:rsidRPr="005A4400">
        <w:t>,  investors, potential owners, banks, customers, agents and government. It provides data on the outcome of its activities and the financial position of the company. They follow as make critical and accurate data, accessible to all those committed to the association's government support. Prerequisites for a larger part of them are met by budget accounting procedures. Be that as it may, the administration needs more detailed data than traditional budget accounting can offer. The focus of the administration, however, is not previously on what lies ahead.</w:t>
      </w:r>
    </w:p>
    <w:p w:rsidR="00AB7C6D" w:rsidRPr="005A4400" w:rsidRDefault="005A4400" w:rsidP="005A4400">
      <w:r w:rsidRPr="005A4400">
        <w:t>Management accounting aims to help association leaders identify and evaluate the side effects of their options. It is also known as cost accounting or administrative accounting. It involves the design of measurable budget reports and data to assist in the adoption of long-term management options within the association. Management accounting reports contain all the essential information regarding an organization’s income, income derived, stock subtleties, records payable, liabilities and other related measures.</w:t>
      </w:r>
    </w:p>
    <w:p w:rsidR="00AB7C6D" w:rsidRDefault="005A4400" w:rsidP="00AB7C6D">
      <w:r w:rsidRPr="005A4400">
        <w:t>Financial planning is that are essential for the sufferer to achieve their main goals. This includes deciding on the long-term and current budget objectives of the effort, designing monetary agreements and building a monetary approach to achieving the objectives</w:t>
      </w:r>
      <w:r w:rsidR="00B23ED7">
        <w:t>.</w:t>
      </w:r>
      <w:bookmarkStart w:id="0" w:name="_GoBack"/>
      <w:bookmarkEnd w:id="0"/>
    </w:p>
    <w:p w:rsidR="00AB7C6D" w:rsidRDefault="00AB7C6D" w:rsidP="00AB7C6D"/>
    <w:p w:rsidR="00AB7C6D" w:rsidRDefault="00AB7C6D" w:rsidP="00AB7C6D"/>
    <w:p w:rsidR="00AB7C6D" w:rsidRDefault="00AB7C6D" w:rsidP="00AB7C6D"/>
    <w:p w:rsidR="00AB7C6D" w:rsidRDefault="00AB7C6D" w:rsidP="00AB7C6D"/>
    <w:p w:rsidR="00AB7C6D" w:rsidRPr="00832C68" w:rsidRDefault="00AB7C6D" w:rsidP="00AB7C6D"/>
    <w:p w:rsidR="007B5B1C" w:rsidRDefault="007B5B1C"/>
    <w:sectPr w:rsidR="007B5B1C" w:rsidSect="00FB529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7BDB"/>
    <w:rsid w:val="00347BDB"/>
    <w:rsid w:val="0044137F"/>
    <w:rsid w:val="004A6A46"/>
    <w:rsid w:val="005A4400"/>
    <w:rsid w:val="0063688C"/>
    <w:rsid w:val="007B5B1C"/>
    <w:rsid w:val="00AB7C6D"/>
    <w:rsid w:val="00B23E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C34B1"/>
  <w15:chartTrackingRefBased/>
  <w15:docId w15:val="{A70D3B87-7FEB-4112-A235-D97370C54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B7C6D"/>
    <w:pPr>
      <w:spacing w:after="120" w:line="360" w:lineRule="auto"/>
      <w:jc w:val="both"/>
    </w:pPr>
    <w:rPr>
      <w:rFonts w:ascii="Times New Roman" w:hAnsi="Times New Roman" w:cs="Times New Roman"/>
      <w:sz w:val="24"/>
      <w:szCs w:val="24"/>
      <w:lang w:val="en-US" w:bidi="hi-IN"/>
    </w:rPr>
  </w:style>
  <w:style w:type="paragraph" w:styleId="Heading1">
    <w:name w:val="heading 1"/>
    <w:basedOn w:val="Normal"/>
    <w:next w:val="Normal"/>
    <w:link w:val="Heading1Char"/>
    <w:uiPriority w:val="9"/>
    <w:qFormat/>
    <w:rsid w:val="00AB7C6D"/>
    <w:pPr>
      <w:keepNext/>
      <w:keepLines/>
      <w:spacing w:before="480" w:after="0"/>
      <w:outlineLvl w:val="0"/>
    </w:pPr>
    <w:rPr>
      <w:rFonts w:asciiTheme="majorHAnsi" w:eastAsiaTheme="majorEastAsia" w:hAnsiTheme="majorHAnsi" w:cstheme="majorBidi"/>
      <w:b/>
      <w:bCs/>
      <w:color w:val="2E74B5" w:themeColor="accent1" w:themeShade="BF"/>
      <w:sz w:val="28"/>
      <w:szCs w:val="25"/>
    </w:rPr>
  </w:style>
  <w:style w:type="paragraph" w:styleId="Heading2">
    <w:name w:val="heading 2"/>
    <w:basedOn w:val="Normal"/>
    <w:next w:val="Normal"/>
    <w:link w:val="Heading2Char"/>
    <w:uiPriority w:val="9"/>
    <w:unhideWhenUsed/>
    <w:qFormat/>
    <w:rsid w:val="00AB7C6D"/>
    <w:pPr>
      <w:keepNext/>
      <w:keepLines/>
      <w:spacing w:before="200" w:after="0"/>
      <w:outlineLvl w:val="1"/>
    </w:pPr>
    <w:rPr>
      <w:rFonts w:asciiTheme="majorHAnsi" w:eastAsiaTheme="majorEastAsia" w:hAnsiTheme="majorHAnsi" w:cstheme="majorBidi"/>
      <w:b/>
      <w:bCs/>
      <w:color w:val="5B9BD5" w:themeColor="accent1"/>
      <w:sz w:val="26"/>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7C6D"/>
    <w:rPr>
      <w:rFonts w:asciiTheme="majorHAnsi" w:eastAsiaTheme="majorEastAsia" w:hAnsiTheme="majorHAnsi" w:cstheme="majorBidi"/>
      <w:b/>
      <w:bCs/>
      <w:color w:val="2E74B5" w:themeColor="accent1" w:themeShade="BF"/>
      <w:sz w:val="28"/>
      <w:szCs w:val="25"/>
      <w:lang w:val="en-US" w:bidi="hi-IN"/>
    </w:rPr>
  </w:style>
  <w:style w:type="character" w:customStyle="1" w:styleId="Heading2Char">
    <w:name w:val="Heading 2 Char"/>
    <w:basedOn w:val="DefaultParagraphFont"/>
    <w:link w:val="Heading2"/>
    <w:uiPriority w:val="9"/>
    <w:rsid w:val="00AB7C6D"/>
    <w:rPr>
      <w:rFonts w:asciiTheme="majorHAnsi" w:eastAsiaTheme="majorEastAsia" w:hAnsiTheme="majorHAnsi" w:cstheme="majorBidi"/>
      <w:b/>
      <w:bCs/>
      <w:color w:val="5B9BD5" w:themeColor="accent1"/>
      <w:sz w:val="26"/>
      <w:szCs w:val="23"/>
      <w:lang w:val="en-US"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1</Pages>
  <Words>1201</Words>
  <Characters>6848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Nik0</dc:creator>
  <cp:keywords/>
  <dc:description/>
  <cp:lastModifiedBy>Nik0</cp:lastModifiedBy>
  <cp:revision>7</cp:revision>
  <dcterms:created xsi:type="dcterms:W3CDTF">2020-09-06T13:21:00Z</dcterms:created>
  <dcterms:modified xsi:type="dcterms:W3CDTF">2020-09-06T13:59:00Z</dcterms:modified>
</cp:coreProperties>
</file>