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0344E" w14:textId="3375B8D6" w:rsidR="00DE51F3" w:rsidRPr="00F04568" w:rsidRDefault="009863BF" w:rsidP="00F04568">
      <w:pPr>
        <w:jc w:val="center"/>
        <w:rPr>
          <w:rFonts w:ascii="Arial" w:hAnsi="Arial" w:cs="Arial"/>
          <w:b/>
          <w:bCs/>
          <w:color w:val="000000" w:themeColor="text1"/>
          <w:sz w:val="40"/>
          <w:szCs w:val="40"/>
        </w:rPr>
      </w:pPr>
      <w:bookmarkStart w:id="0" w:name="_Toc232048964"/>
      <w:r w:rsidRPr="00F04568">
        <w:rPr>
          <w:rFonts w:ascii="Arial" w:hAnsi="Arial" w:cs="Arial"/>
          <w:b/>
          <w:bCs/>
          <w:color w:val="000000" w:themeColor="text1"/>
          <w:sz w:val="40"/>
          <w:szCs w:val="40"/>
        </w:rPr>
        <w:t>Portfolio (Poster + Essay)</w:t>
      </w:r>
    </w:p>
    <w:p w14:paraId="3EAD1084" w14:textId="0DF4D9EA" w:rsidR="00F04568" w:rsidRDefault="00F04568" w:rsidP="00F04568">
      <w:pPr>
        <w:jc w:val="center"/>
        <w:rPr>
          <w:rFonts w:ascii="Arial" w:hAnsi="Arial" w:cs="Arial"/>
          <w:b/>
          <w:bCs/>
          <w:color w:val="000000" w:themeColor="text1"/>
          <w:sz w:val="40"/>
          <w:szCs w:val="40"/>
        </w:rPr>
      </w:pPr>
      <w:r w:rsidRPr="00F04568">
        <w:rPr>
          <w:rFonts w:ascii="Arial" w:hAnsi="Arial" w:cs="Arial"/>
          <w:b/>
          <w:bCs/>
          <w:color w:val="000000" w:themeColor="text1"/>
          <w:sz w:val="40"/>
          <w:szCs w:val="40"/>
        </w:rPr>
        <w:t>Introduction to Health and Social Care</w:t>
      </w:r>
    </w:p>
    <w:p w14:paraId="503B69C6" w14:textId="77777777" w:rsidR="00282C18" w:rsidRDefault="00282C18" w:rsidP="00282C18">
      <w:pPr>
        <w:jc w:val="center"/>
        <w:rPr>
          <w:rFonts w:ascii="Arial" w:hAnsi="Arial" w:cs="Arial"/>
          <w:b/>
          <w:bCs/>
          <w:color w:val="000000" w:themeColor="text1"/>
          <w:sz w:val="40"/>
          <w:szCs w:val="40"/>
        </w:rPr>
      </w:pPr>
      <w:r w:rsidRPr="00F04568">
        <w:rPr>
          <w:rFonts w:ascii="Arial" w:hAnsi="Arial" w:cs="Arial"/>
          <w:b/>
          <w:bCs/>
          <w:color w:val="000000" w:themeColor="text1"/>
          <w:sz w:val="40"/>
          <w:szCs w:val="40"/>
        </w:rPr>
        <w:t>Module</w:t>
      </w:r>
      <w:r>
        <w:rPr>
          <w:rFonts w:ascii="Arial" w:hAnsi="Arial" w:cs="Arial"/>
          <w:b/>
          <w:bCs/>
          <w:color w:val="000000" w:themeColor="text1"/>
          <w:sz w:val="40"/>
          <w:szCs w:val="40"/>
        </w:rPr>
        <w:t xml:space="preserve"> Code</w:t>
      </w:r>
      <w:r w:rsidRPr="00F04568">
        <w:rPr>
          <w:rFonts w:ascii="Arial" w:hAnsi="Arial" w:cs="Arial"/>
          <w:b/>
          <w:bCs/>
          <w:color w:val="000000" w:themeColor="text1"/>
          <w:sz w:val="40"/>
          <w:szCs w:val="40"/>
        </w:rPr>
        <w:t xml:space="preserve">: LCHS4003 </w:t>
      </w:r>
    </w:p>
    <w:p w14:paraId="622F4431" w14:textId="050D6FBF" w:rsidR="00282C18" w:rsidRDefault="00282C18" w:rsidP="00282C18">
      <w:pPr>
        <w:jc w:val="center"/>
        <w:rPr>
          <w:rFonts w:ascii="Arial" w:hAnsi="Arial" w:cs="Arial"/>
          <w:b/>
          <w:bCs/>
          <w:color w:val="000000" w:themeColor="text1"/>
          <w:sz w:val="40"/>
          <w:szCs w:val="40"/>
        </w:rPr>
      </w:pPr>
      <w:r>
        <w:rPr>
          <w:rFonts w:ascii="Arial" w:hAnsi="Arial" w:cs="Arial"/>
          <w:b/>
          <w:bCs/>
          <w:color w:val="000000" w:themeColor="text1"/>
          <w:sz w:val="40"/>
          <w:szCs w:val="40"/>
        </w:rPr>
        <w:t>Lecturer: Dr Helen Parsons</w:t>
      </w:r>
    </w:p>
    <w:p w14:paraId="46F0C7C3" w14:textId="77777777" w:rsidR="00282C18" w:rsidRDefault="00282C18" w:rsidP="00282C18">
      <w:pPr>
        <w:rPr>
          <w:rFonts w:ascii="Arial" w:hAnsi="Arial" w:cs="Arial"/>
          <w:b/>
          <w:bCs/>
          <w:color w:val="000000" w:themeColor="text1"/>
          <w:sz w:val="40"/>
          <w:szCs w:val="40"/>
        </w:rPr>
      </w:pPr>
      <w:r>
        <w:rPr>
          <w:rFonts w:ascii="Arial" w:hAnsi="Arial" w:cs="Arial"/>
          <w:b/>
          <w:bCs/>
          <w:color w:val="000000" w:themeColor="text1"/>
          <w:sz w:val="40"/>
          <w:szCs w:val="40"/>
        </w:rPr>
        <w:t xml:space="preserve">                    </w:t>
      </w:r>
    </w:p>
    <w:p w14:paraId="4640CAB3" w14:textId="5BEDEDDF" w:rsidR="00F04568" w:rsidRPr="00F04568" w:rsidRDefault="00282C18" w:rsidP="00282C18">
      <w:pPr>
        <w:rPr>
          <w:rFonts w:ascii="Arial" w:hAnsi="Arial" w:cs="Arial"/>
          <w:b/>
          <w:bCs/>
          <w:color w:val="000000" w:themeColor="text1"/>
          <w:sz w:val="40"/>
          <w:szCs w:val="40"/>
        </w:rPr>
      </w:pPr>
      <w:r>
        <w:rPr>
          <w:rFonts w:ascii="Arial" w:hAnsi="Arial" w:cs="Arial"/>
          <w:b/>
          <w:bCs/>
          <w:color w:val="000000" w:themeColor="text1"/>
          <w:sz w:val="40"/>
          <w:szCs w:val="40"/>
        </w:rPr>
        <w:t xml:space="preserve">                    </w:t>
      </w:r>
      <w:r w:rsidR="007917C1">
        <w:rPr>
          <w:rFonts w:ascii="Arial" w:hAnsi="Arial" w:cs="Arial"/>
          <w:b/>
          <w:bCs/>
          <w:color w:val="000000" w:themeColor="text1"/>
          <w:sz w:val="40"/>
          <w:szCs w:val="40"/>
        </w:rPr>
        <w:t xml:space="preserve">Student </w:t>
      </w:r>
      <w:r w:rsidR="00F04568" w:rsidRPr="00F04568">
        <w:rPr>
          <w:rFonts w:ascii="Arial" w:hAnsi="Arial" w:cs="Arial"/>
          <w:b/>
          <w:bCs/>
          <w:color w:val="000000" w:themeColor="text1"/>
          <w:sz w:val="40"/>
          <w:szCs w:val="40"/>
        </w:rPr>
        <w:t>Name:</w:t>
      </w:r>
      <w:r w:rsidR="007658AE">
        <w:rPr>
          <w:rFonts w:ascii="Arial" w:hAnsi="Arial" w:cs="Arial"/>
          <w:b/>
          <w:bCs/>
          <w:color w:val="000000" w:themeColor="text1"/>
          <w:sz w:val="40"/>
          <w:szCs w:val="40"/>
        </w:rPr>
        <w:t xml:space="preserve"> Syed Faisal Nadeem</w:t>
      </w:r>
    </w:p>
    <w:p w14:paraId="565FF988" w14:textId="1DCAC9EF" w:rsidR="00F04568" w:rsidRPr="00F04568" w:rsidRDefault="007658AE" w:rsidP="00F04568">
      <w:pPr>
        <w:jc w:val="center"/>
        <w:rPr>
          <w:rFonts w:ascii="Arial" w:hAnsi="Arial" w:cs="Arial"/>
          <w:b/>
          <w:bCs/>
          <w:color w:val="000000" w:themeColor="text1"/>
          <w:sz w:val="40"/>
          <w:szCs w:val="40"/>
        </w:rPr>
      </w:pPr>
      <w:r>
        <w:rPr>
          <w:rFonts w:ascii="Arial" w:hAnsi="Arial" w:cs="Arial"/>
          <w:b/>
          <w:bCs/>
          <w:color w:val="000000" w:themeColor="text1"/>
          <w:sz w:val="40"/>
          <w:szCs w:val="40"/>
        </w:rPr>
        <w:t>Student Number</w:t>
      </w:r>
      <w:r w:rsidR="00F04568" w:rsidRPr="00F04568">
        <w:rPr>
          <w:rFonts w:ascii="Arial" w:hAnsi="Arial" w:cs="Arial"/>
          <w:b/>
          <w:bCs/>
          <w:color w:val="000000" w:themeColor="text1"/>
          <w:sz w:val="40"/>
          <w:szCs w:val="40"/>
        </w:rPr>
        <w:t>:</w:t>
      </w:r>
      <w:r>
        <w:rPr>
          <w:rFonts w:ascii="Arial" w:hAnsi="Arial" w:cs="Arial"/>
          <w:b/>
          <w:bCs/>
          <w:color w:val="000000" w:themeColor="text1"/>
          <w:sz w:val="40"/>
          <w:szCs w:val="40"/>
        </w:rPr>
        <w:t>2313914</w:t>
      </w:r>
    </w:p>
    <w:p w14:paraId="0EC3D2CD" w14:textId="281283CB" w:rsidR="00F04568" w:rsidRPr="00F04568" w:rsidRDefault="00F04568" w:rsidP="00F04568">
      <w:pPr>
        <w:jc w:val="center"/>
        <w:rPr>
          <w:rFonts w:ascii="Arial" w:hAnsi="Arial" w:cs="Arial"/>
          <w:b/>
          <w:bCs/>
          <w:color w:val="000000" w:themeColor="text1"/>
          <w:sz w:val="40"/>
          <w:szCs w:val="40"/>
        </w:rPr>
      </w:pPr>
      <w:r w:rsidRPr="00F04568">
        <w:rPr>
          <w:rFonts w:ascii="Arial" w:hAnsi="Arial" w:cs="Arial"/>
          <w:b/>
          <w:bCs/>
          <w:color w:val="000000" w:themeColor="text1"/>
          <w:sz w:val="40"/>
          <w:szCs w:val="40"/>
        </w:rPr>
        <w:t>Date:</w:t>
      </w:r>
      <w:r w:rsidR="007917C1">
        <w:rPr>
          <w:rFonts w:ascii="Arial" w:hAnsi="Arial" w:cs="Arial"/>
          <w:b/>
          <w:bCs/>
          <w:color w:val="000000" w:themeColor="text1"/>
          <w:sz w:val="40"/>
          <w:szCs w:val="40"/>
        </w:rPr>
        <w:t>19</w:t>
      </w:r>
      <w:r w:rsidR="007658AE">
        <w:rPr>
          <w:rFonts w:ascii="Arial" w:hAnsi="Arial" w:cs="Arial"/>
          <w:b/>
          <w:bCs/>
          <w:color w:val="000000" w:themeColor="text1"/>
          <w:sz w:val="40"/>
          <w:szCs w:val="40"/>
        </w:rPr>
        <w:t>-06-2026</w:t>
      </w:r>
    </w:p>
    <w:p w14:paraId="5F3D25C5" w14:textId="47DEE622" w:rsidR="000C0CFA" w:rsidRPr="000C0CFA" w:rsidRDefault="000C0CFA">
      <w:pPr>
        <w:rPr>
          <w:color w:val="000000" w:themeColor="text1"/>
        </w:rPr>
      </w:pPr>
      <w:r>
        <w:rPr>
          <w:color w:val="000000" w:themeColor="text1"/>
        </w:rPr>
        <w:br w:type="page"/>
      </w:r>
    </w:p>
    <w:p w14:paraId="2BEFF9D6" w14:textId="55FBE43F" w:rsidR="0075149E" w:rsidRPr="00DE51F3" w:rsidRDefault="0075149E" w:rsidP="00DE51F3">
      <w:pPr>
        <w:spacing w:line="360" w:lineRule="auto"/>
        <w:jc w:val="both"/>
        <w:rPr>
          <w:rFonts w:ascii="Arial" w:eastAsia="Times New Roman" w:hAnsi="Arial" w:cs="Arial"/>
          <w:b/>
          <w:bCs/>
          <w:color w:val="0F1115"/>
          <w:kern w:val="0"/>
          <w:lang w:val="en-US"/>
          <w14:ligatures w14:val="none"/>
        </w:rPr>
      </w:pPr>
      <w:r w:rsidRPr="00DE51F3">
        <w:rPr>
          <w:rFonts w:ascii="Arial" w:eastAsia="Times New Roman" w:hAnsi="Arial" w:cs="Arial"/>
          <w:b/>
          <w:bCs/>
          <w:color w:val="0F1115"/>
          <w:kern w:val="0"/>
          <w:lang w:val="en-US"/>
          <w14:ligatures w14:val="none"/>
        </w:rPr>
        <w:lastRenderedPageBreak/>
        <w:t>Task 1: Poster</w:t>
      </w:r>
    </w:p>
    <w:p w14:paraId="55355D73" w14:textId="1B158CB4" w:rsidR="0075149E" w:rsidRPr="00DE51F3" w:rsidRDefault="0075149E" w:rsidP="00DE51F3">
      <w:pPr>
        <w:spacing w:line="360" w:lineRule="auto"/>
        <w:jc w:val="center"/>
        <w:rPr>
          <w:rFonts w:ascii="Arial" w:eastAsia="Times New Roman" w:hAnsi="Arial" w:cs="Arial"/>
          <w:b/>
          <w:bCs/>
          <w:color w:val="0F1115"/>
          <w:kern w:val="0"/>
          <w:lang w:val="en-US"/>
          <w14:ligatures w14:val="none"/>
        </w:rPr>
      </w:pPr>
      <w:r w:rsidRPr="00DE51F3">
        <w:rPr>
          <w:rFonts w:ascii="Arial" w:eastAsia="Times New Roman" w:hAnsi="Arial" w:cs="Arial"/>
          <w:b/>
          <w:bCs/>
          <w:noProof/>
          <w:color w:val="0F1115"/>
          <w:kern w:val="0"/>
          <w:lang w:val="en-US"/>
        </w:rPr>
        <w:drawing>
          <wp:inline distT="0" distB="0" distL="0" distR="0" wp14:anchorId="24C39575" wp14:editId="5FCE451C">
            <wp:extent cx="5951220" cy="7868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57537" cy="7876637"/>
                    </a:xfrm>
                    <a:prstGeom prst="rect">
                      <a:avLst/>
                    </a:prstGeom>
                  </pic:spPr>
                </pic:pic>
              </a:graphicData>
            </a:graphic>
          </wp:inline>
        </w:drawing>
      </w:r>
    </w:p>
    <w:p w14:paraId="212DE010" w14:textId="4E66C0C7" w:rsidR="00F32C41" w:rsidRPr="00282C18" w:rsidRDefault="007917C1" w:rsidP="00282C18">
      <w:pPr>
        <w:spacing w:line="360" w:lineRule="auto"/>
        <w:jc w:val="both"/>
        <w:rPr>
          <w:rFonts w:ascii="Arial" w:eastAsia="Times New Roman" w:hAnsi="Arial" w:cs="Arial"/>
          <w:b/>
          <w:bCs/>
          <w:color w:val="0F1115"/>
          <w:kern w:val="0"/>
          <w:lang w:val="en-US"/>
          <w14:ligatures w14:val="none"/>
        </w:rPr>
      </w:pPr>
      <w:r>
        <w:rPr>
          <w:rFonts w:ascii="Arial" w:eastAsia="Times New Roman" w:hAnsi="Arial" w:cs="Arial"/>
          <w:b/>
          <w:bCs/>
          <w:color w:val="0F1115"/>
          <w:kern w:val="0"/>
          <w:sz w:val="28"/>
          <w:szCs w:val="28"/>
          <w14:ligatures w14:val="none"/>
        </w:rPr>
        <w:lastRenderedPageBreak/>
        <w:t xml:space="preserve">                        </w:t>
      </w:r>
      <w:r w:rsidR="00F32C41" w:rsidRPr="00DE51F3">
        <w:rPr>
          <w:rFonts w:ascii="Arial" w:eastAsia="Times New Roman" w:hAnsi="Arial" w:cs="Arial"/>
          <w:b/>
          <w:bCs/>
          <w:color w:val="0F1115"/>
          <w:kern w:val="0"/>
          <w:sz w:val="28"/>
          <w:szCs w:val="28"/>
          <w14:ligatures w14:val="none"/>
        </w:rPr>
        <w:t>Essay: Community Mental Health Services</w:t>
      </w:r>
      <w:bookmarkEnd w:id="0"/>
    </w:p>
    <w:p w14:paraId="2D226FE0" w14:textId="77777777" w:rsidR="00D113CC" w:rsidRPr="00DE51F3" w:rsidRDefault="00F32C41" w:rsidP="00DE51F3">
      <w:pPr>
        <w:shd w:val="clear" w:color="auto" w:fill="FFFFFF"/>
        <w:spacing w:before="240" w:after="240" w:line="360" w:lineRule="auto"/>
        <w:jc w:val="center"/>
        <w:rPr>
          <w:rFonts w:ascii="Arial" w:eastAsia="Times New Roman" w:hAnsi="Arial" w:cs="Arial"/>
          <w:b/>
          <w:bCs/>
          <w:color w:val="0F1115"/>
          <w:kern w:val="0"/>
          <w:sz w:val="28"/>
          <w:szCs w:val="28"/>
          <w14:ligatures w14:val="none"/>
        </w:rPr>
      </w:pPr>
      <w:r w:rsidRPr="00DE51F3">
        <w:rPr>
          <w:rFonts w:ascii="Arial" w:eastAsia="Times New Roman" w:hAnsi="Arial" w:cs="Arial"/>
          <w:b/>
          <w:bCs/>
          <w:color w:val="0F1115"/>
          <w:kern w:val="0"/>
          <w:sz w:val="28"/>
          <w:szCs w:val="28"/>
          <w14:ligatures w14:val="none"/>
        </w:rPr>
        <w:t>Title:</w:t>
      </w:r>
    </w:p>
    <w:p w14:paraId="77F99921" w14:textId="28336023" w:rsidR="00F32C41" w:rsidRPr="00DE51F3" w:rsidRDefault="00F32C41" w:rsidP="00DE51F3">
      <w:pPr>
        <w:shd w:val="clear" w:color="auto" w:fill="FFFFFF"/>
        <w:spacing w:before="240" w:after="240" w:line="360" w:lineRule="auto"/>
        <w:jc w:val="center"/>
        <w:rPr>
          <w:rFonts w:ascii="Arial" w:eastAsia="Times New Roman" w:hAnsi="Arial" w:cs="Arial"/>
          <w:color w:val="0F1115"/>
          <w:kern w:val="0"/>
          <w:sz w:val="28"/>
          <w:szCs w:val="28"/>
          <w14:ligatures w14:val="none"/>
        </w:rPr>
      </w:pPr>
      <w:r w:rsidRPr="00DE51F3">
        <w:rPr>
          <w:rFonts w:ascii="Arial" w:eastAsia="Times New Roman" w:hAnsi="Arial" w:cs="Arial"/>
          <w:color w:val="0F1115"/>
          <w:kern w:val="0"/>
          <w:sz w:val="28"/>
          <w:szCs w:val="28"/>
          <w14:ligatures w14:val="none"/>
        </w:rPr>
        <w:t>From Asylums to Inclusion: The Evolution and Impact of Community Mental Health Services</w:t>
      </w:r>
    </w:p>
    <w:p w14:paraId="658360D2" w14:textId="77777777" w:rsidR="00854460" w:rsidRPr="00DE51F3" w:rsidRDefault="00854460" w:rsidP="00DE51F3">
      <w:pPr>
        <w:spacing w:line="360" w:lineRule="auto"/>
        <w:jc w:val="both"/>
        <w:rPr>
          <w:rFonts w:ascii="Arial" w:eastAsia="Times New Roman" w:hAnsi="Arial" w:cs="Arial"/>
          <w:color w:val="0F1115"/>
          <w:kern w:val="0"/>
          <w14:ligatures w14:val="none"/>
        </w:rPr>
      </w:pPr>
      <w:r w:rsidRPr="00DE51F3">
        <w:rPr>
          <w:rFonts w:ascii="Arial" w:eastAsia="Times New Roman" w:hAnsi="Arial" w:cs="Arial"/>
          <w:color w:val="0F1115"/>
          <w:kern w:val="0"/>
          <w14:ligatures w14:val="none"/>
        </w:rPr>
        <w:br w:type="page"/>
      </w:r>
    </w:p>
    <w:sdt>
      <w:sdtPr>
        <w:rPr>
          <w:rFonts w:ascii="Arial" w:eastAsiaTheme="minorHAnsi" w:hAnsi="Arial" w:cs="Arial"/>
          <w:color w:val="auto"/>
          <w:kern w:val="2"/>
          <w:sz w:val="22"/>
          <w:szCs w:val="22"/>
          <w:lang w:val="en-GB"/>
          <w14:ligatures w14:val="standardContextual"/>
        </w:rPr>
        <w:id w:val="1692414335"/>
        <w:docPartObj>
          <w:docPartGallery w:val="Table of Contents"/>
          <w:docPartUnique/>
        </w:docPartObj>
      </w:sdtPr>
      <w:sdtEndPr>
        <w:rPr>
          <w:b/>
          <w:bCs/>
          <w:noProof/>
        </w:rPr>
      </w:sdtEndPr>
      <w:sdtContent>
        <w:p w14:paraId="7C263951" w14:textId="413D1918" w:rsidR="00854460" w:rsidRPr="00DE51F3" w:rsidRDefault="00854460" w:rsidP="00DE51F3">
          <w:pPr>
            <w:pStyle w:val="TOCHeading"/>
            <w:spacing w:line="360" w:lineRule="auto"/>
            <w:jc w:val="both"/>
            <w:rPr>
              <w:rFonts w:ascii="Arial" w:hAnsi="Arial" w:cs="Arial"/>
              <w:sz w:val="22"/>
              <w:szCs w:val="22"/>
            </w:rPr>
          </w:pPr>
          <w:r w:rsidRPr="00DE51F3">
            <w:rPr>
              <w:rFonts w:ascii="Arial" w:hAnsi="Arial" w:cs="Arial"/>
              <w:sz w:val="22"/>
              <w:szCs w:val="22"/>
            </w:rPr>
            <w:t>Table of Contents</w:t>
          </w:r>
        </w:p>
        <w:p w14:paraId="6D56677A" w14:textId="1D17FD6E" w:rsidR="00532EA0" w:rsidRPr="00DE51F3" w:rsidRDefault="00854460" w:rsidP="00DE51F3">
          <w:pPr>
            <w:pStyle w:val="TOC2"/>
            <w:tabs>
              <w:tab w:val="right" w:leader="dot" w:pos="9350"/>
            </w:tabs>
            <w:spacing w:line="360" w:lineRule="auto"/>
            <w:jc w:val="both"/>
            <w:rPr>
              <w:rFonts w:ascii="Arial" w:eastAsiaTheme="minorEastAsia" w:hAnsi="Arial" w:cs="Arial"/>
              <w:noProof/>
              <w:kern w:val="0"/>
              <w14:ligatures w14:val="none"/>
            </w:rPr>
          </w:pPr>
          <w:r w:rsidRPr="00DE51F3">
            <w:rPr>
              <w:rFonts w:ascii="Arial" w:hAnsi="Arial" w:cs="Arial"/>
            </w:rPr>
            <w:fldChar w:fldCharType="begin"/>
          </w:r>
          <w:r w:rsidRPr="00DE51F3">
            <w:rPr>
              <w:rFonts w:ascii="Arial" w:hAnsi="Arial" w:cs="Arial"/>
            </w:rPr>
            <w:instrText xml:space="preserve"> TOC \o "1-3" \h \z \u </w:instrText>
          </w:r>
          <w:r w:rsidRPr="00DE51F3">
            <w:rPr>
              <w:rFonts w:ascii="Arial" w:hAnsi="Arial" w:cs="Arial"/>
            </w:rPr>
            <w:fldChar w:fldCharType="separate"/>
          </w:r>
          <w:hyperlink w:anchor="_Toc232048964" w:history="1">
            <w:r w:rsidR="00532EA0" w:rsidRPr="00DE51F3">
              <w:rPr>
                <w:rStyle w:val="Hyperlink"/>
                <w:rFonts w:ascii="Arial" w:eastAsia="Times New Roman" w:hAnsi="Arial" w:cs="Arial"/>
                <w:b/>
                <w:bCs/>
                <w:noProof/>
              </w:rPr>
              <w:t>Essay: Community Mental Health Services</w:t>
            </w:r>
            <w:r w:rsidR="00532EA0" w:rsidRPr="00DE51F3">
              <w:rPr>
                <w:rFonts w:ascii="Arial" w:hAnsi="Arial" w:cs="Arial"/>
                <w:noProof/>
                <w:webHidden/>
              </w:rPr>
              <w:tab/>
            </w:r>
            <w:r w:rsidR="00532EA0" w:rsidRPr="00DE51F3">
              <w:rPr>
                <w:rFonts w:ascii="Arial" w:hAnsi="Arial" w:cs="Arial"/>
                <w:noProof/>
                <w:webHidden/>
              </w:rPr>
              <w:fldChar w:fldCharType="begin"/>
            </w:r>
            <w:r w:rsidR="00532EA0" w:rsidRPr="00DE51F3">
              <w:rPr>
                <w:rFonts w:ascii="Arial" w:hAnsi="Arial" w:cs="Arial"/>
                <w:noProof/>
                <w:webHidden/>
              </w:rPr>
              <w:instrText xml:space="preserve"> PAGEREF _Toc232048964 \h </w:instrText>
            </w:r>
            <w:r w:rsidR="00532EA0" w:rsidRPr="00DE51F3">
              <w:rPr>
                <w:rFonts w:ascii="Arial" w:hAnsi="Arial" w:cs="Arial"/>
                <w:noProof/>
                <w:webHidden/>
              </w:rPr>
            </w:r>
            <w:r w:rsidR="00532EA0" w:rsidRPr="00DE51F3">
              <w:rPr>
                <w:rFonts w:ascii="Arial" w:hAnsi="Arial" w:cs="Arial"/>
                <w:noProof/>
                <w:webHidden/>
              </w:rPr>
              <w:fldChar w:fldCharType="separate"/>
            </w:r>
            <w:r w:rsidR="00532EA0" w:rsidRPr="00DE51F3">
              <w:rPr>
                <w:rFonts w:ascii="Arial" w:hAnsi="Arial" w:cs="Arial"/>
                <w:noProof/>
                <w:webHidden/>
              </w:rPr>
              <w:t>1</w:t>
            </w:r>
            <w:r w:rsidR="00532EA0" w:rsidRPr="00DE51F3">
              <w:rPr>
                <w:rFonts w:ascii="Arial" w:hAnsi="Arial" w:cs="Arial"/>
                <w:noProof/>
                <w:webHidden/>
              </w:rPr>
              <w:fldChar w:fldCharType="end"/>
            </w:r>
          </w:hyperlink>
        </w:p>
        <w:p w14:paraId="26CC9FBE" w14:textId="2E834F22" w:rsidR="00532EA0" w:rsidRPr="00DE51F3" w:rsidRDefault="00532EA0" w:rsidP="00DE51F3">
          <w:pPr>
            <w:pStyle w:val="TOC2"/>
            <w:tabs>
              <w:tab w:val="right" w:leader="dot" w:pos="9350"/>
            </w:tabs>
            <w:spacing w:line="360" w:lineRule="auto"/>
            <w:jc w:val="both"/>
            <w:rPr>
              <w:rFonts w:ascii="Arial" w:eastAsiaTheme="minorEastAsia" w:hAnsi="Arial" w:cs="Arial"/>
              <w:noProof/>
              <w:kern w:val="0"/>
              <w14:ligatures w14:val="none"/>
            </w:rPr>
          </w:pPr>
          <w:hyperlink w:anchor="_Toc232048965" w:history="1">
            <w:r w:rsidRPr="00DE51F3">
              <w:rPr>
                <w:rStyle w:val="Hyperlink"/>
                <w:rFonts w:ascii="Arial" w:hAnsi="Arial" w:cs="Arial"/>
                <w:noProof/>
              </w:rPr>
              <w:t>Introduction</w:t>
            </w:r>
            <w:r w:rsidRPr="00DE51F3">
              <w:rPr>
                <w:rFonts w:ascii="Arial" w:hAnsi="Arial" w:cs="Arial"/>
                <w:noProof/>
                <w:webHidden/>
              </w:rPr>
              <w:tab/>
            </w:r>
            <w:r w:rsidRPr="00DE51F3">
              <w:rPr>
                <w:rFonts w:ascii="Arial" w:hAnsi="Arial" w:cs="Arial"/>
                <w:noProof/>
                <w:webHidden/>
              </w:rPr>
              <w:fldChar w:fldCharType="begin"/>
            </w:r>
            <w:r w:rsidRPr="00DE51F3">
              <w:rPr>
                <w:rFonts w:ascii="Arial" w:hAnsi="Arial" w:cs="Arial"/>
                <w:noProof/>
                <w:webHidden/>
              </w:rPr>
              <w:instrText xml:space="preserve"> PAGEREF _Toc232048965 \h </w:instrText>
            </w:r>
            <w:r w:rsidRPr="00DE51F3">
              <w:rPr>
                <w:rFonts w:ascii="Arial" w:hAnsi="Arial" w:cs="Arial"/>
                <w:noProof/>
                <w:webHidden/>
              </w:rPr>
            </w:r>
            <w:r w:rsidRPr="00DE51F3">
              <w:rPr>
                <w:rFonts w:ascii="Arial" w:hAnsi="Arial" w:cs="Arial"/>
                <w:noProof/>
                <w:webHidden/>
              </w:rPr>
              <w:fldChar w:fldCharType="separate"/>
            </w:r>
            <w:r w:rsidRPr="00DE51F3">
              <w:rPr>
                <w:rFonts w:ascii="Arial" w:hAnsi="Arial" w:cs="Arial"/>
                <w:noProof/>
                <w:webHidden/>
              </w:rPr>
              <w:t>3</w:t>
            </w:r>
            <w:r w:rsidRPr="00DE51F3">
              <w:rPr>
                <w:rFonts w:ascii="Arial" w:hAnsi="Arial" w:cs="Arial"/>
                <w:noProof/>
                <w:webHidden/>
              </w:rPr>
              <w:fldChar w:fldCharType="end"/>
            </w:r>
          </w:hyperlink>
        </w:p>
        <w:p w14:paraId="13190F92" w14:textId="2F044F34" w:rsidR="00532EA0" w:rsidRPr="00DE51F3" w:rsidRDefault="00532EA0" w:rsidP="00DE51F3">
          <w:pPr>
            <w:pStyle w:val="TOC2"/>
            <w:tabs>
              <w:tab w:val="right" w:leader="dot" w:pos="9350"/>
            </w:tabs>
            <w:spacing w:line="360" w:lineRule="auto"/>
            <w:jc w:val="both"/>
            <w:rPr>
              <w:rFonts w:ascii="Arial" w:eastAsiaTheme="minorEastAsia" w:hAnsi="Arial" w:cs="Arial"/>
              <w:noProof/>
              <w:kern w:val="0"/>
              <w14:ligatures w14:val="none"/>
            </w:rPr>
          </w:pPr>
          <w:hyperlink w:anchor="_Toc232048966" w:history="1">
            <w:r w:rsidRPr="00DE51F3">
              <w:rPr>
                <w:rStyle w:val="Hyperlink"/>
                <w:rFonts w:ascii="Arial" w:hAnsi="Arial" w:cs="Arial"/>
                <w:noProof/>
              </w:rPr>
              <w:t>Origins and Historical Context</w:t>
            </w:r>
            <w:r w:rsidRPr="00DE51F3">
              <w:rPr>
                <w:rFonts w:ascii="Arial" w:hAnsi="Arial" w:cs="Arial"/>
                <w:noProof/>
                <w:webHidden/>
              </w:rPr>
              <w:tab/>
            </w:r>
            <w:r w:rsidRPr="00DE51F3">
              <w:rPr>
                <w:rFonts w:ascii="Arial" w:hAnsi="Arial" w:cs="Arial"/>
                <w:noProof/>
                <w:webHidden/>
              </w:rPr>
              <w:fldChar w:fldCharType="begin"/>
            </w:r>
            <w:r w:rsidRPr="00DE51F3">
              <w:rPr>
                <w:rFonts w:ascii="Arial" w:hAnsi="Arial" w:cs="Arial"/>
                <w:noProof/>
                <w:webHidden/>
              </w:rPr>
              <w:instrText xml:space="preserve"> PAGEREF _Toc232048966 \h </w:instrText>
            </w:r>
            <w:r w:rsidRPr="00DE51F3">
              <w:rPr>
                <w:rFonts w:ascii="Arial" w:hAnsi="Arial" w:cs="Arial"/>
                <w:noProof/>
                <w:webHidden/>
              </w:rPr>
            </w:r>
            <w:r w:rsidRPr="00DE51F3">
              <w:rPr>
                <w:rFonts w:ascii="Arial" w:hAnsi="Arial" w:cs="Arial"/>
                <w:noProof/>
                <w:webHidden/>
              </w:rPr>
              <w:fldChar w:fldCharType="separate"/>
            </w:r>
            <w:r w:rsidRPr="00DE51F3">
              <w:rPr>
                <w:rFonts w:ascii="Arial" w:hAnsi="Arial" w:cs="Arial"/>
                <w:noProof/>
                <w:webHidden/>
              </w:rPr>
              <w:t>3</w:t>
            </w:r>
            <w:r w:rsidRPr="00DE51F3">
              <w:rPr>
                <w:rFonts w:ascii="Arial" w:hAnsi="Arial" w:cs="Arial"/>
                <w:noProof/>
                <w:webHidden/>
              </w:rPr>
              <w:fldChar w:fldCharType="end"/>
            </w:r>
          </w:hyperlink>
        </w:p>
        <w:p w14:paraId="43771BD2" w14:textId="5813DDD8" w:rsidR="00532EA0" w:rsidRPr="00DE51F3" w:rsidRDefault="00532EA0" w:rsidP="00DE51F3">
          <w:pPr>
            <w:pStyle w:val="TOC2"/>
            <w:tabs>
              <w:tab w:val="right" w:leader="dot" w:pos="9350"/>
            </w:tabs>
            <w:spacing w:line="360" w:lineRule="auto"/>
            <w:jc w:val="both"/>
            <w:rPr>
              <w:rFonts w:ascii="Arial" w:eastAsiaTheme="minorEastAsia" w:hAnsi="Arial" w:cs="Arial"/>
              <w:noProof/>
              <w:kern w:val="0"/>
              <w14:ligatures w14:val="none"/>
            </w:rPr>
          </w:pPr>
          <w:hyperlink w:anchor="_Toc232048967" w:history="1">
            <w:r w:rsidRPr="00DE51F3">
              <w:rPr>
                <w:rStyle w:val="Hyperlink"/>
                <w:rFonts w:ascii="Arial" w:hAnsi="Arial" w:cs="Arial"/>
                <w:noProof/>
              </w:rPr>
              <w:t>Current Functioning of Community Mental Health Services</w:t>
            </w:r>
            <w:r w:rsidRPr="00DE51F3">
              <w:rPr>
                <w:rFonts w:ascii="Arial" w:hAnsi="Arial" w:cs="Arial"/>
                <w:noProof/>
                <w:webHidden/>
              </w:rPr>
              <w:tab/>
            </w:r>
            <w:r w:rsidRPr="00DE51F3">
              <w:rPr>
                <w:rFonts w:ascii="Arial" w:hAnsi="Arial" w:cs="Arial"/>
                <w:noProof/>
                <w:webHidden/>
              </w:rPr>
              <w:fldChar w:fldCharType="begin"/>
            </w:r>
            <w:r w:rsidRPr="00DE51F3">
              <w:rPr>
                <w:rFonts w:ascii="Arial" w:hAnsi="Arial" w:cs="Arial"/>
                <w:noProof/>
                <w:webHidden/>
              </w:rPr>
              <w:instrText xml:space="preserve"> PAGEREF _Toc232048967 \h </w:instrText>
            </w:r>
            <w:r w:rsidRPr="00DE51F3">
              <w:rPr>
                <w:rFonts w:ascii="Arial" w:hAnsi="Arial" w:cs="Arial"/>
                <w:noProof/>
                <w:webHidden/>
              </w:rPr>
            </w:r>
            <w:r w:rsidRPr="00DE51F3">
              <w:rPr>
                <w:rFonts w:ascii="Arial" w:hAnsi="Arial" w:cs="Arial"/>
                <w:noProof/>
                <w:webHidden/>
              </w:rPr>
              <w:fldChar w:fldCharType="separate"/>
            </w:r>
            <w:r w:rsidRPr="00DE51F3">
              <w:rPr>
                <w:rFonts w:ascii="Arial" w:hAnsi="Arial" w:cs="Arial"/>
                <w:noProof/>
                <w:webHidden/>
              </w:rPr>
              <w:t>3</w:t>
            </w:r>
            <w:r w:rsidRPr="00DE51F3">
              <w:rPr>
                <w:rFonts w:ascii="Arial" w:hAnsi="Arial" w:cs="Arial"/>
                <w:noProof/>
                <w:webHidden/>
              </w:rPr>
              <w:fldChar w:fldCharType="end"/>
            </w:r>
          </w:hyperlink>
        </w:p>
        <w:p w14:paraId="4B732194" w14:textId="05FD2453" w:rsidR="00532EA0" w:rsidRPr="00DE51F3" w:rsidRDefault="00532EA0" w:rsidP="00DE51F3">
          <w:pPr>
            <w:pStyle w:val="TOC2"/>
            <w:tabs>
              <w:tab w:val="right" w:leader="dot" w:pos="9350"/>
            </w:tabs>
            <w:spacing w:line="360" w:lineRule="auto"/>
            <w:jc w:val="both"/>
            <w:rPr>
              <w:rFonts w:ascii="Arial" w:eastAsiaTheme="minorEastAsia" w:hAnsi="Arial" w:cs="Arial"/>
              <w:noProof/>
              <w:kern w:val="0"/>
              <w14:ligatures w14:val="none"/>
            </w:rPr>
          </w:pPr>
          <w:hyperlink w:anchor="_Toc232048968" w:history="1">
            <w:r w:rsidRPr="00DE51F3">
              <w:rPr>
                <w:rStyle w:val="Hyperlink"/>
                <w:rFonts w:ascii="Arial" w:hAnsi="Arial" w:cs="Arial"/>
                <w:noProof/>
              </w:rPr>
              <w:t xml:space="preserve">Significance Of Improving </w:t>
            </w:r>
            <w:r w:rsidRPr="00DE51F3">
              <w:rPr>
                <w:rStyle w:val="Hyperlink"/>
                <w:rFonts w:ascii="Arial" w:hAnsi="Arial" w:cs="Arial"/>
                <w:noProof/>
                <w:lang w:val="en-US"/>
              </w:rPr>
              <w:t>a</w:t>
            </w:r>
            <w:r w:rsidRPr="00DE51F3">
              <w:rPr>
                <w:rStyle w:val="Hyperlink"/>
                <w:rFonts w:ascii="Arial" w:hAnsi="Arial" w:cs="Arial"/>
                <w:noProof/>
              </w:rPr>
              <w:t xml:space="preserve"> Person's Quality Of </w:t>
            </w:r>
            <w:r w:rsidRPr="00DE51F3">
              <w:rPr>
                <w:rStyle w:val="Hyperlink"/>
                <w:rFonts w:ascii="Arial" w:hAnsi="Arial" w:cs="Arial"/>
                <w:noProof/>
                <w:lang w:val="en-US"/>
              </w:rPr>
              <w:t>Life</w:t>
            </w:r>
            <w:r w:rsidRPr="00DE51F3">
              <w:rPr>
                <w:rFonts w:ascii="Arial" w:hAnsi="Arial" w:cs="Arial"/>
                <w:noProof/>
                <w:webHidden/>
              </w:rPr>
              <w:tab/>
            </w:r>
            <w:r w:rsidRPr="00DE51F3">
              <w:rPr>
                <w:rFonts w:ascii="Arial" w:hAnsi="Arial" w:cs="Arial"/>
                <w:noProof/>
                <w:webHidden/>
              </w:rPr>
              <w:fldChar w:fldCharType="begin"/>
            </w:r>
            <w:r w:rsidRPr="00DE51F3">
              <w:rPr>
                <w:rFonts w:ascii="Arial" w:hAnsi="Arial" w:cs="Arial"/>
                <w:noProof/>
                <w:webHidden/>
              </w:rPr>
              <w:instrText xml:space="preserve"> PAGEREF _Toc232048968 \h </w:instrText>
            </w:r>
            <w:r w:rsidRPr="00DE51F3">
              <w:rPr>
                <w:rFonts w:ascii="Arial" w:hAnsi="Arial" w:cs="Arial"/>
                <w:noProof/>
                <w:webHidden/>
              </w:rPr>
            </w:r>
            <w:r w:rsidRPr="00DE51F3">
              <w:rPr>
                <w:rFonts w:ascii="Arial" w:hAnsi="Arial" w:cs="Arial"/>
                <w:noProof/>
                <w:webHidden/>
              </w:rPr>
              <w:fldChar w:fldCharType="separate"/>
            </w:r>
            <w:r w:rsidRPr="00DE51F3">
              <w:rPr>
                <w:rFonts w:ascii="Arial" w:hAnsi="Arial" w:cs="Arial"/>
                <w:noProof/>
                <w:webHidden/>
              </w:rPr>
              <w:t>4</w:t>
            </w:r>
            <w:r w:rsidRPr="00DE51F3">
              <w:rPr>
                <w:rFonts w:ascii="Arial" w:hAnsi="Arial" w:cs="Arial"/>
                <w:noProof/>
                <w:webHidden/>
              </w:rPr>
              <w:fldChar w:fldCharType="end"/>
            </w:r>
          </w:hyperlink>
        </w:p>
        <w:p w14:paraId="1ADBFFE3" w14:textId="71149493" w:rsidR="00532EA0" w:rsidRPr="00DE51F3" w:rsidRDefault="00532EA0" w:rsidP="00DE51F3">
          <w:pPr>
            <w:pStyle w:val="TOC2"/>
            <w:tabs>
              <w:tab w:val="right" w:leader="dot" w:pos="9350"/>
            </w:tabs>
            <w:spacing w:line="360" w:lineRule="auto"/>
            <w:jc w:val="both"/>
            <w:rPr>
              <w:rFonts w:ascii="Arial" w:eastAsiaTheme="minorEastAsia" w:hAnsi="Arial" w:cs="Arial"/>
              <w:noProof/>
              <w:kern w:val="0"/>
              <w14:ligatures w14:val="none"/>
            </w:rPr>
          </w:pPr>
          <w:hyperlink w:anchor="_Toc232048969" w:history="1">
            <w:r w:rsidRPr="00DE51F3">
              <w:rPr>
                <w:rStyle w:val="Hyperlink"/>
                <w:rFonts w:ascii="Arial" w:hAnsi="Arial" w:cs="Arial"/>
                <w:noProof/>
              </w:rPr>
              <w:t>Conclusion</w:t>
            </w:r>
            <w:r w:rsidRPr="00DE51F3">
              <w:rPr>
                <w:rFonts w:ascii="Arial" w:hAnsi="Arial" w:cs="Arial"/>
                <w:noProof/>
                <w:webHidden/>
              </w:rPr>
              <w:tab/>
            </w:r>
            <w:r w:rsidRPr="00DE51F3">
              <w:rPr>
                <w:rFonts w:ascii="Arial" w:hAnsi="Arial" w:cs="Arial"/>
                <w:noProof/>
                <w:webHidden/>
              </w:rPr>
              <w:fldChar w:fldCharType="begin"/>
            </w:r>
            <w:r w:rsidRPr="00DE51F3">
              <w:rPr>
                <w:rFonts w:ascii="Arial" w:hAnsi="Arial" w:cs="Arial"/>
                <w:noProof/>
                <w:webHidden/>
              </w:rPr>
              <w:instrText xml:space="preserve"> PAGEREF _Toc232048969 \h </w:instrText>
            </w:r>
            <w:r w:rsidRPr="00DE51F3">
              <w:rPr>
                <w:rFonts w:ascii="Arial" w:hAnsi="Arial" w:cs="Arial"/>
                <w:noProof/>
                <w:webHidden/>
              </w:rPr>
            </w:r>
            <w:r w:rsidRPr="00DE51F3">
              <w:rPr>
                <w:rFonts w:ascii="Arial" w:hAnsi="Arial" w:cs="Arial"/>
                <w:noProof/>
                <w:webHidden/>
              </w:rPr>
              <w:fldChar w:fldCharType="separate"/>
            </w:r>
            <w:r w:rsidRPr="00DE51F3">
              <w:rPr>
                <w:rFonts w:ascii="Arial" w:hAnsi="Arial" w:cs="Arial"/>
                <w:noProof/>
                <w:webHidden/>
              </w:rPr>
              <w:t>5</w:t>
            </w:r>
            <w:r w:rsidRPr="00DE51F3">
              <w:rPr>
                <w:rFonts w:ascii="Arial" w:hAnsi="Arial" w:cs="Arial"/>
                <w:noProof/>
                <w:webHidden/>
              </w:rPr>
              <w:fldChar w:fldCharType="end"/>
            </w:r>
          </w:hyperlink>
        </w:p>
        <w:p w14:paraId="04F46822" w14:textId="6921293A" w:rsidR="00532EA0" w:rsidRPr="00DE51F3" w:rsidRDefault="00532EA0" w:rsidP="00DE51F3">
          <w:pPr>
            <w:pStyle w:val="TOC2"/>
            <w:tabs>
              <w:tab w:val="right" w:leader="dot" w:pos="9350"/>
            </w:tabs>
            <w:spacing w:line="360" w:lineRule="auto"/>
            <w:jc w:val="both"/>
            <w:rPr>
              <w:rFonts w:ascii="Arial" w:eastAsiaTheme="minorEastAsia" w:hAnsi="Arial" w:cs="Arial"/>
              <w:noProof/>
              <w:kern w:val="0"/>
              <w14:ligatures w14:val="none"/>
            </w:rPr>
          </w:pPr>
          <w:hyperlink w:anchor="_Toc232048970" w:history="1">
            <w:r w:rsidRPr="00DE51F3">
              <w:rPr>
                <w:rStyle w:val="Hyperlink"/>
                <w:rFonts w:ascii="Arial" w:hAnsi="Arial" w:cs="Arial"/>
                <w:noProof/>
              </w:rPr>
              <w:t>Reference List</w:t>
            </w:r>
            <w:r w:rsidRPr="00DE51F3">
              <w:rPr>
                <w:rFonts w:ascii="Arial" w:hAnsi="Arial" w:cs="Arial"/>
                <w:noProof/>
                <w:webHidden/>
              </w:rPr>
              <w:tab/>
            </w:r>
            <w:r w:rsidRPr="00DE51F3">
              <w:rPr>
                <w:rFonts w:ascii="Arial" w:hAnsi="Arial" w:cs="Arial"/>
                <w:noProof/>
                <w:webHidden/>
              </w:rPr>
              <w:fldChar w:fldCharType="begin"/>
            </w:r>
            <w:r w:rsidRPr="00DE51F3">
              <w:rPr>
                <w:rFonts w:ascii="Arial" w:hAnsi="Arial" w:cs="Arial"/>
                <w:noProof/>
                <w:webHidden/>
              </w:rPr>
              <w:instrText xml:space="preserve"> PAGEREF _Toc232048970 \h </w:instrText>
            </w:r>
            <w:r w:rsidRPr="00DE51F3">
              <w:rPr>
                <w:rFonts w:ascii="Arial" w:hAnsi="Arial" w:cs="Arial"/>
                <w:noProof/>
                <w:webHidden/>
              </w:rPr>
            </w:r>
            <w:r w:rsidRPr="00DE51F3">
              <w:rPr>
                <w:rFonts w:ascii="Arial" w:hAnsi="Arial" w:cs="Arial"/>
                <w:noProof/>
                <w:webHidden/>
              </w:rPr>
              <w:fldChar w:fldCharType="separate"/>
            </w:r>
            <w:r w:rsidRPr="00DE51F3">
              <w:rPr>
                <w:rFonts w:ascii="Arial" w:hAnsi="Arial" w:cs="Arial"/>
                <w:noProof/>
                <w:webHidden/>
              </w:rPr>
              <w:t>6</w:t>
            </w:r>
            <w:r w:rsidRPr="00DE51F3">
              <w:rPr>
                <w:rFonts w:ascii="Arial" w:hAnsi="Arial" w:cs="Arial"/>
                <w:noProof/>
                <w:webHidden/>
              </w:rPr>
              <w:fldChar w:fldCharType="end"/>
            </w:r>
          </w:hyperlink>
        </w:p>
        <w:p w14:paraId="6171E13E" w14:textId="2F4B8A76" w:rsidR="00854460" w:rsidRPr="00DE51F3" w:rsidRDefault="00854460" w:rsidP="00DE51F3">
          <w:pPr>
            <w:spacing w:line="360" w:lineRule="auto"/>
            <w:jc w:val="both"/>
            <w:rPr>
              <w:rFonts w:ascii="Arial" w:hAnsi="Arial" w:cs="Arial"/>
            </w:rPr>
          </w:pPr>
          <w:r w:rsidRPr="00DE51F3">
            <w:rPr>
              <w:rFonts w:ascii="Arial" w:hAnsi="Arial" w:cs="Arial"/>
              <w:b/>
              <w:bCs/>
              <w:noProof/>
            </w:rPr>
            <w:fldChar w:fldCharType="end"/>
          </w:r>
        </w:p>
      </w:sdtContent>
    </w:sdt>
    <w:p w14:paraId="5C8850F0" w14:textId="4226CC96" w:rsidR="00854460" w:rsidRPr="00DE51F3" w:rsidRDefault="00854460" w:rsidP="00DE51F3">
      <w:pPr>
        <w:spacing w:line="360" w:lineRule="auto"/>
        <w:jc w:val="both"/>
        <w:rPr>
          <w:rFonts w:ascii="Arial" w:eastAsia="Times New Roman" w:hAnsi="Arial" w:cs="Arial"/>
          <w:color w:val="0F1115"/>
          <w:kern w:val="0"/>
          <w14:ligatures w14:val="none"/>
        </w:rPr>
      </w:pPr>
      <w:r w:rsidRPr="00DE51F3">
        <w:rPr>
          <w:rFonts w:ascii="Arial" w:eastAsia="Times New Roman" w:hAnsi="Arial" w:cs="Arial"/>
          <w:color w:val="0F1115"/>
          <w:kern w:val="0"/>
          <w14:ligatures w14:val="none"/>
        </w:rPr>
        <w:br w:type="page"/>
      </w:r>
    </w:p>
    <w:p w14:paraId="62783C1A" w14:textId="07D2B8E5" w:rsidR="006517D0" w:rsidRPr="00DE51F3" w:rsidRDefault="006517D0" w:rsidP="00DE51F3">
      <w:pPr>
        <w:shd w:val="clear" w:color="auto" w:fill="FFFFFF"/>
        <w:spacing w:before="100" w:beforeAutospacing="1" w:after="0" w:line="360" w:lineRule="auto"/>
        <w:jc w:val="both"/>
        <w:rPr>
          <w:rFonts w:ascii="Arial" w:eastAsia="Times New Roman" w:hAnsi="Arial" w:cs="Arial"/>
          <w:b/>
          <w:bCs/>
          <w:color w:val="0F1115"/>
          <w:kern w:val="0"/>
          <w14:ligatures w14:val="none"/>
        </w:rPr>
      </w:pPr>
    </w:p>
    <w:p w14:paraId="2F6A8F7C" w14:textId="77777777" w:rsidR="008D07C2" w:rsidRPr="00DE51F3" w:rsidRDefault="008D07C2" w:rsidP="00DE51F3">
      <w:pPr>
        <w:pStyle w:val="Heading2"/>
        <w:spacing w:line="360" w:lineRule="auto"/>
        <w:jc w:val="both"/>
        <w:rPr>
          <w:rFonts w:ascii="Arial" w:hAnsi="Arial" w:cs="Arial"/>
          <w:sz w:val="22"/>
          <w:szCs w:val="22"/>
        </w:rPr>
      </w:pPr>
      <w:bookmarkStart w:id="1" w:name="_Toc232048965"/>
      <w:r w:rsidRPr="00DE51F3">
        <w:rPr>
          <w:rFonts w:ascii="Arial" w:hAnsi="Arial" w:cs="Arial"/>
          <w:sz w:val="22"/>
          <w:szCs w:val="22"/>
        </w:rPr>
        <w:t>Introduction</w:t>
      </w:r>
      <w:bookmarkEnd w:id="1"/>
    </w:p>
    <w:p w14:paraId="260F5A8B" w14:textId="77777777" w:rsidR="008D07C2" w:rsidRPr="00DE51F3" w:rsidRDefault="008D07C2" w:rsidP="00DE51F3">
      <w:pPr>
        <w:pStyle w:val="NormalWeb"/>
        <w:spacing w:line="360" w:lineRule="auto"/>
        <w:jc w:val="both"/>
        <w:rPr>
          <w:rFonts w:ascii="Arial" w:hAnsi="Arial" w:cs="Arial"/>
          <w:sz w:val="22"/>
          <w:szCs w:val="22"/>
        </w:rPr>
      </w:pPr>
      <w:r w:rsidRPr="00DE51F3">
        <w:rPr>
          <w:rFonts w:ascii="Arial" w:hAnsi="Arial" w:cs="Arial"/>
          <w:sz w:val="22"/>
          <w:szCs w:val="22"/>
        </w:rPr>
        <w:t>For much of modern history, individuals with severe mental illness were confined to large, remote asylums, often deprived of dignity and autonomy. There has been one of the biggest shifts in the paradigm of healthcare, namely, the development of community mental health services such as residential care homes and community disability services. This essay critically assesses the evolution, operation, and value to quality of life of these services, concluding that although the deinstitutionalization movement has mostly succeeded, there are continuing problems of funding and integration.</w:t>
      </w:r>
    </w:p>
    <w:p w14:paraId="36115FD0" w14:textId="77777777" w:rsidR="008D07C2" w:rsidRPr="00DE51F3" w:rsidRDefault="008D07C2" w:rsidP="00DE51F3">
      <w:pPr>
        <w:pStyle w:val="Heading2"/>
        <w:spacing w:line="360" w:lineRule="auto"/>
        <w:jc w:val="both"/>
        <w:rPr>
          <w:rFonts w:ascii="Arial" w:hAnsi="Arial" w:cs="Arial"/>
          <w:sz w:val="22"/>
          <w:szCs w:val="22"/>
        </w:rPr>
      </w:pPr>
      <w:bookmarkStart w:id="2" w:name="_Toc232048966"/>
      <w:r w:rsidRPr="00DE51F3">
        <w:rPr>
          <w:rFonts w:ascii="Arial" w:hAnsi="Arial" w:cs="Arial"/>
          <w:sz w:val="22"/>
          <w:szCs w:val="22"/>
        </w:rPr>
        <w:t>Origins and Historical Context</w:t>
      </w:r>
      <w:bookmarkEnd w:id="2"/>
    </w:p>
    <w:p w14:paraId="539575D2" w14:textId="66C8CED2" w:rsidR="008D07C2" w:rsidRPr="00DE51F3" w:rsidRDefault="008D07C2" w:rsidP="00DE51F3">
      <w:pPr>
        <w:pStyle w:val="NormalWeb"/>
        <w:spacing w:line="360" w:lineRule="auto"/>
        <w:jc w:val="both"/>
        <w:rPr>
          <w:rFonts w:ascii="Arial" w:hAnsi="Arial" w:cs="Arial"/>
          <w:sz w:val="22"/>
          <w:szCs w:val="22"/>
        </w:rPr>
      </w:pPr>
      <w:r w:rsidRPr="00DE51F3">
        <w:rPr>
          <w:rFonts w:ascii="Arial" w:hAnsi="Arial" w:cs="Arial"/>
          <w:sz w:val="22"/>
          <w:szCs w:val="22"/>
        </w:rPr>
        <w:t xml:space="preserve">Mental health care in the United Kingdom and elsewhere was Victorian until the 1950s. These institutions were famously referred to as ‘total institutions' by Goffman (1961) because they involved ‘mortification of the self' by way of rigid routines, no privacy, and institutionalized behaviors. But there were three forces that brought change. First, the introduction of psychotropic drugs (chlorpromazine in 1952) enabled symptoms to be controlled in the community (Thornicroft &amp; Tansella, 2013). Secondly, the anti-psychiatry movement, led by anti-psychiatrists such as R.D. Laing, brought to light the dehumanizing conditions found in mental hospitals. Third, the fiscal constraints could not justify mass institutionalization. The Mental Health Act 1959 (amended in 1983) introduced the concept of compulsory community treatment, and the National Health Service and Community Care Act 1990 stated that care should be provided ‘in the least restrictive setting’ (Department of Health, 1990). </w:t>
      </w:r>
    </w:p>
    <w:p w14:paraId="27D5C92A" w14:textId="77777777" w:rsidR="008D07C2" w:rsidRPr="00DE51F3" w:rsidRDefault="008D07C2" w:rsidP="00DE51F3">
      <w:pPr>
        <w:pStyle w:val="Heading2"/>
        <w:spacing w:line="360" w:lineRule="auto"/>
        <w:jc w:val="both"/>
        <w:rPr>
          <w:rFonts w:ascii="Arial" w:hAnsi="Arial" w:cs="Arial"/>
          <w:sz w:val="22"/>
          <w:szCs w:val="22"/>
        </w:rPr>
      </w:pPr>
      <w:bookmarkStart w:id="3" w:name="_Toc232048967"/>
      <w:r w:rsidRPr="00DE51F3">
        <w:rPr>
          <w:rFonts w:ascii="Arial" w:hAnsi="Arial" w:cs="Arial"/>
          <w:sz w:val="22"/>
          <w:szCs w:val="22"/>
        </w:rPr>
        <w:t>Current Functioning of Community Mental Health Services</w:t>
      </w:r>
      <w:bookmarkEnd w:id="3"/>
    </w:p>
    <w:p w14:paraId="4F931BDC" w14:textId="66321C05" w:rsidR="008D07C2" w:rsidRPr="00DE51F3" w:rsidRDefault="008D07C2" w:rsidP="00DE51F3">
      <w:pPr>
        <w:spacing w:line="360" w:lineRule="auto"/>
        <w:jc w:val="both"/>
        <w:rPr>
          <w:rFonts w:ascii="Arial" w:eastAsia="Times New Roman" w:hAnsi="Arial" w:cs="Arial"/>
          <w:kern w:val="0"/>
          <w14:ligatures w14:val="none"/>
        </w:rPr>
      </w:pPr>
      <w:r w:rsidRPr="00DE51F3">
        <w:rPr>
          <w:rFonts w:ascii="Arial" w:hAnsi="Arial" w:cs="Arial"/>
        </w:rPr>
        <w:t>Residential care homes and community disability services are no longer medical-custodial services but run on a recovery-oriented, person-centered model. Most residential care homes house 6-12 service users and have 24/7 staff available to help them with medication and daily activities (cooking, cleaning, budgeting, and emotional support)</w:t>
      </w:r>
      <w:r w:rsidR="00EA5799" w:rsidRPr="00DE51F3">
        <w:rPr>
          <w:rFonts w:ascii="Arial" w:hAnsi="Arial" w:cs="Arial"/>
          <w:lang w:val="en-US"/>
        </w:rPr>
        <w:t xml:space="preserve"> </w:t>
      </w:r>
      <w:r w:rsidR="00EA5799" w:rsidRPr="00DE51F3">
        <w:rPr>
          <w:rFonts w:ascii="Arial" w:eastAsia="Times New Roman" w:hAnsi="Arial" w:cs="Arial"/>
          <w:kern w:val="0"/>
          <w14:ligatures w14:val="none"/>
        </w:rPr>
        <w:t>(Aspire Life Care, 2026)</w:t>
      </w:r>
      <w:r w:rsidR="00EA5799" w:rsidRPr="00DE51F3">
        <w:rPr>
          <w:rFonts w:ascii="Arial" w:eastAsia="Times New Roman" w:hAnsi="Arial" w:cs="Arial"/>
          <w:kern w:val="0"/>
          <w:lang w:val="en-US"/>
          <w14:ligatures w14:val="none"/>
        </w:rPr>
        <w:t xml:space="preserve">. </w:t>
      </w:r>
      <w:r w:rsidRPr="00DE51F3">
        <w:rPr>
          <w:rFonts w:ascii="Arial" w:hAnsi="Arial" w:cs="Arial"/>
        </w:rPr>
        <w:t xml:space="preserve">Residents are provided with their own lockable room and have opportunities to plan their daily activities and engage in house meetings, unlike the old asylums. Community disability services, on the other hand, are services that offer outreach in a person's home or family environment. These are assertive outreach teams (for hard-to-reach clients), crisis resolution and home </w:t>
      </w:r>
      <w:r w:rsidRPr="00DE51F3">
        <w:rPr>
          <w:rFonts w:ascii="Arial" w:hAnsi="Arial" w:cs="Arial"/>
        </w:rPr>
        <w:lastRenderedPageBreak/>
        <w:t>treatment teams (to prevent hospital admission), and early intervention in psychosis services (EIPs) (Slade et al., 201</w:t>
      </w:r>
      <w:r w:rsidR="00AF2418" w:rsidRPr="00DE51F3">
        <w:rPr>
          <w:rFonts w:ascii="Arial" w:hAnsi="Arial" w:cs="Arial"/>
        </w:rPr>
        <w:t>7</w:t>
      </w:r>
      <w:r w:rsidRPr="00DE51F3">
        <w:rPr>
          <w:rFonts w:ascii="Arial" w:hAnsi="Arial" w:cs="Arial"/>
        </w:rPr>
        <w:t xml:space="preserve">). One of the innovations is the multidisciplinary team (MDT) approach for formulating a care plan for the person, involving psychiatrists, community psychiatric nurses (CPNs), occupational therapists, social workers, and peer support workers. </w:t>
      </w:r>
    </w:p>
    <w:p w14:paraId="59A0AB53" w14:textId="0FA3E0E9" w:rsidR="008D07C2" w:rsidRPr="00DE51F3" w:rsidRDefault="008D07C2" w:rsidP="00DE51F3">
      <w:pPr>
        <w:pStyle w:val="Heading2"/>
        <w:spacing w:line="360" w:lineRule="auto"/>
        <w:jc w:val="both"/>
        <w:rPr>
          <w:rFonts w:ascii="Arial" w:hAnsi="Arial" w:cs="Arial"/>
          <w:sz w:val="22"/>
          <w:szCs w:val="22"/>
          <w:lang w:val="en-US"/>
        </w:rPr>
      </w:pPr>
      <w:bookmarkStart w:id="4" w:name="_Toc232048968"/>
      <w:r w:rsidRPr="00DE51F3">
        <w:rPr>
          <w:rFonts w:ascii="Arial" w:hAnsi="Arial" w:cs="Arial"/>
          <w:sz w:val="22"/>
          <w:szCs w:val="22"/>
        </w:rPr>
        <w:t xml:space="preserve">Significance </w:t>
      </w:r>
      <w:r w:rsidR="003E6A64" w:rsidRPr="00DE51F3">
        <w:rPr>
          <w:rFonts w:ascii="Arial" w:hAnsi="Arial" w:cs="Arial"/>
          <w:sz w:val="22"/>
          <w:szCs w:val="22"/>
        </w:rPr>
        <w:t xml:space="preserve">Of Improving </w:t>
      </w:r>
      <w:r w:rsidR="003E6A64" w:rsidRPr="00DE51F3">
        <w:rPr>
          <w:rFonts w:ascii="Arial" w:hAnsi="Arial" w:cs="Arial"/>
          <w:sz w:val="22"/>
          <w:szCs w:val="22"/>
          <w:lang w:val="en-US"/>
        </w:rPr>
        <w:t>a</w:t>
      </w:r>
      <w:r w:rsidR="003E6A64" w:rsidRPr="00DE51F3">
        <w:rPr>
          <w:rFonts w:ascii="Arial" w:hAnsi="Arial" w:cs="Arial"/>
          <w:sz w:val="22"/>
          <w:szCs w:val="22"/>
        </w:rPr>
        <w:t xml:space="preserve"> Person's Quality Of </w:t>
      </w:r>
      <w:r w:rsidRPr="00DE51F3">
        <w:rPr>
          <w:rFonts w:ascii="Arial" w:hAnsi="Arial" w:cs="Arial"/>
          <w:sz w:val="22"/>
          <w:szCs w:val="22"/>
          <w:lang w:val="en-US"/>
        </w:rPr>
        <w:t>Life</w:t>
      </w:r>
      <w:bookmarkEnd w:id="4"/>
    </w:p>
    <w:p w14:paraId="03D97848" w14:textId="1734A8A6" w:rsidR="008D07C2" w:rsidRPr="00DE51F3" w:rsidRDefault="008D07C2" w:rsidP="00DE51F3">
      <w:pPr>
        <w:pStyle w:val="NormalWeb"/>
        <w:spacing w:line="360" w:lineRule="auto"/>
        <w:jc w:val="both"/>
        <w:rPr>
          <w:rFonts w:ascii="Arial" w:hAnsi="Arial" w:cs="Arial"/>
          <w:sz w:val="22"/>
          <w:szCs w:val="22"/>
        </w:rPr>
      </w:pPr>
      <w:r w:rsidRPr="00DE51F3">
        <w:rPr>
          <w:rFonts w:ascii="Arial" w:hAnsi="Arial" w:cs="Arial"/>
          <w:sz w:val="22"/>
          <w:szCs w:val="22"/>
        </w:rPr>
        <w:t>In several respects, the transition to a community-based system of services has been shown to have a positive impact on the life of service users. First, autonomy and choice are truly strengthened. In an asylum setting there would be none of these choices for a service user residing in a residential care home to make. Community services actively promote recovery outcomes identified by Leamy et al. (2011) as core to recovery: connectedness, hope, identity, meaning, and empowerment (the CHIME framework). Second, there is less stigma when people are socially integrated. Instead of being out of view, service users become 'visible neighbors' shopping in a local shop, attending local churches, and attending local colleges. Thirdly, objective outcomes are enhanced. In terms of care costs, a systematic review by Slade et al. (201</w:t>
      </w:r>
      <w:r w:rsidR="00AF2418" w:rsidRPr="00DE51F3">
        <w:rPr>
          <w:rFonts w:ascii="Arial" w:hAnsi="Arial" w:cs="Arial"/>
          <w:sz w:val="22"/>
          <w:szCs w:val="22"/>
          <w:lang w:val="en-US"/>
        </w:rPr>
        <w:t>7</w:t>
      </w:r>
      <w:r w:rsidRPr="00DE51F3">
        <w:rPr>
          <w:rFonts w:ascii="Arial" w:hAnsi="Arial" w:cs="Arial"/>
          <w:sz w:val="22"/>
          <w:szCs w:val="22"/>
        </w:rPr>
        <w:t>) demonstrated that community-based care can lower hospital readmission rates by about 40% compared to institutional care and that costs for health care services are also lower. However, some observers question the effectiveness of ‘community care' as 'dumping,' where the number of clients on which CMHTs rely is far too high for one practitioner and the care is therefore not adequately resourced</w:t>
      </w:r>
      <w:r w:rsidRPr="00DE51F3">
        <w:rPr>
          <w:rFonts w:ascii="Arial" w:hAnsi="Arial" w:cs="Arial"/>
          <w:sz w:val="22"/>
          <w:szCs w:val="22"/>
          <w:lang w:val="en-US"/>
        </w:rPr>
        <w:t xml:space="preserve"> </w:t>
      </w:r>
      <w:r w:rsidRPr="00DE51F3">
        <w:rPr>
          <w:rFonts w:ascii="Arial" w:hAnsi="Arial" w:cs="Arial"/>
          <w:sz w:val="22"/>
          <w:szCs w:val="22"/>
        </w:rPr>
        <w:t>with caseloads of over 40 clients per practitioner often leading to practitioner burnout and neglect (Thornicroft &amp; Tansella, 2013). Notwithstanding these limitations, evidence shows that adequately resourced community mental health services are effective in improving people's functional independence, subjective well-being, and social belonging.</w:t>
      </w:r>
    </w:p>
    <w:p w14:paraId="48E80F90" w14:textId="77777777" w:rsidR="008D07C2" w:rsidRPr="00DE51F3" w:rsidRDefault="008D07C2" w:rsidP="00DE51F3">
      <w:pPr>
        <w:pStyle w:val="Heading2"/>
        <w:spacing w:line="360" w:lineRule="auto"/>
        <w:jc w:val="both"/>
        <w:rPr>
          <w:rFonts w:ascii="Arial" w:hAnsi="Arial" w:cs="Arial"/>
          <w:sz w:val="22"/>
          <w:szCs w:val="22"/>
        </w:rPr>
      </w:pPr>
      <w:bookmarkStart w:id="5" w:name="_Toc232048969"/>
      <w:r w:rsidRPr="00DE51F3">
        <w:rPr>
          <w:rFonts w:ascii="Arial" w:hAnsi="Arial" w:cs="Arial"/>
          <w:sz w:val="22"/>
          <w:szCs w:val="22"/>
        </w:rPr>
        <w:t>Conclusion</w:t>
      </w:r>
      <w:bookmarkEnd w:id="5"/>
    </w:p>
    <w:p w14:paraId="09A9E401" w14:textId="4B94C1E5" w:rsidR="008D07C2" w:rsidRPr="00DE51F3" w:rsidRDefault="008D07C2" w:rsidP="00DE51F3">
      <w:pPr>
        <w:pStyle w:val="NormalWeb"/>
        <w:spacing w:line="360" w:lineRule="auto"/>
        <w:jc w:val="both"/>
        <w:rPr>
          <w:rFonts w:ascii="Arial" w:hAnsi="Arial" w:cs="Arial"/>
          <w:sz w:val="22"/>
          <w:szCs w:val="22"/>
        </w:rPr>
      </w:pPr>
      <w:r w:rsidRPr="00DE51F3">
        <w:rPr>
          <w:rFonts w:ascii="Arial" w:hAnsi="Arial" w:cs="Arial"/>
          <w:sz w:val="22"/>
          <w:szCs w:val="22"/>
        </w:rPr>
        <w:t xml:space="preserve">Community mental health services have been able to challenge the 'asylum' model and focus on recovery, autonomy, and social inclusion. Their trajectory through history, starting back in the 1950s to today, highlights a significant change in attitude towards the rights and dignity of persons with mental illness. But their ability to operate is limited by their long-standing underfunding and high case loads. </w:t>
      </w:r>
    </w:p>
    <w:p w14:paraId="24DF39CC" w14:textId="22B90527" w:rsidR="009E236D" w:rsidRPr="00DE51F3" w:rsidRDefault="009E236D" w:rsidP="00DE51F3">
      <w:pPr>
        <w:spacing w:line="360" w:lineRule="auto"/>
        <w:jc w:val="both"/>
        <w:rPr>
          <w:rFonts w:ascii="Arial" w:eastAsia="Times New Roman" w:hAnsi="Arial" w:cs="Arial"/>
          <w:kern w:val="0"/>
          <w14:ligatures w14:val="none"/>
        </w:rPr>
      </w:pPr>
      <w:r w:rsidRPr="00DE51F3">
        <w:rPr>
          <w:rFonts w:ascii="Arial" w:hAnsi="Arial" w:cs="Arial"/>
        </w:rPr>
        <w:br w:type="page"/>
      </w:r>
    </w:p>
    <w:p w14:paraId="37C7E386" w14:textId="4FC12734" w:rsidR="009E236D" w:rsidRPr="00DE51F3" w:rsidRDefault="009E236D" w:rsidP="00DE51F3">
      <w:pPr>
        <w:pStyle w:val="Heading2"/>
        <w:shd w:val="clear" w:color="auto" w:fill="FFFFFF"/>
        <w:spacing w:before="480" w:beforeAutospacing="0" w:after="240" w:afterAutospacing="0" w:line="360" w:lineRule="auto"/>
        <w:jc w:val="both"/>
        <w:rPr>
          <w:rFonts w:ascii="Arial" w:hAnsi="Arial" w:cs="Arial"/>
          <w:color w:val="0F1115"/>
          <w:sz w:val="22"/>
          <w:szCs w:val="22"/>
        </w:rPr>
      </w:pPr>
      <w:bookmarkStart w:id="6" w:name="_Toc232048970"/>
      <w:r w:rsidRPr="00DE51F3">
        <w:rPr>
          <w:rFonts w:ascii="Arial" w:hAnsi="Arial" w:cs="Arial"/>
          <w:color w:val="0F1115"/>
          <w:sz w:val="22"/>
          <w:szCs w:val="22"/>
        </w:rPr>
        <w:lastRenderedPageBreak/>
        <w:t>Reference List</w:t>
      </w:r>
      <w:bookmarkEnd w:id="6"/>
      <w:r w:rsidRPr="00DE51F3">
        <w:rPr>
          <w:rFonts w:ascii="Arial" w:hAnsi="Arial" w:cs="Arial"/>
          <w:color w:val="0F1115"/>
          <w:sz w:val="22"/>
          <w:szCs w:val="22"/>
        </w:rPr>
        <w:t xml:space="preserve"> </w:t>
      </w:r>
    </w:p>
    <w:p w14:paraId="68D638C3" w14:textId="39B79090" w:rsidR="002862CA" w:rsidRPr="00DE51F3" w:rsidRDefault="002862CA" w:rsidP="00DE51F3">
      <w:pPr>
        <w:pStyle w:val="NormalWeb"/>
        <w:spacing w:before="0" w:beforeAutospacing="0" w:after="240" w:afterAutospacing="0" w:line="360" w:lineRule="auto"/>
        <w:jc w:val="both"/>
        <w:rPr>
          <w:rFonts w:ascii="Arial" w:hAnsi="Arial" w:cs="Arial"/>
          <w:sz w:val="22"/>
          <w:szCs w:val="22"/>
        </w:rPr>
      </w:pPr>
      <w:r w:rsidRPr="00DE51F3">
        <w:rPr>
          <w:rFonts w:ascii="Arial" w:hAnsi="Arial" w:cs="Arial"/>
          <w:sz w:val="22"/>
          <w:szCs w:val="22"/>
        </w:rPr>
        <w:t xml:space="preserve">Aspire Life Care (2026). </w:t>
      </w:r>
      <w:r w:rsidRPr="00DE51F3">
        <w:rPr>
          <w:rFonts w:ascii="Arial" w:hAnsi="Arial" w:cs="Arial"/>
          <w:i/>
          <w:iCs/>
          <w:sz w:val="22"/>
          <w:szCs w:val="22"/>
        </w:rPr>
        <w:t>Home Nursing Service in Karachi – Trusted, Affordable &amp; 24/7 Professional Care at Your Doorstep</w:t>
      </w:r>
      <w:r w:rsidRPr="00DE51F3">
        <w:rPr>
          <w:rFonts w:ascii="Arial" w:hAnsi="Arial" w:cs="Arial"/>
          <w:sz w:val="22"/>
          <w:szCs w:val="22"/>
        </w:rPr>
        <w:t>. [online] aspire life care. Available at: https://aspirelifecare.com.pk/home-nursing-service-in-karachi-trusted-affordable-24-7-professional-care-at-your-doorstep/ [Accessed 11 Jun. 2026].</w:t>
      </w:r>
    </w:p>
    <w:p w14:paraId="0A706BD1" w14:textId="3C56CBD3" w:rsidR="009E236D" w:rsidRPr="00DE51F3" w:rsidRDefault="009E236D" w:rsidP="00DE51F3">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DE51F3">
        <w:rPr>
          <w:rFonts w:ascii="Arial" w:hAnsi="Arial" w:cs="Arial"/>
          <w:color w:val="0F1115"/>
          <w:sz w:val="22"/>
          <w:szCs w:val="22"/>
        </w:rPr>
        <w:t>Department of Health (1990). </w:t>
      </w:r>
      <w:r w:rsidRPr="00DE51F3">
        <w:rPr>
          <w:rStyle w:val="Emphasis"/>
          <w:rFonts w:ascii="Arial" w:hAnsi="Arial" w:cs="Arial"/>
          <w:color w:val="0F1115"/>
          <w:sz w:val="22"/>
          <w:szCs w:val="22"/>
        </w:rPr>
        <w:t>National Health Service and Community Care Act 1990</w:t>
      </w:r>
      <w:r w:rsidRPr="00DE51F3">
        <w:rPr>
          <w:rFonts w:ascii="Arial" w:hAnsi="Arial" w:cs="Arial"/>
          <w:color w:val="0F1115"/>
          <w:sz w:val="22"/>
          <w:szCs w:val="22"/>
        </w:rPr>
        <w:t>. London: HMSO.</w:t>
      </w:r>
    </w:p>
    <w:p w14:paraId="095D321E" w14:textId="78DB4837" w:rsidR="009E236D" w:rsidRPr="00DE51F3" w:rsidRDefault="009E236D" w:rsidP="00DE51F3">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DE51F3">
        <w:rPr>
          <w:rFonts w:ascii="Arial" w:hAnsi="Arial" w:cs="Arial"/>
          <w:color w:val="0F1115"/>
          <w:sz w:val="22"/>
          <w:szCs w:val="22"/>
        </w:rPr>
        <w:t>Goffman, E. (1961). </w:t>
      </w:r>
      <w:r w:rsidRPr="00DE51F3">
        <w:rPr>
          <w:rStyle w:val="Emphasis"/>
          <w:rFonts w:ascii="Arial" w:hAnsi="Arial" w:cs="Arial"/>
          <w:color w:val="0F1115"/>
          <w:sz w:val="22"/>
          <w:szCs w:val="22"/>
        </w:rPr>
        <w:t>Asylums: Essays on the Social Situation of Mental Patients and Other Inmates</w:t>
      </w:r>
      <w:r w:rsidRPr="00DE51F3">
        <w:rPr>
          <w:rFonts w:ascii="Arial" w:hAnsi="Arial" w:cs="Arial"/>
          <w:color w:val="0F1115"/>
          <w:sz w:val="22"/>
          <w:szCs w:val="22"/>
        </w:rPr>
        <w:t>. New York: Anchor Books.</w:t>
      </w:r>
    </w:p>
    <w:p w14:paraId="76D65E46" w14:textId="77777777" w:rsidR="009E236D" w:rsidRPr="00DE51F3" w:rsidRDefault="009E236D" w:rsidP="00DE51F3">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DE51F3">
        <w:rPr>
          <w:rFonts w:ascii="Arial" w:hAnsi="Arial" w:cs="Arial"/>
          <w:color w:val="0F1115"/>
          <w:sz w:val="22"/>
          <w:szCs w:val="22"/>
        </w:rPr>
        <w:t>Leamy, M., Bird, V., Le Boutillier, C., Williams, J. and Slade, M. (2011). Conceptual framework for personal recovery in mental health: Systematic review and narrative synthesis. </w:t>
      </w:r>
      <w:r w:rsidRPr="00DE51F3">
        <w:rPr>
          <w:rStyle w:val="Emphasis"/>
          <w:rFonts w:ascii="Arial" w:hAnsi="Arial" w:cs="Arial"/>
          <w:color w:val="0F1115"/>
          <w:sz w:val="22"/>
          <w:szCs w:val="22"/>
        </w:rPr>
        <w:t>British Journal of Psychiatry</w:t>
      </w:r>
      <w:r w:rsidRPr="00DE51F3">
        <w:rPr>
          <w:rFonts w:ascii="Arial" w:hAnsi="Arial" w:cs="Arial"/>
          <w:color w:val="0F1115"/>
          <w:sz w:val="22"/>
          <w:szCs w:val="22"/>
        </w:rPr>
        <w:t>, 199(6), pp.445-452.</w:t>
      </w:r>
    </w:p>
    <w:p w14:paraId="18EB9147" w14:textId="08AF9308" w:rsidR="009E236D" w:rsidRPr="00DE51F3" w:rsidRDefault="009E236D" w:rsidP="00DE51F3">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DE51F3">
        <w:rPr>
          <w:rFonts w:ascii="Arial" w:hAnsi="Arial" w:cs="Arial"/>
          <w:color w:val="0F1115"/>
          <w:sz w:val="22"/>
          <w:szCs w:val="22"/>
        </w:rPr>
        <w:t>Slade, M., Oades, L. and Jarden, A. (201</w:t>
      </w:r>
      <w:r w:rsidR="00AF2418" w:rsidRPr="00DE51F3">
        <w:rPr>
          <w:rFonts w:ascii="Arial" w:hAnsi="Arial" w:cs="Arial"/>
          <w:color w:val="0F1115"/>
          <w:sz w:val="22"/>
          <w:szCs w:val="22"/>
          <w:lang w:val="en-US"/>
        </w:rPr>
        <w:t>7</w:t>
      </w:r>
      <w:r w:rsidRPr="00DE51F3">
        <w:rPr>
          <w:rFonts w:ascii="Arial" w:hAnsi="Arial" w:cs="Arial"/>
          <w:color w:val="0F1115"/>
          <w:sz w:val="22"/>
          <w:szCs w:val="22"/>
        </w:rPr>
        <w:t>). </w:t>
      </w:r>
      <w:r w:rsidRPr="00DE51F3">
        <w:rPr>
          <w:rStyle w:val="Emphasis"/>
          <w:rFonts w:ascii="Arial" w:hAnsi="Arial" w:cs="Arial"/>
          <w:color w:val="0F1115"/>
          <w:sz w:val="22"/>
          <w:szCs w:val="22"/>
        </w:rPr>
        <w:t>Wellbeing, Recovery and Mental Health</w:t>
      </w:r>
      <w:r w:rsidRPr="00DE51F3">
        <w:rPr>
          <w:rFonts w:ascii="Arial" w:hAnsi="Arial" w:cs="Arial"/>
          <w:color w:val="0F1115"/>
          <w:sz w:val="22"/>
          <w:szCs w:val="22"/>
        </w:rPr>
        <w:t>. Cambridge: Cambridge University Press.</w:t>
      </w:r>
    </w:p>
    <w:p w14:paraId="20310F5C" w14:textId="77777777" w:rsidR="009E236D" w:rsidRPr="00DE51F3" w:rsidRDefault="009E236D" w:rsidP="00DE51F3">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DE51F3">
        <w:rPr>
          <w:rFonts w:ascii="Arial" w:hAnsi="Arial" w:cs="Arial"/>
          <w:color w:val="0F1115"/>
          <w:sz w:val="22"/>
          <w:szCs w:val="22"/>
        </w:rPr>
        <w:t>Thornicroft, G. and Tansella, M. (2013). The balanced care model for global mental health. </w:t>
      </w:r>
      <w:r w:rsidRPr="00DE51F3">
        <w:rPr>
          <w:rStyle w:val="Emphasis"/>
          <w:rFonts w:ascii="Arial" w:hAnsi="Arial" w:cs="Arial"/>
          <w:color w:val="0F1115"/>
          <w:sz w:val="22"/>
          <w:szCs w:val="22"/>
        </w:rPr>
        <w:t>Psychological Medicine</w:t>
      </w:r>
      <w:r w:rsidRPr="00DE51F3">
        <w:rPr>
          <w:rFonts w:ascii="Arial" w:hAnsi="Arial" w:cs="Arial"/>
          <w:color w:val="0F1115"/>
          <w:sz w:val="22"/>
          <w:szCs w:val="22"/>
        </w:rPr>
        <w:t>, 43(4), pp.849-863.</w:t>
      </w:r>
    </w:p>
    <w:p w14:paraId="2F076BEE" w14:textId="77777777" w:rsidR="009E236D" w:rsidRPr="00DE51F3" w:rsidRDefault="009E236D" w:rsidP="00DE51F3">
      <w:pPr>
        <w:pStyle w:val="NormalWeb"/>
        <w:spacing w:line="360" w:lineRule="auto"/>
        <w:jc w:val="both"/>
        <w:rPr>
          <w:rFonts w:ascii="Arial" w:hAnsi="Arial" w:cs="Arial"/>
          <w:sz w:val="22"/>
          <w:szCs w:val="22"/>
        </w:rPr>
      </w:pPr>
    </w:p>
    <w:p w14:paraId="1E66AEC9" w14:textId="1BE045A2" w:rsidR="00912938" w:rsidRPr="00DE51F3" w:rsidRDefault="00912938" w:rsidP="00DE51F3">
      <w:pPr>
        <w:pStyle w:val="Heading2"/>
        <w:spacing w:line="360" w:lineRule="auto"/>
        <w:jc w:val="both"/>
        <w:rPr>
          <w:rFonts w:ascii="Arial" w:hAnsi="Arial" w:cs="Arial"/>
          <w:sz w:val="22"/>
          <w:szCs w:val="22"/>
        </w:rPr>
      </w:pPr>
      <w:r w:rsidRPr="00DE51F3">
        <w:rPr>
          <w:rStyle w:val="agcmg"/>
          <w:rFonts w:ascii="Arial" w:hAnsi="Arial" w:cs="Arial"/>
          <w:spacing w:val="10"/>
          <w:sz w:val="22"/>
          <w:szCs w:val="22"/>
          <w:lang w:val="en-US"/>
        </w:rPr>
        <w:t xml:space="preserve">Poster </w:t>
      </w:r>
      <w:r w:rsidRPr="00DE51F3">
        <w:rPr>
          <w:rStyle w:val="agcmg"/>
          <w:rFonts w:ascii="Arial" w:hAnsi="Arial" w:cs="Arial"/>
          <w:spacing w:val="10"/>
          <w:sz w:val="22"/>
          <w:szCs w:val="22"/>
        </w:rPr>
        <w:t>Reference list</w:t>
      </w:r>
    </w:p>
    <w:p w14:paraId="644C0B7E" w14:textId="77777777" w:rsidR="00912938" w:rsidRPr="00DE51F3" w:rsidRDefault="00912938" w:rsidP="00DE51F3">
      <w:pPr>
        <w:spacing w:before="100" w:beforeAutospacing="1" w:after="100" w:afterAutospacing="1" w:line="360" w:lineRule="auto"/>
        <w:jc w:val="both"/>
        <w:rPr>
          <w:rFonts w:ascii="Arial" w:hAnsi="Arial" w:cs="Arial"/>
        </w:rPr>
      </w:pPr>
      <w:r w:rsidRPr="00DE51F3">
        <w:rPr>
          <w:rStyle w:val="agcmg"/>
          <w:rFonts w:ascii="Arial" w:hAnsi="Arial" w:cs="Arial"/>
        </w:rPr>
        <w:t>Chiara, C.D., Sartori, G., Fantin, A., Castaldo, N. and Crisafulli, E. (2025). Reducing Hospital Readmissions in Chronic Obstructive Pulmonary Disease Patients: Current Treatments and Preventive Strategies. Medicina, [online] 61(1), pp.97–97. doi:</w:t>
      </w:r>
      <w:hyperlink r:id="rId9" w:tgtFrame="_blank" w:history="1">
        <w:r w:rsidRPr="00DE51F3">
          <w:rPr>
            <w:rStyle w:val="Hyperlink"/>
            <w:rFonts w:ascii="Arial" w:hAnsi="Arial" w:cs="Arial"/>
          </w:rPr>
          <w:t>https://doi.org/10.3390/medicina61010097</w:t>
        </w:r>
      </w:hyperlink>
      <w:r w:rsidRPr="00DE51F3">
        <w:rPr>
          <w:rStyle w:val="agcmg"/>
          <w:rFonts w:ascii="Arial" w:hAnsi="Arial" w:cs="Arial"/>
        </w:rPr>
        <w:t>.</w:t>
      </w:r>
    </w:p>
    <w:p w14:paraId="5461BCA2" w14:textId="77777777" w:rsidR="00912938" w:rsidRPr="00DE51F3" w:rsidRDefault="00912938" w:rsidP="00DE51F3">
      <w:pPr>
        <w:spacing w:before="100" w:beforeAutospacing="1" w:after="100" w:afterAutospacing="1" w:line="360" w:lineRule="auto"/>
        <w:jc w:val="both"/>
        <w:rPr>
          <w:rFonts w:ascii="Arial" w:hAnsi="Arial" w:cs="Arial"/>
        </w:rPr>
      </w:pPr>
      <w:r w:rsidRPr="00DE51F3">
        <w:rPr>
          <w:rStyle w:val="agcmg"/>
          <w:rFonts w:ascii="Arial" w:hAnsi="Arial" w:cs="Arial"/>
        </w:rPr>
        <w:t>Hamza, M.A., Imran, F., Ahmed, A., Ali, W., Siddique, H., Ahsan, H., Murtaza, B., Babar, Z.-U.-D. and Ahmed, A. (2025). Medication therapy management in Pakistan: a cross-sectional evaluation of pharmacists’ knowledge, attitudes, practices, and barriers. Journal of Pharmaceutical Health Care and Sciences, 11(1). doi:</w:t>
      </w:r>
      <w:hyperlink r:id="rId10" w:tgtFrame="_blank" w:history="1">
        <w:r w:rsidRPr="00DE51F3">
          <w:rPr>
            <w:rStyle w:val="Hyperlink"/>
            <w:rFonts w:ascii="Arial" w:hAnsi="Arial" w:cs="Arial"/>
          </w:rPr>
          <w:t>https://doi.org/10.1186/s40780-025-00493-8</w:t>
        </w:r>
      </w:hyperlink>
      <w:r w:rsidRPr="00DE51F3">
        <w:rPr>
          <w:rStyle w:val="agcmg"/>
          <w:rFonts w:ascii="Arial" w:hAnsi="Arial" w:cs="Arial"/>
        </w:rPr>
        <w:t>.</w:t>
      </w:r>
    </w:p>
    <w:p w14:paraId="448E8737" w14:textId="77777777" w:rsidR="00912938" w:rsidRPr="00DE51F3" w:rsidRDefault="00912938" w:rsidP="00DE51F3">
      <w:pPr>
        <w:spacing w:before="100" w:beforeAutospacing="1" w:after="100" w:afterAutospacing="1" w:line="360" w:lineRule="auto"/>
        <w:jc w:val="both"/>
        <w:rPr>
          <w:rFonts w:ascii="Arial" w:hAnsi="Arial" w:cs="Arial"/>
        </w:rPr>
      </w:pPr>
      <w:r w:rsidRPr="00DE51F3">
        <w:rPr>
          <w:rStyle w:val="agcmg"/>
          <w:rFonts w:ascii="Arial" w:hAnsi="Arial" w:cs="Arial"/>
        </w:rPr>
        <w:lastRenderedPageBreak/>
        <w:t>Jakovljevic, B., Stojanovic, K., Nikolic Turnic, T. and Jakovljevic, V.Lj. (2021). Burnout of Physicians, Pharmacists and Nurses in the Course of the COVID-19 Pandemic: A Serbian Cross-Sectional Questionnaire Study. International Journal of Environmental Research and Public Health, 18(16), p.8728. doi:</w:t>
      </w:r>
      <w:hyperlink r:id="rId11" w:tgtFrame="_blank" w:history="1">
        <w:r w:rsidRPr="00DE51F3">
          <w:rPr>
            <w:rStyle w:val="Hyperlink"/>
            <w:rFonts w:ascii="Arial" w:hAnsi="Arial" w:cs="Arial"/>
          </w:rPr>
          <w:t>https://doi.org/10.3390/ijerph18168728</w:t>
        </w:r>
      </w:hyperlink>
      <w:r w:rsidRPr="00DE51F3">
        <w:rPr>
          <w:rStyle w:val="agcmg"/>
          <w:rFonts w:ascii="Arial" w:hAnsi="Arial" w:cs="Arial"/>
        </w:rPr>
        <w:t>.</w:t>
      </w:r>
    </w:p>
    <w:p w14:paraId="2AE62631" w14:textId="77777777" w:rsidR="00912938" w:rsidRPr="00DE51F3" w:rsidRDefault="00912938" w:rsidP="00DE51F3">
      <w:pPr>
        <w:spacing w:before="100" w:beforeAutospacing="1" w:after="100" w:afterAutospacing="1" w:line="360" w:lineRule="auto"/>
        <w:jc w:val="both"/>
        <w:rPr>
          <w:rFonts w:ascii="Arial" w:hAnsi="Arial" w:cs="Arial"/>
        </w:rPr>
      </w:pPr>
      <w:r w:rsidRPr="00DE51F3">
        <w:rPr>
          <w:rStyle w:val="agcmg"/>
          <w:rFonts w:ascii="Arial" w:hAnsi="Arial" w:cs="Arial"/>
        </w:rPr>
        <w:t>Jarab, A.S., Al-Qerem, W., Mukattash, T.L., Abuhishmah, S.R. and Alkhdour, S. (2022). Pharmacists’ knowledge and attitudes toward Medication Therapy Management service and the associated challenges and barriers for its implementation. Saudi Pharmaceutical Journal. doi:</w:t>
      </w:r>
      <w:hyperlink r:id="rId12" w:tgtFrame="_blank" w:history="1">
        <w:r w:rsidRPr="00DE51F3">
          <w:rPr>
            <w:rStyle w:val="Hyperlink"/>
            <w:rFonts w:ascii="Arial" w:hAnsi="Arial" w:cs="Arial"/>
          </w:rPr>
          <w:t>https://doi.org/10.1016/j.jsps.2022.03.008</w:t>
        </w:r>
      </w:hyperlink>
      <w:r w:rsidRPr="00DE51F3">
        <w:rPr>
          <w:rStyle w:val="agcmg"/>
          <w:rFonts w:ascii="Arial" w:hAnsi="Arial" w:cs="Arial"/>
        </w:rPr>
        <w:t>.</w:t>
      </w:r>
    </w:p>
    <w:p w14:paraId="5A53FE24" w14:textId="77777777" w:rsidR="00912938" w:rsidRPr="00DE51F3" w:rsidRDefault="00912938" w:rsidP="00DE51F3">
      <w:pPr>
        <w:spacing w:before="100" w:beforeAutospacing="1" w:after="100" w:afterAutospacing="1" w:line="360" w:lineRule="auto"/>
        <w:jc w:val="both"/>
        <w:rPr>
          <w:rFonts w:ascii="Arial" w:hAnsi="Arial" w:cs="Arial"/>
        </w:rPr>
      </w:pPr>
      <w:r w:rsidRPr="00DE51F3">
        <w:rPr>
          <w:rStyle w:val="agcmg"/>
          <w:rFonts w:ascii="Arial" w:hAnsi="Arial" w:cs="Arial"/>
        </w:rPr>
        <w:t>Marupuru, S., Roether, A., Guimond, A.J., Stanley, C., Pesqueira, T. and Axon, D.R. (2022). A Systematic Review of Clinical Outcomes from Pharmacist Provided Medication Therapy Management (MTM) among Patients with Diabetes, Hypertension, or Dyslipidemia. Healthcare, 10(7), p.1207. doi:</w:t>
      </w:r>
      <w:hyperlink r:id="rId13" w:tgtFrame="_blank" w:history="1">
        <w:r w:rsidRPr="00DE51F3">
          <w:rPr>
            <w:rStyle w:val="Hyperlink"/>
            <w:rFonts w:ascii="Arial" w:hAnsi="Arial" w:cs="Arial"/>
          </w:rPr>
          <w:t>https://doi.org/10.3390/healthcare10071207</w:t>
        </w:r>
      </w:hyperlink>
      <w:r w:rsidRPr="00DE51F3">
        <w:rPr>
          <w:rStyle w:val="agcmg"/>
          <w:rFonts w:ascii="Arial" w:hAnsi="Arial" w:cs="Arial"/>
        </w:rPr>
        <w:t>.</w:t>
      </w:r>
    </w:p>
    <w:p w14:paraId="63498AD6" w14:textId="77777777" w:rsidR="00912938" w:rsidRPr="00DE51F3" w:rsidRDefault="00912938" w:rsidP="00DE51F3">
      <w:pPr>
        <w:spacing w:before="100" w:beforeAutospacing="1" w:after="100" w:afterAutospacing="1" w:line="360" w:lineRule="auto"/>
        <w:jc w:val="both"/>
        <w:rPr>
          <w:rFonts w:ascii="Arial" w:hAnsi="Arial" w:cs="Arial"/>
        </w:rPr>
      </w:pPr>
      <w:r w:rsidRPr="00DE51F3">
        <w:rPr>
          <w:rStyle w:val="agcmg"/>
          <w:rFonts w:ascii="Arial" w:hAnsi="Arial" w:cs="Arial"/>
        </w:rPr>
        <w:t>Megellas, M.M. (2006). Medicare Modernization: The New Prescription Drug Benefit and Redesigned Part B and Part C. Baylor University Medical Center Proceedings, 19(1), pp.21–23. doi:</w:t>
      </w:r>
      <w:hyperlink r:id="rId14" w:tgtFrame="_blank" w:history="1">
        <w:r w:rsidRPr="00DE51F3">
          <w:rPr>
            <w:rStyle w:val="Hyperlink"/>
            <w:rFonts w:ascii="Arial" w:hAnsi="Arial" w:cs="Arial"/>
          </w:rPr>
          <w:t>https://doi.org/10.1080/08998280.2006.11928119</w:t>
        </w:r>
      </w:hyperlink>
      <w:r w:rsidRPr="00DE51F3">
        <w:rPr>
          <w:rStyle w:val="agcmg"/>
          <w:rFonts w:ascii="Arial" w:hAnsi="Arial" w:cs="Arial"/>
        </w:rPr>
        <w:t>.</w:t>
      </w:r>
    </w:p>
    <w:p w14:paraId="176012D4" w14:textId="77777777" w:rsidR="00912938" w:rsidRPr="00DE51F3" w:rsidRDefault="00912938" w:rsidP="00DE51F3">
      <w:pPr>
        <w:spacing w:before="100" w:beforeAutospacing="1" w:after="100" w:afterAutospacing="1" w:line="360" w:lineRule="auto"/>
        <w:jc w:val="both"/>
        <w:rPr>
          <w:rFonts w:ascii="Arial" w:hAnsi="Arial" w:cs="Arial"/>
        </w:rPr>
      </w:pPr>
      <w:r w:rsidRPr="00DE51F3">
        <w:rPr>
          <w:rStyle w:val="agcmg"/>
          <w:rFonts w:ascii="Arial" w:hAnsi="Arial" w:cs="Arial"/>
        </w:rPr>
        <w:t>Radhakishan, M., Sashindran, V.K., Kellarai, A., Joel, J.J., Nanjesh Kumar, S., Ananthesh, L., Alex, A. and Mateti, U.V. (2026). The home medication review (HMR) checklist: development, validation, and feasibility study. Frontiers in Pharmacology, 17. doi:</w:t>
      </w:r>
      <w:hyperlink r:id="rId15" w:tgtFrame="_blank" w:history="1">
        <w:r w:rsidRPr="00DE51F3">
          <w:rPr>
            <w:rStyle w:val="Hyperlink"/>
            <w:rFonts w:ascii="Arial" w:hAnsi="Arial" w:cs="Arial"/>
          </w:rPr>
          <w:t>https://doi.org/10.3389/fphar.2026.1792080</w:t>
        </w:r>
      </w:hyperlink>
      <w:r w:rsidRPr="00DE51F3">
        <w:rPr>
          <w:rStyle w:val="agcmg"/>
          <w:rFonts w:ascii="Arial" w:hAnsi="Arial" w:cs="Arial"/>
        </w:rPr>
        <w:t>.</w:t>
      </w:r>
    </w:p>
    <w:p w14:paraId="5BBF15BF" w14:textId="77777777" w:rsidR="00912938" w:rsidRPr="00DE51F3" w:rsidRDefault="00912938" w:rsidP="00DE51F3">
      <w:pPr>
        <w:spacing w:before="100" w:beforeAutospacing="1" w:after="100" w:afterAutospacing="1" w:line="360" w:lineRule="auto"/>
        <w:jc w:val="both"/>
        <w:rPr>
          <w:rFonts w:ascii="Arial" w:hAnsi="Arial" w:cs="Arial"/>
        </w:rPr>
      </w:pPr>
      <w:r w:rsidRPr="00DE51F3">
        <w:rPr>
          <w:rStyle w:val="agcmg"/>
          <w:rFonts w:ascii="Arial" w:hAnsi="Arial" w:cs="Arial"/>
        </w:rPr>
        <w:t xml:space="preserve">Xeven (2023). The 5 Pros Of Telepharmacy In The Digital Age. [online] xeven SOLUTIONS. Available at: </w:t>
      </w:r>
      <w:hyperlink r:id="rId16" w:tgtFrame="_blank" w:history="1">
        <w:r w:rsidRPr="00DE51F3">
          <w:rPr>
            <w:rStyle w:val="Hyperlink"/>
            <w:rFonts w:ascii="Arial" w:hAnsi="Arial" w:cs="Arial"/>
          </w:rPr>
          <w:t>https://www.xevensolutions.com/blog/the-5-pros-of-telepharmacy-in-the-digital-age/</w:t>
        </w:r>
      </w:hyperlink>
      <w:r w:rsidRPr="00DE51F3">
        <w:rPr>
          <w:rStyle w:val="agcmg"/>
          <w:rFonts w:ascii="Arial" w:hAnsi="Arial" w:cs="Arial"/>
        </w:rPr>
        <w:t xml:space="preserve"> [Accessed 8 Jun. 2026].</w:t>
      </w:r>
    </w:p>
    <w:p w14:paraId="3A0BEBE1" w14:textId="77777777" w:rsidR="008D07C2" w:rsidRPr="00DE51F3" w:rsidRDefault="008D07C2" w:rsidP="00DE51F3">
      <w:pPr>
        <w:shd w:val="clear" w:color="auto" w:fill="FFFFFF"/>
        <w:spacing w:before="100" w:beforeAutospacing="1" w:after="0" w:line="360" w:lineRule="auto"/>
        <w:jc w:val="both"/>
        <w:rPr>
          <w:rFonts w:ascii="Arial" w:eastAsia="Times New Roman" w:hAnsi="Arial" w:cs="Arial"/>
          <w:color w:val="0F1115"/>
          <w:kern w:val="0"/>
          <w14:ligatures w14:val="none"/>
        </w:rPr>
      </w:pPr>
    </w:p>
    <w:sectPr w:rsidR="008D07C2" w:rsidRPr="00DE51F3">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24AFB" w14:textId="77777777" w:rsidR="00EB39E4" w:rsidRDefault="00EB39E4" w:rsidP="00532EA0">
      <w:pPr>
        <w:spacing w:after="0" w:line="240" w:lineRule="auto"/>
      </w:pPr>
      <w:r>
        <w:separator/>
      </w:r>
    </w:p>
  </w:endnote>
  <w:endnote w:type="continuationSeparator" w:id="0">
    <w:p w14:paraId="70E6823A" w14:textId="77777777" w:rsidR="00EB39E4" w:rsidRDefault="00EB39E4" w:rsidP="00532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48996"/>
      <w:docPartObj>
        <w:docPartGallery w:val="Page Numbers (Bottom of Page)"/>
        <w:docPartUnique/>
      </w:docPartObj>
    </w:sdtPr>
    <w:sdtEndPr>
      <w:rPr>
        <w:noProof/>
      </w:rPr>
    </w:sdtEndPr>
    <w:sdtContent>
      <w:p w14:paraId="74F53757" w14:textId="35CFE554" w:rsidR="00532EA0" w:rsidRDefault="00532E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37BD6B" w14:textId="77777777" w:rsidR="00532EA0" w:rsidRDefault="00532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73DA" w14:textId="77777777" w:rsidR="00EB39E4" w:rsidRDefault="00EB39E4" w:rsidP="00532EA0">
      <w:pPr>
        <w:spacing w:after="0" w:line="240" w:lineRule="auto"/>
      </w:pPr>
      <w:r>
        <w:separator/>
      </w:r>
    </w:p>
  </w:footnote>
  <w:footnote w:type="continuationSeparator" w:id="0">
    <w:p w14:paraId="2380116F" w14:textId="77777777" w:rsidR="00EB39E4" w:rsidRDefault="00EB39E4" w:rsidP="00532E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0553B"/>
    <w:multiLevelType w:val="multilevel"/>
    <w:tmpl w:val="0344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E4487"/>
    <w:multiLevelType w:val="multilevel"/>
    <w:tmpl w:val="6066C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1288E"/>
    <w:multiLevelType w:val="multilevel"/>
    <w:tmpl w:val="0216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B74B0"/>
    <w:multiLevelType w:val="multilevel"/>
    <w:tmpl w:val="C6400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AD4C17"/>
    <w:multiLevelType w:val="multilevel"/>
    <w:tmpl w:val="ACBA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082F73"/>
    <w:multiLevelType w:val="multilevel"/>
    <w:tmpl w:val="22F0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2185955">
    <w:abstractNumId w:val="2"/>
  </w:num>
  <w:num w:numId="2" w16cid:durableId="1886139653">
    <w:abstractNumId w:val="4"/>
  </w:num>
  <w:num w:numId="3" w16cid:durableId="1916428013">
    <w:abstractNumId w:val="1"/>
  </w:num>
  <w:num w:numId="4" w16cid:durableId="1538663102">
    <w:abstractNumId w:val="3"/>
  </w:num>
  <w:num w:numId="5" w16cid:durableId="1176580754">
    <w:abstractNumId w:val="5"/>
  </w:num>
  <w:num w:numId="6" w16cid:durableId="310906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41"/>
    <w:rsid w:val="00015E42"/>
    <w:rsid w:val="000C0CFA"/>
    <w:rsid w:val="00282C18"/>
    <w:rsid w:val="002862CA"/>
    <w:rsid w:val="002C3E3C"/>
    <w:rsid w:val="002F3EE6"/>
    <w:rsid w:val="003947F0"/>
    <w:rsid w:val="003E6A64"/>
    <w:rsid w:val="0044508C"/>
    <w:rsid w:val="004E4847"/>
    <w:rsid w:val="00506234"/>
    <w:rsid w:val="00532EA0"/>
    <w:rsid w:val="006517D0"/>
    <w:rsid w:val="0075149E"/>
    <w:rsid w:val="007658AE"/>
    <w:rsid w:val="0078118D"/>
    <w:rsid w:val="007917C1"/>
    <w:rsid w:val="007B316B"/>
    <w:rsid w:val="00854460"/>
    <w:rsid w:val="008D07C2"/>
    <w:rsid w:val="00912938"/>
    <w:rsid w:val="00972CF1"/>
    <w:rsid w:val="009863BF"/>
    <w:rsid w:val="009E236D"/>
    <w:rsid w:val="00A8339F"/>
    <w:rsid w:val="00AA1B30"/>
    <w:rsid w:val="00AD0167"/>
    <w:rsid w:val="00AF2418"/>
    <w:rsid w:val="00C95B97"/>
    <w:rsid w:val="00D113CC"/>
    <w:rsid w:val="00D72E49"/>
    <w:rsid w:val="00D8408B"/>
    <w:rsid w:val="00D95C07"/>
    <w:rsid w:val="00DE51F3"/>
    <w:rsid w:val="00EA5799"/>
    <w:rsid w:val="00EB39E4"/>
    <w:rsid w:val="00EC393A"/>
    <w:rsid w:val="00F04568"/>
    <w:rsid w:val="00F32C41"/>
    <w:rsid w:val="00FD52E7"/>
    <w:rsid w:val="00FF3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D827C"/>
  <w15:chartTrackingRefBased/>
  <w15:docId w15:val="{36F9E6A1-56E7-4BB3-AAFC-D543F49A8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544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32C41"/>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2C41"/>
    <w:rPr>
      <w:rFonts w:ascii="Times New Roman" w:eastAsia="Times New Roman" w:hAnsi="Times New Roman" w:cs="Times New Roman"/>
      <w:b/>
      <w:bCs/>
      <w:kern w:val="0"/>
      <w:sz w:val="36"/>
      <w:szCs w:val="36"/>
      <w14:ligatures w14:val="none"/>
    </w:rPr>
  </w:style>
  <w:style w:type="paragraph" w:customStyle="1" w:styleId="ds-markdown-paragraph">
    <w:name w:val="ds-markdown-paragraph"/>
    <w:basedOn w:val="Normal"/>
    <w:rsid w:val="00F32C4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32C41"/>
    <w:rPr>
      <w:b/>
      <w:bCs/>
    </w:rPr>
  </w:style>
  <w:style w:type="paragraph" w:styleId="NormalWeb">
    <w:name w:val="Normal (Web)"/>
    <w:basedOn w:val="Normal"/>
    <w:uiPriority w:val="99"/>
    <w:unhideWhenUsed/>
    <w:rsid w:val="008D07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E236D"/>
    <w:rPr>
      <w:i/>
      <w:iCs/>
    </w:rPr>
  </w:style>
  <w:style w:type="character" w:customStyle="1" w:styleId="Heading1Char">
    <w:name w:val="Heading 1 Char"/>
    <w:basedOn w:val="DefaultParagraphFont"/>
    <w:link w:val="Heading1"/>
    <w:uiPriority w:val="9"/>
    <w:rsid w:val="00854460"/>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854460"/>
    <w:pPr>
      <w:outlineLvl w:val="9"/>
    </w:pPr>
    <w:rPr>
      <w:kern w:val="0"/>
      <w:lang w:val="en-US"/>
      <w14:ligatures w14:val="none"/>
    </w:rPr>
  </w:style>
  <w:style w:type="paragraph" w:styleId="TOC2">
    <w:name w:val="toc 2"/>
    <w:basedOn w:val="Normal"/>
    <w:next w:val="Normal"/>
    <w:autoRedefine/>
    <w:uiPriority w:val="39"/>
    <w:unhideWhenUsed/>
    <w:rsid w:val="00854460"/>
    <w:pPr>
      <w:spacing w:after="100"/>
      <w:ind w:left="220"/>
    </w:pPr>
  </w:style>
  <w:style w:type="character" w:styleId="Hyperlink">
    <w:name w:val="Hyperlink"/>
    <w:basedOn w:val="DefaultParagraphFont"/>
    <w:uiPriority w:val="99"/>
    <w:unhideWhenUsed/>
    <w:rsid w:val="00854460"/>
    <w:rPr>
      <w:color w:val="0563C1" w:themeColor="hyperlink"/>
      <w:u w:val="single"/>
    </w:rPr>
  </w:style>
  <w:style w:type="paragraph" w:styleId="Header">
    <w:name w:val="header"/>
    <w:basedOn w:val="Normal"/>
    <w:link w:val="HeaderChar"/>
    <w:uiPriority w:val="99"/>
    <w:unhideWhenUsed/>
    <w:rsid w:val="00532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2EA0"/>
    <w:rPr>
      <w:lang w:val="en-GB"/>
    </w:rPr>
  </w:style>
  <w:style w:type="paragraph" w:styleId="Footer">
    <w:name w:val="footer"/>
    <w:basedOn w:val="Normal"/>
    <w:link w:val="FooterChar"/>
    <w:uiPriority w:val="99"/>
    <w:unhideWhenUsed/>
    <w:rsid w:val="00532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2EA0"/>
    <w:rPr>
      <w:lang w:val="en-GB"/>
    </w:rPr>
  </w:style>
  <w:style w:type="paragraph" w:customStyle="1" w:styleId="cvgsua">
    <w:name w:val="cvgsua"/>
    <w:basedOn w:val="Normal"/>
    <w:rsid w:val="0091293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gcmg">
    <w:name w:val="a_gcmg"/>
    <w:basedOn w:val="DefaultParagraphFont"/>
    <w:rsid w:val="00912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143169">
      <w:bodyDiv w:val="1"/>
      <w:marLeft w:val="0"/>
      <w:marRight w:val="0"/>
      <w:marTop w:val="0"/>
      <w:marBottom w:val="0"/>
      <w:divBdr>
        <w:top w:val="none" w:sz="0" w:space="0" w:color="auto"/>
        <w:left w:val="none" w:sz="0" w:space="0" w:color="auto"/>
        <w:bottom w:val="none" w:sz="0" w:space="0" w:color="auto"/>
        <w:right w:val="none" w:sz="0" w:space="0" w:color="auto"/>
      </w:divBdr>
    </w:div>
    <w:div w:id="304899483">
      <w:bodyDiv w:val="1"/>
      <w:marLeft w:val="0"/>
      <w:marRight w:val="0"/>
      <w:marTop w:val="0"/>
      <w:marBottom w:val="0"/>
      <w:divBdr>
        <w:top w:val="none" w:sz="0" w:space="0" w:color="auto"/>
        <w:left w:val="none" w:sz="0" w:space="0" w:color="auto"/>
        <w:bottom w:val="none" w:sz="0" w:space="0" w:color="auto"/>
        <w:right w:val="none" w:sz="0" w:space="0" w:color="auto"/>
      </w:divBdr>
    </w:div>
    <w:div w:id="414283055">
      <w:bodyDiv w:val="1"/>
      <w:marLeft w:val="0"/>
      <w:marRight w:val="0"/>
      <w:marTop w:val="0"/>
      <w:marBottom w:val="0"/>
      <w:divBdr>
        <w:top w:val="none" w:sz="0" w:space="0" w:color="auto"/>
        <w:left w:val="none" w:sz="0" w:space="0" w:color="auto"/>
        <w:bottom w:val="none" w:sz="0" w:space="0" w:color="auto"/>
        <w:right w:val="none" w:sz="0" w:space="0" w:color="auto"/>
      </w:divBdr>
    </w:div>
    <w:div w:id="493573002">
      <w:bodyDiv w:val="1"/>
      <w:marLeft w:val="0"/>
      <w:marRight w:val="0"/>
      <w:marTop w:val="0"/>
      <w:marBottom w:val="0"/>
      <w:divBdr>
        <w:top w:val="none" w:sz="0" w:space="0" w:color="auto"/>
        <w:left w:val="none" w:sz="0" w:space="0" w:color="auto"/>
        <w:bottom w:val="none" w:sz="0" w:space="0" w:color="auto"/>
        <w:right w:val="none" w:sz="0" w:space="0" w:color="auto"/>
      </w:divBdr>
      <w:divsChild>
        <w:div w:id="446781183">
          <w:marLeft w:val="0"/>
          <w:marRight w:val="0"/>
          <w:marTop w:val="0"/>
          <w:marBottom w:val="0"/>
          <w:divBdr>
            <w:top w:val="none" w:sz="0" w:space="0" w:color="auto"/>
            <w:left w:val="none" w:sz="0" w:space="0" w:color="auto"/>
            <w:bottom w:val="none" w:sz="0" w:space="0" w:color="auto"/>
            <w:right w:val="none" w:sz="0" w:space="0" w:color="auto"/>
          </w:divBdr>
        </w:div>
      </w:divsChild>
    </w:div>
    <w:div w:id="548764817">
      <w:bodyDiv w:val="1"/>
      <w:marLeft w:val="0"/>
      <w:marRight w:val="0"/>
      <w:marTop w:val="0"/>
      <w:marBottom w:val="0"/>
      <w:divBdr>
        <w:top w:val="none" w:sz="0" w:space="0" w:color="auto"/>
        <w:left w:val="none" w:sz="0" w:space="0" w:color="auto"/>
        <w:bottom w:val="none" w:sz="0" w:space="0" w:color="auto"/>
        <w:right w:val="none" w:sz="0" w:space="0" w:color="auto"/>
      </w:divBdr>
    </w:div>
    <w:div w:id="981541609">
      <w:bodyDiv w:val="1"/>
      <w:marLeft w:val="0"/>
      <w:marRight w:val="0"/>
      <w:marTop w:val="0"/>
      <w:marBottom w:val="0"/>
      <w:divBdr>
        <w:top w:val="none" w:sz="0" w:space="0" w:color="auto"/>
        <w:left w:val="none" w:sz="0" w:space="0" w:color="auto"/>
        <w:bottom w:val="none" w:sz="0" w:space="0" w:color="auto"/>
        <w:right w:val="none" w:sz="0" w:space="0" w:color="auto"/>
      </w:divBdr>
    </w:div>
    <w:div w:id="139415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healthcare1007120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sps.2022.03.00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xevensolutions.com/blog/the-5-pros-of-telepharmacy-in-the-digital-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ijerph18168728" TargetMode="External"/><Relationship Id="rId5" Type="http://schemas.openxmlformats.org/officeDocument/2006/relationships/webSettings" Target="webSettings.xml"/><Relationship Id="rId15" Type="http://schemas.openxmlformats.org/officeDocument/2006/relationships/hyperlink" Target="https://doi.org/10.3389/fphar.2026.1792080" TargetMode="External"/><Relationship Id="rId10" Type="http://schemas.openxmlformats.org/officeDocument/2006/relationships/hyperlink" Target="https://doi.org/10.1186/s40780-025-00493-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3390/medicina61010097" TargetMode="External"/><Relationship Id="rId14" Type="http://schemas.openxmlformats.org/officeDocument/2006/relationships/hyperlink" Target="https://doi.org/10.1080/08998280.2006.11928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5FE8B-77CC-4C13-964E-DF08EBE80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1342</Words>
  <Characters>8662</Characters>
  <Application>Microsoft Office Word</Application>
  <DocSecurity>0</DocSecurity>
  <Lines>151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CDC</dc:creator>
  <cp:keywords/>
  <dc:description/>
  <cp:lastModifiedBy>Syed Nadeem (2313914)</cp:lastModifiedBy>
  <cp:revision>24</cp:revision>
  <dcterms:created xsi:type="dcterms:W3CDTF">2026-06-07T01:52:00Z</dcterms:created>
  <dcterms:modified xsi:type="dcterms:W3CDTF">2026-06-19T21:52:00Z</dcterms:modified>
</cp:coreProperties>
</file>