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Health Assessment Report</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Student’s Name: Sawsan ELhuda</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Lectrer Name: Rachael Rivers</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Course:Bsc Health and Social Care Introduction to Physiology</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 code:BMHP5003</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UWTSD</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Case Study Report</w:t>
      </w: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Bob is an adult 52 year old male who is a professional truck driver and a father of one daughter. He has been divorced for the last 5 years and has since then moved on to live alone as his daugher lives with his grand children. The life of Bob like any other  american truck driver is majorly sedentary with minimal hopurs commited for physical activity. He is a known smoker for the last 32 years and takes alcohol once in a while. On a psyche perspective he is lonely and thus susceptible to depression. His dieting has deteriorated since his wife left and now he eats only fast foods. In this review, I will be focusing on the negative and positive areas in terms of normal physiology and general health. Generally the health risks he faces are not limited to cardiovascular, respiratory, psychiatric and musculoskelatal pathologies.</w:t>
      </w: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Case study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Name​          BOB            ​Age 52 years old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Sex: Male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BP: 141/94</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Height 5’9</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Weight 95.254 kgs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BM1: 95.254/ </w:t>
        <w:tab/>
        <w:t xml:space="preserve">1.753= 30.73</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 you smoke?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b/>
          <w:color w:val="5B9BD5"/>
          <w:spacing w:val="0"/>
          <w:position w:val="0"/>
          <w:sz w:val="24"/>
          <w:shd w:fill="auto" w:val="clear"/>
        </w:rPr>
      </w:pPr>
      <w:r>
        <w:rPr>
          <w:rFonts w:ascii="Times New Roman" w:hAnsi="Times New Roman" w:cs="Times New Roman" w:eastAsia="Times New Roman"/>
          <w:b/>
          <w:color w:val="5B9BD5"/>
          <w:spacing w:val="0"/>
          <w:position w:val="0"/>
          <w:sz w:val="24"/>
          <w:shd w:fill="auto" w:val="clear"/>
        </w:rPr>
        <w:t xml:space="preserve">Yes[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 [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If Yes, do you </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smoke less than 1</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cigarette/day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9cigarettes/day</w:t>
      </w:r>
    </w:p>
    <w:p>
      <w:pPr>
        <w:spacing w:before="0" w:after="160" w:line="480"/>
        <w:ind w:right="0" w:left="0" w:firstLine="0"/>
        <w:jc w:val="both"/>
        <w:rPr>
          <w:rFonts w:ascii="Times New Roman" w:hAnsi="Times New Roman" w:cs="Times New Roman" w:eastAsia="Times New Roman"/>
          <w:b/>
          <w:color w:val="5B9BD5"/>
          <w:spacing w:val="0"/>
          <w:position w:val="0"/>
          <w:sz w:val="24"/>
          <w:shd w:fill="auto" w:val="clear"/>
        </w:rPr>
      </w:pPr>
      <w:r>
        <w:rPr>
          <w:rFonts w:ascii="Times New Roman" w:hAnsi="Times New Roman" w:cs="Times New Roman" w:eastAsia="Times New Roman"/>
          <w:b/>
          <w:color w:val="5B9BD5"/>
          <w:spacing w:val="0"/>
          <w:position w:val="0"/>
          <w:sz w:val="24"/>
          <w:shd w:fill="auto" w:val="clear"/>
        </w:rPr>
        <w:t xml:space="preserve">10-19cigarettes/day*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20-39cigarettes/day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more than 40cigarettes/day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smoke a pipe[]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smoke cigars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 you have high blood pressure?</w:t>
      </w:r>
    </w:p>
    <w:p>
      <w:pPr>
        <w:spacing w:before="0" w:after="160" w:line="480"/>
        <w:ind w:right="0" w:left="0" w:firstLine="0"/>
        <w:jc w:val="both"/>
        <w:rPr>
          <w:rFonts w:ascii="Times New Roman" w:hAnsi="Times New Roman" w:cs="Times New Roman" w:eastAsia="Times New Roman"/>
          <w:b/>
          <w:color w:val="5B9BD5"/>
          <w:spacing w:val="0"/>
          <w:position w:val="0"/>
          <w:sz w:val="24"/>
          <w:shd w:fill="auto" w:val="clear"/>
        </w:rPr>
      </w:pPr>
      <w:r>
        <w:rPr>
          <w:rFonts w:ascii="Times New Roman" w:hAnsi="Times New Roman" w:cs="Times New Roman" w:eastAsia="Times New Roman"/>
          <w:b/>
          <w:color w:val="5B9BD5"/>
          <w:spacing w:val="0"/>
          <w:position w:val="0"/>
          <w:sz w:val="24"/>
          <w:shd w:fill="auto" w:val="clear"/>
        </w:rPr>
        <w:t xml:space="preserve">No</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Have you ever had a heart attack or suffered from angina?</w:t>
      </w:r>
    </w:p>
    <w:p>
      <w:pPr>
        <w:spacing w:before="0" w:after="160" w:line="480"/>
        <w:ind w:right="0" w:left="0" w:firstLine="0"/>
        <w:jc w:val="both"/>
        <w:rPr>
          <w:rFonts w:ascii="Times New Roman" w:hAnsi="Times New Roman" w:cs="Times New Roman" w:eastAsia="Times New Roman"/>
          <w:b/>
          <w:color w:val="5B9BD5"/>
          <w:spacing w:val="0"/>
          <w:position w:val="0"/>
          <w:sz w:val="24"/>
          <w:shd w:fill="auto" w:val="clear"/>
        </w:rPr>
      </w:pPr>
      <w:r>
        <w:rPr>
          <w:rFonts w:ascii="Times New Roman" w:hAnsi="Times New Roman" w:cs="Times New Roman" w:eastAsia="Times New Roman"/>
          <w:b/>
          <w:color w:val="5B9BD5"/>
          <w:spacing w:val="0"/>
          <w:position w:val="0"/>
          <w:sz w:val="24"/>
          <w:shd w:fill="auto" w:val="clear"/>
        </w:rPr>
        <w:t xml:space="preserve">No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Have you ever had a stroke, “shock”</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brothers or sisters had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Information Not Available</w:t>
      </w: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heart attack below the age of 60- </w:t>
      </w:r>
      <w:r>
        <w:rPr>
          <w:rFonts w:ascii="Times New Roman" w:hAnsi="Times New Roman" w:cs="Times New Roman" w:eastAsia="Times New Roman"/>
          <w:b/>
          <w:color w:val="auto"/>
          <w:spacing w:val="0"/>
          <w:position w:val="0"/>
          <w:sz w:val="24"/>
          <w:shd w:fill="auto" w:val="clear"/>
        </w:rPr>
        <w:t xml:space="preserve">Information Not available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Other known systemic diseases- </w:t>
      </w:r>
      <w:r>
        <w:rPr>
          <w:rFonts w:ascii="Times New Roman" w:hAnsi="Times New Roman" w:cs="Times New Roman" w:eastAsia="Times New Roman"/>
          <w:b/>
          <w:color w:val="auto"/>
          <w:spacing w:val="0"/>
          <w:position w:val="0"/>
          <w:sz w:val="24"/>
          <w:shd w:fill="auto" w:val="clear"/>
        </w:rPr>
        <w:t xml:space="preserve">No</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Exercise: </w:t>
      </w:r>
      <w:r>
        <w:rPr>
          <w:rFonts w:ascii="Times New Roman" w:hAnsi="Times New Roman" w:cs="Times New Roman" w:eastAsia="Times New Roman"/>
          <w:b/>
          <w:color w:val="auto"/>
          <w:spacing w:val="0"/>
          <w:position w:val="0"/>
          <w:sz w:val="24"/>
          <w:shd w:fill="auto" w:val="clear"/>
        </w:rPr>
        <w:t xml:space="preserve">seldom</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Diet: </w:t>
      </w:r>
      <w:r>
        <w:rPr>
          <w:rFonts w:ascii="Times New Roman" w:hAnsi="Times New Roman" w:cs="Times New Roman" w:eastAsia="Times New Roman"/>
          <w:b/>
          <w:color w:val="auto"/>
          <w:spacing w:val="0"/>
          <w:position w:val="0"/>
          <w:sz w:val="24"/>
          <w:shd w:fill="auto" w:val="clear"/>
        </w:rPr>
        <w:t xml:space="preserve">I mainly Eat snacks( Meals on the go)</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Alcohol: </w:t>
      </w:r>
      <w:r>
        <w:rPr>
          <w:rFonts w:ascii="Times New Roman" w:hAnsi="Times New Roman" w:cs="Times New Roman" w:eastAsia="Times New Roman"/>
          <w:b/>
          <w:color w:val="auto"/>
          <w:spacing w:val="0"/>
          <w:position w:val="0"/>
          <w:sz w:val="24"/>
          <w:shd w:fill="auto" w:val="clear"/>
        </w:rPr>
        <w:t xml:space="preserve">I drink between 7 and 9 units a day</w:t>
      </w: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Report Assesment </w:t>
      </w:r>
    </w:p>
    <w:p>
      <w:pPr>
        <w:numPr>
          <w:ilvl w:val="0"/>
          <w:numId w:val="6"/>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High BMI</w:t>
      </w:r>
    </w:p>
    <w:p>
      <w:pPr>
        <w:spacing w:before="0" w:after="160" w:line="480"/>
        <w:ind w:right="0" w:left="0" w:firstLine="0"/>
        <w:jc w:val="both"/>
        <w:rPr>
          <w:rFonts w:ascii="Times New Roman" w:hAnsi="Times New Roman" w:cs="Times New Roman" w:eastAsia="Times New Roman"/>
          <w:color w:val="212121"/>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Bob's body mass index is 30, which is considered to be very high and indicative of obesity. The body mass index, often known as BMI, is the benchmark that is used to define adult anthropometric height and weight features and to classify people into several groups. In the eyes of the vast majority of people, it is a measurement of how overweight someone is. It is also often noted as a likely contributor to the development of a variety of illnesses and disorders, which is something that happens very frequently. Not only that, but it is also often used in the process of creating policies on public health (</w:t>
      </w:r>
      <w:r>
        <w:rPr>
          <w:rFonts w:ascii="Times New Roman" w:hAnsi="Times New Roman" w:cs="Times New Roman" w:eastAsia="Times New Roman"/>
          <w:color w:val="222222"/>
          <w:spacing w:val="0"/>
          <w:position w:val="0"/>
          <w:sz w:val="24"/>
          <w:shd w:fill="FFFFFF" w:val="clear"/>
        </w:rPr>
        <w:t xml:space="preserve">Atkinson et al, 2018)</w:t>
      </w:r>
      <w:r>
        <w:rPr>
          <w:rFonts w:ascii="Times New Roman" w:hAnsi="Times New Roman" w:cs="Times New Roman" w:eastAsia="Times New Roman"/>
          <w:color w:val="auto"/>
          <w:spacing w:val="0"/>
          <w:position w:val="0"/>
          <w:sz w:val="24"/>
          <w:shd w:fill="auto" w:val="clear"/>
        </w:rPr>
        <w:t xml:space="preserve">. The Body Mass Index (BMI) has shown to be useful in population-based research because to the universal acceptance it has garnered for classifying particular ranges of body mass as a potential threat to one's health. The body mass index (BMI) of a person has been used for a significant amount of time to estimate their degree of body fat; nevertheless, it has been shown that this is an increasingly inaccurate prediction. In addition, the BMI does not take into consideration the fact that fat distribution may vary greatly across the body. Bob, on the other hand, has a body mass index that is high enough to warrant an obesity diagnosis (Brookes, 2021). This is the case because Bob smokes</w:t>
      </w:r>
      <w:r>
        <w:rPr>
          <w:rFonts w:ascii="Times New Roman" w:hAnsi="Times New Roman" w:cs="Times New Roman" w:eastAsia="Times New Roman"/>
          <w:color w:val="212121"/>
          <w:spacing w:val="0"/>
          <w:position w:val="0"/>
          <w:sz w:val="24"/>
          <w:shd w:fill="FFFFFF" w:val="clear"/>
        </w:rPr>
        <w:t xml:space="preserve">, has a poor diet and rarely excercises.</w:t>
      </w:r>
    </w:p>
    <w:p>
      <w:pPr>
        <w:numPr>
          <w:ilvl w:val="0"/>
          <w:numId w:val="8"/>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12121"/>
          <w:spacing w:val="0"/>
          <w:position w:val="0"/>
          <w:sz w:val="24"/>
          <w:shd w:fill="FFFFFF" w:val="clear"/>
        </w:rPr>
        <w:t xml:space="preserve">Borderline Hypertension</w:t>
      </w:r>
    </w:p>
    <w:p>
      <w:pPr>
        <w:spacing w:before="0" w:after="160" w:line="480"/>
        <w:ind w:right="0" w:left="0" w:firstLine="0"/>
        <w:jc w:val="both"/>
        <w:rPr>
          <w:rFonts w:ascii="Times New Roman" w:hAnsi="Times New Roman" w:cs="Times New Roman" w:eastAsia="Times New Roman"/>
          <w:color w:val="212121"/>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Bob suffers from hypertension as a result of his blood pressure readings that are constantly at or above 140/94. Numerous people have what is known as borderline hypertension, which refers to slightly increased blood pressure readings. Despite the fact that the elevated blood pressure does not seem to be related to anything else and often returns to normal once the patient has had some time to rest, there are indications that the physiologic regulation of the circulation has undergone a significant and complicated change. The pathophysiology of borderline hypertension is an extremely interesting field of study because it has the potential to shed light on the causes of the initial rise in blood pressure rather than just the symptoms of this rise (</w:t>
      </w:r>
      <w:r>
        <w:rPr>
          <w:rFonts w:ascii="Times New Roman" w:hAnsi="Times New Roman" w:cs="Times New Roman" w:eastAsia="Times New Roman"/>
          <w:color w:val="212121"/>
          <w:spacing w:val="0"/>
          <w:position w:val="0"/>
          <w:sz w:val="24"/>
          <w:shd w:fill="FFFFFF" w:val="clear"/>
        </w:rPr>
        <w:t xml:space="preserve">Julius 2016)</w:t>
      </w:r>
      <w:r>
        <w:rPr>
          <w:rFonts w:ascii="Times New Roman" w:hAnsi="Times New Roman" w:cs="Times New Roman" w:eastAsia="Times New Roman"/>
          <w:color w:val="auto"/>
          <w:spacing w:val="0"/>
          <w:position w:val="0"/>
          <w:sz w:val="24"/>
          <w:shd w:fill="auto" w:val="clear"/>
        </w:rPr>
        <w:t xml:space="preserve">. Patients who have prehypertension have an increased likelihood of acquiring persistent hypertension as well as the consequences that are linked with it. However, there is a possibility that the danger is not always high enough to warrant therapy. Monitoring patients on a consistent basis is essential in order to keep tabs on any fluctuations in blood pressure and conduct clinical trials on the appropriate patient population. The foundation of the risk assessment is comprised of several blood pressure readings, as well as an examination of atherosclerosis and the variables that may contribute to the development of hypertension in the future. As a result, it is imperative that Bob's blood pressure be continuously monitored, and he must also take antihypertensive medicine in order to bring it down</w:t>
      </w:r>
      <w:r>
        <w:rPr>
          <w:rFonts w:ascii="Times New Roman" w:hAnsi="Times New Roman" w:cs="Times New Roman" w:eastAsia="Times New Roman"/>
          <w:color w:val="212121"/>
          <w:spacing w:val="0"/>
          <w:position w:val="0"/>
          <w:sz w:val="24"/>
          <w:shd w:fill="FFFFFF" w:val="clear"/>
        </w:rPr>
        <w:t xml:space="preserve">.</w:t>
      </w:r>
    </w:p>
    <w:p>
      <w:pPr>
        <w:numPr>
          <w:ilvl w:val="0"/>
          <w:numId w:val="10"/>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Smoking Habit</w:t>
      </w: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Bob has been a smoker for close to 32 years, and he now consumes the equivalent of 12 packs of cigarettes on a daily basis. The pack life is equal to 19.2 years if this is taken into account. The majority of smokers began while they were still considered to be young. They often associate with others who also have an addiction to cigarettes, which seems to be the case. The tobacco business devotes a significant portion of its revenue to marketing, and it has directed the majority of its messaging at young people. The commercial and social media provide the impression that smoking is not only acceptable but rather desired. Smoke from tobacco comprises almost 4,000 distinct chemical components. When a smoker inhales straight from the lighted end of the cigarette, they are taking in mainstream smoke, which is denser, hotter, and includes a greater quantity of chemicals than sidestream smoke </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Adams, Morris &amp; Bomgaars, 2021)</w:t>
      </w:r>
      <w:r>
        <w:rPr>
          <w:rFonts w:ascii="Times New Roman" w:hAnsi="Times New Roman" w:cs="Times New Roman" w:eastAsia="Times New Roman"/>
          <w:color w:val="auto"/>
          <w:spacing w:val="0"/>
          <w:position w:val="0"/>
          <w:sz w:val="24"/>
          <w:shd w:fill="auto" w:val="clear"/>
        </w:rPr>
        <w:t xml:space="preserve">. Even secondhand smoking has been related to deadly diseases, making mainstream smoke the most hazardous kind of cigarette smoke. Many of the chemical components of cigarette smoke are produced at temperatures ranging from around 315 to 482 degrees Celsius (600 to 900 degrees Fahrenheit). After being pulled off the cigarette, the smoke particles quickly expand as a result of humidification caused by the presence of wet air in the upper respiratory tract. When conventional smoke enters the lungs, it begins to condense, leaving behind anywhere from 50 to 95 percent of its volatile organic components in the bronchi, bronchioles, and alveoli</w:t>
      </w:r>
      <w:r>
        <w:rPr>
          <w:rFonts w:ascii="Times New Roman" w:hAnsi="Times New Roman" w:cs="Times New Roman" w:eastAsia="Times New Roman"/>
          <w:color w:val="000000"/>
          <w:spacing w:val="0"/>
          <w:position w:val="0"/>
          <w:sz w:val="24"/>
          <w:shd w:fill="FFFFFF" w:val="clear"/>
        </w:rPr>
        <w:t xml:space="preserve">. </w:t>
      </w:r>
    </w:p>
    <w:p>
      <w:pPr>
        <w:numPr>
          <w:ilvl w:val="0"/>
          <w:numId w:val="12"/>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Poor dieting </w:t>
      </w:r>
    </w:p>
    <w:p>
      <w:pPr>
        <w:spacing w:before="0" w:after="150" w:line="480"/>
        <w:ind w:right="0" w:left="0" w:firstLine="0"/>
        <w:jc w:val="both"/>
        <w:rPr>
          <w:rFonts w:ascii="Times New Roman" w:hAnsi="Times New Roman" w:cs="Times New Roman" w:eastAsia="Times New Roman"/>
          <w:color w:val="333333"/>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Bob seldom ever consumes home-cooked meals or anything that even somewhat resembles a nutritious diet. He is only able to consume little bits and fast meals when he is on the go since his line of work and the individuals he comes in contact with on a daily basis make it impossible for him to sit down for a proper meal. The quantity of nutrients that are consumed by a person as well as their capacity to absorb those nutrients for use in the process of growth, development, physiological state (such as pregnancy and breastfeeding), physical activity, and immune function are all included in the definition of "diet quality." Another measure of the quality of a person's diet is the variety of the diet, which refers to the quantity and types of food categories that are consumed. Proteins, vitamin A, iron, and zinc are all nutrients that are mostly found in animal products. In regions where there is restricted access to food, these nutrients may be in low supply (</w:t>
      </w:r>
      <w:r>
        <w:rPr>
          <w:rFonts w:ascii="Times New Roman" w:hAnsi="Times New Roman" w:cs="Times New Roman" w:eastAsia="Times New Roman"/>
          <w:color w:val="222222"/>
          <w:spacing w:val="0"/>
          <w:position w:val="0"/>
          <w:sz w:val="24"/>
          <w:shd w:fill="FFFFFF" w:val="clear"/>
        </w:rPr>
        <w:t xml:space="preserve">Sievenpiper et al,2018)</w:t>
      </w:r>
      <w:r>
        <w:rPr>
          <w:rFonts w:ascii="Times New Roman" w:hAnsi="Times New Roman" w:cs="Times New Roman" w:eastAsia="Times New Roman"/>
          <w:color w:val="auto"/>
          <w:spacing w:val="0"/>
          <w:position w:val="0"/>
          <w:sz w:val="24"/>
          <w:shd w:fill="FFFFFF" w:val="clear"/>
        </w:rPr>
        <w:t xml:space="preserve">. Inadequate consumption of high-quality protein and micronutrients has been linked to a number of negative health outcomes, including stunted growth, mortality, and infections in newborns and young children; impaired intellectual capacity in children; and, ultimately, lower levels of productivity in adults (particularly zinc and iron). When people's financial circumstances improve, they have a tendency to increase the amount of animal products, fats and oils, sweets, and highly processed meals that they consume in their diets. This phenomenon, which is referred to as the "nutrition shift," has long-term repercussions that include an increase in the likelihood of developing non-communicable diseases as well as an increase in the risk of being overweight or obese</w:t>
      </w:r>
      <w:r>
        <w:rPr>
          <w:rFonts w:ascii="Times New Roman" w:hAnsi="Times New Roman" w:cs="Times New Roman" w:eastAsia="Times New Roman"/>
          <w:color w:val="333333"/>
          <w:spacing w:val="0"/>
          <w:position w:val="0"/>
          <w:sz w:val="24"/>
          <w:shd w:fill="FFFFFF" w:val="clear"/>
        </w:rPr>
        <w:t xml:space="preserve">.</w:t>
      </w:r>
    </w:p>
    <w:p>
      <w:pPr>
        <w:spacing w:before="0" w:after="150" w:line="480"/>
        <w:ind w:right="0" w:left="0" w:firstLine="0"/>
        <w:jc w:val="center"/>
        <w:rPr>
          <w:rFonts w:ascii="Times New Roman" w:hAnsi="Times New Roman" w:cs="Times New Roman" w:eastAsia="Times New Roman"/>
          <w:b/>
          <w:color w:val="333333"/>
          <w:spacing w:val="0"/>
          <w:position w:val="0"/>
          <w:sz w:val="24"/>
          <w:shd w:fill="FFFFFF" w:val="clear"/>
        </w:rPr>
      </w:pPr>
      <w:r>
        <w:rPr>
          <w:rFonts w:ascii="Times New Roman" w:hAnsi="Times New Roman" w:cs="Times New Roman" w:eastAsia="Times New Roman"/>
          <w:b/>
          <w:color w:val="333333"/>
          <w:spacing w:val="0"/>
          <w:position w:val="0"/>
          <w:sz w:val="24"/>
          <w:shd w:fill="FFFFFF" w:val="clear"/>
        </w:rPr>
        <w:t xml:space="preserve">Recommendations</w:t>
      </w:r>
    </w:p>
    <w:p>
      <w:pPr>
        <w:numPr>
          <w:ilvl w:val="0"/>
          <w:numId w:val="15"/>
        </w:numPr>
        <w:spacing w:before="0" w:after="150" w:line="480"/>
        <w:ind w:right="0" w:left="720" w:hanging="360"/>
        <w:jc w:val="left"/>
        <w:rPr>
          <w:rFonts w:ascii="Times New Roman" w:hAnsi="Times New Roman" w:cs="Times New Roman" w:eastAsia="Times New Roman"/>
          <w:color w:val="333333"/>
          <w:spacing w:val="0"/>
          <w:position w:val="0"/>
          <w:sz w:val="24"/>
          <w:shd w:fill="FFFFFF" w:val="clear"/>
        </w:rPr>
      </w:pPr>
      <w:r>
        <w:rPr>
          <w:rFonts w:ascii="Times New Roman" w:hAnsi="Times New Roman" w:cs="Times New Roman" w:eastAsia="Times New Roman"/>
          <w:color w:val="333333"/>
          <w:spacing w:val="0"/>
          <w:position w:val="0"/>
          <w:sz w:val="24"/>
          <w:shd w:fill="FFFFFF" w:val="clear"/>
        </w:rPr>
        <w:t xml:space="preserve">Lowering BMI</w:t>
      </w:r>
    </w:p>
    <w:p>
      <w:pPr>
        <w:spacing w:before="100" w:after="1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Overweight people should prioritize exercise in their efforts to reduce their body mass. Adherence to a regular exercise program is a promising indicator of the success of a treatment program for obesity and overweight. Military sites that provide exercise and fitness programs may help achieve the services' physical preparation goals, especially those related to weight reduction. The quantity, length, frequency, and kind of exercise that is ideal for a given individual depends on factors such as their health, fitness level, past exercise experience, physical limits, and personal objectives. Those who have several extenuating circumstances should be given greater leeway (</w:t>
      </w:r>
      <w:r>
        <w:rPr>
          <w:rFonts w:ascii="Times New Roman" w:hAnsi="Times New Roman" w:cs="Times New Roman" w:eastAsia="Times New Roman"/>
          <w:color w:val="222222"/>
          <w:spacing w:val="0"/>
          <w:position w:val="0"/>
          <w:sz w:val="24"/>
          <w:shd w:fill="FFFFFF" w:val="clear"/>
        </w:rPr>
        <w:t xml:space="preserve">Rahmani et al, 2022)</w:t>
      </w:r>
      <w:r>
        <w:rPr>
          <w:rFonts w:ascii="Times New Roman" w:hAnsi="Times New Roman" w:cs="Times New Roman" w:eastAsia="Times New Roman"/>
          <w:color w:val="000000"/>
          <w:spacing w:val="0"/>
          <w:position w:val="0"/>
          <w:sz w:val="24"/>
          <w:shd w:fill="FFFFFF" w:val="clear"/>
        </w:rPr>
        <w:t xml:space="preserve">. Without regard to weight, exercise has many positive outcomes. Research indicates that 10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11 hours of aerobic exercise each month is necessary to improve HDL. In order to reach the recommended 30 minutes of daily exercise, inactive people should raise their activity levels gradually over the course of several weeks.</w:t>
      </w:r>
    </w:p>
    <w:p>
      <w:pPr>
        <w:spacing w:before="0" w:after="15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More and more emphasis is being placed on encouraging behavioral and lifestyle changes as a means of achieving weight loss. This is based on the assumption that being overweight is the outcome of modifiable habits or behaviors for the vast majority of individuals. Significant weight reduction, if attempted and sustained, may result from making these modifications. Behavioral approaches to weight loss work to make positive changes in one's eating and exercise patterns. The next topic on the agenda is the role of environmental management in modifying behavior (</w:t>
      </w:r>
      <w:r>
        <w:rPr>
          <w:rFonts w:ascii="Times New Roman" w:hAnsi="Times New Roman" w:cs="Times New Roman" w:eastAsia="Times New Roman"/>
          <w:color w:val="222222"/>
          <w:spacing w:val="0"/>
          <w:position w:val="0"/>
          <w:sz w:val="24"/>
          <w:shd w:fill="FFFFFF" w:val="clear"/>
        </w:rPr>
        <w:t xml:space="preserve">Rahmani et al, 2022)</w:t>
      </w:r>
      <w:r>
        <w:rPr>
          <w:rFonts w:ascii="Times New Roman" w:hAnsi="Times New Roman" w:cs="Times New Roman" w:eastAsia="Times New Roman"/>
          <w:color w:val="000000"/>
          <w:spacing w:val="0"/>
          <w:position w:val="0"/>
          <w:sz w:val="24"/>
          <w:shd w:fill="FFFFFF" w:val="clear"/>
        </w:rPr>
        <w:t xml:space="preserve">. Behavioral therapy, both individual and group, emerged in the 1960s. Sessions typically run between one and two hours, and weekly weight loss goals of one to two pounds are established. In the past, people tried to change their eating habits and reduce their caloric intake only via behavioral strategies. Low-calorie diets, medical nutrition therapy, nutrition education, activity plans, regular monitoring, pharmaceutical medications, and emotional and social support are all relatively new elements to programs aimed at weight loss and maintenance (Hazlehurst et Al, 2020).</w:t>
      </w:r>
    </w:p>
    <w:p>
      <w:pPr>
        <w:numPr>
          <w:ilvl w:val="0"/>
          <w:numId w:val="18"/>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Proper dieting</w:t>
      </w: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Responsibility is fostered in the course of behavioral treatment by having the patient keep a food and exercise diary. Patients are instructed to keep a food diary in which they record the types and amounts of food eaten together with details on when, where, and how the meals were taken (e.g., what else they were doing at the time, what they were feeling, and who else was there). Furthermore, patients may be asked to keep a log of their regular fitness routine (Owen-Smith, Donovan &amp; Coast, 2017). Keeping track of what you eat on your own is generally associated with a rapid reduction in your calorie intake and subsequent weight loss (</w:t>
      </w:r>
      <w:r>
        <w:rPr>
          <w:rFonts w:ascii="Times New Roman" w:hAnsi="Times New Roman" w:cs="Times New Roman" w:eastAsia="Times New Roman"/>
          <w:color w:val="222222"/>
          <w:spacing w:val="0"/>
          <w:position w:val="0"/>
          <w:sz w:val="24"/>
          <w:shd w:fill="FFFFFF" w:val="clear"/>
        </w:rPr>
        <w:t xml:space="preserve">Suliman, et al, 2022)</w:t>
      </w:r>
      <w:r>
        <w:rPr>
          <w:rFonts w:ascii="Times New Roman" w:hAnsi="Times New Roman" w:cs="Times New Roman" w:eastAsia="Times New Roman"/>
          <w:color w:val="000000"/>
          <w:spacing w:val="0"/>
          <w:position w:val="0"/>
          <w:sz w:val="24"/>
          <w:shd w:fill="FFFFFF" w:val="clear"/>
        </w:rPr>
        <w:t xml:space="preserve">. Dietary awareness and/or worry over the dietitian's or nutrition therapist's opinion of the patient's eating habits may be to blame for the observed reduction in food intake. Keeping a food diary may help you pick the most effective methods of weight reduction, as well as identify personal and environmental factors that contribute to your tendency toward binge eating (Marchesini Petta &amp; Dalle Grave, 2016).</w:t>
      </w:r>
    </w:p>
    <w:p>
      <w:pPr>
        <w:numPr>
          <w:ilvl w:val="0"/>
          <w:numId w:val="20"/>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Rehabilitation on smoking</w:t>
      </w: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Heavy smokers light up every day because nicotine fulfills a biological need. nicotine is a chemical compound derived from tobacco plants. When trying to kick the habit of smoking, it's important to remember that nicotine is one of the most addictive compounds known to man, making successful withdrawal from tobacco use very challenging without many, well-planned efforts (Callum, Boyle &amp; Sandford, 2011). Seven drugs have been used successfully to assist individuals quit smoking; five of them (gum, lozenges, inhaler, nasal spray, and patch) include nicotine, while the other two do not (varenicline and bupropion SR) (</w:t>
      </w:r>
      <w:r>
        <w:rPr>
          <w:rFonts w:ascii="Times New Roman" w:hAnsi="Times New Roman" w:cs="Times New Roman" w:eastAsia="Times New Roman"/>
          <w:color w:val="222222"/>
          <w:spacing w:val="0"/>
          <w:position w:val="0"/>
          <w:sz w:val="24"/>
          <w:shd w:fill="FFFFFF" w:val="clear"/>
        </w:rPr>
        <w:t xml:space="preserve">Adams, Morris &amp; Bomgaars, 2021)</w:t>
      </w:r>
      <w:r>
        <w:rPr>
          <w:rFonts w:ascii="Times New Roman" w:hAnsi="Times New Roman" w:cs="Times New Roman" w:eastAsia="Times New Roman"/>
          <w:color w:val="000000"/>
          <w:spacing w:val="0"/>
          <w:position w:val="0"/>
          <w:sz w:val="24"/>
          <w:shd w:fill="FFFFFF" w:val="clear"/>
        </w:rPr>
        <w:t xml:space="preserve">. Both naltrexone and cytisine have been bandied around as possible triggers recently. Combining therapy with medicine has shown to be more effective than either method alone in helping those who are motivated to stop smoking.</w:t>
      </w:r>
    </w:p>
    <w:p>
      <w:pPr>
        <w:spacing w:before="0" w:after="160" w:line="480"/>
        <w:ind w:right="0" w:left="0" w:firstLine="0"/>
        <w:jc w:val="center"/>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Conclusion</w:t>
      </w: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Generally, bob is leading a sedentary life style as well as consuming non-healthy foods and consuming tobacco. This is not healthy at his age group given the potential systemic diseases that might arise due to age and secondary to his lifestyle habits. He suffers obesity and borderline obesisty and thus the reccomended solutions should be taken into account if he is to improve his health.</w:t>
      </w: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References </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Adams, T. N., Morris, J., &amp; Bomgaars, D. L. (2021). Smoking (Nursing).</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Atkinson Jr, R. L., Butterfield, G., Dietz, W., Fernstrom, J., Frank, A., Hansen, B., &amp; Moore, B. (2018). Weight management: State of the science and opportunities for military programs. </w:t>
      </w:r>
      <w:r>
        <w:rPr>
          <w:rFonts w:ascii="Times New Roman" w:hAnsi="Times New Roman" w:cs="Times New Roman" w:eastAsia="Times New Roman"/>
          <w:i/>
          <w:color w:val="222222"/>
          <w:spacing w:val="0"/>
          <w:position w:val="0"/>
          <w:sz w:val="24"/>
          <w:shd w:fill="FFFFFF" w:val="clear"/>
        </w:rPr>
        <w:t xml:space="preserve">National Academy of Sciences</w:t>
      </w:r>
      <w:r>
        <w:rPr>
          <w:rFonts w:ascii="Times New Roman" w:hAnsi="Times New Roman" w:cs="Times New Roman" w:eastAsia="Times New Roman"/>
          <w:color w:val="222222"/>
          <w:spacing w:val="0"/>
          <w:position w:val="0"/>
          <w:sz w:val="24"/>
          <w:shd w:fill="FFFFFF" w:val="clear"/>
        </w:rPr>
        <w:t xml:space="preserve">.</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212121"/>
          <w:spacing w:val="0"/>
          <w:position w:val="0"/>
          <w:sz w:val="24"/>
          <w:shd w:fill="FFFFFF" w:val="clear"/>
        </w:rPr>
        <w:t xml:space="preserve">Julius S. (2016). Borderline hypertension. An overview. </w:t>
      </w:r>
      <w:r>
        <w:rPr>
          <w:rFonts w:ascii="Times New Roman" w:hAnsi="Times New Roman" w:cs="Times New Roman" w:eastAsia="Times New Roman"/>
          <w:i/>
          <w:color w:val="212121"/>
          <w:spacing w:val="0"/>
          <w:position w:val="0"/>
          <w:sz w:val="24"/>
          <w:shd w:fill="FFFFFF" w:val="clear"/>
        </w:rPr>
        <w:t xml:space="preserve">The Medical clinics of North America</w:t>
      </w:r>
      <w:r>
        <w:rPr>
          <w:rFonts w:ascii="Times New Roman" w:hAnsi="Times New Roman" w:cs="Times New Roman" w:eastAsia="Times New Roman"/>
          <w:color w:val="212121"/>
          <w:spacing w:val="0"/>
          <w:position w:val="0"/>
          <w:sz w:val="24"/>
          <w:shd w:fill="FFFFFF" w:val="clear"/>
        </w:rPr>
        <w:t xml:space="preserve">, </w:t>
      </w:r>
      <w:r>
        <w:rPr>
          <w:rFonts w:ascii="Times New Roman" w:hAnsi="Times New Roman" w:cs="Times New Roman" w:eastAsia="Times New Roman"/>
          <w:i/>
          <w:color w:val="212121"/>
          <w:spacing w:val="0"/>
          <w:position w:val="0"/>
          <w:sz w:val="24"/>
          <w:shd w:fill="FFFFFF" w:val="clear"/>
        </w:rPr>
        <w:t xml:space="preserve">61</w:t>
      </w:r>
      <w:r>
        <w:rPr>
          <w:rFonts w:ascii="Times New Roman" w:hAnsi="Times New Roman" w:cs="Times New Roman" w:eastAsia="Times New Roman"/>
          <w:color w:val="212121"/>
          <w:spacing w:val="0"/>
          <w:position w:val="0"/>
          <w:sz w:val="24"/>
          <w:shd w:fill="FFFFFF" w:val="clear"/>
        </w:rPr>
        <w:t xml:space="preserve">(3), 495</w:t>
      </w:r>
      <w:r>
        <w:rPr>
          <w:rFonts w:ascii="Times New Roman" w:hAnsi="Times New Roman" w:cs="Times New Roman" w:eastAsia="Times New Roman"/>
          <w:color w:val="212121"/>
          <w:spacing w:val="0"/>
          <w:position w:val="0"/>
          <w:sz w:val="24"/>
          <w:shd w:fill="FFFFFF" w:val="clear"/>
        </w:rPr>
        <w:t xml:space="preserve">–</w:t>
      </w:r>
      <w:r>
        <w:rPr>
          <w:rFonts w:ascii="Times New Roman" w:hAnsi="Times New Roman" w:cs="Times New Roman" w:eastAsia="Times New Roman"/>
          <w:color w:val="212121"/>
          <w:spacing w:val="0"/>
          <w:position w:val="0"/>
          <w:sz w:val="24"/>
          <w:shd w:fill="FFFFFF" w:val="clear"/>
        </w:rPr>
        <w:t xml:space="preserve">511.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FFFFFF" w:val="clear"/>
          </w:rPr>
          <w:t xml:space="preserve">https://doi.org/10.1016/s0025-7125(16)31313-x</w:t>
        </w:r>
      </w:hyperlink>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Rahmani, F., Wang, Q., McKay, N. S., Keefe, S., Hantler, N., Hornbeck, R., ... &amp; Raji, C. A. (2022). Sex-Specific Patterns of Body Mass Index Relationship with White Matter Connectivity. </w:t>
      </w:r>
      <w:r>
        <w:rPr>
          <w:rFonts w:ascii="Times New Roman" w:hAnsi="Times New Roman" w:cs="Times New Roman" w:eastAsia="Times New Roman"/>
          <w:i/>
          <w:color w:val="222222"/>
          <w:spacing w:val="0"/>
          <w:position w:val="0"/>
          <w:sz w:val="24"/>
          <w:shd w:fill="FFFFFF" w:val="clear"/>
        </w:rPr>
        <w:t xml:space="preserve">Journal of Alzheimer's Disease</w:t>
      </w:r>
      <w:r>
        <w:rPr>
          <w:rFonts w:ascii="Times New Roman" w:hAnsi="Times New Roman" w:cs="Times New Roman" w:eastAsia="Times New Roman"/>
          <w:color w:val="222222"/>
          <w:spacing w:val="0"/>
          <w:position w:val="0"/>
          <w:sz w:val="24"/>
          <w:shd w:fill="FFFFFF" w:val="clear"/>
        </w:rPr>
        <w:t xml:space="preserve">, (Preprint), 1-18.</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Sievenpiper, J. L., Chan, C. B., Dworatzek, P. D., Freeze, C., &amp; Williams, S. L. (2018). Nutrition therapy. </w:t>
      </w:r>
      <w:r>
        <w:rPr>
          <w:rFonts w:ascii="Times New Roman" w:hAnsi="Times New Roman" w:cs="Times New Roman" w:eastAsia="Times New Roman"/>
          <w:i/>
          <w:color w:val="222222"/>
          <w:spacing w:val="0"/>
          <w:position w:val="0"/>
          <w:sz w:val="24"/>
          <w:shd w:fill="FFFFFF" w:val="clear"/>
        </w:rPr>
        <w:t xml:space="preserve">Canadian journal of diabetes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42</w:t>
      </w:r>
      <w:r>
        <w:rPr>
          <w:rFonts w:ascii="Times New Roman" w:hAnsi="Times New Roman" w:cs="Times New Roman" w:eastAsia="Times New Roman"/>
          <w:color w:val="222222"/>
          <w:spacing w:val="0"/>
          <w:position w:val="0"/>
          <w:sz w:val="24"/>
          <w:shd w:fill="FFFFFF" w:val="clear"/>
        </w:rPr>
        <w:t xml:space="preserve">, S64-S79.</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Suliman, S., McClave, S. A., Taylor, B. E., Patel, J., Omer, E., &amp; Martindale, R. G. (2022). Barriers to nutrition therapy in the critically ill patient with COVID</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19. </w:t>
      </w:r>
      <w:r>
        <w:rPr>
          <w:rFonts w:ascii="Times New Roman" w:hAnsi="Times New Roman" w:cs="Times New Roman" w:eastAsia="Times New Roman"/>
          <w:i/>
          <w:color w:val="222222"/>
          <w:spacing w:val="0"/>
          <w:position w:val="0"/>
          <w:sz w:val="24"/>
          <w:shd w:fill="FFFFFF" w:val="clear"/>
        </w:rPr>
        <w:t xml:space="preserve">Journal of Parenteral and Enteral Nutrition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46</w:t>
      </w:r>
      <w:r>
        <w:rPr>
          <w:rFonts w:ascii="Times New Roman" w:hAnsi="Times New Roman" w:cs="Times New Roman" w:eastAsia="Times New Roman"/>
          <w:color w:val="222222"/>
          <w:spacing w:val="0"/>
          <w:position w:val="0"/>
          <w:sz w:val="24"/>
          <w:shd w:fill="FFFFFF" w:val="clear"/>
        </w:rPr>
        <w:t xml:space="preserve">(4), 805-816.</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Brookes, G. (2021). ‘Lose weight, save the NHS’: Discourses of obesity in press coverage of COVID-19. Critical Discourse Studies, 1-19.</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Hazlehurst, J. M., Logue, J., Parretti, H. M., Abbott, S., Brown, A., Pournaras, D. J., &amp; Tahrani, A. A. (2020). Developing integrated clinical pathways for the management of clinically severe adult obesity: a critique of NHS England policy. Current obesity reports, 9(4), 530-543.</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Owen-Smith, A., Donovan, J., &amp; Coast, J. (2017). Experiences of accessing obesity surgery on the NHS: a qualitative study. Journal of Public Health, 39(1), 163-169.</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Callum, C., Boyle, S., &amp; Sandford, A. (2011). Estimating the cost of smoking to the NHS in England and the impact of declining prevalence. Health Economics, Policy and Law, 6(4), 489-508.</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Marchesini, G., Petta, S., &amp; Dalle Grave, R. (2016). Diet, weight loss, and liver health in nonalcoholic fatty liver disease: Pathophysiology, evidence, and practice. Hepatology, 63(6), 2032-2043.</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num w:numId="6">
    <w:abstractNumId w:val="36"/>
  </w:num>
  <w:num w:numId="8">
    <w:abstractNumId w:val="30"/>
  </w:num>
  <w:num w:numId="10">
    <w:abstractNumId w:val="24"/>
  </w:num>
  <w:num w:numId="12">
    <w:abstractNumId w:val="18"/>
  </w:num>
  <w:num w:numId="15">
    <w:abstractNumId w:val="12"/>
  </w:num>
  <w:num w:numId="18">
    <w:abstractNumId w:val="6"/>
  </w:num>
  <w:num w:numId="2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016/s0025-7125(16)31313-x"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