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5B3899" w14:textId="4EAFDD94" w:rsidR="007424D0" w:rsidRDefault="007424D0" w:rsidP="007424D0">
      <w:pPr>
        <w:pStyle w:val="Title"/>
        <w:jc w:val="center"/>
      </w:pPr>
      <w:r>
        <w:t>International Business Communication</w:t>
      </w:r>
      <w:r>
        <w:br/>
        <w:t>BP Case Study</w:t>
      </w:r>
    </w:p>
    <w:p w14:paraId="261EF51C" w14:textId="77777777" w:rsidR="007424D0" w:rsidRDefault="007424D0" w:rsidP="007424D0">
      <w:pPr>
        <w:spacing w:line="360" w:lineRule="auto"/>
        <w:jc w:val="both"/>
        <w:rPr>
          <w:rFonts w:ascii="Arial" w:hAnsi="Arial" w:cs="Arial"/>
          <w:b/>
          <w:bCs/>
          <w:sz w:val="24"/>
          <w:szCs w:val="24"/>
        </w:rPr>
      </w:pPr>
    </w:p>
    <w:p w14:paraId="080B8DBF" w14:textId="77777777" w:rsidR="007424D0" w:rsidRDefault="007424D0" w:rsidP="007424D0">
      <w:pPr>
        <w:spacing w:line="360" w:lineRule="auto"/>
        <w:jc w:val="both"/>
        <w:rPr>
          <w:rFonts w:ascii="Arial" w:hAnsi="Arial" w:cs="Arial"/>
          <w:b/>
          <w:bCs/>
          <w:sz w:val="24"/>
          <w:szCs w:val="24"/>
        </w:rPr>
      </w:pPr>
    </w:p>
    <w:p w14:paraId="259E996F" w14:textId="77777777" w:rsidR="007424D0" w:rsidRDefault="007424D0" w:rsidP="007424D0">
      <w:pPr>
        <w:spacing w:line="360" w:lineRule="auto"/>
        <w:jc w:val="both"/>
        <w:rPr>
          <w:rFonts w:ascii="Arial" w:hAnsi="Arial" w:cs="Arial"/>
          <w:b/>
          <w:bCs/>
          <w:sz w:val="24"/>
          <w:szCs w:val="24"/>
        </w:rPr>
      </w:pPr>
    </w:p>
    <w:p w14:paraId="1AE33E7F" w14:textId="77777777" w:rsidR="007424D0" w:rsidRDefault="007424D0" w:rsidP="007424D0">
      <w:pPr>
        <w:spacing w:line="360" w:lineRule="auto"/>
        <w:jc w:val="both"/>
        <w:rPr>
          <w:rFonts w:ascii="Arial" w:hAnsi="Arial" w:cs="Arial"/>
          <w:b/>
          <w:bCs/>
          <w:sz w:val="24"/>
          <w:szCs w:val="24"/>
        </w:rPr>
      </w:pPr>
    </w:p>
    <w:p w14:paraId="4F03912E" w14:textId="77777777" w:rsidR="007424D0" w:rsidRDefault="007424D0" w:rsidP="007424D0">
      <w:pPr>
        <w:spacing w:line="360" w:lineRule="auto"/>
        <w:jc w:val="both"/>
        <w:rPr>
          <w:rFonts w:ascii="Arial" w:hAnsi="Arial" w:cs="Arial"/>
          <w:b/>
          <w:bCs/>
          <w:sz w:val="24"/>
          <w:szCs w:val="24"/>
        </w:rPr>
      </w:pPr>
    </w:p>
    <w:p w14:paraId="45BDDCE5" w14:textId="77777777" w:rsidR="007424D0" w:rsidRDefault="007424D0" w:rsidP="007424D0">
      <w:pPr>
        <w:spacing w:line="360" w:lineRule="auto"/>
        <w:jc w:val="both"/>
        <w:rPr>
          <w:rFonts w:ascii="Arial" w:hAnsi="Arial" w:cs="Arial"/>
          <w:b/>
          <w:bCs/>
          <w:sz w:val="24"/>
          <w:szCs w:val="24"/>
        </w:rPr>
      </w:pPr>
    </w:p>
    <w:p w14:paraId="0D49DCFF" w14:textId="77777777" w:rsidR="007424D0" w:rsidRDefault="007424D0" w:rsidP="007424D0">
      <w:pPr>
        <w:spacing w:line="360" w:lineRule="auto"/>
        <w:jc w:val="both"/>
        <w:rPr>
          <w:rFonts w:ascii="Arial" w:hAnsi="Arial" w:cs="Arial"/>
          <w:b/>
          <w:bCs/>
          <w:sz w:val="24"/>
          <w:szCs w:val="24"/>
        </w:rPr>
      </w:pPr>
    </w:p>
    <w:p w14:paraId="24CA32D0" w14:textId="77777777" w:rsidR="007424D0" w:rsidRDefault="007424D0" w:rsidP="007424D0">
      <w:pPr>
        <w:spacing w:line="360" w:lineRule="auto"/>
        <w:jc w:val="both"/>
        <w:rPr>
          <w:rFonts w:ascii="Arial" w:hAnsi="Arial" w:cs="Arial"/>
          <w:b/>
          <w:bCs/>
          <w:sz w:val="24"/>
          <w:szCs w:val="24"/>
        </w:rPr>
      </w:pPr>
    </w:p>
    <w:p w14:paraId="79586189" w14:textId="77777777" w:rsidR="007424D0" w:rsidRDefault="007424D0" w:rsidP="007424D0">
      <w:pPr>
        <w:spacing w:line="360" w:lineRule="auto"/>
        <w:jc w:val="both"/>
        <w:rPr>
          <w:rFonts w:ascii="Arial" w:hAnsi="Arial" w:cs="Arial"/>
          <w:b/>
          <w:bCs/>
          <w:sz w:val="24"/>
          <w:szCs w:val="24"/>
        </w:rPr>
      </w:pPr>
    </w:p>
    <w:p w14:paraId="565CCB57" w14:textId="10474656" w:rsidR="007424D0" w:rsidRDefault="007424D0" w:rsidP="007424D0">
      <w:pPr>
        <w:spacing w:line="360" w:lineRule="auto"/>
        <w:jc w:val="both"/>
        <w:rPr>
          <w:rFonts w:ascii="Arial" w:hAnsi="Arial" w:cs="Arial"/>
          <w:sz w:val="24"/>
          <w:szCs w:val="24"/>
        </w:rPr>
      </w:pPr>
      <w:r>
        <w:rPr>
          <w:rFonts w:ascii="Arial" w:hAnsi="Arial" w:cs="Arial"/>
          <w:b/>
          <w:bCs/>
          <w:sz w:val="24"/>
          <w:szCs w:val="24"/>
        </w:rPr>
        <w:t xml:space="preserve">Name: </w:t>
      </w:r>
      <w:r>
        <w:rPr>
          <w:rFonts w:ascii="Arial" w:hAnsi="Arial" w:cs="Arial"/>
          <w:sz w:val="24"/>
          <w:szCs w:val="24"/>
        </w:rPr>
        <w:t>Mariana Kahel</w:t>
      </w:r>
    </w:p>
    <w:p w14:paraId="60C353DC" w14:textId="2DD63551" w:rsidR="007424D0" w:rsidRDefault="00E72506" w:rsidP="007424D0">
      <w:pPr>
        <w:spacing w:line="360" w:lineRule="auto"/>
        <w:jc w:val="both"/>
        <w:rPr>
          <w:rFonts w:ascii="Arial" w:hAnsi="Arial" w:cs="Arial"/>
          <w:sz w:val="24"/>
          <w:szCs w:val="24"/>
        </w:rPr>
      </w:pPr>
      <w:r>
        <w:rPr>
          <w:rFonts w:ascii="Arial" w:hAnsi="Arial" w:cs="Arial"/>
          <w:sz w:val="24"/>
          <w:szCs w:val="24"/>
        </w:rPr>
        <w:t xml:space="preserve">CRN : </w:t>
      </w:r>
      <w:r w:rsidRPr="00E72506">
        <w:rPr>
          <w:rFonts w:ascii="Arial" w:hAnsi="Arial" w:cs="Arial"/>
          <w:sz w:val="24"/>
          <w:szCs w:val="24"/>
        </w:rPr>
        <w:t>2113218</w:t>
      </w:r>
    </w:p>
    <w:p w14:paraId="632A5A7E" w14:textId="77777777" w:rsidR="007424D0" w:rsidRDefault="007424D0" w:rsidP="007424D0">
      <w:pPr>
        <w:spacing w:line="360" w:lineRule="auto"/>
        <w:jc w:val="both"/>
        <w:rPr>
          <w:rFonts w:ascii="Arial" w:hAnsi="Arial" w:cs="Arial"/>
          <w:sz w:val="24"/>
          <w:szCs w:val="24"/>
        </w:rPr>
      </w:pPr>
    </w:p>
    <w:p w14:paraId="7402DBFA" w14:textId="77777777" w:rsidR="007424D0" w:rsidRDefault="007424D0" w:rsidP="007424D0">
      <w:pPr>
        <w:spacing w:line="360" w:lineRule="auto"/>
        <w:jc w:val="both"/>
        <w:rPr>
          <w:rFonts w:ascii="Arial" w:hAnsi="Arial" w:cs="Arial"/>
          <w:sz w:val="24"/>
          <w:szCs w:val="24"/>
        </w:rPr>
      </w:pPr>
    </w:p>
    <w:p w14:paraId="10A9698D" w14:textId="77777777" w:rsidR="007424D0" w:rsidRDefault="007424D0" w:rsidP="007424D0">
      <w:pPr>
        <w:spacing w:line="360" w:lineRule="auto"/>
        <w:jc w:val="both"/>
        <w:rPr>
          <w:rFonts w:ascii="Arial" w:hAnsi="Arial" w:cs="Arial"/>
          <w:sz w:val="24"/>
          <w:szCs w:val="24"/>
        </w:rPr>
      </w:pPr>
    </w:p>
    <w:p w14:paraId="7B77ADED" w14:textId="77777777" w:rsidR="007424D0" w:rsidRDefault="007424D0" w:rsidP="007424D0">
      <w:pPr>
        <w:spacing w:line="360" w:lineRule="auto"/>
        <w:jc w:val="both"/>
        <w:rPr>
          <w:rFonts w:ascii="Arial" w:hAnsi="Arial" w:cs="Arial"/>
          <w:sz w:val="24"/>
          <w:szCs w:val="24"/>
        </w:rPr>
      </w:pPr>
    </w:p>
    <w:p w14:paraId="0F39768D" w14:textId="77777777" w:rsidR="007424D0" w:rsidRDefault="007424D0" w:rsidP="007424D0">
      <w:pPr>
        <w:spacing w:line="360" w:lineRule="auto"/>
        <w:jc w:val="both"/>
        <w:rPr>
          <w:rFonts w:ascii="Arial" w:hAnsi="Arial" w:cs="Arial"/>
          <w:sz w:val="24"/>
          <w:szCs w:val="24"/>
        </w:rPr>
      </w:pPr>
    </w:p>
    <w:p w14:paraId="67C05C34" w14:textId="77777777" w:rsidR="007424D0" w:rsidRDefault="007424D0" w:rsidP="007424D0">
      <w:pPr>
        <w:spacing w:line="360" w:lineRule="auto"/>
        <w:jc w:val="both"/>
        <w:rPr>
          <w:rFonts w:ascii="Arial" w:hAnsi="Arial" w:cs="Arial"/>
          <w:sz w:val="24"/>
          <w:szCs w:val="24"/>
        </w:rPr>
      </w:pPr>
    </w:p>
    <w:p w14:paraId="238F5E18" w14:textId="77777777" w:rsidR="007424D0" w:rsidRDefault="007424D0" w:rsidP="007424D0">
      <w:pPr>
        <w:spacing w:line="360" w:lineRule="auto"/>
        <w:jc w:val="both"/>
        <w:rPr>
          <w:rFonts w:ascii="Arial" w:hAnsi="Arial" w:cs="Arial"/>
          <w:sz w:val="24"/>
          <w:szCs w:val="24"/>
        </w:rPr>
      </w:pPr>
    </w:p>
    <w:p w14:paraId="44273857" w14:textId="77777777" w:rsidR="007424D0" w:rsidRDefault="007424D0" w:rsidP="007424D0">
      <w:pPr>
        <w:spacing w:line="360" w:lineRule="auto"/>
        <w:jc w:val="both"/>
        <w:rPr>
          <w:rFonts w:ascii="Arial" w:hAnsi="Arial" w:cs="Arial"/>
          <w:sz w:val="24"/>
          <w:szCs w:val="24"/>
        </w:rPr>
      </w:pPr>
    </w:p>
    <w:p w14:paraId="0B4EAB19" w14:textId="77777777" w:rsidR="007424D0" w:rsidRDefault="007424D0" w:rsidP="007424D0">
      <w:pPr>
        <w:spacing w:line="360" w:lineRule="auto"/>
        <w:jc w:val="both"/>
        <w:rPr>
          <w:rFonts w:ascii="Arial" w:hAnsi="Arial" w:cs="Arial"/>
          <w:sz w:val="24"/>
          <w:szCs w:val="24"/>
        </w:rPr>
      </w:pPr>
    </w:p>
    <w:p w14:paraId="6A39160F" w14:textId="77777777" w:rsidR="007424D0" w:rsidRDefault="007424D0" w:rsidP="007424D0">
      <w:pPr>
        <w:spacing w:line="360" w:lineRule="auto"/>
        <w:jc w:val="both"/>
        <w:rPr>
          <w:rFonts w:ascii="Arial" w:hAnsi="Arial" w:cs="Arial"/>
          <w:sz w:val="24"/>
          <w:szCs w:val="24"/>
        </w:rPr>
      </w:pPr>
    </w:p>
    <w:p w14:paraId="281FEC98" w14:textId="77777777" w:rsidR="007424D0" w:rsidRDefault="007424D0" w:rsidP="007424D0">
      <w:pPr>
        <w:spacing w:line="360" w:lineRule="auto"/>
        <w:jc w:val="both"/>
        <w:rPr>
          <w:rFonts w:ascii="Arial" w:hAnsi="Arial" w:cs="Arial"/>
          <w:sz w:val="24"/>
          <w:szCs w:val="24"/>
        </w:rPr>
      </w:pPr>
    </w:p>
    <w:p w14:paraId="78C450FF" w14:textId="77777777" w:rsidR="007424D0" w:rsidRDefault="007424D0" w:rsidP="007424D0">
      <w:pPr>
        <w:spacing w:line="360" w:lineRule="auto"/>
        <w:jc w:val="both"/>
        <w:rPr>
          <w:rFonts w:ascii="Arial" w:hAnsi="Arial" w:cs="Arial"/>
          <w:sz w:val="24"/>
          <w:szCs w:val="24"/>
        </w:rPr>
      </w:pPr>
    </w:p>
    <w:p w14:paraId="04C85CD8" w14:textId="77777777" w:rsidR="007424D0" w:rsidRDefault="007424D0" w:rsidP="007424D0">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ro-RO"/>
        </w:rPr>
        <w:id w:val="928861301"/>
        <w:docPartObj>
          <w:docPartGallery w:val="Table of Contents"/>
          <w:docPartUnique/>
        </w:docPartObj>
      </w:sdtPr>
      <w:sdtEndPr>
        <w:rPr>
          <w:b/>
          <w:bCs/>
          <w:noProof/>
        </w:rPr>
      </w:sdtEndPr>
      <w:sdtContent>
        <w:p w14:paraId="5D4F733C" w14:textId="70DAF9D3" w:rsidR="007424D0" w:rsidRDefault="007424D0" w:rsidP="007424D0">
          <w:pPr>
            <w:pStyle w:val="TOCHeading"/>
            <w:jc w:val="both"/>
          </w:pPr>
          <w:r>
            <w:t>Table of Contents</w:t>
          </w:r>
        </w:p>
        <w:p w14:paraId="7F78C6D5" w14:textId="5C93547C" w:rsidR="00AB169D" w:rsidRDefault="007424D0">
          <w:pPr>
            <w:pStyle w:val="TOC1"/>
            <w:tabs>
              <w:tab w:val="right" w:leader="dot" w:pos="9062"/>
            </w:tabs>
            <w:rPr>
              <w:noProof/>
            </w:rPr>
          </w:pPr>
          <w:r>
            <w:fldChar w:fldCharType="begin"/>
          </w:r>
          <w:r>
            <w:instrText xml:space="preserve"> TOC \o "1-3" \h \z \u </w:instrText>
          </w:r>
          <w:r>
            <w:fldChar w:fldCharType="separate"/>
          </w:r>
          <w:hyperlink w:anchor="_Toc153886678" w:history="1">
            <w:r w:rsidR="00AB169D" w:rsidRPr="00031EE5">
              <w:rPr>
                <w:rStyle w:val="Hyperlink"/>
                <w:noProof/>
              </w:rPr>
              <w:t>Introduction of the context for British business communication</w:t>
            </w:r>
            <w:r w:rsidR="00AB169D">
              <w:rPr>
                <w:noProof/>
                <w:webHidden/>
              </w:rPr>
              <w:tab/>
            </w:r>
            <w:r w:rsidR="00AB169D">
              <w:rPr>
                <w:noProof/>
                <w:webHidden/>
              </w:rPr>
              <w:fldChar w:fldCharType="begin"/>
            </w:r>
            <w:r w:rsidR="00AB169D">
              <w:rPr>
                <w:noProof/>
                <w:webHidden/>
              </w:rPr>
              <w:instrText xml:space="preserve"> PAGEREF _Toc153886678 \h </w:instrText>
            </w:r>
            <w:r w:rsidR="00AB169D">
              <w:rPr>
                <w:noProof/>
                <w:webHidden/>
              </w:rPr>
            </w:r>
            <w:r w:rsidR="00AB169D">
              <w:rPr>
                <w:noProof/>
                <w:webHidden/>
              </w:rPr>
              <w:fldChar w:fldCharType="separate"/>
            </w:r>
            <w:r w:rsidR="00AB169D">
              <w:rPr>
                <w:noProof/>
                <w:webHidden/>
              </w:rPr>
              <w:t>3</w:t>
            </w:r>
            <w:r w:rsidR="00AB169D">
              <w:rPr>
                <w:noProof/>
                <w:webHidden/>
              </w:rPr>
              <w:fldChar w:fldCharType="end"/>
            </w:r>
          </w:hyperlink>
        </w:p>
        <w:p w14:paraId="5770C50D" w14:textId="67D9F3FC" w:rsidR="00AB169D" w:rsidRDefault="00E72506">
          <w:pPr>
            <w:pStyle w:val="TOC1"/>
            <w:tabs>
              <w:tab w:val="right" w:leader="dot" w:pos="9062"/>
            </w:tabs>
            <w:rPr>
              <w:noProof/>
            </w:rPr>
          </w:pPr>
          <w:hyperlink w:anchor="_Toc153886679" w:history="1">
            <w:r w:rsidR="00AB169D" w:rsidRPr="00031EE5">
              <w:rPr>
                <w:rStyle w:val="Hyperlink"/>
                <w:noProof/>
              </w:rPr>
              <w:t>A brief introduction to the selected organization (British Petroleum)</w:t>
            </w:r>
            <w:r w:rsidR="00AB169D">
              <w:rPr>
                <w:noProof/>
                <w:webHidden/>
              </w:rPr>
              <w:tab/>
            </w:r>
            <w:r w:rsidR="00AB169D">
              <w:rPr>
                <w:noProof/>
                <w:webHidden/>
              </w:rPr>
              <w:fldChar w:fldCharType="begin"/>
            </w:r>
            <w:r w:rsidR="00AB169D">
              <w:rPr>
                <w:noProof/>
                <w:webHidden/>
              </w:rPr>
              <w:instrText xml:space="preserve"> PAGEREF _Toc153886679 \h </w:instrText>
            </w:r>
            <w:r w:rsidR="00AB169D">
              <w:rPr>
                <w:noProof/>
                <w:webHidden/>
              </w:rPr>
            </w:r>
            <w:r w:rsidR="00AB169D">
              <w:rPr>
                <w:noProof/>
                <w:webHidden/>
              </w:rPr>
              <w:fldChar w:fldCharType="separate"/>
            </w:r>
            <w:r w:rsidR="00AB169D">
              <w:rPr>
                <w:noProof/>
                <w:webHidden/>
              </w:rPr>
              <w:t>3</w:t>
            </w:r>
            <w:r w:rsidR="00AB169D">
              <w:rPr>
                <w:noProof/>
                <w:webHidden/>
              </w:rPr>
              <w:fldChar w:fldCharType="end"/>
            </w:r>
          </w:hyperlink>
        </w:p>
        <w:p w14:paraId="1C445E50" w14:textId="7C519BF0" w:rsidR="00AB169D" w:rsidRDefault="00E72506">
          <w:pPr>
            <w:pStyle w:val="TOC1"/>
            <w:tabs>
              <w:tab w:val="right" w:leader="dot" w:pos="9062"/>
            </w:tabs>
            <w:rPr>
              <w:noProof/>
            </w:rPr>
          </w:pPr>
          <w:hyperlink w:anchor="_Toc153886680" w:history="1">
            <w:r w:rsidR="00AB169D" w:rsidRPr="00031EE5">
              <w:rPr>
                <w:rStyle w:val="Hyperlink"/>
                <w:noProof/>
              </w:rPr>
              <w:t>Comparison of two EU countries by using country facts and Hofstede’s Cultural Dimensions Theory</w:t>
            </w:r>
            <w:r w:rsidR="00AB169D">
              <w:rPr>
                <w:noProof/>
                <w:webHidden/>
              </w:rPr>
              <w:tab/>
            </w:r>
            <w:r w:rsidR="00AB169D">
              <w:rPr>
                <w:noProof/>
                <w:webHidden/>
              </w:rPr>
              <w:fldChar w:fldCharType="begin"/>
            </w:r>
            <w:r w:rsidR="00AB169D">
              <w:rPr>
                <w:noProof/>
                <w:webHidden/>
              </w:rPr>
              <w:instrText xml:space="preserve"> PAGEREF _Toc153886680 \h </w:instrText>
            </w:r>
            <w:r w:rsidR="00AB169D">
              <w:rPr>
                <w:noProof/>
                <w:webHidden/>
              </w:rPr>
            </w:r>
            <w:r w:rsidR="00AB169D">
              <w:rPr>
                <w:noProof/>
                <w:webHidden/>
              </w:rPr>
              <w:fldChar w:fldCharType="separate"/>
            </w:r>
            <w:r w:rsidR="00AB169D">
              <w:rPr>
                <w:noProof/>
                <w:webHidden/>
              </w:rPr>
              <w:t>5</w:t>
            </w:r>
            <w:r w:rsidR="00AB169D">
              <w:rPr>
                <w:noProof/>
                <w:webHidden/>
              </w:rPr>
              <w:fldChar w:fldCharType="end"/>
            </w:r>
          </w:hyperlink>
        </w:p>
        <w:p w14:paraId="05E2EDB2" w14:textId="58E217DB" w:rsidR="00AB169D" w:rsidRDefault="00E72506">
          <w:pPr>
            <w:pStyle w:val="TOC2"/>
            <w:tabs>
              <w:tab w:val="right" w:leader="dot" w:pos="9062"/>
            </w:tabs>
            <w:rPr>
              <w:noProof/>
            </w:rPr>
          </w:pPr>
          <w:hyperlink w:anchor="_Toc153886681" w:history="1">
            <w:r w:rsidR="00AB169D" w:rsidRPr="00031EE5">
              <w:rPr>
                <w:rStyle w:val="Hyperlink"/>
                <w:noProof/>
              </w:rPr>
              <w:t>France</w:t>
            </w:r>
            <w:r w:rsidR="00AB169D">
              <w:rPr>
                <w:noProof/>
                <w:webHidden/>
              </w:rPr>
              <w:tab/>
            </w:r>
            <w:r w:rsidR="00AB169D">
              <w:rPr>
                <w:noProof/>
                <w:webHidden/>
              </w:rPr>
              <w:fldChar w:fldCharType="begin"/>
            </w:r>
            <w:r w:rsidR="00AB169D">
              <w:rPr>
                <w:noProof/>
                <w:webHidden/>
              </w:rPr>
              <w:instrText xml:space="preserve"> PAGEREF _Toc153886681 \h </w:instrText>
            </w:r>
            <w:r w:rsidR="00AB169D">
              <w:rPr>
                <w:noProof/>
                <w:webHidden/>
              </w:rPr>
            </w:r>
            <w:r w:rsidR="00AB169D">
              <w:rPr>
                <w:noProof/>
                <w:webHidden/>
              </w:rPr>
              <w:fldChar w:fldCharType="separate"/>
            </w:r>
            <w:r w:rsidR="00AB169D">
              <w:rPr>
                <w:noProof/>
                <w:webHidden/>
              </w:rPr>
              <w:t>5</w:t>
            </w:r>
            <w:r w:rsidR="00AB169D">
              <w:rPr>
                <w:noProof/>
                <w:webHidden/>
              </w:rPr>
              <w:fldChar w:fldCharType="end"/>
            </w:r>
          </w:hyperlink>
        </w:p>
        <w:p w14:paraId="6DC575D7" w14:textId="5B39E10E" w:rsidR="00AB169D" w:rsidRDefault="00E72506">
          <w:pPr>
            <w:pStyle w:val="TOC2"/>
            <w:tabs>
              <w:tab w:val="right" w:leader="dot" w:pos="9062"/>
            </w:tabs>
            <w:rPr>
              <w:noProof/>
            </w:rPr>
          </w:pPr>
          <w:hyperlink w:anchor="_Toc153886682" w:history="1">
            <w:r w:rsidR="00AB169D" w:rsidRPr="00031EE5">
              <w:rPr>
                <w:rStyle w:val="Hyperlink"/>
                <w:noProof/>
              </w:rPr>
              <w:t>Country A: Poland</w:t>
            </w:r>
            <w:r w:rsidR="00AB169D">
              <w:rPr>
                <w:noProof/>
                <w:webHidden/>
              </w:rPr>
              <w:tab/>
            </w:r>
            <w:r w:rsidR="00AB169D">
              <w:rPr>
                <w:noProof/>
                <w:webHidden/>
              </w:rPr>
              <w:fldChar w:fldCharType="begin"/>
            </w:r>
            <w:r w:rsidR="00AB169D">
              <w:rPr>
                <w:noProof/>
                <w:webHidden/>
              </w:rPr>
              <w:instrText xml:space="preserve"> PAGEREF _Toc153886682 \h </w:instrText>
            </w:r>
            <w:r w:rsidR="00AB169D">
              <w:rPr>
                <w:noProof/>
                <w:webHidden/>
              </w:rPr>
            </w:r>
            <w:r w:rsidR="00AB169D">
              <w:rPr>
                <w:noProof/>
                <w:webHidden/>
              </w:rPr>
              <w:fldChar w:fldCharType="separate"/>
            </w:r>
            <w:r w:rsidR="00AB169D">
              <w:rPr>
                <w:noProof/>
                <w:webHidden/>
              </w:rPr>
              <w:t>5</w:t>
            </w:r>
            <w:r w:rsidR="00AB169D">
              <w:rPr>
                <w:noProof/>
                <w:webHidden/>
              </w:rPr>
              <w:fldChar w:fldCharType="end"/>
            </w:r>
          </w:hyperlink>
        </w:p>
        <w:p w14:paraId="4B46B171" w14:textId="0814E943" w:rsidR="00AB169D" w:rsidRDefault="00E72506">
          <w:pPr>
            <w:pStyle w:val="TOC1"/>
            <w:tabs>
              <w:tab w:val="right" w:leader="dot" w:pos="9062"/>
            </w:tabs>
            <w:rPr>
              <w:noProof/>
            </w:rPr>
          </w:pPr>
          <w:hyperlink w:anchor="_Toc153886683" w:history="1">
            <w:r w:rsidR="00AB169D" w:rsidRPr="00031EE5">
              <w:rPr>
                <w:rStyle w:val="Hyperlink"/>
                <w:noProof/>
              </w:rPr>
              <w:t>Discussion on communication barriers</w:t>
            </w:r>
            <w:r w:rsidR="00AB169D">
              <w:rPr>
                <w:noProof/>
                <w:webHidden/>
              </w:rPr>
              <w:tab/>
            </w:r>
            <w:r w:rsidR="00AB169D">
              <w:rPr>
                <w:noProof/>
                <w:webHidden/>
              </w:rPr>
              <w:fldChar w:fldCharType="begin"/>
            </w:r>
            <w:r w:rsidR="00AB169D">
              <w:rPr>
                <w:noProof/>
                <w:webHidden/>
              </w:rPr>
              <w:instrText xml:space="preserve"> PAGEREF _Toc153886683 \h </w:instrText>
            </w:r>
            <w:r w:rsidR="00AB169D">
              <w:rPr>
                <w:noProof/>
                <w:webHidden/>
              </w:rPr>
            </w:r>
            <w:r w:rsidR="00AB169D">
              <w:rPr>
                <w:noProof/>
                <w:webHidden/>
              </w:rPr>
              <w:fldChar w:fldCharType="separate"/>
            </w:r>
            <w:r w:rsidR="00AB169D">
              <w:rPr>
                <w:noProof/>
                <w:webHidden/>
              </w:rPr>
              <w:t>6</w:t>
            </w:r>
            <w:r w:rsidR="00AB169D">
              <w:rPr>
                <w:noProof/>
                <w:webHidden/>
              </w:rPr>
              <w:fldChar w:fldCharType="end"/>
            </w:r>
          </w:hyperlink>
        </w:p>
        <w:p w14:paraId="72120B19" w14:textId="45E3D667" w:rsidR="00AB169D" w:rsidRDefault="00E72506">
          <w:pPr>
            <w:pStyle w:val="TOC1"/>
            <w:tabs>
              <w:tab w:val="right" w:leader="dot" w:pos="9062"/>
            </w:tabs>
            <w:rPr>
              <w:noProof/>
            </w:rPr>
          </w:pPr>
          <w:hyperlink w:anchor="_Toc153886684" w:history="1">
            <w:r w:rsidR="00AB169D" w:rsidRPr="00031EE5">
              <w:rPr>
                <w:rStyle w:val="Hyperlink"/>
                <w:noProof/>
              </w:rPr>
              <w:t>Strategies and recommendations to overcome challenges</w:t>
            </w:r>
            <w:r w:rsidR="00AB169D">
              <w:rPr>
                <w:noProof/>
                <w:webHidden/>
              </w:rPr>
              <w:tab/>
            </w:r>
            <w:r w:rsidR="00AB169D">
              <w:rPr>
                <w:noProof/>
                <w:webHidden/>
              </w:rPr>
              <w:fldChar w:fldCharType="begin"/>
            </w:r>
            <w:r w:rsidR="00AB169D">
              <w:rPr>
                <w:noProof/>
                <w:webHidden/>
              </w:rPr>
              <w:instrText xml:space="preserve"> PAGEREF _Toc153886684 \h </w:instrText>
            </w:r>
            <w:r w:rsidR="00AB169D">
              <w:rPr>
                <w:noProof/>
                <w:webHidden/>
              </w:rPr>
            </w:r>
            <w:r w:rsidR="00AB169D">
              <w:rPr>
                <w:noProof/>
                <w:webHidden/>
              </w:rPr>
              <w:fldChar w:fldCharType="separate"/>
            </w:r>
            <w:r w:rsidR="00AB169D">
              <w:rPr>
                <w:noProof/>
                <w:webHidden/>
              </w:rPr>
              <w:t>7</w:t>
            </w:r>
            <w:r w:rsidR="00AB169D">
              <w:rPr>
                <w:noProof/>
                <w:webHidden/>
              </w:rPr>
              <w:fldChar w:fldCharType="end"/>
            </w:r>
          </w:hyperlink>
        </w:p>
        <w:p w14:paraId="3940B020" w14:textId="27C3D6BC" w:rsidR="00AB169D" w:rsidRDefault="00E72506">
          <w:pPr>
            <w:pStyle w:val="TOC1"/>
            <w:tabs>
              <w:tab w:val="right" w:leader="dot" w:pos="9062"/>
            </w:tabs>
            <w:rPr>
              <w:noProof/>
            </w:rPr>
          </w:pPr>
          <w:hyperlink w:anchor="_Toc153886685" w:history="1">
            <w:r w:rsidR="00AB169D" w:rsidRPr="00031EE5">
              <w:rPr>
                <w:rStyle w:val="Hyperlink"/>
                <w:noProof/>
              </w:rPr>
              <w:t>Conclusion</w:t>
            </w:r>
            <w:r w:rsidR="00AB169D">
              <w:rPr>
                <w:noProof/>
                <w:webHidden/>
              </w:rPr>
              <w:tab/>
            </w:r>
            <w:r w:rsidR="00AB169D">
              <w:rPr>
                <w:noProof/>
                <w:webHidden/>
              </w:rPr>
              <w:fldChar w:fldCharType="begin"/>
            </w:r>
            <w:r w:rsidR="00AB169D">
              <w:rPr>
                <w:noProof/>
                <w:webHidden/>
              </w:rPr>
              <w:instrText xml:space="preserve"> PAGEREF _Toc153886685 \h </w:instrText>
            </w:r>
            <w:r w:rsidR="00AB169D">
              <w:rPr>
                <w:noProof/>
                <w:webHidden/>
              </w:rPr>
            </w:r>
            <w:r w:rsidR="00AB169D">
              <w:rPr>
                <w:noProof/>
                <w:webHidden/>
              </w:rPr>
              <w:fldChar w:fldCharType="separate"/>
            </w:r>
            <w:r w:rsidR="00AB169D">
              <w:rPr>
                <w:noProof/>
                <w:webHidden/>
              </w:rPr>
              <w:t>8</w:t>
            </w:r>
            <w:r w:rsidR="00AB169D">
              <w:rPr>
                <w:noProof/>
                <w:webHidden/>
              </w:rPr>
              <w:fldChar w:fldCharType="end"/>
            </w:r>
          </w:hyperlink>
        </w:p>
        <w:p w14:paraId="01B180CA" w14:textId="4C370775" w:rsidR="00AB169D" w:rsidRDefault="00E72506">
          <w:pPr>
            <w:pStyle w:val="TOC1"/>
            <w:tabs>
              <w:tab w:val="right" w:leader="dot" w:pos="9062"/>
            </w:tabs>
            <w:rPr>
              <w:noProof/>
            </w:rPr>
          </w:pPr>
          <w:hyperlink w:anchor="_Toc153886686" w:history="1">
            <w:r w:rsidR="00AB169D" w:rsidRPr="00031EE5">
              <w:rPr>
                <w:rStyle w:val="Hyperlink"/>
                <w:noProof/>
              </w:rPr>
              <w:t>References</w:t>
            </w:r>
            <w:r w:rsidR="00AB169D">
              <w:rPr>
                <w:noProof/>
                <w:webHidden/>
              </w:rPr>
              <w:tab/>
            </w:r>
            <w:r w:rsidR="00AB169D">
              <w:rPr>
                <w:noProof/>
                <w:webHidden/>
              </w:rPr>
              <w:fldChar w:fldCharType="begin"/>
            </w:r>
            <w:r w:rsidR="00AB169D">
              <w:rPr>
                <w:noProof/>
                <w:webHidden/>
              </w:rPr>
              <w:instrText xml:space="preserve"> PAGEREF _Toc153886686 \h </w:instrText>
            </w:r>
            <w:r w:rsidR="00AB169D">
              <w:rPr>
                <w:noProof/>
                <w:webHidden/>
              </w:rPr>
            </w:r>
            <w:r w:rsidR="00AB169D">
              <w:rPr>
                <w:noProof/>
                <w:webHidden/>
              </w:rPr>
              <w:fldChar w:fldCharType="separate"/>
            </w:r>
            <w:r w:rsidR="00AB169D">
              <w:rPr>
                <w:noProof/>
                <w:webHidden/>
              </w:rPr>
              <w:t>9</w:t>
            </w:r>
            <w:r w:rsidR="00AB169D">
              <w:rPr>
                <w:noProof/>
                <w:webHidden/>
              </w:rPr>
              <w:fldChar w:fldCharType="end"/>
            </w:r>
          </w:hyperlink>
        </w:p>
        <w:p w14:paraId="4C04A1DB" w14:textId="11A66B99" w:rsidR="007424D0" w:rsidRDefault="007424D0" w:rsidP="007424D0">
          <w:pPr>
            <w:jc w:val="both"/>
          </w:pPr>
          <w:r>
            <w:rPr>
              <w:b/>
              <w:bCs/>
              <w:noProof/>
            </w:rPr>
            <w:fldChar w:fldCharType="end"/>
          </w:r>
        </w:p>
      </w:sdtContent>
    </w:sdt>
    <w:p w14:paraId="7BB465B2" w14:textId="77777777" w:rsidR="007424D0" w:rsidRPr="007424D0" w:rsidRDefault="007424D0" w:rsidP="007424D0">
      <w:pPr>
        <w:spacing w:line="360" w:lineRule="auto"/>
        <w:jc w:val="both"/>
        <w:rPr>
          <w:rFonts w:ascii="Arial" w:hAnsi="Arial" w:cs="Arial"/>
          <w:sz w:val="24"/>
          <w:szCs w:val="24"/>
        </w:rPr>
      </w:pPr>
    </w:p>
    <w:p w14:paraId="3BAC22C4" w14:textId="77777777" w:rsidR="007424D0" w:rsidRDefault="007424D0" w:rsidP="007424D0">
      <w:pPr>
        <w:spacing w:line="360" w:lineRule="auto"/>
        <w:jc w:val="both"/>
        <w:rPr>
          <w:rFonts w:ascii="Arial" w:hAnsi="Arial" w:cs="Arial"/>
          <w:b/>
          <w:bCs/>
          <w:sz w:val="24"/>
          <w:szCs w:val="24"/>
        </w:rPr>
      </w:pPr>
    </w:p>
    <w:p w14:paraId="07C62515" w14:textId="77777777" w:rsidR="007424D0" w:rsidRDefault="007424D0" w:rsidP="007424D0">
      <w:pPr>
        <w:spacing w:line="360" w:lineRule="auto"/>
        <w:jc w:val="both"/>
        <w:rPr>
          <w:rFonts w:ascii="Arial" w:hAnsi="Arial" w:cs="Arial"/>
          <w:b/>
          <w:bCs/>
          <w:sz w:val="24"/>
          <w:szCs w:val="24"/>
        </w:rPr>
      </w:pPr>
    </w:p>
    <w:p w14:paraId="484EA698" w14:textId="77777777" w:rsidR="007424D0" w:rsidRDefault="007424D0" w:rsidP="007424D0">
      <w:pPr>
        <w:spacing w:line="360" w:lineRule="auto"/>
        <w:jc w:val="both"/>
        <w:rPr>
          <w:rFonts w:ascii="Arial" w:hAnsi="Arial" w:cs="Arial"/>
          <w:b/>
          <w:bCs/>
          <w:sz w:val="24"/>
          <w:szCs w:val="24"/>
        </w:rPr>
      </w:pPr>
    </w:p>
    <w:p w14:paraId="709C8AF9" w14:textId="77777777" w:rsidR="007424D0" w:rsidRDefault="007424D0" w:rsidP="007424D0">
      <w:pPr>
        <w:spacing w:line="360" w:lineRule="auto"/>
        <w:jc w:val="both"/>
        <w:rPr>
          <w:rFonts w:ascii="Arial" w:hAnsi="Arial" w:cs="Arial"/>
          <w:b/>
          <w:bCs/>
          <w:sz w:val="24"/>
          <w:szCs w:val="24"/>
        </w:rPr>
      </w:pPr>
    </w:p>
    <w:p w14:paraId="65430425" w14:textId="77777777" w:rsidR="007424D0" w:rsidRDefault="007424D0" w:rsidP="007424D0">
      <w:pPr>
        <w:spacing w:line="360" w:lineRule="auto"/>
        <w:jc w:val="both"/>
        <w:rPr>
          <w:rFonts w:ascii="Arial" w:hAnsi="Arial" w:cs="Arial"/>
          <w:b/>
          <w:bCs/>
          <w:sz w:val="24"/>
          <w:szCs w:val="24"/>
        </w:rPr>
      </w:pPr>
    </w:p>
    <w:p w14:paraId="395333F8" w14:textId="77777777" w:rsidR="007424D0" w:rsidRDefault="007424D0" w:rsidP="007424D0">
      <w:pPr>
        <w:spacing w:line="360" w:lineRule="auto"/>
        <w:jc w:val="both"/>
        <w:rPr>
          <w:rFonts w:ascii="Arial" w:hAnsi="Arial" w:cs="Arial"/>
          <w:b/>
          <w:bCs/>
          <w:sz w:val="24"/>
          <w:szCs w:val="24"/>
        </w:rPr>
      </w:pPr>
    </w:p>
    <w:p w14:paraId="62F33993" w14:textId="77777777" w:rsidR="007424D0" w:rsidRDefault="007424D0" w:rsidP="007424D0">
      <w:pPr>
        <w:spacing w:line="360" w:lineRule="auto"/>
        <w:jc w:val="both"/>
        <w:rPr>
          <w:rFonts w:ascii="Arial" w:hAnsi="Arial" w:cs="Arial"/>
          <w:b/>
          <w:bCs/>
          <w:sz w:val="24"/>
          <w:szCs w:val="24"/>
        </w:rPr>
      </w:pPr>
    </w:p>
    <w:p w14:paraId="70119937" w14:textId="77777777" w:rsidR="007424D0" w:rsidRDefault="007424D0" w:rsidP="007424D0">
      <w:pPr>
        <w:spacing w:line="360" w:lineRule="auto"/>
        <w:jc w:val="both"/>
        <w:rPr>
          <w:rFonts w:ascii="Arial" w:hAnsi="Arial" w:cs="Arial"/>
          <w:b/>
          <w:bCs/>
          <w:sz w:val="24"/>
          <w:szCs w:val="24"/>
        </w:rPr>
      </w:pPr>
    </w:p>
    <w:p w14:paraId="39727E84" w14:textId="77777777" w:rsidR="007424D0" w:rsidRDefault="007424D0" w:rsidP="007424D0">
      <w:pPr>
        <w:spacing w:line="360" w:lineRule="auto"/>
        <w:jc w:val="both"/>
        <w:rPr>
          <w:rFonts w:ascii="Arial" w:hAnsi="Arial" w:cs="Arial"/>
          <w:b/>
          <w:bCs/>
          <w:sz w:val="24"/>
          <w:szCs w:val="24"/>
        </w:rPr>
      </w:pPr>
    </w:p>
    <w:p w14:paraId="7324196A" w14:textId="77777777" w:rsidR="007424D0" w:rsidRDefault="007424D0" w:rsidP="007424D0">
      <w:pPr>
        <w:spacing w:line="360" w:lineRule="auto"/>
        <w:jc w:val="both"/>
        <w:rPr>
          <w:rFonts w:ascii="Arial" w:hAnsi="Arial" w:cs="Arial"/>
          <w:b/>
          <w:bCs/>
          <w:sz w:val="24"/>
          <w:szCs w:val="24"/>
        </w:rPr>
      </w:pPr>
    </w:p>
    <w:p w14:paraId="704CF1E6" w14:textId="77777777" w:rsidR="007424D0" w:rsidRDefault="007424D0" w:rsidP="007424D0">
      <w:pPr>
        <w:spacing w:line="360" w:lineRule="auto"/>
        <w:jc w:val="both"/>
        <w:rPr>
          <w:rFonts w:ascii="Arial" w:hAnsi="Arial" w:cs="Arial"/>
          <w:b/>
          <w:bCs/>
          <w:sz w:val="24"/>
          <w:szCs w:val="24"/>
        </w:rPr>
      </w:pPr>
    </w:p>
    <w:p w14:paraId="50416807" w14:textId="77777777" w:rsidR="00AB169D" w:rsidRDefault="00AB169D" w:rsidP="007424D0">
      <w:pPr>
        <w:spacing w:line="360" w:lineRule="auto"/>
        <w:jc w:val="both"/>
        <w:rPr>
          <w:rFonts w:ascii="Arial" w:hAnsi="Arial" w:cs="Arial"/>
          <w:b/>
          <w:bCs/>
          <w:sz w:val="24"/>
          <w:szCs w:val="24"/>
        </w:rPr>
      </w:pPr>
    </w:p>
    <w:p w14:paraId="24270C8E" w14:textId="77777777" w:rsidR="007424D0" w:rsidRDefault="007424D0" w:rsidP="007424D0">
      <w:pPr>
        <w:spacing w:line="360" w:lineRule="auto"/>
        <w:jc w:val="both"/>
        <w:rPr>
          <w:rFonts w:ascii="Arial" w:hAnsi="Arial" w:cs="Arial"/>
          <w:b/>
          <w:bCs/>
          <w:sz w:val="24"/>
          <w:szCs w:val="24"/>
        </w:rPr>
      </w:pPr>
    </w:p>
    <w:p w14:paraId="2CD1AB1D" w14:textId="77777777" w:rsidR="007424D0" w:rsidRDefault="007424D0" w:rsidP="007424D0">
      <w:pPr>
        <w:spacing w:line="360" w:lineRule="auto"/>
        <w:jc w:val="both"/>
        <w:rPr>
          <w:rFonts w:ascii="Arial" w:hAnsi="Arial" w:cs="Arial"/>
          <w:b/>
          <w:bCs/>
          <w:sz w:val="24"/>
          <w:szCs w:val="24"/>
        </w:rPr>
      </w:pPr>
    </w:p>
    <w:p w14:paraId="22BC66A3" w14:textId="1E56C887" w:rsidR="007424D0" w:rsidRPr="007424D0" w:rsidRDefault="007424D0" w:rsidP="007424D0">
      <w:pPr>
        <w:pStyle w:val="Heading1"/>
        <w:jc w:val="both"/>
      </w:pPr>
      <w:bookmarkStart w:id="0" w:name="_Toc153886678"/>
      <w:r w:rsidRPr="007424D0">
        <w:t>Introduction of the context for British business communication</w:t>
      </w:r>
      <w:bookmarkEnd w:id="0"/>
    </w:p>
    <w:p w14:paraId="30BA398E" w14:textId="51AA0104"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 xml:space="preserve">Amidst the complexity of cross-border communications, British multinationals have proven adept at tailoring linguistic approaches to local contexts based on </w:t>
      </w:r>
      <w:r>
        <w:rPr>
          <w:rFonts w:ascii="Arial" w:hAnsi="Arial" w:cs="Arial"/>
          <w:sz w:val="24"/>
          <w:szCs w:val="24"/>
        </w:rPr>
        <w:t>internationally validated</w:t>
      </w:r>
      <w:r w:rsidRPr="007424D0">
        <w:rPr>
          <w:rFonts w:ascii="Arial" w:hAnsi="Arial" w:cs="Arial"/>
          <w:sz w:val="24"/>
          <w:szCs w:val="24"/>
        </w:rPr>
        <w:t xml:space="preserve"> best practices. A quantitative analysis of more than 1,500 European companies found that UK firms were the most proficient in adapting English to local cultures, as a universal language for business, when they expanded operations abroad (Hagen, et. al., 2006). British ability to switch between idiomatic language, slang</w:t>
      </w:r>
      <w:r>
        <w:rPr>
          <w:rFonts w:ascii="Arial" w:hAnsi="Arial" w:cs="Arial"/>
          <w:sz w:val="24"/>
          <w:szCs w:val="24"/>
        </w:rPr>
        <w:t>,</w:t>
      </w:r>
      <w:r w:rsidRPr="007424D0">
        <w:rPr>
          <w:rFonts w:ascii="Arial" w:hAnsi="Arial" w:cs="Arial"/>
          <w:sz w:val="24"/>
          <w:szCs w:val="24"/>
        </w:rPr>
        <w:t xml:space="preserve"> and formality while maintaining coherence has been honed over decades of immersion in multicultural environments at home and through centuries of overseas trade. The ancient Greeks understood that logos, ethos and pathos (content, credibility</w:t>
      </w:r>
      <w:r>
        <w:rPr>
          <w:rFonts w:ascii="Arial" w:hAnsi="Arial" w:cs="Arial"/>
          <w:sz w:val="24"/>
          <w:szCs w:val="24"/>
        </w:rPr>
        <w:t>,</w:t>
      </w:r>
      <w:r w:rsidRPr="007424D0">
        <w:rPr>
          <w:rFonts w:ascii="Arial" w:hAnsi="Arial" w:cs="Arial"/>
          <w:sz w:val="24"/>
          <w:szCs w:val="24"/>
        </w:rPr>
        <w:t xml:space="preserve"> and emotional connection) must be woven into messaging across cultures </w:t>
      </w:r>
      <w:r w:rsidR="00AB169D">
        <w:rPr>
          <w:rFonts w:ascii="Arial" w:hAnsi="Arial" w:cs="Arial"/>
          <w:sz w:val="24"/>
          <w:szCs w:val="24"/>
        </w:rPr>
        <w:t>to</w:t>
      </w:r>
      <w:r w:rsidRPr="007424D0">
        <w:rPr>
          <w:rFonts w:ascii="Arial" w:hAnsi="Arial" w:cs="Arial"/>
          <w:sz w:val="24"/>
          <w:szCs w:val="24"/>
        </w:rPr>
        <w:t xml:space="preserve"> inspire understanding and action. British multinationals are masters at blending these elements into English communication when they first enter foreign countries, using a variety of modalities from written directives to online meetings. They then transfer the linguistic leadership reins over time to local teams</w:t>
      </w:r>
      <w:r>
        <w:rPr>
          <w:rFonts w:ascii="Arial" w:hAnsi="Arial" w:cs="Arial"/>
          <w:sz w:val="24"/>
          <w:szCs w:val="24"/>
        </w:rPr>
        <w:t xml:space="preserve"> (</w:t>
      </w:r>
      <w:r w:rsidRPr="007424D0">
        <w:rPr>
          <w:rFonts w:ascii="Arial" w:hAnsi="Arial" w:cs="Arial"/>
          <w:sz w:val="24"/>
          <w:szCs w:val="24"/>
        </w:rPr>
        <w:t>Business English Pod</w:t>
      </w:r>
      <w:r>
        <w:rPr>
          <w:rFonts w:ascii="Arial" w:hAnsi="Arial" w:cs="Arial"/>
          <w:sz w:val="24"/>
          <w:szCs w:val="24"/>
        </w:rPr>
        <w:t>,</w:t>
      </w:r>
      <w:r w:rsidRPr="007424D0">
        <w:rPr>
          <w:rFonts w:ascii="Arial" w:hAnsi="Arial" w:cs="Arial"/>
          <w:sz w:val="24"/>
          <w:szCs w:val="24"/>
        </w:rPr>
        <w:t xml:space="preserve"> 2022).</w:t>
      </w:r>
    </w:p>
    <w:p w14:paraId="733EDB38" w14:textId="4660F6A3"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Recent quantitative global studies confirmed that English is the undisputed language of business in all areas worldwide. Over 90% of multinational companies operate in English, even if they are not British-based. English penetration is lower than 50% in smaller, national-oriented companies located in non-Anglophone European nations (Business English pod, 2022). This means BP will need to be sensitive when integrating Polish operations following expansion. Although English is becoming more common among younger generations of Polish people who are exposed to digital media, older employees may have difficulty adapting to the rapid adoption of English. By implementing a gradual "Englishnization" approach, allowing for transitional periods and relying on translations, before full language assimilation is implemented, instead of imposing a heavy-handed requirement that all communication be in English immediately, the risk of alienating important talent pools within acquired Polish subsidiaries can be reduced. In this context, soft incentives that encourage voluntary English adoption could be more effective than top-down demands.</w:t>
      </w:r>
    </w:p>
    <w:p w14:paraId="4D6CDCFE" w14:textId="23467F7A" w:rsidR="007424D0" w:rsidRPr="007424D0" w:rsidRDefault="007424D0" w:rsidP="007424D0">
      <w:pPr>
        <w:pStyle w:val="Heading1"/>
      </w:pPr>
      <w:bookmarkStart w:id="1" w:name="_Toc153886679"/>
      <w:r w:rsidRPr="007424D0">
        <w:t>A brief introduction to the selected organization (British Petroleum)</w:t>
      </w:r>
      <w:bookmarkEnd w:id="1"/>
    </w:p>
    <w:p w14:paraId="6466DA9B" w14:textId="37B88A5A"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 xml:space="preserve">British Petroleum (BP), a multinational oil and natural gas company headquartered </w:t>
      </w:r>
      <w:r>
        <w:rPr>
          <w:rFonts w:ascii="Arial" w:hAnsi="Arial" w:cs="Arial"/>
          <w:sz w:val="24"/>
          <w:szCs w:val="24"/>
        </w:rPr>
        <w:t xml:space="preserve">in </w:t>
      </w:r>
      <w:r w:rsidRPr="007424D0">
        <w:rPr>
          <w:rFonts w:ascii="Arial" w:hAnsi="Arial" w:cs="Arial"/>
          <w:sz w:val="24"/>
          <w:szCs w:val="24"/>
        </w:rPr>
        <w:t>London, is a British oil and gas corporation. BP was founded in 1909 and operates in more than 70 countries in the oil and gas industry. This includes exploration, production</w:t>
      </w:r>
      <w:r w:rsidR="00AB169D">
        <w:rPr>
          <w:rFonts w:ascii="Arial" w:hAnsi="Arial" w:cs="Arial"/>
          <w:sz w:val="24"/>
          <w:szCs w:val="24"/>
        </w:rPr>
        <w:t>,</w:t>
      </w:r>
      <w:r w:rsidRPr="007424D0">
        <w:rPr>
          <w:rFonts w:ascii="Arial" w:hAnsi="Arial" w:cs="Arial"/>
          <w:sz w:val="24"/>
          <w:szCs w:val="24"/>
        </w:rPr>
        <w:t xml:space="preserve"> and refining. BP, the UK's biggest corporation in terms of revenue, is expected to generate $164 billion by 2021. It employs over 63,000 people worldwide. Its main operations in Europe are offshore oil wells on the North Sea and onshore installations across the continent.</w:t>
      </w:r>
    </w:p>
    <w:p w14:paraId="58DD6072" w14:textId="48E8DE23"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 xml:space="preserve">BP, one of the seven world's largest oil and natural gas companies, has been through a century-long geopolitical transition that required a savvy evolution. Its fortunes, which have been tied to global energy politics for decades, are rooted in the </w:t>
      </w:r>
      <w:r>
        <w:rPr>
          <w:rFonts w:ascii="Arial" w:hAnsi="Arial" w:cs="Arial"/>
          <w:sz w:val="24"/>
          <w:szCs w:val="24"/>
        </w:rPr>
        <w:t>Anglo-Persian</w:t>
      </w:r>
      <w:r w:rsidRPr="007424D0">
        <w:rPr>
          <w:rFonts w:ascii="Arial" w:hAnsi="Arial" w:cs="Arial"/>
          <w:sz w:val="24"/>
          <w:szCs w:val="24"/>
        </w:rPr>
        <w:t xml:space="preserve"> Oil Company, the company that powered the British Navy in the early 20th Century. (Bamberg</w:t>
      </w:r>
      <w:r>
        <w:rPr>
          <w:rFonts w:ascii="Arial" w:hAnsi="Arial" w:cs="Arial"/>
          <w:sz w:val="24"/>
          <w:szCs w:val="24"/>
        </w:rPr>
        <w:t>,</w:t>
      </w:r>
      <w:r w:rsidRPr="007424D0">
        <w:rPr>
          <w:rFonts w:ascii="Arial" w:hAnsi="Arial" w:cs="Arial"/>
          <w:sz w:val="24"/>
          <w:szCs w:val="24"/>
        </w:rPr>
        <w:t xml:space="preserve"> 1994). BP embraced new fields such as deepwater drilling when the 1973 OPEC Crisis shook the oil industry. BP has proven its flexibility and durability on the global stage.</w:t>
      </w:r>
    </w:p>
    <w:p w14:paraId="3FC9E415" w14:textId="647D1AE8"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 xml:space="preserve">BP's 21st Century trajectory is centered on the importance of renewable energy in a world where sustainability awareness has grown. BP began a shift in branding to Beyond Petroleum as early as the 1990s, highlighting its efforts </w:t>
      </w:r>
      <w:r w:rsidR="00AB169D">
        <w:rPr>
          <w:rFonts w:ascii="Arial" w:hAnsi="Arial" w:cs="Arial"/>
          <w:sz w:val="24"/>
          <w:szCs w:val="24"/>
        </w:rPr>
        <w:t>in</w:t>
      </w:r>
      <w:r w:rsidRPr="007424D0">
        <w:rPr>
          <w:rFonts w:ascii="Arial" w:hAnsi="Arial" w:cs="Arial"/>
          <w:sz w:val="24"/>
          <w:szCs w:val="24"/>
        </w:rPr>
        <w:t xml:space="preserve"> solar energy (Bamberg</w:t>
      </w:r>
      <w:r>
        <w:rPr>
          <w:rFonts w:ascii="Arial" w:hAnsi="Arial" w:cs="Arial"/>
          <w:sz w:val="24"/>
          <w:szCs w:val="24"/>
        </w:rPr>
        <w:t>,</w:t>
      </w:r>
      <w:r w:rsidRPr="007424D0">
        <w:rPr>
          <w:rFonts w:ascii="Arial" w:hAnsi="Arial" w:cs="Arial"/>
          <w:sz w:val="24"/>
          <w:szCs w:val="24"/>
        </w:rPr>
        <w:t xml:space="preserve"> 1994). Over 20% of the current R&amp;D budgets are allocated to low-carbon research, including biofuels, hydrogen</w:t>
      </w:r>
      <w:r>
        <w:rPr>
          <w:rFonts w:ascii="Arial" w:hAnsi="Arial" w:cs="Arial"/>
          <w:sz w:val="24"/>
          <w:szCs w:val="24"/>
        </w:rPr>
        <w:t>,</w:t>
      </w:r>
      <w:r w:rsidRPr="007424D0">
        <w:rPr>
          <w:rFonts w:ascii="Arial" w:hAnsi="Arial" w:cs="Arial"/>
          <w:sz w:val="24"/>
          <w:szCs w:val="24"/>
        </w:rPr>
        <w:t xml:space="preserve"> and EV charging, alongside core oil and natural gas activities (BP, 2030). European leaders have set ambitious goals for carbon neutrality by 2050. This has provided an impetus for companies in the </w:t>
      </w:r>
      <w:r>
        <w:rPr>
          <w:rFonts w:ascii="Arial" w:hAnsi="Arial" w:cs="Arial"/>
          <w:sz w:val="24"/>
          <w:szCs w:val="24"/>
        </w:rPr>
        <w:t>West</w:t>
      </w:r>
      <w:r w:rsidRPr="007424D0">
        <w:rPr>
          <w:rFonts w:ascii="Arial" w:hAnsi="Arial" w:cs="Arial"/>
          <w:sz w:val="24"/>
          <w:szCs w:val="24"/>
        </w:rPr>
        <w:t xml:space="preserve"> to transfer green technology expertise via regional expansion. BP's combination of legacy energy infrastructure and growing clean tech investments is </w:t>
      </w:r>
      <w:r>
        <w:rPr>
          <w:rFonts w:ascii="Arial" w:hAnsi="Arial" w:cs="Arial"/>
          <w:sz w:val="24"/>
          <w:szCs w:val="24"/>
        </w:rPr>
        <w:t>well-positioned</w:t>
      </w:r>
      <w:r w:rsidRPr="007424D0">
        <w:rPr>
          <w:rFonts w:ascii="Arial" w:hAnsi="Arial" w:cs="Arial"/>
          <w:sz w:val="24"/>
          <w:szCs w:val="24"/>
        </w:rPr>
        <w:t xml:space="preserve"> to enable Europe's future greener.</w:t>
      </w:r>
    </w:p>
    <w:p w14:paraId="3F3FDE55" w14:textId="47A24771"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BP has been successful in achieving success overseas by localizing leadership and granting autonomy that is tailored to the context. BP's managers in Europe are mainly from Germany, Italy, Spain</w:t>
      </w:r>
      <w:r>
        <w:rPr>
          <w:rFonts w:ascii="Arial" w:hAnsi="Arial" w:cs="Arial"/>
          <w:sz w:val="24"/>
          <w:szCs w:val="24"/>
        </w:rPr>
        <w:t>,</w:t>
      </w:r>
      <w:r w:rsidRPr="007424D0">
        <w:rPr>
          <w:rFonts w:ascii="Arial" w:hAnsi="Arial" w:cs="Arial"/>
          <w:sz w:val="24"/>
          <w:szCs w:val="24"/>
        </w:rPr>
        <w:t xml:space="preserve"> and Eastern Europe. They have been given significant assignments because they are familiar with the regional realities. This distributed authority structure might initially seem chaotic to rigidly hierarchical Europeans, but BP encourages creativity by allowing the local leaders to experiment </w:t>
      </w:r>
      <w:r w:rsidR="00AB169D">
        <w:rPr>
          <w:rFonts w:ascii="Arial" w:hAnsi="Arial" w:cs="Arial"/>
          <w:sz w:val="24"/>
          <w:szCs w:val="24"/>
        </w:rPr>
        <w:t>with</w:t>
      </w:r>
      <w:r w:rsidRPr="007424D0">
        <w:rPr>
          <w:rFonts w:ascii="Arial" w:hAnsi="Arial" w:cs="Arial"/>
          <w:sz w:val="24"/>
          <w:szCs w:val="24"/>
        </w:rPr>
        <w:t xml:space="preserve"> the loose strategic guardrails established from London HQ. This formula will also work for new Polish operations, as British supervisors will be able to catalyze innovation by empowering local experts to tailor-fit solutions that address immediate challenges.</w:t>
      </w:r>
    </w:p>
    <w:p w14:paraId="10414184" w14:textId="77777777" w:rsidR="007424D0" w:rsidRPr="007424D0" w:rsidRDefault="007424D0" w:rsidP="007424D0">
      <w:pPr>
        <w:pStyle w:val="Heading1"/>
      </w:pPr>
      <w:bookmarkStart w:id="2" w:name="_Toc153886680"/>
      <w:r w:rsidRPr="007424D0">
        <w:t>Comparison of two EU countries by using country facts and Hofstede’s Cultural Dimensions Theory</w:t>
      </w:r>
      <w:bookmarkEnd w:id="2"/>
    </w:p>
    <w:p w14:paraId="327B283D" w14:textId="77777777" w:rsidR="007424D0" w:rsidRPr="007424D0" w:rsidRDefault="007424D0" w:rsidP="007424D0">
      <w:pPr>
        <w:pStyle w:val="Heading2"/>
      </w:pPr>
      <w:bookmarkStart w:id="3" w:name="_Toc153886681"/>
      <w:r w:rsidRPr="007424D0">
        <w:t>France</w:t>
      </w:r>
      <w:bookmarkEnd w:id="3"/>
    </w:p>
    <w:p w14:paraId="39C38A59" w14:textId="77777777"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Facts: 67 million people, a large and developed EU economy. High standard of living/HDI. Language French. Recent economic uncertainty.</w:t>
      </w:r>
    </w:p>
    <w:p w14:paraId="1D9F382C" w14:textId="77777777"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Hofstede dimensions: High power distance, high uncertainty avoidance, moderate individualism/masculinity, moderate long term orientation.</w:t>
      </w:r>
    </w:p>
    <w:p w14:paraId="003AC089" w14:textId="77777777"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Implications: Focus on expertise/processes rather than rapid innovation.</w:t>
      </w:r>
    </w:p>
    <w:p w14:paraId="68F9055C" w14:textId="2C5BC0DD"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Other research has found contradictory evidence. IBM's large-scale study classified France more towards collectivism (Trompenaars &amp; Hampden Turner, 1997). The French place a high value on social values, and the importance of working together for the good of all. Other studies, however, show that younger generations are becoming more individualistic in certain areas, such as entrepreneurship and social norms (Le Renard</w:t>
      </w:r>
      <w:r>
        <w:rPr>
          <w:rFonts w:ascii="Arial" w:hAnsi="Arial" w:cs="Arial"/>
          <w:sz w:val="24"/>
          <w:szCs w:val="24"/>
        </w:rPr>
        <w:t>,</w:t>
      </w:r>
      <w:r w:rsidRPr="007424D0">
        <w:rPr>
          <w:rFonts w:ascii="Arial" w:hAnsi="Arial" w:cs="Arial"/>
          <w:sz w:val="24"/>
          <w:szCs w:val="24"/>
        </w:rPr>
        <w:t xml:space="preserve"> 2019). BP's expansionists would need to gain a nuanced understanding of these complex and shifting cultural dynamics through immersion on the ground. A balance between fostering cooperative relationships and allowing for individual expression can be achieved by establishing partnerships that allow both.</w:t>
      </w:r>
    </w:p>
    <w:p w14:paraId="24D9D8C4" w14:textId="77777777" w:rsidR="007424D0" w:rsidRDefault="007424D0" w:rsidP="007424D0">
      <w:pPr>
        <w:pStyle w:val="Heading2"/>
      </w:pPr>
      <w:bookmarkStart w:id="4" w:name="_Toc153886682"/>
      <w:r w:rsidRPr="007424D0">
        <w:t>Country A: Poland</w:t>
      </w:r>
      <w:bookmarkEnd w:id="4"/>
    </w:p>
    <w:p w14:paraId="344F801A" w14:textId="273B9D3E"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 xml:space="preserve">Facts: large EU member since 2004, population 38 </w:t>
      </w:r>
      <w:r>
        <w:rPr>
          <w:rFonts w:ascii="Arial" w:hAnsi="Arial" w:cs="Arial"/>
          <w:sz w:val="24"/>
          <w:szCs w:val="24"/>
        </w:rPr>
        <w:t>million</w:t>
      </w:r>
      <w:r w:rsidRPr="007424D0">
        <w:rPr>
          <w:rFonts w:ascii="Arial" w:hAnsi="Arial" w:cs="Arial"/>
          <w:sz w:val="24"/>
          <w:szCs w:val="24"/>
        </w:rPr>
        <w:t>; resilient, fast-growing economy; lower cost; language Polish; motivated workforce</w:t>
      </w:r>
    </w:p>
    <w:p w14:paraId="68F239F6" w14:textId="768D6D91"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 xml:space="preserve">Hofstede: Lower power distance/uncertainty avoided than </w:t>
      </w:r>
      <w:r>
        <w:rPr>
          <w:rFonts w:ascii="Arial" w:hAnsi="Arial" w:cs="Arial"/>
          <w:sz w:val="24"/>
          <w:szCs w:val="24"/>
        </w:rPr>
        <w:t xml:space="preserve">the </w:t>
      </w:r>
      <w:r w:rsidRPr="007424D0">
        <w:rPr>
          <w:rFonts w:ascii="Arial" w:hAnsi="Arial" w:cs="Arial"/>
          <w:sz w:val="24"/>
          <w:szCs w:val="24"/>
        </w:rPr>
        <w:t xml:space="preserve">UK, but higher than France. Emphasis on rules and order </w:t>
      </w:r>
      <w:r>
        <w:rPr>
          <w:rFonts w:ascii="Arial" w:hAnsi="Arial" w:cs="Arial"/>
          <w:sz w:val="24"/>
          <w:szCs w:val="24"/>
        </w:rPr>
        <w:t>to</w:t>
      </w:r>
      <w:r w:rsidRPr="007424D0">
        <w:rPr>
          <w:rFonts w:ascii="Arial" w:hAnsi="Arial" w:cs="Arial"/>
          <w:sz w:val="24"/>
          <w:szCs w:val="24"/>
        </w:rPr>
        <w:t xml:space="preserve"> reduce risk.</w:t>
      </w:r>
    </w:p>
    <w:p w14:paraId="2FA68E60" w14:textId="77777777"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Implications: Foreign investors may benefit from hierarchical management, but also openness to changes and a desire to catch up to Western Europe.</w:t>
      </w:r>
    </w:p>
    <w:p w14:paraId="23B0C3F5" w14:textId="5738D6E7"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 xml:space="preserve">Poland's preference for specific business relationships over diffuse ones is an area that deserves further investigation. Polish business culture is characterized by a preference for specificity, with interactions compartmentalized and focused on explicit tasks and goals (Trompenaars &amp; Hampden Turner, 1997). It contrasts with </w:t>
      </w:r>
      <w:r>
        <w:rPr>
          <w:rFonts w:ascii="Arial" w:hAnsi="Arial" w:cs="Arial"/>
          <w:sz w:val="24"/>
          <w:szCs w:val="24"/>
        </w:rPr>
        <w:t>more diffuse cultures</w:t>
      </w:r>
      <w:r w:rsidRPr="007424D0">
        <w:rPr>
          <w:rFonts w:ascii="Arial" w:hAnsi="Arial" w:cs="Arial"/>
          <w:sz w:val="24"/>
          <w:szCs w:val="24"/>
        </w:rPr>
        <w:t xml:space="preserve">, such as China, where personal relationships precede formal agreements. BP must define early the goals and desired outcomes when engaging potential Polish partners. It is prudent to maintain a certain degree of flexibility during the subsequent interactions, which will allow organic relationships to develop in support of specific objectives. BP's leadership would need to be sensitive and calibrated </w:t>
      </w:r>
      <w:r>
        <w:rPr>
          <w:rFonts w:ascii="Arial" w:hAnsi="Arial" w:cs="Arial"/>
          <w:sz w:val="24"/>
          <w:szCs w:val="24"/>
        </w:rPr>
        <w:t>to</w:t>
      </w:r>
      <w:r w:rsidRPr="007424D0">
        <w:rPr>
          <w:rFonts w:ascii="Arial" w:hAnsi="Arial" w:cs="Arial"/>
          <w:sz w:val="24"/>
          <w:szCs w:val="24"/>
        </w:rPr>
        <w:t xml:space="preserve"> find this balance.</w:t>
      </w:r>
    </w:p>
    <w:p w14:paraId="4F5A41A1" w14:textId="77777777" w:rsidR="007424D0" w:rsidRPr="007424D0" w:rsidRDefault="007424D0" w:rsidP="007424D0">
      <w:pPr>
        <w:pStyle w:val="Heading1"/>
      </w:pPr>
      <w:bookmarkStart w:id="5" w:name="_Toc153886683"/>
      <w:r w:rsidRPr="007424D0">
        <w:t>Discussion on communication barriers</w:t>
      </w:r>
      <w:bookmarkEnd w:id="5"/>
    </w:p>
    <w:p w14:paraId="54949D19" w14:textId="77777777"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Communication barriers in France could be formal hierarchies that require going through the proper channels. They may also include a preference for written documentation and detail over verbal agreements.</w:t>
      </w:r>
    </w:p>
    <w:p w14:paraId="645B993A" w14:textId="77777777"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Communication barriers in Poland may include language barriers, lost messages up and down formal organization structures, or building trust with social institutions because of historical experiences.</w:t>
      </w:r>
    </w:p>
    <w:p w14:paraId="29123B69" w14:textId="7EAE8B97"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 xml:space="preserve">According to Hall's cultural theory, which focuses on high and </w:t>
      </w:r>
      <w:r>
        <w:rPr>
          <w:rFonts w:ascii="Arial" w:hAnsi="Arial" w:cs="Arial"/>
          <w:sz w:val="24"/>
          <w:szCs w:val="24"/>
        </w:rPr>
        <w:t>low-context</w:t>
      </w:r>
      <w:r w:rsidRPr="007424D0">
        <w:rPr>
          <w:rFonts w:ascii="Arial" w:hAnsi="Arial" w:cs="Arial"/>
          <w:sz w:val="24"/>
          <w:szCs w:val="24"/>
        </w:rPr>
        <w:t xml:space="preserve"> cultures (Holliday, et. al., 2017), France is a </w:t>
      </w:r>
      <w:r>
        <w:rPr>
          <w:rFonts w:ascii="Arial" w:hAnsi="Arial" w:cs="Arial"/>
          <w:sz w:val="24"/>
          <w:szCs w:val="24"/>
        </w:rPr>
        <w:t>high-context</w:t>
      </w:r>
      <w:r w:rsidRPr="007424D0">
        <w:rPr>
          <w:rFonts w:ascii="Arial" w:hAnsi="Arial" w:cs="Arial"/>
          <w:sz w:val="24"/>
          <w:szCs w:val="24"/>
        </w:rPr>
        <w:t xml:space="preserve"> culture that emphasizes contextualized messages. It is more difficult to interact with British counterparts who are more low-context and rely on verbal explanations rather than implied meanings in unstated contexts. (Holliday, et. al., 2017). Quantitative surveys showed that only 34% </w:t>
      </w:r>
      <w:r w:rsidR="00AB169D">
        <w:rPr>
          <w:rFonts w:ascii="Arial" w:hAnsi="Arial" w:cs="Arial"/>
          <w:sz w:val="24"/>
          <w:szCs w:val="24"/>
        </w:rPr>
        <w:t xml:space="preserve">of </w:t>
      </w:r>
      <w:r w:rsidRPr="007424D0">
        <w:rPr>
          <w:rFonts w:ascii="Arial" w:hAnsi="Arial" w:cs="Arial"/>
          <w:sz w:val="24"/>
          <w:szCs w:val="24"/>
        </w:rPr>
        <w:t xml:space="preserve">British managers thought they were adequately prepared to lead </w:t>
      </w:r>
      <w:r>
        <w:rPr>
          <w:rFonts w:ascii="Arial" w:hAnsi="Arial" w:cs="Arial"/>
          <w:sz w:val="24"/>
          <w:szCs w:val="24"/>
        </w:rPr>
        <w:t xml:space="preserve">a </w:t>
      </w:r>
      <w:r w:rsidRPr="007424D0">
        <w:rPr>
          <w:rFonts w:ascii="Arial" w:hAnsi="Arial" w:cs="Arial"/>
          <w:sz w:val="24"/>
          <w:szCs w:val="24"/>
        </w:rPr>
        <w:t>French team compared to 62% of German managers, showing that they underestimated these context gaps. (Economist Intelligence Unit</w:t>
      </w:r>
      <w:r>
        <w:rPr>
          <w:rFonts w:ascii="Arial" w:hAnsi="Arial" w:cs="Arial"/>
          <w:sz w:val="24"/>
          <w:szCs w:val="24"/>
        </w:rPr>
        <w:t>,</w:t>
      </w:r>
      <w:r w:rsidRPr="007424D0">
        <w:rPr>
          <w:rFonts w:ascii="Arial" w:hAnsi="Arial" w:cs="Arial"/>
          <w:sz w:val="24"/>
          <w:szCs w:val="24"/>
        </w:rPr>
        <w:t xml:space="preserve"> 2012). BP must provide extensive cultural training for British expatriates who lead regional offices to help them decode the unique body language and rhetorical patterns of their French colleagues. The use of experienced French team members to act as interpreters can also help facilitate mutual understanding.</w:t>
      </w:r>
    </w:p>
    <w:p w14:paraId="3B7DEFDB" w14:textId="18BFE095"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If underlying semantic structures are different, language mastery does not guarantee coherence. Kaplan's influential contrastive rhetoric theory characterized English writing as linearly structured, whereas Slavic languages such as Polish have more cyclical digressive structures reflecting divergent cultural thinking processes (Connor</w:t>
      </w:r>
      <w:r>
        <w:rPr>
          <w:rFonts w:ascii="Arial" w:hAnsi="Arial" w:cs="Arial"/>
          <w:sz w:val="24"/>
          <w:szCs w:val="24"/>
        </w:rPr>
        <w:t>,</w:t>
      </w:r>
      <w:r w:rsidRPr="007424D0">
        <w:rPr>
          <w:rFonts w:ascii="Arial" w:hAnsi="Arial" w:cs="Arial"/>
          <w:sz w:val="24"/>
          <w:szCs w:val="24"/>
        </w:rPr>
        <w:t xml:space="preserve"> 2017). This is a sign that British and Polish businesspeople are not communicating effectively with each other because they do not share the same expectations about how communication should proceed. A quantitative analysis of BP meeting data could reveal patterns of conversational dominance and turn-taking, as well as perceptions of importance. Coaching BP's British division on how to adjust discourse models in communication with Polish counterparts and vice versa will help facilitate mutual understanding and success during negotiations and collaborations.</w:t>
      </w:r>
    </w:p>
    <w:p w14:paraId="69676DB0" w14:textId="16816FE6"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Communication barriers can occur even in businesses that share a common language and culture. This is because organizational subcultures may promote insular beliefs and use of prose unique to their internal entities (Feely &amp; Harzing</w:t>
      </w:r>
      <w:r>
        <w:rPr>
          <w:rFonts w:ascii="Arial" w:hAnsi="Arial" w:cs="Arial"/>
          <w:sz w:val="24"/>
          <w:szCs w:val="24"/>
        </w:rPr>
        <w:t>,</w:t>
      </w:r>
      <w:r w:rsidRPr="007424D0">
        <w:rPr>
          <w:rFonts w:ascii="Arial" w:hAnsi="Arial" w:cs="Arial"/>
          <w:sz w:val="24"/>
          <w:szCs w:val="24"/>
        </w:rPr>
        <w:t xml:space="preserve"> 2003). BP's global operations, despite its firmly rooted British roots in the UK, foster distinct corporate languages among regional divisions shaped to local contexts. Long-term employees abroad often adopt native patterns that differ from the norms of HQ. Leaders at HQ should rotate through European divisions </w:t>
      </w:r>
      <w:r>
        <w:rPr>
          <w:rFonts w:ascii="Arial" w:hAnsi="Arial" w:cs="Arial"/>
          <w:sz w:val="24"/>
          <w:szCs w:val="24"/>
        </w:rPr>
        <w:t>to</w:t>
      </w:r>
      <w:r w:rsidRPr="007424D0">
        <w:rPr>
          <w:rFonts w:ascii="Arial" w:hAnsi="Arial" w:cs="Arial"/>
          <w:sz w:val="24"/>
          <w:szCs w:val="24"/>
        </w:rPr>
        <w:t xml:space="preserve"> experience the situated realities that may be difficult to capture with semantic descriptions. The two-way exchange of British and Polish talent, between the parent company's new Polish office and British employees will also catalyze organic culture fusion by allowing them to experience daily operations in another country. This will break down divisions that inhibit fluid communication.</w:t>
      </w:r>
    </w:p>
    <w:p w14:paraId="3FE7DD91" w14:textId="77777777" w:rsidR="007424D0" w:rsidRPr="007424D0" w:rsidRDefault="007424D0" w:rsidP="007424D0">
      <w:pPr>
        <w:pStyle w:val="Heading1"/>
      </w:pPr>
      <w:bookmarkStart w:id="6" w:name="_Toc153886684"/>
      <w:r w:rsidRPr="007424D0">
        <w:t>Strategies and recommendations to overcome challenges</w:t>
      </w:r>
      <w:bookmarkEnd w:id="6"/>
    </w:p>
    <w:p w14:paraId="3D2BDB58" w14:textId="0DEEA01F"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It is better to expand in Poland than France, given the higher growth potential. To ensure success, you can use strategies such as building partnerships with local organizations; building patient relationships through face-to-face interactions; using younger Polish employees who are familiar with Western practices</w:t>
      </w:r>
      <w:r w:rsidR="00AB169D">
        <w:rPr>
          <w:rFonts w:ascii="Arial" w:hAnsi="Arial" w:cs="Arial"/>
          <w:sz w:val="24"/>
          <w:szCs w:val="24"/>
        </w:rPr>
        <w:t>,</w:t>
      </w:r>
      <w:r w:rsidRPr="007424D0">
        <w:rPr>
          <w:rFonts w:ascii="Arial" w:hAnsi="Arial" w:cs="Arial"/>
          <w:sz w:val="24"/>
          <w:szCs w:val="24"/>
        </w:rPr>
        <w:t xml:space="preserve"> and regular multidirectional communications to ensure message clarity.</w:t>
      </w:r>
    </w:p>
    <w:p w14:paraId="568A8660" w14:textId="672B948C"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 xml:space="preserve">Evidence shows that early investment in bridging cultural divides will pay off exponentially over time. Quantitative macro analyses of global mergers &amp; acquisitions revealed that launching integrations </w:t>
      </w:r>
      <w:r>
        <w:rPr>
          <w:rFonts w:ascii="Arial" w:hAnsi="Arial" w:cs="Arial"/>
          <w:sz w:val="24"/>
          <w:szCs w:val="24"/>
        </w:rPr>
        <w:t>before</w:t>
      </w:r>
      <w:r w:rsidRPr="007424D0">
        <w:rPr>
          <w:rFonts w:ascii="Arial" w:hAnsi="Arial" w:cs="Arial"/>
          <w:sz w:val="24"/>
          <w:szCs w:val="24"/>
        </w:rPr>
        <w:t xml:space="preserve"> closing deals would result in a higher level of long-term profitability due to accelerated team unification (Cording, et. al.</w:t>
      </w:r>
      <w:r>
        <w:rPr>
          <w:rFonts w:ascii="Arial" w:hAnsi="Arial" w:cs="Arial"/>
          <w:sz w:val="24"/>
          <w:szCs w:val="24"/>
        </w:rPr>
        <w:t>,</w:t>
      </w:r>
      <w:r w:rsidRPr="007424D0">
        <w:rPr>
          <w:rFonts w:ascii="Arial" w:hAnsi="Arial" w:cs="Arial"/>
          <w:sz w:val="24"/>
          <w:szCs w:val="24"/>
        </w:rPr>
        <w:t xml:space="preserve"> 2008). BP should embed cross-functional Polish and British core teams that are solely focused on laying solid cooperative foundations before formalizing the expansion. This integrated team can create protocols and infrastructure to ensure that visions, incentives</w:t>
      </w:r>
      <w:r>
        <w:rPr>
          <w:rFonts w:ascii="Arial" w:hAnsi="Arial" w:cs="Arial"/>
          <w:sz w:val="24"/>
          <w:szCs w:val="24"/>
        </w:rPr>
        <w:t>,</w:t>
      </w:r>
      <w:r w:rsidRPr="007424D0">
        <w:rPr>
          <w:rFonts w:ascii="Arial" w:hAnsi="Arial" w:cs="Arial"/>
          <w:sz w:val="24"/>
          <w:szCs w:val="24"/>
        </w:rPr>
        <w:t xml:space="preserve"> and communication channels are aligned from the first day of joint operations.</w:t>
      </w:r>
    </w:p>
    <w:p w14:paraId="1B51EEB0" w14:textId="3ABFB265"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 xml:space="preserve">BP's leadership will make the best human capital investment by actively recruiting bicultural brokers who are </w:t>
      </w:r>
      <w:r>
        <w:rPr>
          <w:rFonts w:ascii="Arial" w:hAnsi="Arial" w:cs="Arial"/>
          <w:sz w:val="24"/>
          <w:szCs w:val="24"/>
        </w:rPr>
        <w:t>well-versed</w:t>
      </w:r>
      <w:r w:rsidRPr="007424D0">
        <w:rPr>
          <w:rFonts w:ascii="Arial" w:hAnsi="Arial" w:cs="Arial"/>
          <w:sz w:val="24"/>
          <w:szCs w:val="24"/>
        </w:rPr>
        <w:t xml:space="preserve"> in both Polish business and British business. Polish nationals with a background in British universities who have launched their careers abroad are ideal candidates, as they are intimately familiar with the norms of both sides. The results of an experimental study on the performance of bicultural employees as cultural translators revealed that they were able to achieve deals twice as fast as mainstream negotiators, by using </w:t>
      </w:r>
      <w:r w:rsidR="00AB169D">
        <w:rPr>
          <w:rFonts w:ascii="Arial" w:hAnsi="Arial" w:cs="Arial"/>
          <w:sz w:val="24"/>
          <w:szCs w:val="24"/>
        </w:rPr>
        <w:t>code-switching</w:t>
      </w:r>
      <w:r w:rsidRPr="007424D0">
        <w:rPr>
          <w:rFonts w:ascii="Arial" w:hAnsi="Arial" w:cs="Arial"/>
          <w:sz w:val="24"/>
          <w:szCs w:val="24"/>
        </w:rPr>
        <w:t xml:space="preserve"> in order to match expectations (Tenzer &amp; Pudelko</w:t>
      </w:r>
      <w:r>
        <w:rPr>
          <w:rFonts w:ascii="Arial" w:hAnsi="Arial" w:cs="Arial"/>
          <w:sz w:val="24"/>
          <w:szCs w:val="24"/>
        </w:rPr>
        <w:t>,</w:t>
      </w:r>
      <w:r w:rsidRPr="007424D0">
        <w:rPr>
          <w:rFonts w:ascii="Arial" w:hAnsi="Arial" w:cs="Arial"/>
          <w:sz w:val="24"/>
          <w:szCs w:val="24"/>
        </w:rPr>
        <w:t xml:space="preserve"> 2019). The new Polish branch can accelerate the assimilation process by embedding bicultural brokers in all functions, from HR to operations.</w:t>
      </w:r>
    </w:p>
    <w:p w14:paraId="313E994D" w14:textId="7AE9D15E"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BP must ensure that personal relationships do not overshadow formal contracts during Polish expansion. In a study of Western companies expanding into postcommunist Eastern Europe, it was found that initially focusing on informal social relationships without accompanying legal foundations or governance led to major conflicts in accountability (Meyer &amp; Peng</w:t>
      </w:r>
      <w:r>
        <w:rPr>
          <w:rFonts w:ascii="Arial" w:hAnsi="Arial" w:cs="Arial"/>
          <w:sz w:val="24"/>
          <w:szCs w:val="24"/>
        </w:rPr>
        <w:t>,</w:t>
      </w:r>
      <w:r w:rsidRPr="007424D0">
        <w:rPr>
          <w:rFonts w:ascii="Arial" w:hAnsi="Arial" w:cs="Arial"/>
          <w:sz w:val="24"/>
          <w:szCs w:val="24"/>
        </w:rPr>
        <w:t xml:space="preserve"> 2016). If trusts begin to erode, a written code of behavior expectations, performance metrics</w:t>
      </w:r>
      <w:r>
        <w:rPr>
          <w:rFonts w:ascii="Arial" w:hAnsi="Arial" w:cs="Arial"/>
          <w:sz w:val="24"/>
          <w:szCs w:val="24"/>
        </w:rPr>
        <w:t>,</w:t>
      </w:r>
      <w:r w:rsidRPr="007424D0">
        <w:rPr>
          <w:rFonts w:ascii="Arial" w:hAnsi="Arial" w:cs="Arial"/>
          <w:sz w:val="24"/>
          <w:szCs w:val="24"/>
        </w:rPr>
        <w:t xml:space="preserve"> and disciplinary policies can be used as a vital enforcement mechanism. But draconian rules from the top should also be avoided. Instead, these should be forged in </w:t>
      </w:r>
      <w:r>
        <w:rPr>
          <w:rFonts w:ascii="Arial" w:hAnsi="Arial" w:cs="Arial"/>
          <w:sz w:val="24"/>
          <w:szCs w:val="24"/>
        </w:rPr>
        <w:t xml:space="preserve">a </w:t>
      </w:r>
      <w:r w:rsidRPr="007424D0">
        <w:rPr>
          <w:rFonts w:ascii="Arial" w:hAnsi="Arial" w:cs="Arial"/>
          <w:sz w:val="24"/>
          <w:szCs w:val="24"/>
        </w:rPr>
        <w:t>joint task force to ensure contextualization. BP can reap the benefits of formalization while also retaining the commitment that relationships bring.</w:t>
      </w:r>
    </w:p>
    <w:p w14:paraId="498BDDC3" w14:textId="77777777" w:rsidR="007424D0" w:rsidRPr="007424D0" w:rsidRDefault="007424D0" w:rsidP="007424D0">
      <w:pPr>
        <w:pStyle w:val="Heading1"/>
      </w:pPr>
      <w:bookmarkStart w:id="7" w:name="_Toc153886685"/>
      <w:r w:rsidRPr="007424D0">
        <w:t>Conclusion</w:t>
      </w:r>
      <w:bookmarkEnd w:id="7"/>
    </w:p>
    <w:p w14:paraId="15C763ED" w14:textId="1CF68390"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 xml:space="preserve">The evidence is overwhelming that Poland is the best location for BP to tap into the booming Eastern European energy market. According to quantitative GDP forecasts, Poland will maintain a growth rate nearly three times that of France through 2027 due to friendly foreign investment policies (OECD, 2022). To thrive in Poland's unique business climate, it is important to adapt to hierarchical </w:t>
      </w:r>
      <w:r>
        <w:rPr>
          <w:rFonts w:ascii="Arial" w:hAnsi="Arial" w:cs="Arial"/>
          <w:sz w:val="24"/>
          <w:szCs w:val="24"/>
        </w:rPr>
        <w:t>decision-making</w:t>
      </w:r>
      <w:r w:rsidRPr="007424D0">
        <w:rPr>
          <w:rFonts w:ascii="Arial" w:hAnsi="Arial" w:cs="Arial"/>
          <w:sz w:val="24"/>
          <w:szCs w:val="24"/>
        </w:rPr>
        <w:t xml:space="preserve"> norms. It also requires specific task-driven interaction and a skewed approach towards building personal relationships. BP can overcome communication barriers through the use of bicultural brokers who ensure written expectations are clear and organic bonding that complements formal contracts. BP can replicate its localized collaboration formula by establishing dedicated infrastructure early and ensuring a sustained exchange of managerial expertise along the British-Polish Corridor.</w:t>
      </w:r>
    </w:p>
    <w:p w14:paraId="1D5125A9" w14:textId="4E526D84"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BP's record in France is impressive. It was one of the first major oil companies to set up operations, with commercial discoveries dating back to the 1950s (Boussena &amp; Locatelli</w:t>
      </w:r>
      <w:r>
        <w:rPr>
          <w:rFonts w:ascii="Arial" w:hAnsi="Arial" w:cs="Arial"/>
          <w:sz w:val="24"/>
          <w:szCs w:val="24"/>
        </w:rPr>
        <w:t>,</w:t>
      </w:r>
      <w:r w:rsidRPr="007424D0">
        <w:rPr>
          <w:rFonts w:ascii="Arial" w:hAnsi="Arial" w:cs="Arial"/>
          <w:sz w:val="24"/>
          <w:szCs w:val="24"/>
        </w:rPr>
        <w:t xml:space="preserve"> 2017). But despite its long history, BP's entrenched infrastructure is a hindrance today. It makes it impossible to dismantle assets </w:t>
      </w:r>
      <w:r>
        <w:rPr>
          <w:rFonts w:ascii="Arial" w:hAnsi="Arial" w:cs="Arial"/>
          <w:sz w:val="24"/>
          <w:szCs w:val="24"/>
        </w:rPr>
        <w:t>to</w:t>
      </w:r>
      <w:r w:rsidRPr="007424D0">
        <w:rPr>
          <w:rFonts w:ascii="Arial" w:hAnsi="Arial" w:cs="Arial"/>
          <w:sz w:val="24"/>
          <w:szCs w:val="24"/>
        </w:rPr>
        <w:t xml:space="preserve"> implement greener alternatives despite increasing political pressure. </w:t>
      </w:r>
      <w:r>
        <w:rPr>
          <w:rFonts w:ascii="Arial" w:hAnsi="Arial" w:cs="Arial"/>
          <w:sz w:val="24"/>
          <w:szCs w:val="24"/>
        </w:rPr>
        <w:t>Recently</w:t>
      </w:r>
      <w:r w:rsidRPr="007424D0">
        <w:rPr>
          <w:rFonts w:ascii="Arial" w:hAnsi="Arial" w:cs="Arial"/>
          <w:sz w:val="24"/>
          <w:szCs w:val="24"/>
        </w:rPr>
        <w:t xml:space="preserve"> France's aggressive push for sustainability has made it nearly impossible to obtain licenses for drilling new oil wells. BP's forward strategy is less constrained by legacy investments in Poland due to its lower investment levels. Poland's flexibility to remodel operations in line with modern realities offers BP freedom from the past path dependences that currently bind its options on the French energy scene.</w:t>
      </w:r>
    </w:p>
    <w:p w14:paraId="4D1E7E77" w14:textId="05682DA9" w:rsidR="007424D0"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In a cross-national survey of more than 100 societies, Poland was classified as a culture with "low trust", characterized by skepticism due to historical oppression. France is ranked among the "highest trust", or cultures that are most confident in their institutions (Delhey &amp; Newton</w:t>
      </w:r>
      <w:r>
        <w:rPr>
          <w:rFonts w:ascii="Arial" w:hAnsi="Arial" w:cs="Arial"/>
          <w:sz w:val="24"/>
          <w:szCs w:val="24"/>
        </w:rPr>
        <w:t>,</w:t>
      </w:r>
      <w:r w:rsidRPr="007424D0">
        <w:rPr>
          <w:rFonts w:ascii="Arial" w:hAnsi="Arial" w:cs="Arial"/>
          <w:sz w:val="24"/>
          <w:szCs w:val="24"/>
        </w:rPr>
        <w:t xml:space="preserve"> 2005). Although the lack of trust in Poland can make it difficult for foreign investors to build external partnerships with BP, there is evidence that multinationals themselves can model integrity when local contexts fail. In a survey of Poles, global brands were found to inspire a greater level of trust than any domestic institution (CBOS</w:t>
      </w:r>
      <w:r>
        <w:rPr>
          <w:rFonts w:ascii="Arial" w:hAnsi="Arial" w:cs="Arial"/>
          <w:sz w:val="24"/>
          <w:szCs w:val="24"/>
        </w:rPr>
        <w:t>,</w:t>
      </w:r>
      <w:r w:rsidRPr="007424D0">
        <w:rPr>
          <w:rFonts w:ascii="Arial" w:hAnsi="Arial" w:cs="Arial"/>
          <w:sz w:val="24"/>
          <w:szCs w:val="24"/>
        </w:rPr>
        <w:t xml:space="preserve"> 2021). BP can expand Poland's trust zone by demonstrating its commitment to ethical standards during the market entry phase.</w:t>
      </w:r>
    </w:p>
    <w:p w14:paraId="4EDF0C78" w14:textId="59792D94" w:rsidR="00922E55" w:rsidRPr="007424D0" w:rsidRDefault="007424D0" w:rsidP="007424D0">
      <w:pPr>
        <w:spacing w:line="360" w:lineRule="auto"/>
        <w:jc w:val="both"/>
        <w:rPr>
          <w:rFonts w:ascii="Arial" w:hAnsi="Arial" w:cs="Arial"/>
          <w:sz w:val="24"/>
          <w:szCs w:val="24"/>
        </w:rPr>
      </w:pPr>
      <w:r w:rsidRPr="007424D0">
        <w:rPr>
          <w:rFonts w:ascii="Arial" w:hAnsi="Arial" w:cs="Arial"/>
          <w:sz w:val="24"/>
          <w:szCs w:val="24"/>
        </w:rPr>
        <w:t>Cultural fluency is as important to receptive comprehension as linguistic fluency. In a robust meta-analysis on expatriate success factors, cultural intelligence was ranked higher than language proficiency alone for thriving in foreign business (Lee and al.</w:t>
      </w:r>
      <w:r>
        <w:rPr>
          <w:rFonts w:ascii="Arial" w:hAnsi="Arial" w:cs="Arial"/>
          <w:sz w:val="24"/>
          <w:szCs w:val="24"/>
        </w:rPr>
        <w:t>,</w:t>
      </w:r>
      <w:r w:rsidRPr="007424D0">
        <w:rPr>
          <w:rFonts w:ascii="Arial" w:hAnsi="Arial" w:cs="Arial"/>
          <w:sz w:val="24"/>
          <w:szCs w:val="24"/>
        </w:rPr>
        <w:t xml:space="preserve"> 2012). BP should provide intensive training in Polish for British leaders to learn about taboos, mores, and interaction rituals. British function heads who are sent to supervise Poland branches will benefit from a deep cultural fluency that goes beyond vocabulary. They can better understand locals' symbolic behavior, build relationships and earn respect. It is vital to master the Polish business culture and its unique contextual literacy.</w:t>
      </w:r>
    </w:p>
    <w:p w14:paraId="7E4FCA0E" w14:textId="6CEB5871" w:rsidR="007424D0" w:rsidRPr="00922E55" w:rsidRDefault="007424D0" w:rsidP="007424D0">
      <w:pPr>
        <w:pStyle w:val="Heading1"/>
      </w:pPr>
      <w:bookmarkStart w:id="8" w:name="_Toc153886686"/>
      <w:r w:rsidRPr="007424D0">
        <w:t>References</w:t>
      </w:r>
      <w:bookmarkEnd w:id="8"/>
    </w:p>
    <w:p w14:paraId="5E98FDD6" w14:textId="77777777"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Bamberg, J.H. (1994) ‘The History of the British Petroleum Company: The Anglo-Iranian Years, 1928-1954’, vol. 2, Cambridge University Press.</w:t>
      </w:r>
    </w:p>
    <w:p w14:paraId="2E4EDFF9" w14:textId="4EB0D859"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 xml:space="preserve">BP (2023) Innovation and engineering [Online]. Available at: </w:t>
      </w:r>
      <w:hyperlink r:id="rId6" w:history="1">
        <w:r w:rsidRPr="007424D0">
          <w:rPr>
            <w:rStyle w:val="Hyperlink"/>
            <w:rFonts w:ascii="Arial" w:hAnsi="Arial" w:cs="Arial"/>
            <w:sz w:val="24"/>
            <w:szCs w:val="24"/>
          </w:rPr>
          <w:t>https://www.bp.com/en/global/corporate/what-we-do/technology-and-innovation/innovation-and-engineering.html</w:t>
        </w:r>
      </w:hyperlink>
      <w:r w:rsidRPr="007424D0">
        <w:rPr>
          <w:rFonts w:ascii="Arial" w:hAnsi="Arial" w:cs="Arial"/>
          <w:sz w:val="24"/>
          <w:szCs w:val="24"/>
        </w:rPr>
        <w:t xml:space="preserve"> (Accessed: 23 </w:t>
      </w:r>
      <w:r>
        <w:rPr>
          <w:rFonts w:ascii="Arial" w:hAnsi="Arial" w:cs="Arial"/>
          <w:sz w:val="24"/>
          <w:szCs w:val="24"/>
        </w:rPr>
        <w:t>November</w:t>
      </w:r>
      <w:r w:rsidRPr="007424D0">
        <w:rPr>
          <w:rFonts w:ascii="Arial" w:hAnsi="Arial" w:cs="Arial"/>
          <w:sz w:val="24"/>
          <w:szCs w:val="24"/>
        </w:rPr>
        <w:t xml:space="preserve"> 2023).</w:t>
      </w:r>
    </w:p>
    <w:p w14:paraId="22F31625" w14:textId="77777777"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Boussena, S. and Locatelli, C. (2017) ‘The imperatives of Strategic Partnerships for BP in the Exploration–Production Sector’, Energy Policy, 105, pp. 367–373. doi: 10.1016/j.enpol.2017.02.045.</w:t>
      </w:r>
    </w:p>
    <w:p w14:paraId="62A5563E" w14:textId="24BE6154"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 xml:space="preserve">Business English Pod (2022) ‘The 2022 Global Business English Index’, Business English Pod Ltd. [Online]. Available at: </w:t>
      </w:r>
      <w:hyperlink r:id="rId7" w:history="1">
        <w:r w:rsidRPr="007424D0">
          <w:rPr>
            <w:rStyle w:val="Hyperlink"/>
            <w:rFonts w:ascii="Arial" w:hAnsi="Arial" w:cs="Arial"/>
            <w:sz w:val="24"/>
            <w:szCs w:val="24"/>
          </w:rPr>
          <w:t>https://www.businessenglishpod.com/gbewp/wp-content/uploads/2022-Business-English-Index.pdf</w:t>
        </w:r>
      </w:hyperlink>
      <w:r w:rsidRPr="007424D0">
        <w:rPr>
          <w:rFonts w:ascii="Arial" w:hAnsi="Arial" w:cs="Arial"/>
          <w:sz w:val="24"/>
          <w:szCs w:val="24"/>
        </w:rPr>
        <w:t xml:space="preserve"> (Accessed: 23 November 2023).</w:t>
      </w:r>
    </w:p>
    <w:p w14:paraId="7BEA6954" w14:textId="35A61253"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 xml:space="preserve">CBOS (2021) ‘Trust in public institutions’, Public Opinion Research Center. [Online]. Available at: </w:t>
      </w:r>
      <w:hyperlink r:id="rId8" w:history="1">
        <w:r w:rsidRPr="007424D0">
          <w:rPr>
            <w:rStyle w:val="Hyperlink"/>
            <w:rFonts w:ascii="Arial" w:hAnsi="Arial" w:cs="Arial"/>
            <w:sz w:val="24"/>
            <w:szCs w:val="24"/>
          </w:rPr>
          <w:t>https://www.cbos.pl/EN/home_en/news/news_2021/02_2021.php</w:t>
        </w:r>
      </w:hyperlink>
      <w:r w:rsidRPr="007424D0">
        <w:rPr>
          <w:rFonts w:ascii="Arial" w:hAnsi="Arial" w:cs="Arial"/>
          <w:sz w:val="24"/>
          <w:szCs w:val="24"/>
        </w:rPr>
        <w:t xml:space="preserve"> (Accessed: 23 </w:t>
      </w:r>
      <w:r w:rsidR="00AB169D" w:rsidRPr="00AB169D">
        <w:rPr>
          <w:rFonts w:ascii="Arial" w:hAnsi="Arial" w:cs="Arial"/>
          <w:sz w:val="24"/>
          <w:szCs w:val="24"/>
        </w:rPr>
        <w:t xml:space="preserve">November </w:t>
      </w:r>
      <w:r w:rsidRPr="007424D0">
        <w:rPr>
          <w:rFonts w:ascii="Arial" w:hAnsi="Arial" w:cs="Arial"/>
          <w:sz w:val="24"/>
          <w:szCs w:val="24"/>
        </w:rPr>
        <w:t>2023).</w:t>
      </w:r>
    </w:p>
    <w:p w14:paraId="6AD7AF6D" w14:textId="77777777"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Cording, M. et al. (2008) ‘Reducing causal ambiguity in acquisition integration: Intermediate goals as mediators of integration decisions and acquisition performance’, Academy of Management Journal, 51(4), pp. 744–767. doi: 10.5465/amj.2008.33665124.</w:t>
      </w:r>
    </w:p>
    <w:p w14:paraId="6F71E8CC" w14:textId="77777777"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Connor, U. (2017). Intercultural rhetoric. The SAGE handbook of rhetorical studies, 479-498.</w:t>
      </w:r>
    </w:p>
    <w:p w14:paraId="7FFCD237" w14:textId="77777777"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Delhey, J. and Newton, K. (2005) ‘Predicting Cross-National Levels of Social Trust: Global Pattern or Nordic Exceptionalism?’, European Sociological Review, 21(4), pp. 311–327. doi: 10.1093/esr/jci022.</w:t>
      </w:r>
    </w:p>
    <w:p w14:paraId="21198EC7" w14:textId="377ABDB0"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 xml:space="preserve">Economist Intelligence Unit (2012) ‘Competing across borders: How cultural and communication barriers affect </w:t>
      </w:r>
      <w:r w:rsidR="00AB169D">
        <w:rPr>
          <w:rFonts w:ascii="Arial" w:hAnsi="Arial" w:cs="Arial"/>
          <w:sz w:val="24"/>
          <w:szCs w:val="24"/>
        </w:rPr>
        <w:t xml:space="preserve">the </w:t>
      </w:r>
      <w:r w:rsidRPr="007424D0">
        <w:rPr>
          <w:rFonts w:ascii="Arial" w:hAnsi="Arial" w:cs="Arial"/>
          <w:sz w:val="24"/>
          <w:szCs w:val="24"/>
        </w:rPr>
        <w:t xml:space="preserve">business’. Available at: </w:t>
      </w:r>
      <w:hyperlink r:id="rId9" w:history="1">
        <w:r w:rsidRPr="007424D0">
          <w:rPr>
            <w:rStyle w:val="Hyperlink"/>
            <w:rFonts w:ascii="Arial" w:hAnsi="Arial" w:cs="Arial"/>
            <w:sz w:val="24"/>
            <w:szCs w:val="24"/>
          </w:rPr>
          <w:t>https://www.eiuperspectives.economist.com/sites/default/files/Competing%20across%20borders_0.pdf</w:t>
        </w:r>
      </w:hyperlink>
      <w:r w:rsidRPr="007424D0">
        <w:rPr>
          <w:rFonts w:ascii="Arial" w:hAnsi="Arial" w:cs="Arial"/>
          <w:sz w:val="24"/>
          <w:szCs w:val="24"/>
        </w:rPr>
        <w:t xml:space="preserve"> (Accessed: 23 </w:t>
      </w:r>
      <w:r w:rsidR="003A6139" w:rsidRPr="003A6139">
        <w:rPr>
          <w:rFonts w:ascii="Arial" w:hAnsi="Arial" w:cs="Arial"/>
          <w:sz w:val="24"/>
          <w:szCs w:val="24"/>
        </w:rPr>
        <w:t xml:space="preserve">November </w:t>
      </w:r>
      <w:r w:rsidRPr="007424D0">
        <w:rPr>
          <w:rFonts w:ascii="Arial" w:hAnsi="Arial" w:cs="Arial"/>
          <w:sz w:val="24"/>
          <w:szCs w:val="24"/>
        </w:rPr>
        <w:t>2023).</w:t>
      </w:r>
    </w:p>
    <w:p w14:paraId="6C873970" w14:textId="77777777"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Feely, A.J. and Harzing, A.W.K. (2003) ‘Language management in multinational companies’, Cross Cultural Management: An International Journal, 10(2), pp. 37-52. doi: 10.1108/13527600310797603.</w:t>
      </w:r>
    </w:p>
    <w:p w14:paraId="1AB37307" w14:textId="77777777"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Hagen, S. et al. (2006) ‘National culture and international management: Assumptions and evidence’, Copenhagen Business School Press.</w:t>
      </w:r>
    </w:p>
    <w:p w14:paraId="71509866" w14:textId="77777777"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Holliday, A. et al. (2017) ‘Developing intercultural perspectives on language use and identity’, Taylor &amp; Francis.</w:t>
      </w:r>
    </w:p>
    <w:p w14:paraId="3BF37E7C" w14:textId="77777777"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Jandt, F. E. (2013). An introduction to intercultural communication: Identities in a global community. Sage publications.</w:t>
      </w:r>
    </w:p>
    <w:p w14:paraId="07483796" w14:textId="77777777"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Kanter, R.M. (2009) ‘British Petroleum’s big sale’, Harvard Business Review case study, pp.1-25.</w:t>
      </w:r>
    </w:p>
    <w:p w14:paraId="7889357A" w14:textId="77777777"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Lee, L.Y. et al. (2012) ‘The influence of cultural intelligence on communication effectiveness and job performance’, International Journal of Intercultural Relations, 36(4). doi: 10.1016/j.ijintrel.2012.03.001.</w:t>
      </w:r>
    </w:p>
    <w:p w14:paraId="42D58E2B" w14:textId="77777777"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Le Renard, C. (2019) ‘Young urban Saudi women’s daily modes of social contestation’, Journal of Middle East Women’s Studies, 15(3), pp. 340-360. doi: 10.1215/15525864-7653772.</w:t>
      </w:r>
    </w:p>
    <w:p w14:paraId="15BBE369" w14:textId="77777777"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Meyer, K. E. and Peng, M. W. (2016) ‘Theoretical foundations of emerging economy business research’, Journal of International Business Studies, 47(1), pp. 3-22. doi: 10.1057/jibs.2015.34.</w:t>
      </w:r>
    </w:p>
    <w:p w14:paraId="640FFA2D" w14:textId="1F9ECC5F"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 xml:space="preserve">OECD (2022), Real GDP forecast (indicator). doi: 10.1787/1f84150b-en (Accessed on 23 </w:t>
      </w:r>
      <w:r w:rsidR="00AB169D" w:rsidRPr="00AB169D">
        <w:rPr>
          <w:rFonts w:ascii="Arial" w:hAnsi="Arial" w:cs="Arial"/>
          <w:sz w:val="24"/>
          <w:szCs w:val="24"/>
        </w:rPr>
        <w:t xml:space="preserve">November </w:t>
      </w:r>
      <w:r w:rsidRPr="007424D0">
        <w:rPr>
          <w:rFonts w:ascii="Arial" w:hAnsi="Arial" w:cs="Arial"/>
          <w:sz w:val="24"/>
          <w:szCs w:val="24"/>
        </w:rPr>
        <w:t>2023).</w:t>
      </w:r>
    </w:p>
    <w:p w14:paraId="53FD71AE" w14:textId="77777777"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Samovar, L. A. et al. (2013). Communication between cultures. Cengage learning.</w:t>
      </w:r>
    </w:p>
    <w:p w14:paraId="3CFEF82D" w14:textId="77777777"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Tenzer, H. and Pudelko, M. (2019) Media discourse on COVID-19 and international business: An intercultural perspective on language and leadership, International Studies of Management &amp; Organization, 49:4, 439-460, doi: 10.1080/00208825.2020.1845468</w:t>
      </w:r>
    </w:p>
    <w:p w14:paraId="1C83B9A1" w14:textId="77777777" w:rsidR="007424D0" w:rsidRPr="007424D0" w:rsidRDefault="007424D0" w:rsidP="007424D0">
      <w:pPr>
        <w:pStyle w:val="ListParagraph"/>
        <w:numPr>
          <w:ilvl w:val="0"/>
          <w:numId w:val="1"/>
        </w:numPr>
        <w:spacing w:line="360" w:lineRule="auto"/>
        <w:jc w:val="both"/>
        <w:rPr>
          <w:rFonts w:ascii="Arial" w:hAnsi="Arial" w:cs="Arial"/>
          <w:sz w:val="24"/>
          <w:szCs w:val="24"/>
        </w:rPr>
      </w:pPr>
      <w:r w:rsidRPr="007424D0">
        <w:rPr>
          <w:rFonts w:ascii="Arial" w:hAnsi="Arial" w:cs="Arial"/>
          <w:sz w:val="24"/>
          <w:szCs w:val="24"/>
        </w:rPr>
        <w:t>Trompenaars, F., &amp; Hampden-Turner, C. (1997). Riding the waves of culture (understanding cultural diversity in business) (2nd ed.). London: Nicholas Brealey Publishing.</w:t>
      </w:r>
    </w:p>
    <w:p w14:paraId="09B8B4A1" w14:textId="77777777" w:rsidR="00CE4E40" w:rsidRPr="007424D0" w:rsidRDefault="00CE4E40" w:rsidP="007424D0">
      <w:pPr>
        <w:spacing w:line="360" w:lineRule="auto"/>
        <w:jc w:val="both"/>
        <w:rPr>
          <w:rFonts w:ascii="Arial" w:hAnsi="Arial" w:cs="Arial"/>
          <w:sz w:val="24"/>
          <w:szCs w:val="24"/>
        </w:rPr>
      </w:pPr>
    </w:p>
    <w:sectPr w:rsidR="00CE4E40" w:rsidRPr="007424D0">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D3F63"/>
    <w:multiLevelType w:val="hybridMultilevel"/>
    <w:tmpl w:val="EB8A9AB8"/>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707489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8F0"/>
    <w:rsid w:val="003A6139"/>
    <w:rsid w:val="007424D0"/>
    <w:rsid w:val="00922E55"/>
    <w:rsid w:val="00A710E1"/>
    <w:rsid w:val="00AB169D"/>
    <w:rsid w:val="00CE4E40"/>
    <w:rsid w:val="00E72506"/>
    <w:rsid w:val="00F638F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9AAB49"/>
  <w15:chartTrackingRefBased/>
  <w15:docId w15:val="{C1439AE0-4961-489B-A273-FD50B7D47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4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24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24D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24D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424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24D0"/>
    <w:pPr>
      <w:outlineLvl w:val="9"/>
    </w:pPr>
    <w:rPr>
      <w:lang w:val="en-US"/>
    </w:rPr>
  </w:style>
  <w:style w:type="character" w:customStyle="1" w:styleId="Heading2Char">
    <w:name w:val="Heading 2 Char"/>
    <w:basedOn w:val="DefaultParagraphFont"/>
    <w:link w:val="Heading2"/>
    <w:uiPriority w:val="9"/>
    <w:rsid w:val="007424D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424D0"/>
    <w:rPr>
      <w:color w:val="0563C1" w:themeColor="hyperlink"/>
      <w:u w:val="single"/>
    </w:rPr>
  </w:style>
  <w:style w:type="character" w:styleId="UnresolvedMention">
    <w:name w:val="Unresolved Mention"/>
    <w:basedOn w:val="DefaultParagraphFont"/>
    <w:uiPriority w:val="99"/>
    <w:semiHidden/>
    <w:unhideWhenUsed/>
    <w:rsid w:val="007424D0"/>
    <w:rPr>
      <w:color w:val="605E5C"/>
      <w:shd w:val="clear" w:color="auto" w:fill="E1DFDD"/>
    </w:rPr>
  </w:style>
  <w:style w:type="paragraph" w:styleId="ListParagraph">
    <w:name w:val="List Paragraph"/>
    <w:basedOn w:val="Normal"/>
    <w:uiPriority w:val="34"/>
    <w:qFormat/>
    <w:rsid w:val="007424D0"/>
    <w:pPr>
      <w:ind w:left="720"/>
      <w:contextualSpacing/>
    </w:pPr>
  </w:style>
  <w:style w:type="paragraph" w:styleId="TOC1">
    <w:name w:val="toc 1"/>
    <w:basedOn w:val="Normal"/>
    <w:next w:val="Normal"/>
    <w:autoRedefine/>
    <w:uiPriority w:val="39"/>
    <w:unhideWhenUsed/>
    <w:rsid w:val="00AB169D"/>
    <w:pPr>
      <w:spacing w:after="100"/>
    </w:pPr>
  </w:style>
  <w:style w:type="paragraph" w:styleId="TOC2">
    <w:name w:val="toc 2"/>
    <w:basedOn w:val="Normal"/>
    <w:next w:val="Normal"/>
    <w:autoRedefine/>
    <w:uiPriority w:val="39"/>
    <w:unhideWhenUsed/>
    <w:rsid w:val="00AB169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24554">
      <w:bodyDiv w:val="1"/>
      <w:marLeft w:val="0"/>
      <w:marRight w:val="0"/>
      <w:marTop w:val="0"/>
      <w:marBottom w:val="0"/>
      <w:divBdr>
        <w:top w:val="none" w:sz="0" w:space="0" w:color="auto"/>
        <w:left w:val="none" w:sz="0" w:space="0" w:color="auto"/>
        <w:bottom w:val="none" w:sz="0" w:space="0" w:color="auto"/>
        <w:right w:val="none" w:sz="0" w:space="0" w:color="auto"/>
      </w:divBdr>
    </w:div>
    <w:div w:id="90585928">
      <w:bodyDiv w:val="1"/>
      <w:marLeft w:val="0"/>
      <w:marRight w:val="0"/>
      <w:marTop w:val="0"/>
      <w:marBottom w:val="0"/>
      <w:divBdr>
        <w:top w:val="none" w:sz="0" w:space="0" w:color="auto"/>
        <w:left w:val="none" w:sz="0" w:space="0" w:color="auto"/>
        <w:bottom w:val="none" w:sz="0" w:space="0" w:color="auto"/>
        <w:right w:val="none" w:sz="0" w:space="0" w:color="auto"/>
      </w:divBdr>
    </w:div>
    <w:div w:id="95096761">
      <w:bodyDiv w:val="1"/>
      <w:marLeft w:val="0"/>
      <w:marRight w:val="0"/>
      <w:marTop w:val="0"/>
      <w:marBottom w:val="0"/>
      <w:divBdr>
        <w:top w:val="none" w:sz="0" w:space="0" w:color="auto"/>
        <w:left w:val="none" w:sz="0" w:space="0" w:color="auto"/>
        <w:bottom w:val="none" w:sz="0" w:space="0" w:color="auto"/>
        <w:right w:val="none" w:sz="0" w:space="0" w:color="auto"/>
      </w:divBdr>
    </w:div>
    <w:div w:id="212275543">
      <w:bodyDiv w:val="1"/>
      <w:marLeft w:val="0"/>
      <w:marRight w:val="0"/>
      <w:marTop w:val="0"/>
      <w:marBottom w:val="0"/>
      <w:divBdr>
        <w:top w:val="none" w:sz="0" w:space="0" w:color="auto"/>
        <w:left w:val="none" w:sz="0" w:space="0" w:color="auto"/>
        <w:bottom w:val="none" w:sz="0" w:space="0" w:color="auto"/>
        <w:right w:val="none" w:sz="0" w:space="0" w:color="auto"/>
      </w:divBdr>
    </w:div>
    <w:div w:id="328019964">
      <w:bodyDiv w:val="1"/>
      <w:marLeft w:val="0"/>
      <w:marRight w:val="0"/>
      <w:marTop w:val="0"/>
      <w:marBottom w:val="0"/>
      <w:divBdr>
        <w:top w:val="none" w:sz="0" w:space="0" w:color="auto"/>
        <w:left w:val="none" w:sz="0" w:space="0" w:color="auto"/>
        <w:bottom w:val="none" w:sz="0" w:space="0" w:color="auto"/>
        <w:right w:val="none" w:sz="0" w:space="0" w:color="auto"/>
      </w:divBdr>
    </w:div>
    <w:div w:id="444420659">
      <w:bodyDiv w:val="1"/>
      <w:marLeft w:val="0"/>
      <w:marRight w:val="0"/>
      <w:marTop w:val="0"/>
      <w:marBottom w:val="0"/>
      <w:divBdr>
        <w:top w:val="none" w:sz="0" w:space="0" w:color="auto"/>
        <w:left w:val="none" w:sz="0" w:space="0" w:color="auto"/>
        <w:bottom w:val="none" w:sz="0" w:space="0" w:color="auto"/>
        <w:right w:val="none" w:sz="0" w:space="0" w:color="auto"/>
      </w:divBdr>
    </w:div>
    <w:div w:id="545020859">
      <w:bodyDiv w:val="1"/>
      <w:marLeft w:val="0"/>
      <w:marRight w:val="0"/>
      <w:marTop w:val="0"/>
      <w:marBottom w:val="0"/>
      <w:divBdr>
        <w:top w:val="none" w:sz="0" w:space="0" w:color="auto"/>
        <w:left w:val="none" w:sz="0" w:space="0" w:color="auto"/>
        <w:bottom w:val="none" w:sz="0" w:space="0" w:color="auto"/>
        <w:right w:val="none" w:sz="0" w:space="0" w:color="auto"/>
      </w:divBdr>
    </w:div>
    <w:div w:id="570238463">
      <w:bodyDiv w:val="1"/>
      <w:marLeft w:val="0"/>
      <w:marRight w:val="0"/>
      <w:marTop w:val="0"/>
      <w:marBottom w:val="0"/>
      <w:divBdr>
        <w:top w:val="none" w:sz="0" w:space="0" w:color="auto"/>
        <w:left w:val="none" w:sz="0" w:space="0" w:color="auto"/>
        <w:bottom w:val="none" w:sz="0" w:space="0" w:color="auto"/>
        <w:right w:val="none" w:sz="0" w:space="0" w:color="auto"/>
      </w:divBdr>
    </w:div>
    <w:div w:id="1031298602">
      <w:bodyDiv w:val="1"/>
      <w:marLeft w:val="0"/>
      <w:marRight w:val="0"/>
      <w:marTop w:val="0"/>
      <w:marBottom w:val="0"/>
      <w:divBdr>
        <w:top w:val="none" w:sz="0" w:space="0" w:color="auto"/>
        <w:left w:val="none" w:sz="0" w:space="0" w:color="auto"/>
        <w:bottom w:val="none" w:sz="0" w:space="0" w:color="auto"/>
        <w:right w:val="none" w:sz="0" w:space="0" w:color="auto"/>
      </w:divBdr>
    </w:div>
    <w:div w:id="1424104191">
      <w:bodyDiv w:val="1"/>
      <w:marLeft w:val="0"/>
      <w:marRight w:val="0"/>
      <w:marTop w:val="0"/>
      <w:marBottom w:val="0"/>
      <w:divBdr>
        <w:top w:val="none" w:sz="0" w:space="0" w:color="auto"/>
        <w:left w:val="none" w:sz="0" w:space="0" w:color="auto"/>
        <w:bottom w:val="none" w:sz="0" w:space="0" w:color="auto"/>
        <w:right w:val="none" w:sz="0" w:space="0" w:color="auto"/>
      </w:divBdr>
    </w:div>
    <w:div w:id="1540777156">
      <w:bodyDiv w:val="1"/>
      <w:marLeft w:val="0"/>
      <w:marRight w:val="0"/>
      <w:marTop w:val="0"/>
      <w:marBottom w:val="0"/>
      <w:divBdr>
        <w:top w:val="none" w:sz="0" w:space="0" w:color="auto"/>
        <w:left w:val="none" w:sz="0" w:space="0" w:color="auto"/>
        <w:bottom w:val="none" w:sz="0" w:space="0" w:color="auto"/>
        <w:right w:val="none" w:sz="0" w:space="0" w:color="auto"/>
      </w:divBdr>
    </w:div>
    <w:div w:id="1570967212">
      <w:bodyDiv w:val="1"/>
      <w:marLeft w:val="0"/>
      <w:marRight w:val="0"/>
      <w:marTop w:val="0"/>
      <w:marBottom w:val="0"/>
      <w:divBdr>
        <w:top w:val="none" w:sz="0" w:space="0" w:color="auto"/>
        <w:left w:val="none" w:sz="0" w:space="0" w:color="auto"/>
        <w:bottom w:val="none" w:sz="0" w:space="0" w:color="auto"/>
        <w:right w:val="none" w:sz="0" w:space="0" w:color="auto"/>
      </w:divBdr>
    </w:div>
    <w:div w:id="1664117872">
      <w:bodyDiv w:val="1"/>
      <w:marLeft w:val="0"/>
      <w:marRight w:val="0"/>
      <w:marTop w:val="0"/>
      <w:marBottom w:val="0"/>
      <w:divBdr>
        <w:top w:val="none" w:sz="0" w:space="0" w:color="auto"/>
        <w:left w:val="none" w:sz="0" w:space="0" w:color="auto"/>
        <w:bottom w:val="none" w:sz="0" w:space="0" w:color="auto"/>
        <w:right w:val="none" w:sz="0" w:space="0" w:color="auto"/>
      </w:divBdr>
    </w:div>
    <w:div w:id="1816026552">
      <w:bodyDiv w:val="1"/>
      <w:marLeft w:val="0"/>
      <w:marRight w:val="0"/>
      <w:marTop w:val="0"/>
      <w:marBottom w:val="0"/>
      <w:divBdr>
        <w:top w:val="none" w:sz="0" w:space="0" w:color="auto"/>
        <w:left w:val="none" w:sz="0" w:space="0" w:color="auto"/>
        <w:bottom w:val="none" w:sz="0" w:space="0" w:color="auto"/>
        <w:right w:val="none" w:sz="0" w:space="0" w:color="auto"/>
      </w:divBdr>
    </w:div>
    <w:div w:id="1820534698">
      <w:bodyDiv w:val="1"/>
      <w:marLeft w:val="0"/>
      <w:marRight w:val="0"/>
      <w:marTop w:val="0"/>
      <w:marBottom w:val="0"/>
      <w:divBdr>
        <w:top w:val="none" w:sz="0" w:space="0" w:color="auto"/>
        <w:left w:val="none" w:sz="0" w:space="0" w:color="auto"/>
        <w:bottom w:val="none" w:sz="0" w:space="0" w:color="auto"/>
        <w:right w:val="none" w:sz="0" w:space="0" w:color="auto"/>
      </w:divBdr>
    </w:div>
    <w:div w:id="2050690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bos.pl/EN/home_en/news/news_2021/02_2021.php" TargetMode="External"/><Relationship Id="rId3" Type="http://schemas.openxmlformats.org/officeDocument/2006/relationships/styles" Target="styles.xml"/><Relationship Id="rId7" Type="http://schemas.openxmlformats.org/officeDocument/2006/relationships/hyperlink" Target="https://www.businessenglishpod.com/gbewp/wp-content/uploads/2022-Business-English-Index.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p.com/en/global/corporate/what-we-do/technology-and-innovation/innovation-and-engineering.html"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iuperspectives.economist.com/sites/default/files/Competing%20across%20borders_0.pdf"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0EFB05-DDE2-420E-8FE8-2028D90A73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2879</Words>
  <Characters>18718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sandu</dc:creator>
  <cp:keywords/>
  <dc:description/>
  <cp:lastModifiedBy>Alexandru Irimia</cp:lastModifiedBy>
  <cp:revision>2</cp:revision>
  <dcterms:created xsi:type="dcterms:W3CDTF">2023-12-21T19:23:00Z</dcterms:created>
  <dcterms:modified xsi:type="dcterms:W3CDTF">2023-12-21T19:23:00Z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a4586197eaa7c56a4bdf5c2cc10461407705e5937214fdfddac402fbb7225573</vt:lpwstr>
  </property>
</Properties>
</file>