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2880AF2D" w14:textId="77777777" w:rsidR="005F4B18" w:rsidRDefault="00986B43" w:rsidP="005F4B18">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5F4B18">
              <w:rPr>
                <w:rFonts w:ascii="Times New Roman" w:hAnsi="Times New Roman" w:cs="Times New Roman"/>
                <w:b/>
                <w:color w:val="auto"/>
                <w:sz w:val="48"/>
              </w:rPr>
              <w:t>Aswini Mohan</w:t>
            </w:r>
          </w:p>
          <w:p w14:paraId="6BCD124F" w14:textId="77777777" w:rsidR="005F4B18" w:rsidRDefault="005F4B18" w:rsidP="005F4B18">
            <w:pPr>
              <w:overflowPunct/>
              <w:autoSpaceDE/>
              <w:autoSpaceDN/>
              <w:adjustRightInd/>
              <w:ind w:right="-957"/>
              <w:textAlignment w:val="auto"/>
              <w:rPr>
                <w:rFonts w:ascii="Times New Roman" w:hAnsi="Times New Roman" w:cs="Times New Roman"/>
                <w:b/>
                <w:color w:val="auto"/>
                <w:sz w:val="48"/>
              </w:rPr>
            </w:pPr>
          </w:p>
          <w:p w14:paraId="35444D0C" w14:textId="77777777" w:rsidR="005F4B18" w:rsidRDefault="005F4B18" w:rsidP="005F4B18">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 Aswini.Mohan@swansea.gov.uk</w:t>
            </w:r>
          </w:p>
          <w:p w14:paraId="184C9204" w14:textId="77777777" w:rsidR="005F4B18" w:rsidRDefault="005F4B18" w:rsidP="005F4B18">
            <w:pPr>
              <w:overflowPunct/>
              <w:autoSpaceDE/>
              <w:autoSpaceDN/>
              <w:adjustRightInd/>
              <w:ind w:right="-957"/>
              <w:textAlignment w:val="auto"/>
              <w:rPr>
                <w:rFonts w:ascii="Times New Roman" w:hAnsi="Times New Roman" w:cs="Times New Roman"/>
                <w:b/>
                <w:color w:val="auto"/>
                <w:sz w:val="48"/>
              </w:rPr>
            </w:pPr>
          </w:p>
          <w:p w14:paraId="4C8A4FF6" w14:textId="77777777" w:rsidR="005F4B18" w:rsidRPr="005D3F07" w:rsidRDefault="005F4B18" w:rsidP="005F4B18">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 N</w:t>
            </w:r>
            <w:r>
              <w:rPr>
                <w:rFonts w:ascii="Times New Roman" w:hAnsi="Times New Roman" w:cs="Times New Roman"/>
                <w:b/>
                <w:color w:val="auto"/>
                <w:sz w:val="48"/>
              </w:rPr>
              <w:t>o</w:t>
            </w:r>
            <w:r w:rsidRPr="005D3F07">
              <w:rPr>
                <w:rFonts w:ascii="Times New Roman" w:hAnsi="Times New Roman" w:cs="Times New Roman"/>
                <w:b/>
                <w:color w:val="auto"/>
                <w:sz w:val="48"/>
              </w:rPr>
              <w:t>:</w:t>
            </w:r>
            <w:r w:rsidRPr="00C42BDC">
              <w:rPr>
                <w:rFonts w:ascii="Times New Roman" w:hAnsi="Times New Roman" w:cs="Times New Roman"/>
                <w:b/>
                <w:color w:val="auto"/>
                <w:sz w:val="48"/>
              </w:rPr>
              <w:t>2435526</w:t>
            </w:r>
          </w:p>
          <w:p w14:paraId="5F84129B" w14:textId="712A6628"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49374F">
              <w:rPr>
                <w:rFonts w:ascii="Times New Roman" w:hAnsi="Times New Roman" w:cs="Times New Roman"/>
                <w:b/>
                <w:color w:val="auto"/>
                <w:sz w:val="48"/>
              </w:rPr>
              <w:t>21</w:t>
            </w:r>
            <w:r w:rsidR="00AE6231">
              <w:rPr>
                <w:rFonts w:ascii="Times New Roman" w:hAnsi="Times New Roman" w:cs="Times New Roman"/>
                <w:b/>
                <w:color w:val="auto"/>
                <w:sz w:val="48"/>
              </w:rPr>
              <w:t>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3F2D8F5E" w14:textId="77777777" w:rsidR="00FB1DBB" w:rsidRDefault="00FB1DBB">
            <w:pPr>
              <w:jc w:val="both"/>
              <w:rPr>
                <w:sz w:val="24"/>
                <w:szCs w:val="24"/>
              </w:rPr>
            </w:pPr>
          </w:p>
          <w:p w14:paraId="739D4AA4" w14:textId="77777777" w:rsidR="00C37FB2" w:rsidRDefault="00C37FB2">
            <w:pPr>
              <w:jc w:val="both"/>
              <w:rPr>
                <w:kern w:val="2"/>
                <w14:ligatures w14:val="standardContextual"/>
              </w:rPr>
            </w:pPr>
            <w:r>
              <w:rPr>
                <w:sz w:val="24"/>
                <w:szCs w:val="24"/>
              </w:rPr>
              <w:t>Although my main practice area is children’s services, I previously supported adults with dementia, learning disabilities and physical disabilities in a Leicester residential care home. This developed my understanding of safeguarding and respectful, patient practice. Training in safeguarding, data protection and the Mental Capacity Act 2005 taught me to presume capacity and support decision-making rather than assume that disability or communication difficulties indicate incapacity (Mental Capacity Act 2005, s.1). Trauma-informed practice also recognises that previous experiences may affect communication, trust and acceptance of support.</w:t>
            </w:r>
          </w:p>
          <w:p w14:paraId="58435DA6" w14:textId="77777777" w:rsidR="00C37FB2" w:rsidRDefault="00C37FB2">
            <w:pPr>
              <w:jc w:val="both"/>
              <w:rPr>
                <w:kern w:val="2"/>
                <w14:ligatures w14:val="standardContextual"/>
              </w:rPr>
            </w:pPr>
            <w:r>
              <w:rPr>
                <w:sz w:val="24"/>
                <w:szCs w:val="24"/>
              </w:rPr>
              <w:t>Care and support needs may increase risk where they affect an adult’s ability to recognise danger, communicate concerns or protect themselves. Factors include cognitive impairment, restricted mobility, dependence, isolation, poverty, poor mental health, substance misuse and coercive relationships. These do not prove abuse but require professional curiosity. Indicators may include unexplained injuries, fearfulness, withdrawal, poor hygiene, weight loss, pressure damage, missed medication, unusual financial activity, unsafe conditions or controlled choices. I would consider patterns and changes without making assumptions.</w:t>
            </w:r>
          </w:p>
          <w:p w14:paraId="0D56D74C" w14:textId="77777777" w:rsidR="00C37FB2" w:rsidRDefault="00C37FB2">
            <w:pPr>
              <w:jc w:val="both"/>
              <w:rPr>
                <w:kern w:val="2"/>
                <w14:ligatures w14:val="standardContextual"/>
              </w:rPr>
            </w:pPr>
            <w:r>
              <w:rPr>
                <w:sz w:val="24"/>
                <w:szCs w:val="24"/>
              </w:rPr>
              <w:t>The principal Welsh framework is the Social Services and Well-being (Wales) Act 2014. Section 126 defines an adult at risk, while sections 126 and 128 require local authority enquiries and partner reporting where there is reasonable cause for concern. The Mental Capacity Act 2005 governs capacity-based decisions. The Human Rights Act 1998 protects dignity and private life, and the Data Protection Act 2018 permits necessary and proportionate safeguarding information sharing.</w:t>
            </w:r>
          </w:p>
          <w:p w14:paraId="56DEA416" w14:textId="77777777" w:rsidR="00C37FB2" w:rsidRDefault="00C37FB2">
            <w:pPr>
              <w:jc w:val="both"/>
              <w:rPr>
                <w:kern w:val="2"/>
                <w14:ligatures w14:val="standardContextual"/>
              </w:rPr>
            </w:pPr>
            <w:r>
              <w:rPr>
                <w:sz w:val="24"/>
                <w:szCs w:val="24"/>
              </w:rPr>
              <w:t xml:space="preserve">Nationally, </w:t>
            </w:r>
            <w:r>
              <w:rPr>
                <w:i/>
                <w:iCs/>
                <w:sz w:val="24"/>
                <w:szCs w:val="24"/>
              </w:rPr>
              <w:t>Working Together to Safeguard People: Volume 6</w:t>
            </w:r>
            <w:r>
              <w:rPr>
                <w:sz w:val="24"/>
                <w:szCs w:val="24"/>
              </w:rPr>
              <w:t xml:space="preserve"> and the Wales Safeguarding Procedures guide recognition, reporting and responses (Welsh Government, 2018; Social Care Wales, 2019). Following a disclosure, I would listen calmly, avoid leading questions, explain confidentiality limits, consider immediate safety, record accurately, preserve evidence, consult the safeguarding lead and report promptly. I would not investigate or confront the alleged source of harm, as this could increase risk or compromise enquiries.</w:t>
            </w:r>
          </w:p>
          <w:p w14:paraId="0E71C8B4" w14:textId="77777777" w:rsidR="00FC0334" w:rsidRDefault="00000000">
            <w:pPr>
              <w:jc w:val="both"/>
              <w:rPr>
                <w:sz w:val="24"/>
                <w:szCs w:val="24"/>
              </w:rPr>
            </w:pPr>
            <w:r>
              <w:rPr>
                <w:sz w:val="24"/>
                <w:szCs w:val="24"/>
              </w:rPr>
              <w:t xml:space="preserve">Locally, the West Glamorgan Safeguarding Board promotes coordinated practice across Swansea and Neath Port Talbot. </w:t>
            </w:r>
            <w:r w:rsidR="00DE4FD8" w:rsidRPr="00DE4FD8">
              <w:rPr>
                <w:sz w:val="24"/>
                <w:szCs w:val="24"/>
              </w:rPr>
              <w:t xml:space="preserve">It sets regional priorities, supports multi-agency learning and </w:t>
            </w:r>
            <w:r w:rsidR="00DE4FD8" w:rsidRPr="00DE4FD8">
              <w:rPr>
                <w:sz w:val="24"/>
                <w:szCs w:val="24"/>
              </w:rPr>
              <w:lastRenderedPageBreak/>
              <w:t xml:space="preserve">reviews practice to improve safeguarding responses. </w:t>
            </w:r>
            <w:r>
              <w:rPr>
                <w:sz w:val="24"/>
                <w:szCs w:val="24"/>
              </w:rPr>
              <w:t>Swansea Council’s Corporate Safeguarding Policy states that safeguarding is everyone’s responsibility (Swansea Council, 2022). I must follow the reporting pathway, consult my manager, document decisions and work with relevant agencies. I must escalate concerns if action is insufficient or risk increases. Timely recording and proportionate information sharing support accountability.</w:t>
            </w:r>
          </w:p>
          <w:p w14:paraId="4238CDC8" w14:textId="77777777" w:rsidR="00C37FB2" w:rsidRDefault="00C37FB2">
            <w:pPr>
              <w:jc w:val="both"/>
              <w:rPr>
                <w:kern w:val="2"/>
                <w14:ligatures w14:val="standardContextual"/>
              </w:rPr>
            </w:pPr>
            <w:r>
              <w:rPr>
                <w:sz w:val="24"/>
                <w:szCs w:val="24"/>
              </w:rPr>
              <w:t>I applied this learning in Swansea when supporting a parent with mental health, learning and mobility needs who relied heavily on her daughter. Her care and support needs required assessment alongside the children’s welfare. I referred her to adult services without assuming incapacity, acknowledged her strengths and explained the referral respectfully. Considering how intervention might feel for someone who had experienced adversity reinforced the need for coordinated services that keep the person central.</w:t>
            </w:r>
          </w:p>
          <w:p w14:paraId="77E3466C" w14:textId="77777777" w:rsidR="00C37FB2" w:rsidRDefault="00C37FB2">
            <w:pPr>
              <w:jc w:val="both"/>
              <w:rPr>
                <w:kern w:val="2"/>
                <w14:ligatures w14:val="standardContextual"/>
              </w:rPr>
            </w:pPr>
            <w:r>
              <w:rPr>
                <w:sz w:val="24"/>
                <w:szCs w:val="24"/>
              </w:rPr>
              <w:t>Establishing preferred outcomes is central to person-led safeguarding. An adult may wish to feel safe, remain at home, retain relationships, regain financial control or avoid unnecessary restriction. Asking what matters supports proportionate intervention and reduces powerlessness. Carers should also be asked about needs such as information, respite, emotional support or training, without replacing the adult’s voice. If wishes cannot be followed because of serious risk, incapacity or risk to others, I would explain and record the reasons and pursue the least restrictive option.</w:t>
            </w:r>
          </w:p>
          <w:p w14:paraId="5943F2B4" w14:textId="56D6B348" w:rsidR="00FC0334" w:rsidRDefault="008064F5">
            <w:pPr>
              <w:jc w:val="both"/>
              <w:rPr>
                <w:b/>
                <w:bCs/>
                <w:sz w:val="24"/>
                <w:szCs w:val="24"/>
              </w:rPr>
            </w:pPr>
            <w:r w:rsidRPr="008064F5">
              <w:rPr>
                <w:b/>
                <w:bCs/>
                <w:sz w:val="24"/>
                <w:szCs w:val="24"/>
              </w:rPr>
              <w:t xml:space="preserve">Word count: </w:t>
            </w:r>
            <w:r w:rsidR="002911D3">
              <w:rPr>
                <w:b/>
                <w:bCs/>
                <w:sz w:val="24"/>
                <w:szCs w:val="24"/>
              </w:rPr>
              <w:t>538</w:t>
            </w:r>
          </w:p>
          <w:p w14:paraId="343EAF98" w14:textId="77777777" w:rsidR="002911D3" w:rsidRDefault="002911D3">
            <w:pPr>
              <w:jc w:val="both"/>
              <w:rPr>
                <w:sz w:val="24"/>
                <w:szCs w:val="24"/>
              </w:rPr>
            </w:pPr>
          </w:p>
          <w:p w14:paraId="4FF8EBF3" w14:textId="77777777"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03BD6D93" w14:textId="56AD433A" w:rsidR="007A628F" w:rsidRPr="008B28E7" w:rsidRDefault="007A628F" w:rsidP="00FF7EBB">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70C59B47" w14:textId="77777777" w:rsidR="00FC0334" w:rsidRDefault="00000000">
            <w:pPr>
              <w:jc w:val="both"/>
              <w:rPr>
                <w:sz w:val="24"/>
                <w:szCs w:val="24"/>
              </w:rPr>
            </w:pPr>
            <w:r>
              <w:rPr>
                <w:sz w:val="24"/>
                <w:szCs w:val="24"/>
              </w:rPr>
              <w:t xml:space="preserve">Having worked in residential adult care and now in children’s services, I </w:t>
            </w:r>
            <w:r w:rsidRPr="00AB3180">
              <w:rPr>
                <w:sz w:val="24"/>
                <w:szCs w:val="24"/>
              </w:rPr>
              <w:t>understand</w:t>
            </w:r>
            <w:r w:rsidRPr="008C2F43">
              <w:rPr>
                <w:sz w:val="24"/>
                <w:szCs w:val="24"/>
              </w:rPr>
              <w:t xml:space="preserve"> how safeguarding differs across the two</w:t>
            </w:r>
            <w:r>
              <w:rPr>
                <w:sz w:val="24"/>
                <w:szCs w:val="24"/>
              </w:rPr>
              <w:t xml:space="preserve"> areas</w:t>
            </w:r>
            <w:r w:rsidRPr="008C2F43">
              <w:rPr>
                <w:sz w:val="24"/>
                <w:szCs w:val="24"/>
              </w:rPr>
              <w:t>. Both</w:t>
            </w:r>
            <w:r>
              <w:rPr>
                <w:sz w:val="24"/>
                <w:szCs w:val="24"/>
              </w:rPr>
              <w:t xml:space="preserve"> aim to prevent harm</w:t>
            </w:r>
            <w:r w:rsidRPr="008C2F43">
              <w:rPr>
                <w:sz w:val="24"/>
                <w:szCs w:val="24"/>
              </w:rPr>
              <w:t xml:space="preserve"> and promote well-being</w:t>
            </w:r>
            <w:r>
              <w:rPr>
                <w:sz w:val="24"/>
                <w:szCs w:val="24"/>
              </w:rPr>
              <w:t xml:space="preserve">, but </w:t>
            </w:r>
            <w:r w:rsidRPr="008C2F43">
              <w:rPr>
                <w:sz w:val="24"/>
                <w:szCs w:val="24"/>
              </w:rPr>
              <w:t>place different emphasis on</w:t>
            </w:r>
            <w:r>
              <w:rPr>
                <w:sz w:val="24"/>
                <w:szCs w:val="24"/>
              </w:rPr>
              <w:t xml:space="preserve"> protection, consent</w:t>
            </w:r>
            <w:r w:rsidRPr="008C2F43">
              <w:rPr>
                <w:sz w:val="24"/>
                <w:szCs w:val="24"/>
              </w:rPr>
              <w:t>, capacity</w:t>
            </w:r>
            <w:r>
              <w:rPr>
                <w:sz w:val="24"/>
                <w:szCs w:val="24"/>
              </w:rPr>
              <w:t xml:space="preserve"> and autonomy</w:t>
            </w:r>
            <w:r w:rsidR="000453FE" w:rsidRPr="000453FE">
              <w:rPr>
                <w:sz w:val="24"/>
                <w:szCs w:val="24"/>
              </w:rPr>
              <w:t xml:space="preserve"> (Welsh Government, 2018).</w:t>
            </w:r>
            <w:r>
              <w:rPr>
                <w:sz w:val="24"/>
                <w:szCs w:val="24"/>
              </w:rPr>
              <w:t xml:space="preserve"> In children’s work, the child’s welfare is central. The Children Act 1989 requires local authorities to make enquiries where there is reasonable cause to suspect that a child is suffering, or is likely to suffer, significant harm</w:t>
            </w:r>
            <w:r w:rsidRPr="00AB3180">
              <w:rPr>
                <w:sz w:val="24"/>
                <w:szCs w:val="24"/>
              </w:rPr>
              <w:t xml:space="preserve"> (Children Act 1989, ss.1 and 47).</w:t>
            </w:r>
            <w:r>
              <w:rPr>
                <w:sz w:val="24"/>
                <w:szCs w:val="24"/>
              </w:rPr>
              <w:t xml:space="preserve"> Although children’s wishes and feelings must be considered, professionals may act without the child’s or parents’ consent when the safeguarding threshold is met.</w:t>
            </w:r>
          </w:p>
          <w:p w14:paraId="3CD1C663" w14:textId="77777777" w:rsidR="00FC0334" w:rsidRDefault="00000000">
            <w:pPr>
              <w:jc w:val="both"/>
              <w:rPr>
                <w:sz w:val="24"/>
                <w:szCs w:val="24"/>
              </w:rPr>
            </w:pPr>
            <w:r>
              <w:rPr>
                <w:sz w:val="24"/>
                <w:szCs w:val="24"/>
              </w:rPr>
              <w:t xml:space="preserve">Gillick competence helps practitioners decide whether a child under 16 has </w:t>
            </w:r>
            <w:r w:rsidRPr="006A7F9E">
              <w:rPr>
                <w:sz w:val="24"/>
                <w:szCs w:val="24"/>
              </w:rPr>
              <w:t>sufficient</w:t>
            </w:r>
            <w:r>
              <w:rPr>
                <w:sz w:val="24"/>
                <w:szCs w:val="24"/>
              </w:rPr>
              <w:t xml:space="preserve"> maturity and understanding to make a particular decision</w:t>
            </w:r>
            <w:r w:rsidRPr="006A7F9E">
              <w:rPr>
                <w:sz w:val="24"/>
                <w:szCs w:val="24"/>
              </w:rPr>
              <w:t xml:space="preserve"> (</w:t>
            </w:r>
            <w:r w:rsidRPr="005C1028">
              <w:rPr>
                <w:i/>
                <w:sz w:val="24"/>
                <w:szCs w:val="24"/>
              </w:rPr>
              <w:t>Gillick v West Norfolk and Wisbech AHA</w:t>
            </w:r>
            <w:r w:rsidR="005C1028" w:rsidRPr="005C1028">
              <w:rPr>
                <w:sz w:val="24"/>
                <w:szCs w:val="24"/>
              </w:rPr>
              <w:t xml:space="preserve"> [1986] AC 112).</w:t>
            </w:r>
            <w:r>
              <w:rPr>
                <w:sz w:val="24"/>
                <w:szCs w:val="24"/>
              </w:rPr>
              <w:t xml:space="preserve"> However, competence does not remove the duty to safeguard. If there is significant risk of harm, protection may override consent. In my practice, this means listening to the child and explaining decisions, while recognising that safety may require information sharing, assessment or intervention</w:t>
            </w:r>
            <w:r w:rsidR="005C1028" w:rsidRPr="005C1028">
              <w:rPr>
                <w:sz w:val="24"/>
                <w:szCs w:val="24"/>
              </w:rPr>
              <w:t xml:space="preserve"> (Social Care Wales, 2019).</w:t>
            </w:r>
          </w:p>
          <w:p w14:paraId="7E78C29B" w14:textId="77777777" w:rsidR="00FC0334" w:rsidRDefault="00000000">
            <w:pPr>
              <w:jc w:val="both"/>
              <w:rPr>
                <w:sz w:val="24"/>
                <w:szCs w:val="24"/>
              </w:rPr>
            </w:pPr>
            <w:r>
              <w:rPr>
                <w:sz w:val="24"/>
                <w:szCs w:val="24"/>
              </w:rPr>
              <w:t xml:space="preserve">Adult safeguarding places greater emphasis on self-determination. The Mental Capacity Act 2005 requires practitioners to presume capacity, support </w:t>
            </w:r>
            <w:r w:rsidRPr="00607A89">
              <w:rPr>
                <w:sz w:val="24"/>
                <w:szCs w:val="24"/>
              </w:rPr>
              <w:t>decision-making</w:t>
            </w:r>
            <w:r>
              <w:rPr>
                <w:sz w:val="24"/>
                <w:szCs w:val="24"/>
              </w:rPr>
              <w:t xml:space="preserve"> and recognise that an unwise decision</w:t>
            </w:r>
            <w:r w:rsidRPr="00607A89">
              <w:rPr>
                <w:sz w:val="24"/>
                <w:szCs w:val="24"/>
              </w:rPr>
              <w:t xml:space="preserve"> does not itself demonstrate incapacity (Mental Capacity Act 2005, s.1).</w:t>
            </w:r>
            <w:r>
              <w:rPr>
                <w:sz w:val="24"/>
                <w:szCs w:val="24"/>
              </w:rPr>
              <w:t xml:space="preserve"> From my care-home experience, I learned that dementia, disability or communication needs did not remove a resident’s right to choose. Consent should normally guide safeguarding </w:t>
            </w:r>
            <w:r>
              <w:rPr>
                <w:sz w:val="24"/>
                <w:szCs w:val="24"/>
              </w:rPr>
              <w:lastRenderedPageBreak/>
              <w:t xml:space="preserve">action, </w:t>
            </w:r>
            <w:r w:rsidRPr="00607A89">
              <w:rPr>
                <w:sz w:val="24"/>
                <w:szCs w:val="24"/>
              </w:rPr>
              <w:t>which</w:t>
            </w:r>
            <w:r>
              <w:rPr>
                <w:sz w:val="24"/>
                <w:szCs w:val="24"/>
              </w:rPr>
              <w:t xml:space="preserve"> should be proportionate and least restrictive. However, </w:t>
            </w:r>
            <w:r w:rsidRPr="00607A89">
              <w:rPr>
                <w:sz w:val="24"/>
                <w:szCs w:val="24"/>
              </w:rPr>
              <w:t>action</w:t>
            </w:r>
            <w:r>
              <w:rPr>
                <w:sz w:val="24"/>
                <w:szCs w:val="24"/>
              </w:rPr>
              <w:t xml:space="preserve"> may still be required where the adult lacks capacity for the relevant decision, is being coerced, another person is at risk, or there is an overriding legal or public-interest reason</w:t>
            </w:r>
            <w:r w:rsidR="00843DA0" w:rsidRPr="00843DA0">
              <w:rPr>
                <w:sz w:val="24"/>
                <w:szCs w:val="24"/>
              </w:rPr>
              <w:t xml:space="preserve"> (Welsh Government, 2018).</w:t>
            </w:r>
          </w:p>
          <w:p w14:paraId="44DBEB98" w14:textId="77777777" w:rsidR="00905479" w:rsidRDefault="00905479">
            <w:pPr>
              <w:jc w:val="both"/>
              <w:rPr>
                <w:kern w:val="2"/>
                <w14:ligatures w14:val="standardContextual"/>
              </w:rPr>
            </w:pPr>
            <w:r>
              <w:rPr>
                <w:sz w:val="24"/>
                <w:szCs w:val="24"/>
              </w:rPr>
              <w:t>My referral of a parent to adult services in Swansea helped me understand this distinction. I did not assume that her mental health, learning or mobility needs meant that she lacked capacity. Instead, I recognised that she may need an assessment and support, while respecting her voice and choices. In children’s work, I also had to consider how her needs affected the children’s welfare. This showed me that adult and child safeguarding can overlap and require coordinated professional judgement.</w:t>
            </w:r>
          </w:p>
          <w:p w14:paraId="16EF2872" w14:textId="77777777" w:rsidR="00FC0334" w:rsidRDefault="00000000">
            <w:pPr>
              <w:jc w:val="both"/>
              <w:rPr>
                <w:sz w:val="24"/>
                <w:szCs w:val="24"/>
              </w:rPr>
            </w:pPr>
            <w:r w:rsidRPr="00554A84">
              <w:rPr>
                <w:sz w:val="24"/>
                <w:szCs w:val="24"/>
              </w:rPr>
              <w:t>In conclusion, although</w:t>
            </w:r>
            <w:r>
              <w:rPr>
                <w:sz w:val="24"/>
                <w:szCs w:val="24"/>
              </w:rPr>
              <w:t xml:space="preserve"> legal thresholds </w:t>
            </w:r>
            <w:r w:rsidRPr="00554A84">
              <w:rPr>
                <w:sz w:val="24"/>
                <w:szCs w:val="24"/>
              </w:rPr>
              <w:t xml:space="preserve">and procedures </w:t>
            </w:r>
            <w:r>
              <w:rPr>
                <w:sz w:val="24"/>
                <w:szCs w:val="24"/>
              </w:rPr>
              <w:t xml:space="preserve">differ, </w:t>
            </w:r>
            <w:r w:rsidRPr="00554A84">
              <w:rPr>
                <w:sz w:val="24"/>
                <w:szCs w:val="24"/>
              </w:rPr>
              <w:t xml:space="preserve">adult and child safeguarding are </w:t>
            </w:r>
            <w:r>
              <w:rPr>
                <w:sz w:val="24"/>
                <w:szCs w:val="24"/>
              </w:rPr>
              <w:t>rights-based and rely on multi-agency working</w:t>
            </w:r>
            <w:r w:rsidRPr="008631FD">
              <w:rPr>
                <w:sz w:val="24"/>
                <w:szCs w:val="24"/>
              </w:rPr>
              <w:t xml:space="preserve"> (Welsh Government, 2018; Social Care Wales, 2019).</w:t>
            </w:r>
            <w:r>
              <w:rPr>
                <w:sz w:val="24"/>
                <w:szCs w:val="24"/>
              </w:rPr>
              <w:t xml:space="preserve"> Social services, health, police, education and other agencies share relevant information, assess risk and agree protective action. Children’s safeguarding may involve strategy discussions, section 47 enquiries and child protection planning</w:t>
            </w:r>
            <w:r w:rsidR="00A0521F" w:rsidRPr="00A0521F">
              <w:rPr>
                <w:sz w:val="24"/>
                <w:szCs w:val="24"/>
              </w:rPr>
              <w:t xml:space="preserve"> (Children Act 1989, s.47),</w:t>
            </w:r>
            <w:r>
              <w:rPr>
                <w:sz w:val="24"/>
                <w:szCs w:val="24"/>
              </w:rPr>
              <w:t xml:space="preserve"> whereas adult safeguarding focuses more explicitly on capacity, consent and outcomes </w:t>
            </w:r>
            <w:r w:rsidRPr="00554A84">
              <w:rPr>
                <w:sz w:val="24"/>
                <w:szCs w:val="24"/>
              </w:rPr>
              <w:t>identified</w:t>
            </w:r>
            <w:r>
              <w:rPr>
                <w:sz w:val="24"/>
                <w:szCs w:val="24"/>
              </w:rPr>
              <w:t xml:space="preserve"> by the adult</w:t>
            </w:r>
            <w:r w:rsidR="00A0521F" w:rsidRPr="00A0521F">
              <w:rPr>
                <w:sz w:val="24"/>
                <w:szCs w:val="24"/>
              </w:rPr>
              <w:t xml:space="preserve"> (Social Services and Well-being (Wales) Act 2014, s.126).</w:t>
            </w:r>
            <w:r>
              <w:rPr>
                <w:sz w:val="24"/>
                <w:szCs w:val="24"/>
              </w:rPr>
              <w:t xml:space="preserve"> In both </w:t>
            </w:r>
            <w:r w:rsidRPr="00554A84">
              <w:rPr>
                <w:sz w:val="24"/>
                <w:szCs w:val="24"/>
              </w:rPr>
              <w:t>settings</w:t>
            </w:r>
            <w:r>
              <w:rPr>
                <w:sz w:val="24"/>
                <w:szCs w:val="24"/>
              </w:rPr>
              <w:t xml:space="preserve">, I must remain professionally curious, record accurately and act when risk is identified. My experience has taught me </w:t>
            </w:r>
            <w:r w:rsidRPr="00554A84">
              <w:rPr>
                <w:sz w:val="24"/>
                <w:szCs w:val="24"/>
              </w:rPr>
              <w:t xml:space="preserve">to </w:t>
            </w:r>
            <w:r>
              <w:rPr>
                <w:sz w:val="24"/>
                <w:szCs w:val="24"/>
              </w:rPr>
              <w:t xml:space="preserve">respect autonomy </w:t>
            </w:r>
            <w:r w:rsidRPr="00554A84">
              <w:rPr>
                <w:sz w:val="24"/>
                <w:szCs w:val="24"/>
              </w:rPr>
              <w:t xml:space="preserve">and listen to the person’s wishes, </w:t>
            </w:r>
            <w:r>
              <w:rPr>
                <w:sz w:val="24"/>
                <w:szCs w:val="24"/>
              </w:rPr>
              <w:t xml:space="preserve">without allowing </w:t>
            </w:r>
            <w:r w:rsidRPr="00554A84">
              <w:rPr>
                <w:sz w:val="24"/>
                <w:szCs w:val="24"/>
              </w:rPr>
              <w:t xml:space="preserve">consent or </w:t>
            </w:r>
            <w:r>
              <w:rPr>
                <w:sz w:val="24"/>
                <w:szCs w:val="24"/>
              </w:rPr>
              <w:t>choice to become a reason for leaving someone at serious risk.</w:t>
            </w:r>
          </w:p>
          <w:p w14:paraId="17C9F853" w14:textId="5BE6F1DA" w:rsidR="00FC0334" w:rsidRDefault="00096EA0">
            <w:pPr>
              <w:jc w:val="both"/>
              <w:rPr>
                <w:sz w:val="24"/>
                <w:szCs w:val="24"/>
              </w:rPr>
            </w:pPr>
            <w:r w:rsidRPr="00096EA0">
              <w:rPr>
                <w:b/>
                <w:bCs/>
                <w:sz w:val="24"/>
                <w:szCs w:val="24"/>
              </w:rPr>
              <w:t xml:space="preserve">Word count: </w:t>
            </w:r>
            <w:r w:rsidR="00222AA0">
              <w:rPr>
                <w:b/>
                <w:bCs/>
                <w:sz w:val="24"/>
                <w:szCs w:val="24"/>
              </w:rPr>
              <w:t>455</w:t>
            </w:r>
          </w:p>
          <w:p w14:paraId="04285720" w14:textId="77777777" w:rsidR="00FC0334" w:rsidRDefault="00FC0334" w:rsidP="00FC0334">
            <w:pPr>
              <w:jc w:val="both"/>
              <w:rPr>
                <w:sz w:val="24"/>
                <w:szCs w:val="24"/>
              </w:rPr>
            </w:pPr>
          </w:p>
          <w:p w14:paraId="1AA3081F" w14:textId="77777777" w:rsidR="00FC0334" w:rsidRDefault="00FC0334" w:rsidP="00FC0334">
            <w:pPr>
              <w:jc w:val="both"/>
              <w:rPr>
                <w:sz w:val="24"/>
                <w:szCs w:val="24"/>
              </w:rPr>
            </w:pPr>
          </w:p>
          <w:p w14:paraId="7B7B4827" w14:textId="77777777" w:rsidR="00FC0334" w:rsidRDefault="00FC0334" w:rsidP="00FC0334">
            <w:pPr>
              <w:jc w:val="both"/>
              <w:rPr>
                <w:sz w:val="24"/>
                <w:szCs w:val="24"/>
              </w:rPr>
            </w:pPr>
          </w:p>
          <w:p w14:paraId="438BF787" w14:textId="77777777" w:rsidR="00FC0334" w:rsidRPr="006108C9" w:rsidRDefault="00FC0334" w:rsidP="00FC0334">
            <w:pPr>
              <w:jc w:val="both"/>
              <w:rPr>
                <w:sz w:val="24"/>
                <w:szCs w:val="24"/>
              </w:rPr>
            </w:pPr>
          </w:p>
          <w:p w14:paraId="6BA3DD84" w14:textId="0013357A"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08760B3D" w14:textId="77777777" w:rsidR="00FC0334" w:rsidRPr="006108C9" w:rsidRDefault="00FC0334" w:rsidP="00FC0334">
            <w:pPr>
              <w:jc w:val="both"/>
              <w:rPr>
                <w:sz w:val="24"/>
                <w:szCs w:val="24"/>
              </w:rPr>
            </w:pPr>
          </w:p>
        </w:tc>
      </w:tr>
    </w:tbl>
    <w:p w14:paraId="76FCF233" w14:textId="77777777" w:rsidR="00FC0334" w:rsidRDefault="00FC0334" w:rsidP="00FC0334">
      <w:pPr>
        <w:rPr>
          <w:sz w:val="24"/>
          <w:szCs w:val="24"/>
        </w:rPr>
      </w:pPr>
    </w:p>
    <w:sectPr w:rsidR="00FC0334" w:rsidSect="00F15354">
      <w:headerReference w:type="even" r:id="rId11"/>
      <w:headerReference w:type="default" r:id="rId12"/>
      <w:footerReference w:type="even" r:id="rId13"/>
      <w:footerReference w:type="default" r:id="rId14"/>
      <w:headerReference w:type="first" r:id="rId15"/>
      <w:footerReference w:type="first" r:id="rId16"/>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4D05B3" w14:textId="77777777" w:rsidR="00995D63" w:rsidRDefault="00995D63">
      <w:r>
        <w:separator/>
      </w:r>
    </w:p>
  </w:endnote>
  <w:endnote w:type="continuationSeparator" w:id="0">
    <w:p w14:paraId="6A128AE8" w14:textId="77777777" w:rsidR="00995D63" w:rsidRDefault="00995D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E7E0E" w14:textId="77777777" w:rsidR="00FB1DBB" w:rsidRDefault="00FB1DB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F76EE5" w14:textId="77777777" w:rsidR="00FB1DBB" w:rsidRDefault="00FB1D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DE9334" w14:textId="77777777" w:rsidR="00995D63" w:rsidRDefault="00995D63">
      <w:r>
        <w:separator/>
      </w:r>
    </w:p>
  </w:footnote>
  <w:footnote w:type="continuationSeparator" w:id="0">
    <w:p w14:paraId="6BB331D1" w14:textId="77777777" w:rsidR="00995D63" w:rsidRDefault="00995D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3216A" w14:textId="77777777" w:rsidR="00FB1DBB" w:rsidRDefault="00FB1DB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30E359" w14:textId="77777777" w:rsidR="00FB1DBB" w:rsidRDefault="00FB1D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9D64D50"/>
    <w:multiLevelType w:val="multilevel"/>
    <w:tmpl w:val="6BDC5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6"/>
  </w:num>
  <w:num w:numId="4" w16cid:durableId="1850633156">
    <w:abstractNumId w:val="48"/>
  </w:num>
  <w:num w:numId="5" w16cid:durableId="2042589495">
    <w:abstractNumId w:val="35"/>
  </w:num>
  <w:num w:numId="6" w16cid:durableId="933980368">
    <w:abstractNumId w:val="33"/>
  </w:num>
  <w:num w:numId="7" w16cid:durableId="1060399973">
    <w:abstractNumId w:val="30"/>
  </w:num>
  <w:num w:numId="8" w16cid:durableId="1237400777">
    <w:abstractNumId w:val="31"/>
  </w:num>
  <w:num w:numId="9" w16cid:durableId="1914463563">
    <w:abstractNumId w:val="10"/>
  </w:num>
  <w:num w:numId="10" w16cid:durableId="693307142">
    <w:abstractNumId w:val="34"/>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2"/>
  </w:num>
  <w:num w:numId="26" w16cid:durableId="1104690971">
    <w:abstractNumId w:val="36"/>
  </w:num>
  <w:num w:numId="27" w16cid:durableId="1201670287">
    <w:abstractNumId w:val="41"/>
  </w:num>
  <w:num w:numId="28" w16cid:durableId="598562144">
    <w:abstractNumId w:val="20"/>
  </w:num>
  <w:num w:numId="29" w16cid:durableId="871068292">
    <w:abstractNumId w:val="44"/>
  </w:num>
  <w:num w:numId="30" w16cid:durableId="482159744">
    <w:abstractNumId w:val="32"/>
  </w:num>
  <w:num w:numId="31" w16cid:durableId="1565527110">
    <w:abstractNumId w:val="12"/>
  </w:num>
  <w:num w:numId="32" w16cid:durableId="1175995731">
    <w:abstractNumId w:val="45"/>
  </w:num>
  <w:num w:numId="33" w16cid:durableId="694232600">
    <w:abstractNumId w:val="40"/>
  </w:num>
  <w:num w:numId="34" w16cid:durableId="1062095063">
    <w:abstractNumId w:val="5"/>
  </w:num>
  <w:num w:numId="35" w16cid:durableId="2051881075">
    <w:abstractNumId w:val="47"/>
  </w:num>
  <w:num w:numId="36" w16cid:durableId="2107188112">
    <w:abstractNumId w:val="43"/>
  </w:num>
  <w:num w:numId="37" w16cid:durableId="1313413796">
    <w:abstractNumId w:val="37"/>
  </w:num>
  <w:num w:numId="38" w16cid:durableId="1682197957">
    <w:abstractNumId w:val="38"/>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9"/>
  </w:num>
  <w:num w:numId="45" w16cid:durableId="891695978">
    <w:abstractNumId w:val="0"/>
  </w:num>
  <w:num w:numId="46" w16cid:durableId="827289017">
    <w:abstractNumId w:val="14"/>
  </w:num>
  <w:num w:numId="47" w16cid:durableId="167212813">
    <w:abstractNumId w:val="49"/>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 w:numId="54" w16cid:durableId="668941827">
    <w:abstractNumId w:val="2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43B6"/>
    <w:rsid w:val="000453FE"/>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4CF"/>
    <w:rsid w:val="00085699"/>
    <w:rsid w:val="00090160"/>
    <w:rsid w:val="00091F52"/>
    <w:rsid w:val="00092970"/>
    <w:rsid w:val="00093720"/>
    <w:rsid w:val="000938E6"/>
    <w:rsid w:val="00093B3C"/>
    <w:rsid w:val="0009488C"/>
    <w:rsid w:val="00095C1B"/>
    <w:rsid w:val="00096DEA"/>
    <w:rsid w:val="00096EA0"/>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3DD8"/>
    <w:rsid w:val="001447F6"/>
    <w:rsid w:val="00147DE3"/>
    <w:rsid w:val="00150794"/>
    <w:rsid w:val="00151DA6"/>
    <w:rsid w:val="001608C4"/>
    <w:rsid w:val="00164832"/>
    <w:rsid w:val="00171418"/>
    <w:rsid w:val="00173915"/>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32B0"/>
    <w:rsid w:val="001F4552"/>
    <w:rsid w:val="002019EB"/>
    <w:rsid w:val="00204B58"/>
    <w:rsid w:val="00205051"/>
    <w:rsid w:val="00211F65"/>
    <w:rsid w:val="00214047"/>
    <w:rsid w:val="00216563"/>
    <w:rsid w:val="0021792F"/>
    <w:rsid w:val="00220D06"/>
    <w:rsid w:val="00222AA0"/>
    <w:rsid w:val="00223583"/>
    <w:rsid w:val="002246A0"/>
    <w:rsid w:val="00225DBD"/>
    <w:rsid w:val="00230439"/>
    <w:rsid w:val="00232A09"/>
    <w:rsid w:val="00235176"/>
    <w:rsid w:val="00236061"/>
    <w:rsid w:val="0024100E"/>
    <w:rsid w:val="0024132F"/>
    <w:rsid w:val="00241C1B"/>
    <w:rsid w:val="0024288B"/>
    <w:rsid w:val="00243DB0"/>
    <w:rsid w:val="00247265"/>
    <w:rsid w:val="00260663"/>
    <w:rsid w:val="002657E9"/>
    <w:rsid w:val="0026665E"/>
    <w:rsid w:val="002670C3"/>
    <w:rsid w:val="0027147E"/>
    <w:rsid w:val="002761F4"/>
    <w:rsid w:val="002775E1"/>
    <w:rsid w:val="00277979"/>
    <w:rsid w:val="002911D3"/>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B37DF"/>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47F8"/>
    <w:rsid w:val="003F67A4"/>
    <w:rsid w:val="00400786"/>
    <w:rsid w:val="00401FDA"/>
    <w:rsid w:val="004046F0"/>
    <w:rsid w:val="0040668F"/>
    <w:rsid w:val="00411EF7"/>
    <w:rsid w:val="00412677"/>
    <w:rsid w:val="00414BDC"/>
    <w:rsid w:val="004219F1"/>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2C89"/>
    <w:rsid w:val="00473153"/>
    <w:rsid w:val="0047350F"/>
    <w:rsid w:val="004743AF"/>
    <w:rsid w:val="00475F32"/>
    <w:rsid w:val="00482C17"/>
    <w:rsid w:val="00484CE3"/>
    <w:rsid w:val="004911B4"/>
    <w:rsid w:val="0049196A"/>
    <w:rsid w:val="004923DA"/>
    <w:rsid w:val="00492EEB"/>
    <w:rsid w:val="00493434"/>
    <w:rsid w:val="0049374F"/>
    <w:rsid w:val="004968E2"/>
    <w:rsid w:val="004A2A49"/>
    <w:rsid w:val="004A5A64"/>
    <w:rsid w:val="004B5553"/>
    <w:rsid w:val="004B600B"/>
    <w:rsid w:val="004B6822"/>
    <w:rsid w:val="004B69F6"/>
    <w:rsid w:val="004C2D04"/>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39AA"/>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312ED"/>
    <w:rsid w:val="00540EEC"/>
    <w:rsid w:val="005414F4"/>
    <w:rsid w:val="00546187"/>
    <w:rsid w:val="00547B11"/>
    <w:rsid w:val="00554A84"/>
    <w:rsid w:val="005562EF"/>
    <w:rsid w:val="00557D77"/>
    <w:rsid w:val="00562EAA"/>
    <w:rsid w:val="00563B58"/>
    <w:rsid w:val="005640C4"/>
    <w:rsid w:val="00565D48"/>
    <w:rsid w:val="0056684C"/>
    <w:rsid w:val="00574A0C"/>
    <w:rsid w:val="0057780F"/>
    <w:rsid w:val="00581E0A"/>
    <w:rsid w:val="00586D89"/>
    <w:rsid w:val="005877C8"/>
    <w:rsid w:val="00587923"/>
    <w:rsid w:val="00594F9F"/>
    <w:rsid w:val="005A1B4C"/>
    <w:rsid w:val="005A545C"/>
    <w:rsid w:val="005B271A"/>
    <w:rsid w:val="005B3A2D"/>
    <w:rsid w:val="005C1028"/>
    <w:rsid w:val="005C1567"/>
    <w:rsid w:val="005C28D3"/>
    <w:rsid w:val="005C6CE5"/>
    <w:rsid w:val="005D3F07"/>
    <w:rsid w:val="005D4A1E"/>
    <w:rsid w:val="005D4F72"/>
    <w:rsid w:val="005E13EA"/>
    <w:rsid w:val="005E17F1"/>
    <w:rsid w:val="005E7E5C"/>
    <w:rsid w:val="005F4B18"/>
    <w:rsid w:val="005F64AA"/>
    <w:rsid w:val="005F7851"/>
    <w:rsid w:val="006035CE"/>
    <w:rsid w:val="00606E27"/>
    <w:rsid w:val="00607A89"/>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A7F9E"/>
    <w:rsid w:val="006B4496"/>
    <w:rsid w:val="006B5E67"/>
    <w:rsid w:val="006B6612"/>
    <w:rsid w:val="006C2EB5"/>
    <w:rsid w:val="006D0E5A"/>
    <w:rsid w:val="006D18A3"/>
    <w:rsid w:val="006D5970"/>
    <w:rsid w:val="006E3ACD"/>
    <w:rsid w:val="006E481E"/>
    <w:rsid w:val="006E6826"/>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09B"/>
    <w:rsid w:val="00755427"/>
    <w:rsid w:val="00756548"/>
    <w:rsid w:val="0075673A"/>
    <w:rsid w:val="0075704F"/>
    <w:rsid w:val="00763B2D"/>
    <w:rsid w:val="00764C84"/>
    <w:rsid w:val="007710AD"/>
    <w:rsid w:val="007712BE"/>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064F5"/>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37B9B"/>
    <w:rsid w:val="00841F9D"/>
    <w:rsid w:val="008420E1"/>
    <w:rsid w:val="00843DA0"/>
    <w:rsid w:val="00844D98"/>
    <w:rsid w:val="00846D84"/>
    <w:rsid w:val="00850233"/>
    <w:rsid w:val="0085230E"/>
    <w:rsid w:val="00855086"/>
    <w:rsid w:val="008550A1"/>
    <w:rsid w:val="00861038"/>
    <w:rsid w:val="008631FD"/>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340"/>
    <w:rsid w:val="00897F3E"/>
    <w:rsid w:val="008A21B4"/>
    <w:rsid w:val="008B07DE"/>
    <w:rsid w:val="008B1309"/>
    <w:rsid w:val="008B28E7"/>
    <w:rsid w:val="008B67F6"/>
    <w:rsid w:val="008C14C7"/>
    <w:rsid w:val="008C2F43"/>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5479"/>
    <w:rsid w:val="009079BD"/>
    <w:rsid w:val="00912BD9"/>
    <w:rsid w:val="00916FB2"/>
    <w:rsid w:val="00920E5B"/>
    <w:rsid w:val="00926436"/>
    <w:rsid w:val="00926C53"/>
    <w:rsid w:val="0093018C"/>
    <w:rsid w:val="0094495F"/>
    <w:rsid w:val="009544C0"/>
    <w:rsid w:val="00954FA4"/>
    <w:rsid w:val="00956AE9"/>
    <w:rsid w:val="009615ED"/>
    <w:rsid w:val="00964CC6"/>
    <w:rsid w:val="00967BFA"/>
    <w:rsid w:val="0098262C"/>
    <w:rsid w:val="0098427C"/>
    <w:rsid w:val="00986B43"/>
    <w:rsid w:val="00986C0B"/>
    <w:rsid w:val="00986D46"/>
    <w:rsid w:val="00991FDA"/>
    <w:rsid w:val="00992ACA"/>
    <w:rsid w:val="00995D63"/>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521F"/>
    <w:rsid w:val="00A06422"/>
    <w:rsid w:val="00A10D56"/>
    <w:rsid w:val="00A12AAE"/>
    <w:rsid w:val="00A12F22"/>
    <w:rsid w:val="00A14EF5"/>
    <w:rsid w:val="00A16DD1"/>
    <w:rsid w:val="00A22441"/>
    <w:rsid w:val="00A23F3B"/>
    <w:rsid w:val="00A24406"/>
    <w:rsid w:val="00A25F64"/>
    <w:rsid w:val="00A275F6"/>
    <w:rsid w:val="00A303B9"/>
    <w:rsid w:val="00A37416"/>
    <w:rsid w:val="00A40ED6"/>
    <w:rsid w:val="00A45239"/>
    <w:rsid w:val="00A47621"/>
    <w:rsid w:val="00A479CD"/>
    <w:rsid w:val="00A50CFC"/>
    <w:rsid w:val="00A54D67"/>
    <w:rsid w:val="00A55A3F"/>
    <w:rsid w:val="00A5656A"/>
    <w:rsid w:val="00A60103"/>
    <w:rsid w:val="00A610A9"/>
    <w:rsid w:val="00A652F6"/>
    <w:rsid w:val="00A65861"/>
    <w:rsid w:val="00A70250"/>
    <w:rsid w:val="00A732EA"/>
    <w:rsid w:val="00A7489E"/>
    <w:rsid w:val="00A8015F"/>
    <w:rsid w:val="00A85039"/>
    <w:rsid w:val="00A906AA"/>
    <w:rsid w:val="00A94C5E"/>
    <w:rsid w:val="00AA252C"/>
    <w:rsid w:val="00AA666E"/>
    <w:rsid w:val="00AA7960"/>
    <w:rsid w:val="00AB3180"/>
    <w:rsid w:val="00AB5518"/>
    <w:rsid w:val="00AC3A0E"/>
    <w:rsid w:val="00AC4A04"/>
    <w:rsid w:val="00AC5679"/>
    <w:rsid w:val="00AD336F"/>
    <w:rsid w:val="00AE134C"/>
    <w:rsid w:val="00AE1868"/>
    <w:rsid w:val="00AE2049"/>
    <w:rsid w:val="00AE2564"/>
    <w:rsid w:val="00AE301F"/>
    <w:rsid w:val="00AE3302"/>
    <w:rsid w:val="00AE5BA6"/>
    <w:rsid w:val="00AE6231"/>
    <w:rsid w:val="00AE7077"/>
    <w:rsid w:val="00AF1EF9"/>
    <w:rsid w:val="00AF61C2"/>
    <w:rsid w:val="00AF6CC6"/>
    <w:rsid w:val="00B0296A"/>
    <w:rsid w:val="00B07E79"/>
    <w:rsid w:val="00B12295"/>
    <w:rsid w:val="00B137BE"/>
    <w:rsid w:val="00B15998"/>
    <w:rsid w:val="00B17FA0"/>
    <w:rsid w:val="00B204C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1AF9"/>
    <w:rsid w:val="00B7502A"/>
    <w:rsid w:val="00B77305"/>
    <w:rsid w:val="00B774BD"/>
    <w:rsid w:val="00B82723"/>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E54E1"/>
    <w:rsid w:val="00BF0D6C"/>
    <w:rsid w:val="00C01D14"/>
    <w:rsid w:val="00C01D97"/>
    <w:rsid w:val="00C025B4"/>
    <w:rsid w:val="00C029EC"/>
    <w:rsid w:val="00C161FD"/>
    <w:rsid w:val="00C172F1"/>
    <w:rsid w:val="00C17C9F"/>
    <w:rsid w:val="00C23F17"/>
    <w:rsid w:val="00C246F2"/>
    <w:rsid w:val="00C26D0D"/>
    <w:rsid w:val="00C27C95"/>
    <w:rsid w:val="00C300D2"/>
    <w:rsid w:val="00C3270F"/>
    <w:rsid w:val="00C3278B"/>
    <w:rsid w:val="00C33375"/>
    <w:rsid w:val="00C34C23"/>
    <w:rsid w:val="00C3660D"/>
    <w:rsid w:val="00C368FA"/>
    <w:rsid w:val="00C37FB2"/>
    <w:rsid w:val="00C42005"/>
    <w:rsid w:val="00C423BC"/>
    <w:rsid w:val="00C43275"/>
    <w:rsid w:val="00C4664D"/>
    <w:rsid w:val="00C472AA"/>
    <w:rsid w:val="00C50A05"/>
    <w:rsid w:val="00C51169"/>
    <w:rsid w:val="00C51BE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6F30"/>
    <w:rsid w:val="00C87A74"/>
    <w:rsid w:val="00C901E8"/>
    <w:rsid w:val="00C92C71"/>
    <w:rsid w:val="00C93F8F"/>
    <w:rsid w:val="00C952E8"/>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167D"/>
    <w:rsid w:val="00CE4BC4"/>
    <w:rsid w:val="00CE7DA2"/>
    <w:rsid w:val="00CF2F8A"/>
    <w:rsid w:val="00CF3DB3"/>
    <w:rsid w:val="00D0274B"/>
    <w:rsid w:val="00D0503D"/>
    <w:rsid w:val="00D052BC"/>
    <w:rsid w:val="00D07026"/>
    <w:rsid w:val="00D07D4E"/>
    <w:rsid w:val="00D146AE"/>
    <w:rsid w:val="00D22C8F"/>
    <w:rsid w:val="00D3203C"/>
    <w:rsid w:val="00D33491"/>
    <w:rsid w:val="00D3442D"/>
    <w:rsid w:val="00D36F00"/>
    <w:rsid w:val="00D44B67"/>
    <w:rsid w:val="00D44F8E"/>
    <w:rsid w:val="00D51FD5"/>
    <w:rsid w:val="00D55DE0"/>
    <w:rsid w:val="00D56D51"/>
    <w:rsid w:val="00D607EF"/>
    <w:rsid w:val="00D60F88"/>
    <w:rsid w:val="00D646BD"/>
    <w:rsid w:val="00D65558"/>
    <w:rsid w:val="00D71201"/>
    <w:rsid w:val="00D720C7"/>
    <w:rsid w:val="00D84841"/>
    <w:rsid w:val="00D876E6"/>
    <w:rsid w:val="00D90958"/>
    <w:rsid w:val="00D931C9"/>
    <w:rsid w:val="00DA1025"/>
    <w:rsid w:val="00DA22EC"/>
    <w:rsid w:val="00DA5682"/>
    <w:rsid w:val="00DA5860"/>
    <w:rsid w:val="00DA5C0C"/>
    <w:rsid w:val="00DB2767"/>
    <w:rsid w:val="00DC1B10"/>
    <w:rsid w:val="00DC2924"/>
    <w:rsid w:val="00DC4729"/>
    <w:rsid w:val="00DD31C5"/>
    <w:rsid w:val="00DD3BEB"/>
    <w:rsid w:val="00DD5020"/>
    <w:rsid w:val="00DD63BE"/>
    <w:rsid w:val="00DE4296"/>
    <w:rsid w:val="00DE4FD8"/>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A02"/>
    <w:rsid w:val="00E95F08"/>
    <w:rsid w:val="00E97171"/>
    <w:rsid w:val="00EA3900"/>
    <w:rsid w:val="00EA468F"/>
    <w:rsid w:val="00EA4D48"/>
    <w:rsid w:val="00EA7ADF"/>
    <w:rsid w:val="00EB132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E7846"/>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0497"/>
    <w:rsid w:val="00FA23BD"/>
    <w:rsid w:val="00FA3764"/>
    <w:rsid w:val="00FA41C7"/>
    <w:rsid w:val="00FA4A79"/>
    <w:rsid w:val="00FA56ED"/>
    <w:rsid w:val="00FB05DD"/>
    <w:rsid w:val="00FB0F7C"/>
    <w:rsid w:val="00FB1DBB"/>
    <w:rsid w:val="00FB24EA"/>
    <w:rsid w:val="00FB5FA6"/>
    <w:rsid w:val="00FB6DC1"/>
    <w:rsid w:val="00FC0334"/>
    <w:rsid w:val="00FC1310"/>
    <w:rsid w:val="00FC2FF3"/>
    <w:rsid w:val="00FC3263"/>
    <w:rsid w:val="00FC51F9"/>
    <w:rsid w:val="00FC5B40"/>
    <w:rsid w:val="00FC5FF8"/>
    <w:rsid w:val="00FD271B"/>
    <w:rsid w:val="00FD3D7C"/>
    <w:rsid w:val="00FD4F8F"/>
    <w:rsid w:val="00FE0C16"/>
    <w:rsid w:val="00FE14B1"/>
    <w:rsid w:val="00FE4477"/>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paragraph" w:styleId="Heading3">
    <w:name w:val="heading 3"/>
    <w:basedOn w:val="Normal"/>
    <w:next w:val="Normal"/>
    <w:link w:val="Heading3Char"/>
    <w:uiPriority w:val="9"/>
    <w:semiHidden/>
    <w:unhideWhenUsed/>
    <w:qFormat/>
    <w:rsid w:val="00FB1DBB"/>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FB1DBB"/>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FB1DBB"/>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FB1DBB"/>
    <w:pPr>
      <w:keepNext/>
      <w:keepLines/>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FB1DBB"/>
    <w:pPr>
      <w:keepNext/>
      <w:keepLines/>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FB1DBB"/>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B1DBB"/>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BookTitle">
    <w:name w:val="Book Title"/>
    <w:basedOn w:val="DefaultParagraphFont"/>
    <w:uiPriority w:val="33"/>
    <w:qFormat/>
    <w:rsid w:val="00FB1DBB"/>
    <w:rPr>
      <w:b/>
      <w:bCs/>
      <w:i/>
      <w:iCs/>
      <w:spacing w:val="5"/>
    </w:rPr>
  </w:style>
  <w:style w:type="paragraph" w:styleId="Caption">
    <w:name w:val="caption"/>
    <w:basedOn w:val="Normal"/>
    <w:next w:val="Normal"/>
    <w:uiPriority w:val="35"/>
    <w:semiHidden/>
    <w:unhideWhenUsed/>
    <w:qFormat/>
    <w:rsid w:val="00FB1DBB"/>
    <w:pPr>
      <w:spacing w:after="200"/>
    </w:pPr>
    <w:rPr>
      <w:i/>
      <w:iCs/>
      <w:color w:val="44546A" w:themeColor="text2"/>
      <w:sz w:val="18"/>
      <w:szCs w:val="18"/>
    </w:rPr>
  </w:style>
  <w:style w:type="character" w:styleId="Emphasis">
    <w:name w:val="Emphasis"/>
    <w:basedOn w:val="DefaultParagraphFont"/>
    <w:uiPriority w:val="20"/>
    <w:qFormat/>
    <w:rsid w:val="00FB1DBB"/>
    <w:rPr>
      <w:i/>
      <w:iCs/>
    </w:rPr>
  </w:style>
  <w:style w:type="character" w:customStyle="1" w:styleId="Heading3Char">
    <w:name w:val="Heading 3 Char"/>
    <w:basedOn w:val="DefaultParagraphFont"/>
    <w:link w:val="Heading3"/>
    <w:uiPriority w:val="9"/>
    <w:semiHidden/>
    <w:rsid w:val="00FB1DBB"/>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FB1DBB"/>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FB1DB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FB1DBB"/>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FB1DBB"/>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FB1DBB"/>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B1DBB"/>
    <w:rPr>
      <w:rFonts w:asciiTheme="majorHAnsi" w:eastAsiaTheme="majorEastAsia" w:hAnsiTheme="majorHAnsi" w:cstheme="majorBidi"/>
      <w:i/>
      <w:iCs/>
      <w:color w:val="272727" w:themeColor="text1" w:themeTint="D8"/>
      <w:sz w:val="21"/>
      <w:szCs w:val="21"/>
    </w:rPr>
  </w:style>
  <w:style w:type="character" w:styleId="IntenseEmphasis">
    <w:name w:val="Intense Emphasis"/>
    <w:basedOn w:val="DefaultParagraphFont"/>
    <w:uiPriority w:val="21"/>
    <w:qFormat/>
    <w:rsid w:val="00FB1DBB"/>
    <w:rPr>
      <w:i/>
      <w:iCs/>
      <w:color w:val="4472C4" w:themeColor="accent1"/>
    </w:rPr>
  </w:style>
  <w:style w:type="paragraph" w:styleId="IntenseQuote">
    <w:name w:val="Intense Quote"/>
    <w:basedOn w:val="Normal"/>
    <w:next w:val="Normal"/>
    <w:link w:val="IntenseQuoteChar"/>
    <w:uiPriority w:val="30"/>
    <w:qFormat/>
    <w:rsid w:val="00FB1DB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FB1DBB"/>
    <w:rPr>
      <w:rFonts w:ascii="Arial" w:hAnsi="Arial" w:cs="Arial"/>
      <w:i/>
      <w:iCs/>
      <w:color w:val="4472C4" w:themeColor="accent1"/>
    </w:rPr>
  </w:style>
  <w:style w:type="character" w:styleId="IntenseReference">
    <w:name w:val="Intense Reference"/>
    <w:basedOn w:val="DefaultParagraphFont"/>
    <w:uiPriority w:val="32"/>
    <w:qFormat/>
    <w:rsid w:val="00FB1DBB"/>
    <w:rPr>
      <w:b/>
      <w:bCs/>
      <w:smallCaps/>
      <w:color w:val="4472C4" w:themeColor="accent1"/>
      <w:spacing w:val="5"/>
    </w:rPr>
  </w:style>
  <w:style w:type="paragraph" w:styleId="ListParagraph">
    <w:name w:val="List Paragraph"/>
    <w:basedOn w:val="Normal"/>
    <w:uiPriority w:val="34"/>
    <w:qFormat/>
    <w:rsid w:val="00FB1DBB"/>
    <w:pPr>
      <w:ind w:left="720"/>
      <w:contextualSpacing/>
    </w:pPr>
  </w:style>
  <w:style w:type="paragraph" w:styleId="NoSpacing">
    <w:name w:val="No Spacing"/>
    <w:uiPriority w:val="1"/>
    <w:qFormat/>
    <w:rsid w:val="00FB1DBB"/>
    <w:pPr>
      <w:overflowPunct w:val="0"/>
      <w:autoSpaceDE w:val="0"/>
      <w:autoSpaceDN w:val="0"/>
      <w:adjustRightInd w:val="0"/>
      <w:textAlignment w:val="baseline"/>
    </w:pPr>
    <w:rPr>
      <w:rFonts w:ascii="Arial" w:hAnsi="Arial" w:cs="Arial"/>
      <w:color w:val="000000"/>
    </w:rPr>
  </w:style>
  <w:style w:type="paragraph" w:styleId="Quote">
    <w:name w:val="Quote"/>
    <w:basedOn w:val="Normal"/>
    <w:next w:val="Normal"/>
    <w:link w:val="QuoteChar"/>
    <w:uiPriority w:val="29"/>
    <w:qFormat/>
    <w:rsid w:val="00FB1DBB"/>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FB1DBB"/>
    <w:rPr>
      <w:rFonts w:ascii="Arial" w:hAnsi="Arial" w:cs="Arial"/>
      <w:i/>
      <w:iCs/>
      <w:color w:val="404040" w:themeColor="text1" w:themeTint="BF"/>
    </w:rPr>
  </w:style>
  <w:style w:type="character" w:styleId="Strong">
    <w:name w:val="Strong"/>
    <w:basedOn w:val="DefaultParagraphFont"/>
    <w:uiPriority w:val="22"/>
    <w:qFormat/>
    <w:rsid w:val="00FB1DBB"/>
    <w:rPr>
      <w:b/>
      <w:bCs/>
    </w:rPr>
  </w:style>
  <w:style w:type="paragraph" w:styleId="Subtitle">
    <w:name w:val="Subtitle"/>
    <w:basedOn w:val="Normal"/>
    <w:next w:val="Normal"/>
    <w:link w:val="SubtitleChar"/>
    <w:uiPriority w:val="11"/>
    <w:qFormat/>
    <w:rsid w:val="00FB1DBB"/>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FB1DBB"/>
    <w:rPr>
      <w:rFonts w:asciiTheme="minorHAnsi" w:eastAsiaTheme="minorEastAsia" w:hAnsiTheme="minorHAnsi" w:cstheme="minorBidi"/>
      <w:color w:val="5A5A5A" w:themeColor="text1" w:themeTint="A5"/>
      <w:spacing w:val="15"/>
      <w:sz w:val="22"/>
      <w:szCs w:val="22"/>
    </w:rPr>
  </w:style>
  <w:style w:type="character" w:styleId="SubtleEmphasis">
    <w:name w:val="Subtle Emphasis"/>
    <w:basedOn w:val="DefaultParagraphFont"/>
    <w:uiPriority w:val="19"/>
    <w:qFormat/>
    <w:rsid w:val="00FB1DBB"/>
    <w:rPr>
      <w:i/>
      <w:iCs/>
      <w:color w:val="404040" w:themeColor="text1" w:themeTint="BF"/>
    </w:rPr>
  </w:style>
  <w:style w:type="character" w:styleId="SubtleReference">
    <w:name w:val="Subtle Reference"/>
    <w:basedOn w:val="DefaultParagraphFont"/>
    <w:uiPriority w:val="31"/>
    <w:qFormat/>
    <w:rsid w:val="00FB1DBB"/>
    <w:rPr>
      <w:smallCaps/>
      <w:color w:val="5A5A5A" w:themeColor="text1" w:themeTint="A5"/>
    </w:rPr>
  </w:style>
  <w:style w:type="paragraph" w:styleId="TOCHeading">
    <w:name w:val="TOC Heading"/>
    <w:basedOn w:val="Heading1"/>
    <w:next w:val="Normal"/>
    <w:uiPriority w:val="39"/>
    <w:semiHidden/>
    <w:unhideWhenUsed/>
    <w:qFormat/>
    <w:rsid w:val="00FB1DBB"/>
    <w:pPr>
      <w:keepLines/>
      <w:spacing w:after="0"/>
      <w:outlineLvl w:val="9"/>
    </w:pPr>
    <w:rPr>
      <w:rFonts w:asciiTheme="majorHAnsi" w:eastAsiaTheme="majorEastAsia" w:hAnsiTheme="majorHAnsi" w:cstheme="majorBidi"/>
      <w:b w:val="0"/>
      <w:color w:val="2F5496" w:themeColor="accent1" w:themeShade="BF"/>
      <w:kern w:val="0"/>
      <w:sz w:val="32"/>
      <w:szCs w:val="32"/>
    </w:rPr>
  </w:style>
  <w:style w:type="character" w:customStyle="1" w:styleId="Heading1Char">
    <w:name w:val="Heading 1 Char"/>
    <w:basedOn w:val="DefaultParagraphFont"/>
    <w:link w:val="Heading1"/>
    <w:uiPriority w:val="9"/>
    <w:rsid w:val="00A0521F"/>
    <w:rPr>
      <w:rFonts w:ascii="Arial" w:hAnsi="Arial" w:cs="Arial"/>
      <w:b/>
      <w:color w:val="000000"/>
      <w:kern w:val="28"/>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Metadata/LabelInfo.xml><?xml version="1.0" encoding="utf-8"?>
<clbl:labelList xmlns:clbl="http://schemas.microsoft.com/office/2020/mipLabelMetadata">
  <clbl:label id="{4c2e0b76-d452-4d35-8392-187fac002efe}" enabled="0" method="" siteId="{4c2e0b76-d452-4d35-8392-187fac002efe}" removed="1"/>
</clbl:labelList>
</file>

<file path=docProps/app.xml><?xml version="1.0" encoding="utf-8"?>
<Properties xmlns="http://schemas.openxmlformats.org/officeDocument/2006/extended-properties" xmlns:vt="http://schemas.openxmlformats.org/officeDocument/2006/docPropsVTypes">
  <Template>Normal</Template>
  <TotalTime>23</TotalTime>
  <Pages>4</Pages>
  <Words>1243</Words>
  <Characters>7474</Characters>
  <Application>Microsoft Office Word</Application>
  <DocSecurity>0</DocSecurity>
  <Lines>143</Lines>
  <Paragraphs>38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8679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Aswini Mohan</cp:lastModifiedBy>
  <cp:revision>12</cp:revision>
  <cp:lastPrinted>2020-02-11T19:20:00Z</cp:lastPrinted>
  <dcterms:created xsi:type="dcterms:W3CDTF">2026-10-06T20:48:00Z</dcterms:created>
  <dcterms:modified xsi:type="dcterms:W3CDTF">2026-10-07T22:04:00Z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