
<file path=[Content_Types].xml><?xml version="1.0" encoding="utf-8"?>
<Types xmlns="http://schemas.openxmlformats.org/package/2006/content-types">
  <Override PartName="/word/footnotes.xml" ContentType="application/vnd.openxmlformats-officedocument.wordprocessingml.footnotes+xml"/>
  <Default Extension="png" ContentType="image/png"/>
  <Override PartName="/customXml/itemProps1.xml" ContentType="application/vnd.openxmlformats-officedocument.customXmlProperties+xml"/>
  <Override PartName="/word/glossary/fontTable.xml" ContentType="application/vnd.openxmlformats-officedocument.wordprocessingml.fontTable+xml"/>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endnotes.xml" ContentType="application/vnd.openxmlformats-officedocument.wordprocessingml.endnotes+xml"/>
  <Override PartName="/docProps/app.xml" ContentType="application/vnd.openxmlformats-officedocument.extended-properties+xml"/>
  <Override PartName="/word/settings.xml" ContentType="application/vnd.openxmlformats-officedocument.wordprocessingml.settings+xml"/>
  <Override PartName="/word/glossary/document.xml" ContentType="application/vnd.openxmlformats-officedocument.wordprocessingml.document.glossary+xml"/>
  <Override PartName="/word/footer1.xml" ContentType="application/vnd.openxmlformats-officedocument.wordprocessingml.footer+xml"/>
  <Override PartName="/word/theme/theme1.xml" ContentType="application/vnd.openxmlformats-officedocument.theme+xml"/>
  <Override PartName="/word/fontTable.xml" ContentType="application/vnd.openxmlformats-officedocument.wordprocessingml.fontTable+xml"/>
  <Override PartName="/word/glossary/styles.xml" ContentType="application/vnd.openxmlformats-officedocument.wordprocessingml.styles+xml"/>
  <Override PartName="/word/glossary/settings.xml" ContentType="application/vnd.openxmlformats-officedocument.wordprocessingml.settings+xml"/>
  <Override PartName="/word/glossary/webSettings.xml" ContentType="application/vnd.openxmlformats-officedocument.wordprocessingml.webSettings+xml"/>
  <Override PartName="/word/webSettings.xml" ContentType="application/vnd.openxmlformats-officedocument.wordprocessingml.webSettings+xml"/>
  <Override PartName="/word/header1.xml" ContentType="application/vnd.openxmlformats-officedocument.wordprocessingml.header+xml"/>
  <Override PartName="/docProps/core.xml" ContentType="application/vnd.openxmlformats-package.core-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rsidR="00E24E57" w:rsidRDefault="00E24E57"/>
    <w:p w:rsidR="00FF47B7" w:rsidRDefault="00FF47B7" w:rsidP="00FF47B7">
      <w:pPr>
        <w:rPr>
          <w:sz w:val="36"/>
          <w:szCs w:val="36"/>
        </w:rPr>
      </w:pPr>
      <w:r w:rsidRPr="00FF47B7">
        <w:rPr>
          <w:noProof/>
          <w:sz w:val="36"/>
          <w:szCs w:val="36"/>
        </w:rPr>
        <w:drawing>
          <wp:inline distT="0" distB="0" distL="0" distR="0">
            <wp:extent cx="3009900" cy="2000250"/>
            <wp:effectExtent l="19050" t="0" r="0" b="0"/>
            <wp:docPr id="2" name="Picture 2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4"/>
                    <pic:cNvPicPr>
                      <a:picLocks noChangeAspect="1" noChangeArrowheads="1"/>
                    </pic:cNvPicPr>
                  </pic:nvPicPr>
                  <pic:blipFill>
                    <a:blip r:embed="rId7" cstate="print"/>
                    <a:srcRect/>
                    <a:stretch>
                      <a:fillRect/>
                    </a:stretch>
                  </pic:blipFill>
                  <pic:spPr bwMode="auto">
                    <a:xfrm>
                      <a:off x="0" y="0"/>
                      <a:ext cx="3009900" cy="2000250"/>
                    </a:xfrm>
                    <a:prstGeom prst="rect">
                      <a:avLst/>
                    </a:prstGeom>
                    <a:noFill/>
                    <a:ln w="9525">
                      <a:noFill/>
                      <a:miter lim="800000"/>
                      <a:headEnd/>
                      <a:tailEnd/>
                    </a:ln>
                  </pic:spPr>
                </pic:pic>
              </a:graphicData>
            </a:graphic>
          </wp:inline>
        </w:drawing>
      </w:r>
    </w:p>
    <w:p w:rsidR="00FF47B7" w:rsidRDefault="00FF47B7" w:rsidP="00FF47B7">
      <w:pPr>
        <w:rPr>
          <w:sz w:val="36"/>
          <w:szCs w:val="36"/>
        </w:rPr>
      </w:pPr>
    </w:p>
    <w:p w:rsidR="00FF47B7" w:rsidRPr="00FF47B7" w:rsidRDefault="00FF47B7" w:rsidP="00FF47B7">
      <w:pPr>
        <w:rPr>
          <w:sz w:val="36"/>
          <w:szCs w:val="36"/>
        </w:rPr>
      </w:pPr>
      <w:r w:rsidRPr="00FF47B7">
        <w:rPr>
          <w:sz w:val="36"/>
          <w:szCs w:val="36"/>
        </w:rPr>
        <w:t>1</w:t>
      </w:r>
      <w:r w:rsidRPr="00FF47B7">
        <w:rPr>
          <w:sz w:val="36"/>
          <w:szCs w:val="36"/>
          <w:vertAlign w:val="superscript"/>
        </w:rPr>
        <w:t>ST</w:t>
      </w:r>
      <w:r w:rsidRPr="00FF47B7">
        <w:rPr>
          <w:sz w:val="36"/>
          <w:szCs w:val="36"/>
        </w:rPr>
        <w:t xml:space="preserve"> ASSIGNMENT OF HUMAN RESOURCE MANAGEMENT 50%</w:t>
      </w:r>
    </w:p>
    <w:p w:rsidR="00FF47B7" w:rsidRDefault="00FF47B7" w:rsidP="00FF47B7">
      <w:r>
        <w:t xml:space="preserve">                                                                                      </w:t>
      </w:r>
    </w:p>
    <w:p w:rsidR="00FF47B7" w:rsidRDefault="00FF47B7" w:rsidP="00FF47B7"/>
    <w:p w:rsidR="00FF47B7" w:rsidRDefault="00FF47B7" w:rsidP="00FF47B7"/>
    <w:p w:rsidR="00FF47B7" w:rsidRDefault="00FF47B7" w:rsidP="00FF47B7"/>
    <w:p w:rsidR="00FF47B7" w:rsidRDefault="00FF47B7" w:rsidP="00FF47B7">
      <w:pPr>
        <w:rPr>
          <w:sz w:val="28"/>
          <w:szCs w:val="28"/>
        </w:rPr>
      </w:pPr>
      <w:r>
        <w:t xml:space="preserve">                                                                                              </w:t>
      </w:r>
      <w:r>
        <w:rPr>
          <w:sz w:val="28"/>
          <w:szCs w:val="28"/>
        </w:rPr>
        <w:t>STUDENT NAME: NEHA RANI</w:t>
      </w:r>
    </w:p>
    <w:p w:rsidR="00FF47B7" w:rsidRDefault="00FF47B7" w:rsidP="00FF47B7">
      <w:pPr>
        <w:rPr>
          <w:sz w:val="28"/>
          <w:szCs w:val="28"/>
        </w:rPr>
      </w:pPr>
      <w:r>
        <w:rPr>
          <w:sz w:val="28"/>
          <w:szCs w:val="28"/>
        </w:rPr>
        <w:t xml:space="preserve">                                                                          STUDENT ID: 1920677</w:t>
      </w:r>
    </w:p>
    <w:p w:rsidR="00FF47B7" w:rsidRPr="00877DBF" w:rsidRDefault="00FF47B7" w:rsidP="00FF47B7">
      <w:pPr>
        <w:rPr>
          <w:sz w:val="28"/>
          <w:szCs w:val="28"/>
        </w:rPr>
      </w:pPr>
      <w:r>
        <w:rPr>
          <w:sz w:val="28"/>
          <w:szCs w:val="28"/>
        </w:rPr>
        <w:t xml:space="preserve">                                   </w:t>
      </w:r>
      <w:r>
        <w:t xml:space="preserve">                                                 </w:t>
      </w:r>
      <w:r>
        <w:rPr>
          <w:sz w:val="28"/>
          <w:szCs w:val="28"/>
        </w:rPr>
        <w:t>SUBMITTED TO:</w:t>
      </w:r>
      <w:r w:rsidR="00AC17F6">
        <w:rPr>
          <w:sz w:val="28"/>
          <w:szCs w:val="28"/>
        </w:rPr>
        <w:t xml:space="preserve"> Dr. Gladius Kulothungan</w:t>
      </w:r>
    </w:p>
    <w:p w:rsidR="00FF47B7" w:rsidRDefault="00FF47B7" w:rsidP="00FF47B7">
      <w:pPr>
        <w:jc w:val="center"/>
        <w:rPr>
          <w:sz w:val="28"/>
          <w:szCs w:val="28"/>
        </w:rPr>
      </w:pPr>
      <w:r>
        <w:rPr>
          <w:sz w:val="28"/>
          <w:szCs w:val="28"/>
        </w:rPr>
        <w:t xml:space="preserve">                                       </w:t>
      </w:r>
      <w:r w:rsidR="00AC17F6">
        <w:rPr>
          <w:sz w:val="28"/>
          <w:szCs w:val="28"/>
        </w:rPr>
        <w:t xml:space="preserve"> </w:t>
      </w:r>
      <w:r>
        <w:rPr>
          <w:sz w:val="28"/>
          <w:szCs w:val="28"/>
        </w:rPr>
        <w:t xml:space="preserve">      COURSE CODE: LCMB7000</w:t>
      </w:r>
    </w:p>
    <w:p w:rsidR="00FF47B7" w:rsidRPr="00AC17F6" w:rsidRDefault="00AC17F6">
      <w:pPr>
        <w:rPr>
          <w:sz w:val="28"/>
          <w:szCs w:val="28"/>
        </w:rPr>
      </w:pPr>
      <w:r>
        <w:t xml:space="preserve">                                                                                             </w:t>
      </w:r>
      <w:r>
        <w:rPr>
          <w:sz w:val="28"/>
          <w:szCs w:val="28"/>
        </w:rPr>
        <w:t>DUE DATE: 30-APRIL-2021</w:t>
      </w:r>
    </w:p>
    <w:p w:rsidR="00FF47B7" w:rsidRDefault="00FF47B7"/>
    <w:p w:rsidR="00FF47B7" w:rsidRDefault="00FF47B7"/>
    <w:p w:rsidR="00FF47B7" w:rsidRDefault="00FF47B7"/>
    <w:p w:rsidR="00FF47B7" w:rsidRDefault="00FF47B7"/>
    <w:p w:rsidR="00FF47B7" w:rsidRDefault="00FF47B7"/>
    <w:tbl>
      <w:tblPr>
        <w:tblStyle w:val="TableGrid"/>
        <w:tblW w:w="9984" w:type="dxa"/>
        <w:tblLook w:val="04A0"/>
      </w:tblPr>
      <w:tblGrid>
        <w:gridCol w:w="1426"/>
        <w:gridCol w:w="7319"/>
        <w:gridCol w:w="1239"/>
      </w:tblGrid>
      <w:tr w:rsidR="00FF47B7" w:rsidTr="00870CDA">
        <w:trPr>
          <w:trHeight w:val="594"/>
        </w:trPr>
        <w:tc>
          <w:tcPr>
            <w:tcW w:w="1426" w:type="dxa"/>
          </w:tcPr>
          <w:p w:rsidR="00FF47B7" w:rsidRPr="003C691A" w:rsidRDefault="003C691A" w:rsidP="00870CDA">
            <w:pPr>
              <w:rPr>
                <w:sz w:val="28"/>
                <w:szCs w:val="28"/>
              </w:rPr>
            </w:pPr>
            <w:r>
              <w:rPr>
                <w:sz w:val="28"/>
                <w:szCs w:val="28"/>
              </w:rPr>
              <w:lastRenderedPageBreak/>
              <w:t>1</w:t>
            </w:r>
          </w:p>
        </w:tc>
        <w:tc>
          <w:tcPr>
            <w:tcW w:w="7319" w:type="dxa"/>
          </w:tcPr>
          <w:p w:rsidR="00FF47B7" w:rsidRPr="003C691A" w:rsidRDefault="003C691A" w:rsidP="00870CDA">
            <w:pPr>
              <w:rPr>
                <w:sz w:val="28"/>
                <w:szCs w:val="28"/>
              </w:rPr>
            </w:pPr>
            <w:r>
              <w:rPr>
                <w:sz w:val="28"/>
                <w:szCs w:val="28"/>
              </w:rPr>
              <w:t>Introduction, Summary</w:t>
            </w:r>
          </w:p>
        </w:tc>
        <w:tc>
          <w:tcPr>
            <w:tcW w:w="1239" w:type="dxa"/>
          </w:tcPr>
          <w:p w:rsidR="00FF47B7" w:rsidRPr="003C691A" w:rsidRDefault="003C691A" w:rsidP="00870CDA">
            <w:pPr>
              <w:rPr>
                <w:sz w:val="28"/>
                <w:szCs w:val="28"/>
              </w:rPr>
            </w:pPr>
            <w:r>
              <w:rPr>
                <w:sz w:val="28"/>
                <w:szCs w:val="28"/>
              </w:rPr>
              <w:t>3</w:t>
            </w:r>
          </w:p>
        </w:tc>
      </w:tr>
      <w:tr w:rsidR="00FF47B7" w:rsidTr="00870CDA">
        <w:trPr>
          <w:trHeight w:val="594"/>
        </w:trPr>
        <w:tc>
          <w:tcPr>
            <w:tcW w:w="1426" w:type="dxa"/>
          </w:tcPr>
          <w:p w:rsidR="00FF47B7" w:rsidRPr="003C691A" w:rsidRDefault="003C691A" w:rsidP="00870CDA">
            <w:pPr>
              <w:rPr>
                <w:sz w:val="28"/>
                <w:szCs w:val="28"/>
              </w:rPr>
            </w:pPr>
            <w:r>
              <w:rPr>
                <w:sz w:val="28"/>
                <w:szCs w:val="28"/>
              </w:rPr>
              <w:t>2</w:t>
            </w:r>
          </w:p>
        </w:tc>
        <w:tc>
          <w:tcPr>
            <w:tcW w:w="7319" w:type="dxa"/>
          </w:tcPr>
          <w:p w:rsidR="00FF47B7" w:rsidRPr="003C691A" w:rsidRDefault="003C691A" w:rsidP="00870CDA">
            <w:pPr>
              <w:rPr>
                <w:sz w:val="28"/>
                <w:szCs w:val="28"/>
              </w:rPr>
            </w:pPr>
            <w:r>
              <w:rPr>
                <w:sz w:val="28"/>
                <w:szCs w:val="28"/>
              </w:rPr>
              <w:t>Changes in the external environment of Company</w:t>
            </w:r>
          </w:p>
        </w:tc>
        <w:tc>
          <w:tcPr>
            <w:tcW w:w="1239" w:type="dxa"/>
          </w:tcPr>
          <w:p w:rsidR="00FF47B7" w:rsidRPr="003C691A" w:rsidRDefault="003C691A" w:rsidP="00870CDA">
            <w:pPr>
              <w:rPr>
                <w:sz w:val="28"/>
                <w:szCs w:val="28"/>
              </w:rPr>
            </w:pPr>
            <w:r>
              <w:rPr>
                <w:sz w:val="28"/>
                <w:szCs w:val="28"/>
              </w:rPr>
              <w:t>4</w:t>
            </w:r>
          </w:p>
        </w:tc>
      </w:tr>
      <w:tr w:rsidR="00FF47B7" w:rsidTr="00870CDA">
        <w:trPr>
          <w:trHeight w:val="594"/>
        </w:trPr>
        <w:tc>
          <w:tcPr>
            <w:tcW w:w="1426" w:type="dxa"/>
          </w:tcPr>
          <w:p w:rsidR="00FF47B7" w:rsidRPr="003C691A" w:rsidRDefault="003C691A" w:rsidP="00870CDA">
            <w:pPr>
              <w:rPr>
                <w:sz w:val="28"/>
                <w:szCs w:val="28"/>
              </w:rPr>
            </w:pPr>
            <w:r>
              <w:rPr>
                <w:sz w:val="28"/>
                <w:szCs w:val="28"/>
              </w:rPr>
              <w:t>3</w:t>
            </w:r>
          </w:p>
        </w:tc>
        <w:tc>
          <w:tcPr>
            <w:tcW w:w="7319" w:type="dxa"/>
          </w:tcPr>
          <w:p w:rsidR="00FF47B7" w:rsidRPr="003C691A" w:rsidRDefault="003C691A" w:rsidP="00870CDA">
            <w:pPr>
              <w:rPr>
                <w:sz w:val="28"/>
                <w:szCs w:val="28"/>
              </w:rPr>
            </w:pPr>
            <w:r>
              <w:rPr>
                <w:sz w:val="28"/>
                <w:szCs w:val="28"/>
              </w:rPr>
              <w:t>Response of the organization</w:t>
            </w:r>
          </w:p>
        </w:tc>
        <w:tc>
          <w:tcPr>
            <w:tcW w:w="1239" w:type="dxa"/>
          </w:tcPr>
          <w:p w:rsidR="00FF47B7" w:rsidRPr="003C691A" w:rsidRDefault="003C691A" w:rsidP="00870CDA">
            <w:pPr>
              <w:rPr>
                <w:sz w:val="28"/>
                <w:szCs w:val="28"/>
              </w:rPr>
            </w:pPr>
            <w:r>
              <w:rPr>
                <w:sz w:val="28"/>
                <w:szCs w:val="28"/>
              </w:rPr>
              <w:t>9</w:t>
            </w:r>
          </w:p>
        </w:tc>
      </w:tr>
      <w:tr w:rsidR="00FF47B7" w:rsidTr="00870CDA">
        <w:trPr>
          <w:trHeight w:val="594"/>
        </w:trPr>
        <w:tc>
          <w:tcPr>
            <w:tcW w:w="1426" w:type="dxa"/>
          </w:tcPr>
          <w:p w:rsidR="00FF47B7" w:rsidRPr="003C691A" w:rsidRDefault="003C691A" w:rsidP="00870CDA">
            <w:pPr>
              <w:rPr>
                <w:sz w:val="28"/>
                <w:szCs w:val="28"/>
              </w:rPr>
            </w:pPr>
            <w:r>
              <w:rPr>
                <w:sz w:val="28"/>
                <w:szCs w:val="28"/>
              </w:rPr>
              <w:t>4</w:t>
            </w:r>
          </w:p>
        </w:tc>
        <w:tc>
          <w:tcPr>
            <w:tcW w:w="7319" w:type="dxa"/>
          </w:tcPr>
          <w:p w:rsidR="00FF47B7" w:rsidRPr="003C691A" w:rsidRDefault="003C691A" w:rsidP="00870CDA">
            <w:pPr>
              <w:rPr>
                <w:sz w:val="28"/>
                <w:szCs w:val="28"/>
              </w:rPr>
            </w:pPr>
            <w:r>
              <w:rPr>
                <w:sz w:val="28"/>
                <w:szCs w:val="28"/>
              </w:rPr>
              <w:t>HRM role in managing changes</w:t>
            </w:r>
          </w:p>
        </w:tc>
        <w:tc>
          <w:tcPr>
            <w:tcW w:w="1239" w:type="dxa"/>
          </w:tcPr>
          <w:p w:rsidR="00FF47B7" w:rsidRPr="003C691A" w:rsidRDefault="003C691A" w:rsidP="00870CDA">
            <w:pPr>
              <w:rPr>
                <w:sz w:val="28"/>
                <w:szCs w:val="28"/>
              </w:rPr>
            </w:pPr>
            <w:r>
              <w:rPr>
                <w:sz w:val="28"/>
                <w:szCs w:val="28"/>
              </w:rPr>
              <w:t>6</w:t>
            </w:r>
          </w:p>
        </w:tc>
      </w:tr>
      <w:tr w:rsidR="00FF47B7" w:rsidTr="00870CDA">
        <w:trPr>
          <w:trHeight w:val="594"/>
        </w:trPr>
        <w:tc>
          <w:tcPr>
            <w:tcW w:w="1426" w:type="dxa"/>
          </w:tcPr>
          <w:p w:rsidR="00FF47B7" w:rsidRPr="003C691A" w:rsidRDefault="003C691A" w:rsidP="00870CDA">
            <w:pPr>
              <w:rPr>
                <w:sz w:val="28"/>
                <w:szCs w:val="28"/>
              </w:rPr>
            </w:pPr>
            <w:r>
              <w:rPr>
                <w:sz w:val="28"/>
                <w:szCs w:val="28"/>
              </w:rPr>
              <w:t>5</w:t>
            </w:r>
          </w:p>
        </w:tc>
        <w:tc>
          <w:tcPr>
            <w:tcW w:w="7319" w:type="dxa"/>
          </w:tcPr>
          <w:p w:rsidR="00FF47B7" w:rsidRPr="003C691A" w:rsidRDefault="003C691A" w:rsidP="00870CDA">
            <w:pPr>
              <w:rPr>
                <w:sz w:val="28"/>
                <w:szCs w:val="28"/>
              </w:rPr>
            </w:pPr>
            <w:r>
              <w:rPr>
                <w:sz w:val="28"/>
                <w:szCs w:val="28"/>
              </w:rPr>
              <w:t>Conclusion</w:t>
            </w:r>
          </w:p>
        </w:tc>
        <w:tc>
          <w:tcPr>
            <w:tcW w:w="1239" w:type="dxa"/>
          </w:tcPr>
          <w:p w:rsidR="00FF47B7" w:rsidRPr="003C691A" w:rsidRDefault="003C691A" w:rsidP="00870CDA">
            <w:pPr>
              <w:rPr>
                <w:sz w:val="28"/>
                <w:szCs w:val="28"/>
              </w:rPr>
            </w:pPr>
            <w:r>
              <w:rPr>
                <w:sz w:val="28"/>
                <w:szCs w:val="28"/>
              </w:rPr>
              <w:t>9</w:t>
            </w:r>
          </w:p>
        </w:tc>
      </w:tr>
      <w:tr w:rsidR="00FF47B7" w:rsidTr="00870CDA">
        <w:trPr>
          <w:trHeight w:val="594"/>
        </w:trPr>
        <w:tc>
          <w:tcPr>
            <w:tcW w:w="1426" w:type="dxa"/>
          </w:tcPr>
          <w:p w:rsidR="00FF47B7" w:rsidRPr="003C691A" w:rsidRDefault="003C691A" w:rsidP="00870CDA">
            <w:pPr>
              <w:rPr>
                <w:sz w:val="28"/>
                <w:szCs w:val="28"/>
              </w:rPr>
            </w:pPr>
            <w:r>
              <w:rPr>
                <w:sz w:val="28"/>
                <w:szCs w:val="28"/>
              </w:rPr>
              <w:t>6</w:t>
            </w:r>
          </w:p>
        </w:tc>
        <w:tc>
          <w:tcPr>
            <w:tcW w:w="7319" w:type="dxa"/>
          </w:tcPr>
          <w:p w:rsidR="00FF47B7" w:rsidRPr="003C691A" w:rsidRDefault="003C691A" w:rsidP="00870CDA">
            <w:pPr>
              <w:rPr>
                <w:sz w:val="28"/>
                <w:szCs w:val="28"/>
              </w:rPr>
            </w:pPr>
            <w:r>
              <w:rPr>
                <w:sz w:val="28"/>
                <w:szCs w:val="28"/>
              </w:rPr>
              <w:t>References</w:t>
            </w:r>
          </w:p>
        </w:tc>
        <w:tc>
          <w:tcPr>
            <w:tcW w:w="1239" w:type="dxa"/>
          </w:tcPr>
          <w:p w:rsidR="00FF47B7" w:rsidRPr="003C691A" w:rsidRDefault="00FF47B7" w:rsidP="00870CDA">
            <w:pPr>
              <w:rPr>
                <w:sz w:val="28"/>
                <w:szCs w:val="28"/>
              </w:rPr>
            </w:pPr>
          </w:p>
        </w:tc>
      </w:tr>
      <w:tr w:rsidR="00FF47B7" w:rsidTr="00870CDA">
        <w:trPr>
          <w:trHeight w:val="594"/>
        </w:trPr>
        <w:tc>
          <w:tcPr>
            <w:tcW w:w="1426" w:type="dxa"/>
          </w:tcPr>
          <w:p w:rsidR="00FF47B7" w:rsidRDefault="00FF47B7" w:rsidP="00870CDA"/>
        </w:tc>
        <w:tc>
          <w:tcPr>
            <w:tcW w:w="7319" w:type="dxa"/>
          </w:tcPr>
          <w:p w:rsidR="00FF47B7" w:rsidRDefault="00FF47B7" w:rsidP="00870CDA"/>
        </w:tc>
        <w:tc>
          <w:tcPr>
            <w:tcW w:w="1239" w:type="dxa"/>
          </w:tcPr>
          <w:p w:rsidR="00FF47B7" w:rsidRDefault="00FF47B7" w:rsidP="00870CDA"/>
        </w:tc>
      </w:tr>
      <w:tr w:rsidR="00FF47B7" w:rsidTr="00870CDA">
        <w:trPr>
          <w:trHeight w:val="594"/>
        </w:trPr>
        <w:tc>
          <w:tcPr>
            <w:tcW w:w="1426" w:type="dxa"/>
          </w:tcPr>
          <w:p w:rsidR="00FF47B7" w:rsidRDefault="00FF47B7" w:rsidP="00870CDA"/>
        </w:tc>
        <w:tc>
          <w:tcPr>
            <w:tcW w:w="7319" w:type="dxa"/>
          </w:tcPr>
          <w:p w:rsidR="00FF47B7" w:rsidRDefault="00FF47B7" w:rsidP="00870CDA"/>
        </w:tc>
        <w:tc>
          <w:tcPr>
            <w:tcW w:w="1239" w:type="dxa"/>
          </w:tcPr>
          <w:p w:rsidR="00FF47B7" w:rsidRDefault="00FF47B7" w:rsidP="00870CDA"/>
        </w:tc>
      </w:tr>
      <w:tr w:rsidR="00FF47B7" w:rsidTr="00870CDA">
        <w:trPr>
          <w:trHeight w:val="594"/>
        </w:trPr>
        <w:tc>
          <w:tcPr>
            <w:tcW w:w="1426" w:type="dxa"/>
          </w:tcPr>
          <w:p w:rsidR="00FF47B7" w:rsidRDefault="00FF47B7" w:rsidP="00870CDA"/>
        </w:tc>
        <w:tc>
          <w:tcPr>
            <w:tcW w:w="7319" w:type="dxa"/>
          </w:tcPr>
          <w:p w:rsidR="00FF47B7" w:rsidRDefault="00FF47B7" w:rsidP="00870CDA"/>
        </w:tc>
        <w:tc>
          <w:tcPr>
            <w:tcW w:w="1239" w:type="dxa"/>
          </w:tcPr>
          <w:p w:rsidR="00FF47B7" w:rsidRDefault="00FF47B7" w:rsidP="00870CDA"/>
        </w:tc>
      </w:tr>
      <w:tr w:rsidR="00FF47B7" w:rsidTr="00870CDA">
        <w:trPr>
          <w:trHeight w:val="594"/>
        </w:trPr>
        <w:tc>
          <w:tcPr>
            <w:tcW w:w="1426" w:type="dxa"/>
          </w:tcPr>
          <w:p w:rsidR="00FF47B7" w:rsidRDefault="00FF47B7" w:rsidP="00870CDA"/>
        </w:tc>
        <w:tc>
          <w:tcPr>
            <w:tcW w:w="7319" w:type="dxa"/>
          </w:tcPr>
          <w:p w:rsidR="00FF47B7" w:rsidRDefault="00FF47B7" w:rsidP="00870CDA"/>
        </w:tc>
        <w:tc>
          <w:tcPr>
            <w:tcW w:w="1239" w:type="dxa"/>
          </w:tcPr>
          <w:p w:rsidR="00FF47B7" w:rsidRDefault="00FF47B7" w:rsidP="00870CDA"/>
        </w:tc>
      </w:tr>
      <w:tr w:rsidR="00FF47B7" w:rsidTr="00870CDA">
        <w:trPr>
          <w:trHeight w:val="594"/>
        </w:trPr>
        <w:tc>
          <w:tcPr>
            <w:tcW w:w="1426" w:type="dxa"/>
          </w:tcPr>
          <w:p w:rsidR="00FF47B7" w:rsidRDefault="00FF47B7" w:rsidP="00870CDA"/>
        </w:tc>
        <w:tc>
          <w:tcPr>
            <w:tcW w:w="7319" w:type="dxa"/>
          </w:tcPr>
          <w:p w:rsidR="00FF47B7" w:rsidRDefault="00FF47B7" w:rsidP="00870CDA"/>
        </w:tc>
        <w:tc>
          <w:tcPr>
            <w:tcW w:w="1239" w:type="dxa"/>
          </w:tcPr>
          <w:p w:rsidR="00FF47B7" w:rsidRDefault="00FF47B7" w:rsidP="00870CDA"/>
        </w:tc>
      </w:tr>
      <w:tr w:rsidR="00FF47B7" w:rsidTr="00870CDA">
        <w:trPr>
          <w:trHeight w:val="622"/>
        </w:trPr>
        <w:tc>
          <w:tcPr>
            <w:tcW w:w="1426" w:type="dxa"/>
          </w:tcPr>
          <w:p w:rsidR="00FF47B7" w:rsidRDefault="00FF47B7" w:rsidP="00870CDA"/>
        </w:tc>
        <w:tc>
          <w:tcPr>
            <w:tcW w:w="7319" w:type="dxa"/>
          </w:tcPr>
          <w:p w:rsidR="00FF47B7" w:rsidRDefault="00FF47B7" w:rsidP="00870CDA"/>
        </w:tc>
        <w:tc>
          <w:tcPr>
            <w:tcW w:w="1239" w:type="dxa"/>
          </w:tcPr>
          <w:p w:rsidR="00FF47B7" w:rsidRDefault="00FF47B7" w:rsidP="00870CDA"/>
        </w:tc>
      </w:tr>
    </w:tbl>
    <w:p w:rsidR="00FF47B7" w:rsidRDefault="00FF47B7"/>
    <w:p w:rsidR="00FF47B7" w:rsidRPr="00FF47B7" w:rsidRDefault="00FF47B7" w:rsidP="00FF47B7"/>
    <w:p w:rsidR="00FF47B7" w:rsidRPr="00FF47B7" w:rsidRDefault="00FF47B7" w:rsidP="00FF47B7"/>
    <w:p w:rsidR="00FF47B7" w:rsidRPr="00FF47B7" w:rsidRDefault="00FF47B7" w:rsidP="00FF47B7"/>
    <w:p w:rsidR="00FF47B7" w:rsidRPr="00FF47B7" w:rsidRDefault="00FF47B7" w:rsidP="00FF47B7"/>
    <w:p w:rsidR="00FF47B7" w:rsidRPr="00FF47B7" w:rsidRDefault="00FF47B7" w:rsidP="00FF47B7"/>
    <w:p w:rsidR="00FF47B7" w:rsidRDefault="00FF47B7" w:rsidP="00FF47B7"/>
    <w:p w:rsidR="00FF47B7" w:rsidRDefault="00FF47B7" w:rsidP="00FF47B7">
      <w:pPr>
        <w:tabs>
          <w:tab w:val="left" w:pos="3068"/>
        </w:tabs>
      </w:pPr>
      <w:r>
        <w:tab/>
      </w:r>
    </w:p>
    <w:p w:rsidR="00FF47B7" w:rsidRDefault="00FF47B7" w:rsidP="00FF47B7">
      <w:pPr>
        <w:tabs>
          <w:tab w:val="left" w:pos="3068"/>
        </w:tabs>
      </w:pPr>
    </w:p>
    <w:p w:rsidR="00FF47B7" w:rsidRDefault="00FF47B7" w:rsidP="00FF47B7">
      <w:pPr>
        <w:tabs>
          <w:tab w:val="left" w:pos="3068"/>
        </w:tabs>
      </w:pPr>
    </w:p>
    <w:p w:rsidR="00FF47B7" w:rsidRDefault="00FF47B7" w:rsidP="00FF47B7">
      <w:pPr>
        <w:tabs>
          <w:tab w:val="left" w:pos="3068"/>
        </w:tabs>
      </w:pPr>
    </w:p>
    <w:p w:rsidR="00FF47B7" w:rsidRDefault="00FF47B7" w:rsidP="00FF47B7">
      <w:pPr>
        <w:tabs>
          <w:tab w:val="left" w:pos="3068"/>
        </w:tabs>
        <w:rPr>
          <w:sz w:val="40"/>
          <w:szCs w:val="40"/>
        </w:rPr>
      </w:pPr>
      <w:r>
        <w:rPr>
          <w:sz w:val="40"/>
          <w:szCs w:val="40"/>
        </w:rPr>
        <w:lastRenderedPageBreak/>
        <w:t>Summary</w:t>
      </w:r>
    </w:p>
    <w:p w:rsidR="00570077" w:rsidRDefault="004756D2" w:rsidP="000E77D6">
      <w:pPr>
        <w:tabs>
          <w:tab w:val="left" w:pos="3068"/>
        </w:tabs>
        <w:rPr>
          <w:rFonts w:cstheme="minorHAnsi"/>
          <w:sz w:val="28"/>
          <w:szCs w:val="28"/>
        </w:rPr>
      </w:pPr>
      <w:r w:rsidRPr="004756D2">
        <w:rPr>
          <w:rFonts w:cstheme="minorHAnsi"/>
          <w:sz w:val="28"/>
          <w:szCs w:val="28"/>
        </w:rPr>
        <w:t>This report aims to analyze the actual as well as expected developments in the outer environment as particular resourcing techniques are applied by the people of an organization. This report will demonstrate the appropriate studies and surveys to explain the external factors.</w:t>
      </w:r>
      <w:r>
        <w:rPr>
          <w:rFonts w:cstheme="minorHAnsi"/>
          <w:sz w:val="28"/>
          <w:szCs w:val="28"/>
        </w:rPr>
        <w:t xml:space="preserve"> </w:t>
      </w:r>
      <w:r w:rsidRPr="004756D2">
        <w:rPr>
          <w:rFonts w:cstheme="minorHAnsi"/>
          <w:sz w:val="28"/>
          <w:szCs w:val="28"/>
        </w:rPr>
        <w:t>In the organization of future human resource management must remain important and valuable to bring changes.</w:t>
      </w:r>
    </w:p>
    <w:p w:rsidR="004756D2" w:rsidRDefault="00755DE1" w:rsidP="000E77D6">
      <w:pPr>
        <w:tabs>
          <w:tab w:val="left" w:pos="3068"/>
        </w:tabs>
        <w:rPr>
          <w:rFonts w:cstheme="minorHAnsi"/>
          <w:sz w:val="40"/>
          <w:szCs w:val="40"/>
        </w:rPr>
      </w:pPr>
      <w:r>
        <w:rPr>
          <w:rFonts w:cstheme="minorHAnsi"/>
          <w:sz w:val="40"/>
          <w:szCs w:val="40"/>
        </w:rPr>
        <w:t>Introduction</w:t>
      </w:r>
    </w:p>
    <w:p w:rsidR="003922B8" w:rsidRPr="003922B8" w:rsidRDefault="00771D3E" w:rsidP="003922B8">
      <w:pPr>
        <w:tabs>
          <w:tab w:val="left" w:pos="3068"/>
        </w:tabs>
        <w:rPr>
          <w:rFonts w:cstheme="minorHAnsi"/>
          <w:sz w:val="28"/>
          <w:szCs w:val="28"/>
        </w:rPr>
      </w:pPr>
      <w:r w:rsidRPr="00771D3E">
        <w:rPr>
          <w:rFonts w:cstheme="minorHAnsi"/>
          <w:sz w:val="28"/>
          <w:szCs w:val="28"/>
        </w:rPr>
        <w:t>Disrupting variations in the exterior atmosphere is experienced by organizations all over the world. It was seen in the year 2014 that businesses emerge from bankruptcy and position themselves for growth. The workforce of the twenty-first era is global, highly connected, technologically savvy, and particular. Corporations should create methods to find applicants, develop capabilities, and share knowledge because significant talents are limited.</w:t>
      </w:r>
      <w:r>
        <w:rPr>
          <w:rFonts w:cstheme="minorHAnsi"/>
          <w:sz w:val="28"/>
          <w:szCs w:val="28"/>
        </w:rPr>
        <w:t xml:space="preserve"> </w:t>
      </w:r>
      <w:r w:rsidR="003922B8" w:rsidRPr="003922B8">
        <w:rPr>
          <w:rFonts w:cstheme="minorHAnsi"/>
          <w:sz w:val="28"/>
          <w:szCs w:val="28"/>
        </w:rPr>
        <w:t>Developing worker productivity is one of the top 3 challenges confronting business leaders in the 18 months as per the Global Human Capital Survey (2014).</w:t>
      </w:r>
    </w:p>
    <w:p w:rsidR="00D05B76" w:rsidRDefault="00D05B76" w:rsidP="003922B8">
      <w:pPr>
        <w:tabs>
          <w:tab w:val="left" w:pos="3068"/>
        </w:tabs>
        <w:rPr>
          <w:rFonts w:cstheme="minorHAnsi"/>
          <w:sz w:val="28"/>
          <w:szCs w:val="28"/>
        </w:rPr>
      </w:pPr>
      <w:r w:rsidRPr="00D05B76">
        <w:rPr>
          <w:rFonts w:cstheme="minorHAnsi"/>
          <w:sz w:val="28"/>
          <w:szCs w:val="28"/>
        </w:rPr>
        <w:t>Human capital considerations were ranked first in the 2014 survey of global CEO problems. Approximately one-third of the topics are human resource-related, according to statistics (e.g., set outlining, skill evaluation, manager remuneration, governance, plan accomplishment, and values). Understanding a company's working capital and workforce strengths is one way to measure its competitiveness. Companies that can attract, maintain and grow deep skills and knowledge are more likely to outperform their competitors.</w:t>
      </w:r>
    </w:p>
    <w:p w:rsidR="00084C48" w:rsidRDefault="0065476C" w:rsidP="003922B8">
      <w:pPr>
        <w:tabs>
          <w:tab w:val="left" w:pos="3068"/>
        </w:tabs>
        <w:rPr>
          <w:rFonts w:cstheme="minorHAnsi"/>
          <w:sz w:val="28"/>
          <w:szCs w:val="28"/>
        </w:rPr>
      </w:pPr>
      <w:r w:rsidRPr="0065476C">
        <w:rPr>
          <w:rFonts w:cstheme="minorHAnsi"/>
          <w:sz w:val="28"/>
          <w:szCs w:val="28"/>
        </w:rPr>
        <w:t>Abilities develop and become repetitive rapidly as the world in which organizations work turns out to be more nuanced, capricious, unpredictable, equivocal, and dynamic-CUVAD. As per the Worldwide Human Resources Study (2014), 75% of respondents characterized labor force abilities as urgent or essential, but just 15% accept their associations are "prepared" to address the difficulty.</w:t>
      </w:r>
      <w:r w:rsidR="00021A66" w:rsidRPr="00021A66">
        <w:t xml:space="preserve"> </w:t>
      </w:r>
      <w:r w:rsidR="00021A66" w:rsidRPr="00021A66">
        <w:rPr>
          <w:rFonts w:cstheme="minorHAnsi"/>
          <w:sz w:val="28"/>
          <w:szCs w:val="28"/>
        </w:rPr>
        <w:t xml:space="preserve">This ability gap results from numerous associations accept they can fill their capacity hole by the conventional methodology, for instance, "employing </w:t>
      </w:r>
      <w:r w:rsidR="00021A66" w:rsidRPr="00021A66">
        <w:rPr>
          <w:rFonts w:cstheme="minorHAnsi"/>
          <w:sz w:val="28"/>
          <w:szCs w:val="28"/>
        </w:rPr>
        <w:lastRenderedPageBreak/>
        <w:t>the correct individual" in</w:t>
      </w:r>
      <w:r w:rsidR="00D850AE">
        <w:rPr>
          <w:rFonts w:cstheme="minorHAnsi"/>
          <w:sz w:val="28"/>
          <w:szCs w:val="28"/>
        </w:rPr>
        <w:t xml:space="preserve"> their present business sectors</w:t>
      </w:r>
      <w:r w:rsidR="00021A66" w:rsidRPr="00021A66">
        <w:rPr>
          <w:rFonts w:cstheme="minorHAnsi"/>
          <w:sz w:val="28"/>
          <w:szCs w:val="28"/>
        </w:rPr>
        <w:t xml:space="preserve"> and it requires numerous years to grow profound abilities inside the labor force, and numerous associations have not fabricated advancement programs that consistently make capacities. Strong abilities are worked through persistent schooling, experience, openness, and the correct climate.</w:t>
      </w:r>
    </w:p>
    <w:p w:rsidR="00021A66" w:rsidRDefault="00BE08C4" w:rsidP="003922B8">
      <w:pPr>
        <w:tabs>
          <w:tab w:val="left" w:pos="3068"/>
        </w:tabs>
        <w:rPr>
          <w:rFonts w:cstheme="minorHAnsi"/>
          <w:sz w:val="28"/>
          <w:szCs w:val="28"/>
        </w:rPr>
      </w:pPr>
      <w:r w:rsidRPr="00BE08C4">
        <w:rPr>
          <w:rFonts w:cstheme="minorHAnsi"/>
          <w:sz w:val="28"/>
          <w:szCs w:val="28"/>
        </w:rPr>
        <w:t>The latest pattern is to supplant the yearly preparing and development readiness cycle with an "inventory network" way to deal with labor force improvement. This is a drawn-out instrument instead of a one-time yearly event. Associations that adopt a store network strategy take a gander at their abilities at various levels and foresee where they will be later on. On the off chance that these lacks are recognized, organizations will focus on figuring out which abilities they will require and where they will be required.</w:t>
      </w:r>
    </w:p>
    <w:p w:rsidR="00D05B76" w:rsidRDefault="00D05B76" w:rsidP="000E77D6">
      <w:pPr>
        <w:tabs>
          <w:tab w:val="left" w:pos="3068"/>
        </w:tabs>
        <w:rPr>
          <w:rFonts w:cstheme="minorHAnsi"/>
          <w:sz w:val="28"/>
          <w:szCs w:val="28"/>
        </w:rPr>
      </w:pPr>
      <w:r w:rsidRPr="00D05B76">
        <w:rPr>
          <w:rFonts w:cstheme="minorHAnsi"/>
          <w:sz w:val="28"/>
          <w:szCs w:val="28"/>
        </w:rPr>
        <w:t>According to various reports, organizations' external climate is dynamic, unpredictable, unstable, and ambiguous. With evolving beliefs, societies continue to change. In companies, specific skills, jobs, and the human resources stock are all affected by science, technology, economics, social, and cultural factors. As a result, modern organizational tactics must be flexible. For multiple organizations, the effects of these patterns would be separate.</w:t>
      </w:r>
    </w:p>
    <w:p w:rsidR="00084C48" w:rsidRDefault="00084C48" w:rsidP="000E77D6">
      <w:pPr>
        <w:tabs>
          <w:tab w:val="left" w:pos="3068"/>
        </w:tabs>
        <w:rPr>
          <w:rFonts w:cstheme="minorHAnsi"/>
          <w:sz w:val="28"/>
          <w:szCs w:val="28"/>
        </w:rPr>
      </w:pPr>
    </w:p>
    <w:p w:rsidR="00E65A83" w:rsidRDefault="007C427C" w:rsidP="000E77D6">
      <w:pPr>
        <w:tabs>
          <w:tab w:val="left" w:pos="3068"/>
        </w:tabs>
        <w:rPr>
          <w:rFonts w:cstheme="minorHAnsi"/>
          <w:sz w:val="40"/>
          <w:szCs w:val="40"/>
        </w:rPr>
      </w:pPr>
      <w:r>
        <w:rPr>
          <w:rFonts w:cstheme="minorHAnsi"/>
          <w:sz w:val="40"/>
          <w:szCs w:val="40"/>
        </w:rPr>
        <w:t>Changes in the</w:t>
      </w:r>
      <w:r w:rsidR="00E65A83" w:rsidRPr="00E65A83">
        <w:rPr>
          <w:rFonts w:cstheme="minorHAnsi"/>
          <w:sz w:val="40"/>
          <w:szCs w:val="40"/>
        </w:rPr>
        <w:t xml:space="preserve"> External Environment of the company</w:t>
      </w:r>
    </w:p>
    <w:p w:rsidR="007D6BCD" w:rsidRDefault="007D6BCD" w:rsidP="000E77D6">
      <w:pPr>
        <w:tabs>
          <w:tab w:val="left" w:pos="3068"/>
        </w:tabs>
        <w:rPr>
          <w:rFonts w:cstheme="minorHAnsi"/>
          <w:sz w:val="28"/>
          <w:szCs w:val="28"/>
        </w:rPr>
      </w:pPr>
      <w:r w:rsidRPr="007D6BCD">
        <w:rPr>
          <w:rFonts w:cstheme="minorHAnsi"/>
          <w:sz w:val="28"/>
          <w:szCs w:val="28"/>
        </w:rPr>
        <w:t>The business scene is described by the "standard" of rapid change with propelling innovation, expertise deficiencies, monetary transition, and segment shifts, to give some examples. These progressions have empowered data to stream throughout the planet and to change when, where, and how we live and work. We possess towns where occasions become news and significant all over. Worldwide changes influence our lives.</w:t>
      </w:r>
    </w:p>
    <w:p w:rsidR="00BE08C4" w:rsidRDefault="00BE08C4" w:rsidP="000E77D6">
      <w:pPr>
        <w:tabs>
          <w:tab w:val="left" w:pos="3068"/>
        </w:tabs>
        <w:rPr>
          <w:rFonts w:cstheme="minorHAnsi"/>
          <w:sz w:val="28"/>
          <w:szCs w:val="28"/>
        </w:rPr>
      </w:pPr>
      <w:r w:rsidRPr="00BE08C4">
        <w:rPr>
          <w:rFonts w:cstheme="minorHAnsi"/>
          <w:sz w:val="28"/>
          <w:szCs w:val="28"/>
        </w:rPr>
        <w:t xml:space="preserve">Given this unpredictable climate, change the board chiefs, just as an association's change limit, should be constantly advancing. The capacity to manage capriciously changing requests is frequently referred to as the main factor separating high-and </w:t>
      </w:r>
      <w:r w:rsidRPr="00BE08C4">
        <w:rPr>
          <w:rFonts w:cstheme="minorHAnsi"/>
          <w:sz w:val="28"/>
          <w:szCs w:val="28"/>
        </w:rPr>
        <w:lastRenderedPageBreak/>
        <w:t>low-performing associations.</w:t>
      </w:r>
      <w:r w:rsidR="00D850AE" w:rsidRPr="00D850AE">
        <w:t xml:space="preserve"> </w:t>
      </w:r>
      <w:r w:rsidR="00D850AE" w:rsidRPr="00D850AE">
        <w:rPr>
          <w:rFonts w:cstheme="minorHAnsi"/>
          <w:sz w:val="28"/>
          <w:szCs w:val="28"/>
        </w:rPr>
        <w:t>Accordingly, the human asset field is at an intersection. Computerized and web advancements have generally changed how we work as of late, requiring monstrous changes in all parts of HR (Ulrich, Schiemann, and Sartain, 2015). As indicated by HR Affirmation Foundation's most recent worldwide examination, business, and human asset (HR) pioneers face three significant difficulties: creating and fortifying an advanced and developing initiative pipeline; reconnecting laborers and making a solid worldwide culture in a universe of endless work; and re</w:t>
      </w:r>
      <w:r w:rsidR="00992B65">
        <w:rPr>
          <w:rFonts w:cstheme="minorHAnsi"/>
          <w:sz w:val="28"/>
          <w:szCs w:val="28"/>
        </w:rPr>
        <w:t>-</w:t>
      </w:r>
      <w:r w:rsidR="00D850AE" w:rsidRPr="00D850AE">
        <w:rPr>
          <w:rFonts w:cstheme="minorHAnsi"/>
          <w:sz w:val="28"/>
          <w:szCs w:val="28"/>
        </w:rPr>
        <w:t>skilling the HR work itself, which in some cases feels behind. These changes, hence, put the human asset chiefs/heads in a basic position. This is against the foundation of the under-recorded difficulties emerging from such changes:</w:t>
      </w:r>
    </w:p>
    <w:p w:rsidR="009850F5" w:rsidRDefault="001167AB" w:rsidP="000E77D6">
      <w:pPr>
        <w:tabs>
          <w:tab w:val="left" w:pos="3068"/>
        </w:tabs>
        <w:rPr>
          <w:rFonts w:cstheme="minorHAnsi"/>
          <w:sz w:val="28"/>
          <w:szCs w:val="28"/>
        </w:rPr>
      </w:pPr>
      <w:r w:rsidRPr="001167AB">
        <w:rPr>
          <w:rFonts w:cstheme="minorHAnsi"/>
          <w:b/>
          <w:sz w:val="28"/>
          <w:szCs w:val="28"/>
        </w:rPr>
        <w:t>Personal Information is transparent</w:t>
      </w:r>
      <w:r w:rsidRPr="001167AB">
        <w:rPr>
          <w:rFonts w:cstheme="minorHAnsi"/>
          <w:sz w:val="28"/>
          <w:szCs w:val="28"/>
        </w:rPr>
        <w:t xml:space="preserve">: </w:t>
      </w:r>
      <w:r w:rsidR="009850F5" w:rsidRPr="009850F5">
        <w:rPr>
          <w:rFonts w:cstheme="minorHAnsi"/>
          <w:sz w:val="28"/>
          <w:szCs w:val="28"/>
        </w:rPr>
        <w:t>Practically all human resource data is shared on the web. LinkedIn is an open selecting instrument that allows scouts to discover and contact more than 500 million experts at practically no expense. The Sony Pictures Amusement hack in the US of America in 2014 uncovers a test to human asset supervisors and the requirement for proactiveness.</w:t>
      </w:r>
    </w:p>
    <w:p w:rsidR="001167AB" w:rsidRDefault="001167AB" w:rsidP="000E77D6">
      <w:pPr>
        <w:tabs>
          <w:tab w:val="left" w:pos="3068"/>
        </w:tabs>
        <w:rPr>
          <w:rFonts w:cstheme="minorHAnsi"/>
          <w:sz w:val="28"/>
          <w:szCs w:val="28"/>
        </w:rPr>
      </w:pPr>
      <w:r w:rsidRPr="00EA09EC">
        <w:rPr>
          <w:rFonts w:cstheme="minorHAnsi"/>
          <w:b/>
          <w:sz w:val="28"/>
          <w:szCs w:val="28"/>
        </w:rPr>
        <w:t>Career aspirations have accelerated</w:t>
      </w:r>
      <w:r w:rsidRPr="001167AB">
        <w:rPr>
          <w:rFonts w:cstheme="minorHAnsi"/>
          <w:sz w:val="28"/>
          <w:szCs w:val="28"/>
        </w:rPr>
        <w:t>: The hope that companies will provide workers with a lifelong career has all but vanished. Because of globalization and the uncertainties that characterize both national economies and the workplace, job stability is no longer assured.</w:t>
      </w:r>
    </w:p>
    <w:p w:rsidR="00C45A5F" w:rsidRDefault="00C45A5F" w:rsidP="000E77D6">
      <w:pPr>
        <w:tabs>
          <w:tab w:val="left" w:pos="3068"/>
        </w:tabs>
        <w:rPr>
          <w:rFonts w:cstheme="minorHAnsi"/>
          <w:sz w:val="28"/>
          <w:szCs w:val="28"/>
        </w:rPr>
      </w:pPr>
      <w:r w:rsidRPr="00C45A5F">
        <w:rPr>
          <w:rFonts w:cstheme="minorHAnsi"/>
          <w:b/>
          <w:sz w:val="28"/>
          <w:szCs w:val="28"/>
        </w:rPr>
        <w:t>Stressed workers</w:t>
      </w:r>
      <w:r>
        <w:rPr>
          <w:rFonts w:cstheme="minorHAnsi"/>
          <w:sz w:val="28"/>
          <w:szCs w:val="28"/>
        </w:rPr>
        <w:t xml:space="preserve">: </w:t>
      </w:r>
      <w:r w:rsidR="00923AA7" w:rsidRPr="00923AA7">
        <w:rPr>
          <w:rFonts w:cstheme="minorHAnsi"/>
          <w:sz w:val="28"/>
          <w:szCs w:val="28"/>
        </w:rPr>
        <w:t>The distinctions have vanished between work and personal life. Over 40% of all employees feel it is difficult to advance in their careers without losing considerable time, according to a National Journal poll from 2014. Businesses are striving to tackle this problem in this vein.</w:t>
      </w:r>
    </w:p>
    <w:p w:rsidR="00C45A5F" w:rsidRDefault="008C4743" w:rsidP="000E77D6">
      <w:pPr>
        <w:tabs>
          <w:tab w:val="left" w:pos="3068"/>
        </w:tabs>
        <w:rPr>
          <w:rFonts w:cstheme="minorHAnsi"/>
          <w:sz w:val="28"/>
          <w:szCs w:val="28"/>
        </w:rPr>
      </w:pPr>
      <w:r w:rsidRPr="008C4743">
        <w:rPr>
          <w:rFonts w:cstheme="minorHAnsi"/>
          <w:b/>
          <w:sz w:val="28"/>
          <w:szCs w:val="28"/>
        </w:rPr>
        <w:t>Models of current leadership are emerging:</w:t>
      </w:r>
      <w:r>
        <w:rPr>
          <w:rFonts w:cstheme="minorHAnsi"/>
          <w:sz w:val="28"/>
          <w:szCs w:val="28"/>
        </w:rPr>
        <w:t xml:space="preserve"> </w:t>
      </w:r>
      <w:r w:rsidR="00CD78FF" w:rsidRPr="00CD78FF">
        <w:rPr>
          <w:rFonts w:cstheme="minorHAnsi"/>
          <w:sz w:val="28"/>
          <w:szCs w:val="28"/>
        </w:rPr>
        <w:t xml:space="preserve">In the growth of the leadership pipeline, HR plays a critical role. However, leadership styles and requirements vary from those pioneered by General Electric (GE) and International Business Machines (IBM). Agile, globally informed, creative, and highly collaborative leaders are needed. Although most businesses still have a top-down hierarchical </w:t>
      </w:r>
      <w:r w:rsidR="00CD78FF" w:rsidRPr="00CD78FF">
        <w:rPr>
          <w:rFonts w:cstheme="minorHAnsi"/>
          <w:sz w:val="28"/>
          <w:szCs w:val="28"/>
        </w:rPr>
        <w:lastRenderedPageBreak/>
        <w:t>structure, more research shows that empowerment is what fuels success in today's economy.</w:t>
      </w:r>
    </w:p>
    <w:p w:rsidR="00D173A2" w:rsidRDefault="00B04131" w:rsidP="00A56E4C">
      <w:pPr>
        <w:tabs>
          <w:tab w:val="left" w:pos="3068"/>
        </w:tabs>
        <w:rPr>
          <w:rFonts w:cstheme="minorHAnsi"/>
          <w:sz w:val="28"/>
          <w:szCs w:val="28"/>
        </w:rPr>
      </w:pPr>
      <w:r w:rsidRPr="00B43EDD">
        <w:rPr>
          <w:rFonts w:cstheme="minorHAnsi"/>
          <w:b/>
          <w:sz w:val="28"/>
          <w:szCs w:val="28"/>
        </w:rPr>
        <w:t>Data and science have tremendous power:</w:t>
      </w:r>
      <w:r w:rsidR="00B43EDD">
        <w:rPr>
          <w:rFonts w:cstheme="minorHAnsi"/>
          <w:sz w:val="28"/>
          <w:szCs w:val="28"/>
        </w:rPr>
        <w:t xml:space="preserve"> </w:t>
      </w:r>
      <w:r w:rsidR="00D173A2" w:rsidRPr="00D173A2">
        <w:rPr>
          <w:rFonts w:cstheme="minorHAnsi"/>
          <w:sz w:val="28"/>
          <w:szCs w:val="28"/>
        </w:rPr>
        <w:t xml:space="preserve">HR must accept data and science can change the way we do business. Many of management's decisions would be substituted by data-driven choices. Many of these decisions can now be guided by data and research, rendering HR's "datafication" a new and essential objective (Bersin, 2013). </w:t>
      </w:r>
    </w:p>
    <w:p w:rsidR="00951E94" w:rsidRDefault="00951E94" w:rsidP="00A56E4C">
      <w:pPr>
        <w:tabs>
          <w:tab w:val="left" w:pos="3068"/>
        </w:tabs>
        <w:rPr>
          <w:rFonts w:cstheme="minorHAnsi"/>
          <w:sz w:val="40"/>
          <w:szCs w:val="40"/>
        </w:rPr>
      </w:pPr>
      <w:r>
        <w:rPr>
          <w:rFonts w:cstheme="minorHAnsi"/>
          <w:sz w:val="40"/>
          <w:szCs w:val="40"/>
        </w:rPr>
        <w:t>Response of the organization</w:t>
      </w:r>
    </w:p>
    <w:p w:rsidR="005C669E" w:rsidRDefault="005C669E" w:rsidP="00A56E4C">
      <w:pPr>
        <w:tabs>
          <w:tab w:val="left" w:pos="3068"/>
        </w:tabs>
        <w:rPr>
          <w:rFonts w:cstheme="minorHAnsi"/>
          <w:sz w:val="28"/>
          <w:szCs w:val="28"/>
        </w:rPr>
      </w:pPr>
      <w:r w:rsidRPr="00084C48">
        <w:rPr>
          <w:rFonts w:cstheme="minorHAnsi"/>
          <w:sz w:val="28"/>
          <w:szCs w:val="28"/>
        </w:rPr>
        <w:t>Associations should be versatile, adaptable, and able to use both hands to meet and react to CUVAD challenges in the outer world. Associations should be sensitive to the outer world to feel and get changes, and their various impacts to be versatile. As the initial phase in adjusting to the new world, acknowledgment of the need and type of progress ought to be joined by the capacity to inside oblige and absorb the change.</w:t>
      </w:r>
    </w:p>
    <w:p w:rsidR="00084C48" w:rsidRPr="00084C48" w:rsidRDefault="00084C48" w:rsidP="00A56E4C">
      <w:pPr>
        <w:tabs>
          <w:tab w:val="left" w:pos="3068"/>
        </w:tabs>
        <w:rPr>
          <w:rFonts w:cstheme="minorHAnsi"/>
          <w:sz w:val="28"/>
          <w:szCs w:val="28"/>
        </w:rPr>
      </w:pPr>
      <w:r w:rsidRPr="00084C48">
        <w:rPr>
          <w:rFonts w:cstheme="minorHAnsi"/>
          <w:sz w:val="28"/>
          <w:szCs w:val="28"/>
        </w:rPr>
        <w:t>An organization should be adaptable to completely adjust to its environmental factors. Nimbleness alludes to an organization's eagerness to change its essential procedure and operational skills on the fly. Nimbleness likewise involves being versatile and quick in carrying out various methods of working to work in new conditions with new principles of the game. Albeit the capacity to adjust and deal with change is basic, an efficient working environment regularly requires some dependability.</w:t>
      </w:r>
    </w:p>
    <w:p w:rsidR="005B195A" w:rsidRDefault="005B195A" w:rsidP="00A56E4C">
      <w:pPr>
        <w:tabs>
          <w:tab w:val="left" w:pos="3068"/>
        </w:tabs>
        <w:rPr>
          <w:rFonts w:cstheme="minorHAnsi"/>
          <w:sz w:val="28"/>
          <w:szCs w:val="28"/>
        </w:rPr>
      </w:pPr>
      <w:r w:rsidRPr="005B195A">
        <w:rPr>
          <w:rFonts w:cstheme="minorHAnsi"/>
          <w:sz w:val="28"/>
          <w:szCs w:val="28"/>
        </w:rPr>
        <w:t>Along with the need for agility, businesses must maintain core activities, which is likely to necessitate some consistency in both people activities and procedures. Doing both at the same time is the solution.</w:t>
      </w:r>
    </w:p>
    <w:p w:rsidR="00AC0349" w:rsidRDefault="003C691A" w:rsidP="00A56E4C">
      <w:pPr>
        <w:tabs>
          <w:tab w:val="left" w:pos="3068"/>
        </w:tabs>
        <w:rPr>
          <w:rFonts w:cstheme="minorHAnsi"/>
          <w:sz w:val="40"/>
          <w:szCs w:val="40"/>
        </w:rPr>
      </w:pPr>
      <w:r>
        <w:rPr>
          <w:rFonts w:cstheme="minorHAnsi"/>
          <w:sz w:val="40"/>
          <w:szCs w:val="40"/>
        </w:rPr>
        <w:t>HRM</w:t>
      </w:r>
      <w:r w:rsidR="00AC0349">
        <w:rPr>
          <w:rFonts w:cstheme="minorHAnsi"/>
          <w:sz w:val="40"/>
          <w:szCs w:val="40"/>
        </w:rPr>
        <w:t xml:space="preserve"> role</w:t>
      </w:r>
      <w:r w:rsidR="00AC0349" w:rsidRPr="00AC0349">
        <w:rPr>
          <w:rFonts w:cstheme="minorHAnsi"/>
          <w:sz w:val="40"/>
          <w:szCs w:val="40"/>
        </w:rPr>
        <w:t xml:space="preserve"> in Managing Changes </w:t>
      </w:r>
    </w:p>
    <w:p w:rsidR="00771D3E" w:rsidRDefault="005B195A" w:rsidP="00A56E4C">
      <w:pPr>
        <w:tabs>
          <w:tab w:val="left" w:pos="3068"/>
        </w:tabs>
        <w:rPr>
          <w:rFonts w:cstheme="minorHAnsi"/>
          <w:sz w:val="28"/>
          <w:szCs w:val="28"/>
        </w:rPr>
      </w:pPr>
      <w:r w:rsidRPr="005B195A">
        <w:rPr>
          <w:rFonts w:cstheme="minorHAnsi"/>
          <w:sz w:val="28"/>
          <w:szCs w:val="28"/>
        </w:rPr>
        <w:t xml:space="preserve">HRM roles are critical in assisting companies in being adaptable and agile. According to the CIPD's 2014 Learning and Development survey, closer </w:t>
      </w:r>
      <w:r w:rsidRPr="005B195A">
        <w:rPr>
          <w:rFonts w:cstheme="minorHAnsi"/>
          <w:sz w:val="28"/>
          <w:szCs w:val="28"/>
        </w:rPr>
        <w:lastRenderedPageBreak/>
        <w:t>integration of L&amp;D operation and business strategy is anticipated (CIPD, 2014). Learning and growth must be astute to influence an organization's goals.</w:t>
      </w:r>
    </w:p>
    <w:p w:rsidR="00D4436A" w:rsidRDefault="00CA528B" w:rsidP="00A56E4C">
      <w:pPr>
        <w:tabs>
          <w:tab w:val="left" w:pos="3068"/>
        </w:tabs>
        <w:rPr>
          <w:rFonts w:cstheme="minorHAnsi"/>
          <w:sz w:val="28"/>
          <w:szCs w:val="28"/>
        </w:rPr>
      </w:pPr>
      <w:r w:rsidRPr="00CA528B">
        <w:rPr>
          <w:rFonts w:cstheme="minorHAnsi"/>
          <w:sz w:val="28"/>
          <w:szCs w:val="28"/>
        </w:rPr>
        <w:t>Human asset administrators should likewise be versatile in responding rapidly to hierarchical changes and playing out a few situations, just as omnipresent by working in different pieces of associations (for instance divisions, offices, vital and operational levels). Hence, sharp, influenc</w:t>
      </w:r>
      <w:r w:rsidR="00D4436A">
        <w:rPr>
          <w:rFonts w:cstheme="minorHAnsi"/>
          <w:sz w:val="28"/>
          <w:szCs w:val="28"/>
        </w:rPr>
        <w:t xml:space="preserve">ing and adjusted, flexible, and </w:t>
      </w:r>
      <w:r w:rsidRPr="00CA528B">
        <w:rPr>
          <w:rFonts w:cstheme="minorHAnsi"/>
          <w:sz w:val="28"/>
          <w:szCs w:val="28"/>
        </w:rPr>
        <w:t>inescapable human asset chiefs help authoritative reaction to the outside climate.</w:t>
      </w:r>
    </w:p>
    <w:p w:rsidR="00D4436A" w:rsidRDefault="00D4436A" w:rsidP="00A56E4C">
      <w:pPr>
        <w:tabs>
          <w:tab w:val="left" w:pos="3068"/>
        </w:tabs>
        <w:rPr>
          <w:rFonts w:cstheme="minorHAnsi"/>
          <w:sz w:val="28"/>
          <w:szCs w:val="28"/>
        </w:rPr>
      </w:pPr>
      <w:r w:rsidRPr="00D4436A">
        <w:rPr>
          <w:rFonts w:cstheme="minorHAnsi"/>
          <w:sz w:val="28"/>
          <w:szCs w:val="28"/>
        </w:rPr>
        <w:t>Human asset directors who are astute will want to offer more to the association's essential technique just as start to lead the pack in helping organizations in being more versatile and deft. Human asset administrators that are proactive would have the option to foresee the organization's likely necessities, permitting the association to rush to profit by promising circumstances or respond to dangers.</w:t>
      </w:r>
    </w:p>
    <w:p w:rsidR="00D4436A" w:rsidRDefault="00C8328C" w:rsidP="00A56E4C">
      <w:pPr>
        <w:tabs>
          <w:tab w:val="left" w:pos="3068"/>
        </w:tabs>
        <w:rPr>
          <w:rFonts w:cstheme="minorHAnsi"/>
          <w:sz w:val="28"/>
          <w:szCs w:val="28"/>
        </w:rPr>
      </w:pPr>
      <w:r>
        <w:rPr>
          <w:rFonts w:cstheme="minorHAnsi"/>
          <w:sz w:val="28"/>
          <w:szCs w:val="28"/>
        </w:rPr>
        <w:t>Human Asset E</w:t>
      </w:r>
      <w:r w:rsidR="00D4436A" w:rsidRPr="00D4436A">
        <w:rPr>
          <w:rFonts w:cstheme="minorHAnsi"/>
          <w:sz w:val="28"/>
          <w:szCs w:val="28"/>
        </w:rPr>
        <w:t>xecutives and Human Resources Advancement experts and specialists are urged to be corporate, authoritative, and setting mindful (CIPD, 2012a; Society for Human Asset The board 2012; The RBL People group, 2012).</w:t>
      </w:r>
      <w:r w:rsidR="000C4C4D">
        <w:rPr>
          <w:rFonts w:cstheme="minorHAnsi"/>
          <w:sz w:val="28"/>
          <w:szCs w:val="28"/>
        </w:rPr>
        <w:t xml:space="preserve"> </w:t>
      </w:r>
      <w:r w:rsidR="000C4C4D" w:rsidRPr="000C4C4D">
        <w:rPr>
          <w:rFonts w:cstheme="minorHAnsi"/>
          <w:sz w:val="28"/>
          <w:szCs w:val="28"/>
        </w:rPr>
        <w:t>Business sharpness is fundamental since it prompts HRM/HCD specialists about how to more readily put them inside the venture and what systems to continue in advancing human asset development through learning and advancement. HRM/HCD experts should be hierarchically shrewd notwithstanding industry sagacious.</w:t>
      </w:r>
    </w:p>
    <w:p w:rsidR="0061002A" w:rsidRDefault="0061002A" w:rsidP="00A56E4C">
      <w:pPr>
        <w:tabs>
          <w:tab w:val="left" w:pos="3068"/>
        </w:tabs>
        <w:rPr>
          <w:rFonts w:cstheme="minorHAnsi"/>
          <w:sz w:val="28"/>
          <w:szCs w:val="28"/>
        </w:rPr>
      </w:pPr>
      <w:r w:rsidRPr="0061002A">
        <w:rPr>
          <w:rFonts w:cstheme="minorHAnsi"/>
          <w:sz w:val="28"/>
          <w:szCs w:val="28"/>
        </w:rPr>
        <w:t>Setting mindfulness is likewise fundamental for HRM/HCD experts, as it helps in the headway of comprehension of understudies' general perspectives, needs, and needs. Utilizing development, for example, being setting-wise, will help HRM/HCD trained professionals and specialists in better fathoming and perhaps securing understanding into how to best use advancement in learning, expertise, and definitive advancement, just as chief data.</w:t>
      </w:r>
      <w:r>
        <w:rPr>
          <w:rFonts w:cstheme="minorHAnsi"/>
          <w:sz w:val="28"/>
          <w:szCs w:val="28"/>
        </w:rPr>
        <w:t xml:space="preserve"> </w:t>
      </w:r>
      <w:r w:rsidRPr="0061002A">
        <w:rPr>
          <w:rFonts w:cstheme="minorHAnsi"/>
          <w:sz w:val="28"/>
          <w:szCs w:val="28"/>
        </w:rPr>
        <w:t xml:space="preserve">Setting mindfulness is likewise fundamental for HRM/HCD experts, as it helps in the headway of comprehension of understudies' general perspectives, needs, and needs. Utilizing development, for example, being setting-wise, will help HRM/HCD trained professionals and specialists in better fathoming and perhaps securing understanding into how to </w:t>
      </w:r>
      <w:r w:rsidRPr="0061002A">
        <w:rPr>
          <w:rFonts w:cstheme="minorHAnsi"/>
          <w:sz w:val="28"/>
          <w:szCs w:val="28"/>
        </w:rPr>
        <w:lastRenderedPageBreak/>
        <w:t>best use advancement in learning, expertise, and definitive advancement, just as chief data.</w:t>
      </w:r>
    </w:p>
    <w:p w:rsidR="00827023" w:rsidRDefault="00827023" w:rsidP="00A56E4C">
      <w:pPr>
        <w:tabs>
          <w:tab w:val="left" w:pos="3068"/>
        </w:tabs>
        <w:rPr>
          <w:rFonts w:cstheme="minorHAnsi"/>
          <w:sz w:val="28"/>
          <w:szCs w:val="28"/>
        </w:rPr>
      </w:pPr>
      <w:r w:rsidRPr="00827023">
        <w:rPr>
          <w:rFonts w:cstheme="minorHAnsi"/>
          <w:sz w:val="28"/>
          <w:szCs w:val="28"/>
        </w:rPr>
        <w:t>A savvy human asset feature would likewise situate itself as an essential chief with critical clout and an amazing change specialist. HRM should play two places that are unmistakable however integral. HRM should have the option to impact the course of an association.</w:t>
      </w:r>
      <w:r w:rsidR="00177524">
        <w:rPr>
          <w:rFonts w:cstheme="minorHAnsi"/>
          <w:sz w:val="28"/>
          <w:szCs w:val="28"/>
        </w:rPr>
        <w:t xml:space="preserve"> </w:t>
      </w:r>
      <w:r w:rsidR="00177524" w:rsidRPr="00177524">
        <w:rPr>
          <w:rFonts w:cstheme="minorHAnsi"/>
          <w:sz w:val="28"/>
          <w:szCs w:val="28"/>
        </w:rPr>
        <w:t>Social aptitude professionals and specialists in HRM and HCD are basic abilities for the future (Community for The upcoming Industry, 2014). Accordingly, human asset directors, professionals, and specialists in human resources development should be master influencers in framing alliances and getting support from an assortment of partners (CIPD, 2014a).</w:t>
      </w:r>
    </w:p>
    <w:p w:rsidR="00CB0E75" w:rsidRDefault="00CB0E75" w:rsidP="00A56E4C">
      <w:pPr>
        <w:tabs>
          <w:tab w:val="left" w:pos="3068"/>
        </w:tabs>
        <w:rPr>
          <w:rFonts w:cstheme="minorHAnsi"/>
          <w:sz w:val="28"/>
          <w:szCs w:val="28"/>
        </w:rPr>
      </w:pPr>
      <w:r w:rsidRPr="00CB0E75">
        <w:rPr>
          <w:rFonts w:cstheme="minorHAnsi"/>
          <w:sz w:val="28"/>
          <w:szCs w:val="28"/>
        </w:rPr>
        <w:t>As far as arrangement, this involves HRM/HCD being firmly connected to the association's corporate and key objectives, just as the improvement of the "right" culture for an association to be versatile to use both hands. It involves information sharing, a creative mind, and taking propensities and mentalities (development).</w:t>
      </w:r>
    </w:p>
    <w:p w:rsidR="00CB0E75" w:rsidRDefault="00CB0E75" w:rsidP="00A56E4C">
      <w:pPr>
        <w:tabs>
          <w:tab w:val="left" w:pos="3068"/>
        </w:tabs>
        <w:rPr>
          <w:rFonts w:cstheme="minorHAnsi"/>
          <w:sz w:val="28"/>
          <w:szCs w:val="28"/>
        </w:rPr>
      </w:pPr>
      <w:r w:rsidRPr="00CB0E75">
        <w:rPr>
          <w:rFonts w:cstheme="minorHAnsi"/>
          <w:sz w:val="28"/>
          <w:szCs w:val="28"/>
        </w:rPr>
        <w:t>Human asset executives should be versatile to different assignments in an assortment of authoritative conditions. Being a change specialist and supporter of "creating and adjusting corporate culture to the authoritative methodology" is one of the positions. HRM should be sufficiently versatile to serve in an assortment of key positions, including limit spanners, capacity manufacturers, and integrators. HR directors are additionally needed to go at the divisional or departmental level, investigating to improve organization proficiency.</w:t>
      </w:r>
    </w:p>
    <w:p w:rsidR="000C4C4D" w:rsidRDefault="001C5E23" w:rsidP="00A56E4C">
      <w:pPr>
        <w:tabs>
          <w:tab w:val="left" w:pos="3068"/>
        </w:tabs>
        <w:rPr>
          <w:rFonts w:cstheme="minorHAnsi"/>
          <w:sz w:val="28"/>
          <w:szCs w:val="28"/>
        </w:rPr>
      </w:pPr>
      <w:r w:rsidRPr="001C5E23">
        <w:rPr>
          <w:rFonts w:cstheme="minorHAnsi"/>
          <w:sz w:val="28"/>
          <w:szCs w:val="28"/>
        </w:rPr>
        <w:t xml:space="preserve">Connecting and organizing a substance with outside gatherings and components is essential for the limit spreading overwork. The limit-building position involves expanding an association's capacity to learn just as giving the existence to do as such. The HR administrator's third essential position is that of an integrator. Human asset chiefs should respond comprehensively to help organizations through troublesome occasions. As the qualifications among learning and development, ability advancement, hierarchical turn of events, change the executives, and information the board becomes less unmistakable, this is </w:t>
      </w:r>
      <w:r w:rsidRPr="001C5E23">
        <w:rPr>
          <w:rFonts w:cstheme="minorHAnsi"/>
          <w:sz w:val="28"/>
          <w:szCs w:val="28"/>
        </w:rPr>
        <w:lastRenderedPageBreak/>
        <w:t>justified. Human asset the board can be an organization orchestrator just as a learning course.</w:t>
      </w:r>
    </w:p>
    <w:p w:rsidR="00394F50" w:rsidRDefault="00394F50" w:rsidP="00A56E4C">
      <w:pPr>
        <w:tabs>
          <w:tab w:val="left" w:pos="3068"/>
        </w:tabs>
        <w:rPr>
          <w:rFonts w:cstheme="minorHAnsi"/>
          <w:sz w:val="28"/>
          <w:szCs w:val="28"/>
        </w:rPr>
      </w:pPr>
      <w:r w:rsidRPr="00394F50">
        <w:rPr>
          <w:rFonts w:cstheme="minorHAnsi"/>
          <w:sz w:val="28"/>
          <w:szCs w:val="28"/>
        </w:rPr>
        <w:t>The human asset the executive's capacity's adaptability permits it to work effectively in an assortment of settings inside an association. Human resources development, it is recommended, will possibly serve the past jobs tended to on the off chance that it is far and wide in the organization (Nut case, 2014). The idea of pervasiveness in human assets the board/human resources development eludes to having a presence in different spaces of an association's scene. This permits HRM to acquire a superior comprehension of the specific changes and difficulties that various divisions/offices face. Human asset chiefs may utilize this data to more readily characterize more extensive execution challenges that a specialty unit may be confronting.</w:t>
      </w:r>
    </w:p>
    <w:p w:rsidR="00394F50" w:rsidRDefault="005C669E" w:rsidP="00A56E4C">
      <w:pPr>
        <w:tabs>
          <w:tab w:val="left" w:pos="3068"/>
        </w:tabs>
        <w:rPr>
          <w:rFonts w:cstheme="minorHAnsi"/>
          <w:sz w:val="28"/>
          <w:szCs w:val="28"/>
        </w:rPr>
      </w:pPr>
      <w:r w:rsidRPr="005C669E">
        <w:rPr>
          <w:rFonts w:cstheme="minorHAnsi"/>
          <w:sz w:val="28"/>
          <w:szCs w:val="28"/>
        </w:rPr>
        <w:t>The HRM capacity's omnipresence is required by the cover, with other authoritative help capacities like hierarchical development, and building up a profound comprehension of each authoritative region, and getting an elevated perspective. Representative commitment, maintenance, authority development, inspiration, and social capital would all be able to be affected by HRM intercessions and practices (Sheehan, Garavan, and Carbery 2014).</w:t>
      </w:r>
      <w:r>
        <w:rPr>
          <w:rFonts w:cstheme="minorHAnsi"/>
          <w:sz w:val="28"/>
          <w:szCs w:val="28"/>
        </w:rPr>
        <w:t xml:space="preserve"> </w:t>
      </w:r>
      <w:r w:rsidRPr="005C669E">
        <w:rPr>
          <w:rFonts w:cstheme="minorHAnsi"/>
          <w:sz w:val="28"/>
          <w:szCs w:val="28"/>
        </w:rPr>
        <w:t>HRM capacities ought to continuously set up a presence outside of their particular associations as a feature of their limit traversing job. Shift champion, change specialist, change supervisor, limit spanner, ability developer, integrator, and aligner are the jobs of human asset administrators in dealing with changes in the hierarchical outside climate.</w:t>
      </w:r>
    </w:p>
    <w:p w:rsidR="00992B65" w:rsidRDefault="00C7583E" w:rsidP="00A56E4C">
      <w:pPr>
        <w:tabs>
          <w:tab w:val="left" w:pos="3068"/>
        </w:tabs>
        <w:rPr>
          <w:rFonts w:cstheme="minorHAnsi"/>
          <w:sz w:val="40"/>
          <w:szCs w:val="40"/>
        </w:rPr>
      </w:pPr>
      <w:r>
        <w:rPr>
          <w:rFonts w:cstheme="minorHAnsi"/>
          <w:sz w:val="40"/>
          <w:szCs w:val="40"/>
        </w:rPr>
        <w:t>Conclusion</w:t>
      </w:r>
    </w:p>
    <w:p w:rsidR="00C7583E" w:rsidRDefault="00C7583E" w:rsidP="00A56E4C">
      <w:pPr>
        <w:tabs>
          <w:tab w:val="left" w:pos="3068"/>
        </w:tabs>
        <w:rPr>
          <w:rFonts w:cstheme="minorHAnsi"/>
          <w:sz w:val="28"/>
          <w:szCs w:val="28"/>
        </w:rPr>
      </w:pPr>
      <w:r w:rsidRPr="00C7583E">
        <w:rPr>
          <w:rFonts w:cstheme="minorHAnsi"/>
          <w:sz w:val="28"/>
          <w:szCs w:val="28"/>
        </w:rPr>
        <w:t xml:space="preserve">The significance of organizations dealing with the change from the rest of the world couldn't possibly be more significant. Attributable to their failure to adjust to and handle change, numerous associations have slowly eliminated, while others have fizzled. Inside this unique situation, Peter Senge (2003), as cited by Gbe (2011), showed that "associations should move for change" as long as the change benefits the present and what's to come. This is the reason, as indicated </w:t>
      </w:r>
      <w:r w:rsidRPr="00C7583E">
        <w:rPr>
          <w:rFonts w:cstheme="minorHAnsi"/>
          <w:sz w:val="28"/>
          <w:szCs w:val="28"/>
        </w:rPr>
        <w:lastRenderedPageBreak/>
        <w:t>by Senge, the best way to change an undertaking is to utilize frameworks thought, esteem acknowledgment, creative mind, advancement, remunerating skill, authorizing mistakes/resistance, and dominance learning, in addition to other things.</w:t>
      </w:r>
    </w:p>
    <w:p w:rsidR="0050509E" w:rsidRPr="00C7583E" w:rsidRDefault="0050509E" w:rsidP="00A56E4C">
      <w:pPr>
        <w:tabs>
          <w:tab w:val="left" w:pos="3068"/>
        </w:tabs>
        <w:rPr>
          <w:rFonts w:cstheme="minorHAnsi"/>
          <w:sz w:val="28"/>
          <w:szCs w:val="28"/>
        </w:rPr>
      </w:pPr>
      <w:r w:rsidRPr="0050509E">
        <w:rPr>
          <w:rFonts w:cstheme="minorHAnsi"/>
          <w:sz w:val="28"/>
          <w:szCs w:val="28"/>
        </w:rPr>
        <w:t>It is concluded that change is unavoidable in associations and the field of human assets. As stewards and specialists in individuals and change rehearse in the venture, human asset chiefs and chairmen (the two experts and experts)  should re-examine themselves to stay significant, regarded, and vital later on association.</w:t>
      </w:r>
    </w:p>
    <w:p w:rsidR="00C71E26" w:rsidRDefault="00C71E26" w:rsidP="00A56E4C">
      <w:pPr>
        <w:tabs>
          <w:tab w:val="left" w:pos="3068"/>
        </w:tabs>
        <w:rPr>
          <w:rFonts w:cstheme="minorHAnsi"/>
          <w:sz w:val="28"/>
          <w:szCs w:val="28"/>
        </w:rPr>
      </w:pPr>
    </w:p>
    <w:p w:rsidR="00C71E26" w:rsidRDefault="00C71E26" w:rsidP="00A56E4C">
      <w:pPr>
        <w:tabs>
          <w:tab w:val="left" w:pos="3068"/>
        </w:tabs>
        <w:rPr>
          <w:rFonts w:cstheme="minorHAnsi"/>
          <w:sz w:val="28"/>
          <w:szCs w:val="28"/>
        </w:rPr>
      </w:pPr>
    </w:p>
    <w:p w:rsidR="00C71E26" w:rsidRDefault="00C71E26" w:rsidP="00A56E4C">
      <w:pPr>
        <w:tabs>
          <w:tab w:val="left" w:pos="3068"/>
        </w:tabs>
        <w:rPr>
          <w:rFonts w:cstheme="minorHAnsi"/>
          <w:sz w:val="28"/>
          <w:szCs w:val="28"/>
        </w:rPr>
      </w:pPr>
    </w:p>
    <w:p w:rsidR="00C71E26" w:rsidRDefault="00C71E26" w:rsidP="00A56E4C">
      <w:pPr>
        <w:tabs>
          <w:tab w:val="left" w:pos="3068"/>
        </w:tabs>
        <w:rPr>
          <w:rFonts w:cstheme="minorHAnsi"/>
          <w:sz w:val="28"/>
          <w:szCs w:val="28"/>
        </w:rPr>
      </w:pPr>
    </w:p>
    <w:p w:rsidR="001C5E23" w:rsidRDefault="001C5E23" w:rsidP="00A56E4C">
      <w:pPr>
        <w:tabs>
          <w:tab w:val="left" w:pos="3068"/>
        </w:tabs>
        <w:rPr>
          <w:rFonts w:cstheme="minorHAnsi"/>
          <w:sz w:val="28"/>
          <w:szCs w:val="28"/>
        </w:rPr>
      </w:pPr>
    </w:p>
    <w:p w:rsidR="00D4436A" w:rsidRPr="000B2D49" w:rsidRDefault="00D4436A" w:rsidP="00A56E4C">
      <w:pPr>
        <w:tabs>
          <w:tab w:val="left" w:pos="3068"/>
        </w:tabs>
        <w:rPr>
          <w:rFonts w:cstheme="minorHAnsi"/>
          <w:sz w:val="28"/>
          <w:szCs w:val="28"/>
        </w:rPr>
      </w:pPr>
    </w:p>
    <w:p w:rsidR="004756D2" w:rsidRPr="002E3974" w:rsidRDefault="004756D2" w:rsidP="000E77D6">
      <w:pPr>
        <w:tabs>
          <w:tab w:val="left" w:pos="3068"/>
        </w:tabs>
        <w:rPr>
          <w:rFonts w:cstheme="minorHAnsi"/>
          <w:sz w:val="28"/>
          <w:szCs w:val="28"/>
        </w:rPr>
      </w:pPr>
    </w:p>
    <w:p w:rsidR="004756D2" w:rsidRDefault="004756D2" w:rsidP="000E77D6">
      <w:pPr>
        <w:tabs>
          <w:tab w:val="left" w:pos="3068"/>
        </w:tabs>
        <w:rPr>
          <w:rFonts w:cstheme="minorHAnsi"/>
          <w:sz w:val="28"/>
          <w:szCs w:val="28"/>
        </w:rPr>
      </w:pPr>
    </w:p>
    <w:p w:rsidR="003C691A" w:rsidRDefault="003C691A" w:rsidP="000E77D6">
      <w:pPr>
        <w:tabs>
          <w:tab w:val="left" w:pos="3068"/>
        </w:tabs>
        <w:rPr>
          <w:rFonts w:cstheme="minorHAnsi"/>
          <w:sz w:val="28"/>
          <w:szCs w:val="28"/>
        </w:rPr>
      </w:pPr>
    </w:p>
    <w:p w:rsidR="003C691A" w:rsidRDefault="003C691A" w:rsidP="000E77D6">
      <w:pPr>
        <w:tabs>
          <w:tab w:val="left" w:pos="3068"/>
        </w:tabs>
        <w:rPr>
          <w:rFonts w:cstheme="minorHAnsi"/>
          <w:sz w:val="28"/>
          <w:szCs w:val="28"/>
        </w:rPr>
      </w:pPr>
    </w:p>
    <w:p w:rsidR="003C691A" w:rsidRDefault="003C691A" w:rsidP="000E77D6">
      <w:pPr>
        <w:tabs>
          <w:tab w:val="left" w:pos="3068"/>
        </w:tabs>
        <w:rPr>
          <w:rFonts w:cstheme="minorHAnsi"/>
          <w:sz w:val="28"/>
          <w:szCs w:val="28"/>
        </w:rPr>
      </w:pPr>
    </w:p>
    <w:p w:rsidR="003C691A" w:rsidRDefault="003C691A" w:rsidP="000E77D6">
      <w:pPr>
        <w:tabs>
          <w:tab w:val="left" w:pos="3068"/>
        </w:tabs>
        <w:rPr>
          <w:rFonts w:cstheme="minorHAnsi"/>
          <w:sz w:val="28"/>
          <w:szCs w:val="28"/>
        </w:rPr>
      </w:pPr>
    </w:p>
    <w:p w:rsidR="003C691A" w:rsidRDefault="003C691A" w:rsidP="000E77D6">
      <w:pPr>
        <w:tabs>
          <w:tab w:val="left" w:pos="3068"/>
        </w:tabs>
        <w:rPr>
          <w:rFonts w:cstheme="minorHAnsi"/>
          <w:sz w:val="28"/>
          <w:szCs w:val="28"/>
        </w:rPr>
      </w:pPr>
    </w:p>
    <w:p w:rsidR="003C691A" w:rsidRDefault="003C691A" w:rsidP="000E77D6">
      <w:pPr>
        <w:tabs>
          <w:tab w:val="left" w:pos="3068"/>
        </w:tabs>
        <w:rPr>
          <w:rFonts w:cstheme="minorHAnsi"/>
          <w:sz w:val="28"/>
          <w:szCs w:val="28"/>
        </w:rPr>
      </w:pPr>
    </w:p>
    <w:p w:rsidR="003C691A" w:rsidRDefault="003C691A" w:rsidP="000E77D6">
      <w:pPr>
        <w:tabs>
          <w:tab w:val="left" w:pos="3068"/>
        </w:tabs>
        <w:rPr>
          <w:rFonts w:cstheme="minorHAnsi"/>
          <w:sz w:val="28"/>
          <w:szCs w:val="28"/>
        </w:rPr>
      </w:pPr>
    </w:p>
    <w:p w:rsidR="003C691A" w:rsidRDefault="003C691A" w:rsidP="000E77D6">
      <w:pPr>
        <w:tabs>
          <w:tab w:val="left" w:pos="3068"/>
        </w:tabs>
        <w:rPr>
          <w:rFonts w:cstheme="minorHAnsi"/>
          <w:sz w:val="28"/>
          <w:szCs w:val="28"/>
        </w:rPr>
      </w:pPr>
    </w:p>
    <w:p w:rsidR="003C691A" w:rsidRDefault="003C691A" w:rsidP="000E77D6">
      <w:pPr>
        <w:tabs>
          <w:tab w:val="left" w:pos="3068"/>
        </w:tabs>
        <w:rPr>
          <w:rFonts w:cstheme="minorHAnsi"/>
          <w:sz w:val="40"/>
          <w:szCs w:val="40"/>
        </w:rPr>
      </w:pPr>
      <w:r>
        <w:rPr>
          <w:rFonts w:cstheme="minorHAnsi"/>
          <w:sz w:val="40"/>
          <w:szCs w:val="40"/>
        </w:rPr>
        <w:lastRenderedPageBreak/>
        <w:t>References</w:t>
      </w:r>
    </w:p>
    <w:p w:rsidR="0056599A" w:rsidRDefault="003C691A" w:rsidP="003C691A">
      <w:pPr>
        <w:tabs>
          <w:tab w:val="left" w:pos="3068"/>
        </w:tabs>
        <w:rPr>
          <w:rFonts w:cstheme="minorHAnsi"/>
          <w:sz w:val="28"/>
          <w:szCs w:val="28"/>
        </w:rPr>
      </w:pPr>
      <w:r w:rsidRPr="003C691A">
        <w:rPr>
          <w:rFonts w:cstheme="minorHAnsi"/>
          <w:sz w:val="28"/>
          <w:szCs w:val="28"/>
        </w:rPr>
        <w:t>Bennett, N. &amp; Lemoine, J. (2014). What VUCA really means for you</w:t>
      </w:r>
      <w:r w:rsidRPr="0056599A">
        <w:rPr>
          <w:rFonts w:cstheme="minorHAnsi"/>
          <w:i/>
          <w:sz w:val="28"/>
          <w:szCs w:val="28"/>
        </w:rPr>
        <w:t xml:space="preserve">. Harvard Business Review, </w:t>
      </w:r>
      <w:r w:rsidRPr="003C691A">
        <w:rPr>
          <w:rFonts w:cstheme="minorHAnsi"/>
          <w:sz w:val="28"/>
          <w:szCs w:val="28"/>
        </w:rPr>
        <w:t>92(1/2), 27–42.</w:t>
      </w:r>
    </w:p>
    <w:p w:rsidR="0056599A" w:rsidRDefault="0056599A" w:rsidP="0056599A">
      <w:pPr>
        <w:tabs>
          <w:tab w:val="left" w:pos="3068"/>
        </w:tabs>
        <w:rPr>
          <w:rFonts w:cstheme="minorHAnsi"/>
          <w:sz w:val="28"/>
          <w:szCs w:val="28"/>
        </w:rPr>
      </w:pPr>
      <w:r w:rsidRPr="0056599A">
        <w:rPr>
          <w:rFonts w:cstheme="minorHAnsi"/>
          <w:sz w:val="28"/>
          <w:szCs w:val="28"/>
        </w:rPr>
        <w:t>Bersin, J. (2013). The datafication of human resources.</w:t>
      </w:r>
      <w:r w:rsidRPr="0056599A">
        <w:rPr>
          <w:rFonts w:cstheme="minorHAnsi"/>
          <w:i/>
          <w:sz w:val="28"/>
          <w:szCs w:val="28"/>
        </w:rPr>
        <w:t>Forbes</w:t>
      </w:r>
      <w:r w:rsidRPr="0056599A">
        <w:rPr>
          <w:rFonts w:cstheme="minorHAnsi"/>
          <w:sz w:val="28"/>
          <w:szCs w:val="28"/>
        </w:rPr>
        <w:t xml:space="preserve">, July 19. Retrieved from </w:t>
      </w:r>
      <w:hyperlink r:id="rId8" w:history="1">
        <w:r w:rsidRPr="00D81629">
          <w:rPr>
            <w:rStyle w:val="Hyperlink"/>
            <w:rFonts w:cstheme="minorHAnsi"/>
            <w:sz w:val="28"/>
            <w:szCs w:val="28"/>
          </w:rPr>
          <w:t>http://www.forbes.com/sites/joshbersin/2013/07/19/the-datafication-of-human-resources/</w:t>
        </w:r>
      </w:hyperlink>
    </w:p>
    <w:p w:rsidR="0056599A" w:rsidRDefault="0056599A" w:rsidP="0056599A">
      <w:pPr>
        <w:tabs>
          <w:tab w:val="left" w:pos="3068"/>
        </w:tabs>
        <w:rPr>
          <w:rFonts w:cstheme="minorHAnsi"/>
          <w:sz w:val="28"/>
          <w:szCs w:val="28"/>
        </w:rPr>
      </w:pPr>
      <w:r>
        <w:rPr>
          <w:rFonts w:cstheme="minorHAnsi"/>
          <w:sz w:val="28"/>
          <w:szCs w:val="28"/>
        </w:rPr>
        <w:t>Centre for Tomorrow’</w:t>
      </w:r>
      <w:r w:rsidRPr="0056599A">
        <w:rPr>
          <w:rFonts w:cstheme="minorHAnsi"/>
          <w:sz w:val="28"/>
          <w:szCs w:val="28"/>
        </w:rPr>
        <w:t xml:space="preserve">s Company (2014). </w:t>
      </w:r>
      <w:r w:rsidRPr="0056599A">
        <w:rPr>
          <w:rFonts w:cstheme="minorHAnsi"/>
          <w:i/>
          <w:sz w:val="28"/>
          <w:szCs w:val="28"/>
        </w:rPr>
        <w:t>Tomorrow’s relationships: Unlocking value</w:t>
      </w:r>
      <w:r>
        <w:rPr>
          <w:rFonts w:cstheme="minorHAnsi"/>
          <w:sz w:val="28"/>
          <w:szCs w:val="28"/>
        </w:rPr>
        <w:t>. London: Centre for Tomorrow’</w:t>
      </w:r>
      <w:r w:rsidRPr="0056599A">
        <w:rPr>
          <w:rFonts w:cstheme="minorHAnsi"/>
          <w:sz w:val="28"/>
          <w:szCs w:val="28"/>
        </w:rPr>
        <w:t>s Company.</w:t>
      </w:r>
    </w:p>
    <w:p w:rsidR="0056599A" w:rsidRDefault="0056599A" w:rsidP="0056599A">
      <w:pPr>
        <w:tabs>
          <w:tab w:val="left" w:pos="3068"/>
        </w:tabs>
        <w:rPr>
          <w:rFonts w:cstheme="minorHAnsi"/>
          <w:sz w:val="28"/>
          <w:szCs w:val="28"/>
        </w:rPr>
      </w:pPr>
      <w:r w:rsidRPr="0056599A">
        <w:rPr>
          <w:rFonts w:cstheme="minorHAnsi"/>
          <w:sz w:val="28"/>
          <w:szCs w:val="28"/>
        </w:rPr>
        <w:t xml:space="preserve">Charan, R., Barton, D., &amp; Carey, D. (2015). People before strategy: A new role for the CHRO. </w:t>
      </w:r>
      <w:r w:rsidRPr="0056599A">
        <w:rPr>
          <w:rFonts w:cstheme="minorHAnsi"/>
          <w:i/>
          <w:sz w:val="28"/>
          <w:szCs w:val="28"/>
        </w:rPr>
        <w:t>Harvard Business Review</w:t>
      </w:r>
      <w:r w:rsidRPr="0056599A">
        <w:rPr>
          <w:rFonts w:cstheme="minorHAnsi"/>
          <w:sz w:val="28"/>
          <w:szCs w:val="28"/>
        </w:rPr>
        <w:t>, July-August, 63-71.</w:t>
      </w:r>
    </w:p>
    <w:p w:rsidR="0056599A" w:rsidRDefault="0056599A" w:rsidP="0056599A">
      <w:pPr>
        <w:tabs>
          <w:tab w:val="left" w:pos="3068"/>
        </w:tabs>
        <w:rPr>
          <w:rFonts w:cstheme="minorHAnsi"/>
          <w:sz w:val="28"/>
          <w:szCs w:val="28"/>
        </w:rPr>
      </w:pPr>
      <w:r w:rsidRPr="0056599A">
        <w:rPr>
          <w:rFonts w:cstheme="minorHAnsi"/>
          <w:sz w:val="28"/>
          <w:szCs w:val="28"/>
        </w:rPr>
        <w:t xml:space="preserve">Chartered Institute of Personnel and Development (2012a). </w:t>
      </w:r>
      <w:r w:rsidRPr="0056599A">
        <w:rPr>
          <w:rFonts w:cstheme="minorHAnsi"/>
          <w:i/>
          <w:sz w:val="28"/>
          <w:szCs w:val="28"/>
        </w:rPr>
        <w:t>Business savvy: Giving HR the edge</w:t>
      </w:r>
      <w:r>
        <w:rPr>
          <w:rFonts w:cstheme="minorHAnsi"/>
          <w:sz w:val="28"/>
          <w:szCs w:val="28"/>
        </w:rPr>
        <w:t xml:space="preserve">. </w:t>
      </w:r>
      <w:r w:rsidRPr="0056599A">
        <w:rPr>
          <w:rFonts w:cstheme="minorHAnsi"/>
          <w:sz w:val="28"/>
          <w:szCs w:val="28"/>
        </w:rPr>
        <w:t>London: Chartered Institute of Personnel and Development.</w:t>
      </w:r>
    </w:p>
    <w:p w:rsidR="0056599A" w:rsidRDefault="0056599A" w:rsidP="0056599A">
      <w:pPr>
        <w:tabs>
          <w:tab w:val="left" w:pos="3068"/>
        </w:tabs>
        <w:rPr>
          <w:rFonts w:cstheme="minorHAnsi"/>
          <w:sz w:val="28"/>
          <w:szCs w:val="28"/>
        </w:rPr>
      </w:pPr>
      <w:r w:rsidRPr="0056599A">
        <w:rPr>
          <w:rFonts w:cstheme="minorHAnsi"/>
          <w:sz w:val="28"/>
          <w:szCs w:val="28"/>
        </w:rPr>
        <w:t xml:space="preserve">Chartered Institute of Personnel and Development (2013a). </w:t>
      </w:r>
      <w:r>
        <w:rPr>
          <w:rFonts w:cstheme="minorHAnsi"/>
          <w:i/>
          <w:sz w:val="28"/>
          <w:szCs w:val="28"/>
        </w:rPr>
        <w:t xml:space="preserve">The innovation imperative: The </w:t>
      </w:r>
      <w:r w:rsidRPr="0056599A">
        <w:rPr>
          <w:rFonts w:cstheme="minorHAnsi"/>
          <w:i/>
          <w:sz w:val="28"/>
          <w:szCs w:val="28"/>
        </w:rPr>
        <w:t>challenge for HR</w:t>
      </w:r>
      <w:r w:rsidRPr="0056599A">
        <w:rPr>
          <w:rFonts w:cstheme="minorHAnsi"/>
          <w:sz w:val="28"/>
          <w:szCs w:val="28"/>
        </w:rPr>
        <w:t>. London: Chartered Institute of Personnel and Development.</w:t>
      </w:r>
    </w:p>
    <w:p w:rsidR="0056599A" w:rsidRDefault="0056599A" w:rsidP="0056599A">
      <w:pPr>
        <w:tabs>
          <w:tab w:val="left" w:pos="3068"/>
        </w:tabs>
        <w:rPr>
          <w:rFonts w:cstheme="minorHAnsi"/>
          <w:sz w:val="28"/>
          <w:szCs w:val="28"/>
        </w:rPr>
      </w:pPr>
      <w:r w:rsidRPr="0056599A">
        <w:rPr>
          <w:rFonts w:cstheme="minorHAnsi"/>
          <w:sz w:val="28"/>
          <w:szCs w:val="28"/>
        </w:rPr>
        <w:t xml:space="preserve">Chartered Institute of Personnel and Development (2013b). </w:t>
      </w:r>
      <w:r w:rsidRPr="0056599A">
        <w:rPr>
          <w:rFonts w:cstheme="minorHAnsi"/>
          <w:i/>
          <w:sz w:val="28"/>
          <w:szCs w:val="28"/>
        </w:rPr>
        <w:t>Innovative outputs: A balancing act.</w:t>
      </w:r>
      <w:r>
        <w:rPr>
          <w:rFonts w:cstheme="minorHAnsi"/>
          <w:sz w:val="28"/>
          <w:szCs w:val="28"/>
        </w:rPr>
        <w:t xml:space="preserve"> </w:t>
      </w:r>
      <w:r w:rsidRPr="0056599A">
        <w:rPr>
          <w:rFonts w:cstheme="minorHAnsi"/>
          <w:sz w:val="28"/>
          <w:szCs w:val="28"/>
        </w:rPr>
        <w:t>London: Chartered Institute of Personnel and Development.</w:t>
      </w:r>
    </w:p>
    <w:p w:rsidR="0056599A" w:rsidRDefault="0056599A" w:rsidP="0056599A">
      <w:pPr>
        <w:tabs>
          <w:tab w:val="left" w:pos="3068"/>
        </w:tabs>
        <w:rPr>
          <w:rFonts w:cstheme="minorHAnsi"/>
          <w:sz w:val="28"/>
          <w:szCs w:val="28"/>
        </w:rPr>
      </w:pPr>
      <w:r w:rsidRPr="0056599A">
        <w:rPr>
          <w:rFonts w:cstheme="minorHAnsi"/>
          <w:sz w:val="28"/>
          <w:szCs w:val="28"/>
        </w:rPr>
        <w:t xml:space="preserve">Chartered Institute of Personnel and Development (2014). </w:t>
      </w:r>
      <w:r w:rsidRPr="0056599A">
        <w:rPr>
          <w:rFonts w:cstheme="minorHAnsi"/>
          <w:i/>
          <w:sz w:val="28"/>
          <w:szCs w:val="28"/>
        </w:rPr>
        <w:t>Le</w:t>
      </w:r>
      <w:r>
        <w:rPr>
          <w:rFonts w:cstheme="minorHAnsi"/>
          <w:i/>
          <w:sz w:val="28"/>
          <w:szCs w:val="28"/>
        </w:rPr>
        <w:t xml:space="preserve">arning and development. Annual </w:t>
      </w:r>
      <w:r w:rsidRPr="0056599A">
        <w:rPr>
          <w:rFonts w:cstheme="minorHAnsi"/>
          <w:i/>
          <w:sz w:val="28"/>
          <w:szCs w:val="28"/>
        </w:rPr>
        <w:t>survey report</w:t>
      </w:r>
      <w:r w:rsidRPr="0056599A">
        <w:rPr>
          <w:rFonts w:cstheme="minorHAnsi"/>
          <w:sz w:val="28"/>
          <w:szCs w:val="28"/>
        </w:rPr>
        <w:t>. London: Chartered Institute of Personnel and Development.</w:t>
      </w:r>
    </w:p>
    <w:p w:rsidR="0056599A" w:rsidRDefault="0056599A" w:rsidP="0056599A">
      <w:pPr>
        <w:tabs>
          <w:tab w:val="left" w:pos="3068"/>
        </w:tabs>
        <w:rPr>
          <w:rFonts w:cstheme="minorHAnsi"/>
          <w:sz w:val="28"/>
          <w:szCs w:val="28"/>
        </w:rPr>
      </w:pPr>
      <w:r w:rsidRPr="0056599A">
        <w:rPr>
          <w:rFonts w:cstheme="minorHAnsi"/>
          <w:sz w:val="28"/>
          <w:szCs w:val="28"/>
        </w:rPr>
        <w:t xml:space="preserve">Chartered Institute of Personnel and Development (2014a). </w:t>
      </w:r>
      <w:r w:rsidRPr="00832EFB">
        <w:rPr>
          <w:rFonts w:cstheme="minorHAnsi"/>
          <w:i/>
          <w:sz w:val="28"/>
          <w:szCs w:val="28"/>
        </w:rPr>
        <w:t>The CIPD profession map v2.4</w:t>
      </w:r>
      <w:r w:rsidR="00832EFB">
        <w:rPr>
          <w:rFonts w:cstheme="minorHAnsi"/>
          <w:sz w:val="28"/>
          <w:szCs w:val="28"/>
        </w:rPr>
        <w:t xml:space="preserve"> </w:t>
      </w:r>
      <w:r w:rsidRPr="0056599A">
        <w:rPr>
          <w:rFonts w:cstheme="minorHAnsi"/>
          <w:sz w:val="28"/>
          <w:szCs w:val="28"/>
        </w:rPr>
        <w:t>[online]. London: Chartered Institute of Personnel and D</w:t>
      </w:r>
      <w:r w:rsidR="00832EFB">
        <w:rPr>
          <w:rFonts w:cstheme="minorHAnsi"/>
          <w:sz w:val="28"/>
          <w:szCs w:val="28"/>
        </w:rPr>
        <w:t xml:space="preserve">evelopment. Retrieved July 15, </w:t>
      </w:r>
      <w:r w:rsidRPr="0056599A">
        <w:rPr>
          <w:rFonts w:cstheme="minorHAnsi"/>
          <w:sz w:val="28"/>
          <w:szCs w:val="28"/>
        </w:rPr>
        <w:t xml:space="preserve">2014, from http://www.cipd.co.uk/cipd-hr-profession/ profession-map/   </w:t>
      </w:r>
    </w:p>
    <w:p w:rsidR="00832EFB" w:rsidRDefault="00832EFB" w:rsidP="00832EFB">
      <w:pPr>
        <w:tabs>
          <w:tab w:val="left" w:pos="3068"/>
        </w:tabs>
        <w:rPr>
          <w:rFonts w:cstheme="minorHAnsi"/>
          <w:sz w:val="28"/>
          <w:szCs w:val="28"/>
        </w:rPr>
      </w:pPr>
    </w:p>
    <w:p w:rsidR="00832EFB" w:rsidRDefault="00832EFB" w:rsidP="00832EFB">
      <w:pPr>
        <w:tabs>
          <w:tab w:val="left" w:pos="3068"/>
        </w:tabs>
        <w:rPr>
          <w:rFonts w:cstheme="minorHAnsi"/>
          <w:sz w:val="28"/>
          <w:szCs w:val="28"/>
        </w:rPr>
      </w:pPr>
      <w:r w:rsidRPr="00832EFB">
        <w:rPr>
          <w:rFonts w:cstheme="minorHAnsi"/>
          <w:sz w:val="28"/>
          <w:szCs w:val="28"/>
        </w:rPr>
        <w:lastRenderedPageBreak/>
        <w:t xml:space="preserve">Davies, A., Fidler, D., &amp; Gorbis, M. (2011). </w:t>
      </w:r>
      <w:r w:rsidRPr="00832EFB">
        <w:rPr>
          <w:rFonts w:cstheme="minorHAnsi"/>
          <w:i/>
          <w:sz w:val="28"/>
          <w:szCs w:val="28"/>
        </w:rPr>
        <w:t>Future work skills 2020</w:t>
      </w:r>
      <w:r w:rsidRPr="00832EFB">
        <w:rPr>
          <w:rFonts w:cstheme="minorHAnsi"/>
          <w:sz w:val="28"/>
          <w:szCs w:val="28"/>
        </w:rPr>
        <w:t>. Palo Alto, CA: Institute for the Future for the University of Phoenix Research Institute.</w:t>
      </w:r>
    </w:p>
    <w:p w:rsidR="00832EFB" w:rsidRDefault="00832EFB" w:rsidP="00832EFB">
      <w:pPr>
        <w:tabs>
          <w:tab w:val="left" w:pos="3068"/>
        </w:tabs>
        <w:rPr>
          <w:rFonts w:cstheme="minorHAnsi"/>
          <w:sz w:val="28"/>
          <w:szCs w:val="28"/>
        </w:rPr>
      </w:pPr>
      <w:r w:rsidRPr="00832EFB">
        <w:rPr>
          <w:rFonts w:cstheme="minorHAnsi"/>
          <w:sz w:val="28"/>
          <w:szCs w:val="28"/>
        </w:rPr>
        <w:t xml:space="preserve">Deloitte Touche Tohmatsu and the World Economic Forum (2010). </w:t>
      </w:r>
      <w:r>
        <w:rPr>
          <w:rFonts w:cstheme="minorHAnsi"/>
          <w:i/>
          <w:sz w:val="28"/>
          <w:szCs w:val="28"/>
        </w:rPr>
        <w:t xml:space="preserve">Redesigning business value: </w:t>
      </w:r>
      <w:r w:rsidRPr="00832EFB">
        <w:rPr>
          <w:rFonts w:cstheme="minorHAnsi"/>
          <w:i/>
          <w:sz w:val="28"/>
          <w:szCs w:val="28"/>
        </w:rPr>
        <w:t xml:space="preserve">A roadmap for sustainable consumption. </w:t>
      </w:r>
      <w:r w:rsidRPr="00832EFB">
        <w:rPr>
          <w:rFonts w:cstheme="minorHAnsi"/>
          <w:sz w:val="28"/>
          <w:szCs w:val="28"/>
        </w:rPr>
        <w:t>Geneva: World Economic Forum.</w:t>
      </w:r>
    </w:p>
    <w:p w:rsidR="00832EFB" w:rsidRDefault="00832EFB" w:rsidP="00832EFB">
      <w:pPr>
        <w:tabs>
          <w:tab w:val="left" w:pos="3068"/>
        </w:tabs>
        <w:rPr>
          <w:rFonts w:cstheme="minorHAnsi"/>
          <w:sz w:val="28"/>
          <w:szCs w:val="28"/>
        </w:rPr>
      </w:pPr>
      <w:r w:rsidRPr="00832EFB">
        <w:rPr>
          <w:rFonts w:cstheme="minorHAnsi"/>
          <w:sz w:val="28"/>
          <w:szCs w:val="28"/>
        </w:rPr>
        <w:t xml:space="preserve">Drucker, P. (1973). </w:t>
      </w:r>
      <w:r w:rsidRPr="00832EFB">
        <w:rPr>
          <w:rFonts w:cstheme="minorHAnsi"/>
          <w:i/>
          <w:sz w:val="28"/>
          <w:szCs w:val="28"/>
        </w:rPr>
        <w:t>Management: Task, responsibilities, practices.</w:t>
      </w:r>
      <w:r w:rsidRPr="00832EFB">
        <w:rPr>
          <w:rFonts w:cstheme="minorHAnsi"/>
          <w:sz w:val="28"/>
          <w:szCs w:val="28"/>
        </w:rPr>
        <w:t xml:space="preserve"> California: Harper &amp; Row.</w:t>
      </w:r>
    </w:p>
    <w:p w:rsidR="00832EFB" w:rsidRDefault="00832EFB" w:rsidP="00832EFB">
      <w:pPr>
        <w:tabs>
          <w:tab w:val="left" w:pos="3068"/>
        </w:tabs>
        <w:rPr>
          <w:rFonts w:cstheme="minorHAnsi"/>
          <w:sz w:val="28"/>
          <w:szCs w:val="28"/>
        </w:rPr>
      </w:pPr>
      <w:r w:rsidRPr="00832EFB">
        <w:rPr>
          <w:rFonts w:cstheme="minorHAnsi"/>
          <w:sz w:val="28"/>
          <w:szCs w:val="28"/>
        </w:rPr>
        <w:t xml:space="preserve">Drucker, P. (2006). </w:t>
      </w:r>
      <w:r w:rsidRPr="00832EFB">
        <w:rPr>
          <w:rFonts w:cstheme="minorHAnsi"/>
          <w:i/>
          <w:sz w:val="28"/>
          <w:szCs w:val="28"/>
        </w:rPr>
        <w:t>Managing in turbulent times.</w:t>
      </w:r>
      <w:r w:rsidRPr="00832EFB">
        <w:rPr>
          <w:rFonts w:cstheme="minorHAnsi"/>
          <w:sz w:val="28"/>
          <w:szCs w:val="28"/>
        </w:rPr>
        <w:t xml:space="preserve"> New York: Harper &amp; Row Publishers Inc.</w:t>
      </w:r>
    </w:p>
    <w:p w:rsidR="00832EFB" w:rsidRDefault="00832EFB" w:rsidP="00832EFB">
      <w:pPr>
        <w:tabs>
          <w:tab w:val="left" w:pos="3068"/>
        </w:tabs>
        <w:rPr>
          <w:rFonts w:cstheme="minorHAnsi"/>
          <w:sz w:val="28"/>
          <w:szCs w:val="28"/>
        </w:rPr>
      </w:pPr>
      <w:r w:rsidRPr="00832EFB">
        <w:rPr>
          <w:rFonts w:cstheme="minorHAnsi"/>
          <w:sz w:val="28"/>
          <w:szCs w:val="28"/>
        </w:rPr>
        <w:t xml:space="preserve">Economist Intelligence Unit (2014). </w:t>
      </w:r>
      <w:r w:rsidRPr="00832EFB">
        <w:rPr>
          <w:rFonts w:cstheme="minorHAnsi"/>
          <w:i/>
          <w:sz w:val="28"/>
          <w:szCs w:val="28"/>
        </w:rPr>
        <w:t>Evolution of work and the work</w:t>
      </w:r>
      <w:r>
        <w:rPr>
          <w:rFonts w:cstheme="minorHAnsi"/>
          <w:i/>
          <w:sz w:val="28"/>
          <w:szCs w:val="28"/>
        </w:rPr>
        <w:t xml:space="preserve">er, what’s next: Future global </w:t>
      </w:r>
      <w:r w:rsidRPr="00832EFB">
        <w:rPr>
          <w:rFonts w:cstheme="minorHAnsi"/>
          <w:i/>
          <w:sz w:val="28"/>
          <w:szCs w:val="28"/>
        </w:rPr>
        <w:t>trends affecting your organization</w:t>
      </w:r>
      <w:r w:rsidRPr="00832EFB">
        <w:rPr>
          <w:rFonts w:cstheme="minorHAnsi"/>
          <w:sz w:val="28"/>
          <w:szCs w:val="28"/>
        </w:rPr>
        <w:t>. New York: SHRM Foundation.</w:t>
      </w:r>
    </w:p>
    <w:p w:rsidR="00832EFB" w:rsidRDefault="00832EFB" w:rsidP="00832EFB">
      <w:pPr>
        <w:tabs>
          <w:tab w:val="left" w:pos="3068"/>
        </w:tabs>
        <w:rPr>
          <w:rFonts w:cstheme="minorHAnsi"/>
          <w:sz w:val="28"/>
          <w:szCs w:val="28"/>
        </w:rPr>
      </w:pPr>
      <w:r w:rsidRPr="00832EFB">
        <w:rPr>
          <w:rFonts w:cstheme="minorHAnsi"/>
          <w:sz w:val="28"/>
          <w:szCs w:val="28"/>
        </w:rPr>
        <w:t xml:space="preserve">Gbe, B. P. (2011). </w:t>
      </w:r>
      <w:r w:rsidRPr="00832EFB">
        <w:rPr>
          <w:rFonts w:cstheme="minorHAnsi"/>
          <w:i/>
          <w:sz w:val="28"/>
          <w:szCs w:val="28"/>
        </w:rPr>
        <w:t>Management in the 21st century- A framework for managing in turbulent times.</w:t>
      </w:r>
      <w:r>
        <w:rPr>
          <w:rFonts w:cstheme="minorHAnsi"/>
          <w:sz w:val="28"/>
          <w:szCs w:val="28"/>
        </w:rPr>
        <w:t xml:space="preserve"> </w:t>
      </w:r>
      <w:r w:rsidRPr="00832EFB">
        <w:rPr>
          <w:rFonts w:cstheme="minorHAnsi"/>
          <w:sz w:val="28"/>
          <w:szCs w:val="28"/>
        </w:rPr>
        <w:t>Nigerian Institute of Management (Chartered) Warri chapter publication, 1(3), 21-25.</w:t>
      </w:r>
    </w:p>
    <w:p w:rsidR="00832EFB" w:rsidRDefault="00832EFB" w:rsidP="00832EFB">
      <w:pPr>
        <w:tabs>
          <w:tab w:val="left" w:pos="3068"/>
        </w:tabs>
        <w:rPr>
          <w:rFonts w:cstheme="minorHAnsi"/>
          <w:sz w:val="28"/>
          <w:szCs w:val="28"/>
        </w:rPr>
      </w:pPr>
      <w:r w:rsidRPr="00832EFB">
        <w:rPr>
          <w:rFonts w:cstheme="minorHAnsi"/>
          <w:sz w:val="28"/>
          <w:szCs w:val="28"/>
        </w:rPr>
        <w:t xml:space="preserve">Global Human Capital Survey (GHCS) (2014). </w:t>
      </w:r>
      <w:r w:rsidRPr="00832EFB">
        <w:rPr>
          <w:rFonts w:cstheme="minorHAnsi"/>
          <w:i/>
          <w:sz w:val="28"/>
          <w:szCs w:val="28"/>
        </w:rPr>
        <w:t>Engaging the 21st century workforce</w:t>
      </w:r>
      <w:r>
        <w:rPr>
          <w:rFonts w:cstheme="minorHAnsi"/>
          <w:sz w:val="28"/>
          <w:szCs w:val="28"/>
        </w:rPr>
        <w:t xml:space="preserve">. Deloitte </w:t>
      </w:r>
      <w:r w:rsidRPr="00832EFB">
        <w:rPr>
          <w:rFonts w:cstheme="minorHAnsi"/>
          <w:sz w:val="28"/>
          <w:szCs w:val="28"/>
        </w:rPr>
        <w:t>Consulting LLP.</w:t>
      </w:r>
    </w:p>
    <w:p w:rsidR="00832EFB" w:rsidRDefault="00832EFB" w:rsidP="00832EFB">
      <w:pPr>
        <w:tabs>
          <w:tab w:val="left" w:pos="3068"/>
        </w:tabs>
        <w:rPr>
          <w:rFonts w:cstheme="minorHAnsi"/>
          <w:sz w:val="28"/>
          <w:szCs w:val="28"/>
        </w:rPr>
      </w:pPr>
      <w:r w:rsidRPr="00832EFB">
        <w:rPr>
          <w:rFonts w:cstheme="minorHAnsi"/>
          <w:sz w:val="28"/>
          <w:szCs w:val="28"/>
        </w:rPr>
        <w:t xml:space="preserve">Johansen, R. (2007). </w:t>
      </w:r>
      <w:r w:rsidRPr="00832EFB">
        <w:rPr>
          <w:rFonts w:cstheme="minorHAnsi"/>
          <w:i/>
          <w:sz w:val="28"/>
          <w:szCs w:val="28"/>
        </w:rPr>
        <w:t>Get there early: Sensing the future to compete in the present</w:t>
      </w:r>
      <w:r>
        <w:rPr>
          <w:rFonts w:cstheme="minorHAnsi"/>
          <w:sz w:val="28"/>
          <w:szCs w:val="28"/>
        </w:rPr>
        <w:t xml:space="preserve">. San Francisco, </w:t>
      </w:r>
      <w:r w:rsidRPr="00832EFB">
        <w:rPr>
          <w:rFonts w:cstheme="minorHAnsi"/>
          <w:sz w:val="28"/>
          <w:szCs w:val="28"/>
        </w:rPr>
        <w:t>CA: Berrett-Koehler Publisher.</w:t>
      </w:r>
    </w:p>
    <w:p w:rsidR="00832EFB" w:rsidRDefault="00832EFB" w:rsidP="00832EFB">
      <w:pPr>
        <w:tabs>
          <w:tab w:val="left" w:pos="3068"/>
        </w:tabs>
        <w:rPr>
          <w:rFonts w:cstheme="minorHAnsi"/>
          <w:sz w:val="28"/>
          <w:szCs w:val="28"/>
        </w:rPr>
      </w:pPr>
      <w:r w:rsidRPr="00832EFB">
        <w:rPr>
          <w:rFonts w:cstheme="minorHAnsi"/>
          <w:sz w:val="28"/>
          <w:szCs w:val="28"/>
        </w:rPr>
        <w:t xml:space="preserve">Loon, M. (2014). L&amp;D: </w:t>
      </w:r>
      <w:r w:rsidRPr="00E36740">
        <w:rPr>
          <w:rFonts w:cstheme="minorHAnsi"/>
          <w:i/>
          <w:sz w:val="28"/>
          <w:szCs w:val="28"/>
        </w:rPr>
        <w:t>New challenges, new approaches</w:t>
      </w:r>
      <w:r w:rsidRPr="00832EFB">
        <w:rPr>
          <w:rFonts w:cstheme="minorHAnsi"/>
          <w:sz w:val="28"/>
          <w:szCs w:val="28"/>
        </w:rPr>
        <w:t xml:space="preserve">. </w:t>
      </w:r>
      <w:r w:rsidR="00E36740">
        <w:rPr>
          <w:rFonts w:cstheme="minorHAnsi"/>
          <w:sz w:val="28"/>
          <w:szCs w:val="28"/>
        </w:rPr>
        <w:t xml:space="preserve">December 2014 research report. </w:t>
      </w:r>
      <w:r w:rsidRPr="00832EFB">
        <w:rPr>
          <w:rFonts w:cstheme="minorHAnsi"/>
          <w:sz w:val="28"/>
          <w:szCs w:val="28"/>
        </w:rPr>
        <w:t>London: Chartered Institute of Personnel Development.</w:t>
      </w:r>
    </w:p>
    <w:p w:rsidR="00E36740" w:rsidRDefault="00E36740" w:rsidP="00E36740">
      <w:pPr>
        <w:tabs>
          <w:tab w:val="left" w:pos="3068"/>
        </w:tabs>
        <w:rPr>
          <w:rFonts w:cstheme="minorHAnsi"/>
          <w:sz w:val="28"/>
          <w:szCs w:val="28"/>
        </w:rPr>
      </w:pPr>
      <w:r w:rsidRPr="00E36740">
        <w:rPr>
          <w:rFonts w:cstheme="minorHAnsi"/>
          <w:sz w:val="28"/>
          <w:szCs w:val="28"/>
        </w:rPr>
        <w:t xml:space="preserve">National Journal Poll (2014). </w:t>
      </w:r>
      <w:r w:rsidRPr="00E36740">
        <w:rPr>
          <w:rFonts w:cstheme="minorHAnsi"/>
          <w:i/>
          <w:sz w:val="28"/>
          <w:szCs w:val="28"/>
        </w:rPr>
        <w:t>New all</w:t>
      </w:r>
      <w:r>
        <w:rPr>
          <w:rFonts w:cstheme="minorHAnsi"/>
          <w:i/>
          <w:sz w:val="28"/>
          <w:szCs w:val="28"/>
        </w:rPr>
        <w:t xml:space="preserve"> </w:t>
      </w:r>
      <w:r w:rsidRPr="00E36740">
        <w:rPr>
          <w:rFonts w:cstheme="minorHAnsi"/>
          <w:i/>
          <w:sz w:val="28"/>
          <w:szCs w:val="28"/>
        </w:rPr>
        <w:t>state/national journal heartland monitor poll finds nar</w:t>
      </w:r>
      <w:r>
        <w:rPr>
          <w:rFonts w:cstheme="minorHAnsi"/>
          <w:i/>
          <w:sz w:val="28"/>
          <w:szCs w:val="28"/>
        </w:rPr>
        <w:t xml:space="preserve">row </w:t>
      </w:r>
      <w:r w:rsidRPr="00E36740">
        <w:rPr>
          <w:rFonts w:cstheme="minorHAnsi"/>
          <w:i/>
          <w:sz w:val="28"/>
          <w:szCs w:val="28"/>
        </w:rPr>
        <w:t>majority of Americans see work/life balance as attainable</w:t>
      </w:r>
      <w:r>
        <w:rPr>
          <w:rFonts w:cstheme="minorHAnsi"/>
          <w:sz w:val="28"/>
          <w:szCs w:val="28"/>
        </w:rPr>
        <w:t xml:space="preserve">. Retrieved November 14, 2014 </w:t>
      </w:r>
      <w:r w:rsidRPr="00E36740">
        <w:rPr>
          <w:rFonts w:cstheme="minorHAnsi"/>
          <w:sz w:val="28"/>
          <w:szCs w:val="28"/>
        </w:rPr>
        <w:t xml:space="preserve">from </w:t>
      </w:r>
      <w:hyperlink r:id="rId9" w:history="1">
        <w:r w:rsidRPr="00D81629">
          <w:rPr>
            <w:rStyle w:val="Hyperlink"/>
            <w:rFonts w:cstheme="minorHAnsi"/>
            <w:sz w:val="28"/>
            <w:szCs w:val="28"/>
          </w:rPr>
          <w:t>http://www.nationaljournal.com/pressroom/new-allstate-national-journal-heartlan-monitor-poll-finds-narrow-majority-of-americanssee-work-life-balance-as-attainable</w:t>
        </w:r>
      </w:hyperlink>
    </w:p>
    <w:p w:rsidR="00E36740" w:rsidRDefault="00E36740" w:rsidP="00E36740">
      <w:pPr>
        <w:tabs>
          <w:tab w:val="left" w:pos="3068"/>
        </w:tabs>
        <w:rPr>
          <w:rFonts w:cstheme="minorHAnsi"/>
          <w:sz w:val="28"/>
          <w:szCs w:val="28"/>
        </w:rPr>
      </w:pPr>
    </w:p>
    <w:p w:rsidR="00E36740" w:rsidRDefault="00E36740" w:rsidP="00E36740">
      <w:pPr>
        <w:tabs>
          <w:tab w:val="left" w:pos="3068"/>
        </w:tabs>
        <w:rPr>
          <w:rFonts w:cstheme="minorHAnsi"/>
          <w:sz w:val="28"/>
          <w:szCs w:val="28"/>
        </w:rPr>
      </w:pPr>
    </w:p>
    <w:p w:rsidR="00E36740" w:rsidRDefault="00E36740" w:rsidP="00E36740">
      <w:pPr>
        <w:tabs>
          <w:tab w:val="left" w:pos="3068"/>
        </w:tabs>
        <w:rPr>
          <w:rFonts w:cstheme="minorHAnsi"/>
          <w:sz w:val="28"/>
          <w:szCs w:val="28"/>
        </w:rPr>
      </w:pPr>
      <w:r w:rsidRPr="00E36740">
        <w:rPr>
          <w:rFonts w:cstheme="minorHAnsi"/>
          <w:sz w:val="28"/>
          <w:szCs w:val="28"/>
        </w:rPr>
        <w:lastRenderedPageBreak/>
        <w:t xml:space="preserve">Nkogbu, G. O. (2015). </w:t>
      </w:r>
      <w:r w:rsidRPr="00E36740">
        <w:rPr>
          <w:rFonts w:cstheme="minorHAnsi"/>
          <w:i/>
          <w:sz w:val="28"/>
          <w:szCs w:val="28"/>
        </w:rPr>
        <w:t xml:space="preserve">Impact of human capital development on </w:t>
      </w:r>
      <w:r>
        <w:rPr>
          <w:rFonts w:cstheme="minorHAnsi"/>
          <w:i/>
          <w:sz w:val="28"/>
          <w:szCs w:val="28"/>
        </w:rPr>
        <w:t xml:space="preserve">organizational productivity in </w:t>
      </w:r>
      <w:r w:rsidRPr="00E36740">
        <w:rPr>
          <w:rFonts w:cstheme="minorHAnsi"/>
          <w:i/>
          <w:sz w:val="28"/>
          <w:szCs w:val="28"/>
        </w:rPr>
        <w:t>the Nigerian public sector</w:t>
      </w:r>
      <w:r w:rsidRPr="00E36740">
        <w:rPr>
          <w:rFonts w:cstheme="minorHAnsi"/>
          <w:sz w:val="28"/>
          <w:szCs w:val="28"/>
        </w:rPr>
        <w:t>. Unpublished M.Sc dissertation. Lagos: National Open University of Nigeria.</w:t>
      </w:r>
    </w:p>
    <w:p w:rsidR="00E36740" w:rsidRDefault="00E36740" w:rsidP="00E36740">
      <w:pPr>
        <w:tabs>
          <w:tab w:val="left" w:pos="3068"/>
        </w:tabs>
        <w:rPr>
          <w:rFonts w:cstheme="minorHAnsi"/>
          <w:sz w:val="28"/>
          <w:szCs w:val="28"/>
        </w:rPr>
      </w:pPr>
      <w:r w:rsidRPr="00E36740">
        <w:rPr>
          <w:rFonts w:cstheme="minorHAnsi"/>
          <w:sz w:val="28"/>
          <w:szCs w:val="28"/>
        </w:rPr>
        <w:t xml:space="preserve">Sheehan, M., Garavan, T.N.,&amp; Carbery, R. (2014). Innovation </w:t>
      </w:r>
      <w:r>
        <w:rPr>
          <w:rFonts w:cstheme="minorHAnsi"/>
          <w:sz w:val="28"/>
          <w:szCs w:val="28"/>
        </w:rPr>
        <w:t xml:space="preserve">and human resource development </w:t>
      </w:r>
      <w:r w:rsidRPr="00E36740">
        <w:rPr>
          <w:rFonts w:cstheme="minorHAnsi"/>
          <w:sz w:val="28"/>
          <w:szCs w:val="28"/>
        </w:rPr>
        <w:t xml:space="preserve">(HRD). </w:t>
      </w:r>
      <w:r w:rsidRPr="00E36740">
        <w:rPr>
          <w:rFonts w:cstheme="minorHAnsi"/>
          <w:i/>
          <w:sz w:val="28"/>
          <w:szCs w:val="28"/>
        </w:rPr>
        <w:t>European Journal of Training and Development</w:t>
      </w:r>
      <w:r w:rsidRPr="00E36740">
        <w:rPr>
          <w:rFonts w:cstheme="minorHAnsi"/>
          <w:sz w:val="28"/>
          <w:szCs w:val="28"/>
        </w:rPr>
        <w:t>, 38(1/2), 2−14.</w:t>
      </w:r>
    </w:p>
    <w:p w:rsidR="00E36740" w:rsidRPr="00E36740" w:rsidRDefault="00E36740" w:rsidP="00E36740">
      <w:pPr>
        <w:tabs>
          <w:tab w:val="left" w:pos="3068"/>
        </w:tabs>
        <w:rPr>
          <w:rFonts w:cstheme="minorHAnsi"/>
          <w:sz w:val="28"/>
          <w:szCs w:val="28"/>
        </w:rPr>
      </w:pPr>
      <w:r w:rsidRPr="00E36740">
        <w:rPr>
          <w:rFonts w:cstheme="minorHAnsi"/>
          <w:sz w:val="28"/>
          <w:szCs w:val="28"/>
        </w:rPr>
        <w:t xml:space="preserve">Society for Human Resource Management (2012). </w:t>
      </w:r>
      <w:r w:rsidRPr="00E36740">
        <w:rPr>
          <w:rFonts w:cstheme="minorHAnsi"/>
          <w:i/>
          <w:sz w:val="28"/>
          <w:szCs w:val="28"/>
        </w:rPr>
        <w:t>SHRM Competency Model. Society for Human Resource Management</w:t>
      </w:r>
      <w:r w:rsidRPr="00E36740">
        <w:rPr>
          <w:rFonts w:cstheme="minorHAnsi"/>
          <w:sz w:val="28"/>
          <w:szCs w:val="28"/>
        </w:rPr>
        <w:t>. Availab</w:t>
      </w:r>
      <w:r>
        <w:rPr>
          <w:rFonts w:cstheme="minorHAnsi"/>
          <w:sz w:val="28"/>
          <w:szCs w:val="28"/>
        </w:rPr>
        <w:t>le at: http://www.shrm.</w:t>
      </w:r>
      <w:r w:rsidRPr="00E36740">
        <w:rPr>
          <w:rFonts w:cstheme="minorHAnsi"/>
          <w:sz w:val="28"/>
          <w:szCs w:val="28"/>
        </w:rPr>
        <w:t>org/HRCompetencies/Documents/Competency%</w:t>
      </w:r>
      <w:r>
        <w:rPr>
          <w:rFonts w:cstheme="minorHAnsi"/>
          <w:sz w:val="28"/>
          <w:szCs w:val="28"/>
        </w:rPr>
        <w:t>20Model%2010%200%206%203.pdf[Ac</w:t>
      </w:r>
      <w:r w:rsidRPr="00E36740">
        <w:rPr>
          <w:rFonts w:cstheme="minorHAnsi"/>
          <w:sz w:val="28"/>
          <w:szCs w:val="28"/>
        </w:rPr>
        <w:t>cessed 15 July 2014].</w:t>
      </w:r>
    </w:p>
    <w:p w:rsidR="00E36740" w:rsidRDefault="00E36740" w:rsidP="00E36740">
      <w:pPr>
        <w:tabs>
          <w:tab w:val="left" w:pos="3068"/>
        </w:tabs>
        <w:rPr>
          <w:rFonts w:cstheme="minorHAnsi"/>
          <w:sz w:val="28"/>
          <w:szCs w:val="28"/>
        </w:rPr>
      </w:pPr>
      <w:r w:rsidRPr="00E36740">
        <w:rPr>
          <w:rFonts w:cstheme="minorHAnsi"/>
          <w:sz w:val="28"/>
          <w:szCs w:val="28"/>
        </w:rPr>
        <w:t>The Conference Board CEO C</w:t>
      </w:r>
      <w:r>
        <w:rPr>
          <w:rFonts w:cstheme="minorHAnsi"/>
          <w:sz w:val="28"/>
          <w:szCs w:val="28"/>
        </w:rPr>
        <w:t xml:space="preserve">hallenge (2014). Retrieved from </w:t>
      </w:r>
      <w:hyperlink r:id="rId10" w:history="1">
        <w:r w:rsidRPr="00D81629">
          <w:rPr>
            <w:rStyle w:val="Hyperlink"/>
            <w:rFonts w:cstheme="minorHAnsi"/>
            <w:sz w:val="28"/>
            <w:szCs w:val="28"/>
          </w:rPr>
          <w:t>http://:www.ceochallenge.org</w:t>
        </w:r>
      </w:hyperlink>
    </w:p>
    <w:p w:rsidR="00E36740" w:rsidRDefault="00E36740" w:rsidP="00E36740">
      <w:pPr>
        <w:tabs>
          <w:tab w:val="left" w:pos="3068"/>
        </w:tabs>
        <w:rPr>
          <w:rFonts w:cstheme="minorHAnsi"/>
          <w:sz w:val="28"/>
          <w:szCs w:val="28"/>
        </w:rPr>
      </w:pPr>
      <w:r w:rsidRPr="00E36740">
        <w:rPr>
          <w:rFonts w:cstheme="minorHAnsi"/>
          <w:sz w:val="28"/>
          <w:szCs w:val="28"/>
        </w:rPr>
        <w:t xml:space="preserve">The RBL Group (2012). </w:t>
      </w:r>
      <w:r w:rsidRPr="00E36740">
        <w:rPr>
          <w:rFonts w:cstheme="minorHAnsi"/>
          <w:i/>
          <w:sz w:val="28"/>
          <w:szCs w:val="28"/>
        </w:rPr>
        <w:t xml:space="preserve">The 2012 HR competency model </w:t>
      </w:r>
      <w:r w:rsidRPr="00E36740">
        <w:rPr>
          <w:rFonts w:cstheme="minorHAnsi"/>
          <w:sz w:val="28"/>
          <w:szCs w:val="28"/>
        </w:rPr>
        <w:t>[online]</w:t>
      </w:r>
      <w:r>
        <w:rPr>
          <w:rFonts w:cstheme="minorHAnsi"/>
          <w:sz w:val="28"/>
          <w:szCs w:val="28"/>
        </w:rPr>
        <w:t xml:space="preserve">. Retrieved July 15, 2014 from </w:t>
      </w:r>
      <w:hyperlink r:id="rId11" w:history="1">
        <w:r w:rsidRPr="00D81629">
          <w:rPr>
            <w:rStyle w:val="Hyperlink"/>
            <w:rFonts w:cstheme="minorHAnsi"/>
            <w:sz w:val="28"/>
            <w:szCs w:val="28"/>
          </w:rPr>
          <w:t>http://rbl.net/index.php/hrcs/index/overview</w:t>
        </w:r>
      </w:hyperlink>
    </w:p>
    <w:p w:rsidR="00E36740" w:rsidRPr="00E36740" w:rsidRDefault="00E36740" w:rsidP="00E36740">
      <w:pPr>
        <w:tabs>
          <w:tab w:val="left" w:pos="3068"/>
        </w:tabs>
        <w:rPr>
          <w:rFonts w:cstheme="minorHAnsi"/>
          <w:sz w:val="28"/>
          <w:szCs w:val="28"/>
        </w:rPr>
      </w:pPr>
      <w:r w:rsidRPr="00E36740">
        <w:rPr>
          <w:rFonts w:cstheme="minorHAnsi"/>
          <w:sz w:val="28"/>
          <w:szCs w:val="28"/>
        </w:rPr>
        <w:t xml:space="preserve">Ulrich, D., Schiemann, B., &amp; Sartain, L. (2015). </w:t>
      </w:r>
      <w:r w:rsidRPr="00E36740">
        <w:rPr>
          <w:rFonts w:cstheme="minorHAnsi"/>
          <w:i/>
          <w:sz w:val="28"/>
          <w:szCs w:val="28"/>
        </w:rPr>
        <w:t>The rise of HR</w:t>
      </w:r>
      <w:r w:rsidRPr="00E36740">
        <w:rPr>
          <w:rFonts w:cstheme="minorHAnsi"/>
          <w:sz w:val="28"/>
          <w:szCs w:val="28"/>
        </w:rPr>
        <w:t>. HR Certification Institute.</w:t>
      </w:r>
    </w:p>
    <w:sectPr w:rsidR="00E36740" w:rsidRPr="00E36740" w:rsidSect="00E24E57">
      <w:headerReference w:type="default" r:id="rId12"/>
      <w:footerReference w:type="default" r:id="rId13"/>
      <w:pgSz w:w="12240" w:h="15840"/>
      <w:pgMar w:top="1440" w:right="1440" w:bottom="1440" w:left="1440" w:header="720" w:footer="720" w:gutter="0"/>
      <w:cols w:space="720"/>
      <w:docGrid w:linePitch="360"/>
    </w:sectPr>
  </w:body>
</w:document>
</file>

<file path=word/endnotes.xml><?xml version="1.0" encoding="utf-8"?>
<w:endnote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endnote w:type="separator" w:id="-1">
    <w:p w:rsidR="00364315" w:rsidRDefault="00364315" w:rsidP="00FF47B7">
      <w:pPr>
        <w:spacing w:after="0" w:line="240" w:lineRule="auto"/>
      </w:pPr>
      <w:r>
        <w:separator/>
      </w:r>
    </w:p>
  </w:endnote>
  <w:endnote w:type="continuationSeparator" w:id="0">
    <w:p w:rsidR="00364315" w:rsidRDefault="00364315" w:rsidP="00FF47B7">
      <w:pPr>
        <w:spacing w:after="0" w:line="240" w:lineRule="auto"/>
      </w:pPr>
      <w:r>
        <w:continuationSeparator/>
      </w:r>
    </w:p>
  </w:endnote>
</w:endnotes>
</file>

<file path=word/fontTable.xml><?xml version="1.0" encoding="utf-8"?>
<w:fonts xmlns:r="http://schemas.openxmlformats.org/officeDocument/2006/relationships" xmlns:w="http://schemas.openxmlformats.org/wordprocessingml/2006/main">
  <w:font w:name="Calibri">
    <w:panose1 w:val="020F0502020204030204"/>
    <w:charset w:val="00"/>
    <w:family w:val="swiss"/>
    <w:pitch w:val="variable"/>
    <w:sig w:usb0="E0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Tahoma">
    <w:panose1 w:val="020B0604030504040204"/>
    <w:charset w:val="00"/>
    <w:family w:val="swiss"/>
    <w:notTrueType/>
    <w:pitch w:val="variable"/>
    <w:sig w:usb0="00000003" w:usb1="00000000" w:usb2="00000000" w:usb3="00000000" w:csb0="00000001" w:csb1="00000000"/>
  </w:font>
  <w:font w:name="Cambria">
    <w:panose1 w:val="02040503050406030204"/>
    <w:charset w:val="00"/>
    <w:family w:val="roman"/>
    <w:pitch w:val="variable"/>
    <w:sig w:usb0="E00006FF" w:usb1="420024FF" w:usb2="02000000" w:usb3="00000000" w:csb0="000001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tbl>
    <w:tblPr>
      <w:tblW w:w="5000" w:type="pct"/>
      <w:tblBorders>
        <w:top w:val="single" w:sz="18" w:space="0" w:color="808080" w:themeColor="background1" w:themeShade="80"/>
        <w:insideV w:val="single" w:sz="18" w:space="0" w:color="808080" w:themeColor="background1" w:themeShade="80"/>
      </w:tblBorders>
      <w:tblLook w:val="04A0"/>
    </w:tblPr>
    <w:tblGrid>
      <w:gridCol w:w="993"/>
      <w:gridCol w:w="8583"/>
    </w:tblGrid>
    <w:tr w:rsidR="00FF47B7">
      <w:tc>
        <w:tcPr>
          <w:tcW w:w="918" w:type="dxa"/>
        </w:tcPr>
        <w:p w:rsidR="00FF47B7" w:rsidRDefault="003F7613">
          <w:pPr>
            <w:pStyle w:val="Footer"/>
            <w:jc w:val="right"/>
            <w:rPr>
              <w:b/>
              <w:color w:val="4F81BD" w:themeColor="accent1"/>
              <w:sz w:val="32"/>
              <w:szCs w:val="32"/>
            </w:rPr>
          </w:pPr>
          <w:fldSimple w:instr=" PAGE   \* MERGEFORMAT ">
            <w:r w:rsidR="00E36740" w:rsidRPr="00E36740">
              <w:rPr>
                <w:b/>
                <w:noProof/>
                <w:color w:val="4F81BD" w:themeColor="accent1"/>
                <w:sz w:val="32"/>
                <w:szCs w:val="32"/>
              </w:rPr>
              <w:t>13</w:t>
            </w:r>
          </w:fldSimple>
        </w:p>
      </w:tc>
      <w:tc>
        <w:tcPr>
          <w:tcW w:w="7938" w:type="dxa"/>
        </w:tcPr>
        <w:p w:rsidR="00FF47B7" w:rsidRDefault="00FF47B7">
          <w:pPr>
            <w:pStyle w:val="Footer"/>
          </w:pPr>
        </w:p>
      </w:tc>
    </w:tr>
  </w:tbl>
  <w:p w:rsidR="00FF47B7" w:rsidRDefault="00FF47B7">
    <w:pPr>
      <w:pStyle w:val="Footer"/>
    </w:pPr>
  </w:p>
</w:ftr>
</file>

<file path=word/footnotes.xml><?xml version="1.0" encoding="utf-8"?>
<w:footnote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footnote w:type="separator" w:id="-1">
    <w:p w:rsidR="00364315" w:rsidRDefault="00364315" w:rsidP="00FF47B7">
      <w:pPr>
        <w:spacing w:after="0" w:line="240" w:lineRule="auto"/>
      </w:pPr>
      <w:r>
        <w:separator/>
      </w:r>
    </w:p>
  </w:footnote>
  <w:footnote w:type="continuationSeparator" w:id="0">
    <w:p w:rsidR="00364315" w:rsidRDefault="00364315" w:rsidP="00FF47B7">
      <w:pPr>
        <w:spacing w:after="0" w:line="240" w:lineRule="auto"/>
      </w:pPr>
      <w:r>
        <w:continuationSeparator/>
      </w:r>
    </w:p>
  </w:footnote>
</w:footnotes>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sdt>
    <w:sdtPr>
      <w:rPr>
        <w:rFonts w:asciiTheme="majorHAnsi" w:eastAsiaTheme="majorEastAsia" w:hAnsiTheme="majorHAnsi" w:cstheme="majorBidi"/>
        <w:sz w:val="32"/>
        <w:szCs w:val="32"/>
      </w:rPr>
      <w:alias w:val="Title"/>
      <w:id w:val="77738743"/>
      <w:placeholder>
        <w:docPart w:val="90B576A41C3046918F74437A9A42BEA5"/>
      </w:placeholder>
      <w:dataBinding w:prefixMappings="xmlns:ns0='http://schemas.openxmlformats.org/package/2006/metadata/core-properties' xmlns:ns1='http://purl.org/dc/elements/1.1/'" w:xpath="/ns0:coreProperties[1]/ns1:title[1]" w:storeItemID="{6C3C8BC8-F283-45AE-878A-BAB7291924A1}"/>
      <w:text/>
    </w:sdtPr>
    <w:sdtContent>
      <w:p w:rsidR="00FF47B7" w:rsidRDefault="00FF47B7">
        <w:pPr>
          <w:pStyle w:val="Header"/>
          <w:pBdr>
            <w:bottom w:val="thickThinSmallGap" w:sz="24" w:space="1" w:color="622423" w:themeColor="accent2" w:themeShade="7F"/>
          </w:pBdr>
          <w:jc w:val="center"/>
          <w:rPr>
            <w:rFonts w:asciiTheme="majorHAnsi" w:eastAsiaTheme="majorEastAsia" w:hAnsiTheme="majorHAnsi" w:cstheme="majorBidi"/>
            <w:sz w:val="32"/>
            <w:szCs w:val="32"/>
          </w:rPr>
        </w:pPr>
        <w:r>
          <w:rPr>
            <w:rFonts w:asciiTheme="majorHAnsi" w:eastAsiaTheme="majorEastAsia" w:hAnsiTheme="majorHAnsi" w:cstheme="majorBidi"/>
            <w:sz w:val="32"/>
            <w:szCs w:val="32"/>
          </w:rPr>
          <w:t>LCMB7000 HUMAN RESOURCE MANAGEMENT</w:t>
        </w:r>
      </w:p>
    </w:sdtContent>
  </w:sdt>
  <w:p w:rsidR="00FF47B7" w:rsidRDefault="00FF47B7">
    <w:pPr>
      <w:pStyle w:val="Header"/>
    </w:pPr>
  </w:p>
</w:hdr>
</file>

<file path=word/settings.xml><?xml version="1.0" encoding="utf-8"?>
<w:settings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sl="http://schemas.openxmlformats.org/schemaLibrary/2006/main">
  <w:zoom w:percent="100"/>
  <w:defaultTabStop w:val="720"/>
  <w:characterSpacingControl w:val="doNotCompress"/>
  <w:hdrShapeDefaults>
    <o:shapedefaults v:ext="edit" spidmax="21506"/>
  </w:hdrShapeDefaults>
  <w:footnotePr>
    <w:footnote w:id="-1"/>
    <w:footnote w:id="0"/>
  </w:footnotePr>
  <w:endnotePr>
    <w:endnote w:id="-1"/>
    <w:endnote w:id="0"/>
  </w:endnotePr>
  <w:compat/>
  <w:rsids>
    <w:rsidRoot w:val="00FF47B7"/>
    <w:rsid w:val="00021A66"/>
    <w:rsid w:val="00047BE2"/>
    <w:rsid w:val="00084C48"/>
    <w:rsid w:val="000B2D49"/>
    <w:rsid w:val="000C4C4D"/>
    <w:rsid w:val="000E77D6"/>
    <w:rsid w:val="001167AB"/>
    <w:rsid w:val="001612D4"/>
    <w:rsid w:val="00177524"/>
    <w:rsid w:val="001C5E23"/>
    <w:rsid w:val="00206006"/>
    <w:rsid w:val="00224346"/>
    <w:rsid w:val="002E3974"/>
    <w:rsid w:val="0031260B"/>
    <w:rsid w:val="00364315"/>
    <w:rsid w:val="00374FE9"/>
    <w:rsid w:val="003922B8"/>
    <w:rsid w:val="00394F50"/>
    <w:rsid w:val="003A52E5"/>
    <w:rsid w:val="003C691A"/>
    <w:rsid w:val="003D2EB6"/>
    <w:rsid w:val="003F7613"/>
    <w:rsid w:val="004756D2"/>
    <w:rsid w:val="0050509E"/>
    <w:rsid w:val="0056599A"/>
    <w:rsid w:val="00570077"/>
    <w:rsid w:val="005B195A"/>
    <w:rsid w:val="005C669E"/>
    <w:rsid w:val="0061002A"/>
    <w:rsid w:val="00610180"/>
    <w:rsid w:val="0065476C"/>
    <w:rsid w:val="00695EED"/>
    <w:rsid w:val="006A274E"/>
    <w:rsid w:val="00755DE1"/>
    <w:rsid w:val="00771D3E"/>
    <w:rsid w:val="007C427C"/>
    <w:rsid w:val="007D6BCD"/>
    <w:rsid w:val="00801BC3"/>
    <w:rsid w:val="00827023"/>
    <w:rsid w:val="00832EFB"/>
    <w:rsid w:val="00886439"/>
    <w:rsid w:val="008A58D0"/>
    <w:rsid w:val="008C2B32"/>
    <w:rsid w:val="008C4743"/>
    <w:rsid w:val="00923AA7"/>
    <w:rsid w:val="00951E94"/>
    <w:rsid w:val="009850F5"/>
    <w:rsid w:val="00992B65"/>
    <w:rsid w:val="00A56E4C"/>
    <w:rsid w:val="00AC023F"/>
    <w:rsid w:val="00AC0349"/>
    <w:rsid w:val="00AC17F6"/>
    <w:rsid w:val="00B04131"/>
    <w:rsid w:val="00B43EDD"/>
    <w:rsid w:val="00BC5162"/>
    <w:rsid w:val="00BD7C89"/>
    <w:rsid w:val="00BE08C4"/>
    <w:rsid w:val="00C45A5F"/>
    <w:rsid w:val="00C548A6"/>
    <w:rsid w:val="00C66D8F"/>
    <w:rsid w:val="00C71E26"/>
    <w:rsid w:val="00C7583E"/>
    <w:rsid w:val="00C8328C"/>
    <w:rsid w:val="00CA528B"/>
    <w:rsid w:val="00CB0E75"/>
    <w:rsid w:val="00CC33AE"/>
    <w:rsid w:val="00CD78FF"/>
    <w:rsid w:val="00D05B76"/>
    <w:rsid w:val="00D173A2"/>
    <w:rsid w:val="00D4436A"/>
    <w:rsid w:val="00D850AE"/>
    <w:rsid w:val="00E21B05"/>
    <w:rsid w:val="00E24E57"/>
    <w:rsid w:val="00E36740"/>
    <w:rsid w:val="00E65A83"/>
    <w:rsid w:val="00EA09EC"/>
    <w:rsid w:val="00EE1543"/>
    <w:rsid w:val="00EF3A8C"/>
    <w:rsid w:val="00FF42E9"/>
    <w:rsid w:val="00FF47B7"/>
  </w:rsids>
  <m:mathPr>
    <m:mathFont m:val="Cambria Math"/>
    <m:brkBin m:val="before"/>
    <m:brkBinSub m:val="--"/>
    <m:smallFrac m:val="off"/>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21506"/>
    <o:shapelayout v:ext="edit">
      <o:idmap v:ext="edit" data="1"/>
    </o:shapelayout>
  </w:shapeDefault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eastAsiaTheme="minorHAnsi" w:hAnsiTheme="minorHAnsi" w:cstheme="minorBidi"/>
        <w:sz w:val="22"/>
        <w:szCs w:val="22"/>
        <w:lang w:val="en-US"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rsid w:val="00E24E57"/>
  </w:style>
  <w:style w:type="character" w:default="1" w:styleId="DefaultParagraphFont">
    <w:name w:val="Default Paragraph Font"/>
    <w:uiPriority w:val="1"/>
    <w:semiHidden/>
    <w:unhideWhenUsed/>
  </w:style>
  <w:style w:type="table" w:default="1" w:styleId="TableNormal">
    <w:name w:val="Normal Table"/>
    <w:uiPriority w:val="99"/>
    <w:semiHidden/>
    <w:unhideWhenUsed/>
    <w:qFormat/>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BalloonText">
    <w:name w:val="Balloon Text"/>
    <w:basedOn w:val="Normal"/>
    <w:link w:val="BalloonTextChar"/>
    <w:uiPriority w:val="99"/>
    <w:semiHidden/>
    <w:unhideWhenUsed/>
    <w:rsid w:val="00FF47B7"/>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FF47B7"/>
    <w:rPr>
      <w:rFonts w:ascii="Tahoma" w:hAnsi="Tahoma" w:cs="Tahoma"/>
      <w:sz w:val="16"/>
      <w:szCs w:val="16"/>
    </w:rPr>
  </w:style>
  <w:style w:type="paragraph" w:styleId="Header">
    <w:name w:val="header"/>
    <w:basedOn w:val="Normal"/>
    <w:link w:val="HeaderChar"/>
    <w:uiPriority w:val="99"/>
    <w:unhideWhenUsed/>
    <w:rsid w:val="00FF47B7"/>
    <w:pPr>
      <w:tabs>
        <w:tab w:val="center" w:pos="4680"/>
        <w:tab w:val="right" w:pos="9360"/>
      </w:tabs>
      <w:spacing w:after="0" w:line="240" w:lineRule="auto"/>
    </w:pPr>
  </w:style>
  <w:style w:type="character" w:customStyle="1" w:styleId="HeaderChar">
    <w:name w:val="Header Char"/>
    <w:basedOn w:val="DefaultParagraphFont"/>
    <w:link w:val="Header"/>
    <w:uiPriority w:val="99"/>
    <w:rsid w:val="00FF47B7"/>
  </w:style>
  <w:style w:type="paragraph" w:styleId="Footer">
    <w:name w:val="footer"/>
    <w:basedOn w:val="Normal"/>
    <w:link w:val="FooterChar"/>
    <w:uiPriority w:val="99"/>
    <w:unhideWhenUsed/>
    <w:rsid w:val="00FF47B7"/>
    <w:pPr>
      <w:tabs>
        <w:tab w:val="center" w:pos="4680"/>
        <w:tab w:val="right" w:pos="9360"/>
      </w:tabs>
      <w:spacing w:after="0" w:line="240" w:lineRule="auto"/>
    </w:pPr>
  </w:style>
  <w:style w:type="character" w:customStyle="1" w:styleId="FooterChar">
    <w:name w:val="Footer Char"/>
    <w:basedOn w:val="DefaultParagraphFont"/>
    <w:link w:val="Footer"/>
    <w:uiPriority w:val="99"/>
    <w:rsid w:val="00FF47B7"/>
  </w:style>
  <w:style w:type="table" w:styleId="TableGrid">
    <w:name w:val="Table Grid"/>
    <w:basedOn w:val="TableNormal"/>
    <w:uiPriority w:val="59"/>
    <w:rsid w:val="00FF47B7"/>
    <w:pPr>
      <w:spacing w:after="0" w:line="240" w:lineRule="auto"/>
    </w:pPr>
    <w:tblPr>
      <w:tblInd w:w="0" w:type="dxa"/>
      <w:tblBorders>
        <w:top w:val="single" w:sz="4" w:space="0" w:color="000000" w:themeColor="text1"/>
        <w:left w:val="single" w:sz="4" w:space="0" w:color="000000" w:themeColor="text1"/>
        <w:bottom w:val="single" w:sz="4" w:space="0" w:color="000000" w:themeColor="text1"/>
        <w:right w:val="single" w:sz="4" w:space="0" w:color="000000" w:themeColor="text1"/>
        <w:insideH w:val="single" w:sz="4" w:space="0" w:color="000000" w:themeColor="text1"/>
        <w:insideV w:val="single" w:sz="4" w:space="0" w:color="000000" w:themeColor="text1"/>
      </w:tblBorders>
      <w:tblCellMar>
        <w:top w:w="0" w:type="dxa"/>
        <w:left w:w="108" w:type="dxa"/>
        <w:bottom w:w="0" w:type="dxa"/>
        <w:right w:w="108" w:type="dxa"/>
      </w:tblCellMar>
    </w:tblPr>
  </w:style>
  <w:style w:type="character" w:styleId="Hyperlink">
    <w:name w:val="Hyperlink"/>
    <w:basedOn w:val="DefaultParagraphFont"/>
    <w:uiPriority w:val="99"/>
    <w:unhideWhenUsed/>
    <w:rsid w:val="0056599A"/>
    <w:rPr>
      <w:color w:val="0000FF" w:themeColor="hyperlink"/>
      <w:u w:val="single"/>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8" Type="http://schemas.openxmlformats.org/officeDocument/2006/relationships/hyperlink" Target="http://www.forbes.com/sites/joshbersin/2013/07/19/the-datafication-of-human-resources/" TargetMode="External"/><Relationship Id="rId13" Type="http://schemas.openxmlformats.org/officeDocument/2006/relationships/footer" Target="footer1.xml"/><Relationship Id="rId3" Type="http://schemas.openxmlformats.org/officeDocument/2006/relationships/settings" Target="settings.xml"/><Relationship Id="rId7" Type="http://schemas.openxmlformats.org/officeDocument/2006/relationships/image" Target="media/image1.png"/><Relationship Id="rId12" Type="http://schemas.openxmlformats.org/officeDocument/2006/relationships/header" Target="header1.xml"/><Relationship Id="rId2" Type="http://schemas.openxmlformats.org/officeDocument/2006/relationships/styles" Target="styles.xml"/><Relationship Id="rId16" Type="http://schemas.openxmlformats.org/officeDocument/2006/relationships/theme" Target="theme/theme1.xml"/><Relationship Id="rId1" Type="http://schemas.openxmlformats.org/officeDocument/2006/relationships/customXml" Target="../customXml/item1.xml"/><Relationship Id="rId6" Type="http://schemas.openxmlformats.org/officeDocument/2006/relationships/endnotes" Target="endnotes.xml"/><Relationship Id="rId11" Type="http://schemas.openxmlformats.org/officeDocument/2006/relationships/hyperlink" Target="http://rbl.net/index.php/hrcs/index/overview" TargetMode="External"/><Relationship Id="rId5" Type="http://schemas.openxmlformats.org/officeDocument/2006/relationships/footnotes" Target="footnotes.xml"/><Relationship Id="rId15" Type="http://schemas.openxmlformats.org/officeDocument/2006/relationships/glossaryDocument" Target="glossary/document.xml"/><Relationship Id="rId10" Type="http://schemas.openxmlformats.org/officeDocument/2006/relationships/hyperlink" Target="NULL" TargetMode="External"/><Relationship Id="rId4" Type="http://schemas.openxmlformats.org/officeDocument/2006/relationships/webSettings" Target="webSettings.xml"/><Relationship Id="rId9" Type="http://schemas.openxmlformats.org/officeDocument/2006/relationships/hyperlink" Target="http://www.nationaljournal.com/pressroom/new-allstate-national-journal-heartlan-monitor-poll-finds-narrow-majority-of-americanssee-work-life-balance-as-attainable" TargetMode="External"/><Relationship Id="rId14" Type="http://schemas.openxmlformats.org/officeDocument/2006/relationships/fontTable" Target="fontTable.xml"/></Relationships>
</file>

<file path=word/glossary/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4" Type="http://schemas.openxmlformats.org/officeDocument/2006/relationships/fontTable" Target="fontTable.xml"/></Relationships>
</file>

<file path=word/glossary/document.xml><?xml version="1.0" encoding="utf-8"?>
<w:glossary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docParts>
    <w:docPart>
      <w:docPartPr>
        <w:name w:val="90B576A41C3046918F74437A9A42BEA5"/>
        <w:category>
          <w:name w:val="General"/>
          <w:gallery w:val="placeholder"/>
        </w:category>
        <w:types>
          <w:type w:val="bbPlcHdr"/>
        </w:types>
        <w:behaviors>
          <w:behavior w:val="content"/>
        </w:behaviors>
        <w:guid w:val="{0ECE0DEA-B0E4-4F0E-9C75-055C3719D84A}"/>
      </w:docPartPr>
      <w:docPartBody>
        <w:p w:rsidR="00B6365A" w:rsidRDefault="00AC0194" w:rsidP="00AC0194">
          <w:pPr>
            <w:pStyle w:val="90B576A41C3046918F74437A9A42BEA5"/>
          </w:pPr>
          <w:r>
            <w:rPr>
              <w:rFonts w:asciiTheme="majorHAnsi" w:eastAsiaTheme="majorEastAsia" w:hAnsiTheme="majorHAnsi" w:cstheme="majorBidi"/>
              <w:sz w:val="32"/>
              <w:szCs w:val="32"/>
            </w:rPr>
            <w:t>[Type the document title]</w:t>
          </w:r>
        </w:p>
      </w:docPartBody>
    </w:docPart>
  </w:docParts>
</w:glossaryDocument>
</file>

<file path=word/glossary/fontTable.xml><?xml version="1.0" encoding="utf-8"?>
<w:fonts xmlns:r="http://schemas.openxmlformats.org/officeDocument/2006/relationships" xmlns:w="http://schemas.openxmlformats.org/wordprocessingml/2006/main">
  <w:font w:name="Calibri">
    <w:panose1 w:val="020F0502020204030204"/>
    <w:charset w:val="00"/>
    <w:family w:val="swiss"/>
    <w:pitch w:val="variable"/>
    <w:sig w:usb0="E0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Tahoma">
    <w:panose1 w:val="020B0604030504040204"/>
    <w:charset w:val="00"/>
    <w:family w:val="swiss"/>
    <w:notTrueType/>
    <w:pitch w:val="variable"/>
    <w:sig w:usb0="00000003" w:usb1="00000000" w:usb2="00000000" w:usb3="00000000" w:csb0="00000001" w:csb1="00000000"/>
  </w:font>
  <w:font w:name="Cambria">
    <w:panose1 w:val="02040503050406030204"/>
    <w:charset w:val="00"/>
    <w:family w:val="roman"/>
    <w:pitch w:val="variable"/>
    <w:sig w:usb0="E00006FF" w:usb1="420024FF" w:usb2="02000000" w:usb3="00000000" w:csb0="0000019F" w:csb1="00000000"/>
  </w:font>
</w:fonts>
</file>

<file path=word/glossary/settings.xml><?xml version="1.0" encoding="utf-8"?>
<w:settings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sl="http://schemas.openxmlformats.org/schemaLibrary/2006/main">
  <w:view w:val="normal"/>
  <w:defaultTabStop w:val="720"/>
  <w:characterSpacingControl w:val="doNotCompress"/>
  <w:compat>
    <w:useFELayout/>
  </w:compat>
  <w:rsids>
    <w:rsidRoot w:val="00AC0194"/>
    <w:rsid w:val="00101F73"/>
    <w:rsid w:val="00525006"/>
    <w:rsid w:val="00677D5F"/>
    <w:rsid w:val="009A1DB7"/>
    <w:rsid w:val="00AC0194"/>
    <w:rsid w:val="00B6365A"/>
    <w:rsid w:val="00BA753B"/>
    <w:rsid w:val="00F547E3"/>
  </w:rsids>
  <m:mathPr>
    <m:mathFont m:val="Cambria Math"/>
    <m:brkBin m:val="before"/>
    <m:brkBinSub m:val="--"/>
    <m:smallFrac m:val="off"/>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decimalSymbol w:val="."/>
  <w:listSeparator w:val=","/>
</w:settings>
</file>

<file path=word/glossary/styles.xml><?xml version="1.0" encoding="utf-8"?>
<w:styles xmlns:r="http://schemas.openxmlformats.org/officeDocument/2006/relationships" xmlns:w="http://schemas.openxmlformats.org/wordprocessingml/2006/main">
  <w:docDefaults>
    <w:rPrDefault>
      <w:rPr>
        <w:rFonts w:asciiTheme="minorHAnsi" w:eastAsiaTheme="minorEastAsia" w:hAnsiTheme="minorHAnsi" w:cstheme="minorBidi"/>
        <w:sz w:val="22"/>
        <w:szCs w:val="22"/>
        <w:lang w:val="en-US"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rsid w:val="00B6365A"/>
  </w:style>
  <w:style w:type="character" w:default="1" w:styleId="DefaultParagraphFont">
    <w:name w:val="Default Paragraph Font"/>
    <w:uiPriority w:val="1"/>
    <w:semiHidden/>
    <w:unhideWhenUsed/>
  </w:style>
  <w:style w:type="table" w:default="1" w:styleId="TableNormal">
    <w:name w:val="Normal Table"/>
    <w:uiPriority w:val="99"/>
    <w:semiHidden/>
    <w:unhideWhenUsed/>
    <w:qFormat/>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90B576A41C3046918F74437A9A42BEA5">
    <w:name w:val="90B576A41C3046918F74437A9A42BEA5"/>
    <w:rsid w:val="00AC0194"/>
  </w:style>
</w:styles>
</file>

<file path=word/glossary/webSettings.xml><?xml version="1.0" encoding="utf-8"?>
<w:webSettings xmlns:r="http://schemas.openxmlformats.org/officeDocument/2006/relationships" xmlns:w="http://schemas.openxmlformats.org/wordprocessingml/2006/main">
  <w:optimizeForBrowser/>
</w:webSetting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49BB1A2D-156C-41DB-8D26-579EC74D19DD}">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13</Pages>
  <Words>3038</Words>
  <Characters>17321</Characters>
  <Application>Microsoft Office Word</Application>
  <DocSecurity>0</DocSecurity>
  <Lines>144</Lines>
  <Paragraphs>40</Paragraphs>
  <ScaleCrop>false</ScaleCrop>
  <HeadingPairs>
    <vt:vector size="2" baseType="variant">
      <vt:variant>
        <vt:lpstr>Title</vt:lpstr>
      </vt:variant>
      <vt:variant>
        <vt:i4>1</vt:i4>
      </vt:variant>
    </vt:vector>
  </HeadingPairs>
  <TitlesOfParts>
    <vt:vector size="1" baseType="lpstr">
      <vt:lpstr>LCMB7000 HUMAN RESOURCE MANAGEMENT</vt:lpstr>
    </vt:vector>
  </TitlesOfParts>
  <Company/>
  <LinksUpToDate>false</LinksUpToDate>
  <CharactersWithSpaces>20319</CharactersWithSpaces>
  <SharedDoc>false</SharedDoc>
  <HyperlinksChanged>false</HyperlinksChanged>
  <AppVersion>12.0000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LCMB7000 HUMAN RESOURCE MANAGEMENT</dc:title>
  <dc:creator>hp</dc:creator>
  <cp:lastModifiedBy>hp</cp:lastModifiedBy>
  <cp:revision>2</cp:revision>
  <dcterms:created xsi:type="dcterms:W3CDTF">2021-04-25T02:39:00Z</dcterms:created>
  <dcterms:modified xsi:type="dcterms:W3CDTF">2021-04-25T02:39:00Z</dcterms:modified>
</cp:coreProperties>
</file>