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F124055" w14:textId="106DEEA8" w:rsidR="00C53C26" w:rsidRPr="00627230" w:rsidRDefault="00C53C26" w:rsidP="00BB0F15">
      <w:pPr>
        <w:ind w:firstLine="0"/>
        <w:rPr>
          <w:rFonts w:asciiTheme="minorHAnsi" w:hAnsiTheme="minorHAnsi" w:cstheme="minorHAnsi"/>
          <w:szCs w:val="24"/>
        </w:rPr>
      </w:pPr>
      <w:r w:rsidRPr="00627230">
        <w:rPr>
          <w:rFonts w:asciiTheme="minorHAnsi" w:hAnsiTheme="minorHAnsi" w:cstheme="minorHAnsi"/>
          <w:szCs w:val="24"/>
        </w:rPr>
        <w:t xml:space="preserve">The aim of the essay is to analyse the principles of Direct Effect, indirect effect and Member State responsibility for Van Gen den Loos' case for the new legal order of international </w:t>
      </w:r>
      <w:r w:rsidR="008267D6" w:rsidRPr="00627230">
        <w:rPr>
          <w:rFonts w:asciiTheme="minorHAnsi" w:hAnsiTheme="minorHAnsi" w:cstheme="minorHAnsi"/>
          <w:szCs w:val="24"/>
        </w:rPr>
        <w:t>law. ‘In</w:t>
      </w:r>
      <w:r w:rsidRPr="00627230">
        <w:rPr>
          <w:rFonts w:asciiTheme="minorHAnsi" w:hAnsiTheme="minorHAnsi" w:cstheme="minorHAnsi"/>
          <w:szCs w:val="24"/>
        </w:rPr>
        <w:t xml:space="preserve"> proceedings before national courts, the direct effect permits reliance on EU legislation and the essay will consider Van Gen den Loos' effect in this field. Van Duyn and how direct effect was affected by the Defrenne (No 2) and his commentary on the horizontal direct effect and the vertical direct effect. This principle changed its importance over </w:t>
      </w:r>
      <w:r w:rsidR="008267D6" w:rsidRPr="00627230">
        <w:rPr>
          <w:rFonts w:asciiTheme="minorHAnsi" w:hAnsiTheme="minorHAnsi" w:cstheme="minorHAnsi"/>
          <w:szCs w:val="24"/>
        </w:rPr>
        <w:t>time,</w:t>
      </w:r>
      <w:r w:rsidRPr="00627230">
        <w:rPr>
          <w:rFonts w:asciiTheme="minorHAnsi" w:hAnsiTheme="minorHAnsi" w:cstheme="minorHAnsi"/>
          <w:szCs w:val="24"/>
        </w:rPr>
        <w:t xml:space="preserve"> and it will be discussing the reason for this change with the concept of state emanation. As this established the principle of Member State liability, the Francovich case will be taken into consideration because, in this case, there had been no direct effect or indirect effect. The reason was again of relevance under Article 4.3 and the claim for damages was permitted here against Italy and what effect it had on the new order of international law' in this respect. The Brasserie du Pecheur outlined 3 conditions and refers to the consequences on individual Member States with special emphasis on the severity of any infringement as well as on how 'gravity' has been defined by the jurisdiction.</w:t>
      </w:r>
    </w:p>
    <w:p w14:paraId="594CFC10" w14:textId="77777777" w:rsidR="00C53C26" w:rsidRPr="00627230" w:rsidRDefault="00C53C26" w:rsidP="00C53C26">
      <w:pPr>
        <w:pStyle w:val="Heading2"/>
        <w:rPr>
          <w:rFonts w:asciiTheme="minorHAnsi" w:hAnsiTheme="minorHAnsi" w:cstheme="minorHAnsi"/>
          <w:szCs w:val="24"/>
        </w:rPr>
      </w:pPr>
      <w:r w:rsidRPr="00627230">
        <w:rPr>
          <w:rFonts w:asciiTheme="minorHAnsi" w:hAnsiTheme="minorHAnsi" w:cstheme="minorHAnsi"/>
          <w:szCs w:val="24"/>
        </w:rPr>
        <w:t>Van Gen den Loos</w:t>
      </w:r>
    </w:p>
    <w:p w14:paraId="796EE9FF" w14:textId="4375A142" w:rsidR="00C53C26" w:rsidRPr="00627230" w:rsidRDefault="00C53C26" w:rsidP="00BB0F15">
      <w:pPr>
        <w:ind w:firstLine="0"/>
        <w:rPr>
          <w:rFonts w:asciiTheme="minorHAnsi" w:hAnsiTheme="minorHAnsi" w:cstheme="minorHAnsi"/>
          <w:szCs w:val="24"/>
        </w:rPr>
      </w:pPr>
      <w:r w:rsidRPr="00627230">
        <w:rPr>
          <w:rFonts w:asciiTheme="minorHAnsi" w:hAnsiTheme="minorHAnsi" w:cstheme="minorHAnsi"/>
          <w:szCs w:val="24"/>
        </w:rPr>
        <w:t xml:space="preserve">With regards to the case law that was developed by the European Court of Justice, </w:t>
      </w:r>
      <w:r w:rsidR="008267D6" w:rsidRPr="00627230">
        <w:rPr>
          <w:rFonts w:asciiTheme="minorHAnsi" w:hAnsiTheme="minorHAnsi" w:cstheme="minorHAnsi"/>
          <w:szCs w:val="24"/>
        </w:rPr>
        <w:t>i.e.,</w:t>
      </w:r>
      <w:r w:rsidRPr="00627230">
        <w:rPr>
          <w:rFonts w:asciiTheme="minorHAnsi" w:hAnsiTheme="minorHAnsi" w:cstheme="minorHAnsi"/>
          <w:szCs w:val="24"/>
        </w:rPr>
        <w:t xml:space="preserve"> the Van Gend en Loos case law; the following article claims that, since this case was decided, there have been three major shifts in the EU Law’s impact in the national courts. Firstly, the existence, as the method is based on a combination of standards on judicial reasoning and comparison of the same, which has become a driving force for EU law in the courts, of a particular category. Moreover, this suggests that the selection process between EU law provisions, does not cause problem anymore (Muse, 2020). Secondly, concerns about obligations, which have been imposed on individuals by the Treaty, and, more broadly, the mechanism by which this horizontal impact is accomplished are overshadowed by the </w:t>
      </w:r>
      <w:r w:rsidRPr="00627230">
        <w:rPr>
          <w:rFonts w:asciiTheme="minorHAnsi" w:hAnsiTheme="minorHAnsi" w:cstheme="minorHAnsi"/>
          <w:szCs w:val="24"/>
        </w:rPr>
        <w:lastRenderedPageBreak/>
        <w:t>possibility for individuals of claiming (subjective) rights on the basis of the Treaty. Third, direct enforcement, which directly refers to application of the roles and responsibilities of the EU laws on the national courts; it is now combined with one prior issue to be answered by the courts which has become even more sensitive than before: the question of the application of EU law and national (constitutional) law (Kornobis-Romanowska, 2018).</w:t>
      </w:r>
    </w:p>
    <w:p w14:paraId="2F13C2F7" w14:textId="77777777" w:rsidR="00C53C26" w:rsidRPr="00627230" w:rsidRDefault="00C53C26" w:rsidP="00BB0F15">
      <w:pPr>
        <w:ind w:firstLine="0"/>
        <w:rPr>
          <w:rFonts w:asciiTheme="minorHAnsi" w:hAnsiTheme="minorHAnsi" w:cstheme="minorHAnsi"/>
          <w:szCs w:val="24"/>
        </w:rPr>
      </w:pPr>
      <w:r w:rsidRPr="00627230">
        <w:rPr>
          <w:rFonts w:asciiTheme="minorHAnsi" w:hAnsiTheme="minorHAnsi" w:cstheme="minorHAnsi"/>
          <w:szCs w:val="24"/>
        </w:rPr>
        <w:t xml:space="preserve">The reason for all this attention is that the ECJ has appointed and formed a new legal ordinance still to be differentiated by direct impact on its nationals and on Member States itself from a whole set of provisions applicable. That is one of the points of revolution in European legal and political integration's history. The decision is therefore considered to be a moment of passage (Moorhead, 2012). In conjunction with </w:t>
      </w:r>
      <w:r w:rsidRPr="00627230">
        <w:rPr>
          <w:rFonts w:asciiTheme="minorHAnsi" w:hAnsiTheme="minorHAnsi" w:cstheme="minorHAnsi"/>
          <w:i/>
          <w:iCs/>
          <w:szCs w:val="24"/>
        </w:rPr>
        <w:t>Costa v. E.N.E.L.</w:t>
      </w:r>
      <w:r w:rsidRPr="00627230">
        <w:rPr>
          <w:rFonts w:asciiTheme="minorHAnsi" w:hAnsiTheme="minorHAnsi" w:cstheme="minorHAnsi"/>
          <w:szCs w:val="24"/>
        </w:rPr>
        <w:t xml:space="preserve"> and the concept of primacy, Van Gend en Loos permitted a significant expansion in national courts of the EU's law results, a development that was fostered through the medium of preliminary rulings through a dialogue, which was held between the same courts and the ECJ (Komarova, 2017). </w:t>
      </w:r>
    </w:p>
    <w:p w14:paraId="242B43CA" w14:textId="77777777" w:rsidR="00C53C26" w:rsidRPr="00627230" w:rsidRDefault="00C53C26" w:rsidP="00C53C26">
      <w:pPr>
        <w:pStyle w:val="Heading2"/>
        <w:rPr>
          <w:rFonts w:asciiTheme="minorHAnsi" w:hAnsiTheme="minorHAnsi" w:cstheme="minorHAnsi"/>
          <w:szCs w:val="24"/>
        </w:rPr>
      </w:pPr>
      <w:r w:rsidRPr="00627230">
        <w:rPr>
          <w:rFonts w:asciiTheme="minorHAnsi" w:hAnsiTheme="minorHAnsi" w:cstheme="minorHAnsi"/>
          <w:szCs w:val="24"/>
        </w:rPr>
        <w:t>Direct Effect</w:t>
      </w:r>
    </w:p>
    <w:p w14:paraId="2AD46FDB" w14:textId="77777777" w:rsidR="00C53C26" w:rsidRPr="00627230" w:rsidRDefault="00C53C26" w:rsidP="00BB0F15">
      <w:pPr>
        <w:ind w:firstLine="0"/>
        <w:rPr>
          <w:rFonts w:asciiTheme="minorHAnsi" w:hAnsiTheme="minorHAnsi" w:cstheme="minorHAnsi"/>
          <w:szCs w:val="24"/>
        </w:rPr>
      </w:pPr>
      <w:r w:rsidRPr="00627230">
        <w:rPr>
          <w:rFonts w:asciiTheme="minorHAnsi" w:hAnsiTheme="minorHAnsi" w:cstheme="minorHAnsi"/>
          <w:szCs w:val="24"/>
        </w:rPr>
        <w:t xml:space="preserve">Continuing on the Van Gen den Loos case law, as affirmed in the ruling, the doctrine of "direct effect" remains an important aspect, which, in order to enter the nation’s legal system, is used by the EU law. The efficacy of the provisions of the EU treaties owes much to the role of national courts in the European Community (EC) 'new legal order,' namely the preservation of the rights of individuals granted by the Treaty (Moreno-Lax , 2019). However, since the judgement of the Van Gend en Loos was decided along with the dramatic European transformation, EU law has changed in so many different ways that one could doubt that the case will be useful in resolving current issues with regard to the impact of European law on national courts. Certainly, the doctrine of direct effect was not questioned. The fact the </w:t>
      </w:r>
      <w:r w:rsidRPr="00627230">
        <w:rPr>
          <w:rFonts w:asciiTheme="minorHAnsi" w:hAnsiTheme="minorHAnsi" w:cstheme="minorHAnsi"/>
          <w:szCs w:val="24"/>
        </w:rPr>
        <w:lastRenderedPageBreak/>
        <w:t>national courts could use certain aspects of the EU law to assert subjective rights remains relevant. Moreover, it is considered to be an important feature of the EU's legal order. But the influence in national court of EU law has been so diversified and so nuanced that only a small fraction of EU law-enforcement problems tends to be taken from Van Gend en Loos. Van Gend de Loos, on the contrary, seems to have no more detailed idea of how EU law penetrates Member States in national courts through its implementation (Moreno-Lax and Gragl, 2016).</w:t>
      </w:r>
    </w:p>
    <w:p w14:paraId="32D3E55F" w14:textId="44E7760E" w:rsidR="00C53C26" w:rsidRPr="00627230" w:rsidRDefault="00C53C26" w:rsidP="00BB0F15">
      <w:pPr>
        <w:ind w:firstLine="0"/>
        <w:rPr>
          <w:rFonts w:asciiTheme="minorHAnsi" w:hAnsiTheme="minorHAnsi" w:cstheme="minorHAnsi"/>
          <w:szCs w:val="24"/>
        </w:rPr>
      </w:pPr>
      <w:r w:rsidRPr="00627230">
        <w:rPr>
          <w:rFonts w:asciiTheme="minorHAnsi" w:hAnsiTheme="minorHAnsi" w:cstheme="minorHAnsi"/>
          <w:szCs w:val="24"/>
        </w:rPr>
        <w:t xml:space="preserve">The horizontal immediate effect was transferred to the European Court of Justice (ECJ) by reliance on treaty provisional rules that provide an example in the case of </w:t>
      </w:r>
      <w:r w:rsidRPr="00627230">
        <w:rPr>
          <w:rFonts w:asciiTheme="minorHAnsi" w:hAnsiTheme="minorHAnsi" w:cstheme="minorHAnsi"/>
          <w:i/>
          <w:iCs/>
          <w:szCs w:val="24"/>
        </w:rPr>
        <w:t>Defrenne v. SABENA</w:t>
      </w:r>
      <w:r w:rsidRPr="00627230">
        <w:rPr>
          <w:rFonts w:asciiTheme="minorHAnsi" w:hAnsiTheme="minorHAnsi" w:cstheme="minorHAnsi"/>
          <w:szCs w:val="24"/>
        </w:rPr>
        <w:t xml:space="preserve"> [1974] ECR 631, where the Defence has The Horizontal Direct Effect has been transferred by the European Court of Justice. Article 249 of the EC Directive states as follows ‘The Directive shall be binding for each Member State to which it is referred on the outcomes it will achieve but shall leave the option of form and methods for the national authorities’ (Tetyana, 2017). The ECJ decided that these Directives could have a direct impact, albeit in a restricted manner, as in </w:t>
      </w:r>
      <w:r w:rsidRPr="00627230">
        <w:rPr>
          <w:rFonts w:asciiTheme="minorHAnsi" w:hAnsiTheme="minorHAnsi" w:cstheme="minorHAnsi"/>
          <w:i/>
          <w:iCs/>
          <w:szCs w:val="24"/>
        </w:rPr>
        <w:t>Grad v Finanzamt Traunstein</w:t>
      </w:r>
      <w:r w:rsidRPr="00627230">
        <w:rPr>
          <w:rFonts w:asciiTheme="minorHAnsi" w:hAnsiTheme="minorHAnsi" w:cstheme="minorHAnsi"/>
          <w:szCs w:val="24"/>
        </w:rPr>
        <w:t xml:space="preserve"> [1970] ECR 825, it was decided by the ECJ that there is a direct relationship between Directive and the VAT case, </w:t>
      </w:r>
      <w:r w:rsidR="008267D6" w:rsidRPr="00627230">
        <w:rPr>
          <w:rFonts w:asciiTheme="minorHAnsi" w:hAnsiTheme="minorHAnsi" w:cstheme="minorHAnsi"/>
          <w:szCs w:val="24"/>
        </w:rPr>
        <w:t>i.e.,</w:t>
      </w:r>
      <w:r w:rsidRPr="00627230">
        <w:rPr>
          <w:rFonts w:asciiTheme="minorHAnsi" w:hAnsiTheme="minorHAnsi" w:cstheme="minorHAnsi"/>
          <w:szCs w:val="24"/>
        </w:rPr>
        <w:t xml:space="preserve"> direct effect (Mude, 2019).</w:t>
      </w:r>
    </w:p>
    <w:p w14:paraId="06134BED" w14:textId="77777777" w:rsidR="00C53C26" w:rsidRPr="00627230" w:rsidRDefault="00C53C26" w:rsidP="00BB0F15">
      <w:pPr>
        <w:ind w:firstLine="0"/>
        <w:rPr>
          <w:rFonts w:asciiTheme="minorHAnsi" w:hAnsiTheme="minorHAnsi" w:cstheme="minorHAnsi"/>
          <w:szCs w:val="24"/>
        </w:rPr>
      </w:pPr>
      <w:r w:rsidRPr="00627230">
        <w:rPr>
          <w:rFonts w:asciiTheme="minorHAnsi" w:hAnsiTheme="minorHAnsi" w:cstheme="minorHAnsi"/>
          <w:szCs w:val="24"/>
        </w:rPr>
        <w:t>There is a clear distinction between EU legislation before the national courts and the Van Gend en Loos definition of the direct influence of the different ways by which, in turn, the EU law principles are invoked: the blend of standards from various sources of law. In fact, in some cases, it would appear that the EU law’s effectiveness depends on the relationships they had, rather than on the principles of the legal force that were invoked in front of the Court. Certainly, this phenomenon does not fall within EU law, but, considering the unique set of requirements of that legal order, it takes special forms of EU law (De Witte, 2017).</w:t>
      </w:r>
    </w:p>
    <w:p w14:paraId="2D54717B" w14:textId="31F4FA2C" w:rsidR="00C53C26" w:rsidRPr="00627230" w:rsidRDefault="00C53C26" w:rsidP="00BB0F15">
      <w:pPr>
        <w:ind w:firstLine="0"/>
        <w:rPr>
          <w:rFonts w:asciiTheme="minorHAnsi" w:hAnsiTheme="minorHAnsi" w:cstheme="minorHAnsi"/>
          <w:szCs w:val="24"/>
        </w:rPr>
      </w:pPr>
      <w:r w:rsidRPr="00627230">
        <w:rPr>
          <w:rFonts w:asciiTheme="minorHAnsi" w:hAnsiTheme="minorHAnsi" w:cstheme="minorHAnsi"/>
          <w:szCs w:val="24"/>
        </w:rPr>
        <w:lastRenderedPageBreak/>
        <w:t>Van Gend en Loos meant that EU norms of direct effect were identified by judges: these norms may be the basis of subjective rights. In this case, various types of criteria were differentiated and constituted according to their ability to achieve a direct impact. Even if it does not end and the taxonomical business has to proceed; considering that new EU law provisions are being put in practice with ambiguity, it is less important than previously to assess the accuracy of the effect of each legislation (Kuijper, 2013). The influence of the same normative combinations has been rendered comparatively less important. The Court already stated in Van Gend en Loos the conditions which should be considered to differentiate between EU law standards: the provisions in question should be simple, specific and unconditional, in order to produce a direct effect. The case law suggests that these requirements were widely interpreted, particularly where the terms of the Treaties were concerned, and ‘justiciability’ of the law became the only true prerequisite to allow effective compliance.  For example, this led to the direct impact of all provisions on freedom of movement (Mude, 2020).</w:t>
      </w:r>
    </w:p>
    <w:p w14:paraId="1B923FDF" w14:textId="77777777" w:rsidR="00C53C26" w:rsidRPr="00627230" w:rsidRDefault="00C53C26" w:rsidP="00C53C26">
      <w:pPr>
        <w:pStyle w:val="Heading2"/>
        <w:rPr>
          <w:rFonts w:asciiTheme="minorHAnsi" w:hAnsiTheme="minorHAnsi" w:cstheme="minorHAnsi"/>
          <w:szCs w:val="24"/>
        </w:rPr>
      </w:pPr>
      <w:r w:rsidRPr="00627230">
        <w:rPr>
          <w:rFonts w:asciiTheme="minorHAnsi" w:hAnsiTheme="minorHAnsi" w:cstheme="minorHAnsi"/>
          <w:szCs w:val="24"/>
        </w:rPr>
        <w:t>Indirect Effect</w:t>
      </w:r>
    </w:p>
    <w:p w14:paraId="54A90CBA" w14:textId="77777777" w:rsidR="00C53C26" w:rsidRPr="00627230" w:rsidRDefault="00C53C26" w:rsidP="00BB0F15">
      <w:pPr>
        <w:ind w:firstLine="0"/>
        <w:rPr>
          <w:rFonts w:asciiTheme="minorHAnsi" w:hAnsiTheme="minorHAnsi" w:cstheme="minorHAnsi"/>
          <w:szCs w:val="24"/>
        </w:rPr>
      </w:pPr>
      <w:r w:rsidRPr="00627230">
        <w:rPr>
          <w:rFonts w:asciiTheme="minorHAnsi" w:hAnsiTheme="minorHAnsi" w:cstheme="minorHAnsi"/>
          <w:szCs w:val="24"/>
        </w:rPr>
        <w:t>Like State duty, indirect effects are not explicitly affected and the effects of the latter, namely that of the exclusion and/or replacement from the effects of the exclusion and substitution of national interpretation methods are to be differentiated from those of the form. Note, however, that the border between direct and indirect influence was blurred in Marleasing and a clear understanding was demanded of several calls for an effect of exclusion. The following will show that, combined with the growing dependence on the overall objective of effectiveness, the use of these different methods has begun to blacken borders (Karova, 2015).</w:t>
      </w:r>
    </w:p>
    <w:p w14:paraId="745A16AE" w14:textId="77777777" w:rsidR="00C53C26" w:rsidRPr="00627230" w:rsidRDefault="00C53C26" w:rsidP="00BB0F15">
      <w:pPr>
        <w:ind w:firstLine="0"/>
        <w:rPr>
          <w:rFonts w:asciiTheme="minorHAnsi" w:hAnsiTheme="minorHAnsi" w:cstheme="minorHAnsi"/>
          <w:szCs w:val="24"/>
        </w:rPr>
      </w:pPr>
      <w:r w:rsidRPr="00627230">
        <w:rPr>
          <w:rFonts w:asciiTheme="minorHAnsi" w:hAnsiTheme="minorHAnsi" w:cstheme="minorHAnsi"/>
          <w:szCs w:val="24"/>
        </w:rPr>
        <w:lastRenderedPageBreak/>
        <w:t xml:space="preserve">Instead of Member States, the Union agencies. Another chapter in this first part of the book reveals that in major texts on the constitutionalizing of Union rule, allegiance is widely disregarded. In cases not less prominent than </w:t>
      </w:r>
      <w:r w:rsidRPr="00627230">
        <w:rPr>
          <w:rFonts w:asciiTheme="minorHAnsi" w:hAnsiTheme="minorHAnsi" w:cstheme="minorHAnsi"/>
          <w:i/>
          <w:iCs/>
          <w:szCs w:val="24"/>
        </w:rPr>
        <w:t>Costa v ENEL</w:t>
      </w:r>
      <w:r w:rsidRPr="00627230">
        <w:rPr>
          <w:rFonts w:asciiTheme="minorHAnsi" w:hAnsiTheme="minorHAnsi" w:cstheme="minorHAnsi"/>
          <w:szCs w:val="24"/>
        </w:rPr>
        <w:t xml:space="preserve">, ERTA, Brasserie du Pecheur and von Colson, it can be argued that loyalty played a very pronounced role. Here loyalty is just as good an option as Costa. In Costa, where it secured the target of prohibiting discrimination, it safeguarded the aims of Directive 76/207 in the historic case of Colson (Binder and Hofbauer, 2017). This is very different when dominance is regarded as the concept of Union law and its foundation needs no further affirmation, as it follows that clauses explicitly relevant in the binding instrument of EU law take precedence over national law as well. In this reading, Article 288 TFEU notes that the recommendations are legally binding. A reference to what now constitutes Article 4(3) TEU becomes obsolete if the legal basis for dominance itself is not reaffirmed (Ziegler, 2013). </w:t>
      </w:r>
    </w:p>
    <w:p w14:paraId="3F250C9E" w14:textId="77777777" w:rsidR="00C53C26" w:rsidRPr="00627230" w:rsidRDefault="00C53C26" w:rsidP="00BB0F15">
      <w:pPr>
        <w:ind w:firstLine="0"/>
        <w:rPr>
          <w:rFonts w:asciiTheme="minorHAnsi" w:hAnsiTheme="minorHAnsi" w:cstheme="minorHAnsi"/>
          <w:szCs w:val="24"/>
        </w:rPr>
      </w:pPr>
      <w:r w:rsidRPr="00627230">
        <w:rPr>
          <w:rFonts w:asciiTheme="minorHAnsi" w:hAnsiTheme="minorHAnsi" w:cstheme="minorHAnsi"/>
          <w:szCs w:val="24"/>
        </w:rPr>
        <w:t>The distinction between the 'rights' and 'principles' found in this instrument is like the modern and clear distinction suggested by the TEU between EU law and the Van Gend en Loos Court. As the General Advocate Cruz Villalón summed up: the 'principles' in the Charter decide public authorities' delegated duties and are distinct from their 'rights' in order to maintain the legal situation of individuals in a situation which is expressly specified by the document. The legal situation of persons with freedom guaranteed must be respected by public authorities, but, in the case of principles, their role is far more available (Odermatt, 2016).</w:t>
      </w:r>
    </w:p>
    <w:p w14:paraId="0B61E989" w14:textId="77777777" w:rsidR="00C53C26" w:rsidRPr="00627230" w:rsidRDefault="00C53C26" w:rsidP="00BB0F15">
      <w:pPr>
        <w:ind w:firstLine="0"/>
        <w:rPr>
          <w:rFonts w:asciiTheme="minorHAnsi" w:hAnsiTheme="minorHAnsi" w:cstheme="minorHAnsi"/>
          <w:szCs w:val="24"/>
        </w:rPr>
      </w:pPr>
      <w:r w:rsidRPr="00627230">
        <w:rPr>
          <w:rFonts w:asciiTheme="minorHAnsi" w:hAnsiTheme="minorHAnsi" w:cstheme="minorHAnsi"/>
          <w:szCs w:val="24"/>
        </w:rPr>
        <w:t xml:space="preserve">It is extremely probable that, in a number of potential situations, the national courts will refer the provisions of the Charter to the Court of Justice for their subjective rights. The French Court of Cassation did this exactly a short time ago: it challenged the Court in a preliminary decision regarding the Article 27 of the Charter’s direct effect in the case of the Association </w:t>
      </w:r>
      <w:r w:rsidRPr="00627230">
        <w:rPr>
          <w:rFonts w:asciiTheme="minorHAnsi" w:hAnsiTheme="minorHAnsi" w:cstheme="minorHAnsi"/>
          <w:szCs w:val="24"/>
        </w:rPr>
        <w:lastRenderedPageBreak/>
        <w:t>of mediation social (Moreno-Lax and Gragl, 2016). While it remains important to define principles of direct effect, the action / defence before domestic courts also depend on the different combinations of the legal references. This is exactly what Cruz Villalón, Advocate General of the Association for Social Mediation, relied on when he came to the conclusion that Article 27 of the Charter was a principal category and was stripped of its direct effect alone (Hojnik, 2015).</w:t>
      </w:r>
    </w:p>
    <w:p w14:paraId="4648E1F8" w14:textId="77777777" w:rsidR="00C53C26" w:rsidRPr="00627230" w:rsidRDefault="00C53C26" w:rsidP="00BB0F15">
      <w:pPr>
        <w:ind w:firstLine="0"/>
        <w:rPr>
          <w:rFonts w:asciiTheme="minorHAnsi" w:hAnsiTheme="minorHAnsi" w:cstheme="minorHAnsi"/>
          <w:szCs w:val="24"/>
        </w:rPr>
      </w:pPr>
      <w:r w:rsidRPr="00627230">
        <w:rPr>
          <w:rFonts w:asciiTheme="minorHAnsi" w:hAnsiTheme="minorHAnsi" w:cstheme="minorHAnsi"/>
          <w:szCs w:val="24"/>
        </w:rPr>
        <w:t xml:space="preserve">A second line from Van Gend en Loos stems from this essential part of the case: the direct impact, which is referred to the mechanism that allows individuals to obtain rights in the courts of Member States, on the basis of EU law and, more accurately and most importantly, in primary law. While this did not go unnoticed in Van Gend en Loos, after the case was resolved, the development of EU law allowed persons to be brought before a national court on the basis of the responsibilities put upon them under the terms of treaties in a wider range of hypotheses (Molnar, 2015). The EU primary legislation has moved away from Van Gend En Loos, the predominant concern of the so-called horizontal direct effect. Their goal is to present States in the line of internal market standards for orthopaedic care designed to change their public policies. However, in this regard, the progress, as can be seen, is a consistency of Van Gen den Loos: the efficiency of EU law could, to some degree, justify submitting private actors to TFEU and, in particular, internal market laws (Ziegler, 2016). </w:t>
      </w:r>
    </w:p>
    <w:p w14:paraId="7511BF95" w14:textId="77777777" w:rsidR="00C53C26" w:rsidRPr="00627230" w:rsidRDefault="00C53C26" w:rsidP="00BB0F15">
      <w:pPr>
        <w:ind w:firstLine="0"/>
        <w:rPr>
          <w:rFonts w:asciiTheme="minorHAnsi" w:hAnsiTheme="minorHAnsi" w:cstheme="minorHAnsi"/>
          <w:szCs w:val="24"/>
        </w:rPr>
      </w:pPr>
      <w:r w:rsidRPr="00627230">
        <w:rPr>
          <w:rFonts w:asciiTheme="minorHAnsi" w:hAnsiTheme="minorHAnsi" w:cstheme="minorHAnsi"/>
          <w:szCs w:val="24"/>
        </w:rPr>
        <w:t xml:space="preserve">By comparison, the consequences of EU law no longer depend on the willingness of national courts to adopt national law to European fashion, a made-to-meter approach in contrast to the 'indirect horizontal effect' doctrine, where there is no direct effect, when national courts are compelled to interpret the law of Europe. In addition, this is not merely an extension of the direct effect when national courts are required in the absence of direct effect to interpret </w:t>
      </w:r>
      <w:r w:rsidRPr="00627230">
        <w:rPr>
          <w:rFonts w:asciiTheme="minorHAnsi" w:hAnsiTheme="minorHAnsi" w:cstheme="minorHAnsi"/>
          <w:szCs w:val="24"/>
        </w:rPr>
        <w:lastRenderedPageBreak/>
        <w:t>national law in accordance with EU law: the effects of EU law depend on the capacity of national courts to tailor European fashion’ national law, the "indirect horizontal effect" theory, comparing a tailored approach (Garben, 2016).</w:t>
      </w:r>
    </w:p>
    <w:p w14:paraId="44EFA4D3" w14:textId="77777777" w:rsidR="00C53C26" w:rsidRPr="00627230" w:rsidRDefault="00C53C26" w:rsidP="00BB0F15">
      <w:pPr>
        <w:ind w:firstLine="0"/>
        <w:rPr>
          <w:rFonts w:asciiTheme="minorHAnsi" w:hAnsiTheme="minorHAnsi" w:cstheme="minorHAnsi"/>
          <w:szCs w:val="24"/>
        </w:rPr>
      </w:pPr>
      <w:r w:rsidRPr="00627230">
        <w:rPr>
          <w:rFonts w:asciiTheme="minorHAnsi" w:hAnsiTheme="minorHAnsi" w:cstheme="minorHAnsi"/>
          <w:szCs w:val="24"/>
        </w:rPr>
        <w:t>In 1991, the Court first discussed the issue of the responsibility of the State for violating Community law and its foundations in the EC, not national legislation, in Francovich [1991]. He ruled that this is a Community law concept inherent in the EC Treaty system that 'member states are expected, as a consequence of violations of Community law for which they may be held liable, to cause good losses and harm to individuals.' And "the condition in which this obligation leads to the right to reparation depends on the extent of the violation of Community law leading to loss and injury (Davison-Vecchione, 2015). The case-law of the Court does not include the harmonisation of State liability beyond the nature of the concept of liability for imputable violations of Community law and the essential conditions of liability. The laws of national liability law control other aspects of injury claims. For instance, the assignment of the competent courts and detailed procedural rules must be the internal law of each Member State. Furthermore, according to the European Court of Justice, "there is no need to offer less benefit than those relating to similar domestic demands to the substantive and procedural conditions laid down by national legislation on reparation of damages and harm and to not to be so framed (Leonelli, 2020).</w:t>
      </w:r>
    </w:p>
    <w:p w14:paraId="3893097F" w14:textId="77777777" w:rsidR="00C53C26" w:rsidRPr="00627230" w:rsidRDefault="00C53C26" w:rsidP="00BB0F15">
      <w:pPr>
        <w:ind w:firstLine="0"/>
        <w:rPr>
          <w:rFonts w:asciiTheme="minorHAnsi" w:hAnsiTheme="minorHAnsi" w:cstheme="minorHAnsi"/>
          <w:szCs w:val="24"/>
        </w:rPr>
      </w:pPr>
      <w:r w:rsidRPr="00627230">
        <w:rPr>
          <w:rFonts w:asciiTheme="minorHAnsi" w:hAnsiTheme="minorHAnsi" w:cstheme="minorHAnsi"/>
          <w:szCs w:val="24"/>
        </w:rPr>
        <w:t xml:space="preserve">The Italian version of Van Gend en Loos, in contrast to the French version of the case, specifically states that people could claim their rights on the basis of provisions of the Treaty. The case revealed that the Treaty was subject to private lawsuits before municipal courts. Therefore, in addition to the citizens of Member States directly benefitting from the Treaty, </w:t>
      </w:r>
      <w:r w:rsidRPr="00627230">
        <w:rPr>
          <w:rFonts w:asciiTheme="minorHAnsi" w:hAnsiTheme="minorHAnsi" w:cstheme="minorHAnsi"/>
          <w:szCs w:val="24"/>
        </w:rPr>
        <w:lastRenderedPageBreak/>
        <w:t>they can also exercise "strong control" on the Member States, as the Court has pointed out, in order to ensure they comply with the requirements of EU law (Bobek, 2020).</w:t>
      </w:r>
    </w:p>
    <w:p w14:paraId="5E83D62D" w14:textId="77777777" w:rsidR="00C53C26" w:rsidRPr="00627230" w:rsidRDefault="00C53C26" w:rsidP="00BB0F15">
      <w:pPr>
        <w:ind w:firstLine="0"/>
        <w:rPr>
          <w:rFonts w:asciiTheme="minorHAnsi" w:hAnsiTheme="minorHAnsi" w:cstheme="minorHAnsi"/>
          <w:szCs w:val="24"/>
        </w:rPr>
      </w:pPr>
      <w:r w:rsidRPr="00627230">
        <w:rPr>
          <w:rFonts w:asciiTheme="minorHAnsi" w:hAnsiTheme="minorHAnsi" w:cstheme="minorHAnsi"/>
          <w:szCs w:val="24"/>
        </w:rPr>
        <w:t>The efficacy of European Union law is not absolute, as critical as it is for European integration. And it is not just the product of procedural freedom. For example, as demonstrated by the necessity for a coherent interpretation there are theories that EU legislation can, in contrast with the resisting content of national law, generate at least temporarily. That does not undermine the existence of EU law in national courts, which obviously needs an expansion and not the retraction of European law impact not only in an expanded domain but also in an evolutionary reasoning that characterises the creation of EU law. The executive force of EU law is subject to the status of a national judicial system (rules, actors), which is a function of the EU law system. This is already why efficacy is not a good justification for eliminating constitutional safeguards, even though the remedy is completely decided by EU law. At the time of Van Gend en Loos, the effect of EU policies on human freedoms and rights was maybe hard to imagine. Today, none disputes the significance of protecting fundamental rights, especially in the development of the field of democracy, protection and justice.</w:t>
      </w:r>
    </w:p>
    <w:p w14:paraId="02BC6208" w14:textId="77777777" w:rsidR="00C53C26" w:rsidRPr="00627230" w:rsidRDefault="00C53C26" w:rsidP="00C53C26">
      <w:pPr>
        <w:rPr>
          <w:rFonts w:asciiTheme="minorHAnsi" w:hAnsiTheme="minorHAnsi" w:cstheme="minorHAnsi"/>
          <w:szCs w:val="24"/>
        </w:rPr>
      </w:pPr>
    </w:p>
    <w:p w14:paraId="621CFD00" w14:textId="77777777" w:rsidR="00C53C26" w:rsidRPr="00627230" w:rsidRDefault="00C53C26" w:rsidP="00FE1C03">
      <w:pPr>
        <w:ind w:firstLine="0"/>
        <w:rPr>
          <w:rFonts w:asciiTheme="minorHAnsi" w:hAnsiTheme="minorHAnsi" w:cstheme="minorHAnsi"/>
          <w:szCs w:val="24"/>
        </w:rPr>
      </w:pPr>
    </w:p>
    <w:p w14:paraId="0D22C803" w14:textId="77777777" w:rsidR="00C53C26" w:rsidRPr="00627230" w:rsidRDefault="00C53C26" w:rsidP="00C53C26">
      <w:pPr>
        <w:pStyle w:val="Heading1"/>
        <w:rPr>
          <w:rFonts w:asciiTheme="minorHAnsi" w:hAnsiTheme="minorHAnsi" w:cstheme="minorHAnsi"/>
        </w:rPr>
      </w:pPr>
      <w:r w:rsidRPr="00627230">
        <w:rPr>
          <w:rFonts w:asciiTheme="minorHAnsi" w:hAnsiTheme="minorHAnsi" w:cstheme="minorHAnsi"/>
        </w:rPr>
        <w:t>References</w:t>
      </w:r>
    </w:p>
    <w:p w14:paraId="0A5FDADC" w14:textId="77777777" w:rsidR="00C53C26" w:rsidRPr="00627230" w:rsidRDefault="00C53C26" w:rsidP="00C53C26">
      <w:pPr>
        <w:ind w:left="720" w:hanging="720"/>
        <w:rPr>
          <w:rFonts w:asciiTheme="minorHAnsi" w:hAnsiTheme="minorHAnsi" w:cstheme="minorHAnsi"/>
          <w:szCs w:val="24"/>
          <w:shd w:val="clear" w:color="auto" w:fill="FFFFFF"/>
        </w:rPr>
      </w:pPr>
      <w:r w:rsidRPr="00627230">
        <w:rPr>
          <w:rFonts w:asciiTheme="minorHAnsi" w:hAnsiTheme="minorHAnsi" w:cstheme="minorHAnsi"/>
          <w:szCs w:val="24"/>
          <w:shd w:val="clear" w:color="auto" w:fill="FFFFFF"/>
        </w:rPr>
        <w:t>Binder, C. and Hofbauer, J.A., 2017. The Perception of the EU Legal Order in International Law: An In-and Outside View. In </w:t>
      </w:r>
      <w:r w:rsidRPr="00627230">
        <w:rPr>
          <w:rFonts w:asciiTheme="minorHAnsi" w:hAnsiTheme="minorHAnsi" w:cstheme="minorHAnsi"/>
          <w:i/>
          <w:iCs/>
          <w:szCs w:val="24"/>
          <w:shd w:val="clear" w:color="auto" w:fill="FFFFFF"/>
        </w:rPr>
        <w:t>European Yearbook of International Economic Law 2017</w:t>
      </w:r>
      <w:r w:rsidRPr="00627230">
        <w:rPr>
          <w:rFonts w:asciiTheme="minorHAnsi" w:hAnsiTheme="minorHAnsi" w:cstheme="minorHAnsi"/>
          <w:szCs w:val="24"/>
          <w:shd w:val="clear" w:color="auto" w:fill="FFFFFF"/>
        </w:rPr>
        <w:t> (pp. 139-203). Springer, Cham.</w:t>
      </w:r>
    </w:p>
    <w:p w14:paraId="1A5BCD24" w14:textId="602DE34B" w:rsidR="00C53C26" w:rsidRPr="00627230" w:rsidRDefault="00C53C26" w:rsidP="00C53C26">
      <w:pPr>
        <w:ind w:left="720" w:hanging="720"/>
        <w:rPr>
          <w:rFonts w:asciiTheme="minorHAnsi" w:hAnsiTheme="minorHAnsi" w:cstheme="minorHAnsi"/>
          <w:szCs w:val="24"/>
          <w:shd w:val="clear" w:color="auto" w:fill="FFFFFF"/>
        </w:rPr>
      </w:pPr>
      <w:r w:rsidRPr="00627230">
        <w:rPr>
          <w:rFonts w:asciiTheme="minorHAnsi" w:hAnsiTheme="minorHAnsi" w:cstheme="minorHAnsi"/>
          <w:szCs w:val="24"/>
          <w:shd w:val="clear" w:color="auto" w:fill="FFFFFF"/>
        </w:rPr>
        <w:lastRenderedPageBreak/>
        <w:t>Bobek, M., 2020. The effects of EU law in the national legal systems. </w:t>
      </w:r>
      <w:r w:rsidRPr="00627230">
        <w:rPr>
          <w:rFonts w:asciiTheme="minorHAnsi" w:hAnsiTheme="minorHAnsi" w:cstheme="minorHAnsi"/>
          <w:i/>
          <w:iCs/>
          <w:szCs w:val="24"/>
          <w:shd w:val="clear" w:color="auto" w:fill="FFFFFF"/>
        </w:rPr>
        <w:t xml:space="preserve">European Union Law, 3rd </w:t>
      </w:r>
      <w:r w:rsidR="008267D6" w:rsidRPr="00627230">
        <w:rPr>
          <w:rFonts w:asciiTheme="minorHAnsi" w:hAnsiTheme="minorHAnsi" w:cstheme="minorHAnsi"/>
          <w:i/>
          <w:iCs/>
          <w:szCs w:val="24"/>
          <w:shd w:val="clear" w:color="auto" w:fill="FFFFFF"/>
        </w:rPr>
        <w:t>edn. (</w:t>
      </w:r>
      <w:r w:rsidRPr="00627230">
        <w:rPr>
          <w:rFonts w:asciiTheme="minorHAnsi" w:hAnsiTheme="minorHAnsi" w:cstheme="minorHAnsi"/>
          <w:i/>
          <w:iCs/>
          <w:szCs w:val="24"/>
          <w:shd w:val="clear" w:color="auto" w:fill="FFFFFF"/>
        </w:rPr>
        <w:t>Oxford University Press, 2020)</w:t>
      </w:r>
      <w:r w:rsidRPr="00627230">
        <w:rPr>
          <w:rFonts w:asciiTheme="minorHAnsi" w:hAnsiTheme="minorHAnsi" w:cstheme="minorHAnsi"/>
          <w:szCs w:val="24"/>
          <w:shd w:val="clear" w:color="auto" w:fill="FFFFFF"/>
        </w:rPr>
        <w:t>, pp.154-190.</w:t>
      </w:r>
    </w:p>
    <w:p w14:paraId="4ED99FCA" w14:textId="77777777" w:rsidR="00C53C26" w:rsidRPr="00627230" w:rsidRDefault="00C53C26" w:rsidP="00C53C26">
      <w:pPr>
        <w:ind w:left="720" w:hanging="720"/>
        <w:rPr>
          <w:rFonts w:asciiTheme="minorHAnsi" w:hAnsiTheme="minorHAnsi" w:cstheme="minorHAnsi"/>
          <w:szCs w:val="24"/>
          <w:shd w:val="clear" w:color="auto" w:fill="FFFFFF"/>
        </w:rPr>
      </w:pPr>
      <w:r w:rsidRPr="00627230">
        <w:rPr>
          <w:rFonts w:asciiTheme="minorHAnsi" w:hAnsiTheme="minorHAnsi" w:cstheme="minorHAnsi"/>
          <w:szCs w:val="24"/>
          <w:shd w:val="clear" w:color="auto" w:fill="FFFFFF"/>
        </w:rPr>
        <w:t>Davison-Vecchione, D., 2015. Beyond the Forms of Faith: Pacta Sunt Servanda and Loyalty. </w:t>
      </w:r>
      <w:r w:rsidRPr="00627230">
        <w:rPr>
          <w:rFonts w:asciiTheme="minorHAnsi" w:hAnsiTheme="minorHAnsi" w:cstheme="minorHAnsi"/>
          <w:i/>
          <w:iCs/>
          <w:szCs w:val="24"/>
          <w:shd w:val="clear" w:color="auto" w:fill="FFFFFF"/>
        </w:rPr>
        <w:t>German Law Journal</w:t>
      </w:r>
      <w:r w:rsidRPr="00627230">
        <w:rPr>
          <w:rFonts w:asciiTheme="minorHAnsi" w:hAnsiTheme="minorHAnsi" w:cstheme="minorHAnsi"/>
          <w:szCs w:val="24"/>
          <w:shd w:val="clear" w:color="auto" w:fill="FFFFFF"/>
        </w:rPr>
        <w:t>, </w:t>
      </w:r>
      <w:r w:rsidRPr="00627230">
        <w:rPr>
          <w:rFonts w:asciiTheme="minorHAnsi" w:hAnsiTheme="minorHAnsi" w:cstheme="minorHAnsi"/>
          <w:i/>
          <w:iCs/>
          <w:szCs w:val="24"/>
          <w:shd w:val="clear" w:color="auto" w:fill="FFFFFF"/>
        </w:rPr>
        <w:t>16</w:t>
      </w:r>
      <w:r w:rsidRPr="00627230">
        <w:rPr>
          <w:rFonts w:asciiTheme="minorHAnsi" w:hAnsiTheme="minorHAnsi" w:cstheme="minorHAnsi"/>
          <w:szCs w:val="24"/>
          <w:shd w:val="clear" w:color="auto" w:fill="FFFFFF"/>
        </w:rPr>
        <w:t>(5), pp.1163-1190.</w:t>
      </w:r>
    </w:p>
    <w:p w14:paraId="0DD3EDB0" w14:textId="77777777" w:rsidR="00C53C26" w:rsidRPr="00627230" w:rsidRDefault="00C53C26" w:rsidP="00C53C26">
      <w:pPr>
        <w:ind w:left="720" w:hanging="720"/>
        <w:rPr>
          <w:rFonts w:asciiTheme="minorHAnsi" w:hAnsiTheme="minorHAnsi" w:cstheme="minorHAnsi"/>
          <w:szCs w:val="24"/>
          <w:shd w:val="clear" w:color="auto" w:fill="FFFFFF"/>
        </w:rPr>
      </w:pPr>
      <w:r w:rsidRPr="00627230">
        <w:rPr>
          <w:rFonts w:asciiTheme="minorHAnsi" w:hAnsiTheme="minorHAnsi" w:cstheme="minorHAnsi"/>
          <w:szCs w:val="24"/>
          <w:shd w:val="clear" w:color="auto" w:fill="FFFFFF"/>
        </w:rPr>
        <w:t>De Witte, B., 2017. EU law: is it international law. </w:t>
      </w:r>
      <w:r w:rsidRPr="00627230">
        <w:rPr>
          <w:rFonts w:asciiTheme="minorHAnsi" w:hAnsiTheme="minorHAnsi" w:cstheme="minorHAnsi"/>
          <w:i/>
          <w:iCs/>
          <w:szCs w:val="24"/>
          <w:shd w:val="clear" w:color="auto" w:fill="FFFFFF"/>
        </w:rPr>
        <w:t>European Union Law</w:t>
      </w:r>
      <w:r w:rsidRPr="00627230">
        <w:rPr>
          <w:rFonts w:asciiTheme="minorHAnsi" w:hAnsiTheme="minorHAnsi" w:cstheme="minorHAnsi"/>
          <w:szCs w:val="24"/>
          <w:shd w:val="clear" w:color="auto" w:fill="FFFFFF"/>
        </w:rPr>
        <w:t>, </w:t>
      </w:r>
      <w:r w:rsidRPr="00627230">
        <w:rPr>
          <w:rFonts w:asciiTheme="minorHAnsi" w:hAnsiTheme="minorHAnsi" w:cstheme="minorHAnsi"/>
          <w:i/>
          <w:iCs/>
          <w:szCs w:val="24"/>
          <w:shd w:val="clear" w:color="auto" w:fill="FFFFFF"/>
        </w:rPr>
        <w:t>2</w:t>
      </w:r>
      <w:r w:rsidRPr="00627230">
        <w:rPr>
          <w:rFonts w:asciiTheme="minorHAnsi" w:hAnsiTheme="minorHAnsi" w:cstheme="minorHAnsi"/>
          <w:szCs w:val="24"/>
          <w:shd w:val="clear" w:color="auto" w:fill="FFFFFF"/>
        </w:rPr>
        <w:t>, p.177.</w:t>
      </w:r>
    </w:p>
    <w:p w14:paraId="16524298" w14:textId="77777777" w:rsidR="00C53C26" w:rsidRPr="00627230" w:rsidRDefault="00C53C26" w:rsidP="00C53C26">
      <w:pPr>
        <w:ind w:left="720" w:hanging="720"/>
        <w:rPr>
          <w:rFonts w:asciiTheme="minorHAnsi" w:hAnsiTheme="minorHAnsi" w:cstheme="minorHAnsi"/>
          <w:szCs w:val="24"/>
          <w:shd w:val="clear" w:color="auto" w:fill="FFFFFF"/>
        </w:rPr>
      </w:pPr>
      <w:r w:rsidRPr="00627230">
        <w:rPr>
          <w:rFonts w:asciiTheme="minorHAnsi" w:hAnsiTheme="minorHAnsi" w:cstheme="minorHAnsi"/>
          <w:szCs w:val="24"/>
          <w:shd w:val="clear" w:color="auto" w:fill="FFFFFF"/>
        </w:rPr>
        <w:t>Garben, S., 2018. The problematic interaction between EU and international law in the area of social rights. </w:t>
      </w:r>
      <w:r w:rsidRPr="00627230">
        <w:rPr>
          <w:rFonts w:asciiTheme="minorHAnsi" w:hAnsiTheme="minorHAnsi" w:cstheme="minorHAnsi"/>
          <w:i/>
          <w:iCs/>
          <w:szCs w:val="24"/>
          <w:shd w:val="clear" w:color="auto" w:fill="FFFFFF"/>
        </w:rPr>
        <w:t>Cambridge International Law Journal</w:t>
      </w:r>
      <w:r w:rsidRPr="00627230">
        <w:rPr>
          <w:rFonts w:asciiTheme="minorHAnsi" w:hAnsiTheme="minorHAnsi" w:cstheme="minorHAnsi"/>
          <w:szCs w:val="24"/>
          <w:shd w:val="clear" w:color="auto" w:fill="FFFFFF"/>
        </w:rPr>
        <w:t>, </w:t>
      </w:r>
      <w:r w:rsidRPr="00627230">
        <w:rPr>
          <w:rFonts w:asciiTheme="minorHAnsi" w:hAnsiTheme="minorHAnsi" w:cstheme="minorHAnsi"/>
          <w:i/>
          <w:iCs/>
          <w:szCs w:val="24"/>
          <w:shd w:val="clear" w:color="auto" w:fill="FFFFFF"/>
        </w:rPr>
        <w:t>7</w:t>
      </w:r>
      <w:r w:rsidRPr="00627230">
        <w:rPr>
          <w:rFonts w:asciiTheme="minorHAnsi" w:hAnsiTheme="minorHAnsi" w:cstheme="minorHAnsi"/>
          <w:szCs w:val="24"/>
          <w:shd w:val="clear" w:color="auto" w:fill="FFFFFF"/>
        </w:rPr>
        <w:t>(1), pp.77-98.</w:t>
      </w:r>
    </w:p>
    <w:p w14:paraId="6CD189E6" w14:textId="77777777" w:rsidR="00C53C26" w:rsidRPr="00627230" w:rsidRDefault="00C53C26" w:rsidP="00C53C26">
      <w:pPr>
        <w:ind w:left="720" w:hanging="720"/>
        <w:rPr>
          <w:rFonts w:asciiTheme="minorHAnsi" w:hAnsiTheme="minorHAnsi" w:cstheme="minorHAnsi"/>
          <w:szCs w:val="24"/>
          <w:shd w:val="clear" w:color="auto" w:fill="FFFFFF"/>
        </w:rPr>
      </w:pPr>
      <w:r w:rsidRPr="00627230">
        <w:rPr>
          <w:rFonts w:asciiTheme="minorHAnsi" w:hAnsiTheme="minorHAnsi" w:cstheme="minorHAnsi"/>
          <w:szCs w:val="24"/>
          <w:shd w:val="clear" w:color="auto" w:fill="FFFFFF"/>
        </w:rPr>
        <w:t>Hojnik, J., 2015. Judicial Application of International and EU Law in Slovenia. In </w:t>
      </w:r>
      <w:r w:rsidRPr="00627230">
        <w:rPr>
          <w:rFonts w:asciiTheme="minorHAnsi" w:hAnsiTheme="minorHAnsi" w:cstheme="minorHAnsi"/>
          <w:i/>
          <w:iCs/>
          <w:szCs w:val="24"/>
          <w:shd w:val="clear" w:color="auto" w:fill="FFFFFF"/>
        </w:rPr>
        <w:t>Judicial Application of International Law in Southeast Europe</w:t>
      </w:r>
      <w:r w:rsidRPr="00627230">
        <w:rPr>
          <w:rFonts w:asciiTheme="minorHAnsi" w:hAnsiTheme="minorHAnsi" w:cstheme="minorHAnsi"/>
          <w:szCs w:val="24"/>
          <w:shd w:val="clear" w:color="auto" w:fill="FFFFFF"/>
        </w:rPr>
        <w:t> (pp. 265-297). Springer, Berlin, Heidelberg.</w:t>
      </w:r>
    </w:p>
    <w:p w14:paraId="3DA41DBD" w14:textId="77777777" w:rsidR="00C53C26" w:rsidRPr="00627230" w:rsidRDefault="00C53C26" w:rsidP="00C53C26">
      <w:pPr>
        <w:ind w:left="720" w:hanging="720"/>
        <w:rPr>
          <w:rFonts w:asciiTheme="minorHAnsi" w:hAnsiTheme="minorHAnsi" w:cstheme="minorHAnsi"/>
          <w:szCs w:val="24"/>
          <w:shd w:val="clear" w:color="auto" w:fill="FFFFFF"/>
        </w:rPr>
      </w:pPr>
      <w:r w:rsidRPr="00627230">
        <w:rPr>
          <w:rFonts w:asciiTheme="minorHAnsi" w:hAnsiTheme="minorHAnsi" w:cstheme="minorHAnsi"/>
          <w:szCs w:val="24"/>
          <w:shd w:val="clear" w:color="auto" w:fill="FFFFFF"/>
        </w:rPr>
        <w:t>Karova, R., 2015. Application of the EU Constitutional Principles in the Energy Community. </w:t>
      </w:r>
      <w:r w:rsidRPr="00627230">
        <w:rPr>
          <w:rFonts w:asciiTheme="minorHAnsi" w:hAnsiTheme="minorHAnsi" w:cstheme="minorHAnsi"/>
          <w:i/>
          <w:iCs/>
          <w:szCs w:val="24"/>
          <w:shd w:val="clear" w:color="auto" w:fill="FFFFFF"/>
        </w:rPr>
        <w:t>Eur. Networks L. &amp; Reg. Q.</w:t>
      </w:r>
      <w:r w:rsidRPr="00627230">
        <w:rPr>
          <w:rFonts w:asciiTheme="minorHAnsi" w:hAnsiTheme="minorHAnsi" w:cstheme="minorHAnsi"/>
          <w:szCs w:val="24"/>
          <w:shd w:val="clear" w:color="auto" w:fill="FFFFFF"/>
        </w:rPr>
        <w:t>, p.176.</w:t>
      </w:r>
    </w:p>
    <w:p w14:paraId="5C15A5C3" w14:textId="3AC0A1FF" w:rsidR="00C53C26" w:rsidRPr="00627230" w:rsidRDefault="00C53C26" w:rsidP="00C53C26">
      <w:pPr>
        <w:ind w:left="720" w:hanging="720"/>
        <w:rPr>
          <w:rFonts w:asciiTheme="minorHAnsi" w:hAnsiTheme="minorHAnsi" w:cstheme="minorHAnsi"/>
          <w:szCs w:val="24"/>
          <w:shd w:val="clear" w:color="auto" w:fill="FFFFFF"/>
        </w:rPr>
      </w:pPr>
      <w:r w:rsidRPr="00627230">
        <w:rPr>
          <w:rFonts w:asciiTheme="minorHAnsi" w:hAnsiTheme="minorHAnsi" w:cstheme="minorHAnsi"/>
          <w:szCs w:val="24"/>
          <w:shd w:val="clear" w:color="auto" w:fill="FFFFFF"/>
        </w:rPr>
        <w:t xml:space="preserve">Komarova, T., 2017. THE </w:t>
      </w:r>
      <w:r w:rsidR="008267D6" w:rsidRPr="00627230">
        <w:rPr>
          <w:rFonts w:asciiTheme="minorHAnsi" w:hAnsiTheme="minorHAnsi" w:cstheme="minorHAnsi"/>
          <w:szCs w:val="24"/>
          <w:shd w:val="clear" w:color="auto" w:fill="FFFFFF"/>
        </w:rPr>
        <w:t>Court</w:t>
      </w:r>
      <w:r w:rsidRPr="00627230">
        <w:rPr>
          <w:rFonts w:asciiTheme="minorHAnsi" w:hAnsiTheme="minorHAnsi" w:cstheme="minorHAnsi"/>
          <w:szCs w:val="24"/>
          <w:shd w:val="clear" w:color="auto" w:fill="FFFFFF"/>
        </w:rPr>
        <w:t xml:space="preserve"> of </w:t>
      </w:r>
      <w:r w:rsidR="008267D6" w:rsidRPr="00627230">
        <w:rPr>
          <w:rFonts w:asciiTheme="minorHAnsi" w:hAnsiTheme="minorHAnsi" w:cstheme="minorHAnsi"/>
          <w:szCs w:val="24"/>
          <w:shd w:val="clear" w:color="auto" w:fill="FFFFFF"/>
        </w:rPr>
        <w:t>Justice</w:t>
      </w:r>
      <w:r w:rsidRPr="00627230">
        <w:rPr>
          <w:rFonts w:asciiTheme="minorHAnsi" w:hAnsiTheme="minorHAnsi" w:cstheme="minorHAnsi"/>
          <w:szCs w:val="24"/>
          <w:shd w:val="clear" w:color="auto" w:fill="FFFFFF"/>
        </w:rPr>
        <w:t xml:space="preserve"> of THE </w:t>
      </w:r>
      <w:r w:rsidR="008267D6" w:rsidRPr="00627230">
        <w:rPr>
          <w:rFonts w:asciiTheme="minorHAnsi" w:hAnsiTheme="minorHAnsi" w:cstheme="minorHAnsi"/>
          <w:szCs w:val="24"/>
          <w:shd w:val="clear" w:color="auto" w:fill="FFFFFF"/>
        </w:rPr>
        <w:t>European</w:t>
      </w:r>
      <w:r w:rsidRPr="00627230">
        <w:rPr>
          <w:rFonts w:asciiTheme="minorHAnsi" w:hAnsiTheme="minorHAnsi" w:cstheme="minorHAnsi"/>
          <w:szCs w:val="24"/>
          <w:shd w:val="clear" w:color="auto" w:fill="FFFFFF"/>
        </w:rPr>
        <w:t xml:space="preserve"> </w:t>
      </w:r>
      <w:r w:rsidR="008267D6" w:rsidRPr="00627230">
        <w:rPr>
          <w:rFonts w:asciiTheme="minorHAnsi" w:hAnsiTheme="minorHAnsi" w:cstheme="minorHAnsi"/>
          <w:szCs w:val="24"/>
          <w:shd w:val="clear" w:color="auto" w:fill="FFFFFF"/>
        </w:rPr>
        <w:t>union</w:t>
      </w:r>
      <w:r w:rsidRPr="00627230">
        <w:rPr>
          <w:rFonts w:asciiTheme="minorHAnsi" w:hAnsiTheme="minorHAnsi" w:cstheme="minorHAnsi"/>
          <w:szCs w:val="24"/>
          <w:shd w:val="clear" w:color="auto" w:fill="FFFFFF"/>
        </w:rPr>
        <w:t xml:space="preserve"> </w:t>
      </w:r>
      <w:r w:rsidR="008267D6" w:rsidRPr="00627230">
        <w:rPr>
          <w:rFonts w:asciiTheme="minorHAnsi" w:hAnsiTheme="minorHAnsi" w:cstheme="minorHAnsi"/>
          <w:szCs w:val="24"/>
          <w:shd w:val="clear" w:color="auto" w:fill="FFFFFF"/>
        </w:rPr>
        <w:t>and</w:t>
      </w:r>
      <w:r w:rsidRPr="00627230">
        <w:rPr>
          <w:rFonts w:asciiTheme="minorHAnsi" w:hAnsiTheme="minorHAnsi" w:cstheme="minorHAnsi"/>
          <w:szCs w:val="24"/>
          <w:shd w:val="clear" w:color="auto" w:fill="FFFFFF"/>
        </w:rPr>
        <w:t xml:space="preserve"> </w:t>
      </w:r>
      <w:r w:rsidR="008267D6" w:rsidRPr="00627230">
        <w:rPr>
          <w:rFonts w:asciiTheme="minorHAnsi" w:hAnsiTheme="minorHAnsi" w:cstheme="minorHAnsi"/>
          <w:szCs w:val="24"/>
          <w:shd w:val="clear" w:color="auto" w:fill="FFFFFF"/>
        </w:rPr>
        <w:t>International</w:t>
      </w:r>
      <w:r w:rsidRPr="00627230">
        <w:rPr>
          <w:rFonts w:asciiTheme="minorHAnsi" w:hAnsiTheme="minorHAnsi" w:cstheme="minorHAnsi"/>
          <w:szCs w:val="24"/>
          <w:shd w:val="clear" w:color="auto" w:fill="FFFFFF"/>
        </w:rPr>
        <w:t xml:space="preserve"> </w:t>
      </w:r>
      <w:r w:rsidR="008267D6" w:rsidRPr="00627230">
        <w:rPr>
          <w:rFonts w:asciiTheme="minorHAnsi" w:hAnsiTheme="minorHAnsi" w:cstheme="minorHAnsi"/>
          <w:szCs w:val="24"/>
          <w:shd w:val="clear" w:color="auto" w:fill="FFFFFF"/>
        </w:rPr>
        <w:t>Legal</w:t>
      </w:r>
      <w:r w:rsidRPr="00627230">
        <w:rPr>
          <w:rFonts w:asciiTheme="minorHAnsi" w:hAnsiTheme="minorHAnsi" w:cstheme="minorHAnsi"/>
          <w:szCs w:val="24"/>
          <w:shd w:val="clear" w:color="auto" w:fill="FFFFFF"/>
        </w:rPr>
        <w:t xml:space="preserve"> </w:t>
      </w:r>
      <w:r w:rsidR="008267D6" w:rsidRPr="00627230">
        <w:rPr>
          <w:rFonts w:asciiTheme="minorHAnsi" w:hAnsiTheme="minorHAnsi" w:cstheme="minorHAnsi"/>
          <w:szCs w:val="24"/>
          <w:shd w:val="clear" w:color="auto" w:fill="FFFFFF"/>
        </w:rPr>
        <w:t>order</w:t>
      </w:r>
      <w:r w:rsidRPr="00627230">
        <w:rPr>
          <w:rFonts w:asciiTheme="minorHAnsi" w:hAnsiTheme="minorHAnsi" w:cstheme="minorHAnsi"/>
          <w:szCs w:val="24"/>
          <w:shd w:val="clear" w:color="auto" w:fill="FFFFFF"/>
        </w:rPr>
        <w:t>. </w:t>
      </w:r>
      <w:r w:rsidRPr="00627230">
        <w:rPr>
          <w:rFonts w:asciiTheme="minorHAnsi" w:hAnsiTheme="minorHAnsi" w:cstheme="minorHAnsi"/>
          <w:i/>
          <w:iCs/>
          <w:szCs w:val="24"/>
          <w:shd w:val="clear" w:color="auto" w:fill="FFFFFF"/>
        </w:rPr>
        <w:t>Russ. LJ</w:t>
      </w:r>
      <w:r w:rsidRPr="00627230">
        <w:rPr>
          <w:rFonts w:asciiTheme="minorHAnsi" w:hAnsiTheme="minorHAnsi" w:cstheme="minorHAnsi"/>
          <w:szCs w:val="24"/>
          <w:shd w:val="clear" w:color="auto" w:fill="FFFFFF"/>
        </w:rPr>
        <w:t>, </w:t>
      </w:r>
      <w:r w:rsidRPr="00627230">
        <w:rPr>
          <w:rFonts w:asciiTheme="minorHAnsi" w:hAnsiTheme="minorHAnsi" w:cstheme="minorHAnsi"/>
          <w:i/>
          <w:iCs/>
          <w:szCs w:val="24"/>
          <w:shd w:val="clear" w:color="auto" w:fill="FFFFFF"/>
        </w:rPr>
        <w:t>5</w:t>
      </w:r>
      <w:r w:rsidRPr="00627230">
        <w:rPr>
          <w:rFonts w:asciiTheme="minorHAnsi" w:hAnsiTheme="minorHAnsi" w:cstheme="minorHAnsi"/>
          <w:szCs w:val="24"/>
          <w:shd w:val="clear" w:color="auto" w:fill="FFFFFF"/>
        </w:rPr>
        <w:t>, p.140.</w:t>
      </w:r>
    </w:p>
    <w:p w14:paraId="45851C55" w14:textId="77777777" w:rsidR="00C53C26" w:rsidRPr="00627230" w:rsidRDefault="00C53C26" w:rsidP="00C53C26">
      <w:pPr>
        <w:ind w:left="720" w:hanging="720"/>
        <w:rPr>
          <w:rFonts w:asciiTheme="minorHAnsi" w:hAnsiTheme="minorHAnsi" w:cstheme="minorHAnsi"/>
          <w:szCs w:val="24"/>
          <w:shd w:val="clear" w:color="auto" w:fill="FFFFFF"/>
        </w:rPr>
      </w:pPr>
      <w:r w:rsidRPr="00627230">
        <w:rPr>
          <w:rFonts w:asciiTheme="minorHAnsi" w:hAnsiTheme="minorHAnsi" w:cstheme="minorHAnsi"/>
          <w:szCs w:val="24"/>
          <w:shd w:val="clear" w:color="auto" w:fill="FFFFFF"/>
        </w:rPr>
        <w:t>Kornobis-Romanowska, D., 2018. Effects of International Customary Law in the Legal Order of the European Union. </w:t>
      </w:r>
      <w:r w:rsidRPr="00627230">
        <w:rPr>
          <w:rFonts w:asciiTheme="minorHAnsi" w:hAnsiTheme="minorHAnsi" w:cstheme="minorHAnsi"/>
          <w:i/>
          <w:iCs/>
          <w:szCs w:val="24"/>
          <w:shd w:val="clear" w:color="auto" w:fill="FFFFFF"/>
        </w:rPr>
        <w:t>Wroclaw Review of Law, Administration &amp; Economics</w:t>
      </w:r>
      <w:r w:rsidRPr="00627230">
        <w:rPr>
          <w:rFonts w:asciiTheme="minorHAnsi" w:hAnsiTheme="minorHAnsi" w:cstheme="minorHAnsi"/>
          <w:szCs w:val="24"/>
          <w:shd w:val="clear" w:color="auto" w:fill="FFFFFF"/>
        </w:rPr>
        <w:t>, </w:t>
      </w:r>
      <w:r w:rsidRPr="00627230">
        <w:rPr>
          <w:rFonts w:asciiTheme="minorHAnsi" w:hAnsiTheme="minorHAnsi" w:cstheme="minorHAnsi"/>
          <w:i/>
          <w:iCs/>
          <w:szCs w:val="24"/>
          <w:shd w:val="clear" w:color="auto" w:fill="FFFFFF"/>
        </w:rPr>
        <w:t>8</w:t>
      </w:r>
      <w:r w:rsidRPr="00627230">
        <w:rPr>
          <w:rFonts w:asciiTheme="minorHAnsi" w:hAnsiTheme="minorHAnsi" w:cstheme="minorHAnsi"/>
          <w:szCs w:val="24"/>
          <w:shd w:val="clear" w:color="auto" w:fill="FFFFFF"/>
        </w:rPr>
        <w:t>(2), pp.405-428.</w:t>
      </w:r>
    </w:p>
    <w:p w14:paraId="1E9CB156" w14:textId="29F15AF6" w:rsidR="00C53C26" w:rsidRPr="00627230" w:rsidRDefault="00C53C26" w:rsidP="00C53C26">
      <w:pPr>
        <w:ind w:left="720" w:hanging="720"/>
        <w:rPr>
          <w:rFonts w:asciiTheme="minorHAnsi" w:hAnsiTheme="minorHAnsi" w:cstheme="minorHAnsi"/>
          <w:szCs w:val="24"/>
          <w:shd w:val="clear" w:color="auto" w:fill="FFFFFF"/>
        </w:rPr>
      </w:pPr>
      <w:r w:rsidRPr="00627230">
        <w:rPr>
          <w:rFonts w:asciiTheme="minorHAnsi" w:hAnsiTheme="minorHAnsi" w:cstheme="minorHAnsi"/>
          <w:szCs w:val="24"/>
          <w:shd w:val="clear" w:color="auto" w:fill="FFFFFF"/>
        </w:rPr>
        <w:t>Kuijper, P.J., 2013. It Shall Contribute to… the Strict Observance and Development of International Law…. In </w:t>
      </w:r>
      <w:r w:rsidR="008267D6" w:rsidRPr="00627230">
        <w:rPr>
          <w:rFonts w:asciiTheme="minorHAnsi" w:hAnsiTheme="minorHAnsi" w:cstheme="minorHAnsi"/>
          <w:i/>
          <w:iCs/>
          <w:szCs w:val="24"/>
          <w:shd w:val="clear" w:color="auto" w:fill="FFFFFF"/>
        </w:rPr>
        <w:t>the</w:t>
      </w:r>
      <w:r w:rsidRPr="00627230">
        <w:rPr>
          <w:rFonts w:asciiTheme="minorHAnsi" w:hAnsiTheme="minorHAnsi" w:cstheme="minorHAnsi"/>
          <w:i/>
          <w:iCs/>
          <w:szCs w:val="24"/>
          <w:shd w:val="clear" w:color="auto" w:fill="FFFFFF"/>
        </w:rPr>
        <w:t xml:space="preserve"> Court of Justice and the Construction of Europe: Analyses and Perspectives on Sixty Years of Case-law-La Cour de Justice et la Construction de l'Europe: Analyses et Perspectives de Soixante Ans de Jurisprudence</w:t>
      </w:r>
      <w:r w:rsidRPr="00627230">
        <w:rPr>
          <w:rFonts w:asciiTheme="minorHAnsi" w:hAnsiTheme="minorHAnsi" w:cstheme="minorHAnsi"/>
          <w:szCs w:val="24"/>
          <w:shd w:val="clear" w:color="auto" w:fill="FFFFFF"/>
        </w:rPr>
        <w:t> (pp. 589-612). TMC Asser Press, The Hague, The Netherlands.</w:t>
      </w:r>
    </w:p>
    <w:p w14:paraId="7C4BFC84" w14:textId="77777777" w:rsidR="00C53C26" w:rsidRPr="00627230" w:rsidRDefault="00C53C26" w:rsidP="00C53C26">
      <w:pPr>
        <w:ind w:left="720" w:hanging="720"/>
        <w:rPr>
          <w:rFonts w:asciiTheme="minorHAnsi" w:hAnsiTheme="minorHAnsi" w:cstheme="minorHAnsi"/>
          <w:szCs w:val="24"/>
          <w:shd w:val="clear" w:color="auto" w:fill="FFFFFF"/>
        </w:rPr>
      </w:pPr>
      <w:r w:rsidRPr="00627230">
        <w:rPr>
          <w:rFonts w:asciiTheme="minorHAnsi" w:hAnsiTheme="minorHAnsi" w:cstheme="minorHAnsi"/>
          <w:szCs w:val="24"/>
          <w:shd w:val="clear" w:color="auto" w:fill="FFFFFF"/>
        </w:rPr>
        <w:lastRenderedPageBreak/>
        <w:t>Leonelli, G.C., 2020. CETA and the external autonomy of The EU legal order: risk regulation as a test. </w:t>
      </w:r>
      <w:r w:rsidRPr="00627230">
        <w:rPr>
          <w:rFonts w:asciiTheme="minorHAnsi" w:hAnsiTheme="minorHAnsi" w:cstheme="minorHAnsi"/>
          <w:i/>
          <w:iCs/>
          <w:szCs w:val="24"/>
          <w:shd w:val="clear" w:color="auto" w:fill="FFFFFF"/>
        </w:rPr>
        <w:t>Legal Issues of Economic Integration</w:t>
      </w:r>
      <w:r w:rsidRPr="00627230">
        <w:rPr>
          <w:rFonts w:asciiTheme="minorHAnsi" w:hAnsiTheme="minorHAnsi" w:cstheme="minorHAnsi"/>
          <w:szCs w:val="24"/>
          <w:shd w:val="clear" w:color="auto" w:fill="FFFFFF"/>
        </w:rPr>
        <w:t>, </w:t>
      </w:r>
      <w:r w:rsidRPr="00627230">
        <w:rPr>
          <w:rFonts w:asciiTheme="minorHAnsi" w:hAnsiTheme="minorHAnsi" w:cstheme="minorHAnsi"/>
          <w:i/>
          <w:iCs/>
          <w:szCs w:val="24"/>
          <w:shd w:val="clear" w:color="auto" w:fill="FFFFFF"/>
        </w:rPr>
        <w:t>47</w:t>
      </w:r>
      <w:r w:rsidRPr="00627230">
        <w:rPr>
          <w:rFonts w:asciiTheme="minorHAnsi" w:hAnsiTheme="minorHAnsi" w:cstheme="minorHAnsi"/>
          <w:szCs w:val="24"/>
          <w:shd w:val="clear" w:color="auto" w:fill="FFFFFF"/>
        </w:rPr>
        <w:t>(1).</w:t>
      </w:r>
    </w:p>
    <w:p w14:paraId="0A2350B6" w14:textId="77777777" w:rsidR="00C53C26" w:rsidRPr="00627230" w:rsidRDefault="00C53C26" w:rsidP="00C53C26">
      <w:pPr>
        <w:ind w:left="720" w:hanging="720"/>
        <w:rPr>
          <w:rFonts w:asciiTheme="minorHAnsi" w:hAnsiTheme="minorHAnsi" w:cstheme="minorHAnsi"/>
          <w:szCs w:val="24"/>
          <w:shd w:val="clear" w:color="auto" w:fill="FFFFFF"/>
        </w:rPr>
      </w:pPr>
      <w:r w:rsidRPr="00627230">
        <w:rPr>
          <w:rFonts w:asciiTheme="minorHAnsi" w:hAnsiTheme="minorHAnsi" w:cstheme="minorHAnsi"/>
          <w:szCs w:val="24"/>
          <w:shd w:val="clear" w:color="auto" w:fill="FFFFFF"/>
        </w:rPr>
        <w:t>Molnar, T., 2015. The concept of autonomy of EU law from the comparative perspective of international law and the legal systems of Member States. </w:t>
      </w:r>
      <w:r w:rsidRPr="00627230">
        <w:rPr>
          <w:rFonts w:asciiTheme="minorHAnsi" w:hAnsiTheme="minorHAnsi" w:cstheme="minorHAnsi"/>
          <w:i/>
          <w:iCs/>
          <w:szCs w:val="24"/>
          <w:shd w:val="clear" w:color="auto" w:fill="FFFFFF"/>
        </w:rPr>
        <w:t>Hungarian YB Int'l L. &amp; Eur. L.</w:t>
      </w:r>
      <w:r w:rsidRPr="00627230">
        <w:rPr>
          <w:rFonts w:asciiTheme="minorHAnsi" w:hAnsiTheme="minorHAnsi" w:cstheme="minorHAnsi"/>
          <w:szCs w:val="24"/>
          <w:shd w:val="clear" w:color="auto" w:fill="FFFFFF"/>
        </w:rPr>
        <w:t>, p.433.</w:t>
      </w:r>
    </w:p>
    <w:p w14:paraId="07DC1A3B" w14:textId="77777777" w:rsidR="00C53C26" w:rsidRPr="00627230" w:rsidRDefault="00C53C26" w:rsidP="00C53C26">
      <w:pPr>
        <w:ind w:left="720" w:hanging="720"/>
        <w:rPr>
          <w:rFonts w:asciiTheme="minorHAnsi" w:hAnsiTheme="minorHAnsi" w:cstheme="minorHAnsi"/>
          <w:szCs w:val="24"/>
          <w:shd w:val="clear" w:color="auto" w:fill="FFFFFF"/>
        </w:rPr>
      </w:pPr>
      <w:r w:rsidRPr="00627230">
        <w:rPr>
          <w:rFonts w:asciiTheme="minorHAnsi" w:hAnsiTheme="minorHAnsi" w:cstheme="minorHAnsi"/>
          <w:szCs w:val="24"/>
          <w:shd w:val="clear" w:color="auto" w:fill="FFFFFF"/>
        </w:rPr>
        <w:t>Moorhead, T., 2012. European Union Law as International Law. </w:t>
      </w:r>
      <w:r w:rsidRPr="00627230">
        <w:rPr>
          <w:rFonts w:asciiTheme="minorHAnsi" w:hAnsiTheme="minorHAnsi" w:cstheme="minorHAnsi"/>
          <w:i/>
          <w:iCs/>
          <w:szCs w:val="24"/>
          <w:shd w:val="clear" w:color="auto" w:fill="FFFFFF"/>
        </w:rPr>
        <w:t>Eur. J. Legal Stud.</w:t>
      </w:r>
      <w:r w:rsidRPr="00627230">
        <w:rPr>
          <w:rFonts w:asciiTheme="minorHAnsi" w:hAnsiTheme="minorHAnsi" w:cstheme="minorHAnsi"/>
          <w:szCs w:val="24"/>
          <w:shd w:val="clear" w:color="auto" w:fill="FFFFFF"/>
        </w:rPr>
        <w:t>, </w:t>
      </w:r>
      <w:r w:rsidRPr="00627230">
        <w:rPr>
          <w:rFonts w:asciiTheme="minorHAnsi" w:hAnsiTheme="minorHAnsi" w:cstheme="minorHAnsi"/>
          <w:i/>
          <w:iCs/>
          <w:szCs w:val="24"/>
          <w:shd w:val="clear" w:color="auto" w:fill="FFFFFF"/>
        </w:rPr>
        <w:t>5</w:t>
      </w:r>
      <w:r w:rsidRPr="00627230">
        <w:rPr>
          <w:rFonts w:asciiTheme="minorHAnsi" w:hAnsiTheme="minorHAnsi" w:cstheme="minorHAnsi"/>
          <w:szCs w:val="24"/>
          <w:shd w:val="clear" w:color="auto" w:fill="FFFFFF"/>
        </w:rPr>
        <w:t>, p.125.</w:t>
      </w:r>
    </w:p>
    <w:p w14:paraId="21E7012F" w14:textId="77777777" w:rsidR="00C53C26" w:rsidRPr="00627230" w:rsidRDefault="00C53C26" w:rsidP="00C53C26">
      <w:pPr>
        <w:ind w:left="720" w:hanging="720"/>
        <w:rPr>
          <w:rFonts w:asciiTheme="minorHAnsi" w:hAnsiTheme="minorHAnsi" w:cstheme="minorHAnsi"/>
          <w:szCs w:val="24"/>
          <w:shd w:val="clear" w:color="auto" w:fill="FFFFFF"/>
        </w:rPr>
      </w:pPr>
      <w:r w:rsidRPr="00627230">
        <w:rPr>
          <w:rFonts w:asciiTheme="minorHAnsi" w:hAnsiTheme="minorHAnsi" w:cstheme="minorHAnsi"/>
          <w:szCs w:val="24"/>
          <w:shd w:val="clear" w:color="auto" w:fill="FFFFFF"/>
        </w:rPr>
        <w:t>Moreno-Lax, V. and Gragl, P., 2016. Introduction: Beyond Monism, Dualism, Pluralism: The Quest for a (Fully-Fledged) Theoretical Framework: Co-Implication, Embeddedness, and Interdependency between Public International Law and EU Law. </w:t>
      </w:r>
      <w:r w:rsidRPr="00627230">
        <w:rPr>
          <w:rFonts w:asciiTheme="minorHAnsi" w:hAnsiTheme="minorHAnsi" w:cstheme="minorHAnsi"/>
          <w:i/>
          <w:iCs/>
          <w:szCs w:val="24"/>
          <w:shd w:val="clear" w:color="auto" w:fill="FFFFFF"/>
        </w:rPr>
        <w:t>Yearbook of European Law</w:t>
      </w:r>
      <w:r w:rsidRPr="00627230">
        <w:rPr>
          <w:rFonts w:asciiTheme="minorHAnsi" w:hAnsiTheme="minorHAnsi" w:cstheme="minorHAnsi"/>
          <w:szCs w:val="24"/>
          <w:shd w:val="clear" w:color="auto" w:fill="FFFFFF"/>
        </w:rPr>
        <w:t>, </w:t>
      </w:r>
      <w:r w:rsidRPr="00627230">
        <w:rPr>
          <w:rFonts w:asciiTheme="minorHAnsi" w:hAnsiTheme="minorHAnsi" w:cstheme="minorHAnsi"/>
          <w:i/>
          <w:iCs/>
          <w:szCs w:val="24"/>
          <w:shd w:val="clear" w:color="auto" w:fill="FFFFFF"/>
        </w:rPr>
        <w:t>35</w:t>
      </w:r>
      <w:r w:rsidRPr="00627230">
        <w:rPr>
          <w:rFonts w:asciiTheme="minorHAnsi" w:hAnsiTheme="minorHAnsi" w:cstheme="minorHAnsi"/>
          <w:szCs w:val="24"/>
          <w:shd w:val="clear" w:color="auto" w:fill="FFFFFF"/>
        </w:rPr>
        <w:t>(1), pp.455-470.</w:t>
      </w:r>
    </w:p>
    <w:p w14:paraId="362520F2" w14:textId="77777777" w:rsidR="00C53C26" w:rsidRPr="00627230" w:rsidRDefault="00C53C26" w:rsidP="00C53C26">
      <w:pPr>
        <w:ind w:left="720" w:hanging="720"/>
        <w:rPr>
          <w:rFonts w:asciiTheme="minorHAnsi" w:hAnsiTheme="minorHAnsi" w:cstheme="minorHAnsi"/>
          <w:szCs w:val="24"/>
          <w:shd w:val="clear" w:color="auto" w:fill="FFFFFF"/>
        </w:rPr>
      </w:pPr>
      <w:r w:rsidRPr="00627230">
        <w:rPr>
          <w:rFonts w:asciiTheme="minorHAnsi" w:hAnsiTheme="minorHAnsi" w:cstheme="minorHAnsi"/>
          <w:szCs w:val="24"/>
          <w:shd w:val="clear" w:color="auto" w:fill="FFFFFF"/>
        </w:rPr>
        <w:t>Moreno-Lax, V.I.O.L.E.T.A., 2019. The Axiological Emancipation of a (Non-) Principle: Autonomy, International Law and the EU Legal Order. In </w:t>
      </w:r>
      <w:r w:rsidRPr="00627230">
        <w:rPr>
          <w:rFonts w:asciiTheme="minorHAnsi" w:hAnsiTheme="minorHAnsi" w:cstheme="minorHAnsi"/>
          <w:i/>
          <w:iCs/>
          <w:szCs w:val="24"/>
          <w:shd w:val="clear" w:color="auto" w:fill="FFFFFF"/>
        </w:rPr>
        <w:t>The Interface Between EU and International Law: Contemporary Reflections</w:t>
      </w:r>
      <w:r w:rsidRPr="00627230">
        <w:rPr>
          <w:rFonts w:asciiTheme="minorHAnsi" w:hAnsiTheme="minorHAnsi" w:cstheme="minorHAnsi"/>
          <w:szCs w:val="24"/>
          <w:shd w:val="clear" w:color="auto" w:fill="FFFFFF"/>
        </w:rPr>
        <w:t>. Bloomsbury Publishing.</w:t>
      </w:r>
    </w:p>
    <w:p w14:paraId="496DB895" w14:textId="77777777" w:rsidR="00C53C26" w:rsidRPr="00627230" w:rsidRDefault="00C53C26" w:rsidP="00C53C26">
      <w:pPr>
        <w:ind w:left="720" w:hanging="720"/>
        <w:rPr>
          <w:rFonts w:asciiTheme="minorHAnsi" w:hAnsiTheme="minorHAnsi" w:cstheme="minorHAnsi"/>
          <w:szCs w:val="24"/>
          <w:shd w:val="clear" w:color="auto" w:fill="FFFFFF"/>
        </w:rPr>
      </w:pPr>
      <w:r w:rsidRPr="00627230">
        <w:rPr>
          <w:rFonts w:asciiTheme="minorHAnsi" w:hAnsiTheme="minorHAnsi" w:cstheme="minorHAnsi"/>
          <w:szCs w:val="24"/>
          <w:shd w:val="clear" w:color="auto" w:fill="FFFFFF"/>
        </w:rPr>
        <w:t>Mude, T., 2019. Theorising the Direct Effect Doctrine of International Law in Human Rights. </w:t>
      </w:r>
      <w:r w:rsidRPr="00627230">
        <w:rPr>
          <w:rFonts w:asciiTheme="minorHAnsi" w:hAnsiTheme="minorHAnsi" w:cstheme="minorHAnsi"/>
          <w:i/>
          <w:iCs/>
          <w:szCs w:val="24"/>
          <w:shd w:val="clear" w:color="auto" w:fill="FFFFFF"/>
        </w:rPr>
        <w:t>Reimagining Justice, Human Rights and Leadership in Africa: Challenging Discourse and Searching for Alternative Paths</w:t>
      </w:r>
      <w:r w:rsidRPr="00627230">
        <w:rPr>
          <w:rFonts w:asciiTheme="minorHAnsi" w:hAnsiTheme="minorHAnsi" w:cstheme="minorHAnsi"/>
          <w:szCs w:val="24"/>
          <w:shd w:val="clear" w:color="auto" w:fill="FFFFFF"/>
        </w:rPr>
        <w:t>, p.77.</w:t>
      </w:r>
    </w:p>
    <w:p w14:paraId="114F0FB6" w14:textId="77777777" w:rsidR="00C53C26" w:rsidRPr="00627230" w:rsidRDefault="00C53C26" w:rsidP="00C53C26">
      <w:pPr>
        <w:ind w:left="720" w:hanging="720"/>
        <w:rPr>
          <w:rFonts w:asciiTheme="minorHAnsi" w:hAnsiTheme="minorHAnsi" w:cstheme="minorHAnsi"/>
          <w:szCs w:val="24"/>
          <w:shd w:val="clear" w:color="auto" w:fill="FFFFFF"/>
        </w:rPr>
      </w:pPr>
      <w:r w:rsidRPr="00627230">
        <w:rPr>
          <w:rFonts w:asciiTheme="minorHAnsi" w:hAnsiTheme="minorHAnsi" w:cstheme="minorHAnsi"/>
          <w:szCs w:val="24"/>
          <w:shd w:val="clear" w:color="auto" w:fill="FFFFFF"/>
        </w:rPr>
        <w:t>Mude, T., 2020. Theorising the Direct Effect Doctrine of International Law in Human Rights Enforcement. In </w:t>
      </w:r>
      <w:r w:rsidRPr="00627230">
        <w:rPr>
          <w:rFonts w:asciiTheme="minorHAnsi" w:hAnsiTheme="minorHAnsi" w:cstheme="minorHAnsi"/>
          <w:i/>
          <w:iCs/>
          <w:szCs w:val="24"/>
          <w:shd w:val="clear" w:color="auto" w:fill="FFFFFF"/>
        </w:rPr>
        <w:t>Reimagining Justice, Human Rights and Leadership in Africa</w:t>
      </w:r>
      <w:r w:rsidRPr="00627230">
        <w:rPr>
          <w:rFonts w:asciiTheme="minorHAnsi" w:hAnsiTheme="minorHAnsi" w:cstheme="minorHAnsi"/>
          <w:szCs w:val="24"/>
          <w:shd w:val="clear" w:color="auto" w:fill="FFFFFF"/>
        </w:rPr>
        <w:t> (pp. 77-102). Springer, Cham.</w:t>
      </w:r>
    </w:p>
    <w:p w14:paraId="211A7BF5" w14:textId="77777777" w:rsidR="00C53C26" w:rsidRPr="00627230" w:rsidRDefault="00C53C26" w:rsidP="00C53C26">
      <w:pPr>
        <w:ind w:left="720" w:hanging="720"/>
        <w:rPr>
          <w:rFonts w:asciiTheme="minorHAnsi" w:hAnsiTheme="minorHAnsi" w:cstheme="minorHAnsi"/>
          <w:szCs w:val="24"/>
        </w:rPr>
      </w:pPr>
      <w:r w:rsidRPr="00627230">
        <w:rPr>
          <w:rFonts w:asciiTheme="minorHAnsi" w:hAnsiTheme="minorHAnsi" w:cstheme="minorHAnsi"/>
          <w:szCs w:val="24"/>
          <w:shd w:val="clear" w:color="auto" w:fill="FFFFFF"/>
        </w:rPr>
        <w:t>Muse, H.M., 2020. The Supremacy Doctrine, Direct, and Indirect Effects and State Liability Under EU Law. </w:t>
      </w:r>
      <w:r w:rsidRPr="00627230">
        <w:rPr>
          <w:rFonts w:asciiTheme="minorHAnsi" w:hAnsiTheme="minorHAnsi" w:cstheme="minorHAnsi"/>
          <w:i/>
          <w:iCs/>
          <w:szCs w:val="24"/>
          <w:shd w:val="clear" w:color="auto" w:fill="FFFFFF"/>
        </w:rPr>
        <w:t>Direct, and Indirect Effects and State Liability Under EU Law (August 18, 2020)</w:t>
      </w:r>
      <w:r w:rsidRPr="00627230">
        <w:rPr>
          <w:rFonts w:asciiTheme="minorHAnsi" w:hAnsiTheme="minorHAnsi" w:cstheme="minorHAnsi"/>
          <w:szCs w:val="24"/>
          <w:shd w:val="clear" w:color="auto" w:fill="FFFFFF"/>
        </w:rPr>
        <w:t>.</w:t>
      </w:r>
    </w:p>
    <w:p w14:paraId="10121A62" w14:textId="77777777" w:rsidR="00C53C26" w:rsidRPr="00627230" w:rsidRDefault="00C53C26" w:rsidP="00C53C26">
      <w:pPr>
        <w:ind w:left="720" w:hanging="720"/>
        <w:rPr>
          <w:rFonts w:asciiTheme="minorHAnsi" w:hAnsiTheme="minorHAnsi" w:cstheme="minorHAnsi"/>
          <w:szCs w:val="24"/>
          <w:shd w:val="clear" w:color="auto" w:fill="FFFFFF"/>
        </w:rPr>
      </w:pPr>
      <w:r w:rsidRPr="00627230">
        <w:rPr>
          <w:rFonts w:asciiTheme="minorHAnsi" w:hAnsiTheme="minorHAnsi" w:cstheme="minorHAnsi"/>
          <w:szCs w:val="24"/>
          <w:shd w:val="clear" w:color="auto" w:fill="FFFFFF"/>
        </w:rPr>
        <w:lastRenderedPageBreak/>
        <w:t>Odermatt, J., 2016. When a fence becomes a cage: the principle of autonomy in EU external relations law.</w:t>
      </w:r>
    </w:p>
    <w:p w14:paraId="218AD3CE" w14:textId="77777777" w:rsidR="00C53C26" w:rsidRPr="00627230" w:rsidRDefault="00C53C26" w:rsidP="00C53C26">
      <w:pPr>
        <w:ind w:left="720" w:hanging="720"/>
        <w:rPr>
          <w:rFonts w:asciiTheme="minorHAnsi" w:hAnsiTheme="minorHAnsi" w:cstheme="minorHAnsi"/>
          <w:szCs w:val="24"/>
          <w:shd w:val="clear" w:color="auto" w:fill="FFFFFF"/>
        </w:rPr>
      </w:pPr>
      <w:r w:rsidRPr="00627230">
        <w:rPr>
          <w:rFonts w:asciiTheme="minorHAnsi" w:hAnsiTheme="minorHAnsi" w:cstheme="minorHAnsi"/>
          <w:szCs w:val="24"/>
          <w:shd w:val="clear" w:color="auto" w:fill="FFFFFF"/>
        </w:rPr>
        <w:t>Tetyana, K., 2017. The Court of Justice of the European Union and international legal order. </w:t>
      </w:r>
      <w:r w:rsidRPr="00627230">
        <w:rPr>
          <w:rFonts w:asciiTheme="minorHAnsi" w:hAnsiTheme="minorHAnsi" w:cstheme="minorHAnsi"/>
          <w:i/>
          <w:iCs/>
          <w:szCs w:val="24"/>
          <w:shd w:val="clear" w:color="auto" w:fill="FFFFFF"/>
        </w:rPr>
        <w:t>Russian Law Journal</w:t>
      </w:r>
      <w:r w:rsidRPr="00627230">
        <w:rPr>
          <w:rFonts w:asciiTheme="minorHAnsi" w:hAnsiTheme="minorHAnsi" w:cstheme="minorHAnsi"/>
          <w:szCs w:val="24"/>
          <w:shd w:val="clear" w:color="auto" w:fill="FFFFFF"/>
        </w:rPr>
        <w:t>, </w:t>
      </w:r>
      <w:r w:rsidRPr="00627230">
        <w:rPr>
          <w:rFonts w:asciiTheme="minorHAnsi" w:hAnsiTheme="minorHAnsi" w:cstheme="minorHAnsi"/>
          <w:i/>
          <w:iCs/>
          <w:szCs w:val="24"/>
          <w:shd w:val="clear" w:color="auto" w:fill="FFFFFF"/>
        </w:rPr>
        <w:t>5</w:t>
      </w:r>
      <w:r w:rsidRPr="00627230">
        <w:rPr>
          <w:rFonts w:asciiTheme="minorHAnsi" w:hAnsiTheme="minorHAnsi" w:cstheme="minorHAnsi"/>
          <w:szCs w:val="24"/>
          <w:shd w:val="clear" w:color="auto" w:fill="FFFFFF"/>
        </w:rPr>
        <w:t>(3).</w:t>
      </w:r>
    </w:p>
    <w:p w14:paraId="65EC5422" w14:textId="77777777" w:rsidR="00C53C26" w:rsidRPr="00627230" w:rsidRDefault="00C53C26" w:rsidP="00C53C26">
      <w:pPr>
        <w:ind w:left="720" w:hanging="720"/>
        <w:rPr>
          <w:rFonts w:asciiTheme="minorHAnsi" w:hAnsiTheme="minorHAnsi" w:cstheme="minorHAnsi"/>
          <w:szCs w:val="24"/>
          <w:shd w:val="clear" w:color="auto" w:fill="FFFFFF"/>
        </w:rPr>
      </w:pPr>
      <w:r w:rsidRPr="00627230">
        <w:rPr>
          <w:rFonts w:asciiTheme="minorHAnsi" w:hAnsiTheme="minorHAnsi" w:cstheme="minorHAnsi"/>
          <w:szCs w:val="24"/>
          <w:shd w:val="clear" w:color="auto" w:fill="FFFFFF"/>
        </w:rPr>
        <w:t>Ziegler, K., 2013. International Law and EU Law: between asymmetrical constitutionalization and fragmentation. </w:t>
      </w:r>
      <w:r w:rsidRPr="00627230">
        <w:rPr>
          <w:rFonts w:asciiTheme="minorHAnsi" w:hAnsiTheme="minorHAnsi" w:cstheme="minorHAnsi"/>
          <w:i/>
          <w:iCs/>
          <w:szCs w:val="24"/>
          <w:shd w:val="clear" w:color="auto" w:fill="FFFFFF"/>
        </w:rPr>
        <w:t>Law Ukr.: Legal J.</w:t>
      </w:r>
      <w:r w:rsidRPr="00627230">
        <w:rPr>
          <w:rFonts w:asciiTheme="minorHAnsi" w:hAnsiTheme="minorHAnsi" w:cstheme="minorHAnsi"/>
          <w:szCs w:val="24"/>
          <w:shd w:val="clear" w:color="auto" w:fill="FFFFFF"/>
        </w:rPr>
        <w:t>, p.5.</w:t>
      </w:r>
    </w:p>
    <w:p w14:paraId="36649570" w14:textId="521EA13F" w:rsidR="00C53C26" w:rsidRPr="00627230" w:rsidRDefault="00C53C26" w:rsidP="00C53C26">
      <w:pPr>
        <w:ind w:left="720" w:hanging="720"/>
        <w:rPr>
          <w:rFonts w:asciiTheme="minorHAnsi" w:hAnsiTheme="minorHAnsi" w:cstheme="minorHAnsi"/>
          <w:szCs w:val="24"/>
          <w:shd w:val="clear" w:color="auto" w:fill="FFFFFF"/>
        </w:rPr>
      </w:pPr>
      <w:r w:rsidRPr="00627230">
        <w:rPr>
          <w:rFonts w:asciiTheme="minorHAnsi" w:hAnsiTheme="minorHAnsi" w:cstheme="minorHAnsi"/>
          <w:szCs w:val="24"/>
          <w:shd w:val="clear" w:color="auto" w:fill="FFFFFF"/>
        </w:rPr>
        <w:t xml:space="preserve">Ziegler, K.S., 2016. Beyond Pluralism and Autonomy: Systemic Harmonization </w:t>
      </w:r>
      <w:r w:rsidR="008267D6" w:rsidRPr="00627230">
        <w:rPr>
          <w:rFonts w:asciiTheme="minorHAnsi" w:hAnsiTheme="minorHAnsi" w:cstheme="minorHAnsi"/>
          <w:szCs w:val="24"/>
          <w:shd w:val="clear" w:color="auto" w:fill="FFFFFF"/>
        </w:rPr>
        <w:t>as</w:t>
      </w:r>
      <w:r w:rsidRPr="00627230">
        <w:rPr>
          <w:rFonts w:asciiTheme="minorHAnsi" w:hAnsiTheme="minorHAnsi" w:cstheme="minorHAnsi"/>
          <w:szCs w:val="24"/>
          <w:shd w:val="clear" w:color="auto" w:fill="FFFFFF"/>
        </w:rPr>
        <w:t xml:space="preserve"> a Paradigm for the Interaction of EU Law and International Law. </w:t>
      </w:r>
      <w:r w:rsidRPr="00627230">
        <w:rPr>
          <w:rFonts w:asciiTheme="minorHAnsi" w:hAnsiTheme="minorHAnsi" w:cstheme="minorHAnsi"/>
          <w:i/>
          <w:iCs/>
          <w:szCs w:val="24"/>
          <w:shd w:val="clear" w:color="auto" w:fill="FFFFFF"/>
        </w:rPr>
        <w:t>Yearbook of European Law</w:t>
      </w:r>
      <w:r w:rsidRPr="00627230">
        <w:rPr>
          <w:rFonts w:asciiTheme="minorHAnsi" w:hAnsiTheme="minorHAnsi" w:cstheme="minorHAnsi"/>
          <w:szCs w:val="24"/>
          <w:shd w:val="clear" w:color="auto" w:fill="FFFFFF"/>
        </w:rPr>
        <w:t>, </w:t>
      </w:r>
      <w:r w:rsidRPr="00627230">
        <w:rPr>
          <w:rFonts w:asciiTheme="minorHAnsi" w:hAnsiTheme="minorHAnsi" w:cstheme="minorHAnsi"/>
          <w:i/>
          <w:iCs/>
          <w:szCs w:val="24"/>
          <w:shd w:val="clear" w:color="auto" w:fill="FFFFFF"/>
        </w:rPr>
        <w:t>35</w:t>
      </w:r>
      <w:r w:rsidRPr="00627230">
        <w:rPr>
          <w:rFonts w:asciiTheme="minorHAnsi" w:hAnsiTheme="minorHAnsi" w:cstheme="minorHAnsi"/>
          <w:szCs w:val="24"/>
          <w:shd w:val="clear" w:color="auto" w:fill="FFFFFF"/>
        </w:rPr>
        <w:t>(1), pp.667-711.</w:t>
      </w:r>
    </w:p>
    <w:p w14:paraId="4BA3DC4E" w14:textId="77777777" w:rsidR="005754FD" w:rsidRPr="00627230" w:rsidRDefault="005754FD">
      <w:pPr>
        <w:rPr>
          <w:rFonts w:asciiTheme="minorHAnsi" w:hAnsiTheme="minorHAnsi" w:cstheme="minorHAnsi"/>
        </w:rPr>
      </w:pPr>
    </w:p>
    <w:sectPr w:rsidR="005754FD" w:rsidRPr="0062723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3C26"/>
    <w:rsid w:val="00292837"/>
    <w:rsid w:val="005754FD"/>
    <w:rsid w:val="005E2448"/>
    <w:rsid w:val="00627230"/>
    <w:rsid w:val="007A5E7E"/>
    <w:rsid w:val="008267D6"/>
    <w:rsid w:val="00BB0F15"/>
    <w:rsid w:val="00C53C26"/>
    <w:rsid w:val="00FE1C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7AA583D"/>
  <w15:chartTrackingRefBased/>
  <w15:docId w15:val="{4B8EE08E-B82B-2345-A7B9-9D77C38931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C26"/>
    <w:pPr>
      <w:spacing w:after="160" w:line="480" w:lineRule="auto"/>
      <w:ind w:firstLine="720"/>
      <w:jc w:val="both"/>
    </w:pPr>
    <w:rPr>
      <w:rFonts w:ascii="Times New Roman" w:hAnsi="Times New Roman"/>
      <w:color w:val="000000" w:themeColor="text1"/>
      <w:szCs w:val="22"/>
    </w:rPr>
  </w:style>
  <w:style w:type="paragraph" w:styleId="Heading1">
    <w:name w:val="heading 1"/>
    <w:basedOn w:val="Normal"/>
    <w:next w:val="Normal"/>
    <w:link w:val="Heading1Char"/>
    <w:autoRedefine/>
    <w:uiPriority w:val="9"/>
    <w:qFormat/>
    <w:rsid w:val="00C53C26"/>
    <w:pPr>
      <w:keepNext/>
      <w:keepLines/>
      <w:spacing w:before="240" w:after="0"/>
      <w:ind w:firstLine="0"/>
      <w:jc w:val="left"/>
      <w:outlineLvl w:val="0"/>
    </w:pPr>
    <w:rPr>
      <w:rFonts w:eastAsiaTheme="majorEastAsia" w:cstheme="majorBidi"/>
      <w:b/>
      <w:i/>
      <w:iCs/>
      <w:szCs w:val="32"/>
    </w:rPr>
  </w:style>
  <w:style w:type="paragraph" w:styleId="Heading2">
    <w:name w:val="heading 2"/>
    <w:basedOn w:val="Normal"/>
    <w:next w:val="Normal"/>
    <w:link w:val="Heading2Char"/>
    <w:autoRedefine/>
    <w:uiPriority w:val="9"/>
    <w:unhideWhenUsed/>
    <w:qFormat/>
    <w:rsid w:val="00C53C26"/>
    <w:pPr>
      <w:keepNext/>
      <w:keepLines/>
      <w:spacing w:before="40" w:after="0"/>
      <w:ind w:firstLine="0"/>
      <w:outlineLvl w:val="1"/>
    </w:pPr>
    <w:rPr>
      <w:rFonts w:eastAsiaTheme="majorEastAsia" w:cstheme="majorBidi"/>
      <w:i/>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53C26"/>
    <w:rPr>
      <w:rFonts w:ascii="Times New Roman" w:eastAsiaTheme="majorEastAsia" w:hAnsi="Times New Roman" w:cstheme="majorBidi"/>
      <w:b/>
      <w:i/>
      <w:iCs/>
      <w:color w:val="000000" w:themeColor="text1"/>
      <w:szCs w:val="32"/>
    </w:rPr>
  </w:style>
  <w:style w:type="character" w:customStyle="1" w:styleId="Heading2Char">
    <w:name w:val="Heading 2 Char"/>
    <w:basedOn w:val="DefaultParagraphFont"/>
    <w:link w:val="Heading2"/>
    <w:uiPriority w:val="9"/>
    <w:rsid w:val="00C53C26"/>
    <w:rPr>
      <w:rFonts w:ascii="Times New Roman" w:eastAsiaTheme="majorEastAsia" w:hAnsi="Times New Roman" w:cstheme="majorBidi"/>
      <w:i/>
      <w:color w:val="000000" w:themeColor="text1"/>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24</TotalTime>
  <Pages>11</Pages>
  <Words>2865</Words>
  <Characters>16337</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Naima Kadir</dc:creator>
  <cp:keywords/>
  <dc:description/>
  <cp:lastModifiedBy>Naima Kadir</cp:lastModifiedBy>
  <cp:revision>6</cp:revision>
  <dcterms:created xsi:type="dcterms:W3CDTF">2021-02-26T20:44:00Z</dcterms:created>
  <dcterms:modified xsi:type="dcterms:W3CDTF">2021-02-26T21:27:00Z</dcterms:modified>
</cp:coreProperties>
</file>