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sz w:val="2"/>
        </w:rPr>
        <w:id w:val="-1409989764"/>
        <w:docPartObj>
          <w:docPartGallery w:val="Cover Pages"/>
          <w:docPartUnique/>
        </w:docPartObj>
      </w:sdtPr>
      <w:sdtEndPr>
        <w:rPr>
          <w:sz w:val="36"/>
          <w:szCs w:val="36"/>
          <w:lang w:eastAsia="zh-CN"/>
        </w:rPr>
      </w:sdtEndPr>
      <w:sdtContent>
        <w:p w14:paraId="24113B83" w14:textId="28D284C2" w:rsidR="001D6EC0" w:rsidRDefault="001D6EC0">
          <w:pPr>
            <w:pStyle w:val="NoSpacing"/>
            <w:rPr>
              <w:sz w:val="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824" behindDoc="0" locked="0" layoutInCell="1" allowOverlap="1" wp14:anchorId="5162F345" wp14:editId="4FD7D5F8">
                    <wp:simplePos x="0" y="0"/>
                    <wp:positionH relativeFrom="page">
                      <wp:posOffset>889000</wp:posOffset>
                    </wp:positionH>
                    <wp:positionV relativeFrom="margin">
                      <wp:posOffset>-45719</wp:posOffset>
                    </wp:positionV>
                    <wp:extent cx="5651500" cy="45719"/>
                    <wp:effectExtent l="0" t="19050" r="0" b="12065"/>
                    <wp:wrapNone/>
                    <wp:docPr id="62" name="Text Box 6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 flipV="1">
                              <a:off x="0" y="0"/>
                              <a:ext cx="5651500" cy="4571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B5A3DF" w14:textId="71E4A45C" w:rsidR="001D6EC0" w:rsidRDefault="001D6EC0" w:rsidP="001D6EC0">
                                <w:pPr>
                                  <w:pStyle w:val="NoSpacing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8496B0" w:themeColor="text2" w:themeTint="99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797192764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>
                                    <w:rPr>
                                      <w:rFonts w:asciiTheme="minorHAnsi" w:eastAsiaTheme="minorEastAsia" w:hAnsiTheme="minorHAnsi" w:cstheme="minorBidi"/>
                                      <w:caps w:val="0"/>
                                      <w:noProof/>
                                      <w:color w:val="auto"/>
                                      <w:sz w:val="22"/>
                                      <w:szCs w:val="22"/>
                                    </w:rPr>
                                  </w:sdtEndPr>
                                  <w:sdtContent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505C62D3" w14:textId="77777777" w:rsidR="001D6EC0" w:rsidRDefault="001D6EC0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62F34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6" o:spid="_x0000_s1026" type="#_x0000_t202" style="position:absolute;margin-left:70pt;margin-top:-3.6pt;width:445pt;height:3.6p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" filled="f" stroked="f" strokeweight=".5pt">
                    <v:textbox>
                      <w:txbxContent>
                        <w:p w14:paraId="21B5A3DF" w14:textId="71E4A45C" w:rsidR="001D6EC0" w:rsidRDefault="001D6EC0" w:rsidP="001D6EC0">
                          <w:pPr>
                            <w:pStyle w:val="NoSpacing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8496B0" w:themeColor="text2" w:themeTint="99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79719276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>
                              <w:rPr>
                                <w:rFonts w:asciiTheme="minorHAnsi" w:eastAsiaTheme="minorEastAsia" w:hAnsiTheme="minorHAnsi" w:cstheme="minorBidi"/>
                                <w:caps w:val="0"/>
                                <w:noProof/>
                                <w:color w:val="auto"/>
                                <w:sz w:val="22"/>
                                <w:szCs w:val="22"/>
                              </w:rPr>
                            </w:sdtEnd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     </w:t>
                              </w:r>
                            </w:sdtContent>
                          </w:sdt>
                          <w:r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505C62D3" w14:textId="77777777" w:rsidR="001D6EC0" w:rsidRDefault="001D6EC0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4424C33E" w14:textId="71A98E67" w:rsidR="001D6EC0" w:rsidRDefault="001D6EC0">
          <w:r>
            <w:rPr>
              <w:noProof/>
              <w:color w:val="5B9BD5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9776" behindDoc="1" locked="0" layoutInCell="1" allowOverlap="1" wp14:anchorId="25CDE5B4" wp14:editId="66F1F684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43FD435A" id="Group 2" o:spid="_x0000_s1026" style="position:absolute;margin-left:0;margin-top:0;width:432.65pt;height:448.55pt;z-index:-251656704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3D7416AF" w14:textId="77777777" w:rsidR="001D6EC0" w:rsidRDefault="001D6EC0">
          <w:pPr>
            <w:rPr>
              <w:sz w:val="36"/>
              <w:szCs w:val="36"/>
            </w:rPr>
          </w:pPr>
          <w:r>
            <w:rPr>
              <w:sz w:val="36"/>
              <w:szCs w:val="36"/>
            </w:rPr>
            <w:t>Assignment Component 1: Debate Discussion and Supporting Papers</w:t>
          </w:r>
        </w:p>
        <w:p w14:paraId="20FFFE27" w14:textId="77777777" w:rsidR="001D6EC0" w:rsidRDefault="001D6EC0">
          <w:pPr>
            <w:rPr>
              <w:sz w:val="36"/>
              <w:szCs w:val="36"/>
            </w:rPr>
          </w:pPr>
        </w:p>
        <w:p w14:paraId="7CBACA58" w14:textId="77777777" w:rsidR="001D6EC0" w:rsidRDefault="001D6EC0">
          <w:pPr>
            <w:rPr>
              <w:sz w:val="36"/>
              <w:szCs w:val="36"/>
            </w:rPr>
          </w:pPr>
          <w:r>
            <w:rPr>
              <w:sz w:val="36"/>
              <w:szCs w:val="36"/>
            </w:rPr>
            <w:t>Module Title: Mental Disorders and Psychopathology</w:t>
          </w:r>
        </w:p>
        <w:p w14:paraId="60708B87" w14:textId="77777777" w:rsidR="001D6EC0" w:rsidRDefault="001D6EC0">
          <w:pPr>
            <w:rPr>
              <w:sz w:val="36"/>
              <w:szCs w:val="36"/>
            </w:rPr>
          </w:pPr>
        </w:p>
        <w:p w14:paraId="76900320" w14:textId="77777777" w:rsidR="001D6EC0" w:rsidRDefault="001D6EC0">
          <w:pPr>
            <w:rPr>
              <w:sz w:val="36"/>
              <w:szCs w:val="36"/>
            </w:rPr>
          </w:pPr>
          <w:r>
            <w:rPr>
              <w:sz w:val="36"/>
              <w:szCs w:val="36"/>
            </w:rPr>
            <w:t>Module Code: BMHP6006</w:t>
          </w:r>
        </w:p>
        <w:p w14:paraId="39AD2098" w14:textId="77777777" w:rsidR="001D6EC0" w:rsidRDefault="001D6EC0">
          <w:pPr>
            <w:rPr>
              <w:sz w:val="36"/>
              <w:szCs w:val="36"/>
            </w:rPr>
          </w:pPr>
        </w:p>
        <w:p w14:paraId="57C2038B" w14:textId="77777777" w:rsidR="001D6EC0" w:rsidRDefault="001D6EC0">
          <w:pPr>
            <w:rPr>
              <w:sz w:val="36"/>
              <w:szCs w:val="36"/>
            </w:rPr>
          </w:pPr>
          <w:r>
            <w:rPr>
              <w:sz w:val="36"/>
              <w:szCs w:val="36"/>
            </w:rPr>
            <w:t>Lecturer’s Name: Dr Josephine Chen- Wilson</w:t>
          </w:r>
        </w:p>
        <w:p w14:paraId="5736A018" w14:textId="77777777" w:rsidR="001D6EC0" w:rsidRDefault="001D6EC0">
          <w:pPr>
            <w:rPr>
              <w:sz w:val="36"/>
              <w:szCs w:val="36"/>
            </w:rPr>
          </w:pPr>
        </w:p>
        <w:p w14:paraId="19834BC5" w14:textId="77777777" w:rsidR="001D6EC0" w:rsidRDefault="001D6EC0">
          <w:pPr>
            <w:rPr>
              <w:sz w:val="36"/>
              <w:szCs w:val="36"/>
            </w:rPr>
          </w:pPr>
          <w:r>
            <w:rPr>
              <w:sz w:val="36"/>
              <w:szCs w:val="36"/>
            </w:rPr>
            <w:t>Student’s Name: Fatima Al Hassan</w:t>
          </w:r>
        </w:p>
        <w:p w14:paraId="2B191B1B" w14:textId="77777777" w:rsidR="001D6EC0" w:rsidRDefault="001D6EC0">
          <w:pPr>
            <w:rPr>
              <w:sz w:val="36"/>
              <w:szCs w:val="36"/>
            </w:rPr>
          </w:pPr>
        </w:p>
        <w:p w14:paraId="5FE108DA" w14:textId="1DDD16E3" w:rsidR="001D6EC0" w:rsidRDefault="001D6EC0">
          <w:pPr>
            <w:rPr>
              <w:sz w:val="36"/>
              <w:szCs w:val="36"/>
            </w:rPr>
          </w:pPr>
          <w:r>
            <w:rPr>
              <w:sz w:val="36"/>
              <w:szCs w:val="36"/>
            </w:rPr>
            <w:t>Student’s Number: 2129080</w:t>
          </w:r>
          <w:r>
            <w:rPr>
              <w:sz w:val="36"/>
              <w:szCs w:val="36"/>
            </w:rPr>
            <w:br w:type="page"/>
          </w:r>
        </w:p>
      </w:sdtContent>
    </w:sdt>
    <w:p w14:paraId="71B84185" w14:textId="5BB5934E" w:rsidR="00F059DD" w:rsidRDefault="00525AD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  <w:szCs w:val="22"/>
          <w:lang w:bidi="ar"/>
        </w:rPr>
        <w:lastRenderedPageBreak/>
        <w:t>Schizophrenia: Unlocking the Potential of Therapy for Rehabilitation and Reintegration</w:t>
      </w:r>
    </w:p>
    <w:p w14:paraId="739540EA" w14:textId="77777777" w:rsidR="00F059DD" w:rsidRDefault="00525AD1">
      <w:pPr>
        <w:spacing w:line="360" w:lineRule="auto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References</w:t>
      </w:r>
    </w:p>
    <w:p w14:paraId="372E320A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American Psychiatric Association. (2013). Diagnostic and statistical manual of mental disorders (5th ed.). Arlington, VA: Author. 4. National Institute of Mental Health. (2016, December). Schizophrenia. </w:t>
      </w:r>
      <w:hyperlink r:id="rId8" w:history="1">
        <w:r>
          <w:rPr>
            <w:rStyle w:val="Hyperlink"/>
            <w:rFonts w:ascii="Arial" w:hAnsi="Arial"/>
            <w:sz w:val="22"/>
            <w:szCs w:val="22"/>
          </w:rPr>
          <w:t>https://www.nimh.nih.gov/health/topics/schizophrenia</w:t>
        </w:r>
      </w:hyperlink>
      <w:r>
        <w:rPr>
          <w:rFonts w:ascii="Arial" w:hAnsi="Arial"/>
          <w:sz w:val="22"/>
          <w:szCs w:val="22"/>
        </w:rPr>
        <w:t xml:space="preserve"> </w:t>
      </w:r>
    </w:p>
    <w:p w14:paraId="3A1BAE2B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Andreasen, N.C. (1990). Positive and Negative Symptoms in Schizophrenia. </w:t>
      </w:r>
      <w:r>
        <w:rPr>
          <w:rFonts w:ascii="Arial" w:hAnsi="Arial" w:cs="Arial"/>
          <w:i/>
          <w:iCs/>
          <w:sz w:val="22"/>
          <w:szCs w:val="22"/>
        </w:rPr>
        <w:t>Archives of General Psychiatry</w:t>
      </w:r>
      <w:r>
        <w:rPr>
          <w:rFonts w:ascii="Arial" w:hAnsi="Arial" w:cs="Arial"/>
          <w:sz w:val="22"/>
          <w:szCs w:val="22"/>
        </w:rPr>
        <w:t xml:space="preserve">, 47(7), p.615.      </w:t>
      </w:r>
      <w:proofErr w:type="spellStart"/>
      <w:r>
        <w:rPr>
          <w:rFonts w:ascii="Arial" w:hAnsi="Arial" w:cs="Arial"/>
          <w:sz w:val="22"/>
          <w:szCs w:val="22"/>
        </w:rPr>
        <w:t>doi:</w:t>
      </w:r>
      <w:hyperlink r:id="rId9" w:history="1">
        <w:r>
          <w:rPr>
            <w:rStyle w:val="Hyperlink"/>
            <w:rFonts w:ascii="Arial" w:hAnsi="Arial" w:cs="Arial"/>
            <w:sz w:val="22"/>
            <w:szCs w:val="22"/>
          </w:rPr>
          <w:t>https</w:t>
        </w:r>
        <w:proofErr w:type="spellEnd"/>
        <w:r>
          <w:rPr>
            <w:rStyle w:val="Hyperlink"/>
            <w:rFonts w:ascii="Arial" w:hAnsi="Arial" w:cs="Arial"/>
            <w:sz w:val="22"/>
            <w:szCs w:val="22"/>
          </w:rPr>
          <w:t>://doi.org/10.1001/archpsyc.1990.01810190015002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4C6D5C37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Appi.org. (2017). </w:t>
      </w:r>
      <w:r>
        <w:rPr>
          <w:rFonts w:ascii="Arial" w:hAnsi="Arial" w:cs="Arial"/>
          <w:i/>
          <w:iCs/>
          <w:sz w:val="22"/>
          <w:szCs w:val="22"/>
        </w:rPr>
        <w:t>APA - DSM - Diagnostic and Statistical Manual of Mental Disorders</w:t>
      </w:r>
      <w:r>
        <w:rPr>
          <w:rFonts w:ascii="Arial" w:hAnsi="Arial" w:cs="Arial"/>
          <w:sz w:val="22"/>
          <w:szCs w:val="22"/>
        </w:rPr>
        <w:t xml:space="preserve">. [online] Available at: </w:t>
      </w:r>
      <w:hyperlink r:id="rId10" w:history="1">
        <w:r>
          <w:rPr>
            <w:rStyle w:val="Hyperlink"/>
            <w:rFonts w:ascii="Arial" w:hAnsi="Arial" w:cs="Arial"/>
            <w:sz w:val="22"/>
            <w:szCs w:val="22"/>
          </w:rPr>
          <w:t>https://www.appi.org/dsm</w:t>
        </w:r>
      </w:hyperlink>
      <w:r>
        <w:rPr>
          <w:rFonts w:ascii="Arial" w:hAnsi="Arial" w:cs="Arial"/>
          <w:sz w:val="22"/>
          <w:szCs w:val="22"/>
        </w:rPr>
        <w:t xml:space="preserve">  [Accessed 1 Jul. 2024].</w:t>
      </w:r>
    </w:p>
    <w:p w14:paraId="3109FE91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Catts, S.V. and O’Toole, B.I. (2016). The treatment of schizophrenia: Can we raise the standard of care? </w:t>
      </w:r>
      <w:r>
        <w:rPr>
          <w:rFonts w:ascii="Arial" w:hAnsi="Arial" w:cs="Arial"/>
          <w:i/>
          <w:iCs/>
          <w:sz w:val="22"/>
          <w:szCs w:val="22"/>
        </w:rPr>
        <w:t>Australian &amp; New Zealand Journal of Psychiatry</w:t>
      </w:r>
      <w:r>
        <w:rPr>
          <w:rFonts w:ascii="Arial" w:hAnsi="Arial" w:cs="Arial"/>
          <w:sz w:val="22"/>
          <w:szCs w:val="22"/>
        </w:rPr>
        <w:t xml:space="preserve">, 50(12), pp.1128–1138. </w:t>
      </w:r>
      <w:proofErr w:type="spellStart"/>
      <w:r>
        <w:rPr>
          <w:rFonts w:ascii="Arial" w:hAnsi="Arial" w:cs="Arial"/>
          <w:sz w:val="22"/>
          <w:szCs w:val="22"/>
        </w:rPr>
        <w:t>doi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11" w:history="1">
        <w:r>
          <w:rPr>
            <w:rStyle w:val="Hyperlink"/>
            <w:rFonts w:ascii="Arial" w:hAnsi="Arial" w:cs="Arial"/>
            <w:sz w:val="22"/>
            <w:szCs w:val="22"/>
          </w:rPr>
          <w:t>https://doi.org/10.1177/0004867416672725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5A838237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hAnsi="Arial" w:cs="Arial"/>
          <w:sz w:val="22"/>
          <w:szCs w:val="22"/>
        </w:rPr>
        <w:t>Bartolomeis</w:t>
      </w:r>
      <w:proofErr w:type="spellEnd"/>
      <w:r>
        <w:rPr>
          <w:rFonts w:ascii="Arial" w:hAnsi="Arial" w:cs="Arial"/>
          <w:sz w:val="22"/>
          <w:szCs w:val="22"/>
        </w:rPr>
        <w:t xml:space="preserve">, A., Barone, A., </w:t>
      </w:r>
      <w:proofErr w:type="spellStart"/>
      <w:r>
        <w:rPr>
          <w:rFonts w:ascii="Arial" w:hAnsi="Arial" w:cs="Arial"/>
          <w:sz w:val="22"/>
          <w:szCs w:val="22"/>
        </w:rPr>
        <w:t>Begni</w:t>
      </w:r>
      <w:proofErr w:type="spellEnd"/>
      <w:r>
        <w:rPr>
          <w:rFonts w:ascii="Arial" w:hAnsi="Arial" w:cs="Arial"/>
          <w:sz w:val="22"/>
          <w:szCs w:val="22"/>
        </w:rPr>
        <w:t xml:space="preserve">, V. and Riva, M.A. (2022). Present and future antipsychotic drugs: A systematic review of the putative mechanisms of action for efficacy and a critical appraisal under a translational perspective. </w:t>
      </w:r>
      <w:r>
        <w:rPr>
          <w:rFonts w:ascii="Arial" w:hAnsi="Arial" w:cs="Arial"/>
          <w:i/>
          <w:iCs/>
          <w:sz w:val="22"/>
          <w:szCs w:val="22"/>
        </w:rPr>
        <w:t>Pharmacological Research</w:t>
      </w:r>
      <w:r>
        <w:rPr>
          <w:rFonts w:ascii="Arial" w:hAnsi="Arial" w:cs="Arial"/>
          <w:sz w:val="22"/>
          <w:szCs w:val="22"/>
        </w:rPr>
        <w:t xml:space="preserve">, 176, p.106078. </w:t>
      </w:r>
      <w:proofErr w:type="spellStart"/>
      <w:r>
        <w:rPr>
          <w:rFonts w:ascii="Arial" w:hAnsi="Arial" w:cs="Arial"/>
          <w:sz w:val="22"/>
          <w:szCs w:val="22"/>
        </w:rPr>
        <w:t>doi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12" w:history="1">
        <w:r>
          <w:rPr>
            <w:rStyle w:val="Hyperlink"/>
            <w:rFonts w:ascii="Arial" w:hAnsi="Arial" w:cs="Arial"/>
            <w:sz w:val="22"/>
            <w:szCs w:val="22"/>
          </w:rPr>
          <w:t>https://doi.org/10.1016/j.phrs.2022.106078</w:t>
        </w:r>
      </w:hyperlink>
      <w:r>
        <w:rPr>
          <w:rFonts w:ascii="Arial" w:hAnsi="Arial" w:cs="Arial"/>
          <w:sz w:val="22"/>
          <w:szCs w:val="22"/>
        </w:rPr>
        <w:t xml:space="preserve">  </w:t>
      </w:r>
    </w:p>
    <w:p w14:paraId="6259CA3C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GOV.UK (2013a). </w:t>
      </w:r>
      <w:r>
        <w:rPr>
          <w:rFonts w:ascii="Arial" w:hAnsi="Arial" w:cs="Arial"/>
          <w:i/>
          <w:iCs/>
          <w:sz w:val="22"/>
          <w:szCs w:val="22"/>
        </w:rPr>
        <w:t>Equality Act 2010</w:t>
      </w:r>
      <w:r>
        <w:rPr>
          <w:rFonts w:ascii="Arial" w:hAnsi="Arial" w:cs="Arial"/>
          <w:sz w:val="22"/>
          <w:szCs w:val="22"/>
        </w:rPr>
        <w:t xml:space="preserve">. [online] Gov.Uk. Available at: </w:t>
      </w:r>
      <w:hyperlink r:id="rId13" w:history="1">
        <w:r>
          <w:rPr>
            <w:rStyle w:val="Hyperlink"/>
            <w:rFonts w:ascii="Arial" w:hAnsi="Arial" w:cs="Arial"/>
            <w:sz w:val="22"/>
            <w:szCs w:val="22"/>
          </w:rPr>
          <w:t>https://www.gov.uk/guidance/equality-act-2010-guidance</w:t>
        </w:r>
      </w:hyperlink>
      <w:r>
        <w:rPr>
          <w:rFonts w:ascii="Arial" w:hAnsi="Arial" w:cs="Arial"/>
          <w:sz w:val="22"/>
          <w:szCs w:val="22"/>
        </w:rPr>
        <w:t xml:space="preserve"> [Accessed 4 Jul. 2024].</w:t>
      </w:r>
    </w:p>
    <w:p w14:paraId="60E5F9C3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GOV.UK (2013b).</w:t>
      </w:r>
      <w:r>
        <w:rPr>
          <w:rFonts w:ascii="Arial" w:hAnsi="Arial"/>
          <w:i/>
          <w:iCs/>
          <w:sz w:val="22"/>
          <w:szCs w:val="22"/>
        </w:rPr>
        <w:t xml:space="preserve"> Mental Capacity Act Code of Practice</w:t>
      </w:r>
      <w:r>
        <w:rPr>
          <w:rFonts w:ascii="Arial" w:hAnsi="Arial"/>
          <w:sz w:val="22"/>
          <w:szCs w:val="22"/>
        </w:rPr>
        <w:t xml:space="preserve">. [online] GOV.UK. Available at: </w:t>
      </w:r>
      <w:hyperlink r:id="rId14" w:history="1">
        <w:r>
          <w:rPr>
            <w:rStyle w:val="Hyperlink"/>
            <w:rFonts w:ascii="Arial" w:hAnsi="Arial"/>
            <w:sz w:val="22"/>
            <w:szCs w:val="22"/>
          </w:rPr>
          <w:t>https://www.gov.uk/government/publications/mental-capacity-act-code-of-practice</w:t>
        </w:r>
      </w:hyperlink>
      <w:r>
        <w:rPr>
          <w:rFonts w:ascii="Arial" w:hAnsi="Arial"/>
          <w:sz w:val="22"/>
          <w:szCs w:val="22"/>
        </w:rPr>
        <w:t xml:space="preserve"> [Accessed 4 Jul. 2024].</w:t>
      </w:r>
    </w:p>
    <w:p w14:paraId="66A09885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Edwards, D. J., Best, S. I., &amp; Murray, R. M. (2004). A sequential liability model for schizophrenia. British Journal of Psychiatry, 184(4), 230-238.</w:t>
      </w:r>
    </w:p>
    <w:p w14:paraId="793AD637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Manthorpe, J., Samsi, K., Heath, H. and Charles, N. (2011). ‘Early days’: Knowledge and use of the Mental Capacity Act 2005 by care home managers and staff. </w:t>
      </w:r>
      <w:r>
        <w:rPr>
          <w:rFonts w:ascii="Arial" w:hAnsi="Arial" w:cs="Arial"/>
          <w:i/>
          <w:iCs/>
          <w:sz w:val="22"/>
          <w:szCs w:val="22"/>
        </w:rPr>
        <w:t>Dementia</w:t>
      </w:r>
      <w:r>
        <w:rPr>
          <w:rFonts w:ascii="Arial" w:hAnsi="Arial" w:cs="Arial"/>
          <w:sz w:val="22"/>
          <w:szCs w:val="22"/>
        </w:rPr>
        <w:t xml:space="preserve">, 10(3), pp.283–298. </w:t>
      </w:r>
      <w:proofErr w:type="spellStart"/>
      <w:r>
        <w:rPr>
          <w:rFonts w:ascii="Arial" w:hAnsi="Arial" w:cs="Arial"/>
          <w:sz w:val="22"/>
          <w:szCs w:val="22"/>
        </w:rPr>
        <w:t>doi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15" w:history="1">
        <w:r>
          <w:rPr>
            <w:rStyle w:val="Hyperlink"/>
            <w:rFonts w:ascii="Arial" w:hAnsi="Arial" w:cs="Arial"/>
            <w:sz w:val="22"/>
            <w:szCs w:val="22"/>
          </w:rPr>
          <w:t>https://doi.org/10.1177/1471301211403970.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17F08DAC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McGrath, J., Saha, S., Chant, D. and Welham, J. (2008). Schizophrenia: A Concise Overview of Incidence, Prevalence, and Mortality. </w:t>
      </w:r>
      <w:r>
        <w:rPr>
          <w:rFonts w:ascii="Arial" w:hAnsi="Arial" w:cs="Arial"/>
          <w:i/>
          <w:iCs/>
          <w:sz w:val="22"/>
          <w:szCs w:val="22"/>
        </w:rPr>
        <w:t>Epidemiologic Reviews</w:t>
      </w:r>
      <w:r>
        <w:rPr>
          <w:rFonts w:ascii="Arial" w:hAnsi="Arial" w:cs="Arial"/>
          <w:sz w:val="22"/>
          <w:szCs w:val="22"/>
        </w:rPr>
        <w:t xml:space="preserve">, 30(1), pp.67–76. </w:t>
      </w:r>
      <w:proofErr w:type="spellStart"/>
      <w:r>
        <w:rPr>
          <w:rFonts w:ascii="Arial" w:hAnsi="Arial" w:cs="Arial"/>
          <w:sz w:val="22"/>
          <w:szCs w:val="22"/>
        </w:rPr>
        <w:t>doi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16" w:history="1">
        <w:r>
          <w:rPr>
            <w:rStyle w:val="Hyperlink"/>
            <w:rFonts w:ascii="Arial" w:hAnsi="Arial" w:cs="Arial"/>
            <w:sz w:val="22"/>
            <w:szCs w:val="22"/>
          </w:rPr>
          <w:t>https://doi.org/10.1093/epirev/mxn001.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23814E31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Mind. (2023). Available at: Schizophrenia statistics. </w:t>
      </w:r>
      <w:hyperlink r:id="rId17" w:history="1">
        <w:r>
          <w:rPr>
            <w:rStyle w:val="Hyperlink"/>
            <w:rFonts w:ascii="Arial" w:hAnsi="Arial" w:cs="Arial"/>
            <w:sz w:val="22"/>
            <w:szCs w:val="22"/>
          </w:rPr>
          <w:t>https://www.mind.org.uk/media/7581/mental-health-facts-and-statistics.pdf</w:t>
        </w:r>
      </w:hyperlink>
      <w:r>
        <w:rPr>
          <w:rFonts w:ascii="Arial" w:hAnsi="Arial" w:cs="Arial"/>
          <w:sz w:val="22"/>
          <w:szCs w:val="22"/>
        </w:rPr>
        <w:t xml:space="preserve"> [Accessed 2 Jul. 2024].</w:t>
      </w:r>
    </w:p>
    <w:p w14:paraId="6310F4E6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National Institute for Health and Care Excellence (2013). </w:t>
      </w:r>
      <w:r>
        <w:rPr>
          <w:rFonts w:ascii="Arial" w:hAnsi="Arial"/>
          <w:i/>
          <w:iCs/>
          <w:sz w:val="22"/>
          <w:szCs w:val="22"/>
        </w:rPr>
        <w:t>Overview | Psychosis and Schizophrenia in Children and Young people: Recognition and Management | Guidance | NICE</w:t>
      </w:r>
      <w:r>
        <w:rPr>
          <w:rFonts w:ascii="Arial" w:hAnsi="Arial"/>
          <w:sz w:val="22"/>
          <w:szCs w:val="22"/>
        </w:rPr>
        <w:t xml:space="preserve">. [online] Nice.org.uk. Available at: </w:t>
      </w:r>
      <w:hyperlink r:id="rId18" w:history="1">
        <w:r>
          <w:rPr>
            <w:rStyle w:val="Hyperlink"/>
            <w:rFonts w:ascii="Arial" w:hAnsi="Arial"/>
            <w:sz w:val="22"/>
            <w:szCs w:val="22"/>
          </w:rPr>
          <w:t>https://www.nice.org.uk/Guidance/CG155</w:t>
        </w:r>
      </w:hyperlink>
      <w:r>
        <w:rPr>
          <w:rFonts w:ascii="Arial" w:hAnsi="Arial"/>
          <w:sz w:val="22"/>
          <w:szCs w:val="22"/>
        </w:rPr>
        <w:t xml:space="preserve">  [Accessed 4 Jul. 2024].</w:t>
      </w:r>
    </w:p>
    <w:p w14:paraId="4CD6310B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National Institute of Mental Health (2021). </w:t>
      </w:r>
      <w:r>
        <w:rPr>
          <w:rFonts w:ascii="Arial" w:hAnsi="Arial" w:cs="Arial"/>
          <w:i/>
          <w:iCs/>
          <w:sz w:val="22"/>
          <w:szCs w:val="22"/>
        </w:rPr>
        <w:t>NIMH» Schizophrenia</w:t>
      </w:r>
      <w:r>
        <w:rPr>
          <w:rFonts w:ascii="Arial" w:hAnsi="Arial" w:cs="Arial"/>
          <w:sz w:val="22"/>
          <w:szCs w:val="22"/>
        </w:rPr>
        <w:t xml:space="preserve">. [online] www.nimh.nih.gov. Available at: </w:t>
      </w:r>
      <w:hyperlink r:id="rId19" w:history="1">
        <w:r>
          <w:rPr>
            <w:rStyle w:val="Hyperlink"/>
            <w:rFonts w:ascii="Arial" w:hAnsi="Arial" w:cs="Arial"/>
            <w:sz w:val="22"/>
            <w:szCs w:val="22"/>
          </w:rPr>
          <w:t>https://www.nimh.nih.gov/health/publications/schizophrenia</w:t>
        </w:r>
      </w:hyperlink>
      <w:r>
        <w:rPr>
          <w:rFonts w:ascii="Arial" w:hAnsi="Arial" w:cs="Arial"/>
          <w:sz w:val="22"/>
          <w:szCs w:val="22"/>
        </w:rPr>
        <w:t xml:space="preserve">  [Accessed 2 Jul. 2024].</w:t>
      </w:r>
    </w:p>
    <w:p w14:paraId="6ACC1D48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National Institute of Mental Health (2024). </w:t>
      </w:r>
      <w:r>
        <w:rPr>
          <w:rFonts w:ascii="Arial" w:hAnsi="Arial" w:cs="Arial"/>
          <w:i/>
          <w:iCs/>
          <w:sz w:val="22"/>
          <w:szCs w:val="22"/>
        </w:rPr>
        <w:t>Schizophrenia</w:t>
      </w:r>
      <w:r>
        <w:rPr>
          <w:rFonts w:ascii="Arial" w:hAnsi="Arial" w:cs="Arial"/>
          <w:sz w:val="22"/>
          <w:szCs w:val="22"/>
        </w:rPr>
        <w:t xml:space="preserve">. [online] National Institute of Mental Health. Available at: </w:t>
      </w:r>
      <w:hyperlink r:id="rId20" w:history="1">
        <w:r>
          <w:rPr>
            <w:rStyle w:val="Hyperlink"/>
            <w:rFonts w:ascii="Arial" w:hAnsi="Arial" w:cs="Arial"/>
            <w:sz w:val="22"/>
            <w:szCs w:val="22"/>
          </w:rPr>
          <w:t>https://www.nimh.nih.gov/health/topics/schizophrenia</w:t>
        </w:r>
      </w:hyperlink>
      <w:r>
        <w:rPr>
          <w:rFonts w:ascii="Arial" w:hAnsi="Arial" w:cs="Arial"/>
          <w:sz w:val="22"/>
          <w:szCs w:val="22"/>
        </w:rPr>
        <w:t xml:space="preserve"> [Accessed 2 Jul. 2024].</w:t>
      </w:r>
    </w:p>
    <w:p w14:paraId="4AC9CAFE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Pharoah, F., Mari, J., Rathbone, J. and Wong, W. (2006). Family intervention for schizophrenia. </w:t>
      </w:r>
      <w:r>
        <w:rPr>
          <w:rFonts w:ascii="Arial" w:hAnsi="Arial" w:cs="Arial"/>
          <w:i/>
          <w:iCs/>
          <w:sz w:val="22"/>
          <w:szCs w:val="22"/>
        </w:rPr>
        <w:t>Cochrane Database of Systematic Reviews</w:t>
      </w:r>
      <w:r>
        <w:rPr>
          <w:rFonts w:ascii="Arial" w:hAnsi="Arial" w:cs="Arial"/>
          <w:sz w:val="22"/>
          <w:szCs w:val="22"/>
        </w:rPr>
        <w:t xml:space="preserve">, [online] (12). </w:t>
      </w:r>
      <w:proofErr w:type="spellStart"/>
      <w:r>
        <w:rPr>
          <w:rFonts w:ascii="Arial" w:hAnsi="Arial" w:cs="Arial"/>
          <w:sz w:val="22"/>
          <w:szCs w:val="22"/>
        </w:rPr>
        <w:t>doi</w:t>
      </w:r>
      <w:proofErr w:type="spellEnd"/>
      <w:r>
        <w:rPr>
          <w:rFonts w:ascii="Arial" w:hAnsi="Arial" w:cs="Arial"/>
          <w:sz w:val="22"/>
          <w:szCs w:val="22"/>
        </w:rPr>
        <w:t xml:space="preserve"> : </w:t>
      </w:r>
      <w:hyperlink r:id="rId21" w:history="1">
        <w:r>
          <w:rPr>
            <w:rStyle w:val="Hyperlink"/>
            <w:rFonts w:ascii="Arial" w:hAnsi="Arial" w:cs="Arial"/>
            <w:sz w:val="22"/>
            <w:szCs w:val="22"/>
          </w:rPr>
          <w:t>https://doi.org/10.1002/14651858.cd000088.pub2.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3A1E20FF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Stępnicki</w:t>
      </w:r>
      <w:proofErr w:type="spellEnd"/>
      <w:r>
        <w:rPr>
          <w:rFonts w:ascii="Arial" w:hAnsi="Arial" w:cs="Arial"/>
          <w:sz w:val="22"/>
          <w:szCs w:val="22"/>
        </w:rPr>
        <w:t xml:space="preserve">, P., </w:t>
      </w:r>
      <w:proofErr w:type="spellStart"/>
      <w:r>
        <w:rPr>
          <w:rFonts w:ascii="Arial" w:hAnsi="Arial" w:cs="Arial"/>
          <w:sz w:val="22"/>
          <w:szCs w:val="22"/>
        </w:rPr>
        <w:t>Kondej</w:t>
      </w:r>
      <w:proofErr w:type="spellEnd"/>
      <w:r>
        <w:rPr>
          <w:rFonts w:ascii="Arial" w:hAnsi="Arial" w:cs="Arial"/>
          <w:sz w:val="22"/>
          <w:szCs w:val="22"/>
        </w:rPr>
        <w:t xml:space="preserve">, M. and Kaczor, A.A. (2018). Current Concepts and Treatments of Schizophrenia. </w:t>
      </w:r>
      <w:r>
        <w:rPr>
          <w:rFonts w:ascii="Arial" w:hAnsi="Arial" w:cs="Arial"/>
          <w:i/>
          <w:iCs/>
          <w:sz w:val="22"/>
          <w:szCs w:val="22"/>
        </w:rPr>
        <w:t>Molecules</w:t>
      </w:r>
      <w:r>
        <w:rPr>
          <w:rFonts w:ascii="Arial" w:hAnsi="Arial" w:cs="Arial"/>
          <w:sz w:val="22"/>
          <w:szCs w:val="22"/>
        </w:rPr>
        <w:t xml:space="preserve">, [online] 23(8), p.2087. </w:t>
      </w:r>
      <w:proofErr w:type="spellStart"/>
      <w:r>
        <w:rPr>
          <w:rFonts w:ascii="Arial" w:hAnsi="Arial" w:cs="Arial"/>
          <w:sz w:val="22"/>
          <w:szCs w:val="22"/>
        </w:rPr>
        <w:t>doi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22" w:history="1">
        <w:r>
          <w:rPr>
            <w:rStyle w:val="Hyperlink"/>
            <w:rFonts w:ascii="Arial" w:hAnsi="Arial" w:cs="Arial"/>
            <w:sz w:val="22"/>
            <w:szCs w:val="22"/>
          </w:rPr>
          <w:t>https://doi.org/10.3390/molecules23082087.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67DEE9CB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Thornicroft, G., </w:t>
      </w:r>
      <w:proofErr w:type="spellStart"/>
      <w:r>
        <w:rPr>
          <w:rFonts w:ascii="Arial" w:hAnsi="Arial" w:cs="Arial"/>
          <w:sz w:val="22"/>
          <w:szCs w:val="22"/>
        </w:rPr>
        <w:t>Tansella</w:t>
      </w:r>
      <w:proofErr w:type="spellEnd"/>
      <w:r>
        <w:rPr>
          <w:rFonts w:ascii="Arial" w:hAnsi="Arial" w:cs="Arial"/>
          <w:sz w:val="22"/>
          <w:szCs w:val="22"/>
        </w:rPr>
        <w:t xml:space="preserve">, M., Becker, T., Knapp, M., Leese, M., Schene, A. and Vazquez-Barquero, J.L. (2004). The personal impact of schizophrenia in Europe. </w:t>
      </w:r>
      <w:r>
        <w:rPr>
          <w:rFonts w:ascii="Arial" w:hAnsi="Arial" w:cs="Arial"/>
          <w:i/>
          <w:iCs/>
          <w:sz w:val="22"/>
          <w:szCs w:val="22"/>
        </w:rPr>
        <w:lastRenderedPageBreak/>
        <w:t>Schizophrenia Research</w:t>
      </w:r>
      <w:r>
        <w:rPr>
          <w:rFonts w:ascii="Arial" w:hAnsi="Arial" w:cs="Arial"/>
          <w:sz w:val="22"/>
          <w:szCs w:val="22"/>
        </w:rPr>
        <w:t xml:space="preserve">, 69(2-3), pp.125–132. </w:t>
      </w:r>
      <w:proofErr w:type="spellStart"/>
      <w:r>
        <w:rPr>
          <w:rFonts w:ascii="Arial" w:hAnsi="Arial" w:cs="Arial"/>
          <w:sz w:val="22"/>
          <w:szCs w:val="22"/>
        </w:rPr>
        <w:t>doi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23" w:history="1">
        <w:r>
          <w:rPr>
            <w:rStyle w:val="Hyperlink"/>
            <w:rFonts w:ascii="Arial" w:hAnsi="Arial" w:cs="Arial"/>
            <w:sz w:val="22"/>
            <w:szCs w:val="22"/>
          </w:rPr>
          <w:t>https://doi.org/10.1016/s0920-9964(03)00191-9.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25A70779" w14:textId="77777777" w:rsidR="00F059DD" w:rsidRDefault="00525AD1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World Health Organization (2022). </w:t>
      </w:r>
      <w:r>
        <w:rPr>
          <w:rFonts w:ascii="Arial" w:hAnsi="Arial" w:cs="Arial"/>
          <w:i/>
          <w:iCs/>
          <w:sz w:val="22"/>
          <w:szCs w:val="22"/>
        </w:rPr>
        <w:t>International Classification of Diseases (ICD)</w:t>
      </w:r>
      <w:r>
        <w:rPr>
          <w:rFonts w:ascii="Arial" w:hAnsi="Arial" w:cs="Arial"/>
          <w:sz w:val="22"/>
          <w:szCs w:val="22"/>
        </w:rPr>
        <w:t xml:space="preserve">. [online] www.who.int. Available at: </w:t>
      </w:r>
      <w:hyperlink r:id="rId24" w:history="1">
        <w:r>
          <w:rPr>
            <w:rStyle w:val="Hyperlink"/>
            <w:rFonts w:ascii="Arial" w:hAnsi="Arial" w:cs="Arial"/>
            <w:sz w:val="22"/>
            <w:szCs w:val="22"/>
          </w:rPr>
          <w:t>https://www.who.int/standards/classifications/classification-of-diseases</w:t>
        </w:r>
      </w:hyperlink>
      <w:r>
        <w:rPr>
          <w:rFonts w:ascii="Arial" w:hAnsi="Arial" w:cs="Arial"/>
          <w:sz w:val="22"/>
          <w:szCs w:val="22"/>
        </w:rPr>
        <w:t xml:space="preserve"> [Accessed 2 Jul. 2024].</w:t>
      </w:r>
    </w:p>
    <w:p w14:paraId="1EF774B2" w14:textId="77777777" w:rsidR="00F059DD" w:rsidRDefault="00525AD1">
      <w:pPr>
        <w:pStyle w:val="NormalWeb"/>
        <w:spacing w:beforeAutospacing="0" w:after="210" w:afterAutospacing="0" w:line="360" w:lineRule="auto"/>
      </w:pPr>
      <w:proofErr w:type="spellStart"/>
      <w:r>
        <w:rPr>
          <w:rFonts w:ascii="Arial" w:hAnsi="Arial" w:cs="Arial"/>
          <w:sz w:val="22"/>
          <w:szCs w:val="22"/>
        </w:rPr>
        <w:t>Yeragani</w:t>
      </w:r>
      <w:proofErr w:type="spellEnd"/>
      <w:r>
        <w:rPr>
          <w:rFonts w:ascii="Arial" w:hAnsi="Arial" w:cs="Arial"/>
          <w:sz w:val="22"/>
          <w:szCs w:val="22"/>
        </w:rPr>
        <w:t xml:space="preserve">, V., Ashok, A. and Baugh, J. (2012). Paul Eugen Bleuler and the origin of the term schizophrenia (SCHIZOPRENIEGRUPPE). </w:t>
      </w:r>
      <w:r>
        <w:rPr>
          <w:rFonts w:ascii="Arial" w:hAnsi="Arial" w:cs="Arial"/>
          <w:i/>
          <w:iCs/>
          <w:sz w:val="22"/>
          <w:szCs w:val="22"/>
        </w:rPr>
        <w:t>Indian Journal of Psychiatry</w:t>
      </w:r>
      <w:r>
        <w:rPr>
          <w:rFonts w:ascii="Arial" w:hAnsi="Arial" w:cs="Arial"/>
          <w:sz w:val="22"/>
          <w:szCs w:val="22"/>
        </w:rPr>
        <w:t xml:space="preserve">, [online] 54(1), p.95. </w:t>
      </w:r>
      <w:proofErr w:type="spellStart"/>
      <w:r>
        <w:rPr>
          <w:rFonts w:ascii="Arial" w:hAnsi="Arial" w:cs="Arial"/>
          <w:sz w:val="22"/>
          <w:szCs w:val="22"/>
        </w:rPr>
        <w:t>doi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25" w:history="1">
        <w:r>
          <w:rPr>
            <w:rStyle w:val="Hyperlink"/>
            <w:rFonts w:ascii="Arial" w:hAnsi="Arial" w:cs="Arial"/>
            <w:sz w:val="22"/>
            <w:szCs w:val="22"/>
          </w:rPr>
          <w:t>https://doi.org/10.4103/0019-5545.94660.</w:t>
        </w:r>
      </w:hyperlink>
      <w:r>
        <w:t xml:space="preserve"> </w:t>
      </w:r>
    </w:p>
    <w:p w14:paraId="028C652A" w14:textId="77777777" w:rsidR="00F059DD" w:rsidRDefault="00F059DD"/>
    <w:sectPr w:rsidR="00F059DD" w:rsidSect="001D6EC0">
      <w:headerReference w:type="default" r:id="rId26"/>
      <w:pgSz w:w="11906" w:h="16838"/>
      <w:pgMar w:top="1440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7C970" w14:textId="77777777" w:rsidR="00E301A6" w:rsidRDefault="00E301A6" w:rsidP="00FE5989">
      <w:r>
        <w:separator/>
      </w:r>
    </w:p>
  </w:endnote>
  <w:endnote w:type="continuationSeparator" w:id="0">
    <w:p w14:paraId="6DB2BDDD" w14:textId="77777777" w:rsidR="00E301A6" w:rsidRDefault="00E301A6" w:rsidP="00FE5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DAB409" w14:textId="77777777" w:rsidR="00E301A6" w:rsidRDefault="00E301A6" w:rsidP="00FE5989">
      <w:r>
        <w:separator/>
      </w:r>
    </w:p>
  </w:footnote>
  <w:footnote w:type="continuationSeparator" w:id="0">
    <w:p w14:paraId="22CB0367" w14:textId="77777777" w:rsidR="00E301A6" w:rsidRDefault="00E301A6" w:rsidP="00FE59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04D8D" w14:textId="77777777" w:rsidR="00FE5989" w:rsidRDefault="00FE5989">
    <w:pPr>
      <w:pStyle w:val="Header"/>
      <w:rPr>
        <w:sz w:val="36"/>
        <w:szCs w:val="36"/>
      </w:rPr>
    </w:pPr>
  </w:p>
  <w:p w14:paraId="2C0E8315" w14:textId="598E3AA7" w:rsidR="00FE5989" w:rsidRDefault="00FE5989">
    <w:pPr>
      <w:pStyle w:val="Header"/>
      <w:rPr>
        <w:sz w:val="36"/>
        <w:szCs w:val="36"/>
      </w:rPr>
    </w:pPr>
  </w:p>
  <w:p w14:paraId="330FA3D1" w14:textId="10780B46" w:rsidR="00FE5989" w:rsidRDefault="00FE5989">
    <w:pPr>
      <w:pStyle w:val="Header"/>
      <w:rPr>
        <w:sz w:val="36"/>
        <w:szCs w:val="36"/>
      </w:rPr>
    </w:pPr>
  </w:p>
  <w:p w14:paraId="217E763A" w14:textId="77777777" w:rsidR="00FE5989" w:rsidRDefault="00FE5989">
    <w:pPr>
      <w:pStyle w:val="Header"/>
      <w:rPr>
        <w:sz w:val="36"/>
        <w:szCs w:val="36"/>
      </w:rPr>
    </w:pPr>
  </w:p>
  <w:p w14:paraId="52C01FAD" w14:textId="77777777" w:rsidR="00FE5989" w:rsidRPr="00FE5989" w:rsidRDefault="00FE5989">
    <w:pPr>
      <w:pStyle w:val="Header"/>
      <w:rPr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FFFFFF7C"/>
    <w:lvl w:ilvl="0">
      <w:start w:val="1"/>
      <w:numFmt w:val="decimal"/>
      <w:pStyle w:val="ListNumber5"/>
      <w:lvlText w:val="%1."/>
      <w:lvlJc w:val="left"/>
      <w:pPr>
        <w:tabs>
          <w:tab w:val="left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FFFFFF7D"/>
    <w:lvl w:ilvl="0">
      <w:start w:val="1"/>
      <w:numFmt w:val="decimal"/>
      <w:pStyle w:val="ListNumber4"/>
      <w:lvlText w:val="%1."/>
      <w:lvlJc w:val="left"/>
      <w:pPr>
        <w:tabs>
          <w:tab w:val="left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FFFFFF7E"/>
    <w:lvl w:ilvl="0">
      <w:start w:val="1"/>
      <w:numFmt w:val="decimal"/>
      <w:pStyle w:val="ListNumber3"/>
      <w:lvlText w:val="%1."/>
      <w:lvlJc w:val="left"/>
      <w:pPr>
        <w:tabs>
          <w:tab w:val="left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FFFFFF7F"/>
    <w:lvl w:ilvl="0">
      <w:start w:val="1"/>
      <w:numFmt w:val="decimal"/>
      <w:pStyle w:val="ListNumber2"/>
      <w:lvlText w:val="%1."/>
      <w:lvlJc w:val="left"/>
      <w:pPr>
        <w:tabs>
          <w:tab w:val="left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FFFFFF80"/>
    <w:lvl w:ilvl="0">
      <w:start w:val="1"/>
      <w:numFmt w:val="bullet"/>
      <w:pStyle w:val="ListBullet5"/>
      <w:lvlText w:val=""/>
      <w:lvlJc w:val="left"/>
      <w:pPr>
        <w:tabs>
          <w:tab w:val="left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FFFFF81"/>
    <w:lvl w:ilvl="0">
      <w:start w:val="1"/>
      <w:numFmt w:val="bullet"/>
      <w:pStyle w:val="ListBullet4"/>
      <w:lvlText w:val=""/>
      <w:lvlJc w:val="left"/>
      <w:pPr>
        <w:tabs>
          <w:tab w:val="left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FFFFF82"/>
    <w:lvl w:ilvl="0">
      <w:start w:val="1"/>
      <w:numFmt w:val="bullet"/>
      <w:pStyle w:val="ListBullet3"/>
      <w:lvlText w:val=""/>
      <w:lvlJc w:val="left"/>
      <w:pPr>
        <w:tabs>
          <w:tab w:val="left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FFFFF83"/>
    <w:lvl w:ilvl="0">
      <w:start w:val="1"/>
      <w:numFmt w:val="bullet"/>
      <w:pStyle w:val="ListBullet2"/>
      <w:lvlText w:val=""/>
      <w:lvlJc w:val="left"/>
      <w:pPr>
        <w:tabs>
          <w:tab w:val="left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FFFFF88"/>
    <w:lvl w:ilvl="0">
      <w:start w:val="1"/>
      <w:numFmt w:val="decimal"/>
      <w:pStyle w:val="ListNumber"/>
      <w:lvlText w:val="%1."/>
      <w:lvlJc w:val="left"/>
      <w:pPr>
        <w:tabs>
          <w:tab w:val="left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FFFFFF89"/>
    <w:lvl w:ilvl="0">
      <w:start w:val="1"/>
      <w:numFmt w:val="bullet"/>
      <w:pStyle w:val="ListBullet"/>
      <w:lvlText w:val=""/>
      <w:lvlJc w:val="left"/>
      <w:pPr>
        <w:tabs>
          <w:tab w:val="left" w:pos="360"/>
        </w:tabs>
        <w:ind w:left="360" w:hangingChars="200" w:hanging="360"/>
      </w:pPr>
      <w:rPr>
        <w:rFonts w:ascii="Wingdings" w:hAnsi="Wingdings" w:hint="default"/>
      </w:rPr>
    </w:lvl>
  </w:abstractNum>
  <w:num w:numId="1" w16cid:durableId="130024072">
    <w:abstractNumId w:val="9"/>
  </w:num>
  <w:num w:numId="2" w16cid:durableId="803079404">
    <w:abstractNumId w:val="7"/>
  </w:num>
  <w:num w:numId="3" w16cid:durableId="1562979059">
    <w:abstractNumId w:val="6"/>
  </w:num>
  <w:num w:numId="4" w16cid:durableId="167136874">
    <w:abstractNumId w:val="5"/>
  </w:num>
  <w:num w:numId="5" w16cid:durableId="497966042">
    <w:abstractNumId w:val="4"/>
  </w:num>
  <w:num w:numId="6" w16cid:durableId="229270519">
    <w:abstractNumId w:val="8"/>
  </w:num>
  <w:num w:numId="7" w16cid:durableId="1196234592">
    <w:abstractNumId w:val="3"/>
  </w:num>
  <w:num w:numId="8" w16cid:durableId="884171743">
    <w:abstractNumId w:val="2"/>
  </w:num>
  <w:num w:numId="9" w16cid:durableId="1686134260">
    <w:abstractNumId w:val="1"/>
  </w:num>
  <w:num w:numId="10" w16cid:durableId="1144159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VerticalSpacing w:val="15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F3C557F"/>
    <w:rsid w:val="00050A31"/>
    <w:rsid w:val="000716D2"/>
    <w:rsid w:val="00071AAB"/>
    <w:rsid w:val="0009660B"/>
    <w:rsid w:val="000A699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D6EC0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25AD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728D7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87E66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301A6"/>
    <w:rsid w:val="00E64C21"/>
    <w:rsid w:val="00EC24C6"/>
    <w:rsid w:val="00EF2933"/>
    <w:rsid w:val="00F05146"/>
    <w:rsid w:val="00F059DD"/>
    <w:rsid w:val="00F1115D"/>
    <w:rsid w:val="00F3513C"/>
    <w:rsid w:val="00F465C5"/>
    <w:rsid w:val="00F5180D"/>
    <w:rsid w:val="00F51B21"/>
    <w:rsid w:val="00F51D87"/>
    <w:rsid w:val="00F8455C"/>
    <w:rsid w:val="00FE5989"/>
    <w:rsid w:val="2F3C557F"/>
    <w:rsid w:val="4BB46342"/>
    <w:rsid w:val="5FAE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71C767"/>
  <w15:docId w15:val="{59EF578E-59EB-064D-97EB-290902A4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qFormat="1"/>
    <w:lsdException w:name="index 3" w:qFormat="1"/>
    <w:lsdException w:name="index 4" w:qFormat="1"/>
    <w:lsdException w:name="toc 1" w:qFormat="1"/>
    <w:lsdException w:name="toc 3" w:qFormat="1"/>
    <w:lsdException w:name="toc 4" w:qFormat="1"/>
    <w:lsdException w:name="toc 5" w:qFormat="1"/>
    <w:lsdException w:name="footnote text" w:qFormat="1"/>
    <w:lsdException w:name="caption" w:semiHidden="1" w:unhideWhenUsed="1" w:qFormat="1"/>
    <w:lsdException w:name="table of figures" w:qFormat="1"/>
    <w:lsdException w:name="endnote reference" w:qFormat="1"/>
    <w:lsdException w:name="toa heading" w:qFormat="1"/>
    <w:lsdException w:name="List 5" w:qFormat="1"/>
    <w:lsdException w:name="List Bullet 3" w:qFormat="1"/>
    <w:lsdException w:name="List Bullet 4" w:qFormat="1"/>
    <w:lsdException w:name="List Number 2" w:qFormat="1"/>
    <w:lsdException w:name="List Number 4" w:qFormat="1"/>
    <w:lsdException w:name="Title" w:qFormat="1"/>
    <w:lsdException w:name="Default Paragraph Font" w:semiHidden="1" w:qFormat="1"/>
    <w:lsdException w:name="List Continue" w:qFormat="1"/>
    <w:lsdException w:name="Subtitle" w:qFormat="1"/>
    <w:lsdException w:name="Date" w:qFormat="1"/>
    <w:lsdException w:name="Body Text First Indent 2" w:qFormat="1"/>
    <w:lsdException w:name="Body Text Indent 3" w:qFormat="1"/>
    <w:lsdException w:name="Strong" w:qFormat="1"/>
    <w:lsdException w:name="Emphasis" w:qFormat="1"/>
    <w:lsdException w:name="Document Map" w:qFormat="1"/>
    <w:lsdException w:name="HTML Top of Form" w:semiHidden="1" w:uiPriority="99" w:unhideWhenUsed="1"/>
    <w:lsdException w:name="HTML Bottom of Form" w:semiHidden="1" w:uiPriority="99" w:unhideWhenUsed="1"/>
    <w:lsdException w:name="HTML Keyboard" w:qFormat="1"/>
    <w:lsdException w:name="HTML Preformatted" w:qFormat="1"/>
    <w:lsdException w:name="HTML Sample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 w:qFormat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/>
    <w:lsdException w:name="Table Colorful 2" w:semiHidden="1" w:unhideWhenUsed="1"/>
    <w:lsdException w:name="Table Colorful 3" w:semiHidden="1" w:unhideWhenUsed="1" w:qFormat="1"/>
    <w:lsdException w:name="Table Columns 1" w:semiHidden="1" w:unhideWhenUsed="1"/>
    <w:lsdException w:name="Table Columns 2" w:semiHidden="1" w:unhideWhenUsed="1" w:qFormat="1"/>
    <w:lsdException w:name="Table Columns 3" w:semiHidden="1" w:unhideWhenUsed="1"/>
    <w:lsdException w:name="Table Columns 4" w:semiHidden="1" w:unhideWhenUsed="1" w:qFormat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 w:qFormat="1"/>
    <w:lsdException w:name="Table List 5" w:semiHidden="1" w:unhideWhenUsed="1"/>
    <w:lsdException w:name="Table List 6" w:semiHidden="1" w:unhideWhenUsed="1" w:qFormat="1"/>
    <w:lsdException w:name="Table List 7" w:semiHidden="1" w:unhideWhenUsed="1" w:qFormat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/>
    <w:lsdException w:name="Medium Shading 2" w:uiPriority="64" w:qFormat="1"/>
    <w:lsdException w:name="Medium List 1" w:uiPriority="65" w:qFormat="1"/>
    <w:lsdException w:name="Medium List 2" w:uiPriority="66"/>
    <w:lsdException w:name="Medium Grid 1" w:uiPriority="67" w:qFormat="1"/>
    <w:lsdException w:name="Medium Grid 2" w:uiPriority="68"/>
    <w:lsdException w:name="Medium Grid 3" w:uiPriority="69" w:qFormat="1"/>
    <w:lsdException w:name="Dark List" w:uiPriority="70" w:qFormat="1"/>
    <w:lsdException w:name="Colorful Shading" w:uiPriority="71" w:qFormat="1"/>
    <w:lsdException w:name="Colorful List" w:uiPriority="72" w:qFormat="1"/>
    <w:lsdException w:name="Colorful Grid" w:uiPriority="73"/>
    <w:lsdException w:name="Light Shading Accent 1" w:uiPriority="60"/>
    <w:lsdException w:name="Light List Accent 1" w:uiPriority="61" w:qFormat="1"/>
    <w:lsdException w:name="Light Grid Accent 1" w:uiPriority="62" w:qFormat="1"/>
    <w:lsdException w:name="Medium Shading 1 Accent 1" w:uiPriority="63"/>
    <w:lsdException w:name="Medium Shading 2 Accent 1" w:uiPriority="64"/>
    <w:lsdException w:name="Medium List 1 Accent 1" w:uiPriority="65" w:qFormat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 w:qFormat="1"/>
    <w:lsdException w:name="Medium Grid 1 Accent 1" w:uiPriority="67"/>
    <w:lsdException w:name="Medium Grid 2 Accent 1" w:uiPriority="68"/>
    <w:lsdException w:name="Medium Grid 3 Accent 1" w:uiPriority="69" w:qFormat="1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 w:qFormat="1"/>
    <w:lsdException w:name="Light Shading Accent 2" w:uiPriority="60"/>
    <w:lsdException w:name="Light List Accent 2" w:uiPriority="61"/>
    <w:lsdException w:name="Light Grid Accent 2" w:uiPriority="62" w:qFormat="1"/>
    <w:lsdException w:name="Medium Shading 1 Accent 2" w:uiPriority="63" w:qFormat="1"/>
    <w:lsdException w:name="Medium Shading 2 Accent 2" w:uiPriority="64"/>
    <w:lsdException w:name="Medium List 1 Accent 2" w:uiPriority="65"/>
    <w:lsdException w:name="Medium List 2 Accent 2" w:uiPriority="66" w:qFormat="1"/>
    <w:lsdException w:name="Medium Grid 1 Accent 2" w:uiPriority="67" w:qFormat="1"/>
    <w:lsdException w:name="Medium Grid 2 Accent 2" w:uiPriority="68"/>
    <w:lsdException w:name="Medium Grid 3 Accent 2" w:uiPriority="69" w:qFormat="1"/>
    <w:lsdException w:name="Dark List Accent 2" w:uiPriority="70" w:qFormat="1"/>
    <w:lsdException w:name="Colorful Shading Accent 2" w:uiPriority="71"/>
    <w:lsdException w:name="Colorful List Accent 2" w:uiPriority="72" w:qFormat="1"/>
    <w:lsdException w:name="Colorful Grid Accent 2" w:uiPriority="73" w:qFormat="1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 w:qFormat="1"/>
    <w:lsdException w:name="Medium List 1 Accent 3" w:uiPriority="65"/>
    <w:lsdException w:name="Medium List 2 Accent 3" w:uiPriority="66" w:qFormat="1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 w:qFormat="1"/>
    <w:lsdException w:name="Colorful Shading Accent 3" w:uiPriority="71" w:qFormat="1"/>
    <w:lsdException w:name="Colorful List Accent 3" w:uiPriority="72" w:qFormat="1"/>
    <w:lsdException w:name="Colorful Grid Accent 3" w:uiPriority="73" w:qFormat="1"/>
    <w:lsdException w:name="Light Shading Accent 4" w:uiPriority="60" w:qFormat="1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 w:qFormat="1"/>
    <w:lsdException w:name="Medium List 1 Accent 4" w:uiPriority="65"/>
    <w:lsdException w:name="Medium List 2 Accent 4" w:uiPriority="66" w:qFormat="1"/>
    <w:lsdException w:name="Medium Grid 1 Accent 4" w:uiPriority="67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/>
    <w:lsdException w:name="Medium Grid 1 Accent 5" w:uiPriority="67"/>
    <w:lsdException w:name="Medium Grid 2 Accent 5" w:uiPriority="68" w:qFormat="1"/>
    <w:lsdException w:name="Medium Grid 3 Accent 5" w:uiPriority="69"/>
    <w:lsdException w:name="Dark List Accent 5" w:uiPriority="70" w:qFormat="1"/>
    <w:lsdException w:name="Colorful Shading Accent 5" w:uiPriority="71" w:qFormat="1"/>
    <w:lsdException w:name="Colorful List Accent 5" w:uiPriority="72" w:qFormat="1"/>
    <w:lsdException w:name="Colorful Grid Accent 5" w:uiPriority="73" w:qFormat="1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 w:qFormat="1"/>
    <w:lsdException w:name="Medium Shading 2 Accent 6" w:uiPriority="64" w:qFormat="1"/>
    <w:lsdException w:name="Medium List 1 Accent 6" w:uiPriority="65"/>
    <w:lsdException w:name="Medium List 2 Accent 6" w:uiPriority="66" w:qFormat="1"/>
    <w:lsdException w:name="Medium Grid 1 Accent 6" w:uiPriority="67"/>
    <w:lsdException w:name="Medium Grid 2 Accent 6" w:uiPriority="68" w:qFormat="1"/>
    <w:lsdException w:name="Medium Grid 3 Accent 6" w:uiPriority="69"/>
    <w:lsdException w:name="Dark List Accent 6" w:uiPriority="70" w:qFormat="1"/>
    <w:lsdException w:name="Colorful Shading Accent 6" w:uiPriority="71" w:qFormat="1"/>
    <w:lsdException w:name="Colorful List Accent 6" w:uiPriority="72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semiHidden/>
    <w:unhideWhenUsed/>
    <w:qFormat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semiHidden/>
    <w:unhideWhenUsed/>
    <w:qFormat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unhideWhenUsed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semiHidden/>
    <w:unhideWhenUsed/>
    <w:qFormat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Heading7">
    <w:name w:val="heading 7"/>
    <w:basedOn w:val="Normal"/>
    <w:next w:val="Normal"/>
    <w:semiHidden/>
    <w:unhideWhenUsed/>
    <w:qFormat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Heading8">
    <w:name w:val="heading 8"/>
    <w:basedOn w:val="Normal"/>
    <w:next w:val="Normal"/>
    <w:semiHidden/>
    <w:unhideWhenUsed/>
    <w:qFormat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Heading9">
    <w:name w:val="heading 9"/>
    <w:basedOn w:val="Normal"/>
    <w:next w:val="Normal"/>
    <w:semiHidden/>
    <w:unhideWhenUsed/>
    <w:qFormat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sz w:val="16"/>
      <w:szCs w:val="16"/>
    </w:rPr>
  </w:style>
  <w:style w:type="paragraph" w:styleId="BlockText">
    <w:name w:val="Block Text"/>
    <w:basedOn w:val="Normal"/>
    <w:pPr>
      <w:spacing w:after="120"/>
      <w:ind w:leftChars="700" w:left="1440" w:rightChars="70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pPr>
      <w:ind w:firstLineChars="100" w:firstLine="420"/>
    </w:pPr>
  </w:style>
  <w:style w:type="paragraph" w:styleId="BodyTextIndent">
    <w:name w:val="Body Text Indent"/>
    <w:basedOn w:val="Normal"/>
    <w:pPr>
      <w:spacing w:after="120"/>
      <w:ind w:leftChars="200" w:left="420"/>
    </w:pPr>
  </w:style>
  <w:style w:type="paragraph" w:styleId="BodyTextFirstIndent2">
    <w:name w:val="Body Text First Indent 2"/>
    <w:basedOn w:val="BodyTextIndent"/>
    <w:qFormat/>
    <w:pPr>
      <w:ind w:firstLineChars="200" w:firstLine="420"/>
    </w:pPr>
  </w:style>
  <w:style w:type="paragraph" w:styleId="BodyTextIndent2">
    <w:name w:val="Body Text Indent 2"/>
    <w:basedOn w:val="Normal"/>
    <w:pPr>
      <w:spacing w:after="120" w:line="480" w:lineRule="auto"/>
      <w:ind w:leftChars="200" w:left="420"/>
    </w:pPr>
  </w:style>
  <w:style w:type="paragraph" w:styleId="BodyTextIndent3">
    <w:name w:val="Body Text Indent 3"/>
    <w:basedOn w:val="Normal"/>
    <w:qFormat/>
    <w:pPr>
      <w:spacing w:after="120"/>
      <w:ind w:leftChars="200" w:left="420"/>
    </w:pPr>
    <w:rPr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Pr>
      <w:rFonts w:ascii="Arial" w:eastAsia="SimHei" w:hAnsi="Arial" w:cs="Arial"/>
    </w:rPr>
  </w:style>
  <w:style w:type="paragraph" w:styleId="Closing">
    <w:name w:val="Closing"/>
    <w:basedOn w:val="Normal"/>
    <w:pPr>
      <w:ind w:leftChars="2100" w:left="100"/>
    </w:pPr>
  </w:style>
  <w:style w:type="character" w:styleId="CommentReference">
    <w:name w:val="annotation reference"/>
    <w:basedOn w:val="DefaultParagraphFont"/>
    <w:rPr>
      <w:sz w:val="21"/>
      <w:szCs w:val="21"/>
    </w:rPr>
  </w:style>
  <w:style w:type="paragraph" w:styleId="CommentText">
    <w:name w:val="annotation text"/>
    <w:basedOn w:val="Normal"/>
  </w:style>
  <w:style w:type="paragraph" w:styleId="CommentSubject">
    <w:name w:val="annotation subject"/>
    <w:basedOn w:val="CommentText"/>
    <w:next w:val="CommentText"/>
    <w:rPr>
      <w:b/>
      <w:bCs/>
    </w:rPr>
  </w:style>
  <w:style w:type="paragraph" w:styleId="Date">
    <w:name w:val="Date"/>
    <w:basedOn w:val="Normal"/>
    <w:next w:val="Normal"/>
    <w:qFormat/>
    <w:pPr>
      <w:ind w:leftChars="2500" w:left="100"/>
    </w:pPr>
  </w:style>
  <w:style w:type="paragraph" w:styleId="DocumentMap">
    <w:name w:val="Document Map"/>
    <w:basedOn w:val="Normal"/>
    <w:qFormat/>
    <w:pPr>
      <w:shd w:val="clear" w:color="auto" w:fill="000080"/>
    </w:pPr>
  </w:style>
  <w:style w:type="paragraph" w:styleId="E-mailSignature">
    <w:name w:val="E-mail Signature"/>
    <w:basedOn w:val="Normal"/>
  </w:style>
  <w:style w:type="character" w:styleId="Emphasis">
    <w:name w:val="Emphasis"/>
    <w:basedOn w:val="DefaultParagraphFont"/>
    <w:qFormat/>
    <w:rPr>
      <w:i/>
      <w:iCs/>
    </w:rPr>
  </w:style>
  <w:style w:type="character" w:styleId="EndnoteReference">
    <w:name w:val="endnote reference"/>
    <w:basedOn w:val="DefaultParagraphFont"/>
    <w:qFormat/>
    <w:rPr>
      <w:vertAlign w:val="superscript"/>
    </w:rPr>
  </w:style>
  <w:style w:type="paragraph" w:styleId="EndnoteText">
    <w:name w:val="endnote text"/>
    <w:basedOn w:val="Normal"/>
    <w:pPr>
      <w:snapToGrid w:val="0"/>
    </w:p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pPr>
      <w:snapToGrid w:val="0"/>
    </w:pPr>
    <w:rPr>
      <w:rFonts w:ascii="Arial" w:hAnsi="Arial" w:cs="Arial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FootnoteReference">
    <w:name w:val="footnote reference"/>
    <w:basedOn w:val="DefaultParagraphFont"/>
    <w:rPr>
      <w:vertAlign w:val="superscript"/>
    </w:rPr>
  </w:style>
  <w:style w:type="paragraph" w:styleId="FootnoteText">
    <w:name w:val="footnote text"/>
    <w:basedOn w:val="Normal"/>
    <w:qFormat/>
    <w:pPr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TMLAcronym">
    <w:name w:val="HTML Acronym"/>
    <w:basedOn w:val="DefaultParagraphFont"/>
  </w:style>
  <w:style w:type="paragraph" w:styleId="HTMLAddress">
    <w:name w:val="HTML Address"/>
    <w:basedOn w:val="Normal"/>
    <w:rPr>
      <w:i/>
      <w:iCs/>
    </w:rPr>
  </w:style>
  <w:style w:type="character" w:styleId="HTMLCite">
    <w:name w:val="HTML Cite"/>
    <w:basedOn w:val="DefaultParagraphFont"/>
    <w:rPr>
      <w:i/>
      <w:iCs/>
    </w:rPr>
  </w:style>
  <w:style w:type="character" w:styleId="HTMLCode">
    <w:name w:val="HTML Code"/>
    <w:basedOn w:val="DefaultParagraphFont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rPr>
      <w:i/>
      <w:iCs/>
    </w:rPr>
  </w:style>
  <w:style w:type="character" w:styleId="HTMLKeyboard">
    <w:name w:val="HTML Keyboard"/>
    <w:basedOn w:val="DefaultParagraphFont"/>
    <w:qFormat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qFormat/>
    <w:rPr>
      <w:rFonts w:ascii="Courier New" w:hAnsi="Courier New" w:cs="Courier New"/>
    </w:rPr>
  </w:style>
  <w:style w:type="character" w:styleId="HTMLSample">
    <w:name w:val="HTML Sample"/>
    <w:basedOn w:val="DefaultParagraphFont"/>
    <w:qFormat/>
    <w:rPr>
      <w:rFonts w:ascii="Courier New" w:hAnsi="Courier New" w:cs="Courier New"/>
    </w:rPr>
  </w:style>
  <w:style w:type="character" w:styleId="HTMLTypewriter">
    <w:name w:val="HTML Typewriter"/>
    <w:basedOn w:val="DefaultParagraphFont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rPr>
      <w:i/>
      <w:iCs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Index1">
    <w:name w:val="index 1"/>
    <w:basedOn w:val="Normal"/>
    <w:next w:val="Normal"/>
  </w:style>
  <w:style w:type="paragraph" w:styleId="Index2">
    <w:name w:val="index 2"/>
    <w:basedOn w:val="Normal"/>
    <w:next w:val="Normal"/>
    <w:qFormat/>
    <w:pPr>
      <w:ind w:leftChars="200" w:left="200"/>
    </w:pPr>
  </w:style>
  <w:style w:type="paragraph" w:styleId="Index3">
    <w:name w:val="index 3"/>
    <w:basedOn w:val="Normal"/>
    <w:next w:val="Normal"/>
    <w:qFormat/>
    <w:pPr>
      <w:ind w:leftChars="400" w:left="400"/>
    </w:pPr>
  </w:style>
  <w:style w:type="paragraph" w:styleId="Index4">
    <w:name w:val="index 4"/>
    <w:basedOn w:val="Normal"/>
    <w:next w:val="Normal"/>
    <w:qFormat/>
    <w:pPr>
      <w:ind w:leftChars="600" w:left="600"/>
    </w:pPr>
  </w:style>
  <w:style w:type="paragraph" w:styleId="Index5">
    <w:name w:val="index 5"/>
    <w:basedOn w:val="Normal"/>
    <w:next w:val="Normal"/>
    <w:pPr>
      <w:ind w:leftChars="800" w:left="800"/>
    </w:pPr>
  </w:style>
  <w:style w:type="paragraph" w:styleId="Index6">
    <w:name w:val="index 6"/>
    <w:basedOn w:val="Normal"/>
    <w:next w:val="Normal"/>
    <w:pPr>
      <w:ind w:leftChars="1000" w:left="1000"/>
    </w:pPr>
  </w:style>
  <w:style w:type="paragraph" w:styleId="Index7">
    <w:name w:val="index 7"/>
    <w:basedOn w:val="Normal"/>
    <w:next w:val="Normal"/>
    <w:pPr>
      <w:ind w:leftChars="1200" w:left="1200"/>
    </w:pPr>
  </w:style>
  <w:style w:type="paragraph" w:styleId="Index8">
    <w:name w:val="index 8"/>
    <w:basedOn w:val="Normal"/>
    <w:next w:val="Normal"/>
    <w:pPr>
      <w:ind w:leftChars="1400" w:left="1400"/>
    </w:pPr>
  </w:style>
  <w:style w:type="paragraph" w:styleId="Index9">
    <w:name w:val="index 9"/>
    <w:basedOn w:val="Normal"/>
    <w:next w:val="Normal"/>
    <w:pPr>
      <w:ind w:leftChars="1600" w:left="1600"/>
    </w:pPr>
  </w:style>
  <w:style w:type="paragraph" w:styleId="IndexHeading">
    <w:name w:val="index heading"/>
    <w:basedOn w:val="Normal"/>
    <w:next w:val="Index1"/>
    <w:rPr>
      <w:rFonts w:ascii="Arial" w:hAnsi="Arial" w:cs="Arial"/>
      <w:b/>
      <w:bCs/>
    </w:rPr>
  </w:style>
  <w:style w:type="character" w:styleId="LineNumber">
    <w:name w:val="line number"/>
    <w:basedOn w:val="DefaultParagraphFont"/>
  </w:style>
  <w:style w:type="paragraph" w:styleId="List">
    <w:name w:val="List"/>
    <w:basedOn w:val="Normal"/>
    <w:pPr>
      <w:ind w:left="200" w:hangingChars="200" w:hanging="200"/>
    </w:pPr>
  </w:style>
  <w:style w:type="paragraph" w:styleId="List2">
    <w:name w:val="List 2"/>
    <w:basedOn w:val="Normal"/>
    <w:pPr>
      <w:ind w:leftChars="200" w:left="100" w:hangingChars="200" w:hanging="200"/>
    </w:pPr>
  </w:style>
  <w:style w:type="paragraph" w:styleId="List3">
    <w:name w:val="List 3"/>
    <w:basedOn w:val="Normal"/>
    <w:pPr>
      <w:ind w:leftChars="400" w:left="100" w:hangingChars="200" w:hanging="200"/>
    </w:pPr>
  </w:style>
  <w:style w:type="paragraph" w:styleId="List4">
    <w:name w:val="List 4"/>
    <w:basedOn w:val="Normal"/>
    <w:pPr>
      <w:ind w:leftChars="600" w:left="100" w:hangingChars="200" w:hanging="200"/>
    </w:pPr>
  </w:style>
  <w:style w:type="paragraph" w:styleId="List5">
    <w:name w:val="List 5"/>
    <w:basedOn w:val="Normal"/>
    <w:qFormat/>
    <w:pPr>
      <w:ind w:leftChars="800" w:left="100" w:hangingChars="200" w:hanging="200"/>
    </w:pPr>
  </w:style>
  <w:style w:type="paragraph" w:styleId="ListBullet">
    <w:name w:val="List Bullet"/>
    <w:basedOn w:val="Normal"/>
    <w:pPr>
      <w:numPr>
        <w:numId w:val="1"/>
      </w:numPr>
    </w:pPr>
  </w:style>
  <w:style w:type="paragraph" w:styleId="ListBullet2">
    <w:name w:val="List Bullet 2"/>
    <w:basedOn w:val="Normal"/>
    <w:pPr>
      <w:numPr>
        <w:numId w:val="2"/>
      </w:numPr>
    </w:pPr>
  </w:style>
  <w:style w:type="paragraph" w:styleId="ListBullet3">
    <w:name w:val="List Bullet 3"/>
    <w:basedOn w:val="Normal"/>
    <w:qFormat/>
    <w:pPr>
      <w:numPr>
        <w:numId w:val="3"/>
      </w:numPr>
    </w:pPr>
  </w:style>
  <w:style w:type="paragraph" w:styleId="ListBullet4">
    <w:name w:val="List Bullet 4"/>
    <w:basedOn w:val="Normal"/>
    <w:qFormat/>
    <w:pPr>
      <w:numPr>
        <w:numId w:val="4"/>
      </w:numPr>
    </w:pPr>
  </w:style>
  <w:style w:type="paragraph" w:styleId="ListBullet5">
    <w:name w:val="List Bullet 5"/>
    <w:basedOn w:val="Normal"/>
    <w:pPr>
      <w:numPr>
        <w:numId w:val="5"/>
      </w:numPr>
    </w:pPr>
  </w:style>
  <w:style w:type="paragraph" w:styleId="ListContinue">
    <w:name w:val="List Continue"/>
    <w:basedOn w:val="Normal"/>
    <w:qFormat/>
    <w:pPr>
      <w:spacing w:after="120"/>
      <w:ind w:leftChars="200" w:left="420"/>
    </w:pPr>
  </w:style>
  <w:style w:type="paragraph" w:styleId="ListContinue2">
    <w:name w:val="List Continue 2"/>
    <w:basedOn w:val="Normal"/>
    <w:pPr>
      <w:spacing w:after="120"/>
      <w:ind w:leftChars="400" w:left="840"/>
    </w:pPr>
  </w:style>
  <w:style w:type="paragraph" w:styleId="ListContinue3">
    <w:name w:val="List Continue 3"/>
    <w:basedOn w:val="Normal"/>
    <w:pPr>
      <w:spacing w:after="120"/>
      <w:ind w:leftChars="600" w:left="1260"/>
    </w:pPr>
  </w:style>
  <w:style w:type="paragraph" w:styleId="ListContinue4">
    <w:name w:val="List Continue 4"/>
    <w:basedOn w:val="Normal"/>
    <w:pPr>
      <w:spacing w:after="120"/>
      <w:ind w:leftChars="800" w:left="1680"/>
    </w:pPr>
  </w:style>
  <w:style w:type="paragraph" w:styleId="ListContinue5">
    <w:name w:val="List Continue 5"/>
    <w:basedOn w:val="Normal"/>
    <w:pPr>
      <w:spacing w:after="120"/>
      <w:ind w:leftChars="1000" w:left="2100"/>
    </w:pPr>
  </w:style>
  <w:style w:type="paragraph" w:styleId="ListNumber">
    <w:name w:val="List Number"/>
    <w:basedOn w:val="Normal"/>
    <w:pPr>
      <w:numPr>
        <w:numId w:val="6"/>
      </w:numPr>
    </w:pPr>
  </w:style>
  <w:style w:type="paragraph" w:styleId="ListNumber2">
    <w:name w:val="List Number 2"/>
    <w:basedOn w:val="Normal"/>
    <w:qFormat/>
    <w:pPr>
      <w:numPr>
        <w:numId w:val="7"/>
      </w:numPr>
    </w:pPr>
  </w:style>
  <w:style w:type="paragraph" w:styleId="ListNumber3">
    <w:name w:val="List Number 3"/>
    <w:basedOn w:val="Normal"/>
    <w:pPr>
      <w:numPr>
        <w:numId w:val="8"/>
      </w:numPr>
    </w:pPr>
  </w:style>
  <w:style w:type="paragraph" w:styleId="ListNumber4">
    <w:name w:val="List Number 4"/>
    <w:basedOn w:val="Normal"/>
    <w:qFormat/>
    <w:pPr>
      <w:numPr>
        <w:numId w:val="9"/>
      </w:numPr>
    </w:pPr>
  </w:style>
  <w:style w:type="paragraph" w:styleId="ListNumber5">
    <w:name w:val="List Number 5"/>
    <w:basedOn w:val="Normal"/>
    <w:pPr>
      <w:numPr>
        <w:numId w:val="10"/>
      </w:numPr>
    </w:pPr>
  </w:style>
  <w:style w:type="paragraph" w:styleId="MacroText">
    <w:name w:val="macro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eastAsiaTheme="minorEastAsia" w:hAnsi="Courier New" w:cs="Courier New"/>
      <w:kern w:val="2"/>
      <w:sz w:val="24"/>
      <w:szCs w:val="24"/>
      <w:lang w:val="en-US" w:eastAsia="zh-CN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="Arial" w:hAnsi="Arial" w:cs="Arial"/>
      <w:sz w:val="24"/>
      <w:szCs w:val="24"/>
    </w:rPr>
  </w:style>
  <w:style w:type="paragraph" w:styleId="NormalWeb">
    <w:name w:val="Normal (Web)"/>
    <w:pPr>
      <w:spacing w:beforeAutospacing="1" w:afterAutospacing="1"/>
    </w:pPr>
    <w:rPr>
      <w:sz w:val="24"/>
      <w:szCs w:val="24"/>
      <w:lang w:val="en-US" w:eastAsia="zh-CN"/>
    </w:rPr>
  </w:style>
  <w:style w:type="paragraph" w:styleId="NormalIndent">
    <w:name w:val="Normal Indent"/>
    <w:basedOn w:val="Normal"/>
    <w:pPr>
      <w:ind w:firstLineChars="200" w:firstLine="420"/>
    </w:pPr>
  </w:style>
  <w:style w:type="paragraph" w:styleId="NoteHeading">
    <w:name w:val="Note Heading"/>
    <w:basedOn w:val="Normal"/>
    <w:next w:val="Normal"/>
    <w:pPr>
      <w:jc w:val="center"/>
    </w:pPr>
  </w:style>
  <w:style w:type="character" w:styleId="PageNumber">
    <w:name w:val="page number"/>
    <w:basedOn w:val="DefaultParagraphFont"/>
  </w:style>
  <w:style w:type="paragraph" w:styleId="PlainText">
    <w:name w:val="Plain Text"/>
    <w:basedOn w:val="Normal"/>
    <w:rPr>
      <w:rFonts w:ascii="SimSun" w:hAnsi="Courier New" w:cs="Courier New"/>
      <w:szCs w:val="21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Chars="2100" w:left="100"/>
    </w:pPr>
  </w:style>
  <w:style w:type="character" w:styleId="Strong">
    <w:name w:val="Strong"/>
    <w:basedOn w:val="DefaultParagraphFont"/>
    <w:qFormat/>
    <w:rPr>
      <w:b/>
      <w:bCs/>
    </w:rPr>
  </w:style>
  <w:style w:type="paragraph" w:styleId="Subtitle">
    <w:name w:val="Subtitle"/>
    <w:basedOn w:val="Normal"/>
    <w:qFormat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Table3Deffects1">
    <w:name w:val="Table 3D effects 1"/>
    <w:basedOn w:val="TableNormal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sz="6" w:space="0" w:color="80808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FFFFFF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bottom w:val="single" w:sz="6" w:space="0" w:color="FFFFFF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Table3Deffects2">
    <w:name w:val="Table 3D effects 2"/>
    <w:basedOn w:val="TableNormal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Horz">
      <w:tblPr/>
      <w:tcPr>
        <w:tcBorders>
          <w:top w:val="single" w:sz="6" w:space="0" w:color="808080"/>
          <w:left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3Deffects3">
    <w:name w:val="Table 3D effects 3"/>
    <w:basedOn w:val="TableNormal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left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Classic1">
    <w:name w:val="Table Classic 1"/>
    <w:basedOn w:val="TableNormal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6" w:space="0" w:color="00000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Classic2">
    <w:name w:val="Table Classic 2"/>
    <w:basedOn w:val="TableNormal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sz="6" w:space="0" w:color="00000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TableClassic3">
    <w:name w:val="Table Classic 3"/>
    <w:basedOn w:val="TableNormal"/>
    <w:qFormat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sz="6" w:space="0" w:color="00000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TableClassic4">
    <w:name w:val="Table Classic 4"/>
    <w:basedOn w:val="TableNormal"/>
    <w:qFormat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sz="6" w:space="0" w:color="00000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sz="6" w:space="0" w:color="00000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TableColorful1">
    <w:name w:val="Table Colorful 1"/>
    <w:basedOn w:val="TableNormal"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TableColorful2">
    <w:name w:val="Table Colorful 2"/>
    <w:basedOn w:val="TableNormal"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sz="12" w:space="0" w:color="00000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TableColorful3">
    <w:name w:val="Table Colorful 3"/>
    <w:basedOn w:val="TableNormal"/>
    <w:qFormat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left w:val="single" w:sz="6" w:space="0" w:color="00000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sz="36" w:space="0" w:color="000000"/>
          <w:right w:val="single" w:sz="6" w:space="0" w:color="00000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leColumns1">
    <w:name w:val="Table Columns 1"/>
    <w:basedOn w:val="TableNormal"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left w:val="double" w:sz="6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Columns2">
    <w:name w:val="Table Columns 2"/>
    <w:basedOn w:val="TableNormal"/>
    <w:qFormat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Columns3">
    <w:name w:val="Table Columns 3"/>
    <w:basedOn w:val="TableNormal"/>
    <w:pPr>
      <w:widowControl w:val="0"/>
      <w:jc w:val="both"/>
    </w:pPr>
    <w:rPr>
      <w:b/>
      <w:bCs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Columns4">
    <w:name w:val="Table Columns 4"/>
    <w:basedOn w:val="TableNormal"/>
    <w:qFormat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left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pPr>
      <w:widowControl w:val="0"/>
      <w:jc w:val="both"/>
    </w:p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TableElegant">
    <w:name w:val="Table Elegant"/>
    <w:basedOn w:val="TableNormal"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leGrid2">
    <w:name w:val="Table Grid 2"/>
    <w:basedOn w:val="TableNormal"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Grid3">
    <w:name w:val="Table Grid 3"/>
    <w:basedOn w:val="TableNormal"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left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leGrid4">
    <w:name w:val="Table Grid 4"/>
    <w:basedOn w:val="TableNormal"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leGrid5">
    <w:name w:val="Table Grid 5"/>
    <w:basedOn w:val="TableNormal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leGrid6">
    <w:name w:val="Table Grid 6"/>
    <w:basedOn w:val="TableNormal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leGrid7">
    <w:name w:val="Table Grid 7"/>
    <w:basedOn w:val="TableNormal"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leGrid8">
    <w:name w:val="Table Grid 8"/>
    <w:basedOn w:val="TableNormal"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leList1">
    <w:name w:val="Table List 1"/>
    <w:basedOn w:val="TableNormal"/>
    <w:pPr>
      <w:widowControl w:val="0"/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sz="6" w:space="0" w:color="00000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List2">
    <w:name w:val="Table List 2"/>
    <w:basedOn w:val="TableNormal"/>
    <w:pPr>
      <w:widowControl w:val="0"/>
      <w:jc w:val="both"/>
    </w:pPr>
    <w:tblPr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left w:val="single" w:sz="6" w:space="0" w:color="00000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List3">
    <w:name w:val="Table List 3"/>
    <w:basedOn w:val="TableNormal"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TableList4">
    <w:name w:val="Table List 4"/>
    <w:basedOn w:val="TableNormal"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sz="12" w:space="0" w:color="000000"/>
          <w:tl2br w:val="nil"/>
          <w:tr2bl w:val="nil"/>
        </w:tcBorders>
        <w:shd w:val="solid" w:color="808080" w:fill="FFFFFF"/>
      </w:tcPr>
    </w:tblStylePr>
  </w:style>
  <w:style w:type="table" w:styleId="TableList5">
    <w:name w:val="Table List 5"/>
    <w:basedOn w:val="TableNormal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List6">
    <w:name w:val="Table List 6"/>
    <w:basedOn w:val="TableNormal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leList7">
    <w:name w:val="Table List 7"/>
    <w:basedOn w:val="TableNormal"/>
    <w:qFormat/>
    <w:pPr>
      <w:widowControl w:val="0"/>
      <w:jc w:val="both"/>
    </w:p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left w:val="single" w:sz="12" w:space="0" w:color="00800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TableList8">
    <w:name w:val="Table List 8"/>
    <w:basedOn w:val="TableNormal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left w:val="single" w:sz="6" w:space="0" w:color="00000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il"/>
        </w:tcBorders>
      </w:tcPr>
    </w:tblStylePr>
  </w:style>
  <w:style w:type="paragraph" w:styleId="TableofAuthorities">
    <w:name w:val="table of authorities"/>
    <w:basedOn w:val="Normal"/>
    <w:next w:val="Normal"/>
    <w:pPr>
      <w:ind w:leftChars="200" w:left="420"/>
    </w:pPr>
  </w:style>
  <w:style w:type="paragraph" w:styleId="TableofFigures">
    <w:name w:val="table of figures"/>
    <w:basedOn w:val="Normal"/>
    <w:next w:val="Normal"/>
    <w:qFormat/>
    <w:pPr>
      <w:ind w:leftChars="200" w:left="200" w:hangingChars="200" w:hanging="200"/>
    </w:pPr>
  </w:style>
  <w:style w:type="table" w:styleId="TableProfessional">
    <w:name w:val="Table Professional"/>
    <w:basedOn w:val="TableNormal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leSimple1">
    <w:name w:val="Table Simple 1"/>
    <w:basedOn w:val="TableNormal"/>
    <w:qFormat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left w:val="single" w:sz="6" w:space="0" w:color="00800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tl2br w:val="nil"/>
          <w:tr2bl w:val="nil"/>
        </w:tcBorders>
      </w:tcPr>
    </w:tblStylePr>
  </w:style>
  <w:style w:type="table" w:styleId="TableSimple2">
    <w:name w:val="Table Simple 2"/>
    <w:basedOn w:val="TableNormal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TableSimple3">
    <w:name w:val="Table Simple 3"/>
    <w:basedOn w:val="TableNormal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leSubtle1">
    <w:name w:val="Table Subtle 1"/>
    <w:basedOn w:val="TableNormal"/>
    <w:qFormat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left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left w:val="single" w:sz="6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Subtle2">
    <w:name w:val="Table Subtle 2"/>
    <w:basedOn w:val="TableNormal"/>
    <w:qFormat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sz="12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Theme">
    <w:name w:val="Table Theme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leWeb2">
    <w:name w:val="Table Web 2"/>
    <w:basedOn w:val="TableNormal"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leWeb3">
    <w:name w:val="Table Web 3"/>
    <w:basedOn w:val="TableNormal"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TOAHeading">
    <w:name w:val="toa heading"/>
    <w:basedOn w:val="Normal"/>
    <w:next w:val="Normal"/>
    <w:qFormat/>
    <w:pPr>
      <w:spacing w:before="120"/>
    </w:pPr>
    <w:rPr>
      <w:rFonts w:ascii="Arial" w:hAnsi="Arial" w:cs="Arial"/>
      <w:sz w:val="24"/>
      <w:szCs w:val="24"/>
    </w:rPr>
  </w:style>
  <w:style w:type="paragraph" w:styleId="TOC1">
    <w:name w:val="toc 1"/>
    <w:basedOn w:val="Normal"/>
    <w:next w:val="Normal"/>
    <w:qFormat/>
  </w:style>
  <w:style w:type="paragraph" w:styleId="TOC2">
    <w:name w:val="toc 2"/>
    <w:basedOn w:val="Normal"/>
    <w:next w:val="Normal"/>
    <w:pPr>
      <w:ind w:leftChars="200" w:left="420"/>
    </w:pPr>
  </w:style>
  <w:style w:type="paragraph" w:styleId="TOC3">
    <w:name w:val="toc 3"/>
    <w:basedOn w:val="Normal"/>
    <w:next w:val="Normal"/>
    <w:qFormat/>
    <w:pPr>
      <w:ind w:leftChars="400" w:left="840"/>
    </w:pPr>
  </w:style>
  <w:style w:type="paragraph" w:styleId="TOC4">
    <w:name w:val="toc 4"/>
    <w:basedOn w:val="Normal"/>
    <w:next w:val="Normal"/>
    <w:qFormat/>
    <w:pPr>
      <w:ind w:leftChars="600" w:left="1260"/>
    </w:pPr>
  </w:style>
  <w:style w:type="paragraph" w:styleId="TOC5">
    <w:name w:val="toc 5"/>
    <w:basedOn w:val="Normal"/>
    <w:next w:val="Normal"/>
    <w:qFormat/>
    <w:pPr>
      <w:ind w:leftChars="800" w:left="1680"/>
    </w:pPr>
  </w:style>
  <w:style w:type="paragraph" w:styleId="TOC6">
    <w:name w:val="toc 6"/>
    <w:basedOn w:val="Normal"/>
    <w:next w:val="Normal"/>
    <w:pPr>
      <w:ind w:leftChars="1000" w:left="2100"/>
    </w:pPr>
  </w:style>
  <w:style w:type="paragraph" w:styleId="TOC7">
    <w:name w:val="toc 7"/>
    <w:basedOn w:val="Normal"/>
    <w:next w:val="Normal"/>
    <w:pPr>
      <w:ind w:leftChars="1200" w:left="2520"/>
    </w:pPr>
  </w:style>
  <w:style w:type="paragraph" w:styleId="TOC8">
    <w:name w:val="toc 8"/>
    <w:basedOn w:val="Normal"/>
    <w:next w:val="Normal"/>
    <w:pPr>
      <w:ind w:leftChars="1400" w:left="2940"/>
    </w:pPr>
  </w:style>
  <w:style w:type="paragraph" w:styleId="TOC9">
    <w:name w:val="toc 9"/>
    <w:basedOn w:val="Normal"/>
    <w:next w:val="Normal"/>
    <w:pPr>
      <w:ind w:leftChars="1600" w:left="3360"/>
    </w:pPr>
  </w:style>
  <w:style w:type="table" w:styleId="LightShading">
    <w:name w:val="Light Shading"/>
    <w:basedOn w:val="TableNormal"/>
    <w:uiPriority w:val="60"/>
    <w:qFormat/>
    <w:rPr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Pr>
      <w:color w:val="365F91"/>
    </w:rPr>
    <w:tblPr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Pr>
      <w:color w:val="943634"/>
    </w:rPr>
    <w:tblPr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single" w:sz="8" w:space="0" w:color="C0504D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single" w:sz="8" w:space="0" w:color="C0504D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Pr>
      <w:color w:val="76923C"/>
    </w:rPr>
    <w:tblPr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single" w:sz="8" w:space="0" w:color="9BBB59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single" w:sz="8" w:space="0" w:color="9BBB59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qFormat/>
    <w:rPr>
      <w:color w:val="5F497A"/>
    </w:rPr>
    <w:tblPr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single" w:sz="8" w:space="0" w:color="8064A2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single" w:sz="8" w:space="0" w:color="8064A2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qFormat/>
    <w:rPr>
      <w:color w:val="31849B"/>
    </w:rPr>
    <w:tblPr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single" w:sz="8" w:space="0" w:color="4BACC6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single" w:sz="8" w:space="0" w:color="4BACC6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Pr>
      <w:color w:val="E36C0A"/>
    </w:rPr>
    <w:tblPr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single" w:sz="8" w:space="0" w:color="F79646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single" w:sz="8" w:space="0" w:color="F79646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LightList">
    <w:name w:val="Light List"/>
    <w:basedOn w:val="TableNormal"/>
    <w:uiPriority w:val="61"/>
    <w:qFormat/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tblPr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tblPr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qFormat/>
    <w:tblPr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tblPr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Grid">
    <w:name w:val="Light Grid"/>
    <w:basedOn w:val="TableNormal"/>
    <w:uiPriority w:val="62"/>
    <w:qFormat/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sz="8" w:space="0" w:color="000000"/>
          <w:left w:val="single" w:sz="1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auto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auto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auto"/>
        </w:tcBorders>
      </w:tcPr>
    </w:tblStylePr>
  </w:style>
  <w:style w:type="table" w:styleId="LightGrid-Accent1">
    <w:name w:val="Light Grid Accent 1"/>
    <w:basedOn w:val="TableNormal"/>
    <w:uiPriority w:val="62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sz="8" w:space="0" w:color="4F81BD"/>
          <w:left w:val="single" w:sz="1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auto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auto"/>
        </w:tcBorders>
      </w:tcPr>
    </w:tblStylePr>
  </w:style>
  <w:style w:type="table" w:styleId="LightGrid-Accent2">
    <w:name w:val="Light Grid Accent 2"/>
    <w:basedOn w:val="TableNormal"/>
    <w:uiPriority w:val="62"/>
    <w:qFormat/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sz="8" w:space="0" w:color="C0504D"/>
          <w:left w:val="single" w:sz="1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auto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auto"/>
        </w:tcBorders>
      </w:tcPr>
    </w:tblStylePr>
  </w:style>
  <w:style w:type="table" w:styleId="LightGrid-Accent3">
    <w:name w:val="Light Grid Accent 3"/>
    <w:basedOn w:val="TableNormal"/>
    <w:uiPriority w:val="62"/>
    <w:tblPr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sz="8" w:space="0" w:color="9BBB59"/>
          <w:left w:val="single" w:sz="1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auto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auto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auto"/>
        </w:tcBorders>
      </w:tcPr>
    </w:tblStylePr>
  </w:style>
  <w:style w:type="table" w:styleId="LightGrid-Accent4">
    <w:name w:val="Light Grid Accent 4"/>
    <w:basedOn w:val="TableNormal"/>
    <w:uiPriority w:val="62"/>
    <w:tblPr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sz="8" w:space="0" w:color="8064A2"/>
          <w:left w:val="single" w:sz="1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auto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auto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auto"/>
        </w:tcBorders>
      </w:tcPr>
    </w:tblStylePr>
  </w:style>
  <w:style w:type="table" w:styleId="LightGrid-Accent5">
    <w:name w:val="Light Grid Accent 5"/>
    <w:basedOn w:val="TableNormal"/>
    <w:uiPriority w:val="62"/>
    <w:qFormat/>
    <w:tblPr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sz="8" w:space="0" w:color="4BACC6"/>
          <w:left w:val="single" w:sz="1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auto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auto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auto"/>
        </w:tcBorders>
      </w:tcPr>
    </w:tblStylePr>
  </w:style>
  <w:style w:type="table" w:styleId="LightGrid-Accent6">
    <w:name w:val="Light Grid Accent 6"/>
    <w:basedOn w:val="TableNormal"/>
    <w:uiPriority w:val="62"/>
    <w:tblPr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sz="8" w:space="0" w:color="F79646"/>
          <w:left w:val="single" w:sz="1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auto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auto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auto"/>
        </w:tcBorders>
      </w:tcPr>
    </w:tblStylePr>
  </w:style>
  <w:style w:type="table" w:styleId="MediumShading1">
    <w:name w:val="Medium Shading 1"/>
    <w:basedOn w:val="TableNormal"/>
    <w:uiPriority w:val="63"/>
    <w:tblPr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tblPr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qFormat/>
    <w:tblPr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tblPr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tblPr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qFormat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qFormat/>
    <w:tblPr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qFormat/>
    <w:rPr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rPr>
        <w:rFonts w:cs="Times New Roman"/>
      </w:rPr>
      <w:tblPr/>
      <w:tcPr>
        <w:tcBorders>
          <w:top w:val="nil"/>
          <w:left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lef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left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qFormat/>
    <w:rPr>
      <w:color w:val="000000"/>
    </w:rPr>
    <w:tblPr>
      <w:tblBorders>
        <w:top w:val="single" w:sz="8" w:space="0" w:color="4F81BD"/>
        <w:bottom w:val="single" w:sz="8" w:space="0" w:color="4F81BD"/>
      </w:tblBorders>
    </w:tblPr>
    <w:tblStylePr w:type="firstRow">
      <w:rPr>
        <w:rFonts w:cs="Times New Roman"/>
      </w:rPr>
      <w:tblPr/>
      <w:tcPr>
        <w:tcBorders>
          <w:top w:val="nil"/>
          <w:left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lef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left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Pr>
      <w:color w:val="000000"/>
    </w:rPr>
    <w:tblPr>
      <w:tblBorders>
        <w:top w:val="single" w:sz="8" w:space="0" w:color="C0504D"/>
        <w:bottom w:val="single" w:sz="8" w:space="0" w:color="C0504D"/>
      </w:tblBorders>
    </w:tblPr>
    <w:tblStylePr w:type="firstRow">
      <w:rPr>
        <w:rFonts w:cs="Times New Roman"/>
      </w:rPr>
      <w:tblPr/>
      <w:tcPr>
        <w:tcBorders>
          <w:top w:val="nil"/>
          <w:left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lef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left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Pr>
      <w:color w:val="000000"/>
    </w:rPr>
    <w:tblPr>
      <w:tblBorders>
        <w:top w:val="single" w:sz="8" w:space="0" w:color="9BBB59"/>
        <w:bottom w:val="single" w:sz="8" w:space="0" w:color="9BBB59"/>
      </w:tblBorders>
    </w:tblPr>
    <w:tblStylePr w:type="firstRow">
      <w:rPr>
        <w:rFonts w:cs="Times New Roman"/>
      </w:rPr>
      <w:tblPr/>
      <w:tcPr>
        <w:tcBorders>
          <w:top w:val="nil"/>
          <w:left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lef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left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Pr>
      <w:color w:val="000000"/>
    </w:rPr>
    <w:tblPr>
      <w:tblBorders>
        <w:top w:val="single" w:sz="8" w:space="0" w:color="8064A2"/>
        <w:bottom w:val="single" w:sz="8" w:space="0" w:color="8064A2"/>
      </w:tblBorders>
    </w:tblPr>
    <w:tblStylePr w:type="firstRow">
      <w:rPr>
        <w:rFonts w:cs="Times New Roman"/>
      </w:rPr>
      <w:tblPr/>
      <w:tcPr>
        <w:tcBorders>
          <w:top w:val="nil"/>
          <w:left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lef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left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qFormat/>
    <w:rPr>
      <w:color w:val="000000"/>
    </w:rPr>
    <w:tblPr>
      <w:tblBorders>
        <w:top w:val="single" w:sz="8" w:space="0" w:color="4BACC6"/>
        <w:bottom w:val="single" w:sz="8" w:space="0" w:color="4BACC6"/>
      </w:tblBorders>
    </w:tblPr>
    <w:tblStylePr w:type="firstRow">
      <w:rPr>
        <w:rFonts w:cs="Times New Roman"/>
      </w:rPr>
      <w:tblPr/>
      <w:tcPr>
        <w:tcBorders>
          <w:top w:val="nil"/>
          <w:left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lef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left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Pr>
      <w:color w:val="000000"/>
    </w:rPr>
    <w:tblPr>
      <w:tblBorders>
        <w:top w:val="single" w:sz="8" w:space="0" w:color="F79646"/>
        <w:bottom w:val="single" w:sz="8" w:space="0" w:color="F79646"/>
      </w:tblBorders>
    </w:tblPr>
    <w:tblStylePr w:type="firstRow">
      <w:rPr>
        <w:rFonts w:cs="Times New Roman"/>
      </w:rPr>
      <w:tblPr/>
      <w:tcPr>
        <w:tcBorders>
          <w:top w:val="nil"/>
          <w:left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lef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left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Pr>
      <w:rFonts w:ascii="SimSun" w:eastAsia="Courier New" w:hAnsi="SimSun"/>
      <w:color w:val="000000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qFormat/>
    <w:rPr>
      <w:rFonts w:ascii="SimSun" w:eastAsia="Courier New" w:hAnsi="SimSun"/>
      <w:color w:val="000000"/>
    </w:rPr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qFormat/>
    <w:rPr>
      <w:rFonts w:ascii="SimSun" w:eastAsia="Courier New" w:hAnsi="SimSun"/>
      <w:color w:val="000000"/>
    </w:rPr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qFormat/>
    <w:rPr>
      <w:rFonts w:ascii="SimSun" w:eastAsia="Courier New" w:hAnsi="SimSun"/>
      <w:color w:val="000000"/>
    </w:rPr>
    <w:tblPr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qFormat/>
    <w:rPr>
      <w:rFonts w:ascii="SimSun" w:eastAsia="Courier New" w:hAnsi="SimSun"/>
      <w:color w:val="000000"/>
    </w:rPr>
    <w:tblPr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Pr>
      <w:rFonts w:ascii="SimSun" w:eastAsia="Courier New" w:hAnsi="SimSun"/>
      <w:color w:val="000000"/>
    </w:rPr>
    <w:tblPr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qFormat/>
    <w:rPr>
      <w:rFonts w:ascii="SimSun" w:eastAsia="Courier New" w:hAnsi="SimSun"/>
      <w:color w:val="000000"/>
    </w:rPr>
    <w:tblPr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qFormat/>
    <w:tblPr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tblPr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qFormat/>
    <w:tblPr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tblPr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tblPr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tblPr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Pr>
      <w:rFonts w:ascii="SimSun" w:eastAsia="Courier New" w:hAnsi="SimSun"/>
      <w:color w:val="000000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Pr>
      <w:rFonts w:ascii="SimSun" w:eastAsia="Courier New" w:hAnsi="SimSun"/>
      <w:color w:val="000000"/>
    </w:rPr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Pr>
      <w:rFonts w:ascii="SimSun" w:eastAsia="Courier New" w:hAnsi="SimSun"/>
      <w:color w:val="000000"/>
    </w:rPr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Pr>
      <w:rFonts w:ascii="SimSun" w:eastAsia="Courier New" w:hAnsi="SimSun"/>
      <w:color w:val="000000"/>
    </w:rPr>
    <w:tblPr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qFormat/>
    <w:rPr>
      <w:rFonts w:ascii="SimSun" w:eastAsia="Courier New" w:hAnsi="SimSun"/>
      <w:color w:val="000000"/>
    </w:rPr>
    <w:tblPr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qFormat/>
    <w:rPr>
      <w:rFonts w:ascii="SimSun" w:eastAsia="Courier New" w:hAnsi="SimSun"/>
      <w:color w:val="000000"/>
    </w:rPr>
    <w:tblPr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qFormat/>
    <w:rPr>
      <w:rFonts w:ascii="SimSun" w:eastAsia="Courier New" w:hAnsi="SimSun"/>
      <w:color w:val="000000"/>
    </w:rPr>
    <w:tblPr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</w:tcBorders>
        <w:shd w:val="clear" w:color="auto" w:fill="FBCAA2"/>
      </w:tcPr>
    </w:tblStylePr>
  </w:style>
  <w:style w:type="table" w:styleId="DarkList">
    <w:name w:val="Dark List"/>
    <w:basedOn w:val="TableNormal"/>
    <w:uiPriority w:val="70"/>
    <w:qFormat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qFormat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qFormat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qFormat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qFormat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qFormat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qFormat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ColorfulShading">
    <w:name w:val="Colorful Shading"/>
    <w:basedOn w:val="TableNormal"/>
    <w:uiPriority w:val="71"/>
    <w:qFormat/>
    <w:rPr>
      <w:color w:val="000000"/>
    </w:rPr>
    <w:tblPr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sz="24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qFormat/>
    <w:rPr>
      <w:color w:val="000000"/>
    </w:rPr>
    <w:tblPr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sz="24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Pr>
      <w:color w:val="000000"/>
    </w:rPr>
    <w:tblPr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sz="24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qFormat/>
    <w:rPr>
      <w:color w:val="000000"/>
    </w:rPr>
    <w:tblPr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sz="24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qFormat/>
    <w:rPr>
      <w:color w:val="000000"/>
    </w:rPr>
    <w:tblPr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sz="24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qFormat/>
    <w:rPr>
      <w:color w:val="000000"/>
    </w:rPr>
    <w:tblPr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sz="24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qFormat/>
    <w:rPr>
      <w:color w:val="000000"/>
    </w:rPr>
    <w:tblPr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sz="24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List">
    <w:name w:val="Colorful List"/>
    <w:basedOn w:val="TableNormal"/>
    <w:uiPriority w:val="72"/>
    <w:qFormat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qFormat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qFormat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qFormat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qFormat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Grid">
    <w:name w:val="Colorful Grid"/>
    <w:basedOn w:val="TableNormal"/>
    <w:uiPriority w:val="73"/>
    <w:rPr>
      <w:color w:val="000000"/>
    </w:rPr>
    <w:tblPr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qFormat/>
    <w:rPr>
      <w:color w:val="000000"/>
    </w:rPr>
    <w:tblPr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qFormat/>
    <w:rPr>
      <w:color w:val="000000"/>
    </w:rPr>
    <w:tblPr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qFormat/>
    <w:rPr>
      <w:color w:val="000000"/>
    </w:rPr>
    <w:tblPr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qFormat/>
    <w:rPr>
      <w:color w:val="000000"/>
    </w:rPr>
    <w:tblPr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qFormat/>
    <w:rPr>
      <w:color w:val="000000"/>
    </w:rPr>
    <w:tblPr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qFormat/>
    <w:rPr>
      <w:color w:val="000000"/>
    </w:rPr>
    <w:tblPr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paragraph" w:styleId="NoSpacing">
    <w:name w:val="No Spacing"/>
    <w:link w:val="NoSpacingChar"/>
    <w:uiPriority w:val="1"/>
    <w:qFormat/>
    <w:rsid w:val="00A728D7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728D7"/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mh.nih.gov/health/topics/schizophrenia" TargetMode="External"/><Relationship Id="rId13" Type="http://schemas.openxmlformats.org/officeDocument/2006/relationships/hyperlink" Target="https://www.gov.uk/guidance/equality-act-2010-guidance" TargetMode="External"/><Relationship Id="rId18" Type="http://schemas.openxmlformats.org/officeDocument/2006/relationships/hyperlink" Target="https://www.nice.org.uk/Guidance/CG155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doi.org/10.1002/14651858.cd000088.pub2.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oi.org/10.1016/j.phrs.2022.106078" TargetMode="External"/><Relationship Id="rId17" Type="http://schemas.openxmlformats.org/officeDocument/2006/relationships/hyperlink" Target="https://www.mind.org.uk/media/7581/mental-health-facts-and-statistics.pdf" TargetMode="External"/><Relationship Id="rId25" Type="http://schemas.openxmlformats.org/officeDocument/2006/relationships/hyperlink" Target="https://doi.org/10.4103/0019-5545.94660.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1093/epirev/mxn001." TargetMode="External"/><Relationship Id="rId20" Type="http://schemas.openxmlformats.org/officeDocument/2006/relationships/hyperlink" Target="https://www.nimh.nih.gov/health/topics/schizophreni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177/0004867416672725" TargetMode="External"/><Relationship Id="rId24" Type="http://schemas.openxmlformats.org/officeDocument/2006/relationships/hyperlink" Target="https://www.who.int/standards/classifications/classification-of-disease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1177/1471301211403970." TargetMode="External"/><Relationship Id="rId23" Type="http://schemas.openxmlformats.org/officeDocument/2006/relationships/hyperlink" Target="https://doi.org/10.1016/s0920-9964(03)00191-9.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appi.org/dsm" TargetMode="External"/><Relationship Id="rId19" Type="http://schemas.openxmlformats.org/officeDocument/2006/relationships/hyperlink" Target="https://www.nimh.nih.gov/health/publications/schizophreni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01/archpsyc.1990.01810190015002" TargetMode="External"/><Relationship Id="rId14" Type="http://schemas.openxmlformats.org/officeDocument/2006/relationships/hyperlink" Target="https://www.gov.uk/government/publications/mental-capacity-act-code-of-practice" TargetMode="External"/><Relationship Id="rId22" Type="http://schemas.openxmlformats.org/officeDocument/2006/relationships/hyperlink" Target="https://doi.org/10.3390/molecules23082087.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73F93BC-5D21-4A74-86A1-AFE551F64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Olatunde Oyindamola</dc:creator>
  <cp:lastModifiedBy>Fatima Al Hassan (2129080)</cp:lastModifiedBy>
  <cp:revision>2</cp:revision>
  <dcterms:created xsi:type="dcterms:W3CDTF">2024-07-05T10:26:00Z</dcterms:created>
  <dcterms:modified xsi:type="dcterms:W3CDTF">2024-07-05T10:26:00Z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82A08906D45A4B5FB4CE64A81A13FEA3_11</vt:lpwstr>
  </property>
</Properties>
</file>