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D96808">
      <w:pPr>
        <w:spacing w:before="120" w:after="240" w:line="360" w:lineRule="auto"/>
        <w:jc w:val="both"/>
        <w:rPr>
          <w:rFonts w:ascii="Times New Roman" w:hAnsi="Times New Roman" w:cs="Times New Roman"/>
        </w:rPr>
      </w:pPr>
      <w:bookmarkStart w:id="60" w:name="_GoBack"/>
      <w:bookmarkEnd w:id="60"/>
      <w:r>
        <w:rPr>
          <w:rFonts w:ascii="Times New Roman" w:hAnsi="Times New Roman" w:cs="Times New Roman"/>
        </w:rPr>
        <w:drawing>
          <wp:inline distT="0" distB="0" distL="0" distR="0">
            <wp:extent cx="2265045" cy="1256665"/>
            <wp:effectExtent l="0" t="0" r="1905" b="635"/>
            <wp:docPr id="14680637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063797"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267406" cy="1257996"/>
                    </a:xfrm>
                    <a:prstGeom prst="rect">
                      <a:avLst/>
                    </a:prstGeom>
                    <a:noFill/>
                  </pic:spPr>
                </pic:pic>
              </a:graphicData>
            </a:graphic>
          </wp:inline>
        </w:drawing>
      </w:r>
    </w:p>
    <w:p w14:paraId="7078B93E">
      <w:pPr>
        <w:spacing w:before="120" w:after="240" w:line="360" w:lineRule="auto"/>
        <w:jc w:val="both"/>
        <w:rPr>
          <w:rFonts w:ascii="Times New Roman" w:hAnsi="Times New Roman" w:cs="Times New Roman"/>
          <w:b/>
          <w:bCs/>
          <w:sz w:val="56"/>
        </w:rPr>
      </w:pPr>
    </w:p>
    <w:p w14:paraId="3853CC0B">
      <w:pPr>
        <w:spacing w:before="120" w:after="240" w:line="360" w:lineRule="auto"/>
        <w:jc w:val="both"/>
        <w:rPr>
          <w:rFonts w:ascii="Times New Roman" w:hAnsi="Times New Roman" w:cs="Times New Roman"/>
          <w:b/>
          <w:bCs/>
          <w:sz w:val="56"/>
        </w:rPr>
      </w:pPr>
    </w:p>
    <w:p w14:paraId="01C780CA">
      <w:pPr>
        <w:spacing w:before="120" w:after="240" w:line="360" w:lineRule="auto"/>
        <w:ind w:right="1440"/>
        <w:jc w:val="both"/>
        <w:rPr>
          <w:rFonts w:ascii="Times New Roman" w:hAnsi="Times New Roman" w:cs="Times New Roman"/>
          <w:b/>
          <w:bCs/>
          <w:sz w:val="36"/>
          <w:szCs w:val="12"/>
        </w:rPr>
      </w:pPr>
    </w:p>
    <w:p w14:paraId="5DA48119">
      <w:pPr>
        <w:spacing w:before="120" w:after="240" w:line="360" w:lineRule="auto"/>
        <w:jc w:val="center"/>
        <w:rPr>
          <w:rFonts w:ascii="Times New Roman" w:hAnsi="Times New Roman" w:cs="Times New Roman"/>
          <w:sz w:val="28"/>
          <w:szCs w:val="8"/>
        </w:rPr>
      </w:pPr>
      <w:r>
        <w:rPr>
          <w:rFonts w:ascii="Times New Roman" w:hAnsi="Times New Roman" w:cs="Times New Roman"/>
          <w:sz w:val="28"/>
          <w:szCs w:val="8"/>
        </w:rPr>
        <w:t>Level 7 Dissertation</w:t>
      </w:r>
    </w:p>
    <w:p w14:paraId="0AF99360">
      <w:pPr>
        <w:spacing w:before="120" w:after="240" w:line="360" w:lineRule="auto"/>
        <w:jc w:val="center"/>
        <w:rPr>
          <w:rFonts w:ascii="Times New Roman" w:hAnsi="Times New Roman" w:cs="Times New Roman"/>
          <w:sz w:val="28"/>
          <w:szCs w:val="8"/>
        </w:rPr>
      </w:pPr>
      <w:r>
        <w:rPr>
          <w:rFonts w:ascii="Times New Roman" w:hAnsi="Times New Roman" w:cs="Times New Roman"/>
          <w:sz w:val="28"/>
          <w:szCs w:val="8"/>
        </w:rPr>
        <w:t>BMMB7003</w:t>
      </w:r>
    </w:p>
    <w:p w14:paraId="23977496">
      <w:pPr>
        <w:spacing w:before="120" w:after="240" w:line="360" w:lineRule="auto"/>
        <w:jc w:val="center"/>
        <w:rPr>
          <w:rFonts w:ascii="Times New Roman" w:hAnsi="Times New Roman" w:cs="Times New Roman"/>
          <w:sz w:val="28"/>
          <w:szCs w:val="8"/>
        </w:rPr>
      </w:pPr>
      <w:r>
        <w:rPr>
          <w:rFonts w:ascii="Times New Roman" w:hAnsi="Times New Roman" w:cs="Times New Roman"/>
          <w:sz w:val="28"/>
          <w:szCs w:val="8"/>
        </w:rPr>
        <w:t xml:space="preserve">Title: </w:t>
      </w:r>
      <w:bookmarkStart w:id="0" w:name="OLE_LINK4"/>
      <w:r>
        <w:rPr>
          <w:rFonts w:ascii="Times New Roman" w:hAnsi="Times New Roman" w:cs="Times New Roman"/>
          <w:sz w:val="28"/>
          <w:szCs w:val="8"/>
        </w:rPr>
        <w:t>The Impacts of big data capabilities on Chinese enterprise performance - An empirical study</w:t>
      </w:r>
      <w:bookmarkEnd w:id="0"/>
    </w:p>
    <w:p w14:paraId="04606681">
      <w:pPr>
        <w:spacing w:before="120" w:after="240" w:line="360" w:lineRule="auto"/>
        <w:jc w:val="center"/>
        <w:rPr>
          <w:rFonts w:hint="default" w:ascii="Times New Roman" w:hAnsi="Times New Roman" w:cs="Times New Roman" w:eastAsiaTheme="minorEastAsia"/>
          <w:sz w:val="28"/>
          <w:szCs w:val="8"/>
          <w:lang w:val="en-US" w:eastAsia="zh-CN"/>
        </w:rPr>
      </w:pPr>
      <w:r>
        <w:rPr>
          <w:rFonts w:ascii="Times New Roman" w:hAnsi="Times New Roman" w:cs="Times New Roman"/>
          <w:sz w:val="28"/>
          <w:szCs w:val="8"/>
        </w:rPr>
        <w:t>Word Count:</w:t>
      </w:r>
      <w:r>
        <w:rPr>
          <w:rFonts w:hint="eastAsia" w:ascii="Times New Roman" w:hAnsi="Times New Roman" w:cs="Times New Roman"/>
          <w:sz w:val="28"/>
          <w:szCs w:val="8"/>
          <w:lang w:val="en-US" w:eastAsia="zh-CN"/>
        </w:rPr>
        <w:t>15700</w:t>
      </w:r>
    </w:p>
    <w:p w14:paraId="01490556">
      <w:pPr>
        <w:spacing w:before="120" w:after="240" w:line="360" w:lineRule="auto"/>
        <w:jc w:val="center"/>
        <w:rPr>
          <w:rFonts w:hint="eastAsia" w:ascii="Times New Roman" w:hAnsi="Times New Roman" w:cs="Times New Roman"/>
          <w:sz w:val="28"/>
          <w:szCs w:val="8"/>
          <w:lang w:val="en-US"/>
        </w:rPr>
      </w:pPr>
      <w:r>
        <w:rPr>
          <w:rFonts w:ascii="Times New Roman" w:hAnsi="Times New Roman" w:cs="Times New Roman"/>
          <w:sz w:val="28"/>
          <w:szCs w:val="8"/>
        </w:rPr>
        <w:t>Date of Submission:</w:t>
      </w:r>
      <w:r>
        <w:rPr>
          <w:rFonts w:hint="eastAsia" w:ascii="Times New Roman" w:hAnsi="Times New Roman" w:cs="Times New Roman"/>
          <w:sz w:val="28"/>
          <w:szCs w:val="8"/>
          <w:lang w:val="en-US"/>
        </w:rPr>
        <w:t xml:space="preserve"> </w:t>
      </w:r>
      <w:bookmarkStart w:id="1" w:name="OLE_LINK1"/>
      <w:r>
        <w:rPr>
          <w:rFonts w:hint="eastAsia" w:ascii="Times New Roman" w:hAnsi="Times New Roman" w:cs="Times New Roman"/>
          <w:sz w:val="28"/>
          <w:szCs w:val="8"/>
          <w:lang w:val="en-US"/>
        </w:rPr>
        <w:t>2024.9.27</w:t>
      </w:r>
      <w:bookmarkEnd w:id="1"/>
    </w:p>
    <w:p w14:paraId="54528CDA">
      <w:pPr>
        <w:spacing w:before="120" w:after="240" w:line="360" w:lineRule="auto"/>
        <w:jc w:val="center"/>
        <w:rPr>
          <w:rFonts w:hint="default" w:ascii="Times New Roman" w:hAnsi="Times New Roman" w:cs="Times New Roman"/>
          <w:sz w:val="28"/>
          <w:szCs w:val="8"/>
          <w:lang w:val="en-US" w:eastAsia="zh-CN"/>
        </w:rPr>
      </w:pPr>
      <w:r>
        <w:rPr>
          <w:rFonts w:ascii="Times New Roman" w:hAnsi="Times New Roman" w:cs="Times New Roman"/>
          <w:sz w:val="28"/>
          <w:szCs w:val="8"/>
        </w:rPr>
        <w:t xml:space="preserve">Student </w:t>
      </w:r>
      <w:r>
        <w:rPr>
          <w:rFonts w:hint="eastAsia" w:ascii="Times New Roman" w:hAnsi="Times New Roman" w:cs="Times New Roman"/>
          <w:sz w:val="28"/>
          <w:szCs w:val="8"/>
          <w:lang w:val="en-US" w:eastAsia="zh-CN"/>
        </w:rPr>
        <w:t>Name</w:t>
      </w:r>
      <w:r>
        <w:rPr>
          <w:rFonts w:ascii="Times New Roman" w:hAnsi="Times New Roman" w:cs="Times New Roman"/>
          <w:sz w:val="28"/>
          <w:szCs w:val="8"/>
        </w:rPr>
        <w:t>:</w:t>
      </w:r>
      <w:r>
        <w:rPr>
          <w:rFonts w:hint="eastAsia" w:ascii="Times New Roman" w:hAnsi="Times New Roman" w:cs="Times New Roman"/>
          <w:sz w:val="28"/>
          <w:szCs w:val="8"/>
          <w:lang w:val="en-US"/>
        </w:rPr>
        <w:t xml:space="preserve"> </w:t>
      </w:r>
      <w:r>
        <w:rPr>
          <w:rFonts w:hint="eastAsia" w:ascii="Times New Roman" w:hAnsi="Times New Roman" w:cs="Times New Roman"/>
          <w:sz w:val="28"/>
          <w:szCs w:val="8"/>
          <w:lang w:val="en-US" w:eastAsia="zh-CN"/>
        </w:rPr>
        <w:t>Huiwen Qi</w:t>
      </w:r>
    </w:p>
    <w:p w14:paraId="695E56A2">
      <w:pPr>
        <w:spacing w:before="120" w:after="240" w:line="360" w:lineRule="auto"/>
        <w:jc w:val="center"/>
        <w:rPr>
          <w:rFonts w:ascii="Times New Roman" w:hAnsi="Times New Roman" w:cs="Times New Roman"/>
          <w:sz w:val="28"/>
          <w:szCs w:val="8"/>
          <w:lang w:val="en-US"/>
        </w:rPr>
      </w:pPr>
      <w:bookmarkStart w:id="2" w:name="OLE_LINK3"/>
      <w:r>
        <w:rPr>
          <w:rFonts w:ascii="Times New Roman" w:hAnsi="Times New Roman" w:cs="Times New Roman"/>
          <w:sz w:val="28"/>
          <w:szCs w:val="8"/>
        </w:rPr>
        <w:t>Student ID:</w:t>
      </w:r>
      <w:r>
        <w:rPr>
          <w:rFonts w:hint="eastAsia" w:ascii="Times New Roman" w:hAnsi="Times New Roman" w:cs="Times New Roman"/>
          <w:sz w:val="28"/>
          <w:szCs w:val="8"/>
          <w:lang w:val="en-US"/>
        </w:rPr>
        <w:t xml:space="preserve"> </w:t>
      </w:r>
      <w:bookmarkEnd w:id="2"/>
      <w:r>
        <w:rPr>
          <w:rFonts w:hint="eastAsia" w:ascii="Times New Roman" w:hAnsi="Times New Roman" w:cs="Times New Roman"/>
          <w:sz w:val="28"/>
          <w:szCs w:val="8"/>
          <w:lang w:val="en-US"/>
        </w:rPr>
        <w:t>2200154</w:t>
      </w:r>
    </w:p>
    <w:p w14:paraId="632E6D00">
      <w:pPr>
        <w:spacing w:before="120" w:after="240" w:line="360" w:lineRule="auto"/>
        <w:jc w:val="center"/>
        <w:rPr>
          <w:rFonts w:hint="default" w:ascii="Times New Roman" w:hAnsi="Times New Roman" w:cs="Times New Roman" w:eastAsiaTheme="minorEastAsia"/>
          <w:sz w:val="28"/>
          <w:szCs w:val="8"/>
          <w:lang w:val="en-US" w:eastAsia="zh-CN"/>
        </w:rPr>
      </w:pPr>
      <w:r>
        <w:rPr>
          <w:rFonts w:ascii="Times New Roman" w:hAnsi="Times New Roman" w:cs="Times New Roman"/>
          <w:sz w:val="28"/>
          <w:szCs w:val="8"/>
        </w:rPr>
        <w:t>Supervisor:</w:t>
      </w:r>
      <w:r>
        <w:rPr>
          <w:rFonts w:hint="eastAsia" w:ascii="Times New Roman" w:hAnsi="Times New Roman" w:cs="Times New Roman"/>
          <w:sz w:val="28"/>
          <w:szCs w:val="8"/>
          <w:lang w:val="en-US" w:eastAsia="zh-CN"/>
        </w:rPr>
        <w:t>Hele Lee</w:t>
      </w:r>
    </w:p>
    <w:p w14:paraId="071890BD">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3" w:name="_Toc178258244"/>
      <w:r>
        <w:rPr>
          <w:rFonts w:ascii="Times New Roman" w:hAnsi="Times New Roman" w:cs="Times New Roman"/>
          <w:color w:val="000000"/>
          <w14:textFill>
            <w14:solidFill>
              <w14:srgbClr w14:val="000000">
                <w14:lumMod w14:val="85000"/>
                <w14:lumOff w14:val="15000"/>
              </w14:srgbClr>
            </w14:solidFill>
          </w14:textFill>
        </w:rPr>
        <w:t>Declaration/Statements page</w:t>
      </w:r>
      <w:bookmarkEnd w:id="3"/>
      <w:r>
        <w:rPr>
          <w:rFonts w:ascii="Times New Roman" w:hAnsi="Times New Roman" w:cs="Times New Roman"/>
          <w:color w:val="000000"/>
          <w14:textFill>
            <w14:solidFill>
              <w14:srgbClr w14:val="000000">
                <w14:lumMod w14:val="85000"/>
                <w14:lumOff w14:val="15000"/>
              </w14:srgbClr>
            </w14:solidFill>
          </w14:textFill>
        </w:rPr>
        <w:t xml:space="preserve"> </w:t>
      </w:r>
      <w:r>
        <w:rPr>
          <w:rFonts w:ascii="Times New Roman" w:hAnsi="Times New Roman" w:cs="Times New Roman"/>
          <w:color w:val="000000"/>
          <w14:textFill>
            <w14:solidFill>
              <w14:srgbClr w14:val="000000">
                <w14:lumMod w14:val="85000"/>
                <w14:lumOff w14:val="15000"/>
              </w14:srgbClr>
            </w14:solidFill>
          </w14:textFill>
        </w:rPr>
        <w:tab/>
      </w:r>
      <w:r>
        <w:rPr>
          <w:rFonts w:ascii="Times New Roman" w:hAnsi="Times New Roman" w:cs="Times New Roman"/>
          <w:spacing w:val="-2"/>
        </w:rPr>
        <w:tab/>
      </w:r>
    </w:p>
    <w:p w14:paraId="5475602D">
      <w:pPr>
        <w:spacing w:before="120" w:after="240" w:line="360" w:lineRule="auto"/>
        <w:jc w:val="both"/>
        <w:rPr>
          <w:rFonts w:ascii="Times New Roman" w:hAnsi="Times New Roman" w:cs="Times New Roman"/>
          <w:spacing w:val="-2"/>
          <w:sz w:val="22"/>
          <w:szCs w:val="22"/>
        </w:rPr>
      </w:pPr>
      <w:r>
        <w:rPr>
          <w:rFonts w:ascii="宋体" w:hAnsi="宋体" w:eastAsia="宋体" w:cs="宋体"/>
          <w:sz w:val="24"/>
          <w:szCs w:val="24"/>
        </w:rPr>
        <w:drawing>
          <wp:anchor distT="0" distB="0" distL="114300" distR="114300" simplePos="0" relativeHeight="251659264" behindDoc="1" locked="0" layoutInCell="1" allowOverlap="1">
            <wp:simplePos x="0" y="0"/>
            <wp:positionH relativeFrom="column">
              <wp:posOffset>1394460</wp:posOffset>
            </wp:positionH>
            <wp:positionV relativeFrom="paragraph">
              <wp:posOffset>547370</wp:posOffset>
            </wp:positionV>
            <wp:extent cx="1379220" cy="375920"/>
            <wp:effectExtent l="0" t="0" r="0" b="5080"/>
            <wp:wrapNone/>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9"/>
                    <a:stretch>
                      <a:fillRect/>
                    </a:stretch>
                  </pic:blipFill>
                  <pic:spPr>
                    <a:xfrm>
                      <a:off x="0" y="0"/>
                      <a:ext cx="1390891" cy="379234"/>
                    </a:xfrm>
                    <a:prstGeom prst="rect">
                      <a:avLst/>
                    </a:prstGeom>
                    <a:noFill/>
                    <a:ln w="9525">
                      <a:noFill/>
                    </a:ln>
                  </pic:spPr>
                </pic:pic>
              </a:graphicData>
            </a:graphic>
          </wp:anchor>
        </w:drawing>
      </w:r>
      <w:r>
        <w:rPr>
          <w:rFonts w:ascii="Times New Roman" w:hAnsi="Times New Roman" w:cs="Times New Roman"/>
          <w:spacing w:val="-2"/>
          <w:sz w:val="22"/>
          <w:szCs w:val="22"/>
        </w:rPr>
        <w:t>This work has not previously been accepted in substance for any degree and is not being concurrently submitted in candidature for any degree.</w:t>
      </w:r>
      <w:r>
        <w:rPr>
          <w:rFonts w:ascii="Times New Roman" w:hAnsi="Times New Roman" w:cs="Times New Roman"/>
          <w:spacing w:val="-2"/>
          <w:sz w:val="22"/>
          <w:szCs w:val="22"/>
        </w:rPr>
        <w:tab/>
      </w:r>
    </w:p>
    <w:p w14:paraId="35F77D0F">
      <w:pPr>
        <w:spacing w:before="120" w:after="240" w:line="360" w:lineRule="auto"/>
        <w:ind w:left="720"/>
        <w:jc w:val="both"/>
        <w:rPr>
          <w:rFonts w:ascii="Times New Roman" w:hAnsi="Times New Roman" w:cs="Times New Roman"/>
          <w:spacing w:val="-2"/>
          <w:sz w:val="22"/>
          <w:szCs w:val="22"/>
        </w:rPr>
      </w:pPr>
      <w:r>
        <w:rPr>
          <w:rFonts w:ascii="Times New Roman" w:hAnsi="Times New Roman" w:cs="Times New Roman"/>
          <w:spacing w:val="-2"/>
          <w:sz w:val="22"/>
          <w:szCs w:val="22"/>
        </w:rPr>
        <w:t>Signed ...................................................................... (candidate)</w:t>
      </w:r>
      <w:r>
        <w:rPr>
          <w:rFonts w:ascii="Times New Roman" w:hAnsi="Times New Roman" w:cs="Times New Roman"/>
          <w:spacing w:val="-2"/>
          <w:sz w:val="22"/>
          <w:szCs w:val="22"/>
        </w:rPr>
        <w:tab/>
      </w:r>
    </w:p>
    <w:p w14:paraId="728572B3">
      <w:pPr>
        <w:spacing w:before="120" w:after="240" w:line="360" w:lineRule="auto"/>
        <w:ind w:left="720"/>
        <w:jc w:val="both"/>
        <w:rPr>
          <w:rFonts w:ascii="Times New Roman" w:hAnsi="Times New Roman" w:cs="Times New Roman"/>
          <w:spacing w:val="-2"/>
          <w:sz w:val="22"/>
          <w:szCs w:val="22"/>
        </w:rPr>
      </w:pPr>
      <w:r>
        <w:rPr>
          <w:rFonts w:ascii="Times New Roman" w:hAnsi="Times New Roman" w:cs="Times New Roman"/>
          <w:spacing w:val="-2"/>
          <w:sz w:val="22"/>
          <w:szCs w:val="22"/>
        </w:rPr>
        <w:t>Date .............</w:t>
      </w:r>
      <w:r>
        <w:rPr>
          <w:rFonts w:hint="eastAsia" w:ascii="Times New Roman" w:hAnsi="Times New Roman" w:cs="Times New Roman"/>
          <w:sz w:val="28"/>
          <w:szCs w:val="8"/>
          <w:lang w:val="en-US"/>
        </w:rPr>
        <w:t>2024.9.27</w:t>
      </w:r>
      <w:r>
        <w:rPr>
          <w:rFonts w:ascii="Times New Roman" w:hAnsi="Times New Roman" w:cs="Times New Roman"/>
          <w:spacing w:val="-2"/>
          <w:sz w:val="22"/>
          <w:szCs w:val="22"/>
        </w:rPr>
        <w:t>...........................................................</w:t>
      </w:r>
      <w:r>
        <w:rPr>
          <w:rFonts w:ascii="Times New Roman" w:hAnsi="Times New Roman" w:cs="Times New Roman"/>
          <w:spacing w:val="-2"/>
          <w:sz w:val="22"/>
          <w:szCs w:val="22"/>
        </w:rPr>
        <w:tab/>
      </w:r>
    </w:p>
    <w:p w14:paraId="048E3D75">
      <w:pPr>
        <w:spacing w:before="120" w:after="240" w:line="360" w:lineRule="auto"/>
        <w:jc w:val="both"/>
        <w:rPr>
          <w:rFonts w:ascii="Times New Roman" w:hAnsi="Times New Roman" w:cs="Times New Roman"/>
          <w:spacing w:val="-2"/>
          <w:sz w:val="22"/>
          <w:szCs w:val="22"/>
        </w:rPr>
      </w:pPr>
      <w:r>
        <w:rPr>
          <w:rFonts w:ascii="Times New Roman" w:hAnsi="Times New Roman" w:cs="Times New Roman"/>
          <w:spacing w:val="-2"/>
          <w:sz w:val="22"/>
          <w:szCs w:val="22"/>
        </w:rPr>
        <w:t>STATEMENT 1</w:t>
      </w:r>
      <w:r>
        <w:rPr>
          <w:rFonts w:ascii="Times New Roman" w:hAnsi="Times New Roman" w:cs="Times New Roman"/>
          <w:spacing w:val="-2"/>
          <w:sz w:val="22"/>
          <w:szCs w:val="22"/>
        </w:rPr>
        <w:tab/>
      </w:r>
    </w:p>
    <w:p w14:paraId="5FD871DE">
      <w:pPr>
        <w:spacing w:before="120" w:after="240" w:line="360" w:lineRule="auto"/>
        <w:ind w:left="720"/>
        <w:jc w:val="both"/>
        <w:rPr>
          <w:rFonts w:ascii="Times New Roman" w:hAnsi="Times New Roman" w:cs="Times New Roman"/>
          <w:spacing w:val="-2"/>
          <w:sz w:val="22"/>
          <w:szCs w:val="22"/>
        </w:rPr>
      </w:pPr>
      <w:r>
        <w:rPr>
          <w:rFonts w:ascii="Times New Roman" w:hAnsi="Times New Roman" w:cs="Times New Roman"/>
          <w:spacing w:val="-2"/>
          <w:sz w:val="22"/>
          <w:szCs w:val="22"/>
        </w:rPr>
        <w:t xml:space="preserve">This work is the result of my own investigations, except where otherwise stated. </w:t>
      </w:r>
    </w:p>
    <w:p w14:paraId="0D952C9D">
      <w:pPr>
        <w:spacing w:before="120" w:after="240" w:line="360" w:lineRule="auto"/>
        <w:ind w:left="720"/>
        <w:jc w:val="both"/>
        <w:rPr>
          <w:rFonts w:ascii="Times New Roman" w:hAnsi="Times New Roman" w:cs="Times New Roman"/>
          <w:spacing w:val="-2"/>
          <w:sz w:val="22"/>
          <w:szCs w:val="22"/>
        </w:rPr>
      </w:pPr>
      <w:r>
        <w:rPr>
          <w:rFonts w:ascii="宋体" w:hAnsi="宋体" w:eastAsia="宋体" w:cs="宋体"/>
          <w:sz w:val="24"/>
          <w:szCs w:val="24"/>
        </w:rPr>
        <w:drawing>
          <wp:anchor distT="0" distB="0" distL="114300" distR="114300" simplePos="0" relativeHeight="251660288" behindDoc="1" locked="0" layoutInCell="1" allowOverlap="1">
            <wp:simplePos x="0" y="0"/>
            <wp:positionH relativeFrom="column">
              <wp:posOffset>1022985</wp:posOffset>
            </wp:positionH>
            <wp:positionV relativeFrom="paragraph">
              <wp:posOffset>214630</wp:posOffset>
            </wp:positionV>
            <wp:extent cx="1604645" cy="437515"/>
            <wp:effectExtent l="0" t="0" r="3175" b="4445"/>
            <wp:wrapNone/>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9"/>
                    <a:stretch>
                      <a:fillRect/>
                    </a:stretch>
                  </pic:blipFill>
                  <pic:spPr>
                    <a:xfrm>
                      <a:off x="0" y="0"/>
                      <a:ext cx="1604645" cy="437515"/>
                    </a:xfrm>
                    <a:prstGeom prst="rect">
                      <a:avLst/>
                    </a:prstGeom>
                    <a:noFill/>
                    <a:ln w="9525">
                      <a:noFill/>
                    </a:ln>
                  </pic:spPr>
                </pic:pic>
              </a:graphicData>
            </a:graphic>
          </wp:anchor>
        </w:drawing>
      </w:r>
      <w:r>
        <w:rPr>
          <w:rFonts w:ascii="Times New Roman" w:hAnsi="Times New Roman" w:cs="Times New Roman"/>
          <w:spacing w:val="-2"/>
          <w:sz w:val="22"/>
          <w:szCs w:val="22"/>
        </w:rPr>
        <w:t>Other sources are acknowledged by footnotes giving explicit references. A bibliography is appended.</w:t>
      </w:r>
    </w:p>
    <w:p w14:paraId="2EDD4A25">
      <w:pPr>
        <w:spacing w:before="120" w:after="240" w:line="360" w:lineRule="auto"/>
        <w:ind w:left="720"/>
        <w:jc w:val="both"/>
        <w:rPr>
          <w:rFonts w:ascii="Times New Roman" w:hAnsi="Times New Roman" w:cs="Times New Roman"/>
          <w:spacing w:val="-2"/>
          <w:sz w:val="22"/>
          <w:szCs w:val="22"/>
        </w:rPr>
      </w:pPr>
      <w:r>
        <w:rPr>
          <w:rFonts w:ascii="Times New Roman" w:hAnsi="Times New Roman" w:cs="Times New Roman"/>
          <w:spacing w:val="-2"/>
          <w:sz w:val="22"/>
          <w:szCs w:val="22"/>
        </w:rPr>
        <w:t>Signed ..................................................................... (candidate)</w:t>
      </w:r>
      <w:r>
        <w:rPr>
          <w:rFonts w:ascii="Times New Roman" w:hAnsi="Times New Roman" w:cs="Times New Roman"/>
          <w:spacing w:val="-2"/>
          <w:sz w:val="22"/>
          <w:szCs w:val="22"/>
        </w:rPr>
        <w:tab/>
      </w:r>
    </w:p>
    <w:p w14:paraId="7A722F60">
      <w:pPr>
        <w:spacing w:before="120" w:after="240" w:line="360" w:lineRule="auto"/>
        <w:ind w:left="720"/>
        <w:jc w:val="both"/>
        <w:rPr>
          <w:rFonts w:ascii="Times New Roman" w:hAnsi="Times New Roman" w:cs="Times New Roman"/>
          <w:spacing w:val="-2"/>
          <w:sz w:val="22"/>
          <w:szCs w:val="22"/>
        </w:rPr>
      </w:pPr>
      <w:r>
        <w:rPr>
          <w:rFonts w:ascii="Times New Roman" w:hAnsi="Times New Roman" w:cs="Times New Roman"/>
          <w:spacing w:val="-2"/>
          <w:sz w:val="22"/>
          <w:szCs w:val="22"/>
        </w:rPr>
        <w:t>Date ..............</w:t>
      </w:r>
      <w:r>
        <w:rPr>
          <w:rFonts w:hint="eastAsia" w:ascii="Times New Roman" w:hAnsi="Times New Roman" w:cs="Times New Roman"/>
          <w:sz w:val="28"/>
          <w:szCs w:val="8"/>
          <w:lang w:val="en-US"/>
        </w:rPr>
        <w:t>2024.9.27</w:t>
      </w:r>
      <w:r>
        <w:rPr>
          <w:rFonts w:ascii="Times New Roman" w:hAnsi="Times New Roman" w:cs="Times New Roman"/>
          <w:spacing w:val="-2"/>
          <w:sz w:val="22"/>
          <w:szCs w:val="22"/>
        </w:rPr>
        <w:t>..........................................................</w:t>
      </w:r>
    </w:p>
    <w:p w14:paraId="09907016">
      <w:pPr>
        <w:spacing w:before="120" w:after="240" w:line="360" w:lineRule="auto"/>
        <w:jc w:val="both"/>
        <w:rPr>
          <w:rFonts w:ascii="Times New Roman" w:hAnsi="Times New Roman" w:cs="Times New Roman"/>
          <w:spacing w:val="-2"/>
          <w:sz w:val="22"/>
          <w:szCs w:val="22"/>
        </w:rPr>
      </w:pPr>
      <w:r>
        <w:rPr>
          <w:rFonts w:ascii="Times New Roman" w:hAnsi="Times New Roman" w:cs="Times New Roman"/>
          <w:spacing w:val="-2"/>
          <w:sz w:val="22"/>
          <w:szCs w:val="22"/>
        </w:rPr>
        <w:t>STATEMENT 2</w:t>
      </w:r>
      <w:r>
        <w:rPr>
          <w:rFonts w:ascii="Times New Roman" w:hAnsi="Times New Roman" w:cs="Times New Roman"/>
          <w:spacing w:val="-2"/>
          <w:sz w:val="22"/>
          <w:szCs w:val="22"/>
        </w:rPr>
        <w:tab/>
      </w:r>
    </w:p>
    <w:p w14:paraId="0528B95D">
      <w:pPr>
        <w:spacing w:before="120" w:after="240" w:line="360" w:lineRule="auto"/>
        <w:ind w:left="720"/>
        <w:jc w:val="both"/>
        <w:rPr>
          <w:rFonts w:ascii="Times New Roman" w:hAnsi="Times New Roman" w:cs="Times New Roman"/>
          <w:spacing w:val="-2"/>
          <w:sz w:val="22"/>
          <w:szCs w:val="22"/>
        </w:rPr>
      </w:pPr>
      <w:r>
        <w:rPr>
          <w:rFonts w:ascii="宋体" w:hAnsi="宋体" w:eastAsia="宋体" w:cs="宋体"/>
          <w:sz w:val="24"/>
          <w:szCs w:val="24"/>
        </w:rPr>
        <w:drawing>
          <wp:anchor distT="0" distB="0" distL="114300" distR="114300" simplePos="0" relativeHeight="251661312" behindDoc="1" locked="0" layoutInCell="1" allowOverlap="1">
            <wp:simplePos x="0" y="0"/>
            <wp:positionH relativeFrom="column">
              <wp:posOffset>998220</wp:posOffset>
            </wp:positionH>
            <wp:positionV relativeFrom="paragraph">
              <wp:posOffset>524510</wp:posOffset>
            </wp:positionV>
            <wp:extent cx="1604645" cy="399415"/>
            <wp:effectExtent l="0" t="0" r="0" b="635"/>
            <wp:wrapNone/>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9"/>
                    <a:stretch>
                      <a:fillRect/>
                    </a:stretch>
                  </pic:blipFill>
                  <pic:spPr>
                    <a:xfrm>
                      <a:off x="0" y="0"/>
                      <a:ext cx="1604645" cy="399415"/>
                    </a:xfrm>
                    <a:prstGeom prst="rect">
                      <a:avLst/>
                    </a:prstGeom>
                    <a:noFill/>
                    <a:ln w="9525">
                      <a:noFill/>
                    </a:ln>
                  </pic:spPr>
                </pic:pic>
              </a:graphicData>
            </a:graphic>
          </wp:anchor>
        </w:drawing>
      </w:r>
      <w:r>
        <w:rPr>
          <w:rFonts w:ascii="Times New Roman" w:hAnsi="Times New Roman" w:cs="Times New Roman"/>
          <w:spacing w:val="-2"/>
          <w:sz w:val="22"/>
          <w:szCs w:val="22"/>
        </w:rPr>
        <w:t>I hereby give consent for my work, if accepted, to be available for photocopying and for inter-library loan, and for the title and summary to be made available to outside organisations.</w:t>
      </w:r>
      <w:r>
        <w:rPr>
          <w:rFonts w:ascii="Times New Roman" w:hAnsi="Times New Roman" w:cs="Times New Roman"/>
          <w:spacing w:val="-2"/>
          <w:sz w:val="22"/>
          <w:szCs w:val="22"/>
        </w:rPr>
        <w:tab/>
      </w:r>
    </w:p>
    <w:p w14:paraId="065BCF33">
      <w:pPr>
        <w:spacing w:before="120" w:after="240" w:line="360" w:lineRule="auto"/>
        <w:ind w:left="720"/>
        <w:jc w:val="both"/>
        <w:rPr>
          <w:rFonts w:ascii="Times New Roman" w:hAnsi="Times New Roman" w:cs="Times New Roman"/>
          <w:spacing w:val="-2"/>
          <w:sz w:val="22"/>
          <w:szCs w:val="22"/>
        </w:rPr>
      </w:pPr>
      <w:r>
        <w:rPr>
          <w:rFonts w:ascii="Times New Roman" w:hAnsi="Times New Roman" w:cs="Times New Roman"/>
          <w:spacing w:val="-2"/>
          <w:sz w:val="22"/>
          <w:szCs w:val="22"/>
        </w:rPr>
        <w:t>Signed ..................................................................... (candidate)</w:t>
      </w:r>
      <w:r>
        <w:rPr>
          <w:rFonts w:ascii="Times New Roman" w:hAnsi="Times New Roman" w:cs="Times New Roman"/>
          <w:spacing w:val="-2"/>
          <w:sz w:val="22"/>
          <w:szCs w:val="22"/>
        </w:rPr>
        <w:tab/>
      </w:r>
    </w:p>
    <w:p w14:paraId="0B2883AA">
      <w:pPr>
        <w:spacing w:before="120" w:after="240" w:line="360" w:lineRule="auto"/>
        <w:ind w:left="720"/>
        <w:jc w:val="both"/>
        <w:rPr>
          <w:rFonts w:ascii="Times New Roman" w:hAnsi="Times New Roman" w:cs="Times New Roman"/>
          <w:spacing w:val="-2"/>
          <w:sz w:val="22"/>
          <w:szCs w:val="22"/>
        </w:rPr>
      </w:pPr>
      <w:r>
        <w:rPr>
          <w:rFonts w:ascii="Times New Roman" w:hAnsi="Times New Roman" w:cs="Times New Roman"/>
          <w:spacing w:val="-2"/>
          <w:sz w:val="22"/>
          <w:szCs w:val="22"/>
        </w:rPr>
        <w:t>Date ...............</w:t>
      </w:r>
      <w:r>
        <w:rPr>
          <w:rFonts w:hint="eastAsia" w:ascii="Times New Roman" w:hAnsi="Times New Roman" w:cs="Times New Roman"/>
          <w:sz w:val="28"/>
          <w:szCs w:val="8"/>
          <w:lang w:val="en-US"/>
        </w:rPr>
        <w:t>2024.9.27</w:t>
      </w:r>
      <w:r>
        <w:rPr>
          <w:rFonts w:ascii="Times New Roman" w:hAnsi="Times New Roman" w:cs="Times New Roman"/>
          <w:spacing w:val="-2"/>
          <w:sz w:val="22"/>
          <w:szCs w:val="22"/>
        </w:rPr>
        <w:t>.........................................................</w:t>
      </w:r>
    </w:p>
    <w:p w14:paraId="2C4FC3B6">
      <w:pPr>
        <w:spacing w:before="120" w:after="240" w:line="360" w:lineRule="auto"/>
        <w:jc w:val="both"/>
        <w:rPr>
          <w:rFonts w:ascii="Times New Roman" w:hAnsi="Times New Roman" w:cs="Times New Roman"/>
          <w:spacing w:val="-2"/>
          <w:sz w:val="22"/>
          <w:szCs w:val="22"/>
        </w:rPr>
      </w:pPr>
    </w:p>
    <w:p w14:paraId="0B13E461">
      <w:pPr>
        <w:spacing w:before="120" w:after="240" w:line="360" w:lineRule="auto"/>
        <w:jc w:val="both"/>
        <w:rPr>
          <w:rFonts w:ascii="Times New Roman" w:hAnsi="Times New Roman" w:cs="Times New Roman"/>
          <w:spacing w:val="-2"/>
          <w:sz w:val="22"/>
          <w:szCs w:val="22"/>
        </w:rPr>
      </w:pPr>
    </w:p>
    <w:p w14:paraId="152D06C0">
      <w:pPr>
        <w:spacing w:before="120" w:after="240" w:line="360" w:lineRule="auto"/>
        <w:jc w:val="both"/>
        <w:rPr>
          <w:rFonts w:ascii="Times New Roman" w:hAnsi="Times New Roman" w:cs="Times New Roman"/>
          <w:spacing w:val="-2"/>
          <w:sz w:val="22"/>
          <w:szCs w:val="22"/>
        </w:rPr>
      </w:pPr>
    </w:p>
    <w:p w14:paraId="7B68BF59">
      <w:pPr>
        <w:spacing w:before="120" w:after="240" w:line="360" w:lineRule="auto"/>
        <w:jc w:val="both"/>
        <w:rPr>
          <w:rFonts w:ascii="Times New Roman" w:hAnsi="Times New Roman" w:cs="Times New Roman"/>
          <w:spacing w:val="-2"/>
          <w:sz w:val="22"/>
          <w:szCs w:val="22"/>
        </w:rPr>
      </w:pPr>
    </w:p>
    <w:p w14:paraId="7C81C419">
      <w:pPr>
        <w:pStyle w:val="2"/>
        <w:spacing w:before="120" w:after="240" w:line="360" w:lineRule="auto"/>
        <w:jc w:val="both"/>
        <w:rPr>
          <w:rFonts w:ascii="Times New Roman" w:hAnsi="Times New Roman" w:cs="Times New Roman"/>
        </w:rPr>
      </w:pPr>
      <w:bookmarkStart w:id="4" w:name="_Toc178258245"/>
      <w:r>
        <w:rPr>
          <w:rFonts w:ascii="Times New Roman" w:hAnsi="Times New Roman" w:cs="Times New Roman"/>
        </w:rPr>
        <w:t>Notice of Candidature Form</w:t>
      </w:r>
      <w:bookmarkEnd w:id="4"/>
    </w:p>
    <w:tbl>
      <w:tblPr>
        <w:tblStyle w:val="22"/>
        <w:tblW w:w="0" w:type="auto"/>
        <w:tblInd w:w="0" w:type="dxa"/>
        <w:tblLayout w:type="fixed"/>
        <w:tblCellMar>
          <w:top w:w="0" w:type="dxa"/>
          <w:left w:w="120" w:type="dxa"/>
          <w:bottom w:w="0" w:type="dxa"/>
          <w:right w:w="120" w:type="dxa"/>
        </w:tblCellMar>
      </w:tblPr>
      <w:tblGrid>
        <w:gridCol w:w="9812"/>
      </w:tblGrid>
      <w:tr w14:paraId="5A5FEF77">
        <w:tblPrEx>
          <w:tblCellMar>
            <w:top w:w="0" w:type="dxa"/>
            <w:left w:w="120" w:type="dxa"/>
            <w:bottom w:w="0" w:type="dxa"/>
            <w:right w:w="120" w:type="dxa"/>
          </w:tblCellMar>
        </w:tblPrEx>
        <w:trPr>
          <w:cantSplit/>
          <w:trHeight w:val="1134" w:hRule="atLeast"/>
        </w:trPr>
        <w:tc>
          <w:tcPr>
            <w:tcW w:w="9812" w:type="dxa"/>
            <w:tcBorders>
              <w:top w:val="double" w:color="auto" w:sz="6" w:space="0"/>
              <w:left w:val="double" w:color="auto" w:sz="6" w:space="0"/>
              <w:bottom w:val="double" w:color="auto" w:sz="6" w:space="0"/>
              <w:right w:val="double" w:color="auto" w:sz="6" w:space="0"/>
            </w:tcBorders>
          </w:tcPr>
          <w:p w14:paraId="194CDC36">
            <w:pPr>
              <w:tabs>
                <w:tab w:val="center" w:pos="4786"/>
              </w:tabs>
              <w:suppressAutoHyphens/>
              <w:spacing w:before="120" w:after="240" w:line="360" w:lineRule="auto"/>
              <w:jc w:val="both"/>
              <w:rPr>
                <w:rFonts w:ascii="Times New Roman" w:hAnsi="Times New Roman" w:cs="Times New Roman"/>
                <w:b/>
                <w:spacing w:val="-2"/>
              </w:rPr>
            </w:pPr>
            <w:r>
              <w:rPr>
                <w:rFonts w:ascii="Times New Roman" w:hAnsi="Times New Roman" w:cs="Times New Roman"/>
                <w:b/>
                <w:spacing w:val="-2"/>
              </w:rPr>
              <w:t xml:space="preserve">EXAMINATION OF TAUGHT MASTER'S DEGREE DISSERTATION: </w:t>
            </w:r>
          </w:p>
          <w:p w14:paraId="34A8B11A">
            <w:pPr>
              <w:spacing w:before="120" w:after="240" w:line="360" w:lineRule="auto"/>
              <w:jc w:val="both"/>
              <w:rPr>
                <w:rFonts w:ascii="Times New Roman" w:hAnsi="Times New Roman" w:cs="Times New Roman"/>
              </w:rPr>
            </w:pPr>
            <w:r>
              <w:rPr>
                <w:rFonts w:ascii="Times New Roman" w:hAnsi="Times New Roman" w:cs="Times New Roman"/>
                <w:b/>
                <w:spacing w:val="-2"/>
              </w:rPr>
              <w:t>NOTICE OF CANDIDATURE FORM</w:t>
            </w:r>
            <w:r>
              <w:rPr>
                <w:rFonts w:ascii="Times New Roman" w:hAnsi="Times New Roman" w:cs="Times New Roman"/>
                <w:vanish/>
                <w:spacing w:val="-2"/>
                <w:sz w:val="22"/>
                <w:szCs w:val="22"/>
              </w:rPr>
              <w:fldChar w:fldCharType="begin"/>
            </w:r>
            <w:r>
              <w:rPr>
                <w:rFonts w:ascii="Times New Roman" w:hAnsi="Times New Roman" w:cs="Times New Roman"/>
                <w:vanish/>
                <w:spacing w:val="-2"/>
                <w:sz w:val="22"/>
                <w:szCs w:val="22"/>
              </w:rPr>
              <w:instrText xml:space="preserve">seq Text_Box  \* Arabic</w:instrText>
            </w:r>
            <w:r>
              <w:rPr>
                <w:rFonts w:ascii="Times New Roman" w:hAnsi="Times New Roman" w:cs="Times New Roman"/>
                <w:vanish/>
                <w:spacing w:val="-2"/>
                <w:sz w:val="22"/>
                <w:szCs w:val="22"/>
              </w:rPr>
              <w:fldChar w:fldCharType="separate"/>
            </w:r>
            <w:r>
              <w:rPr>
                <w:rFonts w:ascii="Times New Roman" w:hAnsi="Times New Roman" w:cs="Times New Roman"/>
                <w:vanish/>
                <w:spacing w:val="-2"/>
                <w:sz w:val="22"/>
                <w:szCs w:val="22"/>
              </w:rPr>
              <w:t>1</w:t>
            </w:r>
            <w:r>
              <w:rPr>
                <w:rFonts w:ascii="Times New Roman" w:hAnsi="Times New Roman" w:cs="Times New Roman"/>
                <w:vanish/>
                <w:spacing w:val="-2"/>
                <w:sz w:val="22"/>
                <w:szCs w:val="22"/>
              </w:rPr>
              <w:fldChar w:fldCharType="end"/>
            </w:r>
          </w:p>
          <w:p w14:paraId="469EEFBD">
            <w:pPr>
              <w:tabs>
                <w:tab w:val="left" w:pos="-720"/>
              </w:tabs>
              <w:suppressAutoHyphens/>
              <w:spacing w:before="120" w:after="240" w:line="360" w:lineRule="auto"/>
              <w:jc w:val="both"/>
              <w:rPr>
                <w:rFonts w:ascii="Times New Roman" w:hAnsi="Times New Roman" w:cs="Times New Roman"/>
                <w:spacing w:val="-2"/>
              </w:rPr>
            </w:pPr>
            <w:r>
              <w:rPr>
                <w:rFonts w:ascii="Times New Roman" w:hAnsi="Times New Roman" w:cs="Times New Roman"/>
                <w:spacing w:val="-2"/>
              </w:rPr>
              <w:t xml:space="preserve">Please complete this form when your dissertation is ready to be submitted for examination.  </w:t>
            </w:r>
          </w:p>
        </w:tc>
      </w:tr>
      <w:tr w14:paraId="4DFD3A33">
        <w:tblPrEx>
          <w:tblCellMar>
            <w:top w:w="0" w:type="dxa"/>
            <w:left w:w="120" w:type="dxa"/>
            <w:bottom w:w="0" w:type="dxa"/>
            <w:right w:w="120" w:type="dxa"/>
          </w:tblCellMar>
        </w:tblPrEx>
        <w:tc>
          <w:tcPr>
            <w:tcW w:w="9812" w:type="dxa"/>
            <w:tcBorders>
              <w:top w:val="double" w:color="auto" w:sz="6" w:space="0"/>
              <w:left w:val="double" w:color="auto" w:sz="6" w:space="0"/>
              <w:bottom w:val="single" w:color="auto" w:sz="4" w:space="0"/>
              <w:right w:val="double" w:color="auto" w:sz="6" w:space="0"/>
            </w:tcBorders>
          </w:tcPr>
          <w:p w14:paraId="2D727ED9">
            <w:pPr>
              <w:tabs>
                <w:tab w:val="right" w:leader="dot" w:pos="7200"/>
                <w:tab w:val="right" w:leader="dot" w:pos="9571"/>
              </w:tabs>
              <w:suppressAutoHyphens/>
              <w:spacing w:before="120" w:after="240" w:line="360" w:lineRule="auto"/>
              <w:jc w:val="both"/>
              <w:rPr>
                <w:rFonts w:ascii="Times New Roman" w:hAnsi="Times New Roman" w:cs="Times New Roman"/>
                <w:spacing w:val="-2"/>
              </w:rPr>
            </w:pPr>
            <w:bookmarkStart w:id="5" w:name="OLE_LINK2"/>
            <w:r>
              <w:rPr>
                <w:rFonts w:ascii="Times New Roman" w:hAnsi="Times New Roman" w:cs="Times New Roman"/>
                <w:spacing w:val="-2"/>
              </w:rPr>
              <w:t>Surname/Family Name</w:t>
            </w:r>
            <w:r>
              <w:rPr>
                <w:rFonts w:hint="eastAsia" w:ascii="Times New Roman" w:hAnsi="Times New Roman" w:cs="Times New Roman"/>
                <w:spacing w:val="-2"/>
                <w:lang w:val="en-US"/>
              </w:rPr>
              <w:t xml:space="preserve"> </w:t>
            </w:r>
            <w:r>
              <w:rPr>
                <w:rFonts w:hint="eastAsia" w:ascii="Times New Roman" w:hAnsi="Times New Roman" w:cs="Times New Roman"/>
                <w:spacing w:val="-2"/>
                <w:u w:val="dotted"/>
                <w:lang w:val="en-US"/>
              </w:rPr>
              <w:t xml:space="preserve">     Qi</w:t>
            </w:r>
            <w:r>
              <w:rPr>
                <w:rFonts w:hint="eastAsia" w:ascii="Times New Roman" w:hAnsi="Times New Roman" w:cs="Times New Roman"/>
                <w:spacing w:val="-2"/>
                <w:u w:val="dotted"/>
              </w:rPr>
              <w:t xml:space="preserve">                  </w:t>
            </w:r>
            <w:r>
              <w:rPr>
                <w:rFonts w:ascii="Times New Roman" w:hAnsi="Times New Roman" w:cs="Times New Roman"/>
                <w:spacing w:val="-2"/>
              </w:rPr>
              <w:t xml:space="preserve"> Date of Birth</w:t>
            </w:r>
            <w:r>
              <w:rPr>
                <w:rFonts w:hint="eastAsia" w:ascii="Times New Roman" w:hAnsi="Times New Roman" w:cs="Times New Roman"/>
                <w:spacing w:val="-2"/>
              </w:rPr>
              <w:t xml:space="preserve"> </w:t>
            </w:r>
            <w:r>
              <w:rPr>
                <w:rFonts w:hint="eastAsia" w:ascii="Times New Roman" w:hAnsi="Times New Roman" w:cs="Times New Roman"/>
                <w:spacing w:val="-2"/>
                <w:u w:val="dotted"/>
              </w:rPr>
              <w:t xml:space="preserve">  2001.03.18</w:t>
            </w:r>
            <w:r>
              <w:rPr>
                <w:rFonts w:ascii="Times New Roman" w:hAnsi="Times New Roman" w:cs="Times New Roman"/>
                <w:spacing w:val="-2"/>
              </w:rPr>
              <w:tab/>
            </w:r>
            <w:r>
              <w:rPr>
                <w:rFonts w:ascii="Times New Roman" w:hAnsi="Times New Roman" w:cs="Times New Roman"/>
                <w:spacing w:val="-2"/>
              </w:rPr>
              <w:t xml:space="preserve"> </w:t>
            </w:r>
          </w:p>
          <w:p w14:paraId="1C7923C6">
            <w:pPr>
              <w:tabs>
                <w:tab w:val="right" w:leader="dot" w:pos="7200"/>
                <w:tab w:val="right" w:leader="dot" w:pos="9571"/>
              </w:tabs>
              <w:suppressAutoHyphens/>
              <w:spacing w:before="120" w:after="240" w:line="360" w:lineRule="auto"/>
              <w:jc w:val="both"/>
              <w:rPr>
                <w:rFonts w:ascii="Times New Roman" w:hAnsi="Times New Roman" w:cs="Times New Roman"/>
                <w:spacing w:val="-2"/>
              </w:rPr>
            </w:pPr>
            <w:r>
              <w:rPr>
                <w:rFonts w:ascii="Times New Roman" w:hAnsi="Times New Roman" w:cs="Times New Roman"/>
                <w:spacing w:val="-2"/>
              </w:rPr>
              <w:t>Forenames (in full)</w:t>
            </w:r>
            <w:r>
              <w:rPr>
                <w:rFonts w:hint="eastAsia" w:ascii="Times New Roman" w:hAnsi="Times New Roman" w:cs="Times New Roman"/>
                <w:spacing w:val="-2"/>
              </w:rPr>
              <w:t xml:space="preserve"> </w:t>
            </w:r>
            <w:r>
              <w:rPr>
                <w:rFonts w:hint="eastAsia" w:ascii="Times New Roman" w:hAnsi="Times New Roman" w:cs="Times New Roman"/>
                <w:spacing w:val="-2"/>
                <w:u w:val="dotted"/>
              </w:rPr>
              <w:t xml:space="preserve">       Huiwen      </w:t>
            </w:r>
            <w:r>
              <w:rPr>
                <w:rFonts w:hint="eastAsia" w:ascii="Times New Roman" w:hAnsi="Times New Roman" w:cs="Times New Roman"/>
                <w:spacing w:val="-2"/>
              </w:rPr>
              <w:t xml:space="preserve"> </w:t>
            </w:r>
            <w:r>
              <w:rPr>
                <w:rFonts w:ascii="Times New Roman" w:hAnsi="Times New Roman" w:cs="Times New Roman"/>
                <w:spacing w:val="-2"/>
              </w:rPr>
              <w:t>Title</w:t>
            </w:r>
            <w:r>
              <w:rPr>
                <w:rFonts w:hint="eastAsia" w:ascii="Times New Roman" w:hAnsi="Times New Roman" w:cs="Times New Roman"/>
                <w:spacing w:val="-2"/>
                <w:lang w:val="en-US" w:eastAsia="zh-CN"/>
              </w:rPr>
              <w:t xml:space="preserve"> </w:t>
            </w:r>
            <w:r>
              <w:rPr>
                <w:rFonts w:hint="eastAsia" w:ascii="Times New Roman" w:hAnsi="Times New Roman" w:cs="Times New Roman"/>
                <w:spacing w:val="-2"/>
                <w:u w:val="dotted"/>
                <w:lang w:val="en-US" w:eastAsia="zh-CN"/>
              </w:rPr>
              <w:t xml:space="preserve"> </w:t>
            </w:r>
            <w:r>
              <w:rPr>
                <w:rFonts w:ascii="Times New Roman" w:hAnsi="Times New Roman" w:cs="Times New Roman"/>
                <w:spacing w:val="-2"/>
                <w:u w:val="dotted"/>
              </w:rPr>
              <w:t>The Impacts of big data capabilities on Chinese enterprise performance - An empirical study</w:t>
            </w:r>
            <w:r>
              <w:rPr>
                <w:rFonts w:ascii="Times New Roman" w:hAnsi="Times New Roman" w:cs="Times New Roman"/>
                <w:spacing w:val="-2"/>
              </w:rPr>
              <w:tab/>
            </w:r>
            <w:r>
              <w:rPr>
                <w:rFonts w:ascii="Times New Roman" w:hAnsi="Times New Roman" w:cs="Times New Roman"/>
                <w:spacing w:val="-2"/>
              </w:rPr>
              <w:t xml:space="preserve">      </w:t>
            </w:r>
          </w:p>
          <w:p w14:paraId="6E5E2DB5">
            <w:pPr>
              <w:tabs>
                <w:tab w:val="right" w:leader="dot" w:pos="9571"/>
              </w:tabs>
              <w:suppressAutoHyphens/>
              <w:spacing w:before="120" w:after="240" w:line="360" w:lineRule="auto"/>
              <w:jc w:val="both"/>
              <w:rPr>
                <w:rFonts w:ascii="Times New Roman" w:hAnsi="Times New Roman" w:cs="Times New Roman"/>
                <w:spacing w:val="-2"/>
              </w:rPr>
            </w:pPr>
            <w:r>
              <w:rPr>
                <w:rFonts w:ascii="Times New Roman" w:hAnsi="Times New Roman" w:cs="Times New Roman"/>
                <w:spacing w:val="-2"/>
              </w:rPr>
              <w:t>Institution Number (if known)</w:t>
            </w:r>
            <w:r>
              <w:rPr>
                <w:rFonts w:hint="eastAsia" w:ascii="Times New Roman" w:hAnsi="Times New Roman" w:cs="Times New Roman"/>
                <w:spacing w:val="-2"/>
                <w:u w:val="dotted"/>
                <w:lang w:val="en-US" w:eastAsia="zh-CN"/>
              </w:rPr>
              <w:t xml:space="preserve">        BMMB7003</w:t>
            </w:r>
            <w:r>
              <w:rPr>
                <w:rFonts w:ascii="Times New Roman" w:hAnsi="Times New Roman" w:cs="Times New Roman"/>
                <w:spacing w:val="-2"/>
              </w:rPr>
              <w:tab/>
            </w:r>
          </w:p>
          <w:p w14:paraId="2E0C5D3C">
            <w:pPr>
              <w:tabs>
                <w:tab w:val="right" w:leader="dot" w:pos="9571"/>
              </w:tabs>
              <w:suppressAutoHyphens/>
              <w:spacing w:before="120" w:after="240" w:line="360" w:lineRule="auto"/>
              <w:jc w:val="both"/>
              <w:rPr>
                <w:rFonts w:ascii="Times New Roman" w:hAnsi="Times New Roman" w:cs="Times New Roman"/>
                <w:spacing w:val="-2"/>
              </w:rPr>
            </w:pPr>
            <w:r>
              <w:rPr>
                <w:rFonts w:ascii="Times New Roman" w:hAnsi="Times New Roman" w:cs="Times New Roman"/>
                <w:spacing w:val="-2"/>
              </w:rPr>
              <w:t>Title of Degree (eg MA, MSc, MBA etc)........................</w:t>
            </w:r>
            <w:r>
              <w:rPr>
                <w:rFonts w:hint="eastAsia" w:ascii="Times New Roman" w:hAnsi="Times New Roman" w:cs="Times New Roman"/>
                <w:spacing w:val="-2"/>
              </w:rPr>
              <w:t>MBA</w:t>
            </w:r>
            <w:r>
              <w:rPr>
                <w:rFonts w:ascii="Times New Roman" w:hAnsi="Times New Roman" w:cs="Times New Roman"/>
                <w:spacing w:val="-2"/>
              </w:rPr>
              <w:t>.........................................................................</w:t>
            </w:r>
          </w:p>
          <w:p w14:paraId="2B61909A">
            <w:pPr>
              <w:tabs>
                <w:tab w:val="right" w:leader="dot" w:pos="10528"/>
              </w:tabs>
              <w:suppressAutoHyphens/>
              <w:spacing w:before="120" w:after="240" w:line="360" w:lineRule="auto"/>
              <w:jc w:val="both"/>
              <w:rPr>
                <w:rFonts w:hint="eastAsia" w:ascii="Times New Roman" w:hAnsi="Times New Roman" w:cs="Times New Roman" w:eastAsiaTheme="minorEastAsia"/>
                <w:spacing w:val="-2"/>
                <w:lang w:val="en-US" w:eastAsia="zh-CN"/>
              </w:rPr>
            </w:pPr>
            <w:r>
              <w:rPr>
                <w:rFonts w:ascii="Times New Roman" w:hAnsi="Times New Roman" w:cs="Times New Roman"/>
                <w:spacing w:val="-2"/>
              </w:rPr>
              <w:t>Title of Taught Master's degree scheme followed (eg Equine Studies)</w:t>
            </w:r>
            <w:r>
              <w:rPr>
                <w:rFonts w:hint="eastAsia" w:ascii="Times New Roman" w:hAnsi="Times New Roman" w:cs="Times New Roman"/>
                <w:spacing w:val="-2"/>
                <w:lang w:val="en-US" w:eastAsia="zh-CN"/>
              </w:rPr>
              <w:t xml:space="preserve"> </w:t>
            </w:r>
            <w:r>
              <w:rPr>
                <w:rFonts w:hint="eastAsia" w:ascii="Times New Roman" w:hAnsi="Times New Roman" w:cs="Times New Roman"/>
                <w:spacing w:val="-2"/>
                <w:u w:val="dotted"/>
                <w:lang w:val="en-US" w:eastAsia="zh-CN"/>
              </w:rPr>
              <w:t xml:space="preserve">    Master</w:t>
            </w:r>
            <w:r>
              <w:rPr>
                <w:rFonts w:ascii="Times New Roman" w:hAnsi="Times New Roman" w:cs="Times New Roman"/>
                <w:spacing w:val="-2"/>
                <w:u w:val="dotted"/>
              </w:rPr>
              <w:t xml:space="preserve"> </w:t>
            </w:r>
            <w:r>
              <w:rPr>
                <w:rFonts w:hint="eastAsia" w:ascii="Times New Roman" w:hAnsi="Times New Roman" w:cs="Times New Roman"/>
                <w:spacing w:val="-2"/>
                <w:u w:val="dotted"/>
                <w:lang w:val="en-US" w:eastAsia="zh-CN"/>
              </w:rPr>
              <w:t xml:space="preserve">of </w:t>
            </w:r>
            <w:r>
              <w:rPr>
                <w:rFonts w:ascii="Times New Roman" w:hAnsi="Times New Roman" w:cs="Times New Roman"/>
                <w:spacing w:val="-2"/>
                <w:u w:val="dotted"/>
              </w:rPr>
              <w:t xml:space="preserve">Business </w:t>
            </w:r>
            <w:r>
              <w:rPr>
                <w:rFonts w:hint="eastAsia" w:ascii="Times New Roman" w:hAnsi="Times New Roman" w:cs="Times New Roman"/>
                <w:spacing w:val="-2"/>
                <w:u w:val="dotted"/>
                <w:lang w:val="en-US" w:eastAsia="zh-CN"/>
              </w:rPr>
              <w:t xml:space="preserve">Administration </w:t>
            </w:r>
            <w:r>
              <w:rPr>
                <w:rFonts w:ascii="Times New Roman" w:hAnsi="Times New Roman" w:cs="Times New Roman"/>
                <w:spacing w:val="-2"/>
              </w:rPr>
              <w:tab/>
            </w:r>
            <w:r>
              <w:rPr>
                <w:rFonts w:hint="eastAsia" w:ascii="Times New Roman" w:hAnsi="Times New Roman" w:cs="Times New Roman"/>
                <w:spacing w:val="-2"/>
                <w:lang w:val="en-US" w:eastAsia="zh-CN"/>
              </w:rPr>
              <w:t xml:space="preserve"> </w:t>
            </w:r>
          </w:p>
          <w:p w14:paraId="58F53A90">
            <w:pPr>
              <w:tabs>
                <w:tab w:val="right" w:leader="dot" w:pos="10528"/>
              </w:tabs>
              <w:suppressAutoHyphens/>
              <w:spacing w:before="120" w:after="240" w:line="360" w:lineRule="auto"/>
              <w:jc w:val="both"/>
              <w:rPr>
                <w:rFonts w:ascii="Times New Roman" w:hAnsi="Times New Roman" w:cs="Times New Roman"/>
                <w:spacing w:val="-2"/>
              </w:rPr>
            </w:pPr>
            <w:r>
              <w:rPr>
                <w:rFonts w:ascii="Times New Roman" w:hAnsi="Times New Roman" w:cs="Times New Roman"/>
                <w:spacing w:val="-2"/>
              </w:rPr>
              <w:tab/>
            </w:r>
          </w:p>
          <w:p w14:paraId="780C1871">
            <w:pPr>
              <w:tabs>
                <w:tab w:val="right" w:leader="dot" w:pos="9571"/>
              </w:tabs>
              <w:suppressAutoHyphens/>
              <w:spacing w:before="120" w:after="240" w:line="360" w:lineRule="auto"/>
              <w:jc w:val="both"/>
              <w:rPr>
                <w:rFonts w:hint="eastAsia" w:ascii="Times New Roman" w:hAnsi="Times New Roman" w:cs="Times New Roman"/>
                <w:spacing w:val="-2"/>
                <w:u w:val="dotted"/>
                <w:lang w:val="en-US" w:eastAsia="zh-CN"/>
              </w:rPr>
            </w:pPr>
            <w:r>
              <w:rPr>
                <w:rFonts w:ascii="Times New Roman" w:hAnsi="Times New Roman" w:cs="Times New Roman"/>
                <w:spacing w:val="-2"/>
              </w:rPr>
              <w:t>Department/School in which study pursued</w:t>
            </w:r>
            <w:r>
              <w:rPr>
                <w:rFonts w:hint="eastAsia" w:ascii="Times New Roman" w:hAnsi="Times New Roman" w:cs="Times New Roman"/>
                <w:spacing w:val="-2"/>
                <w:lang w:val="en-US" w:eastAsia="zh-CN"/>
              </w:rPr>
              <w:t xml:space="preserve"> </w:t>
            </w:r>
            <w:r>
              <w:rPr>
                <w:rFonts w:hint="eastAsia" w:ascii="Times New Roman" w:hAnsi="Times New Roman" w:cs="Times New Roman"/>
                <w:spacing w:val="-2"/>
                <w:u w:val="dotted"/>
                <w:lang w:val="en-US" w:eastAsia="zh-CN"/>
              </w:rPr>
              <w:t xml:space="preserve">   The University of Wales Trinity Saint David (the Institute of</w:t>
            </w:r>
          </w:p>
          <w:p w14:paraId="52D47F40">
            <w:pPr>
              <w:tabs>
                <w:tab w:val="right" w:leader="dot" w:pos="9571"/>
              </w:tabs>
              <w:suppressAutoHyphens/>
              <w:spacing w:before="120" w:after="240" w:line="360" w:lineRule="auto"/>
              <w:jc w:val="both"/>
              <w:rPr>
                <w:rFonts w:ascii="Times New Roman" w:hAnsi="Times New Roman" w:cs="Times New Roman"/>
                <w:spacing w:val="-2"/>
              </w:rPr>
            </w:pPr>
            <w:r>
              <w:rPr>
                <w:rFonts w:hint="eastAsia" w:ascii="Times New Roman" w:hAnsi="Times New Roman" w:cs="Times New Roman"/>
                <w:spacing w:val="-2"/>
                <w:u w:val="dotted"/>
                <w:lang w:val="en-US" w:eastAsia="zh-CN"/>
              </w:rPr>
              <w:t>Management and Health).</w:t>
            </w:r>
            <w:r>
              <w:rPr>
                <w:rFonts w:ascii="Times New Roman" w:hAnsi="Times New Roman" w:cs="Times New Roman"/>
                <w:spacing w:val="-2"/>
              </w:rPr>
              <w:tab/>
            </w:r>
          </w:p>
          <w:p w14:paraId="3D22AB64">
            <w:pPr>
              <w:tabs>
                <w:tab w:val="right" w:leader="dot" w:pos="9571"/>
              </w:tabs>
              <w:suppressAutoHyphens/>
              <w:spacing w:before="120" w:after="240" w:line="360" w:lineRule="auto"/>
              <w:jc w:val="both"/>
              <w:rPr>
                <w:rFonts w:ascii="Times New Roman" w:hAnsi="Times New Roman" w:cs="Times New Roman"/>
                <w:spacing w:val="-2"/>
              </w:rPr>
            </w:pPr>
            <w:r>
              <w:rPr>
                <w:rFonts w:ascii="Times New Roman" w:hAnsi="Times New Roman" w:cs="Times New Roman"/>
                <w:spacing w:val="-2"/>
              </w:rPr>
              <w:t>Name of your Supervisor</w:t>
            </w:r>
            <w:r>
              <w:rPr>
                <w:rFonts w:hint="eastAsia" w:ascii="Times New Roman" w:hAnsi="Times New Roman" w:cs="Times New Roman"/>
                <w:spacing w:val="-2"/>
                <w:lang w:val="en-US" w:eastAsia="zh-CN"/>
              </w:rPr>
              <w:t xml:space="preserve"> </w:t>
            </w:r>
            <w:r>
              <w:rPr>
                <w:rFonts w:hint="eastAsia" w:ascii="Times New Roman" w:hAnsi="Times New Roman" w:cs="Times New Roman"/>
                <w:spacing w:val="-2"/>
                <w:u w:val="dotted"/>
                <w:lang w:val="en-US" w:eastAsia="zh-CN"/>
              </w:rPr>
              <w:t xml:space="preserve">   Hele Lee</w:t>
            </w:r>
            <w:r>
              <w:rPr>
                <w:rFonts w:ascii="Times New Roman" w:hAnsi="Times New Roman" w:cs="Times New Roman"/>
                <w:spacing w:val="-2"/>
              </w:rPr>
              <w:tab/>
            </w:r>
          </w:p>
          <w:p w14:paraId="7615FFCE">
            <w:pPr>
              <w:tabs>
                <w:tab w:val="right" w:leader="dot" w:pos="9571"/>
              </w:tabs>
              <w:suppressAutoHyphens/>
              <w:spacing w:before="120" w:after="240" w:line="360" w:lineRule="auto"/>
              <w:jc w:val="both"/>
              <w:rPr>
                <w:rFonts w:ascii="Times New Roman" w:hAnsi="Times New Roman" w:cs="Times New Roman"/>
                <w:spacing w:val="-2"/>
              </w:rPr>
            </w:pPr>
            <w:r>
              <w:rPr>
                <w:rFonts w:ascii="Times New Roman" w:hAnsi="Times New Roman" w:cs="Times New Roman"/>
                <w:spacing w:val="-2"/>
              </w:rPr>
              <w:t>Full Title of dissertation submitted</w:t>
            </w:r>
            <w:r>
              <w:rPr>
                <w:rFonts w:hint="eastAsia" w:ascii="Times New Roman" w:hAnsi="Times New Roman" w:cs="Times New Roman"/>
                <w:spacing w:val="-2"/>
                <w:lang w:val="en-US" w:eastAsia="zh-CN"/>
              </w:rPr>
              <w:t xml:space="preserve"> </w:t>
            </w:r>
            <w:r>
              <w:rPr>
                <w:rFonts w:hint="eastAsia" w:ascii="Times New Roman" w:hAnsi="Times New Roman" w:cs="Times New Roman"/>
                <w:spacing w:val="-2"/>
                <w:u w:val="dotted"/>
                <w:lang w:val="en-US" w:eastAsia="zh-CN"/>
              </w:rPr>
              <w:t xml:space="preserve">  </w:t>
            </w:r>
            <w:r>
              <w:rPr>
                <w:rFonts w:ascii="Times New Roman" w:hAnsi="Times New Roman" w:cs="Times New Roman"/>
                <w:spacing w:val="-2"/>
                <w:u w:val="dotted"/>
              </w:rPr>
              <w:t>The Impacts of big data capabilities on Chinese enterprise performance - An empirical study</w:t>
            </w:r>
            <w:r>
              <w:rPr>
                <w:rFonts w:ascii="Times New Roman" w:hAnsi="Times New Roman" w:cs="Times New Roman"/>
                <w:spacing w:val="-2"/>
              </w:rPr>
              <w:tab/>
            </w:r>
          </w:p>
          <w:p w14:paraId="36EA1A3C">
            <w:pPr>
              <w:tabs>
                <w:tab w:val="right" w:leader="dot" w:pos="9571"/>
              </w:tabs>
              <w:suppressAutoHyphens/>
              <w:spacing w:before="120" w:after="240" w:line="360" w:lineRule="auto"/>
              <w:jc w:val="both"/>
              <w:rPr>
                <w:rFonts w:ascii="Times New Roman" w:hAnsi="Times New Roman" w:cs="Times New Roman"/>
                <w:spacing w:val="-2"/>
              </w:rPr>
            </w:pPr>
            <w:r>
              <w:rPr>
                <w:rFonts w:ascii="Times New Roman" w:hAnsi="Times New Roman" w:cs="Times New Roman"/>
                <w:spacing w:val="-2"/>
              </w:rPr>
              <w:tab/>
            </w:r>
            <w:r>
              <w:rPr>
                <w:rFonts w:ascii="Times New Roman" w:hAnsi="Times New Roman" w:cs="Times New Roman"/>
                <w:spacing w:val="-2"/>
              </w:rPr>
              <w:tab/>
            </w:r>
            <w:bookmarkEnd w:id="5"/>
            <w:r>
              <w:rPr>
                <w:rFonts w:ascii="Times New Roman" w:hAnsi="Times New Roman" w:cs="Times New Roman"/>
                <w:spacing w:val="-2"/>
              </w:rPr>
              <w:br w:type="textWrapping"/>
            </w:r>
          </w:p>
        </w:tc>
      </w:tr>
    </w:tbl>
    <w:p w14:paraId="06AE9E88">
      <w:pPr>
        <w:spacing w:before="120" w:after="240" w:line="360" w:lineRule="auto"/>
        <w:jc w:val="both"/>
        <w:rPr>
          <w:rFonts w:ascii="Times New Roman" w:hAnsi="Times New Roman" w:cs="Times New Roman" w:eastAsiaTheme="majorEastAsia"/>
          <w:sz w:val="40"/>
          <w:szCs w:val="40"/>
        </w:rPr>
      </w:pPr>
      <w:r>
        <w:rPr>
          <w:rFonts w:ascii="Times New Roman" w:hAnsi="Times New Roman" w:cs="Times New Roman"/>
        </w:rPr>
        <w:br w:type="page"/>
      </w:r>
    </w:p>
    <w:p w14:paraId="74047F60">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6" w:name="_Toc178258246"/>
      <w:r>
        <w:rPr>
          <w:rFonts w:ascii="Times New Roman" w:hAnsi="Times New Roman" w:cs="Times New Roman"/>
          <w:color w:val="000000"/>
          <w14:textFill>
            <w14:solidFill>
              <w14:srgbClr w14:val="000000">
                <w14:lumMod w14:val="85000"/>
                <w14:lumOff w14:val="15000"/>
              </w14:srgbClr>
            </w14:solidFill>
          </w14:textFill>
        </w:rPr>
        <w:t>Acknowledgement</w:t>
      </w:r>
      <w:bookmarkEnd w:id="6"/>
      <w:r>
        <w:rPr>
          <w:rFonts w:ascii="Times New Roman" w:hAnsi="Times New Roman" w:cs="Times New Roman"/>
          <w:color w:val="000000"/>
          <w14:textFill>
            <w14:solidFill>
              <w14:srgbClr w14:val="000000">
                <w14:lumMod w14:val="85000"/>
                <w14:lumOff w14:val="15000"/>
              </w14:srgbClr>
            </w14:solidFill>
          </w14:textFill>
        </w:rPr>
        <w:t xml:space="preserve"> </w:t>
      </w:r>
    </w:p>
    <w:p w14:paraId="6B977A03">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First and foremost, I would like to express my gratitude to my supervisor for her invaluable guidance and continuous support based on her professional knowledge in the area. Her insightful feedback and constructive critiques throughout the dissertation have been important in helping me develop the present dissertation. </w:t>
      </w:r>
    </w:p>
    <w:p w14:paraId="2D30B3E9">
      <w:pPr>
        <w:spacing w:before="120" w:after="240" w:line="360" w:lineRule="auto"/>
        <w:jc w:val="both"/>
        <w:rPr>
          <w:rFonts w:ascii="Times New Roman" w:hAnsi="Times New Roman" w:cs="Times New Roman"/>
          <w:sz w:val="22"/>
          <w:szCs w:val="22"/>
        </w:rPr>
      </w:pPr>
      <w:r>
        <w:rPr>
          <w:rFonts w:ascii="Times New Roman" w:hAnsi="Times New Roman" w:cs="Times New Roman"/>
          <w:sz w:val="24"/>
          <w:szCs w:val="24"/>
        </w:rPr>
        <w:t xml:space="preserve">I, then, want to extend my gratitude to my families and friends for their unconditional support during my academic journey at the University. </w:t>
      </w:r>
      <w:r>
        <w:rPr>
          <w:rFonts w:ascii="Times New Roman" w:hAnsi="Times New Roman" w:cs="Times New Roman"/>
          <w:sz w:val="22"/>
          <w:szCs w:val="22"/>
        </w:rPr>
        <w:br w:type="page"/>
      </w:r>
    </w:p>
    <w:p w14:paraId="4072BDFF">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7" w:name="_Toc178258247"/>
      <w:r>
        <w:rPr>
          <w:rFonts w:ascii="Times New Roman" w:hAnsi="Times New Roman" w:cs="Times New Roman"/>
          <w:color w:val="000000"/>
          <w14:textFill>
            <w14:solidFill>
              <w14:srgbClr w14:val="000000">
                <w14:lumMod w14:val="85000"/>
                <w14:lumOff w14:val="15000"/>
              </w14:srgbClr>
            </w14:solidFill>
          </w14:textFill>
        </w:rPr>
        <w:t>Abstracts</w:t>
      </w:r>
      <w:bookmarkEnd w:id="7"/>
    </w:p>
    <w:p w14:paraId="0CEFBD0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Big data, as a disruptive force converging from information and communication technological changes, has continuously triggered ever-changing changes by reshaping the process and way of management decision-making in the last decade. The value of big data</w:t>
      </w:r>
      <w:r>
        <w:rPr>
          <w:rFonts w:hint="eastAsia" w:ascii="Times New Roman" w:hAnsi="Times New Roman" w:cs="Times New Roman"/>
          <w:sz w:val="24"/>
          <w:szCs w:val="24"/>
        </w:rPr>
        <w:t xml:space="preserve"> (BD)</w:t>
      </w:r>
      <w:r>
        <w:rPr>
          <w:rFonts w:ascii="Times New Roman" w:hAnsi="Times New Roman" w:cs="Times New Roman"/>
          <w:sz w:val="24"/>
          <w:szCs w:val="24"/>
        </w:rPr>
        <w:t xml:space="preserve"> can only be manifested and exploited through the continuous development and enhancement of big data capabilities (BDC).  </w:t>
      </w:r>
    </w:p>
    <w:p w14:paraId="643268E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present research aims to systematically analyse BDC's impact on firms' financial and innovation performance and explore the mediating role played by Organizational Learning (OL) in this process. Based on Resource-Based Theory (RBT), Dynamic Capability Theory (DCT) and Organisational Learning Theory (OLT), the present research constructs a theoretical model based on the synthesis of the existing body of knowledge, covering three dimensions of BDC: Resource Integration Capabilities, In-depth Analytics Capabilities, and Real-Time Insight and Prediction Capabilities.</w:t>
      </w:r>
    </w:p>
    <w:p w14:paraId="7CEFB085">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data collected from online questionnaires of Big Data-related employees who are perceived as relevant to provide primary insights, the present research then leverages structural equation modelling (SEM) analysis to analyse further the subtle impacts of BDC and its dimensional components on the organisations’ performance and innovative performance, as well as the moderating role of OL. </w:t>
      </w:r>
    </w:p>
    <w:p w14:paraId="1253E48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present research reveals that BDC significantly and positively impact innovation performance, especially resource integration capability and real-time insight capability. However, the present research also provides evidence that the direct effect on financial performance is more limited. Meanwhile, OL acts as a partial mediating factor between BDC and financial and innovation performance. This suggests that firms can more effectively transform BDC into performance advantages by promoting organisational learning.</w:t>
      </w:r>
    </w:p>
    <w:p w14:paraId="37725BB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present research not only validates the complex mechanism of the role of BDC and OL on firms’ different performance outcomes but also reveals that firms need to fully leverage the value of BDC by establishing learning organisations in order to gain a sustainable competitive advantage in a rapidly changing market environment. The results of the present research provide theoretical support for the digital transformation of enterprises, as well as new perspectives for academic research on the relationship between BDC, OL and enterprise performance.</w:t>
      </w:r>
    </w:p>
    <w:p w14:paraId="39356B6D">
      <w:pPr>
        <w:spacing w:before="120" w:after="240" w:line="360" w:lineRule="auto"/>
        <w:jc w:val="both"/>
        <w:rPr>
          <w:rFonts w:ascii="Times New Roman" w:hAnsi="Times New Roman" w:cs="Times New Roman"/>
          <w:b/>
          <w:bCs/>
        </w:rPr>
      </w:pPr>
      <w:r>
        <w:rPr>
          <w:rFonts w:ascii="Times New Roman" w:hAnsi="Times New Roman" w:cs="Times New Roman"/>
          <w:b/>
          <w:bCs/>
          <w:sz w:val="24"/>
          <w:szCs w:val="24"/>
        </w:rPr>
        <w:t xml:space="preserve">Keywords: big data capability (BDC), organisational learning (OL), financial performance, innovation performance, resource-based theory (RBT), dynamic capability theory (DCT), structural equation modelling (SEM). </w:t>
      </w:r>
      <w:r>
        <w:rPr>
          <w:rFonts w:ascii="Times New Roman" w:hAnsi="Times New Roman" w:cs="Times New Roman"/>
          <w:b/>
          <w:bCs/>
        </w:rPr>
        <w:br w:type="page"/>
      </w:r>
    </w:p>
    <w:sdt>
      <w:sdtPr>
        <w:rPr>
          <w:rFonts w:ascii="Times New Roman" w:hAnsi="Times New Roman" w:cs="Times New Roman" w:eastAsiaTheme="minorEastAsia"/>
          <w:color w:val="auto"/>
          <w:sz w:val="21"/>
          <w:szCs w:val="21"/>
        </w:rPr>
        <w:id w:val="-401910670"/>
        <w:docPartObj>
          <w:docPartGallery w:val="Table of Contents"/>
          <w:docPartUnique/>
        </w:docPartObj>
      </w:sdtPr>
      <w:sdtEndPr>
        <w:rPr>
          <w:rFonts w:ascii="Times New Roman" w:hAnsi="Times New Roman" w:cs="Times New Roman" w:eastAsiaTheme="minorEastAsia"/>
          <w:b/>
          <w:bCs/>
          <w:color w:val="auto"/>
          <w:sz w:val="21"/>
          <w:szCs w:val="21"/>
        </w:rPr>
      </w:sdtEndPr>
      <w:sdtContent>
        <w:p w14:paraId="5166F64F">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8" w:name="_Toc178258248"/>
          <w:r>
            <w:rPr>
              <w:rFonts w:ascii="Times New Roman" w:hAnsi="Times New Roman" w:cs="Times New Roman"/>
              <w:color w:val="000000"/>
              <w14:textFill>
                <w14:solidFill>
                  <w14:srgbClr w14:val="000000">
                    <w14:lumMod w14:val="85000"/>
                    <w14:lumOff w14:val="15000"/>
                  </w14:srgbClr>
                </w14:solidFill>
              </w14:textFill>
            </w:rPr>
            <w:t>Table of Contents</w:t>
          </w:r>
          <w:bookmarkEnd w:id="8"/>
        </w:p>
        <w:p w14:paraId="76041A00">
          <w:pPr>
            <w:pStyle w:val="16"/>
            <w:rPr>
              <w:rFonts w:ascii="Times New Roman" w:hAnsi="Times New Roman" w:cs="Times New Roman"/>
              <w:kern w:val="2"/>
              <w14:ligatures w14:val="standardContextual"/>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r>
            <w:fldChar w:fldCharType="begin"/>
          </w:r>
          <w:r>
            <w:instrText xml:space="preserve"> HYPERLINK \l "_Toc178258244" </w:instrText>
          </w:r>
          <w:r>
            <w:fldChar w:fldCharType="separate"/>
          </w:r>
          <w:r>
            <w:rPr>
              <w:rStyle w:val="27"/>
              <w:rFonts w:ascii="Times New Roman" w:hAnsi="Times New Roman" w:cs="Times New Roman"/>
            </w:rPr>
            <w:t>Declaration/Statements page</w:t>
          </w:r>
          <w:r>
            <w:rPr>
              <w:rStyle w:val="27"/>
              <w:rFonts w:ascii="Times New Roman" w:hAnsi="Times New Roman" w:cs="Times New Roman"/>
            </w:rPr>
            <w:fldChar w:fldCharType="end"/>
          </w:r>
        </w:p>
        <w:p w14:paraId="16666205">
          <w:pPr>
            <w:pStyle w:val="16"/>
            <w:rPr>
              <w:rFonts w:ascii="Times New Roman" w:hAnsi="Times New Roman" w:cs="Times New Roman"/>
              <w:kern w:val="2"/>
              <w14:ligatures w14:val="standardContextual"/>
            </w:rPr>
          </w:pPr>
          <w:r>
            <w:fldChar w:fldCharType="begin"/>
          </w:r>
          <w:r>
            <w:instrText xml:space="preserve"> HYPERLINK \l "_Toc178258245" </w:instrText>
          </w:r>
          <w:r>
            <w:fldChar w:fldCharType="separate"/>
          </w:r>
          <w:r>
            <w:rPr>
              <w:rStyle w:val="27"/>
              <w:rFonts w:ascii="Times New Roman" w:hAnsi="Times New Roman" w:cs="Times New Roman"/>
            </w:rPr>
            <w:t>Notice of Candidature Form</w:t>
          </w:r>
          <w:r>
            <w:rPr>
              <w:rFonts w:ascii="Times New Roman" w:hAnsi="Times New Roman" w:cs="Times New Roman"/>
            </w:rPr>
            <w:tab/>
          </w:r>
          <w:r>
            <w:rPr>
              <w:rFonts w:ascii="Times New Roman" w:hAnsi="Times New Roman" w:cs="Times New Roman"/>
            </w:rPr>
            <w:fldChar w:fldCharType="end"/>
          </w:r>
        </w:p>
        <w:p w14:paraId="70CB2292">
          <w:pPr>
            <w:pStyle w:val="16"/>
            <w:rPr>
              <w:rFonts w:ascii="Times New Roman" w:hAnsi="Times New Roman" w:cs="Times New Roman"/>
              <w:kern w:val="2"/>
              <w14:ligatures w14:val="standardContextual"/>
            </w:rPr>
          </w:pPr>
          <w:r>
            <w:fldChar w:fldCharType="begin"/>
          </w:r>
          <w:r>
            <w:instrText xml:space="preserve"> HYPERLINK \l "_Toc178258246" </w:instrText>
          </w:r>
          <w:r>
            <w:fldChar w:fldCharType="separate"/>
          </w:r>
          <w:r>
            <w:rPr>
              <w:rStyle w:val="27"/>
              <w:rFonts w:ascii="Times New Roman" w:hAnsi="Times New Roman" w:cs="Times New Roman"/>
            </w:rPr>
            <w:t>Acknowledgement</w:t>
          </w:r>
          <w:r>
            <w:rPr>
              <w:rFonts w:ascii="Times New Roman" w:hAnsi="Times New Roman" w:cs="Times New Roman"/>
            </w:rPr>
            <w:tab/>
          </w:r>
          <w:r>
            <w:rPr>
              <w:rFonts w:ascii="Times New Roman" w:hAnsi="Times New Roman" w:cs="Times New Roman"/>
            </w:rPr>
            <w:fldChar w:fldCharType="end"/>
          </w:r>
        </w:p>
        <w:p w14:paraId="3BFA2331">
          <w:pPr>
            <w:pStyle w:val="16"/>
            <w:rPr>
              <w:rFonts w:ascii="Times New Roman" w:hAnsi="Times New Roman" w:cs="Times New Roman"/>
              <w:kern w:val="2"/>
              <w14:ligatures w14:val="standardContextual"/>
            </w:rPr>
          </w:pPr>
          <w:r>
            <w:fldChar w:fldCharType="begin"/>
          </w:r>
          <w:r>
            <w:instrText xml:space="preserve"> HYPERLINK \l "_Toc178258247" </w:instrText>
          </w:r>
          <w:r>
            <w:fldChar w:fldCharType="separate"/>
          </w:r>
          <w:r>
            <w:rPr>
              <w:rStyle w:val="27"/>
              <w:rFonts w:ascii="Times New Roman" w:hAnsi="Times New Roman" w:cs="Times New Roman"/>
            </w:rPr>
            <w:t>Abstracts</w:t>
          </w:r>
          <w:r>
            <w:rPr>
              <w:rFonts w:ascii="Times New Roman" w:hAnsi="Times New Roman" w:cs="Times New Roman"/>
            </w:rPr>
            <w:tab/>
          </w:r>
          <w:r>
            <w:rPr>
              <w:rFonts w:ascii="Times New Roman" w:hAnsi="Times New Roman" w:cs="Times New Roman"/>
            </w:rPr>
            <w:fldChar w:fldCharType="end"/>
          </w:r>
        </w:p>
        <w:p w14:paraId="0624D4DD">
          <w:pPr>
            <w:pStyle w:val="16"/>
            <w:rPr>
              <w:rFonts w:ascii="Times New Roman" w:hAnsi="Times New Roman" w:cs="Times New Roman"/>
              <w:kern w:val="2"/>
              <w14:ligatures w14:val="standardContextual"/>
            </w:rPr>
          </w:pPr>
          <w:r>
            <w:fldChar w:fldCharType="begin"/>
          </w:r>
          <w:r>
            <w:instrText xml:space="preserve"> HYPERLINK \l "_Toc178258248" </w:instrText>
          </w:r>
          <w:r>
            <w:fldChar w:fldCharType="separate"/>
          </w:r>
          <w:r>
            <w:rPr>
              <w:rStyle w:val="27"/>
              <w:rFonts w:ascii="Times New Roman" w:hAnsi="Times New Roman" w:cs="Times New Roman"/>
            </w:rPr>
            <w:t>Table of Contents</w:t>
          </w:r>
          <w:r>
            <w:rPr>
              <w:rFonts w:ascii="Times New Roman" w:hAnsi="Times New Roman" w:cs="Times New Roman"/>
            </w:rPr>
            <w:tab/>
          </w:r>
          <w:r>
            <w:rPr>
              <w:rFonts w:ascii="Times New Roman" w:hAnsi="Times New Roman" w:cs="Times New Roman"/>
            </w:rPr>
            <w:fldChar w:fldCharType="end"/>
          </w:r>
        </w:p>
        <w:p w14:paraId="4E06CF64">
          <w:pPr>
            <w:pStyle w:val="16"/>
            <w:rPr>
              <w:rFonts w:ascii="Times New Roman" w:hAnsi="Times New Roman" w:cs="Times New Roman"/>
              <w:kern w:val="2"/>
              <w14:ligatures w14:val="standardContextual"/>
            </w:rPr>
          </w:pPr>
          <w:r>
            <w:fldChar w:fldCharType="begin"/>
          </w:r>
          <w:r>
            <w:instrText xml:space="preserve"> HYPERLINK \l "_Toc178258249" </w:instrText>
          </w:r>
          <w:r>
            <w:fldChar w:fldCharType="separate"/>
          </w:r>
          <w:r>
            <w:rPr>
              <w:rStyle w:val="27"/>
              <w:rFonts w:ascii="Times New Roman" w:hAnsi="Times New Roman" w:cs="Times New Roman"/>
            </w:rPr>
            <w:t>Chapter One: 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_Toc178258249 \h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r>
            <w:rPr>
              <w:rFonts w:ascii="Times New Roman" w:hAnsi="Times New Roman" w:cs="Times New Roman"/>
            </w:rPr>
            <w:fldChar w:fldCharType="end"/>
          </w:r>
        </w:p>
        <w:p w14:paraId="764F1680">
          <w:pPr>
            <w:pStyle w:val="18"/>
            <w:tabs>
              <w:tab w:val="left" w:pos="880"/>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"_Toc178258250" </w:instrText>
          </w:r>
          <w:r>
            <w:fldChar w:fldCharType="separate"/>
          </w:r>
          <w:r>
            <w:rPr>
              <w:rStyle w:val="27"/>
              <w:rFonts w:ascii="Times New Roman" w:hAnsi="Times New Roman" w:cs="Times New Roman"/>
              <w:sz w:val="24"/>
              <w:szCs w:val="24"/>
            </w:rPr>
            <w:t>1.1 Research Background</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_Toc178258250 \h </w:instrText>
          </w:r>
          <w:r>
            <w:rPr>
              <w:rFonts w:ascii="Times New Roman" w:hAnsi="Times New Roman" w:cs="Times New Roman"/>
              <w:sz w:val="24"/>
              <w:szCs w:val="24"/>
            </w:rPr>
            <w:fldChar w:fldCharType="separate"/>
          </w:r>
          <w:r>
            <w:rPr>
              <w:rFonts w:ascii="Times New Roman" w:hAnsi="Times New Roman" w:cs="Times New Roman"/>
              <w:sz w:val="24"/>
              <w:szCs w:val="24"/>
            </w:rPr>
            <w:t>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31F3146">
          <w:pPr>
            <w:pStyle w:val="18"/>
            <w:tabs>
              <w:tab w:val="left" w:pos="880"/>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"_Toc178258251" </w:instrText>
          </w:r>
          <w:r>
            <w:fldChar w:fldCharType="separate"/>
          </w:r>
          <w:r>
            <w:rPr>
              <w:rStyle w:val="27"/>
              <w:rFonts w:ascii="Times New Roman" w:hAnsi="Times New Roman" w:cs="Times New Roman"/>
              <w:sz w:val="24"/>
              <w:szCs w:val="24"/>
            </w:rPr>
            <w:t>1.2</w:t>
          </w:r>
          <w:r>
            <w:rPr>
              <w:rFonts w:ascii="Times New Roman" w:hAnsi="Times New Roman" w:cs="Times New Roman"/>
              <w:kern w:val="2"/>
              <w:sz w:val="24"/>
              <w:szCs w:val="24"/>
              <w14:ligatures w14:val="standardContextual"/>
            </w:rPr>
            <w:t xml:space="preserve"> </w:t>
          </w:r>
          <w:r>
            <w:rPr>
              <w:rStyle w:val="27"/>
              <w:rFonts w:ascii="Times New Roman" w:hAnsi="Times New Roman" w:cs="Times New Roman"/>
              <w:sz w:val="24"/>
              <w:szCs w:val="24"/>
            </w:rPr>
            <w:t>Research Questions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_Toc178258251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EB21F2C">
          <w:pPr>
            <w:pStyle w:val="18"/>
            <w:tabs>
              <w:tab w:val="left" w:pos="880"/>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"_Toc178258252" </w:instrText>
          </w:r>
          <w:r>
            <w:fldChar w:fldCharType="separate"/>
          </w:r>
          <w:r>
            <w:rPr>
              <w:rStyle w:val="27"/>
              <w:rFonts w:ascii="Times New Roman" w:hAnsi="Times New Roman" w:cs="Times New Roman"/>
              <w:sz w:val="24"/>
              <w:szCs w:val="24"/>
            </w:rPr>
            <w:t>1.3</w:t>
          </w:r>
          <w:r>
            <w:rPr>
              <w:rFonts w:ascii="Times New Roman" w:hAnsi="Times New Roman" w:cs="Times New Roman"/>
              <w:kern w:val="2"/>
              <w:sz w:val="24"/>
              <w:szCs w:val="24"/>
              <w14:ligatures w14:val="standardContextual"/>
            </w:rPr>
            <w:t xml:space="preserve"> </w:t>
          </w:r>
          <w:r>
            <w:rPr>
              <w:rStyle w:val="27"/>
              <w:rFonts w:ascii="Times New Roman" w:hAnsi="Times New Roman" w:cs="Times New Roman"/>
              <w:sz w:val="24"/>
              <w:szCs w:val="24"/>
            </w:rPr>
            <w:t>Structure of the Dissertation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_Toc178258252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262C588">
          <w:pPr>
            <w:pStyle w:val="16"/>
            <w:rPr>
              <w:rFonts w:ascii="Times New Roman" w:hAnsi="Times New Roman" w:cs="Times New Roman"/>
              <w:kern w:val="2"/>
              <w14:ligatures w14:val="standardContextual"/>
            </w:rPr>
          </w:pPr>
          <w:r>
            <w:fldChar w:fldCharType="begin"/>
          </w:r>
          <w:r>
            <w:instrText xml:space="preserve"> HYPERLINK \l "_Toc178258253" </w:instrText>
          </w:r>
          <w:r>
            <w:fldChar w:fldCharType="separate"/>
          </w:r>
          <w:r>
            <w:rPr>
              <w:rStyle w:val="27"/>
              <w:rFonts w:ascii="Times New Roman" w:hAnsi="Times New Roman" w:cs="Times New Roman"/>
            </w:rPr>
            <w:t>Chapter Two: Literature Review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_Toc178258253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14:paraId="6240D7A2">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"_Toc178258254" </w:instrText>
          </w:r>
          <w:r>
            <w:fldChar w:fldCharType="separate"/>
          </w:r>
          <w:r>
            <w:rPr>
              <w:rStyle w:val="27"/>
              <w:rFonts w:ascii="Times New Roman" w:hAnsi="Times New Roman" w:cs="Times New Roman"/>
              <w:sz w:val="24"/>
              <w:szCs w:val="24"/>
            </w:rPr>
            <w:t>2.1 The Conceptualization of Big Data Capabilities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_Toc178258254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C9D4AE6">
          <w:pPr>
            <w:pStyle w:val="13"/>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"_Toc178258255" </w:instrText>
          </w:r>
          <w:r>
            <w:fldChar w:fldCharType="separate"/>
          </w:r>
          <w:r>
            <w:rPr>
              <w:rStyle w:val="27"/>
              <w:rFonts w:ascii="Times New Roman" w:hAnsi="Times New Roman" w:cs="Times New Roman"/>
              <w:sz w:val="24"/>
              <w:szCs w:val="24"/>
            </w:rPr>
            <w:t>2.1.1 The Definition of Big Data Capabilities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_Toc178258255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4F4CB8">
          <w:pPr>
            <w:pStyle w:val="13"/>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"_Toc178258256" </w:instrText>
          </w:r>
          <w:r>
            <w:fldChar w:fldCharType="separate"/>
          </w:r>
          <w:r>
            <w:rPr>
              <w:rStyle w:val="27"/>
              <w:rFonts w:ascii="Times New Roman" w:hAnsi="Times New Roman" w:cs="Times New Roman"/>
              <w:sz w:val="24"/>
              <w:szCs w:val="24"/>
            </w:rPr>
            <w:t>2.1.2 The Dimensions of Big Data Capabilities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_Toc178258256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23F0FBA">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"_Toc178258257" </w:instrText>
          </w:r>
          <w:r>
            <w:fldChar w:fldCharType="separate"/>
          </w:r>
          <w:r>
            <w:rPr>
              <w:rStyle w:val="27"/>
              <w:rFonts w:ascii="Times New Roman" w:hAnsi="Times New Roman" w:cs="Times New Roman"/>
              <w:sz w:val="24"/>
              <w:szCs w:val="24"/>
            </w:rPr>
            <w:t>2.2 Theoretical Underpins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_Toc178258257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84B2716">
          <w:pPr>
            <w:pStyle w:val="13"/>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"_Toc178258258" </w:instrText>
          </w:r>
          <w:r>
            <w:fldChar w:fldCharType="separate"/>
          </w:r>
          <w:r>
            <w:rPr>
              <w:rStyle w:val="27"/>
              <w:rFonts w:ascii="Times New Roman" w:hAnsi="Times New Roman" w:cs="Times New Roman"/>
              <w:sz w:val="24"/>
              <w:szCs w:val="24"/>
            </w:rPr>
            <w:t xml:space="preserve">2.2.1 Resource-based </w:t>
          </w:r>
          <w:r>
            <w:rPr>
              <w:rStyle w:val="27"/>
              <w:rFonts w:ascii="Times New Roman" w:hAnsi="Times New Roman" w:cs="Times New Roman"/>
              <w:i/>
              <w:iCs/>
              <w:sz w:val="24"/>
              <w:szCs w:val="24"/>
            </w:rPr>
            <w:t>T</w:t>
          </w:r>
          <w:r>
            <w:rPr>
              <w:rStyle w:val="27"/>
              <w:rFonts w:ascii="Times New Roman" w:hAnsi="Times New Roman" w:cs="Times New Roman"/>
              <w:sz w:val="24"/>
              <w:szCs w:val="24"/>
            </w:rPr>
            <w: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_Toc178258258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6277300">
          <w:pPr>
            <w:pStyle w:val="13"/>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"_Toc178258259" </w:instrText>
          </w:r>
          <w:r>
            <w:fldChar w:fldCharType="separate"/>
          </w:r>
          <w:r>
            <w:rPr>
              <w:rStyle w:val="27"/>
              <w:rFonts w:ascii="Times New Roman" w:hAnsi="Times New Roman" w:cs="Times New Roman"/>
              <w:sz w:val="24"/>
              <w:szCs w:val="24"/>
            </w:rPr>
            <w:t>2.2.2 Organizational Learning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_Toc178258259 \h </w:instrText>
          </w:r>
          <w:r>
            <w:rPr>
              <w:rFonts w:ascii="Times New Roman" w:hAnsi="Times New Roman" w:cs="Times New Roman"/>
              <w:sz w:val="24"/>
              <w:szCs w:val="24"/>
            </w:rPr>
            <w:fldChar w:fldCharType="separate"/>
          </w:r>
          <w:r>
            <w:rPr>
              <w:rFonts w:ascii="Times New Roman" w:hAnsi="Times New Roman" w:cs="Times New Roman"/>
              <w:sz w:val="24"/>
              <w:szCs w:val="24"/>
            </w:rPr>
            <w:t>14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2739214">
          <w:pPr>
            <w:pStyle w:val="13"/>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"_Toc178258260" </w:instrText>
          </w:r>
          <w:r>
            <w:fldChar w:fldCharType="separate"/>
          </w:r>
          <w:r>
            <w:rPr>
              <w:rStyle w:val="27"/>
              <w:rFonts w:ascii="Times New Roman" w:hAnsi="Times New Roman" w:cs="Times New Roman"/>
              <w:sz w:val="24"/>
              <w:szCs w:val="24"/>
            </w:rPr>
            <w:t>2.2.3 Dynamic Capability Theory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_Toc178258260 \h </w:instrText>
          </w:r>
          <w:r>
            <w:rPr>
              <w:rFonts w:ascii="Times New Roman" w:hAnsi="Times New Roman" w:cs="Times New Roman"/>
              <w:sz w:val="24"/>
              <w:szCs w:val="24"/>
            </w:rPr>
            <w:fldChar w:fldCharType="separate"/>
          </w:r>
          <w:r>
            <w:rPr>
              <w:rFonts w:ascii="Times New Roman" w:hAnsi="Times New Roman" w:cs="Times New Roman"/>
              <w:sz w:val="24"/>
              <w:szCs w:val="24"/>
            </w:rPr>
            <w:t>15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6B7E341">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"_Toc178258261" </w:instrText>
          </w:r>
          <w:r>
            <w:fldChar w:fldCharType="separate"/>
          </w:r>
          <w:r>
            <w:rPr>
              <w:rStyle w:val="27"/>
              <w:rFonts w:ascii="Times New Roman" w:hAnsi="Times New Roman" w:eastAsia="宋体" w:cs="Times New Roman"/>
              <w:sz w:val="24"/>
              <w:szCs w:val="24"/>
            </w:rPr>
            <w:t xml:space="preserve">2.3 </w:t>
          </w:r>
          <w:r>
            <w:rPr>
              <w:rStyle w:val="27"/>
              <w:rFonts w:ascii="Times New Roman" w:hAnsi="Times New Roman" w:cs="Times New Roman"/>
              <w:sz w:val="24"/>
              <w:szCs w:val="24"/>
            </w:rPr>
            <w:t>Big Data Capabilities and Firm Performance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_Toc178258261 \h </w:instrText>
          </w:r>
          <w:r>
            <w:rPr>
              <w:rFonts w:ascii="Times New Roman" w:hAnsi="Times New Roman" w:cs="Times New Roman"/>
              <w:sz w:val="24"/>
              <w:szCs w:val="24"/>
            </w:rPr>
            <w:fldChar w:fldCharType="separate"/>
          </w:r>
          <w:r>
            <w:rPr>
              <w:rFonts w:ascii="Times New Roman" w:hAnsi="Times New Roman" w:cs="Times New Roman"/>
              <w:sz w:val="24"/>
              <w:szCs w:val="24"/>
            </w:rPr>
            <w:t>16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7961439">
          <w:pPr>
            <w:pStyle w:val="13"/>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"_Toc178258262" </w:instrText>
          </w:r>
          <w:r>
            <w:fldChar w:fldCharType="separate"/>
          </w:r>
          <w:r>
            <w:rPr>
              <w:rStyle w:val="27"/>
              <w:rFonts w:ascii="Times New Roman" w:hAnsi="Times New Roman" w:cs="Times New Roman"/>
              <w:sz w:val="24"/>
              <w:szCs w:val="24"/>
            </w:rPr>
            <w:t>2.3.1 The Impacts of Big Data Capabilities on Financial Performance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_Toc178258262 \h </w:instrText>
          </w:r>
          <w:r>
            <w:rPr>
              <w:rFonts w:ascii="Times New Roman" w:hAnsi="Times New Roman" w:cs="Times New Roman"/>
              <w:sz w:val="24"/>
              <w:szCs w:val="24"/>
            </w:rPr>
            <w:fldChar w:fldCharType="separate"/>
          </w:r>
          <w:r>
            <w:rPr>
              <w:rFonts w:ascii="Times New Roman" w:hAnsi="Times New Roman" w:cs="Times New Roman"/>
              <w:sz w:val="24"/>
              <w:szCs w:val="24"/>
            </w:rPr>
            <w:t>17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3929FDA">
          <w:pPr>
            <w:pStyle w:val="13"/>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"_Toc178258263" </w:instrText>
          </w:r>
          <w:r>
            <w:fldChar w:fldCharType="separate"/>
          </w:r>
          <w:r>
            <w:rPr>
              <w:rStyle w:val="27"/>
              <w:rFonts w:ascii="Times New Roman" w:hAnsi="Times New Roman" w:cs="Times New Roman"/>
              <w:sz w:val="24"/>
              <w:szCs w:val="24"/>
            </w:rPr>
            <w:t>2.3.2 The Impacts of Big Data Capabilities on Innovation Performance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_Toc178258263 \h </w:instrText>
          </w:r>
          <w:r>
            <w:rPr>
              <w:rFonts w:ascii="Times New Roman" w:hAnsi="Times New Roman" w:cs="Times New Roman"/>
              <w:sz w:val="24"/>
              <w:szCs w:val="24"/>
            </w:rPr>
            <w:fldChar w:fldCharType="separate"/>
          </w:r>
          <w:r>
            <w:rPr>
              <w:rFonts w:ascii="Times New Roman" w:hAnsi="Times New Roman" w:cs="Times New Roman"/>
              <w:sz w:val="24"/>
              <w:szCs w:val="24"/>
            </w:rPr>
            <w:t>21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B0B6389">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"_Toc178258264" </w:instrText>
          </w:r>
          <w:r>
            <w:fldChar w:fldCharType="separate"/>
          </w:r>
          <w:r>
            <w:rPr>
              <w:rStyle w:val="27"/>
              <w:rFonts w:ascii="Times New Roman" w:hAnsi="Times New Roman" w:cs="Times New Roman"/>
              <w:sz w:val="24"/>
              <w:szCs w:val="24"/>
            </w:rPr>
            <w:t>2.</w:t>
          </w:r>
          <w:r>
            <w:rPr>
              <w:rStyle w:val="27"/>
              <w:rFonts w:hint="eastAsia" w:ascii="Times New Roman" w:hAnsi="Times New Roman" w:cs="Times New Roman"/>
              <w:sz w:val="24"/>
              <w:szCs w:val="24"/>
            </w:rPr>
            <w:t>4</w:t>
          </w:r>
          <w:r>
            <w:rPr>
              <w:rStyle w:val="27"/>
              <w:rFonts w:ascii="Times New Roman" w:hAnsi="Times New Roman" w:cs="Times New Roman"/>
              <w:sz w:val="24"/>
              <w:szCs w:val="24"/>
            </w:rPr>
            <w:t xml:space="preserve"> Summary of Literature Review</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_Toc178258264 \h </w:instrText>
          </w:r>
          <w:r>
            <w:rPr>
              <w:rFonts w:ascii="Times New Roman" w:hAnsi="Times New Roman" w:cs="Times New Roman"/>
              <w:sz w:val="24"/>
              <w:szCs w:val="24"/>
            </w:rPr>
            <w:fldChar w:fldCharType="separate"/>
          </w:r>
          <w:r>
            <w:rPr>
              <w:rFonts w:ascii="Times New Roman" w:hAnsi="Times New Roman" w:cs="Times New Roman"/>
              <w:sz w:val="24"/>
              <w:szCs w:val="24"/>
            </w:rPr>
            <w:t>26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EF6437A">
          <w:pPr>
            <w:pStyle w:val="16"/>
            <w:rPr>
              <w:rFonts w:ascii="Times New Roman" w:hAnsi="Times New Roman" w:cs="Times New Roman"/>
              <w:kern w:val="2"/>
              <w14:ligatures w14:val="standardContextual"/>
            </w:rPr>
          </w:pPr>
          <w:r>
            <w:fldChar w:fldCharType="begin"/>
          </w:r>
          <w:r>
            <w:instrText xml:space="preserve"> HYPERLINK \l "_Toc178258265" </w:instrText>
          </w:r>
          <w:r>
            <w:fldChar w:fldCharType="separate"/>
          </w:r>
          <w:r>
            <w:rPr>
              <w:rStyle w:val="27"/>
              <w:rFonts w:ascii="Times New Roman" w:hAnsi="Times New Roman" w:cs="Times New Roman"/>
            </w:rPr>
            <w:t>Chapter Three: Methodology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_Toc178258265 \h </w:instrText>
          </w:r>
          <w:r>
            <w:rPr>
              <w:rFonts w:ascii="Times New Roman" w:hAnsi="Times New Roman" w:cs="Times New Roman"/>
            </w:rPr>
            <w:fldChar w:fldCharType="separate"/>
          </w:r>
          <w:r>
            <w:rPr>
              <w:rFonts w:ascii="Times New Roman" w:hAnsi="Times New Roman" w:cs="Times New Roman"/>
            </w:rPr>
            <w:t>28</w:t>
          </w:r>
          <w:r>
            <w:rPr>
              <w:rFonts w:ascii="Times New Roman" w:hAnsi="Times New Roman" w:cs="Times New Roman"/>
            </w:rPr>
            <w:fldChar w:fldCharType="end"/>
          </w:r>
          <w:r>
            <w:rPr>
              <w:rFonts w:ascii="Times New Roman" w:hAnsi="Times New Roman" w:cs="Times New Roman"/>
            </w:rPr>
            <w:fldChar w:fldCharType="end"/>
          </w:r>
        </w:p>
        <w:p w14:paraId="58878ED0">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"_Toc178258266" </w:instrText>
          </w:r>
          <w:r>
            <w:fldChar w:fldCharType="separate"/>
          </w:r>
          <w:r>
            <w:rPr>
              <w:rStyle w:val="27"/>
              <w:rFonts w:ascii="Times New Roman" w:hAnsi="Times New Roman" w:cs="Times New Roman"/>
              <w:sz w:val="24"/>
              <w:szCs w:val="24"/>
            </w:rPr>
            <w:t>3.1 Research Philosophy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_Toc178258266 \h </w:instrText>
          </w:r>
          <w:r>
            <w:rPr>
              <w:rFonts w:ascii="Times New Roman" w:hAnsi="Times New Roman" w:cs="Times New Roman"/>
              <w:sz w:val="24"/>
              <w:szCs w:val="24"/>
            </w:rPr>
            <w:fldChar w:fldCharType="separate"/>
          </w:r>
          <w:r>
            <w:rPr>
              <w:rFonts w:ascii="Times New Roman" w:hAnsi="Times New Roman" w:cs="Times New Roman"/>
              <w:sz w:val="24"/>
              <w:szCs w:val="24"/>
            </w:rPr>
            <w:t>29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37EA630">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"_Toc178258267" </w:instrText>
          </w:r>
          <w:r>
            <w:fldChar w:fldCharType="separate"/>
          </w:r>
          <w:r>
            <w:rPr>
              <w:rStyle w:val="27"/>
              <w:rFonts w:ascii="Times New Roman" w:hAnsi="Times New Roman" w:cs="Times New Roman"/>
              <w:sz w:val="24"/>
              <w:szCs w:val="24"/>
            </w:rPr>
            <w:t>3.2 Research Approaches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_Toc178258267 \h </w:instrText>
          </w:r>
          <w:r>
            <w:rPr>
              <w:rFonts w:ascii="Times New Roman" w:hAnsi="Times New Roman" w:cs="Times New Roman"/>
              <w:sz w:val="24"/>
              <w:szCs w:val="24"/>
            </w:rPr>
            <w:fldChar w:fldCharType="separate"/>
          </w:r>
          <w:r>
            <w:rPr>
              <w:rFonts w:ascii="Times New Roman" w:hAnsi="Times New Roman" w:cs="Times New Roman"/>
              <w:sz w:val="24"/>
              <w:szCs w:val="24"/>
            </w:rPr>
            <w:t>30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CBA7D78">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"_Toc178258268" </w:instrText>
          </w:r>
          <w:r>
            <w:fldChar w:fldCharType="separate"/>
          </w:r>
          <w:r>
            <w:rPr>
              <w:rStyle w:val="27"/>
              <w:rFonts w:ascii="Times New Roman" w:hAnsi="Times New Roman" w:cs="Times New Roman"/>
              <w:sz w:val="24"/>
              <w:szCs w:val="24"/>
            </w:rPr>
            <w:t>3.3 Research Methodological Choice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_Toc178258268 \h </w:instrText>
          </w:r>
          <w:r>
            <w:rPr>
              <w:rFonts w:ascii="Times New Roman" w:hAnsi="Times New Roman" w:cs="Times New Roman"/>
              <w:sz w:val="24"/>
              <w:szCs w:val="24"/>
            </w:rPr>
            <w:fldChar w:fldCharType="separate"/>
          </w:r>
          <w:r>
            <w:rPr>
              <w:rFonts w:ascii="Times New Roman" w:hAnsi="Times New Roman" w:cs="Times New Roman"/>
              <w:sz w:val="24"/>
              <w:szCs w:val="24"/>
            </w:rPr>
            <w:t>31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96C2C00">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"_Toc178258269" </w:instrText>
          </w:r>
          <w:r>
            <w:fldChar w:fldCharType="separate"/>
          </w:r>
          <w:r>
            <w:rPr>
              <w:rStyle w:val="27"/>
              <w:rFonts w:ascii="Times New Roman" w:hAnsi="Times New Roman" w:cs="Times New Roman"/>
              <w:sz w:val="24"/>
              <w:szCs w:val="24"/>
            </w:rPr>
            <w:t>3.4 Research Strategies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_Toc178258269 \h </w:instrText>
          </w:r>
          <w:r>
            <w:rPr>
              <w:rFonts w:ascii="Times New Roman" w:hAnsi="Times New Roman" w:cs="Times New Roman"/>
              <w:sz w:val="24"/>
              <w:szCs w:val="24"/>
            </w:rPr>
            <w:fldChar w:fldCharType="separate"/>
          </w:r>
          <w:r>
            <w:rPr>
              <w:rFonts w:ascii="Times New Roman" w:hAnsi="Times New Roman" w:cs="Times New Roman"/>
              <w:sz w:val="24"/>
              <w:szCs w:val="24"/>
            </w:rPr>
            <w:t>32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5E0D9CF">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"_Toc178258270" </w:instrText>
          </w:r>
          <w:r>
            <w:fldChar w:fldCharType="separate"/>
          </w:r>
          <w:r>
            <w:rPr>
              <w:rStyle w:val="27"/>
              <w:rFonts w:ascii="Times New Roman" w:hAnsi="Times New Roman" w:cs="Times New Roman"/>
              <w:sz w:val="24"/>
              <w:szCs w:val="24"/>
            </w:rPr>
            <w:t>3.5 Time Horizon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_Toc178258270 \h </w:instrText>
          </w:r>
          <w:r>
            <w:rPr>
              <w:rFonts w:ascii="Times New Roman" w:hAnsi="Times New Roman" w:cs="Times New Roman"/>
              <w:sz w:val="24"/>
              <w:szCs w:val="24"/>
            </w:rPr>
            <w:fldChar w:fldCharType="separate"/>
          </w:r>
          <w:r>
            <w:rPr>
              <w:rFonts w:ascii="Times New Roman" w:hAnsi="Times New Roman" w:cs="Times New Roman"/>
              <w:sz w:val="24"/>
              <w:szCs w:val="24"/>
            </w:rPr>
            <w:t>33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E10C3EC">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"_Toc178258271" </w:instrText>
          </w:r>
          <w:r>
            <w:fldChar w:fldCharType="separate"/>
          </w:r>
          <w:r>
            <w:rPr>
              <w:rStyle w:val="27"/>
              <w:rFonts w:ascii="Times New Roman" w:hAnsi="Times New Roman" w:cs="Times New Roman"/>
              <w:sz w:val="24"/>
              <w:szCs w:val="24"/>
            </w:rPr>
            <w:t>3.6 Data Collection and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_Toc178258271 \h </w:instrText>
          </w:r>
          <w:r>
            <w:rPr>
              <w:rFonts w:ascii="Times New Roman" w:hAnsi="Times New Roman" w:cs="Times New Roman"/>
              <w:sz w:val="24"/>
              <w:szCs w:val="24"/>
            </w:rPr>
            <w:fldChar w:fldCharType="separate"/>
          </w:r>
          <w:r>
            <w:rPr>
              <w:rFonts w:ascii="Times New Roman" w:hAnsi="Times New Roman" w:cs="Times New Roman"/>
              <w:sz w:val="24"/>
              <w:szCs w:val="24"/>
            </w:rPr>
            <w:t>34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43919F6">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"_Toc178258272" </w:instrText>
          </w:r>
          <w:r>
            <w:fldChar w:fldCharType="separate"/>
          </w:r>
          <w:r>
            <w:rPr>
              <w:rStyle w:val="27"/>
              <w:rFonts w:ascii="Times New Roman" w:hAnsi="Times New Roman" w:cs="Times New Roman"/>
              <w:sz w:val="24"/>
              <w:szCs w:val="24"/>
            </w:rPr>
            <w:t>3.7 Ethical Concerns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_Toc178258272 \h </w:instrText>
          </w:r>
          <w:r>
            <w:rPr>
              <w:rFonts w:ascii="Times New Roman" w:hAnsi="Times New Roman" w:cs="Times New Roman"/>
              <w:sz w:val="24"/>
              <w:szCs w:val="24"/>
            </w:rPr>
            <w:fldChar w:fldCharType="separate"/>
          </w:r>
          <w:r>
            <w:rPr>
              <w:rFonts w:ascii="Times New Roman" w:hAnsi="Times New Roman" w:cs="Times New Roman"/>
              <w:sz w:val="24"/>
              <w:szCs w:val="24"/>
            </w:rPr>
            <w:t>36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DA5DB6B">
          <w:pPr>
            <w:pStyle w:val="16"/>
            <w:rPr>
              <w:rFonts w:ascii="Times New Roman" w:hAnsi="Times New Roman" w:cs="Times New Roman"/>
              <w:kern w:val="2"/>
              <w14:ligatures w14:val="standardContextual"/>
            </w:rPr>
          </w:pPr>
          <w:r>
            <w:fldChar w:fldCharType="begin"/>
          </w:r>
          <w:r>
            <w:instrText xml:space="preserve"> HYPERLINK \l "_Toc178258273" </w:instrText>
          </w:r>
          <w:r>
            <w:fldChar w:fldCharType="separate"/>
          </w:r>
          <w:r>
            <w:rPr>
              <w:rStyle w:val="27"/>
              <w:rFonts w:ascii="Times New Roman" w:hAnsi="Times New Roman" w:cs="Times New Roman"/>
            </w:rPr>
            <w:t>Chapter Four: Analysis and Discussion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_Toc178258273 \h </w:instrText>
          </w:r>
          <w:r>
            <w:rPr>
              <w:rFonts w:ascii="Times New Roman" w:hAnsi="Times New Roman" w:cs="Times New Roman"/>
            </w:rPr>
            <w:fldChar w:fldCharType="separate"/>
          </w:r>
          <w:r>
            <w:rPr>
              <w:rFonts w:ascii="Times New Roman" w:hAnsi="Times New Roman" w:cs="Times New Roman"/>
            </w:rPr>
            <w:t>37</w:t>
          </w:r>
          <w:r>
            <w:rPr>
              <w:rFonts w:ascii="Times New Roman" w:hAnsi="Times New Roman" w:cs="Times New Roman"/>
            </w:rPr>
            <w:fldChar w:fldCharType="end"/>
          </w:r>
          <w:r>
            <w:rPr>
              <w:rFonts w:ascii="Times New Roman" w:hAnsi="Times New Roman" w:cs="Times New Roman"/>
            </w:rPr>
            <w:fldChar w:fldCharType="end"/>
          </w:r>
        </w:p>
        <w:p w14:paraId="6EDF64D2">
          <w:pPr>
            <w:pStyle w:val="18"/>
            <w:tabs>
              <w:tab w:val="left" w:pos="880"/>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"_Toc178258278" </w:instrText>
          </w:r>
          <w:r>
            <w:fldChar w:fldCharType="separate"/>
          </w:r>
          <w:r>
            <w:rPr>
              <w:rStyle w:val="27"/>
              <w:rFonts w:ascii="Times New Roman" w:hAnsi="Times New Roman" w:cs="Times New Roman"/>
              <w:sz w:val="24"/>
              <w:szCs w:val="24"/>
            </w:rPr>
            <w:t>4.1</w:t>
          </w:r>
          <w:r>
            <w:rPr>
              <w:rFonts w:ascii="Times New Roman" w:hAnsi="Times New Roman" w:cs="Times New Roman"/>
              <w:kern w:val="2"/>
              <w:sz w:val="24"/>
              <w:szCs w:val="24"/>
              <w14:ligatures w14:val="standardContextual"/>
            </w:rPr>
            <w:t xml:space="preserve"> </w:t>
          </w:r>
          <w:r>
            <w:rPr>
              <w:rStyle w:val="27"/>
              <w:rFonts w:ascii="Times New Roman" w:hAnsi="Times New Roman" w:cs="Times New Roman"/>
              <w:sz w:val="24"/>
              <w:szCs w:val="24"/>
            </w:rPr>
            <w:t>Descriptive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_Toc178258278 \h </w:instrText>
          </w:r>
          <w:r>
            <w:rPr>
              <w:rFonts w:ascii="Times New Roman" w:hAnsi="Times New Roman" w:cs="Times New Roman"/>
              <w:sz w:val="24"/>
              <w:szCs w:val="24"/>
            </w:rPr>
            <w:fldChar w:fldCharType="separate"/>
          </w:r>
          <w:r>
            <w:rPr>
              <w:rFonts w:ascii="Times New Roman" w:hAnsi="Times New Roman" w:cs="Times New Roman"/>
              <w:sz w:val="24"/>
              <w:szCs w:val="24"/>
            </w:rPr>
            <w:t>37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B2BBB09">
          <w:pPr>
            <w:pStyle w:val="18"/>
            <w:tabs>
              <w:tab w:val="left" w:pos="880"/>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"_Toc178258279" </w:instrText>
          </w:r>
          <w:r>
            <w:fldChar w:fldCharType="separate"/>
          </w:r>
          <w:r>
            <w:rPr>
              <w:rStyle w:val="27"/>
              <w:rFonts w:ascii="Times New Roman" w:hAnsi="Times New Roman" w:cs="Times New Roman"/>
              <w:sz w:val="24"/>
              <w:szCs w:val="24"/>
            </w:rPr>
            <w:t>4.2</w:t>
          </w:r>
          <w:r>
            <w:rPr>
              <w:rFonts w:ascii="Times New Roman" w:hAnsi="Times New Roman" w:cs="Times New Roman"/>
              <w:kern w:val="2"/>
              <w:sz w:val="24"/>
              <w:szCs w:val="24"/>
              <w14:ligatures w14:val="standardContextual"/>
            </w:rPr>
            <w:t xml:space="preserve"> </w:t>
          </w:r>
          <w:r>
            <w:rPr>
              <w:rStyle w:val="27"/>
              <w:rFonts w:ascii="Times New Roman" w:hAnsi="Times New Roman" w:cs="Times New Roman"/>
              <w:sz w:val="24"/>
              <w:szCs w:val="24"/>
            </w:rPr>
            <w:t>Correlation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_Toc178258279 \h </w:instrText>
          </w:r>
          <w:r>
            <w:rPr>
              <w:rFonts w:ascii="Times New Roman" w:hAnsi="Times New Roman" w:cs="Times New Roman"/>
              <w:sz w:val="24"/>
              <w:szCs w:val="24"/>
            </w:rPr>
            <w:fldChar w:fldCharType="separate"/>
          </w:r>
          <w:r>
            <w:rPr>
              <w:rFonts w:ascii="Times New Roman" w:hAnsi="Times New Roman" w:cs="Times New Roman"/>
              <w:sz w:val="24"/>
              <w:szCs w:val="24"/>
            </w:rPr>
            <w:t>41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7B30DBB">
          <w:pPr>
            <w:pStyle w:val="18"/>
            <w:tabs>
              <w:tab w:val="left" w:pos="880"/>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"_Toc178258280" </w:instrText>
          </w:r>
          <w:r>
            <w:fldChar w:fldCharType="separate"/>
          </w:r>
          <w:r>
            <w:rPr>
              <w:rStyle w:val="27"/>
              <w:rFonts w:ascii="Times New Roman" w:hAnsi="Times New Roman" w:cs="Times New Roman"/>
              <w:sz w:val="24"/>
              <w:szCs w:val="24"/>
            </w:rPr>
            <w:t>4.3</w:t>
          </w:r>
          <w:r>
            <w:rPr>
              <w:rFonts w:ascii="Times New Roman" w:hAnsi="Times New Roman" w:cs="Times New Roman"/>
              <w:kern w:val="2"/>
              <w:sz w:val="24"/>
              <w:szCs w:val="24"/>
              <w14:ligatures w14:val="standardContextual"/>
            </w:rPr>
            <w:t xml:space="preserve"> </w:t>
          </w:r>
          <w:r>
            <w:rPr>
              <w:rStyle w:val="27"/>
              <w:rFonts w:ascii="Times New Roman" w:hAnsi="Times New Roman" w:cs="Times New Roman"/>
              <w:sz w:val="24"/>
              <w:szCs w:val="24"/>
            </w:rPr>
            <w:t>Regression and Mediation Analysis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_Toc178258280 \h </w:instrText>
          </w:r>
          <w:r>
            <w:rPr>
              <w:rFonts w:ascii="Times New Roman" w:hAnsi="Times New Roman" w:cs="Times New Roman"/>
              <w:sz w:val="24"/>
              <w:szCs w:val="24"/>
            </w:rPr>
            <w:fldChar w:fldCharType="separate"/>
          </w:r>
          <w:r>
            <w:rPr>
              <w:rFonts w:ascii="Times New Roman" w:hAnsi="Times New Roman" w:cs="Times New Roman"/>
              <w:sz w:val="24"/>
              <w:szCs w:val="24"/>
            </w:rPr>
            <w:t>45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B228106">
          <w:pPr>
            <w:pStyle w:val="16"/>
            <w:rPr>
              <w:rFonts w:ascii="Times New Roman" w:hAnsi="Times New Roman" w:cs="Times New Roman"/>
              <w:kern w:val="2"/>
              <w14:ligatures w14:val="standardContextual"/>
            </w:rPr>
          </w:pPr>
          <w:r>
            <w:fldChar w:fldCharType="begin"/>
          </w:r>
          <w:r>
            <w:instrText xml:space="preserve"> HYPERLINK \l "_Toc178258281" </w:instrText>
          </w:r>
          <w:r>
            <w:fldChar w:fldCharType="separate"/>
          </w:r>
          <w:r>
            <w:rPr>
              <w:rStyle w:val="27"/>
              <w:rFonts w:ascii="Times New Roman" w:hAnsi="Times New Roman" w:cs="Times New Roman"/>
            </w:rPr>
            <w:t>Chapter Five: Conclusion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_Toc178258281 \h </w:instrText>
          </w:r>
          <w:r>
            <w:rPr>
              <w:rFonts w:ascii="Times New Roman" w:hAnsi="Times New Roman" w:cs="Times New Roman"/>
            </w:rPr>
            <w:fldChar w:fldCharType="separate"/>
          </w:r>
          <w:r>
            <w:rPr>
              <w:rFonts w:ascii="Times New Roman" w:hAnsi="Times New Roman" w:cs="Times New Roman"/>
            </w:rPr>
            <w:t>53</w:t>
          </w:r>
          <w:r>
            <w:rPr>
              <w:rFonts w:ascii="Times New Roman" w:hAnsi="Times New Roman" w:cs="Times New Roman"/>
            </w:rPr>
            <w:fldChar w:fldCharType="end"/>
          </w:r>
          <w:r>
            <w:rPr>
              <w:rFonts w:ascii="Times New Roman" w:hAnsi="Times New Roman" w:cs="Times New Roman"/>
            </w:rPr>
            <w:fldChar w:fldCharType="end"/>
          </w:r>
        </w:p>
        <w:p w14:paraId="15BC7E9A">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"_Toc178258282" </w:instrText>
          </w:r>
          <w:r>
            <w:fldChar w:fldCharType="separate"/>
          </w:r>
          <w:r>
            <w:rPr>
              <w:rStyle w:val="27"/>
              <w:rFonts w:ascii="Times New Roman" w:hAnsi="Times New Roman" w:cs="Times New Roman"/>
              <w:sz w:val="24"/>
              <w:szCs w:val="24"/>
            </w:rPr>
            <w:t>5.1 Concluding Remarks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_Toc178258282 \h </w:instrText>
          </w:r>
          <w:r>
            <w:rPr>
              <w:rFonts w:ascii="Times New Roman" w:hAnsi="Times New Roman" w:cs="Times New Roman"/>
              <w:sz w:val="24"/>
              <w:szCs w:val="24"/>
            </w:rPr>
            <w:fldChar w:fldCharType="separate"/>
          </w:r>
          <w:r>
            <w:rPr>
              <w:rFonts w:ascii="Times New Roman" w:hAnsi="Times New Roman" w:cs="Times New Roman"/>
              <w:sz w:val="24"/>
              <w:szCs w:val="24"/>
            </w:rPr>
            <w:t>53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B518EFE">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"_Toc178258283" </w:instrText>
          </w:r>
          <w:r>
            <w:fldChar w:fldCharType="separate"/>
          </w:r>
          <w:r>
            <w:rPr>
              <w:rStyle w:val="27"/>
              <w:rFonts w:ascii="Times New Roman" w:hAnsi="Times New Roman" w:cs="Times New Roman"/>
              <w:sz w:val="24"/>
              <w:szCs w:val="24"/>
            </w:rPr>
            <w:t>5.2 Managerial Implications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_Toc178258283 \h </w:instrText>
          </w:r>
          <w:r>
            <w:rPr>
              <w:rFonts w:ascii="Times New Roman" w:hAnsi="Times New Roman" w:cs="Times New Roman"/>
              <w:sz w:val="24"/>
              <w:szCs w:val="24"/>
            </w:rPr>
            <w:fldChar w:fldCharType="separate"/>
          </w:r>
          <w:r>
            <w:rPr>
              <w:rFonts w:ascii="Times New Roman" w:hAnsi="Times New Roman" w:cs="Times New Roman"/>
              <w:sz w:val="24"/>
              <w:szCs w:val="24"/>
            </w:rPr>
            <w:t>54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2E79732">
          <w:pPr>
            <w:pStyle w:val="18"/>
            <w:tabs>
              <w:tab w:val="right" w:leader="dot" w:pos="9628"/>
            </w:tabs>
            <w:rPr>
              <w:rFonts w:ascii="Times New Roman" w:hAnsi="Times New Roman" w:cs="Times New Roman"/>
              <w:kern w:val="2"/>
              <w:sz w:val="24"/>
              <w:szCs w:val="24"/>
              <w14:ligatures w14:val="standardContextual"/>
            </w:rPr>
          </w:pPr>
          <w:r>
            <w:fldChar w:fldCharType="begin"/>
          </w:r>
          <w:r>
            <w:instrText xml:space="preserve"> HYPERLINK \l "_Toc178258284" </w:instrText>
          </w:r>
          <w:r>
            <w:fldChar w:fldCharType="separate"/>
          </w:r>
          <w:r>
            <w:rPr>
              <w:rStyle w:val="27"/>
              <w:rFonts w:ascii="Times New Roman" w:hAnsi="Times New Roman" w:cs="Times New Roman"/>
              <w:sz w:val="24"/>
              <w:szCs w:val="24"/>
            </w:rPr>
            <w:t>5.3 Limitations of the Research and Future Research Directions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_Toc178258284 \h </w:instrText>
          </w:r>
          <w:r>
            <w:rPr>
              <w:rFonts w:ascii="Times New Roman" w:hAnsi="Times New Roman" w:cs="Times New Roman"/>
              <w:sz w:val="24"/>
              <w:szCs w:val="24"/>
            </w:rPr>
            <w:fldChar w:fldCharType="separate"/>
          </w:r>
          <w:r>
            <w:rPr>
              <w:rFonts w:ascii="Times New Roman" w:hAnsi="Times New Roman" w:cs="Times New Roman"/>
              <w:sz w:val="24"/>
              <w:szCs w:val="24"/>
            </w:rPr>
            <w:t>56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09A00274">
          <w:pPr>
            <w:pStyle w:val="16"/>
            <w:rPr>
              <w:rFonts w:ascii="Times New Roman" w:hAnsi="Times New Roman" w:cs="Times New Roman"/>
              <w:kern w:val="2"/>
              <w14:ligatures w14:val="standardContextual"/>
            </w:rPr>
          </w:pPr>
          <w:r>
            <w:fldChar w:fldCharType="begin"/>
          </w:r>
          <w:r>
            <w:instrText xml:space="preserve"> HYPERLINK \l "_Toc178258285" </w:instrText>
          </w:r>
          <w:r>
            <w:fldChar w:fldCharType="separate"/>
          </w:r>
          <w:r>
            <w:rPr>
              <w:rStyle w:val="27"/>
              <w:rFonts w:ascii="Times New Roman" w:hAnsi="Times New Roman" w:cs="Times New Roman"/>
            </w:rPr>
            <w:t>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_Toc178258285 \h </w:instrText>
          </w:r>
          <w:r>
            <w:rPr>
              <w:rFonts w:ascii="Times New Roman" w:hAnsi="Times New Roman" w:cs="Times New Roman"/>
            </w:rPr>
            <w:fldChar w:fldCharType="separate"/>
          </w:r>
          <w:r>
            <w:rPr>
              <w:rFonts w:ascii="Times New Roman" w:hAnsi="Times New Roman" w:cs="Times New Roman"/>
            </w:rPr>
            <w:t>58</w:t>
          </w:r>
          <w:r>
            <w:rPr>
              <w:rFonts w:ascii="Times New Roman" w:hAnsi="Times New Roman" w:cs="Times New Roman"/>
            </w:rPr>
            <w:fldChar w:fldCharType="end"/>
          </w:r>
          <w:r>
            <w:rPr>
              <w:rFonts w:ascii="Times New Roman" w:hAnsi="Times New Roman" w:cs="Times New Roman"/>
            </w:rPr>
            <w:fldChar w:fldCharType="end"/>
          </w:r>
        </w:p>
        <w:p w14:paraId="5A8AD2D7">
          <w:pPr>
            <w:pStyle w:val="16"/>
            <w:rPr>
              <w:rFonts w:ascii="Times New Roman" w:hAnsi="Times New Roman" w:cs="Times New Roman"/>
              <w:kern w:val="2"/>
              <w14:ligatures w14:val="standardContextual"/>
            </w:rPr>
          </w:pPr>
          <w:r>
            <w:fldChar w:fldCharType="begin"/>
          </w:r>
          <w:r>
            <w:instrText xml:space="preserve"> HYPERLINK \l "_Toc178258286" </w:instrText>
          </w:r>
          <w:r>
            <w:fldChar w:fldCharType="separate"/>
          </w:r>
          <w:r>
            <w:rPr>
              <w:rStyle w:val="27"/>
              <w:rFonts w:ascii="Times New Roman" w:hAnsi="Times New Roman" w:cs="Times New Roman"/>
            </w:rPr>
            <w:t>Appendix</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_Toc178258286 \h </w:instrText>
          </w:r>
          <w:r>
            <w:rPr>
              <w:rFonts w:ascii="Times New Roman" w:hAnsi="Times New Roman" w:cs="Times New Roman"/>
            </w:rPr>
            <w:fldChar w:fldCharType="separate"/>
          </w:r>
          <w:r>
            <w:rPr>
              <w:rFonts w:ascii="Times New Roman" w:hAnsi="Times New Roman" w:cs="Times New Roman"/>
            </w:rPr>
            <w:t>69</w:t>
          </w:r>
          <w:r>
            <w:rPr>
              <w:rFonts w:ascii="Times New Roman" w:hAnsi="Times New Roman" w:cs="Times New Roman"/>
            </w:rPr>
            <w:fldChar w:fldCharType="end"/>
          </w:r>
          <w:r>
            <w:rPr>
              <w:rFonts w:ascii="Times New Roman" w:hAnsi="Times New Roman" w:cs="Times New Roman"/>
            </w:rPr>
            <w:fldChar w:fldCharType="end"/>
          </w:r>
        </w:p>
        <w:p w14:paraId="1AC76381">
          <w:pPr>
            <w:pStyle w:val="18"/>
            <w:tabs>
              <w:tab w:val="right" w:leader="dot" w:pos="9628"/>
            </w:tabs>
            <w:rPr>
              <w:rFonts w:ascii="Times New Roman" w:hAnsi="Times New Roman" w:cs="Times New Roman"/>
              <w:kern w:val="2"/>
              <w:sz w:val="22"/>
              <w:szCs w:val="22"/>
              <w14:ligatures w14:val="standardContextual"/>
            </w:rPr>
          </w:pPr>
          <w:r>
            <w:fldChar w:fldCharType="begin"/>
          </w:r>
          <w:r>
            <w:instrText xml:space="preserve"> HYPERLINK \l "_Toc178258287" </w:instrText>
          </w:r>
          <w:r>
            <w:fldChar w:fldCharType="separate"/>
          </w:r>
          <w:r>
            <w:rPr>
              <w:rStyle w:val="27"/>
              <w:rFonts w:ascii="Times New Roman" w:hAnsi="Times New Roman" w:cs="Times New Roman"/>
              <w:sz w:val="24"/>
              <w:szCs w:val="24"/>
            </w:rPr>
            <w:t>Appendix 1: Questionnaire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_Toc178258287 \h </w:instrText>
          </w:r>
          <w:r>
            <w:rPr>
              <w:rFonts w:ascii="Times New Roman" w:hAnsi="Times New Roman" w:cs="Times New Roman"/>
              <w:sz w:val="24"/>
              <w:szCs w:val="24"/>
            </w:rPr>
            <w:fldChar w:fldCharType="separate"/>
          </w:r>
          <w:r>
            <w:rPr>
              <w:rFonts w:ascii="Times New Roman" w:hAnsi="Times New Roman" w:cs="Times New Roman"/>
              <w:sz w:val="24"/>
              <w:szCs w:val="24"/>
            </w:rPr>
            <w:t>69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E411B82">
          <w:pPr>
            <w:spacing w:before="120" w:after="240" w:line="360" w:lineRule="auto"/>
            <w:jc w:val="both"/>
            <w:rPr>
              <w:rFonts w:ascii="Times New Roman" w:hAnsi="Times New Roman" w:cs="Times New Roman"/>
            </w:rPr>
          </w:pPr>
          <w:r>
            <w:rPr>
              <w:rFonts w:ascii="Times New Roman" w:hAnsi="Times New Roman" w:cs="Times New Roman"/>
              <w:b/>
              <w:bCs/>
              <w:sz w:val="24"/>
              <w:szCs w:val="24"/>
            </w:rPr>
            <w:fldChar w:fldCharType="end"/>
          </w:r>
        </w:p>
      </w:sdtContent>
    </w:sdt>
    <w:p w14:paraId="52C94DA6">
      <w:pPr>
        <w:spacing w:before="120" w:after="240" w:line="360" w:lineRule="auto"/>
        <w:jc w:val="both"/>
        <w:rPr>
          <w:rFonts w:ascii="Times New Roman" w:hAnsi="Times New Roman" w:cs="Times New Roman" w:eastAsiaTheme="majorEastAsia"/>
          <w:sz w:val="40"/>
          <w:szCs w:val="40"/>
        </w:rPr>
      </w:pPr>
      <w:r>
        <w:rPr>
          <w:rFonts w:ascii="Times New Roman" w:hAnsi="Times New Roman" w:cs="Times New Roman"/>
        </w:rPr>
        <w:br w:type="page"/>
      </w:r>
    </w:p>
    <w:p w14:paraId="717B1AEE">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sectPr>
          <w:footerReference r:id="rId5" w:type="default"/>
          <w:pgSz w:w="11906" w:h="16838"/>
          <w:pgMar w:top="1134" w:right="1134" w:bottom="1134" w:left="1134" w:header="851" w:footer="992" w:gutter="0"/>
          <w:cols w:space="425" w:num="1"/>
          <w:docGrid w:type="lines" w:linePitch="312" w:charSpace="0"/>
        </w:sectPr>
      </w:pPr>
    </w:p>
    <w:p w14:paraId="25BEBC48">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9" w:name="_Toc178258249"/>
      <w:r>
        <w:rPr>
          <w:rFonts w:ascii="Times New Roman" w:hAnsi="Times New Roman" w:cs="Times New Roman"/>
          <w:color w:val="000000"/>
          <w14:textFill>
            <w14:solidFill>
              <w14:srgbClr w14:val="000000">
                <w14:lumMod w14:val="85000"/>
                <w14:lumOff w14:val="15000"/>
              </w14:srgbClr>
            </w14:solidFill>
          </w14:textFill>
        </w:rPr>
        <w:t>Chapter One: Introduction</w:t>
      </w:r>
      <w:bookmarkEnd w:id="9"/>
      <w:r>
        <w:rPr>
          <w:rFonts w:ascii="Times New Roman" w:hAnsi="Times New Roman" w:cs="Times New Roman"/>
          <w:color w:val="000000"/>
          <w14:textFill>
            <w14:solidFill>
              <w14:srgbClr w14:val="000000">
                <w14:lumMod w14:val="85000"/>
                <w14:lumOff w14:val="15000"/>
              </w14:srgbClr>
            </w14:solidFill>
          </w14:textFill>
        </w:rPr>
        <w:t xml:space="preserve"> </w:t>
      </w:r>
    </w:p>
    <w:p w14:paraId="2149EC4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This chapter first introduces the research background by describing trends in the application of big data</w:t>
      </w:r>
      <w:r>
        <w:rPr>
          <w:rFonts w:hint="eastAsia" w:ascii="Times New Roman" w:hAnsi="Times New Roman" w:cs="Times New Roman"/>
          <w:sz w:val="24"/>
          <w:szCs w:val="24"/>
        </w:rPr>
        <w:t xml:space="preserve"> (BD)</w:t>
      </w:r>
      <w:r>
        <w:rPr>
          <w:rFonts w:ascii="Times New Roman" w:hAnsi="Times New Roman" w:cs="Times New Roman"/>
          <w:sz w:val="24"/>
          <w:szCs w:val="24"/>
        </w:rPr>
        <w:t xml:space="preserve"> technologies in contemporary organisations, as well as the opportunities faced by organisations and gaps in the existing body of knowledge. Based on this understanding, the motivation and research questions of the present study are presented and clarified. The chapter also outlines the structural arrangement of this dissertation.</w:t>
      </w:r>
    </w:p>
    <w:p w14:paraId="2BF921C7">
      <w:pPr>
        <w:spacing w:before="120" w:after="240" w:line="360" w:lineRule="auto"/>
        <w:jc w:val="both"/>
        <w:rPr>
          <w:rFonts w:ascii="Times New Roman" w:hAnsi="Times New Roman" w:cs="Times New Roman"/>
          <w:sz w:val="24"/>
          <w:szCs w:val="24"/>
        </w:rPr>
      </w:pPr>
    </w:p>
    <w:p w14:paraId="0F91908F">
      <w:pPr>
        <w:pStyle w:val="3"/>
        <w:numPr>
          <w:ilvl w:val="1"/>
          <w:numId w:val="1"/>
        </w:numPr>
        <w:spacing w:after="240" w:line="360" w:lineRule="auto"/>
        <w:jc w:val="both"/>
        <w:rPr>
          <w:rFonts w:ascii="Times New Roman" w:hAnsi="Times New Roman" w:cs="Times New Roman"/>
          <w:color w:val="auto"/>
        </w:rPr>
      </w:pPr>
      <w:bookmarkStart w:id="10" w:name="_Toc178258250"/>
      <w:r>
        <w:rPr>
          <w:rFonts w:ascii="Times New Roman" w:hAnsi="Times New Roman" w:cs="Times New Roman"/>
          <w:color w:val="auto"/>
        </w:rPr>
        <w:t>Research Background</w:t>
      </w:r>
      <w:bookmarkEnd w:id="10"/>
    </w:p>
    <w:p w14:paraId="5E63797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development of information and communication technologies (ICTs), the scale of global data has shown explosive growth, and human society has entered the era of BD. According to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{"citationID":"r2FB9yN7","properties":{"formattedCitation":"(The Economist, 2017)","plainCitation":"(The Economist, 2017)","noteIndex":0},"citationItems":[{"id":6700,"uris":["http://zotero.org/users/10703570/items/KLZ24E9T"],"itemData":{"id":6700,"type":"webpage","title":"The world’s most valuable resource is no longer oil, but data","URL":"https://www.economist.com/leaders/2017/05/06/the-worlds-most-valuable-resource-is-no-longer-oil-but-data?utm_medium=cpc.adword.pd&amp;utm_source=google&amp;ppccampaignID=18151738051&amp;ppcadID=&amp;utm_campaign=a.22brand_pmax&amp;utm_content=conversion.direct-response.anonymous&amp;gad_source=1&amp;gclid=CjwKCAjw6c63BhAiEiwAF0EH1ESZgOlADmkQttXusx9p0dyDtq5OWcafx1ppQhpnW4fdt8WDiz0WRxoCedUQAvD_BwE&amp;gclsrc=aw.ds","author":[{"family":"The Economist","given":""}],"accessed":{"date-parts":[["2024",9,25]]},"issued":{"date-parts":[["2017"]]}}}],"schema":"https://github.com/citation-style-language/schema/raw/master/csl-citation.json"}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The Economist (2017)</w:t>
      </w:r>
      <w:r>
        <w:rPr>
          <w:rFonts w:ascii="Times New Roman" w:hAnsi="Times New Roman" w:cs="Times New Roman"/>
          <w:sz w:val="24"/>
          <w:szCs w:val="24"/>
        </w:rPr>
        <w:fldChar w:fldCharType="end"/>
      </w:r>
      <w:r>
        <w:rPr>
          <w:rFonts w:ascii="Times New Roman" w:hAnsi="Times New Roman" w:cs="Times New Roman"/>
          <w:sz w:val="24"/>
          <w:szCs w:val="24"/>
        </w:rPr>
        <w:t xml:space="preserve">, data has surpassed oil to become the world's most valuable economy. According to the latest report of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{"citationID":"mC9i6zS4","properties":{"formattedCitation":"(International Data Enterprises, 2023)","plainCitation":"(International Data Enterprises, 2023)","dontUpdate":true,"noteIndex":0},"citationItems":[{"id":"NEZ99iNq/PohDNOHe","uris":["http://zotero.org/users/10703570/items/GNA2NC4W"],"itemData":{"id":5030,"type":"webpage","abstract":"IDC examines consumer markets by devices, applications, networks, and services to provide complete solutions for succeeding in these expanding markets.","container-title":"IDC: The premier global market intelligence company","title":"Worldwide IDC Global DataSphere Forecast, 2023-2027: It's a Distributed, Diverse, and Dynamic (3D) DataSphere","title-short":"Worldwide IDC Global DataSphere Forecast, 2023-2027","URL":"https://www.idc.com/getdoc.jsp?containerId=US50554523","author":[{"family":"International Data Enterprises","given":""}],"accessed":{"date-parts":[["2024",5,29]]},"issued":{"date-parts":[["2023"]]}}}],"schema":"https://github.com/citation-style-language/schema/raw/master/csl-citation.json"}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International Data Enterprises (2023)</w:t>
      </w:r>
      <w:r>
        <w:rPr>
          <w:rFonts w:ascii="Times New Roman" w:hAnsi="Times New Roman" w:cs="Times New Roman"/>
          <w:sz w:val="24"/>
          <w:szCs w:val="24"/>
        </w:rPr>
        <w:fldChar w:fldCharType="end"/>
      </w:r>
      <w:r>
        <w:rPr>
          <w:rFonts w:ascii="Times New Roman" w:hAnsi="Times New Roman" w:cs="Times New Roman"/>
          <w:sz w:val="24"/>
          <w:szCs w:val="24"/>
        </w:rPr>
        <w:t>, more than 59ZB of data was created, captured, replicated and used globally in 2020. It is expected that more data will be created in the next three years than in the past 30 years, and more than three times as much data will be created in the next five years as in the previous five years, and the data volume will grow to 175ZB by 2025 at the global scale (IBID). Scaled, diversified and dynamic Data has permeated every industry, causing massive changes in the business landscape, particularly in how organizations should compete</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{"citationID":"Wtp70DL2","properties":{"formattedCitation":"(Yaqoob {\\i{}et al.}, 2016)","plainCitation":"(Yaqoob et al., 2016)","noteIndex":0},"citationItems":[{"id":"NEZ99iNq/5db9ULrD","uris":["http://zotero.org/users/10703570/items/7GLRIEJT"],"itemData":{"id":5032,"type":"article-journal","container-title":"International Journal of Information Management","ISSN":"0268-4012","issue":"6","journalAbbreviation":"International Journal of Information Management","note":"publisher: Elsevier","page":"1231-1247","title":"Big data: From beginning to future","volume":"36","author":[{"family":"Yaqoob","given":"Ibrar"},{"family":"Hashem","given":"Ibrahim Abaker Targio"},{"family":"Gani","given":"Abdullah"},{"family":"Mokhtar","given":"Salimah"},{"family":"Ahmed","given":"Ejaz"},{"family":"Anuar","given":"Nor Badrul"},{"family":"Vasilakos","given":"Athanasios V"}],"issued":{"date-parts":[["2016"]]}}}],"schema":"https://github.com/citation-style-language/schema/raw/master/csl-citation.json"}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(Yaqoob </w:t>
      </w:r>
      <w:r>
        <w:rPr>
          <w:rFonts w:ascii="Times New Roman" w:hAnsi="Times New Roman" w:cs="Times New Roman"/>
          <w:i/>
          <w:iCs/>
          <w:sz w:val="24"/>
          <w:szCs w:val="24"/>
        </w:rPr>
        <w:t>et al.</w:t>
      </w:r>
      <w:r>
        <w:rPr>
          <w:rFonts w:ascii="Times New Roman" w:hAnsi="Times New Roman" w:cs="Times New Roman"/>
          <w:sz w:val="24"/>
          <w:szCs w:val="24"/>
        </w:rPr>
        <w:t>, 2016)</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2936C66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development of ICTs is the primary contributor to BD advancements. However, the development of ICSts represented by artificial intelligence and 5G has also been driven by BD, which in turn has led to significant changes through accelerating transformation and upgrading of traditional industries and endowing new opportunities to emerging industries, with competition boundaries showing fuzzy characteristics, and the high intensity and high-frequency interactions of competition becoming an important feature of the competition of enterprises nowadays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{"citationID":"0SD3BuiU","properties":{"formattedCitation":"(McAfee {\\i{}et al.}, 2012; Fasel and Meier, 2014; George, Haas and Pentland, 2014)","plainCitation":"(McAfee et al., 2012; Fasel and Meier, 2014; George, Haas and Pentland, 2014)","noteIndex":0},"citationItems":[{"id":"NEZ99iNq/rdGXVYrF","uris":["http://zotero.org/users/10703570/items/KS9TQMFF"],"itemData":{"id":5033,"type":"book","publisher":"Springer","title":"Big data","author":[{"family":"Fasel","given":"Daniel"},{"family":"Meier","given":"Andreas"}],"issued":{"date-parts":[["2014"]]}}},{"id":"NEZ99iNq/wh7jKM4L","uris":["http://zotero.org/users/10703570/items/C2U2HI8E"],"itemData":{"id":5035,"type":"article-journal","container-title":"Academy of management Journal","ISSN":"0001-4273","issue":"2","journalAbbreviation":"Academy of management Journal","note":"publisher: Academy of Management Briarcliff Manor, NY","page":"321-326","title":"Big data and management","volume":"57","author":[{"family":"George","given":"Gerard"},{"family":"Haas","given":"Martine R"},{"family":"Pentland","given":"Alex"}],"issued":{"date-parts":[["2014"]]}}},{"id":"NEZ99iNq/tfeKa14A","uris":["http://zotero.org/users/10703570/items/5F9XKU39"],"itemData":{"id":5034,"type":"article-journal","container-title":"Harvard business review","issue":"10","journalAbbreviation":"Harvard business review","note":"publisher: Cambridge","page":"60-68","title":"Big data: the management revolution","volume":"90","author":[{"family":"McAfee","given":"Andrew"},{"family":"Brynjolfsson","given":"Erik"},{"family":"Davenport","given":"Thomas H"},{"family":"Patil","given":"DJ"},{"family":"Barton","given":"Dominic"}],"issued":{"date-parts":[["2012"]]}}}],"schema":"https://github.com/citation-style-language/schema/raw/master/csl-citation.json"}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(McAfee </w:t>
      </w:r>
      <w:r>
        <w:rPr>
          <w:rFonts w:ascii="Times New Roman" w:hAnsi="Times New Roman" w:cs="Times New Roman"/>
          <w:i/>
          <w:iCs/>
          <w:sz w:val="24"/>
          <w:szCs w:val="24"/>
        </w:rPr>
        <w:t>et al.</w:t>
      </w:r>
      <w:r>
        <w:rPr>
          <w:rFonts w:ascii="Times New Roman" w:hAnsi="Times New Roman" w:cs="Times New Roman"/>
          <w:sz w:val="24"/>
          <w:szCs w:val="24"/>
        </w:rPr>
        <w:t>, 2012; Fasel and Meier, 2014; George, Haas and Pentland, 2014)</w:t>
      </w:r>
      <w:r>
        <w:rPr>
          <w:rFonts w:ascii="Times New Roman" w:hAnsi="Times New Roman" w:cs="Times New Roman"/>
          <w:sz w:val="24"/>
          <w:szCs w:val="24"/>
        </w:rPr>
        <w:fldChar w:fldCharType="end"/>
      </w:r>
      <w:r>
        <w:rPr>
          <w:rFonts w:ascii="Times New Roman" w:hAnsi="Times New Roman" w:cs="Times New Roman"/>
          <w:sz w:val="24"/>
          <w:szCs w:val="24"/>
        </w:rPr>
        <w:t xml:space="preserve">. Under such a circumstance, favourable policies have been issued continuously across countries to support the development of big data capabilities (BDC). Among these, China has been active and proactive in promoting BD at the industrial application level/ </w:t>
      </w:r>
    </w:p>
    <w:p w14:paraId="5878206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IDC expects that the scale of China's BD IT spending in 2028 is expected to be US$50.23 billion, accounting for about 8% of the global total, with a five-year compound growth rate of about 21.9%, ranking first in the world in terms of growth rate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{"citationID":"qSikfW78","properties":{"formattedCitation":"(IDC, 2023)","plainCitation":"(IDC, 2023)","noteIndex":0},"citationItems":[{"id":6704,"uris":["http://zotero.org/users/10703570/items/JFR2DIZA"],"itemData":{"id":6704,"type":"webpage","abstract":"IDC examines consumer markets by devices, applications, networks, and services to provide complete solutions for succeeding in these expanding markets.","container-title":"IDC: The premier global market intelligence company","title":"IDC: Seizing Opportunities, Travelling Through Cycles - China Big Data Platform Market Report 2022 Released","URL":"https://www.idc.com/getdoc.jsp?containerId=prCHC51067323","author":[{"family":"IDC","given":""}],"accessed":{"date-parts":[["2024",9,25]]},"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(IDC, 2023)</w:t>
      </w:r>
      <w:r>
        <w:rPr>
          <w:rFonts w:ascii="Times New Roman" w:hAnsi="Times New Roman" w:cs="Times New Roman"/>
          <w:sz w:val="24"/>
          <w:szCs w:val="24"/>
        </w:rPr>
        <w:fldChar w:fldCharType="end"/>
      </w:r>
      <w:r>
        <w:rPr>
          <w:rFonts w:ascii="Times New Roman" w:hAnsi="Times New Roman" w:cs="Times New Roman"/>
          <w:sz w:val="24"/>
          <w:szCs w:val="24"/>
        </w:rPr>
        <w:t xml:space="preserve">. The Party Central Committee and the State Council attach great importance to the status and role of BD in promoting economic and social development. In 2014, BD was written into the government work report for the first time, and BD gradually became a hotspot of concern for governments at all levels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{"citationID":"BbwadUcQ","properties":{"formattedCitation":"(Sina News, 2021)","plainCitation":"(Sina News, 2021)","noteIndex":0},"citationItems":[{"id":6706,"uris":["http://zotero.org/users/10703570/items/FZ7EK6QH"],"itemData":{"id":6706,"type":"webpage","abstract":"重磅！2021年中国大数据行业国家层面政策汇总及解读（全）大数据安全与产业融合发展成为行业政策建设重点","title":"China's big data industry in 2021, the national level policy summary and interpretation (full) big data security and industrial integration and development has become the focus of the industry's policy construction","URL":"https://finance.sina.cn/2021-10-24/detail-iktzscyy1459970.d.html","author":[{"family":"Sina News","given":""}],"accessed":{"date-parts":[["2024",9,25]]},"issued":{"date-parts":[["2021",10,24]]}}}],"schema":"https://github.com/citation-style-language/schema/raw/master/csl-citation.json"}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(Sina News, 2021)</w:t>
      </w:r>
      <w:r>
        <w:rPr>
          <w:rFonts w:ascii="Times New Roman" w:hAnsi="Times New Roman" w:cs="Times New Roman"/>
          <w:sz w:val="24"/>
          <w:szCs w:val="24"/>
        </w:rPr>
        <w:fldChar w:fldCharType="end"/>
      </w:r>
      <w:r>
        <w:rPr>
          <w:rFonts w:ascii="Times New Roman" w:hAnsi="Times New Roman" w:cs="Times New Roman"/>
          <w:sz w:val="24"/>
          <w:szCs w:val="24"/>
        </w:rPr>
        <w:t xml:space="preserve">. Since then, relevant state departments have issued a series of policies to encourage the development of the BD industry. In September 2015, the State Council issued the Outline of Action for Promoting the Development of Big Data, which formally elevated BD to the level of a national strategy, and the Nineteenth National Congress Report proposed to promote the in-depth integration of BD with the real economy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{"citationID":"nuY97l84","properties":{"formattedCitation":"(Sina News, 2021)","plainCitation":"(Sina News, 2021)","noteIndex":0},"citationItems":[{"id":6706,"uris":["http://zotero.org/users/10703570/items/FZ7EK6QH"],"itemData":{"id":6706,"type":"webpage","abstract":"重磅！2021年中国大数据行业国家层面政策汇总及解读（全）大数据安全与产业融合发展成为行业政策建设重点","title":"China's big data industry in 2021, the national level policy summary and interpretation (full) big data security and industrial integration and development has become the focus of the industry's policy construction","URL":"https://finance.sina.cn/2021-10-24/detail-iktzscyy1459970.d.html","author":[{"family":"Sina News","given":""}],"accessed":{"date-parts":[["2024",9,25]]},"issued":{"date-parts":[["2021",10,24]]}}}],"schema":"https://github.com/citation-style-language/schema/raw/master/csl-citation.json"}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(Sina News, 2021)</w:t>
      </w:r>
      <w:r>
        <w:rPr>
          <w:rFonts w:ascii="Times New Roman" w:hAnsi="Times New Roman" w:cs="Times New Roman"/>
          <w:sz w:val="24"/>
          <w:szCs w:val="24"/>
        </w:rPr>
        <w:fldChar w:fldCharType="end"/>
      </w:r>
      <w:r>
        <w:rPr>
          <w:rFonts w:ascii="Times New Roman" w:hAnsi="Times New Roman" w:cs="Times New Roman"/>
          <w:sz w:val="24"/>
          <w:szCs w:val="24"/>
        </w:rPr>
        <w:t xml:space="preserve">. The 14th Five-Year Plan released in March 2021 adheres to the view of data elements, is oriented to releasing the value of data elements, promotes the measurement, exchange and distribution of the value of data elements, accelerates the transformation of the advantages of the characteristics of BD, such as large capacity, multiple types, speed, accuracy and value, supports the cultivation of the market for data elements, stimulates the potential of each link in the industrial chain, leads the industrial chain and the innovation chain with the value chain and promotes the high-quality development of the industry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{"citationID":"h1x37Zxq","properties":{"formattedCitation":"(Jiang, 2023; Hu {\\i{}et al.}, 2024)","plainCitation":"(Jiang, 2023; Hu et al., 2024)","noteIndex":0},"citationItems":[{"id":"NEZ99iNq/6owC5gJA","uris":["http://zotero.org/users/10703570/items/2W5825CB"],"itemData":{"id":5039,"type":"article-journal","abstract":"Based on the panel data of 280 cities in China from 2011 to 2019, this paper examines the effects of big data policies on the digital economy development by using the national big data comprehensive pilot zones as a quasi-natural experiment. The findings of this paper are as follows. First, the big data policy significantly promotes China's digital economy development. Second, cities at a higher administrative level receive higher policy benefits than cities at a lower administrative level. Third, technological innovation and human capital are important ways for the big data policy to improve the development of the digital economy. The conclusions of this paper not only help to assess the effectiveness of big data policies and ensure the efficacy of policy implementation, but also provide policy support for local governments to fully explore the value of data elements and grasp the new opportunities for the digital economy development with the help of the pilot zones.","container-title":"Heliyon","DOI":"10.1016/j.heliyon.2024.e24638","ISSN":"2405-8440","issue":"2","journalAbbreviation":"Heliyon","page":"e24638","source":"ScienceDirect","title":"How does China's big data policy affect the digital economy of cities? Evidence from national big data comprehensive pilot zones","title-short":"How does China's big data policy affect the digital economy of cities?","volume":"10","author":[{"family":"Hu","given":"Xinyun"},{"family":"Jiang","given":"Yanling"},{"family":"Guo","given":"Pengfei"},{"family":"Li","given":"Mingming"}],"issued":{"date-parts":[["2024",1,30]]}}},{"id":"NEZ99iNq/8VKVkFT1","uris":["http://zotero.org/users/10703570/items/7KYVLRNP"],"itemData":{"id":5038,"type":"chapter","container-title":"Digital China: Big Data and Government Managerial Decision","page":"123-137","publisher":"Springer","title":"Big Data, Big Opportunity, and Big Future","author":[{"family":"Jiang","given":"Qing"}],"issued":{"date-parts":[["2023"]]}}}],"schema":"https://github.com/citation-style-language/schema/raw/master/csl-citation.json"}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(Jiang, 2023; Hu </w:t>
      </w:r>
      <w:r>
        <w:rPr>
          <w:rFonts w:ascii="Times New Roman" w:hAnsi="Times New Roman" w:cs="Times New Roman"/>
          <w:i/>
          <w:iCs/>
          <w:sz w:val="24"/>
          <w:szCs w:val="24"/>
        </w:rPr>
        <w:t>et al.</w:t>
      </w:r>
      <w:r>
        <w:rPr>
          <w:rFonts w:ascii="Times New Roman" w:hAnsi="Times New Roman" w:cs="Times New Roman"/>
          <w:sz w:val="24"/>
          <w:szCs w:val="24"/>
        </w:rPr>
        <w:t>, 2024)</w:t>
      </w:r>
      <w:r>
        <w:rPr>
          <w:rFonts w:ascii="Times New Roman" w:hAnsi="Times New Roman" w:cs="Times New Roman"/>
          <w:sz w:val="24"/>
          <w:szCs w:val="24"/>
        </w:rPr>
        <w:fldChar w:fldCharType="end"/>
      </w:r>
      <w:r>
        <w:rPr>
          <w:rFonts w:ascii="Times New Roman" w:hAnsi="Times New Roman" w:cs="Times New Roman"/>
          <w:sz w:val="24"/>
          <w:szCs w:val="24"/>
        </w:rPr>
        <w:t>.</w:t>
      </w:r>
    </w:p>
    <w:p w14:paraId="1380C82C">
      <w:pPr>
        <w:spacing w:before="120" w:after="120" w:line="240" w:lineRule="auto"/>
        <w:jc w:val="center"/>
        <w:rPr>
          <w:rFonts w:ascii="Times New Roman" w:hAnsi="Times New Roman" w:cs="Times New Roman"/>
          <w:sz w:val="20"/>
          <w:szCs w:val="20"/>
        </w:rPr>
      </w:pPr>
      <w:r>
        <w:rPr>
          <w:rFonts w:ascii="Times New Roman" w:hAnsi="Times New Roman" w:cs="Times New Roman"/>
          <w:sz w:val="20"/>
          <w:szCs w:val="20"/>
        </w:rPr>
        <w:drawing>
          <wp:inline distT="0" distB="0" distL="0" distR="0">
            <wp:extent cx="5273040" cy="1984375"/>
            <wp:effectExtent l="0" t="0" r="3810" b="0"/>
            <wp:docPr id="2367280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728016" name="图片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314122" cy="1999879"/>
                    </a:xfrm>
                    <a:prstGeom prst="rect">
                      <a:avLst/>
                    </a:prstGeom>
                    <a:noFill/>
                  </pic:spPr>
                </pic:pic>
              </a:graphicData>
            </a:graphic>
          </wp:inline>
        </w:drawing>
      </w:r>
    </w:p>
    <w:p w14:paraId="4E8BF9E7">
      <w:pPr>
        <w:spacing w:before="120" w:after="120" w:line="240" w:lineRule="auto"/>
        <w:jc w:val="center"/>
        <w:rPr>
          <w:rFonts w:ascii="Times New Roman" w:hAnsi="Times New Roman" w:cs="Times New Roman"/>
          <w:sz w:val="20"/>
          <w:szCs w:val="20"/>
        </w:rPr>
      </w:pPr>
      <w:r>
        <w:rPr>
          <w:rFonts w:ascii="Times New Roman" w:hAnsi="Times New Roman" w:cs="Times New Roman"/>
          <w:sz w:val="20"/>
          <w:szCs w:val="20"/>
        </w:rPr>
        <w:t>Figure 1-1: State of Big data adoption in organisations at the global scale</w:t>
      </w:r>
    </w:p>
    <w:p w14:paraId="6AFEFC6A">
      <w:pPr>
        <w:spacing w:before="120" w:after="120" w:line="240" w:lineRule="auto"/>
        <w:jc w:val="center"/>
        <w:rPr>
          <w:rFonts w:ascii="Times New Roman" w:hAnsi="Times New Roman" w:cs="Times New Roman"/>
          <w:sz w:val="24"/>
          <w:szCs w:val="24"/>
        </w:rPr>
      </w:pPr>
      <w:r>
        <w:rPr>
          <w:rFonts w:ascii="Times New Roman" w:hAnsi="Times New Roman" w:cs="Times New Roman"/>
          <w:sz w:val="20"/>
          <w:szCs w:val="20"/>
        </w:rPr>
        <w:t xml:space="preserve">Source: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{"citationID":"nftwyoJU","properties":{"formattedCitation":"(Statista, 2024)","plainCitation":"(Statista, 2024)","noteIndex":0},"citationItems":[{"id":6702,"uris":["http://zotero.org/users/10703570/items/K3SRY8BW"],"itemData":{"id":6702,"type":"webpage","abstract":"Find the latest statistics and facts about the big data market","container-title":"Statista","language":"en","title":"Topic: Big data","title-short":"Topic","URL":"https://www.statista.com/topics/1464/big-data/","author":[{"family":"Statista","given":""}],"accessed":{"date-parts":[["2024",9,25]]},"issued":{"date-parts":[["2024"]]}}}],"schema":"https://github.com/citation-style-language/schema/raw/master/csl-citation.json"} </w:instrText>
      </w:r>
      <w:r>
        <w:rPr>
          <w:rFonts w:ascii="Times New Roman" w:hAnsi="Times New Roman" w:cs="Times New Roman"/>
          <w:sz w:val="20"/>
          <w:szCs w:val="20"/>
        </w:rPr>
        <w:fldChar w:fldCharType="separate"/>
      </w:r>
      <w:r>
        <w:rPr>
          <w:rFonts w:ascii="Times New Roman" w:hAnsi="Times New Roman" w:cs="Times New Roman"/>
          <w:sz w:val="20"/>
          <w:szCs w:val="18"/>
        </w:rPr>
        <w:t>(Statista, 2024)</w:t>
      </w:r>
      <w:r>
        <w:rPr>
          <w:rFonts w:ascii="Times New Roman" w:hAnsi="Times New Roman" w:cs="Times New Roman"/>
          <w:sz w:val="20"/>
          <w:szCs w:val="20"/>
        </w:rPr>
        <w:fldChar w:fldCharType="end"/>
      </w:r>
    </w:p>
    <w:p w14:paraId="5326651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this context, many enterprises have realised that the development of BD may bring unprecedented opportunities for their businesses. In 2023, 77.6% of organisations worldwide have driven innovation with BD, 50% of organisations have competed on data and analytics, 49.1% of organisations have managed BD as an essential asset for sustainable growth, 48.1% of organisations have positioned themselves as being driven by BD insights; and 42.6% of organisations have established a BD culture where BD is effectively integrated into all different aspects of management and operations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{"citationID":"C4HI8sm7","properties":{"formattedCitation":"(Statista, 2024)","plainCitation":"(Statista, 2024)","noteIndex":0},"citationItems":[{"id":6702,"uris":["http://zotero.org/users/10703570/items/K3SRY8BW"],"itemData":{"id":6702,"type":"webpage","abstract":"Find the latest statistics and facts about the big data market","container-title":"Statista","language":"en","title":"Topic: Big data","title-short":"Topic","URL":"https://www.statista.com/topics/1464/big-data/","author":[{"family":"Statista","given":""}],"accessed":{"date-parts":[["2024",9,25]]},"issued":{"date-parts":[["2024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(Statista, 2024)</w:t>
      </w:r>
      <w:r>
        <w:rPr>
          <w:rFonts w:ascii="Times New Roman" w:hAnsi="Times New Roman" w:cs="Times New Roman"/>
          <w:sz w:val="24"/>
          <w:szCs w:val="24"/>
        </w:rPr>
        <w:fldChar w:fldCharType="end"/>
      </w:r>
      <w:r>
        <w:rPr>
          <w:rFonts w:ascii="Times New Roman" w:hAnsi="Times New Roman" w:cs="Times New Roman"/>
          <w:sz w:val="24"/>
          <w:szCs w:val="24"/>
        </w:rPr>
        <w:t>.</w:t>
      </w:r>
    </w:p>
    <w:p w14:paraId="1414D74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both opportunities and challenges exist in terms of rapid BD development. According to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{"citationID":"jolTSnwQ","properties":{"formattedCitation":"(Drummer, 2020)","plainCitation":"(Drummer, 2020)","dontUpdate":true,"noteIndex":0},"citationItems":[{"id":"NEZ99iNq/hKqe8Jp0","uris":["http://zotero.org/users/10703570/items/39IT2V7C"],"itemData":{"id":5042,"type":"webpage","abstract":"According to projections from IDC, 80% of worldwide data will be unstructured by 2025.[1] Even though most enterprises already use data warehouses to analyze structured data, more are now turning to data lakes to leverage unstructured and semi-structed data in its native format. This includes the growing volume of streaming audio and video, social media, […]","container-title":"IBM Blog","language":"en-US","title":"Extracting insights from complex, unstructured big data","URL":"https://www.ibm.com/blog/managing-unstructured-data/www.ibm.com/blog/managing-unstructured-data","author":[{"family":"Drummer","given":"Alan"}],"accessed":{"date-parts":[["2024",5,29]]},"issued":{"date-parts":[["2020",11,20]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Drummer (2020)</w:t>
      </w:r>
      <w:r>
        <w:rPr>
          <w:rFonts w:ascii="Times New Roman" w:hAnsi="Times New Roman" w:cs="Times New Roman"/>
          <w:sz w:val="24"/>
          <w:szCs w:val="24"/>
        </w:rPr>
        <w:fldChar w:fldCharType="end"/>
      </w:r>
      <w:r>
        <w:rPr>
          <w:rFonts w:ascii="Times New Roman" w:hAnsi="Times New Roman" w:cs="Times New Roman"/>
          <w:sz w:val="24"/>
          <w:szCs w:val="24"/>
        </w:rPr>
        <w:t xml:space="preserve">, most of the data obtained by enterprises are unstructured, and most of the enterprises have only analysed and applied 1% of all the data. How to transform ‘BD resources’ into ‘BD capabilities’ and then further transform them into competitiveness and performance advantages has become a major issue and challenge for enterprises. Although scholars have recognised the importance of BDC and called for relevant research, existing research focuses more on the economic benefits it brings, such as the direct relationship between BDC and enterprise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{"citationID":"Wcokp7eY","properties":{"formattedCitation":"(Wamba, Gunasekaran, Akter, Ren, Dubey and Stephen J Childe, 2017; Mikalef {\\i{}et al.}, 2019a; Singh and Del Giudice, 2019a)","plainCitation":"(Wamba, Gunasekaran, Akter, Ren, Dubey and Stephen J Childe, 2017; Mikalef et al., 2019a; Singh and Del Giudice, 2019a)","noteIndex":0},"citationItems":[{"id":"NEZ99iNq/xXrc9nl2","uris":["http://zotero.org/users/10703570/items/YXHQ5IXG"],"itemData":{"id":5046,"type":"article-journal","container-title":"Journal of Business Research","ISSN":"0148-2963","journalAbbreviation":"Journal of Business Research","note":"publisher: Elsevier","page":"261-276","title":"Big data analytics and firm performance: Findings from a mixed-method approach","volume":"98","author":[{"family":"Mikalef","given":"Patrick"},{"family":"Boura","given":"Maria"},{"family":"Lekakos","given":"George"},{"family":"Krogstie","given":"John"}],"issued":{"date-parts":[["2019"]]}}},{"id":"NEZ99iNq/Asm4XxXb","uris":["http://zotero.org/users/10703570/items/RZV4SNUK"],"itemData":{"id":5045,"type":"article-journal","container-title":"Management Decision","ISSN":"0025-1747","issue":"8","journalAbbreviation":"Management Decision","note":"publisher: Emerald Publishing Limited","page":"1729-1733","title":"Big data analytics, dynamic capabilities and firm performance","volume":"57","author":[{"family":"Singh","given":"Sanjay Kumar"},{"family":"Del Giudice","given":"Manlio"}],"issued":{"date-parts":[["2019"]]}}},{"id":"NEZ99iNq/OfVukBDU","uris":["http://zotero.org/users/10703570/items/AIWWLWQW"],"itemData":{"id":5044,"type":"article-journal","container-title":"Journal of business research","ISSN":"0148-2963","journalAbbreviation":"Journal of business research","note":"publisher: Elsevier","page":"356-365","title":"Big data analytics and firm performance: Effects of dynamic capabilities","volume":"70","author":[{"family":"Wamba","given":"Samuel Fosso"},{"family":"Gunasekaran","given":"Angappa"},{"family":"Akter","given":"Shahriar"},{"family":"Ren","given":"Steven Ji-fan"},{"family":"Dubey","given":"Rameshwar"},{"family":"Childe","given":"Stephen J"}],"issued":{"date-parts":[["2017"]]}}}],"schema":"https://github.com/citation-style-language/schema/raw/master/csl-citation.json"}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(Wamba, Gunasekaran, Akter, Ren, Dubey and Stephen J Childe, 2017; Mikalef </w:t>
      </w:r>
      <w:r>
        <w:rPr>
          <w:rFonts w:ascii="Times New Roman" w:hAnsi="Times New Roman" w:cs="Times New Roman"/>
          <w:i/>
          <w:iCs/>
          <w:sz w:val="24"/>
          <w:szCs w:val="24"/>
        </w:rPr>
        <w:t>et al.</w:t>
      </w:r>
      <w:r>
        <w:rPr>
          <w:rFonts w:ascii="Times New Roman" w:hAnsi="Times New Roman" w:cs="Times New Roman"/>
          <w:sz w:val="24"/>
          <w:szCs w:val="24"/>
        </w:rPr>
        <w:t>, 2019a; Singh and Del Giudice, 2019a)</w:t>
      </w:r>
      <w:r>
        <w:rPr>
          <w:rFonts w:ascii="Times New Roman" w:hAnsi="Times New Roman" w:cs="Times New Roman"/>
          <w:sz w:val="24"/>
          <w:szCs w:val="24"/>
        </w:rPr>
        <w:fldChar w:fldCharType="end"/>
      </w:r>
      <w:r>
        <w:rPr>
          <w:rFonts w:ascii="Times New Roman" w:hAnsi="Times New Roman" w:cs="Times New Roman"/>
          <w:sz w:val="24"/>
          <w:szCs w:val="24"/>
        </w:rPr>
        <w:t>, ignoring their contribution to other benefits, such as innovation. Particularly, existing research on BDC mostly adopts a static perspective, focusing on its short-term economic benefits while lacking in-depth discussion on how BDC can enhance the long-term competitiveness of enterprises, such as innovation. Therefore, this study not only focuses on the direct impact of BDC on the financial performance of enterprises but also further explores how BDC affects the long-term competitive advantage of enterprises, which is reflected in their innovation performance. At the same time, globally, how BDC affect business performance has been widely studied.</w:t>
      </w:r>
    </w:p>
    <w:p w14:paraId="03021E6C">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relevant literature covers various types of industries and regions, including manufacturing, finance, and services, etc. Scholars from different countries and regions have explored how BD can enhance firms' innovation capability, operational efficiency, customer satisfaction, and financial performance. These studies have demonstrated the importance of BDC for enterprise competitiveness enhancement and provided a wealth of empirical data to support them. However, despite the fact that China is one of the largest Internet and data markets in the world, the number of studies on how Chinese firms can leverage BDC to enhance their performance remains limited. The environment in which Chinese companies apply BD differs significantly from that of Western countries. This includes differences in government regulation, data policies, cultural differences, and technological infrastructure, all of which affect the application of BDC and the performance of firms. However, most of the current studies are based on the contexts of developed countries in Europe and the US, which are difficult to borrow from China directly. Therefore, the existing theoretical frameworks and empirical methods need to be revalidated and adapted in the Chinese context to suit the unique environment of China. In addition, existing research on BDC in the Chinese context is often fragmented and fails to develop a unified theoretical framework or empirical analysis tools. This makes academic discussions on BDC in the Chinese context fragmented and difficult to develop synergies.</w:t>
      </w:r>
    </w:p>
    <w:p w14:paraId="0355C5A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according to organisational learning (OL) theory, OL as a process of constantly testing and correcting errors, whose value is embodied in the continuous generation and application of new knowledge or ideas to create value, has been perceived as relevant and significant for enterprises to overcome inherent path dependence in operation and achieve improved performance and greater innovation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{"citationID":"yQ8y9ApR","properties":{"formattedCitation":"(Murray and Chapman, 2003; Wallis, 2009)","plainCitation":"(Murray and Chapman, 2003; Wallis, 2009)","noteIndex":0},"citationItems":[{"id":"NEZ99iNq/MFGyuNgD","uris":["http://zotero.org/users/10703570/items/MITJ2FTH"],"itemData":{"id":5047,"type":"article-journal","container-title":"The learning organization","ISSN":"0969-6474","issue":"5","journalAbbreviation":"The learning organization","note":"publisher: MCB UP Ltd","page":"272-282","title":"From continuous improvement to organisational learning: developmental theory","volume":"10","author":[{"family":"Murray","given":"Peter"},{"family":"Chapman","given":"Ross"}],"issued":{"date-parts":[["2003"]]}}},{"id":"NEZ99iNq/Tm0nRLMv","uris":["http://zotero.org/users/10703570/items/M5ZC4FYF"],"itemData":{"id":5048,"type":"article-journal","container-title":"International Journal of Collaborative Enterprise","ISSN":"1740-2085","issue":"2","journalAbbreviation":"International Journal of Collaborative Enterprise","note":"publisher: Inderscience Publishers","page":"180-193","title":"Seeking the robust core of organisational learning theory","volume":"1","author":[{"family":"Wallis","given":"Steven E"}],"issued":{"date-parts":[["2009"]]}}}],"schema":"https://github.com/citation-style-language/schema/raw/master/csl-citation.json"}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(Murray and Chapman, 2003; Wallis, 2009)</w:t>
      </w:r>
      <w:r>
        <w:rPr>
          <w:rFonts w:ascii="Times New Roman" w:hAnsi="Times New Roman" w:cs="Times New Roman"/>
          <w:sz w:val="24"/>
          <w:szCs w:val="24"/>
        </w:rPr>
        <w:fldChar w:fldCharType="end"/>
      </w:r>
      <w:r>
        <w:rPr>
          <w:rFonts w:ascii="Times New Roman" w:hAnsi="Times New Roman" w:cs="Times New Roman"/>
          <w:sz w:val="24"/>
          <w:szCs w:val="24"/>
        </w:rPr>
        <w:t>. In the era of the digital economy, with data becoming the new factor of production after labour, capital, land, knowledge, technology and management, OL, which used to be based on the acquisition and utilisation of knowledge, has been given new characteristics. However, existing studies are still controversial about the effect of OL, especially the gap in theoretical studies about the inner mechanism of BDC affecting enterprise performance. The conceptual connotation and dimensionality of OL in the context of BDC are ambiguous, and it is not yet clear whether OL plays a bridging role between BDC and the performance of enterprises in digital transformation.</w:t>
      </w:r>
    </w:p>
    <w:p w14:paraId="0C8BE51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short, as the application of BD continues to deepen, Chinese enterprises need to solve the problem of extracting value from vast data resources and explore how to turn this value into a substantial competitive advantage, thereby promoting the sustainable development of the enterprise. This is also a key issue that urgently needs to be addressed in the field of BDC research at this stage. Given the growing role of Chinese companies in the global economy and the strong support for BD at the macro level in China, it is important to explore in depth how BDC can impact business performance in the Chinese context.</w:t>
      </w:r>
    </w:p>
    <w:p w14:paraId="6DE0A340">
      <w:pPr>
        <w:spacing w:before="120" w:after="240" w:line="360" w:lineRule="auto"/>
        <w:jc w:val="both"/>
        <w:rPr>
          <w:rFonts w:ascii="Times New Roman" w:hAnsi="Times New Roman" w:cs="Times New Roman"/>
          <w:sz w:val="24"/>
          <w:szCs w:val="24"/>
        </w:rPr>
      </w:pPr>
    </w:p>
    <w:p w14:paraId="5DE3C926">
      <w:pPr>
        <w:pStyle w:val="3"/>
        <w:numPr>
          <w:ilvl w:val="1"/>
          <w:numId w:val="1"/>
        </w:numPr>
        <w:spacing w:after="240" w:line="360" w:lineRule="auto"/>
        <w:jc w:val="both"/>
        <w:rPr>
          <w:rFonts w:ascii="Times New Roman" w:hAnsi="Times New Roman" w:cs="Times New Roman"/>
          <w:color w:val="auto"/>
        </w:rPr>
      </w:pPr>
      <w:bookmarkStart w:id="11" w:name="_Toc178258251"/>
      <w:r>
        <w:rPr>
          <w:rFonts w:ascii="Times New Roman" w:hAnsi="Times New Roman" w:cs="Times New Roman"/>
          <w:color w:val="auto"/>
        </w:rPr>
        <w:t>Research Questions</w:t>
      </w:r>
      <w:bookmarkEnd w:id="11"/>
      <w:r>
        <w:rPr>
          <w:rFonts w:ascii="Times New Roman" w:hAnsi="Times New Roman" w:cs="Times New Roman"/>
          <w:color w:val="auto"/>
        </w:rPr>
        <w:t xml:space="preserve"> </w:t>
      </w:r>
    </w:p>
    <w:p w14:paraId="06A8AB06">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As the Chinese government vigorously promotes BD transformation with BDC as the infrastructure, the following research questions need to be further addressed in the Chinese context.</w:t>
      </w:r>
    </w:p>
    <w:p w14:paraId="0FB5AE18">
      <w:pPr>
        <w:pStyle w:val="54"/>
        <w:numPr>
          <w:ilvl w:val="0"/>
          <w:numId w:val="2"/>
        </w:num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Research Question 1: How does the adoption of BDC impact enterprise performance among Chinese organisations?</w:t>
      </w:r>
    </w:p>
    <w:p w14:paraId="47E488F0">
      <w:pPr>
        <w:pStyle w:val="54"/>
        <w:numPr>
          <w:ilvl w:val="0"/>
          <w:numId w:val="2"/>
        </w:num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Research Question 2: What are the mediating effects of OL in the above relationship?</w:t>
      </w:r>
    </w:p>
    <w:p w14:paraId="25663E33">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practical terms, the motivation for the present research comes from the real challenges and opportunities confronted by Chinese organisations in the BD era. With the rapid development of ICTs, enterprises not only need to acquire and store massive amounts of data but also face the problem of how to effectively analyse, process and apply this data to gain a competitive advantage. Drummer (2020) pointed out that most enterprises can only analyse and utilise 1% of the data they acquire, and the large amount of untapped “sleeping data” means that the potential commercial value has not yet been tapped. At the same time, the processing capabilities of most companies are already struggling to cope with the ever-increasing amount of data, resulting in data resources not being converted into actual competitiveness in a timely manner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{"citationID":"AXHHCVQz","properties":{"formattedCitation":"(Shamim {\\i{}et al.}, 2019; Wang and Ali, 2023)","plainCitation":"(Shamim et al., 2019; Wang and Ali, 2023)","noteIndex":0},"citationItems":[{"id":"NEZ99iNq/aaJe3bPc","uris":["http://zotero.org/users/10703570/items/VWNNFAIZ"],"itemData":{"id":"YGBwr0bu/A8LXdXA3","type":"article-journal","container-title":"Information &amp; Management","ISSN":"0378-7206","issue":"6","journalAbbreviation":"Information &amp; Management","note":"publisher: Elsevier","page":"103135","title":"Role of big data management in enhancing big data decision-making capability and quality among Chinese firms: A dynamic capabilities view","volume":"56","author":[{"family":"Shamim","given":"Saqib"},{"family":"Zeng","given":"Jing"},{"family":"Shariq","given":"Syed Muhammad"},{"family":"Khan","given":"Zaheer"}],"issued":{"date-parts":[["2019"]]}}},{"id":6571,"uris":["http://zotero.org/users/10703570/items/AAUUCZEB"],"itemData":{"id":6571,"type":"article-journal","container-title":"Asia Pacific Business Review","ISSN":"1360-2381","issue":"3","journalAbbreviation":"Asia Pacific Business Review","note":"publisher: Taylor &amp; Francis","page":"632-653","title":"Exploring big data use to predict supply chain effectiveness in Chinese organizations: a moderated mediated model link","volume":"29","author":[{"family":"Wang","given":"Yu"},{"family":"Ali","given":"Zulqurnain"}],"issued":{"date-parts":[["2023"]]}}}],"schema":"https://github.com/citation-style-language/schema/raw/master/csl-citation.json"}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(Shamim </w:t>
      </w:r>
      <w:r>
        <w:rPr>
          <w:rFonts w:ascii="Times New Roman" w:hAnsi="Times New Roman" w:cs="Times New Roman"/>
          <w:i/>
          <w:iCs/>
          <w:sz w:val="24"/>
          <w:szCs w:val="24"/>
        </w:rPr>
        <w:t>et al.</w:t>
      </w:r>
      <w:r>
        <w:rPr>
          <w:rFonts w:ascii="Times New Roman" w:hAnsi="Times New Roman" w:cs="Times New Roman"/>
          <w:sz w:val="24"/>
          <w:szCs w:val="24"/>
        </w:rPr>
        <w:t>, 2019; Wang and Ali, 2023)</w:t>
      </w:r>
      <w:r>
        <w:rPr>
          <w:rFonts w:ascii="Times New Roman" w:hAnsi="Times New Roman" w:cs="Times New Roman"/>
          <w:sz w:val="24"/>
          <w:szCs w:val="24"/>
        </w:rPr>
        <w:fldChar w:fldCharType="end"/>
      </w:r>
      <w:r>
        <w:rPr>
          <w:rFonts w:ascii="Times New Roman" w:hAnsi="Times New Roman" w:cs="Times New Roman"/>
          <w:sz w:val="24"/>
          <w:szCs w:val="24"/>
        </w:rPr>
        <w:t>. Against the backdrop that BD has been substantially promulgated in China, the question of how to transform BD resources into BDC and use BDC to improve different aspects of a company's performance has become an urgent issue for companies to address. This study attempts to provide practical implications for Chinese companies on how to effectively utilise and construct BDCs to improve organizational outcomes in the BD environment.</w:t>
      </w:r>
    </w:p>
    <w:p w14:paraId="5E6CEA4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academic level, the motivation of the present research is to narrow the existing research gap on BDC. Although some research has explored the causal effect association between BDC and corporate financial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{"citationID":"IEq9aEF3","properties":{"formattedCitation":"(Akter {\\i{}et al.}, 2019; Mikalef {\\i{}et al.}, 2019a)","plainCitation":"(Akter et al., 2019; Mikalef et al., 2019a)","noteIndex":0},"citationItems":[{"id":"NEZ99iNq/4EukyIyb","uris":["http://zotero.org/users/10703570/items/T4GY2I8F"],"itemData":{"id":"YGBwr0bu/xUu7ki9W","type":"article-journal","container-title":"Journal of Strategic Marketing","ISSN":"0965-254X","issue":"6","journalAbbreviation":"Journal of Strategic Marketing","note":"publisher: Taylor &amp; Francis","page":"521-539","title":"How talent capability can shape service analytics capability in the big data environment?","volume":"27","author":[{"family":"Akter","given":"Shahriar"},{"family":"Fosso Wamba","given":"Samuel"},{"family":"Barrett","given":"Mary"},{"family":"Biswas","given":"Kumar"}],"issued":{"date-parts":[["2019"]]}}},{"id":"NEZ99iNq/xXrc9nl2","uris":["http://zotero.org/users/10703570/items/YXHQ5IXG"],"itemData":{"id":"YGBwr0bu/yx1msNdc","type":"article-journal","container-title":"Journal of Business Research","ISSN":"0148-2963","journalAbbreviation":"Journal of Business Research","note":"publisher: Elsevier","page":"261-276","title":"Big data analytics and firm performance: Findings from a mixed-method approach","volume":"98","author":[{"family":"Mikalef","given":"Patrick"},{"family":"Boura","given":"Maria"},{"family":"Lekakos","given":"George"},{"family":"Krogstie","given":"John"}],"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(Akter </w:t>
      </w:r>
      <w:r>
        <w:rPr>
          <w:rFonts w:ascii="Times New Roman" w:hAnsi="Times New Roman" w:cs="Times New Roman"/>
          <w:i/>
          <w:iCs/>
          <w:sz w:val="24"/>
          <w:szCs w:val="24"/>
        </w:rPr>
        <w:t>et al.</w:t>
      </w:r>
      <w:r>
        <w:rPr>
          <w:rFonts w:ascii="Times New Roman" w:hAnsi="Times New Roman" w:cs="Times New Roman"/>
          <w:sz w:val="24"/>
          <w:szCs w:val="24"/>
        </w:rPr>
        <w:t xml:space="preserve">, 2019; Mikalef </w:t>
      </w:r>
      <w:r>
        <w:rPr>
          <w:rFonts w:ascii="Times New Roman" w:hAnsi="Times New Roman" w:cs="Times New Roman"/>
          <w:i/>
          <w:iCs/>
          <w:sz w:val="24"/>
          <w:szCs w:val="24"/>
        </w:rPr>
        <w:t>et al.</w:t>
      </w:r>
      <w:r>
        <w:rPr>
          <w:rFonts w:ascii="Times New Roman" w:hAnsi="Times New Roman" w:cs="Times New Roman"/>
          <w:sz w:val="24"/>
          <w:szCs w:val="24"/>
        </w:rPr>
        <w:t>, 2019a)</w:t>
      </w:r>
      <w:r>
        <w:rPr>
          <w:rFonts w:ascii="Times New Roman" w:hAnsi="Times New Roman" w:cs="Times New Roman"/>
          <w:sz w:val="24"/>
          <w:szCs w:val="24"/>
        </w:rPr>
        <w:fldChar w:fldCharType="end"/>
      </w:r>
      <w:r>
        <w:rPr>
          <w:rFonts w:ascii="Times New Roman" w:hAnsi="Times New Roman" w:cs="Times New Roman"/>
          <w:sz w:val="24"/>
          <w:szCs w:val="24"/>
        </w:rPr>
        <w:t>, relatively few studies have examined how BDC affects corporate performance (such as innovation) and how intermediary mechanisms (such as OL) affects the relationship, particularly in the Chinese context. Therefore, the present study hopes to enrich the academic understanding of BDC in strategic management and provide a theoretical basis for future related research by systematically analysing the multidimensional structure of BDC and its impact on corporate innovation and financial performance and, in particular, exploring the mediating role of OL between BDC and corporate performance, in the Chinese context.</w:t>
      </w:r>
    </w:p>
    <w:p w14:paraId="136508D4">
      <w:pPr>
        <w:spacing w:before="120" w:after="240" w:line="360" w:lineRule="auto"/>
        <w:jc w:val="both"/>
        <w:rPr>
          <w:rFonts w:ascii="Times New Roman" w:hAnsi="Times New Roman" w:cs="Times New Roman"/>
          <w:sz w:val="24"/>
          <w:szCs w:val="24"/>
        </w:rPr>
      </w:pPr>
    </w:p>
    <w:p w14:paraId="26106EBB">
      <w:pPr>
        <w:pStyle w:val="3"/>
        <w:numPr>
          <w:ilvl w:val="1"/>
          <w:numId w:val="1"/>
        </w:numPr>
        <w:spacing w:after="240" w:line="360" w:lineRule="auto"/>
        <w:jc w:val="both"/>
        <w:rPr>
          <w:rFonts w:ascii="Times New Roman" w:hAnsi="Times New Roman" w:cs="Times New Roman"/>
          <w:color w:val="auto"/>
        </w:rPr>
      </w:pPr>
      <w:bookmarkStart w:id="12" w:name="_Toc178258252"/>
      <w:r>
        <w:rPr>
          <w:rFonts w:ascii="Times New Roman" w:hAnsi="Times New Roman" w:cs="Times New Roman"/>
          <w:color w:val="auto"/>
        </w:rPr>
        <w:t>Structure of the Dissertation</w:t>
      </w:r>
      <w:bookmarkEnd w:id="12"/>
      <w:r>
        <w:rPr>
          <w:rFonts w:ascii="Times New Roman" w:hAnsi="Times New Roman" w:cs="Times New Roman"/>
          <w:color w:val="auto"/>
        </w:rPr>
        <w:t xml:space="preserve">  </w:t>
      </w:r>
    </w:p>
    <w:p w14:paraId="5F74BAD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Chapter One: This chapter first elaborates on the potential impact of BDC on business performance and its practical significance, highlighting the unique Chinese context where BD has been actively and proactively promulgated. Then, it justifies the necessity of the existing research and presents the research problem and research significance.</w:t>
      </w:r>
    </w:p>
    <w:p w14:paraId="1C31ED0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Chapter Two: This chapter reviews and analyses the key literature related to BDC, OL, and firm performance. It then explores several theoretical underpinnings for the present study, which facilitates the formulation of the research hypotheses.</w:t>
      </w:r>
    </w:p>
    <w:p w14:paraId="425F1496">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Chapter Three: This chapter explains the research design based on the research onion model. </w:t>
      </w:r>
    </w:p>
    <w:p w14:paraId="54A59FAC">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Chapter Four: This chapter presents empirical analysis outcomes based on the sample data collected to test the hypotheses. In conjunction with the results of the analyses, this chapter also compares and discusses in relation to the existing literature.</w:t>
      </w:r>
    </w:p>
    <w:p w14:paraId="70EB79E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Chapter Five: This chapter concludes the study's key findings and discusses its practical implications. It also discusses the study's limitations and provides several suggested directions for future research.</w:t>
      </w:r>
    </w:p>
    <w:p w14:paraId="14AF71E6">
      <w:pPr>
        <w:spacing w:before="120" w:after="240" w:line="360" w:lineRule="auto"/>
        <w:jc w:val="both"/>
        <w:rPr>
          <w:rFonts w:ascii="Times New Roman" w:hAnsi="Times New Roman" w:cs="Times New Roman"/>
          <w:sz w:val="24"/>
          <w:szCs w:val="28"/>
        </w:rPr>
      </w:pPr>
      <w:r>
        <w:rPr>
          <w:rFonts w:ascii="Times New Roman" w:hAnsi="Times New Roman" w:cs="Times New Roman"/>
          <w:sz w:val="24"/>
          <w:szCs w:val="28"/>
        </w:rPr>
        <w:br w:type="page"/>
      </w:r>
    </w:p>
    <w:p w14:paraId="29B15135">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13" w:name="_Toc178258253"/>
      <w:r>
        <w:rPr>
          <w:rFonts w:ascii="Times New Roman" w:hAnsi="Times New Roman" w:cs="Times New Roman"/>
          <w:color w:val="000000"/>
          <w14:textFill>
            <w14:solidFill>
              <w14:srgbClr w14:val="000000">
                <w14:lumMod w14:val="85000"/>
                <w14:lumOff w14:val="15000"/>
              </w14:srgbClr>
            </w14:solidFill>
          </w14:textFill>
        </w:rPr>
        <w:t>Chapter Two: Literature Review</w:t>
      </w:r>
      <w:bookmarkEnd w:id="13"/>
      <w:r>
        <w:rPr>
          <w:rFonts w:ascii="Times New Roman" w:hAnsi="Times New Roman" w:cs="Times New Roman"/>
          <w:color w:val="000000"/>
          <w14:textFill>
            <w14:solidFill>
              <w14:srgbClr w14:val="000000">
                <w14:lumMod w14:val="85000"/>
                <w14:lumOff w14:val="15000"/>
              </w14:srgbClr>
            </w14:solidFill>
          </w14:textFill>
        </w:rPr>
        <w:t xml:space="preserve"> </w:t>
      </w:r>
    </w:p>
    <w:p w14:paraId="1285312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chapter provides a comprehensive conceptualisation of BDC and enterprise performance, and the chapter also reviews the theory related to BDC. Based on an understanding of these theoretical foundations, the chapter moves on to a review of existing empirical studies regarding the impacts of BDC on financial and innovation performance and the role played by OL. The literature reveals the gap in understanding the mechanism through which BDC influence financial and innovative outcomes. The then chapter proposes hypotheses to extend existing knowledge by grounding the analysis in established theories, such as resourced-based theory (RBT), dynamic capability theory (DCT), and organisational learning theory (OLT).</w:t>
      </w:r>
    </w:p>
    <w:p w14:paraId="1ABA6E6C">
      <w:pPr>
        <w:spacing w:before="120" w:after="240" w:line="360" w:lineRule="auto"/>
        <w:jc w:val="both"/>
        <w:rPr>
          <w:rFonts w:ascii="Times New Roman" w:hAnsi="Times New Roman" w:cs="Times New Roman"/>
          <w:sz w:val="24"/>
          <w:szCs w:val="24"/>
        </w:rPr>
      </w:pPr>
    </w:p>
    <w:p w14:paraId="7D2AD7E2">
      <w:pPr>
        <w:pStyle w:val="3"/>
        <w:spacing w:after="240" w:line="360" w:lineRule="auto"/>
        <w:jc w:val="both"/>
        <w:rPr>
          <w:rFonts w:ascii="Times New Roman" w:hAnsi="Times New Roman" w:cs="Times New Roman"/>
          <w:color w:val="auto"/>
        </w:rPr>
      </w:pPr>
      <w:bookmarkStart w:id="14" w:name="_Toc178258254"/>
      <w:r>
        <w:rPr>
          <w:rFonts w:ascii="Times New Roman" w:hAnsi="Times New Roman" w:cs="Times New Roman"/>
          <w:color w:val="auto"/>
        </w:rPr>
        <w:t>2.1 The Conceptualization of Big Data Capabilities</w:t>
      </w:r>
      <w:bookmarkEnd w:id="14"/>
      <w:r>
        <w:rPr>
          <w:rFonts w:ascii="Times New Roman" w:hAnsi="Times New Roman" w:cs="Times New Roman"/>
          <w:color w:val="auto"/>
        </w:rPr>
        <w:t xml:space="preserve"> </w:t>
      </w:r>
    </w:p>
    <w:p w14:paraId="6FA8F136">
      <w:pPr>
        <w:pStyle w:val="4"/>
        <w:spacing w:before="120" w:after="240" w:line="360" w:lineRule="auto"/>
        <w:jc w:val="both"/>
        <w:rPr>
          <w:rFonts w:ascii="Times New Roman" w:hAnsi="Times New Roman" w:cs="Times New Roman"/>
          <w:color w:val="auto"/>
        </w:rPr>
      </w:pPr>
      <w:bookmarkStart w:id="15" w:name="_Toc178258255"/>
      <w:r>
        <w:rPr>
          <w:rFonts w:ascii="Times New Roman" w:hAnsi="Times New Roman" w:cs="Times New Roman"/>
          <w:color w:val="auto"/>
        </w:rPr>
        <w:t>2.1.1 The Definition of Big Data Capabilities</w:t>
      </w:r>
      <w:bookmarkEnd w:id="15"/>
      <w:r>
        <w:rPr>
          <w:rFonts w:ascii="Times New Roman" w:hAnsi="Times New Roman" w:cs="Times New Roman"/>
          <w:color w:val="auto"/>
        </w:rPr>
        <w:t xml:space="preserve"> </w:t>
      </w:r>
    </w:p>
    <w:p w14:paraId="3F3A850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2012, "Big Data" (BD) has gradually become an important topic widely studied by scholars internationally. Scholars have been studying the connotation, characteristics and application of BD, and they generally believe that BD is the explosion of the global data volume and that the massive data can become the basic resources of enterprises, helping business managers to make more informed and proactive decisions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{"citationID":"Kc49ah75","properties":{"formattedCitation":"(McAfee and Brynjolfsson, 2012)","plainCitation":"(McAfee and Brynjolfsson, 2012)","noteIndex":0},"citationItems":[{"id":"NEZ99iNq/F9biZIV8","uris":["http://zotero.org/users/10703570/items/8RRM7D7K"],"itemData":{"id":5422,"type":"article-journal","abstract":"Big data, the authors write, is far more powerful than the analytics of the past. Executives can measure and therefore manage more precisely than ever before. They can make better predictions and smarter decisions. They can target more-effective interventions in areas that so far have been dominated by gut and intuition rather than by data and rigor. The differences between big data and analytics are a matter of volume, velocity, and variety: More data now cross the internet every second than were stored in the entire internet 20 years ago. Nearly real-time information makes it possible for a company to be much more agile than its competitors. And that information can come from social networks, images, sensors, the web, or other unstructured sources. The managerial challenges, however, are very real. Senior decision makers have to learn to ask the right questions and embrace evidence-based decision making. Organizations must hire scientists who can find patterns in very large data sets and translate them into useful business information. IT departments have to work hard to integrate all the relevant internal and external sources of data. The authors offer two success stories to illustrate how companies are using big data: PASSUR Aerospace enables airlines to match their actual and estimated arrival times. Sears Holdings directly analyzes its incoming store data to make promotions much more precise and faster.","container-title":"Harvard Business Review","ISSN":"0017-8012","issue":"10","journalAbbreviation":"Harv Bus Rev","language":"eng","note":"PMID: 23074865","page":"60-66, 68, 128","source":"PubMed","title":"Big data: the management revolution","title-short":"Big data","volume":"90","author":[{"family":"McAfee","given":"Andrew"},{"family":"Brynjolfsson","given":"Erik"}],"issued":{"date-parts":[["2012",10]]}}}],"schema":"https://github.com/citation-style-language/schema/raw/master/csl-citation.json"}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(McAfee and Brynjolfsson, 2012)</w:t>
      </w:r>
      <w:r>
        <w:rPr>
          <w:rFonts w:ascii="Times New Roman" w:hAnsi="Times New Roman" w:cs="Times New Roman"/>
          <w:sz w:val="24"/>
          <w:szCs w:val="24"/>
        </w:rPr>
        <w:fldChar w:fldCharType="end"/>
      </w:r>
      <w:r>
        <w:rPr>
          <w:rFonts w:ascii="Times New Roman" w:hAnsi="Times New Roman" w:cs="Times New Roman"/>
          <w:sz w:val="24"/>
          <w:szCs w:val="24"/>
        </w:rPr>
        <w:t xml:space="preserve">. The use of BD to develop the enterprise economy has become the current focus of business competition, and organisations from all walks of life are attempting to realise business competitiveness through the use of BD. </w:t>
      </w:r>
    </w:p>
    <w:p w14:paraId="430F14D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as research on BD continues to enrich, more and more scholars have pointed out that only by analysing and transforming BD resources can they give full play to their proper value by the sheer volume of data. As a result, since 2014, mainstream research in academic journals has begun to propose "BD Analytical Capabilities"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{"citationID":"jb3hWbhE","properties":{"formattedCitation":"(Gupta and George, 2016; Akter {\\i{}et al.}, 2019; Ferraris {\\i{}et al.}, 2019; Mikalef {\\i{}et al.}, 2019b)","plainCitation":"(Gupta and George, 2016; Akter et al., 2019; Ferraris et al., 2019; Mikalef et al., 2019b)","noteIndex":0},"citationItems":[{"id":"NEZ99iNq/SekEMHvH","uris":["http://zotero.org/users/10703570/items/GJ4M8S9C"],"itemData":{"id":5396,"type":"article-journal","container-title":"Information &amp; Management","ISSN":"0378-7206","issue":"8","journalAbbreviation":"Information &amp; Management","note":"publisher: Elsevier","page":"1049-1064","title":"Toward the development of a big data analytics capability","volume":"53","author":[{"family":"Gupta","given":"Manjul"},{"family":"George","given":"Joey F"}],"issued":{"date-parts":[["2016"]]}}},{"id":"NEZ99iNq/4EukyIyb","uris":["http://zotero.org/users/10703570/items/T4GY2I8F"],"itemData":{"id":5399,"type":"article-journal","container-title":"Journal of Strategic Marketing","ISSN":"0965-254X","issue":"6","journalAbbreviation":"Journal of Strategic Marketing","note":"publisher: Taylor &amp; Francis","page":"521-539","title":"How talent capability can shape service analytics capability in the big data environment?","volume":"27","author":[{"family":"Akter","given":"Shahriar"},{"family":"Fosso Wamba","given":"Samuel"},{"family":"Barrett","given":"Mary"},{"family":"Biswas","given":"Kumar"}],"issued":{"date-parts":[["2019"]]}}},{"id":"NEZ99iNq/nCTekBMz","uris":["http://zotero.org/users/10703570/items/RM48YS8F"],"itemData":{"id":5397,"type":"article-journal","container-title":"Management Decision","ISSN":"0025-1747","issue":"8","journalAbbreviation":"Management Decision","note":"publisher: Emerald Publishing Limited","page":"1923-1936","title":"Big data analytics capabilities and knowledge management: impact on firm performance","volume":"57","author":[{"family":"Ferraris","given":"Alberto"},{"family":"Mazzoleni","given":"Alberto"},{"family":"Devalle","given":"Alain"},{"family":"Couturier","given":"Jerome"}],"issued":{"date-parts":[["2019"]]}}},{"id":"NEZ99iNq/xjZHmBTp","uris":["http://zotero.org/users/10703570/items/77KQ86F5"],"itemData":{"id":5398,"type":"article-journal","container-title":"British journal of management","ISSN":"1045-3172","issue":"2","journalAbbreviation":"British journal of management","note":"publisher: Wiley Online Library","page":"272-298","title":"Big data analytics capabilities and innovation: the mediating role of dynamic capabilities and moderating effect of the environment","volume":"30","author":[{"family":"Mikalef","given":"Patrick"},{"family":"Boura","given":"Maria"},{"family":"Lekakos","given":"George"},{"family":"Krogstie","given":"John"}],"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(Gupta and George, 2016; Akter </w:t>
      </w:r>
      <w:r>
        <w:rPr>
          <w:rFonts w:ascii="Times New Roman" w:hAnsi="Times New Roman" w:cs="Times New Roman"/>
          <w:i/>
          <w:iCs/>
          <w:sz w:val="24"/>
          <w:szCs w:val="24"/>
        </w:rPr>
        <w:t>et al.</w:t>
      </w:r>
      <w:r>
        <w:rPr>
          <w:rFonts w:ascii="Times New Roman" w:hAnsi="Times New Roman" w:cs="Times New Roman"/>
          <w:sz w:val="24"/>
          <w:szCs w:val="24"/>
        </w:rPr>
        <w:t xml:space="preserve">, 2019; Ferraris </w:t>
      </w:r>
      <w:r>
        <w:rPr>
          <w:rFonts w:ascii="Times New Roman" w:hAnsi="Times New Roman" w:cs="Times New Roman"/>
          <w:i/>
          <w:iCs/>
          <w:sz w:val="24"/>
          <w:szCs w:val="24"/>
        </w:rPr>
        <w:t>et al.</w:t>
      </w:r>
      <w:r>
        <w:rPr>
          <w:rFonts w:ascii="Times New Roman" w:hAnsi="Times New Roman" w:cs="Times New Roman"/>
          <w:sz w:val="24"/>
          <w:szCs w:val="24"/>
        </w:rPr>
        <w:t xml:space="preserve">, 2019; Mikalef </w:t>
      </w:r>
      <w:r>
        <w:rPr>
          <w:rFonts w:ascii="Times New Roman" w:hAnsi="Times New Roman" w:cs="Times New Roman"/>
          <w:i/>
          <w:iCs/>
          <w:sz w:val="24"/>
          <w:szCs w:val="24"/>
        </w:rPr>
        <w:t>et al.</w:t>
      </w:r>
      <w:r>
        <w:rPr>
          <w:rFonts w:ascii="Times New Roman" w:hAnsi="Times New Roman" w:cs="Times New Roman"/>
          <w:sz w:val="24"/>
          <w:szCs w:val="24"/>
        </w:rPr>
        <w:t>, 2019b)</w:t>
      </w:r>
      <w:r>
        <w:rPr>
          <w:rFonts w:ascii="Times New Roman" w:hAnsi="Times New Roman" w:cs="Times New Roman"/>
          <w:sz w:val="24"/>
          <w:szCs w:val="24"/>
        </w:rPr>
        <w:fldChar w:fldCharType="end"/>
      </w:r>
      <w:r>
        <w:rPr>
          <w:rFonts w:ascii="Times New Roman" w:hAnsi="Times New Roman" w:cs="Times New Roman"/>
          <w:sz w:val="24"/>
          <w:szCs w:val="24"/>
        </w:rPr>
        <w:t xml:space="preserve"> based on the perspectives such as Resource-Based Theory (RBT), IT Affordance Theory, and Dynamic Capability Theory, kicking off the research on the capability transformation of BD resources in academic research. Specifically, based on RBT,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{"citationID":"L41FT7YO","properties":{"formattedCitation":"(Braganza {\\i{}et al.}, 2017)","plainCitation":"(Braganza et al., 2017)","dontUpdate":true,"noteIndex":0},"citationItems":[{"id":"NEZ99iNq/l8v00Fmg","uris":["http://zotero.org/users/10703570/items/RLB8UCIW"],"itemData":{"id":5400,"type":"article-journal","container-title":"Journal of Business Research","ISSN":"0148-2963","journalAbbreviation":"Journal of Business Research","note":"publisher: Elsevier","page":"328-337","title":"Resource management in big data initiatives: Processes and dynamic capabilities","volume":"70","author":[{"family":"Braganza","given":"Ashley"},{"family":"Brooks","given":"Laurence"},{"family":"Nepelski","given":"Daniel"},{"family":"Ali","given":"Maged"},{"family":"Moro","given":"Russ"}],"issued":{"date-parts":[["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8"/>
        </w:rPr>
        <w:t xml:space="preserve">Braganza </w:t>
      </w:r>
      <w:r>
        <w:rPr>
          <w:rFonts w:ascii="Times New Roman" w:hAnsi="Times New Roman" w:cs="Times New Roman"/>
          <w:i/>
          <w:iCs/>
          <w:sz w:val="24"/>
          <w:szCs w:val="28"/>
        </w:rPr>
        <w:t>et al.</w:t>
      </w:r>
      <w:r>
        <w:rPr>
          <w:rFonts w:ascii="Times New Roman" w:hAnsi="Times New Roman" w:cs="Times New Roman"/>
          <w:sz w:val="24"/>
          <w:szCs w:val="28"/>
        </w:rPr>
        <w:t xml:space="preserve"> (2017)</w:t>
      </w:r>
      <w:r>
        <w:rPr>
          <w:rFonts w:ascii="Times New Roman" w:hAnsi="Times New Roman" w:cs="Times New Roman"/>
          <w:sz w:val="24"/>
          <w:szCs w:val="24"/>
        </w:rPr>
        <w:fldChar w:fldCharType="end"/>
      </w:r>
      <w:r>
        <w:rPr>
          <w:rFonts w:ascii="Times New Roman" w:hAnsi="Times New Roman" w:cs="Times New Roman"/>
          <w:sz w:val="24"/>
          <w:szCs w:val="24"/>
        </w:rPr>
        <w:t xml:space="preserve"> understand BD analytical capability as the ability of organisations to acquire, integrate and analyse BD and to be able to use the insights gained from BD to make informed decisions that generate real business value While,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{"citationID":"KTWyfHkt","properties":{"formattedCitation":"(Gupta and George, 2016)","plainCitation":"(Gupta and George, 2016)","dontUpdate":true,"noteIndex":0},"citationItems":[{"id":"NEZ99iNq/SekEMHvH","uris":["http://zotero.org/users/10703570/items/GJ4M8S9C"],"itemData":{"id":"7nDnzgR9/EppzwpYT","type":"article-journal","container-title":"Information &amp; Management","ISSN":"0378-7206","issue":"8","journalAbbreviation":"Information &amp; Management","note":"publisher: Elsevier","page":"1049-1064","title":"Toward the development of a big data analytics capability","volume":"53","author":[{"family":"Gupta","given":"Manjul"},{"family":"George","given":"Joey F"}],"issued":{"date-parts":[["2016"]]}}}],"schema":"https://github.com/citation-style-language/schema/raw/master/csl-citation.json"}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Gupta and George (2016)</w:t>
      </w:r>
      <w:r>
        <w:rPr>
          <w:rFonts w:ascii="Times New Roman" w:hAnsi="Times New Roman" w:cs="Times New Roman"/>
          <w:sz w:val="24"/>
          <w:szCs w:val="24"/>
        </w:rPr>
        <w:fldChar w:fldCharType="end"/>
      </w:r>
      <w:r>
        <w:rPr>
          <w:rFonts w:ascii="Times New Roman" w:hAnsi="Times New Roman" w:cs="Times New Roman"/>
          <w:sz w:val="24"/>
          <w:szCs w:val="24"/>
        </w:rPr>
        <w:t xml:space="preserve"> define BD analytical capabilities as the ability of an organisation to acquire, integrate and deploy its BD-specific resources, which include tangible, human, and intangible resources for BD analytics. From the IT affordance perspective,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{"citationID":"NWSiTqRn","properties":{"formattedCitation":"(Ghasemaghaei, Ebrahimi and Hassanein, 2018)","plainCitation":"(Ghasemaghaei, Ebrahimi and Hassanein, 2018)","dontUpdate":true,"noteIndex":0},"citationItems":[{"id":"NEZ99iNq/o3nXGVeu","uris":["http://zotero.org/users/10703570/items/A4ISQYVF"],"itemData":{"id":5401,"type":"article-journal","container-title":"The Journal of Strategic Information Systems","ISSN":"0963-8687","issue":"1","journalAbbreviation":"The Journal of Strategic Information Systems","note":"publisher: Elsevier","page":"101-113","title":"Data analytics competency for improving firm decision making performance","volume":"27","author":[{"family":"Ghasemaghaei","given":"Maryam"},{"family":"Ebrahimi","given":"Sepideh"},{"family":"Hassanein","given":"Khaled"}],"issued":{"date-parts":[["2018"]]}}}],"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Ghasemaghaei, Ebrahimi and Hassanein (2018)</w:t>
      </w:r>
      <w:r>
        <w:rPr>
          <w:rFonts w:ascii="Times New Roman" w:hAnsi="Times New Roman" w:cs="Times New Roman"/>
          <w:sz w:val="24"/>
          <w:szCs w:val="24"/>
        </w:rPr>
        <w:fldChar w:fldCharType="end"/>
      </w:r>
      <w:r>
        <w:rPr>
          <w:rFonts w:ascii="Times New Roman" w:hAnsi="Times New Roman" w:cs="Times New Roman"/>
          <w:sz w:val="24"/>
          <w:szCs w:val="24"/>
        </w:rPr>
        <w:t xml:space="preserve"> see BD analytics as an IT capability to derive valuable insights from large, dispersed datasets based on mechanisms such as natural language processing, data mining and intelligence, predictive analytics, etc.;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{"citationID":"zB0BDSX3","properties":{"formattedCitation":"(Ferraris {\\i{}et al.}, 2019)","plainCitation":"(Ferraris et al., 2019)","dontUpdate":true,"noteIndex":0},"citationItems":[{"id":"NEZ99iNq/nCTekBMz","uris":["http://zotero.org/users/10703570/items/RM48YS8F"],"itemData":{"id":"7nDnzgR9/0cY36i91","type":"article-journal","container-title":"Management Decision","ISSN":"0025-1747","issue":"8","journalAbbreviation":"Management Decision","note":"publisher: Emerald Publishing Limited","page":"1923-1936","title":"Big data analytics capabilities and knowledge management: impact on firm performance","volume":"57","author":[{"family":"Ferraris","given":"Alberto"},{"family":"Mazzoleni","given":"Alberto"},{"family":"Devalle","given":"Alain"},{"family":"Couturier","given":"Jerome"}],"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8"/>
        </w:rPr>
        <w:t xml:space="preserve">Ferraris </w:t>
      </w:r>
      <w:r>
        <w:rPr>
          <w:rFonts w:ascii="Times New Roman" w:hAnsi="Times New Roman" w:cs="Times New Roman"/>
          <w:i/>
          <w:iCs/>
          <w:sz w:val="24"/>
          <w:szCs w:val="28"/>
        </w:rPr>
        <w:t>et al.</w:t>
      </w:r>
      <w:r>
        <w:rPr>
          <w:rFonts w:ascii="Times New Roman" w:hAnsi="Times New Roman" w:cs="Times New Roman"/>
          <w:sz w:val="24"/>
          <w:szCs w:val="28"/>
        </w:rPr>
        <w:t xml:space="preserve"> (2019)</w:t>
      </w:r>
      <w:r>
        <w:rPr>
          <w:rFonts w:ascii="Times New Roman" w:hAnsi="Times New Roman" w:cs="Times New Roman"/>
          <w:sz w:val="24"/>
          <w:szCs w:val="24"/>
        </w:rPr>
        <w:fldChar w:fldCharType="end"/>
      </w:r>
      <w:r>
        <w:rPr>
          <w:rFonts w:ascii="Times New Roman" w:hAnsi="Times New Roman" w:cs="Times New Roman"/>
          <w:sz w:val="24"/>
          <w:szCs w:val="24"/>
        </w:rPr>
        <w:t xml:space="preserve"> define BDA analytics as the IT process of extracting valuable information and knowledge from massive amounts of data, which makes management activities more efficient through data interpretation and analysis;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{"citationID":"uaZLRuvM","properties":{"formattedCitation":"(Huerta and Jensen, 2017)","plainCitation":"(Huerta and Jensen, 2017)","dontUpdate":true,"noteIndex":0},"citationItems":[{"id":"NEZ99iNq/kI0f8vFL","uris":["http://zotero.org/users/10703570/items/ZXHP6FBW"],"itemData":{"id":5404,"type":"article-journal","container-title":"Journal of information systems","ISSN":"1558-7959","issue":"3","journalAbbreviation":"Journal of information systems","note":"publisher: American Accounting Association","page":"101-114","title":"An accounting information systems perspective on data analytics and Big Data","volume":"31","author":[{"family":"Huerta","given":"Esperanza"},{"family":"Jensen","given":"Scott"}],"issued":{"date-parts":[["2017"]]}}}],"schema":"https://github.com/citation-style-language/schema/raw/master/csl-citation.json"}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Huerta and Jensen (2017)</w:t>
      </w:r>
      <w:r>
        <w:rPr>
          <w:rFonts w:ascii="Times New Roman" w:hAnsi="Times New Roman" w:cs="Times New Roman"/>
          <w:sz w:val="24"/>
          <w:szCs w:val="24"/>
        </w:rPr>
        <w:fldChar w:fldCharType="end"/>
      </w:r>
      <w:r>
        <w:rPr>
          <w:rFonts w:ascii="Times New Roman" w:hAnsi="Times New Roman" w:cs="Times New Roman"/>
          <w:sz w:val="24"/>
          <w:szCs w:val="24"/>
        </w:rPr>
        <w:t xml:space="preserve"> define BDC as the IT ability to visualise the data itself based on the information and technical means, to drive business activities with data, and to make business decisions more intuitive and transparent.</w:t>
      </w:r>
    </w:p>
    <w:p w14:paraId="34A07DF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there are shortcomings in the above conceptualisation. Specifically, scholars focus on tangible resources, human resources, intangible resources and other factors of BD analysis based on the perspectives of RBT and IT capability theory, which may lead to the formation of excessive dependence on the resource system of the enterprise and the ignorance of capacity construction at the level of strategic decision-making. Meanwhile, scholars have begun to propose BDC based on DCT and strategic decision-making considerations. These studies argue that the transformation of capabilities of BD resources should not be limited to "analytical" capabilities but should also include a wider range of "non-analytical" aspects and that the formulation of BDC can better reflect the dynamic development characteristics of capabilities, the composition of BDC elements and the integration, coordination and synergy of BDC with other resources and capabilities of the organisation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{"citationID":"LIRUCUmE","properties":{"formattedCitation":"(Braganza {\\i{}et al.}, 2017; Anwar, Khan and Shah, 2018; Nisar {\\i{}et al.}, 2021)","plainCitation":"(Braganza et al., 2017; Anwar, Khan and Shah, 2018; Nisar et al., 2021)","noteIndex":0},"citationItems":[{"id":"NEZ99iNq/l8v00Fmg","uris":["http://zotero.org/users/10703570/items/RLB8UCIW"],"itemData":{"id":5400,"type":"article-journal","container-title":"Journal of Business Research","ISSN":"0148-2963","journalAbbreviation":"Journal of Business Research","note":"publisher: Elsevier","page":"328-337","title":"Resource management in big data initiatives: Processes and dynamic capabilities","volume":"70","author":[{"family":"Braganza","given":"Ashley"},{"family":"Brooks","given":"Laurence"},{"family":"Nepelski","given":"Daniel"},{"family":"Ali","given":"Maged"},{"family":"Moro","given":"Russ"}],"issued":{"date-parts":[["2017"]]}}},{"id":"NEZ99iNq/S7xIzj6R","uris":["http://zotero.org/users/10703570/items/8KHUQVUX"],"itemData":{"id":5455,"type":"article-journal","container-title":"Journal of Information &amp; Knowledge Management","ISSN":"0219-6492","issue":"04","journalAbbreviation":"Journal of Information &amp; Knowledge Management","note":"publisher: World Scientific","page":"1850045","title":"Big data capabilities and firm’s performance: a mediating role of competitive advantage","volume":"17","author":[{"family":"Anwar","given":"Muhammad"},{"family":"Khan","given":"Sher Zaman"},{"family":"Shah","given":"Syed Zulfiqar Ali"}],"issued":{"date-parts":[["2018"]]}}},{"id":"NEZ99iNq/DjyWrmSJ","uris":["http://zotero.org/users/10703570/items/S6Q9C4V3"],"itemData":{"id":5457,"type":"article-journal","container-title":"Journal of Enterprise Information Management","ISSN":"1741-0398","issue":"4","journalAbbreviation":"Journal of Enterprise Information Management","note":"publisher: Emerald Publishing Limited","page":"1061-1096","title":"Big data management and environmental performance: role of big data decision-making capabilities and decision-making quality","volume":"34","author":[{"family":"Nisar","given":"Qasim Ali"},{"family":"Nasir","given":"Nadia"},{"family":"Jamshed","given":"Samia"},{"family":"Naz","given":"Shumaila"},{"family":"Ali","given":"Mubashar"},{"family":"Ali","given":"Shahzad"}],"issued":{"date-parts":[["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(Braganza </w:t>
      </w:r>
      <w:r>
        <w:rPr>
          <w:rFonts w:ascii="Times New Roman" w:hAnsi="Times New Roman" w:cs="Times New Roman"/>
          <w:i/>
          <w:iCs/>
          <w:sz w:val="24"/>
          <w:szCs w:val="24"/>
        </w:rPr>
        <w:t>et al.</w:t>
      </w:r>
      <w:r>
        <w:rPr>
          <w:rFonts w:ascii="Times New Roman" w:hAnsi="Times New Roman" w:cs="Times New Roman"/>
          <w:sz w:val="24"/>
          <w:szCs w:val="24"/>
        </w:rPr>
        <w:t xml:space="preserve">, 2017; Anwar, Khan and Shah, 2018; Nisar </w:t>
      </w:r>
      <w:r>
        <w:rPr>
          <w:rFonts w:ascii="Times New Roman" w:hAnsi="Times New Roman" w:cs="Times New Roman"/>
          <w:i/>
          <w:iCs/>
          <w:sz w:val="24"/>
          <w:szCs w:val="24"/>
        </w:rPr>
        <w:t>et al.</w:t>
      </w:r>
      <w:r>
        <w:rPr>
          <w:rFonts w:ascii="Times New Roman" w:hAnsi="Times New Roman" w:cs="Times New Roman"/>
          <w:sz w:val="24"/>
          <w:szCs w:val="24"/>
        </w:rPr>
        <w:t>, 2021)</w:t>
      </w:r>
      <w:r>
        <w:rPr>
          <w:rFonts w:ascii="Times New Roman" w:hAnsi="Times New Roman" w:cs="Times New Roman"/>
          <w:sz w:val="24"/>
          <w:szCs w:val="24"/>
        </w:rPr>
        <w:fldChar w:fldCharType="end"/>
      </w:r>
      <w:r>
        <w:rPr>
          <w:rFonts w:ascii="Times New Roman" w:hAnsi="Times New Roman" w:cs="Times New Roman"/>
          <w:sz w:val="24"/>
          <w:szCs w:val="24"/>
        </w:rPr>
        <w:t>.</w:t>
      </w:r>
    </w:p>
    <w:p w14:paraId="0C0E179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DCT as well as RBT,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{"citationID":"6Llu35Kp","properties":{"formattedCitation":"(Upadhyay and Kumar, 2020)","plainCitation":"(Upadhyay and Kumar, 2020)","dontUpdate":true,"noteIndex":0},"citationItems":[{"id":"NEZ99iNq/wfR8j08f","uris":["http://zotero.org/users/10703570/items/LP2KIVH3"],"itemData":{"id":5405,"type":"article-journal","abstract":"Firms are increasingly relying on business insights obtained by deploying data analytics. Analytics-driven business decisions have thus taken a strategic imperative role for the competitive advantage of a firm to endure. The extent and effectiveness through which business firms can actually derive benefits by deploying big data-based practices requires deep analysis and calls for extensive research. This study extends the big data analytics capability (BDAC) model by examining the mediatory effects of organizational culture (CL) between internal analytical knowledge (KN) and BDAC, as well as the mediating effects of BDAC between CL and firm performance. The findings bring into focus that CL plays the role of complementary mediation between BDAC and KN to positively impact firm performance (FP); BDAC also plays a similar mediatory role between CL and the performance of a firm.","container-title":"International Journal of Information Management","DOI":"10.1016/j.ijinfomgt.2020.102100","ISSN":"0268-4012","journalAbbreviation":"International Journal of Information Management","page":"102100","source":"ScienceDirect","title":"The intermediating role of organizational culture and internal analytical knowledge between the capability of big data analytics and a firm’s performance","volume":"52","author":[{"family":"Upadhyay","given":"Parijat"},{"family":"Kumar","given":"Anup"}],"issued":{"date-parts":[["2020",6,1]]}}}],"schema":"https://github.com/citation-style-language/schema/raw/master/csl-citation.json"}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Upadhyay and Kumar (2020)</w:t>
      </w:r>
      <w:r>
        <w:rPr>
          <w:rFonts w:ascii="Times New Roman" w:hAnsi="Times New Roman" w:cs="Times New Roman"/>
          <w:sz w:val="24"/>
          <w:szCs w:val="24"/>
        </w:rPr>
        <w:fldChar w:fldCharType="end"/>
      </w:r>
      <w:r>
        <w:rPr>
          <w:rFonts w:ascii="Times New Roman" w:hAnsi="Times New Roman" w:cs="Times New Roman"/>
          <w:sz w:val="24"/>
          <w:szCs w:val="24"/>
        </w:rPr>
        <w:t xml:space="preserve"> define BDC as the ability to gain business insights and build competitive advantage through data management, (technical) underlying resources, and (individual) giftedness;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{"citationID":"7Kf5E8Wt","properties":{"formattedCitation":"(Wamba {\\i{}et al.}, 2017)","plainCitation":"(Wamba et al., 2017)","dontUpdate":true,"noteIndex":0},"citationItems":[{"id":"NEZ99iNq/18Iy08oA","uris":["http://zotero.org/users/10703570/items/C5IAFS4E"],"itemData":{"id":5407,"type":"article-journal","abstract":"Drawing on the resource-based view and the literature on big data analytics (BDA), information system (IS) success and the business value of information technology (IT), this study proposes a big data analytics capability (BDAC) model. The study extends the above research streams by examining the direct effects of BDAC on firm performance (FPER), as well as the mediating effects of process-oriented dynamic capabilities (PODC) on the relationship between BDAC and FPER. To test our proposed research model, we used an online survey to collect data from 297 Chinese IT managers and business analysts with big data and business analytic experience. The findings confirm the value of the entanglement conceptualization of the hierarchical BDAC model, which has both direct and indirect impacts on FPER. The results also confirm the strong mediating role of PODC in improving insights and enhancing FPER. Finally, implications for practice and research are discussed.","container-title":"Journal of Business Research","DOI":"10.1016/j.jbusres.2016.08.009","ISSN":"0148-2963","journalAbbreviation":"Journal of Business Research","page":"356-365","source":"ScienceDirect","title":"Big data analytics and firm performance: Effects of dynamic capabilities","title-short":"Big data analytics and firm performance","volume":"70","author":[{"family":"Wamba","given":"Samuel Fosso"},{"family":"Gunasekaran","given":"Angappa"},{"family":"Akter","given":"Shahriar"},{"family":"Ren","given":"Steven Ji-fan"},{"family":"Dubey","given":"Rameshwar"},{"family":"Childe","given":"Stephen J."}],"issued":{"date-parts":[["2017",1,1]]}}}],"schema":"https://github.com/citation-style-language/schema/raw/master/csl-citation.json"}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Wamba et al. (2017)</w:t>
      </w:r>
      <w:r>
        <w:rPr>
          <w:rFonts w:ascii="Times New Roman" w:hAnsi="Times New Roman" w:cs="Times New Roman"/>
          <w:sz w:val="24"/>
          <w:szCs w:val="24"/>
        </w:rPr>
        <w:fldChar w:fldCharType="end"/>
      </w:r>
      <w:r>
        <w:rPr>
          <w:rFonts w:ascii="Times New Roman" w:hAnsi="Times New Roman" w:cs="Times New Roman"/>
          <w:sz w:val="24"/>
          <w:szCs w:val="24"/>
        </w:rPr>
        <w:t xml:space="preserve"> perceive BDC as the ability to manage, process, and analyse the 5Vs (Scale, Versatility, Velocity, Accuracy, and Versatility) of BD through the feteching, storage, management, processing, and analysis of data. Meanwhile,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{"citationID":"2dNmrWSQ","properties":{"formattedCitation":"(Lin and Kunnathur, 2019)","plainCitation":"(Lin and Kunnathur, 2019)","dontUpdate":true,"noteIndex":0},"citationItems":[{"id":"NEZ99iNq/LyfhjX1E","uris":["http://zotero.org/users/10703570/items/ZWGRR3PT"],"itemData":{"id":5412,"type":"article-journal","abstract":"Prior research articulated the importance of developing a big data analytics capability but did not show how to cultivate this development. Drawing on the literature on this topic, this study develops the concept of Big Data capability, which enhances our understanding of Big Data practice beyond that captured in previous literature on the concept of big data analytics capability. This study further highlights the strategic implications of the concept by testing its relationship to three strategic orientations and one aspect of organizational culture. Findings show that customer, entrepreneurial, and technology orientations, and developmental culture are important contributors to the development of Big Data capability.","container-title":"Journal of Business Research","DOI":"10.1016/j.jbusres.2019.07.016","ISSN":"0148-2963","journalAbbreviation":"Journal of Business Research","page":"49-60","source":"ScienceDirect","title":"Strategic orientations, developmental culture, and big data capability","volume":"105","author":[{"family":"Lin","given":"Canchu"},{"family":"Kunnathur","given":"Anand"}],"issued":{"date-parts":[["2019",12,1]]}}}],"schema":"https://github.com/citation-style-language/schema/raw/master/csl-citation.json"}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Lin and Kunnathur (2019)</w:t>
      </w:r>
      <w:r>
        <w:rPr>
          <w:rFonts w:ascii="Times New Roman" w:hAnsi="Times New Roman" w:cs="Times New Roman"/>
          <w:sz w:val="24"/>
          <w:szCs w:val="24"/>
        </w:rPr>
        <w:fldChar w:fldCharType="end"/>
      </w:r>
      <w:r>
        <w:rPr>
          <w:rFonts w:ascii="Times New Roman" w:hAnsi="Times New Roman" w:cs="Times New Roman"/>
          <w:sz w:val="24"/>
          <w:szCs w:val="24"/>
        </w:rPr>
        <w:t xml:space="preserve"> understand BDC as a dynamic organisational capability to obtain, organise and analyse BD to make more informed managerial decisions based on the greater comprehensiveness and accuracy of BD insights.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{"citationID":"L96FjEed","properties":{"formattedCitation":"(Mikalef and Krogstie, 2020)","plainCitation":"(Mikalef and Krogstie, 2020)","dontUpdate":true,"noteIndex":0},"citationItems":[{"id":"NEZ99iNq/VaSfjBBQ","uris":["http://zotero.org/users/10703570/items/DZLKAV5K"],"itemData":{"id":5410,"type":"article-journal","abstract":"The potential of big data analytics in enabling improvements in business processes has urged researchers and practitioners to understand if, and under what combination of conditions, such novel tec...","archive_location":"world","container-title":"European Journal of Information Systems","ISSN":"0960-085X","language":"EN","license":"© 2020 The Author(s). Published by Informa UK Limited, trading as Taylor &amp; Francis Group.","note":"publisher: Taylor &amp; Francis","source":"www.tandfonline.com","title":"Examining the interplay between big data analytics and contextual factors in driving process innovation capabilities","URL":"https://www.tandfonline.com/doi/abs/10.1080/0960085X.2020.1740618","author":[{"family":"Mikalef","given":"Patrick"},{"family":"Krogstie","given":"John"}],"accessed":{"date-parts":[["2024",7,15]]},"issued":{"date-parts":[["2020",5,3]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Mikalef and Krogstie (2020)</w:t>
      </w:r>
      <w:r>
        <w:rPr>
          <w:rFonts w:ascii="Times New Roman" w:hAnsi="Times New Roman" w:cs="Times New Roman"/>
          <w:sz w:val="24"/>
          <w:szCs w:val="24"/>
        </w:rPr>
        <w:fldChar w:fldCharType="end"/>
      </w:r>
      <w:r>
        <w:rPr>
          <w:rFonts w:ascii="Times New Roman" w:hAnsi="Times New Roman" w:cs="Times New Roman"/>
          <w:sz w:val="24"/>
          <w:szCs w:val="24"/>
        </w:rPr>
        <w:t xml:space="preserve"> see BDC as the ability of organisations to generate actionable insights by capturing and analysing data and effectively allocate resources (e.g., capital, talent) across company-wide processes, roles and networks. Whereas, from a strategic decision-making perspective as well as RBT,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{"citationID":"UW72qb3S","properties":{"formattedCitation":"(Lozada, Arias-P\\uc0\\u233{}rez and Henao-Garc\\uc0\\u237{}a, 2023)","plainCitation":"(Lozada, Arias-Pérez and Henao-García, 2023)","dontUpdate":true,"noteIndex":0},"citationItems":[{"id":"NEZ99iNq/tMvBHjSM","uris":["http://zotero.org/users/10703570/items/IBJPS3HE"],"itemData":{"id":5414,"type":"article-journal","abstract":"Purpose Despite the increase in studies focused on analyzing the potential of big data analytics capability (BDAC) as a driver of product and process innovation, it is still necessary to understand how the use of insights generated by BDAC in innovation may be maximized through articulation with individuals' intellect and other processes involving the assimilation and transformation of knowledge. This study thus aims to analyze the impact of BDAC's deployment on innovation capability (IC – process and product innovation capabilities), taking absorptive capacity (AC) as mediating variable in this relationship. Design/methodology/approach Structural equations were used to test the research model with survey data from 112 firms located in an emerging country that is one of the digital transformation leaders in the region. Findings The results show that 37% of process IC variance is explained by the indirect relationship via the variable mediator (AC), while in the case of product IC this percentage is 34%. Originality/value These results allow us to ascertain the extent to which individuals continue to be relevant to generating product and process innovation in the digital age at a time when the literature anticipates a total loss of prominence due to the arrival of new digital technologies. However, in the case of the relationship between BDAC and ICs, the existence of a partial mediation of AC indicates that individuals continue to play a role that, albeit not being the most prominent, remains relevant in ensuring that a company maximizes the assimilation and transformation of the insights generated by BDAC in new products and processes.","container-title":"Journal of Enterprise Information Management","DOI":"10.1108/JEIM-02-2021-0092","ISSN":"1741-0398","issue":"2","note":"publisher: Emerald Publishing Limited","page":"680-701","source":"Emerald Insight","title":"Unveiling the effects of big data analytics capability on innovation capability through absorptive capacity: why more and better insights matter","title-short":"Unveiling the effects of big data analytics capability on innovation capability through absorptive capacity","volume":"36","author":[{"family":"Lozada","given":"Nelson"},{"family":"Arias-Pérez","given":"José"},{"family":"Henao-García","given":"Edwin Alexander"}],"issued":{"date-parts":[["2023",1,1]]}}}],"schema":"https://github.com/citation-style-language/schema/raw/master/csl-citation.json"}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Lozada, Arias-Pérez and Henao-García (2023)</w:t>
      </w:r>
      <w:r>
        <w:rPr>
          <w:rFonts w:ascii="Times New Roman" w:hAnsi="Times New Roman" w:cs="Times New Roman"/>
          <w:sz w:val="24"/>
          <w:szCs w:val="24"/>
        </w:rPr>
        <w:fldChar w:fldCharType="end"/>
      </w:r>
      <w:r>
        <w:rPr>
          <w:rFonts w:ascii="Times New Roman" w:hAnsi="Times New Roman" w:cs="Times New Roman"/>
          <w:sz w:val="24"/>
          <w:szCs w:val="24"/>
        </w:rPr>
        <w:t xml:space="preserve"> define BDC as the dynamic ability of an organisation to use and deploy BD resources strategically to develop competitive advantage. </w:t>
      </w:r>
    </w:p>
    <w:p w14:paraId="13ACF7E5">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Three distinct characteristics can be synthesized when reviewing a wide range of definitions of BDC above. Similar to BDA, acquiring, integrating, and analysing massive amounts of data is a prerequisite, but BDC is more complete in its description of the data processing process, including data collection, storage, processing (mining and analysis), delivery, and use; Similar to BDA, obtaining valuable information and new insights in the process, but the process proposed by BDC also includes coordinating BD activities with other business activities of the enterprise; In addition to enhancing decision-making capabilities and competitive advantage, the description of the ultimate goal of BDC emphasises strengthening the responsiveness and adaptability towards the uncertain and volatile operational environmental.</w:t>
      </w:r>
    </w:p>
    <w:p w14:paraId="6DAECA74">
      <w:pPr>
        <w:pStyle w:val="4"/>
        <w:spacing w:before="120" w:after="240" w:line="360" w:lineRule="auto"/>
        <w:jc w:val="both"/>
        <w:rPr>
          <w:rFonts w:ascii="Times New Roman" w:hAnsi="Times New Roman" w:cs="Times New Roman"/>
          <w:color w:val="auto"/>
        </w:rPr>
      </w:pPr>
      <w:bookmarkStart w:id="16" w:name="_Toc178258256"/>
      <w:r>
        <w:rPr>
          <w:rFonts w:ascii="Times New Roman" w:hAnsi="Times New Roman" w:cs="Times New Roman"/>
          <w:color w:val="auto"/>
        </w:rPr>
        <w:t>2.1.2 The Dimensions of Big Data Capabilities</w:t>
      </w:r>
      <w:bookmarkEnd w:id="16"/>
      <w:r>
        <w:rPr>
          <w:rFonts w:ascii="Times New Roman" w:hAnsi="Times New Roman" w:cs="Times New Roman"/>
          <w:color w:val="auto"/>
        </w:rPr>
        <w:t xml:space="preserve"> </w:t>
      </w:r>
    </w:p>
    <w:p w14:paraId="6599C22B">
      <w:pPr>
        <w:pStyle w:val="19"/>
        <w:spacing w:before="120" w:beforeAutospacing="0" w:after="240" w:afterAutospacing="0" w:line="360" w:lineRule="auto"/>
        <w:jc w:val="both"/>
        <w:rPr>
          <w:rFonts w:eastAsiaTheme="minorEastAsia"/>
        </w:rPr>
      </w:pPr>
      <w:r>
        <w:rPr>
          <w:rFonts w:eastAsiaTheme="minorEastAsia"/>
        </w:rPr>
        <w:t xml:space="preserve">Research scholars have classified BD competencies into dimensions based on different theoretical foundations and research purposes. The existing studies have classified it into unidimensional, two-dimensional, three-dimensional and other variations and correspondingly designed measurement scales. Among them, there are three mainstream divisions. </w:t>
      </w:r>
    </w:p>
    <w:p w14:paraId="56BAD98A">
      <w:pPr>
        <w:pStyle w:val="19"/>
        <w:spacing w:before="120" w:beforeAutospacing="0" w:after="240" w:afterAutospacing="0" w:line="360" w:lineRule="auto"/>
        <w:jc w:val="both"/>
        <w:rPr>
          <w:rFonts w:eastAsiaTheme="minorEastAsia"/>
        </w:rPr>
      </w:pPr>
      <w:r>
        <w:rPr>
          <w:rFonts w:eastAsiaTheme="minorEastAsia"/>
        </w:rPr>
        <w:t xml:space="preserve">On the one hand, BDC can be divided into three dimensions if BDC is viewed as a general IT instrument: tangible resources, human resources, and intangible resources. Based on three dimensions, </w:t>
      </w:r>
      <w:r>
        <w:rPr>
          <w:rFonts w:eastAsiaTheme="minorEastAsia"/>
        </w:rPr>
        <w:fldChar w:fldCharType="begin"/>
      </w:r>
      <w:r>
        <w:rPr>
          <w:rFonts w:eastAsiaTheme="minorEastAsia"/>
        </w:rPr>
        <w:instrText xml:space="preserve"> ADDIN ZOTERO_ITEM CSL_CITATION {"citationID":"7V0Mspzq","properties":{"formattedCitation":"(Gupta and George, 2016)","plainCitation":"(Gupta and George, 2016)","dontUpdate":true,"noteIndex":0},"citationItems":[{"id":"NEZ99iNq/SekEMHvH","uris":["http://zotero.org/users/10703570/items/GJ4M8S9C"],"itemData":{"id":"7nDnzgR9/EppzwpYT","type":"article-journal","container-title":"Information &amp; Management","ISSN":"0378-7206","issue":"8","journalAbbreviation":"Information &amp; Management","note":"publisher: Elsevier","page":"1049-1064","title":"Toward the development of a big data analytics capability","volume":"53","author":[{"family":"Gupta","given":"Manjul"},{"family":"George","given":"Joey F"}],"issued":{"date-parts":[["2016"]]}}}],"schema":"https://github.com/citation-style-language/schema/raw/master/csl-citation.json"} </w:instrText>
      </w:r>
      <w:r>
        <w:rPr>
          <w:rFonts w:eastAsiaTheme="minorEastAsia"/>
        </w:rPr>
        <w:fldChar w:fldCharType="separate"/>
      </w:r>
      <w:r>
        <w:rPr>
          <w:rFonts w:eastAsiaTheme="minorEastAsia"/>
        </w:rPr>
        <w:t>Gupta and George (2016)</w:t>
      </w:r>
      <w:r>
        <w:rPr>
          <w:rFonts w:eastAsiaTheme="minorEastAsia"/>
        </w:rPr>
        <w:fldChar w:fldCharType="end"/>
      </w:r>
      <w:r>
        <w:rPr>
          <w:rFonts w:eastAsiaTheme="minorEastAsia"/>
        </w:rPr>
        <w:t xml:space="preserve"> proposed a measurement scale with a total of 32 measurement items. The measurement has demonstrated certain reliability and validity in empirical studies performed by other scholars, such as </w:t>
      </w:r>
      <w:r>
        <w:rPr>
          <w:rFonts w:eastAsiaTheme="minorEastAsia"/>
        </w:rPr>
        <w:fldChar w:fldCharType="begin"/>
      </w:r>
      <w:r>
        <w:rPr>
          <w:rFonts w:eastAsiaTheme="minorEastAsia"/>
        </w:rPr>
        <w:instrText xml:space="preserve"> ADDIN ZOTERO_ITEM CSL_CITATION {"citationID":"xP7moSSW","properties":{"formattedCitation":"(Awan {\\i{}et al.}, 2021)","plainCitation":"(Awan et al., 2021)","noteIndex":0},"citationItems":[{"id":6715,"uris":["http://zotero.org/users/10703570/items/JDKBQASY"],"itemData":{"id":6715,"type":"article-journal","container-title":"Technological Forecasting and Social Change","ISSN":"0040-1625","journalAbbreviation":"Technological Forecasting and Social Change","note":"publisher: Elsevier","page":"120766","title":"Big data analytics capability and decision-making: The role of data-driven insight on circular economy performance","volume":"168","author":[{"family":"Awan","given":"Usama"},{"family":"Shamim","given":"Saqib"},{"family":"Khan","given":"Zaheer"},{"family":"Zia","given":"Najam Ul"},{"family":"Shariq","given":"Syed Muhammad"},{"family":"Khan","given":"Muhammad Naveed"}],"issued":{"date-parts":[["2021"]]}}}],"schema":"https://github.com/citation-style-language/schema/raw/master/csl-citation.json"} </w:instrText>
      </w:r>
      <w:r>
        <w:rPr>
          <w:rFonts w:eastAsiaTheme="minorEastAsia"/>
        </w:rPr>
        <w:fldChar w:fldCharType="separate"/>
      </w:r>
      <w:r>
        <w:t xml:space="preserve">Awan </w:t>
      </w:r>
      <w:r>
        <w:rPr>
          <w:i/>
          <w:iCs/>
        </w:rPr>
        <w:t>et al.</w:t>
      </w:r>
      <w:r>
        <w:t xml:space="preserve"> </w:t>
      </w:r>
      <w:r>
        <w:rPr>
          <w:rFonts w:eastAsiaTheme="minorEastAsia"/>
        </w:rPr>
        <w:t>(</w:t>
      </w:r>
      <w:r>
        <w:t>2021)</w:t>
      </w:r>
      <w:r>
        <w:rPr>
          <w:rFonts w:eastAsiaTheme="minorEastAsia"/>
        </w:rPr>
        <w:fldChar w:fldCharType="end"/>
      </w:r>
      <w:r>
        <w:rPr>
          <w:rFonts w:eastAsiaTheme="minorEastAsia"/>
        </w:rPr>
        <w:t xml:space="preserve"> and </w:t>
      </w:r>
      <w:r>
        <w:rPr>
          <w:rFonts w:eastAsiaTheme="minorEastAsia"/>
        </w:rPr>
        <w:fldChar w:fldCharType="begin"/>
      </w:r>
      <w:r>
        <w:rPr>
          <w:rFonts w:eastAsiaTheme="minorEastAsia"/>
        </w:rPr>
        <w:instrText xml:space="preserve"> ADDIN ZOTERO_ITEM CSL_CITATION {"citationID":"RLib1jNN","properties":{"formattedCitation":"(Behl {\\i{}et al.}, 2022)","plainCitation":"(Behl et al., 2022)","noteIndex":0},"citationItems":[{"id":6716,"uris":["http://zotero.org/users/10703570/items/UKVPRSR9"],"itemData":{"id":6716,"type":"article-journal","container-title":"Journal of Business Research","ISSN":"0148-2963","journalAbbreviation":"Journal of Business Research","note":"publisher: Elsevier","page":"378-389","title":"Role of big data analytics capabilities to improve sustainable competitive advantage of MSME service firms during COVID-19–A multi-theoretical approach","volume":"148","author":[{"family":"Behl","given":"Abhishek"},{"family":"Gaur","given":"Jighyasu"},{"family":"Pereira","given":"Vijay"},{"family":"Yadav","given":"Rambalak"},{"family":"Laker","given":"Benjamin"}],"issued":{"date-parts":[["2022"]]}}}],"schema":"https://github.com/citation-style-language/schema/raw/master/csl-citation.json"} </w:instrText>
      </w:r>
      <w:r>
        <w:rPr>
          <w:rFonts w:eastAsiaTheme="minorEastAsia"/>
        </w:rPr>
        <w:fldChar w:fldCharType="separate"/>
      </w:r>
      <w:r>
        <w:t xml:space="preserve">Behl </w:t>
      </w:r>
      <w:r>
        <w:rPr>
          <w:i/>
          <w:iCs/>
        </w:rPr>
        <w:t>et al.</w:t>
      </w:r>
      <w:r>
        <w:t xml:space="preserve"> </w:t>
      </w:r>
      <w:r>
        <w:rPr>
          <w:rFonts w:eastAsiaTheme="minorEastAsia"/>
        </w:rPr>
        <w:t>(</w:t>
      </w:r>
      <w:r>
        <w:t>2022)</w:t>
      </w:r>
      <w:r>
        <w:rPr>
          <w:rFonts w:eastAsiaTheme="minorEastAsia"/>
        </w:rPr>
        <w:fldChar w:fldCharType="end"/>
      </w:r>
      <w:r>
        <w:rPr>
          <w:rFonts w:eastAsiaTheme="minorEastAsia"/>
        </w:rPr>
        <w:t xml:space="preserve">. On the other hand, based on the RBT, BDC can also be categorised into three dimensions: management capability, technical capability (infrastructure flexibility), and talent capability. </w:t>
      </w:r>
      <w:r>
        <w:rPr>
          <w:rFonts w:eastAsiaTheme="minorEastAsia"/>
        </w:rPr>
        <w:fldChar w:fldCharType="begin"/>
      </w:r>
      <w:r>
        <w:rPr>
          <w:rFonts w:eastAsiaTheme="minorEastAsia"/>
        </w:rPr>
        <w:instrText xml:space="preserve"> ADDIN ZOTERO_ITEM CSL_CITATION {"citationID":"WIQINqcT","properties":{"formattedCitation":"(Akter {\\i{}et al.}, 2019)","plainCitation":"(Akter et al., 2019)","dontUpdate":true,"noteIndex":0},"citationItems":[{"id":"NEZ99iNq/4EukyIyb","uris":["http://zotero.org/users/10703570/items/T4GY2I8F"],"itemData":{"id":5399,"type":"article-journal","container-title":"Journal of Strategic Marketing","ISSN":"0965-254X","issue":"6","journalAbbreviation":"Journal of Strategic Marketing","note":"publisher: Taylor &amp; Francis","page":"521-539","title":"How talent capability can shape service analytics capability in the big data environment?","volume":"27","author":[{"family":"Akter","given":"Shahriar"},{"family":"Fosso Wamba","given":"Samuel"},{"family":"Barrett","given":"Mary"},{"family":"Biswas","given":"Kumar"}],"issued":{"date-parts":[["2019"]]}}}],"schema":"https://github.com/citation-style-language/schema/raw/master/csl-citation.json"} </w:instrText>
      </w:r>
      <w:r>
        <w:rPr>
          <w:rFonts w:eastAsiaTheme="minorEastAsia"/>
        </w:rPr>
        <w:fldChar w:fldCharType="separate"/>
      </w:r>
      <w:r>
        <w:rPr>
          <w:rFonts w:eastAsiaTheme="minorEastAsia"/>
        </w:rPr>
        <w:t>Akter et al. (2019)</w:t>
      </w:r>
      <w:r>
        <w:rPr>
          <w:rFonts w:eastAsiaTheme="minorEastAsia"/>
        </w:rPr>
        <w:fldChar w:fldCharType="end"/>
      </w:r>
      <w:r>
        <w:rPr>
          <w:rFonts w:eastAsiaTheme="minorEastAsia"/>
        </w:rPr>
        <w:t xml:space="preserve"> proposed a measurement scale based on this dimensional division with 44 measurement items, and its applicability has also been confirmed by studies such as </w:t>
      </w:r>
      <w:r>
        <w:rPr>
          <w:rFonts w:eastAsiaTheme="minorEastAsia"/>
        </w:rPr>
        <w:fldChar w:fldCharType="begin"/>
      </w:r>
      <w:r>
        <w:rPr>
          <w:rFonts w:eastAsiaTheme="minorEastAsia"/>
        </w:rPr>
        <w:instrText xml:space="preserve"> ADDIN ZOTERO_ITEM CSL_CITATION {"citationID":"7HILgj8R","properties":{"formattedCitation":"(Talwar {\\i{}et al.}, 2021)","plainCitation":"(Talwar et al., 2021)","noteIndex":0},"citationItems":[{"id":6714,"uris":["http://zotero.org/users/10703570/items/PI4U2GGN"],"itemData":{"id":6714,"type":"article-journal","container-title":"International Journal of Production Research","ISSN":"0020-7543","issue":"11","journalAbbreviation":"International Journal of Production Research","note":"publisher: Taylor &amp; Francis","page":"3509-3534","title":"Big Data in operations and supply chain management: a systematic literature review and future research agenda","volume":"59","author":[{"family":"Talwar","given":"Shalini"},{"family":"Kaur","given":"Puneet"},{"family":"Fosso Wamba","given":"Samuel"},{"family":"Dhir","given":"Amandeep"}],"issued":{"date-parts":[["2021"]]}}}],"schema":"https://github.com/citation-style-language/schema/raw/master/csl-citation.json"} </w:instrText>
      </w:r>
      <w:r>
        <w:rPr>
          <w:rFonts w:eastAsiaTheme="minorEastAsia"/>
        </w:rPr>
        <w:fldChar w:fldCharType="separate"/>
      </w:r>
      <w:r>
        <w:t xml:space="preserve">Talwar </w:t>
      </w:r>
      <w:r>
        <w:rPr>
          <w:i/>
          <w:iCs/>
        </w:rPr>
        <w:t>et al.</w:t>
      </w:r>
      <w:r>
        <w:t xml:space="preserve"> </w:t>
      </w:r>
      <w:r>
        <w:rPr>
          <w:rFonts w:eastAsiaTheme="minorEastAsia"/>
        </w:rPr>
        <w:t>(</w:t>
      </w:r>
      <w:r>
        <w:t>2021)</w:t>
      </w:r>
      <w:r>
        <w:rPr>
          <w:rFonts w:eastAsiaTheme="minorEastAsia"/>
        </w:rPr>
        <w:fldChar w:fldCharType="end"/>
      </w:r>
      <w:r>
        <w:rPr>
          <w:rFonts w:eastAsiaTheme="minorEastAsia"/>
        </w:rPr>
        <w:t>.</w:t>
      </w:r>
    </w:p>
    <w:p w14:paraId="59386EE1">
      <w:pPr>
        <w:pStyle w:val="19"/>
        <w:spacing w:before="120" w:beforeAutospacing="0" w:after="240" w:afterAutospacing="0" w:line="360" w:lineRule="auto"/>
        <w:jc w:val="both"/>
        <w:rPr>
          <w:rFonts w:eastAsiaTheme="minorEastAsia"/>
        </w:rPr>
      </w:pPr>
      <w:r>
        <w:rPr>
          <w:rFonts w:eastAsiaTheme="minorEastAsia"/>
        </w:rPr>
        <w:t xml:space="preserve">Aside from the above two approaches of dimensioning BDC, another widely applied dimension division approach has emerged in recent years. Based on the DCT and strategic decision-making considerations, BDC can also be divided into three dimensions, including resource acquisition capability, in-depth analysis capability, and real-time insight and prediction capability. Among them, resource integration capability refers to the ability to acquire and integrate internal and external BD resources continuously; in-depth analysis capability encompasses the ability to generate new and multi-dimensional insights based on the meticulous analysis of BD; real-time insight and prediction capability is the ability to generate real-time insights or predict trends base on BD. Through the conceptual comparison of the three dimensions, it is not difficult to find that the division is made according to the sequential process of the enterprise's collection, processing and application of BD. </w:t>
      </w:r>
      <w:r>
        <w:rPr>
          <w:rFonts w:eastAsiaTheme="minorEastAsia"/>
        </w:rPr>
        <w:fldChar w:fldCharType="begin"/>
      </w:r>
      <w:r>
        <w:rPr>
          <w:rFonts w:eastAsiaTheme="minorEastAsia"/>
        </w:rPr>
        <w:instrText xml:space="preserve"> ADDIN ZOTERO_ITEM CSL_CITATION {"citationID":"3wxlXnLP","properties":{"formattedCitation":"(Xie, Liu and Wang, 2016)","plainCitation":"(Xie, Liu and Wang, 2016)","dontUpdate":true,"noteIndex":0},"citationItems":[{"id":"NEZ99iNq/pm72ZQzB","uris":["http://zotero.org/users/10703570/items/CCBLLJKD"],"itemData":{"id":5418,"type":"article-journal","container-title":"Science and Technology Management Studies","issue":"14","page":"170-177","title":"Study on the Connotation and Dimension of Big Data Capability and Its Relationship with Group Management and Control","volume":"36","author":[{"family":"Xie","given":"Weihong"},{"family":"Liu","given":"Gao"},{"family":"Wang","given":"Tianhui"}],"issued":{"date-parts":[["2016"]]}}}],"schema":"https://github.com/citation-style-language/schema/raw/master/csl-citation.json"} </w:instrText>
      </w:r>
      <w:r>
        <w:rPr>
          <w:rFonts w:eastAsiaTheme="minorEastAsia"/>
        </w:rPr>
        <w:fldChar w:fldCharType="separate"/>
      </w:r>
      <w:r>
        <w:rPr>
          <w:rFonts w:eastAsiaTheme="minorEastAsia"/>
        </w:rPr>
        <w:t>Xie, Liu and Wang (2016)</w:t>
      </w:r>
      <w:r>
        <w:rPr>
          <w:rFonts w:eastAsiaTheme="minorEastAsia"/>
        </w:rPr>
        <w:fldChar w:fldCharType="end"/>
      </w:r>
      <w:r>
        <w:rPr>
          <w:rFonts w:eastAsiaTheme="minorEastAsia"/>
        </w:rPr>
        <w:t xml:space="preserve"> developed a measurement scale based on this dimensional division, which has 16 measurement items, and this research team fine-tuned the names of the dimensions and scale items in subsequent studies, which showed high reliability and validity after many empirical tests, laying the foundation for many related empirical studies. In the present study, it is believed that it is more reasonable to divide BDC into the above three dimensions. Specifically, this paper considers that BDC is the simultaneous embodiment of resource integration capability, in-depth analysis capability, and real-time insight and prediction capability at the capability level. </w:t>
      </w:r>
    </w:p>
    <w:p w14:paraId="65028F38">
      <w:pPr>
        <w:pStyle w:val="19"/>
        <w:spacing w:before="120" w:beforeAutospacing="0" w:after="240" w:afterAutospacing="0" w:line="360" w:lineRule="auto"/>
        <w:jc w:val="both"/>
        <w:rPr>
          <w:rFonts w:eastAsiaTheme="minorEastAsia"/>
        </w:rPr>
      </w:pPr>
    </w:p>
    <w:p w14:paraId="2E3D3D3F">
      <w:pPr>
        <w:pStyle w:val="3"/>
        <w:spacing w:after="240" w:line="360" w:lineRule="auto"/>
        <w:jc w:val="both"/>
        <w:rPr>
          <w:rFonts w:ascii="Times New Roman" w:hAnsi="Times New Roman" w:cs="Times New Roman"/>
          <w:color w:val="auto"/>
        </w:rPr>
      </w:pPr>
      <w:bookmarkStart w:id="17" w:name="_Toc178258257"/>
      <w:r>
        <w:rPr>
          <w:rFonts w:ascii="Times New Roman" w:hAnsi="Times New Roman" w:cs="Times New Roman"/>
          <w:color w:val="auto"/>
        </w:rPr>
        <w:t>2.2 Theoretical Underpins</w:t>
      </w:r>
      <w:bookmarkEnd w:id="17"/>
      <w:r>
        <w:rPr>
          <w:rFonts w:ascii="Times New Roman" w:hAnsi="Times New Roman" w:cs="Times New Roman"/>
          <w:color w:val="auto"/>
        </w:rPr>
        <w:t xml:space="preserve"> </w:t>
      </w:r>
    </w:p>
    <w:p w14:paraId="7E6374EC">
      <w:pPr>
        <w:pStyle w:val="4"/>
        <w:spacing w:before="120" w:after="240" w:line="360" w:lineRule="auto"/>
        <w:jc w:val="both"/>
        <w:rPr>
          <w:rFonts w:ascii="Times New Roman" w:hAnsi="Times New Roman" w:cs="Times New Roman"/>
          <w:i/>
          <w:iCs/>
          <w:color w:val="auto"/>
        </w:rPr>
      </w:pPr>
      <w:bookmarkStart w:id="18" w:name="_Toc178258258"/>
      <w:r>
        <w:rPr>
          <w:rFonts w:ascii="Times New Roman" w:hAnsi="Times New Roman" w:cs="Times New Roman"/>
          <w:color w:val="auto"/>
        </w:rPr>
        <w:t>2.2.1 Resource-based Theory</w:t>
      </w:r>
      <w:bookmarkEnd w:id="18"/>
      <w:r>
        <w:rPr>
          <w:rFonts w:ascii="Times New Roman" w:hAnsi="Times New Roman" w:cs="Times New Roman"/>
          <w:color w:val="auto"/>
        </w:rPr>
        <w:t xml:space="preserve"> </w:t>
      </w:r>
    </w:p>
    <w:p w14:paraId="4889762C">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RBT is the basic theory and dominant paradigm in the field of strategic management, which is mainly applied to analyse the competitive advantages and performance differences of enterprises arising from resource heterogeneity. The formal formation of RBT started with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{"citationID":"63Lo4whj","properties":{"formattedCitation":"(Wernerfelt, 1984)","plainCitation":"(Wernerfelt, 1984)","dontUpdate":true,"noteIndex":0},"citationItems":[{"id":"NEZ99iNq/vrIWmAvd","uris":["http://zotero.org/users/10703570/items/APYWBKCA"],"itemData":{"id":5424,"type":"article-journal","abstract":"The paper explores the usefulness of analysing firms from the resource side rather than from the product side. In analogy to entry barriers and growth-share matrices, the concepts of resource position barrier and resource-product matrices are suggested. These tools are then used to highlight the new strategic options which naturally emerge from the resource perspective.","container-title":"Strategic Management Journal","DOI":"10.1002/smj.4250050207","ISSN":"1097-0266","issue":"2","language":"en","license":"Copyright © 1984 John Wiley &amp; Sons, Ltd.","note":"_eprint: https://onlinelibrary.wiley.com/doi/pdf/10.1002/smj.4250050207","page":"171-180","source":"Wiley Online Library","title":"A resource-based view of the firm","volume":"5","author":[{"family":"Wernerfelt","given":"Birger"}],"issued":{"date-parts":[["1984"]]}}}],"schema":"https://github.com/citation-style-language/schema/raw/master/csl-citation.json"}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Wernerfelt (1984)</w:t>
      </w:r>
      <w:r>
        <w:rPr>
          <w:rFonts w:ascii="Times New Roman" w:hAnsi="Times New Roman" w:cs="Times New Roman"/>
          <w:sz w:val="24"/>
          <w:szCs w:val="24"/>
        </w:rPr>
        <w:fldChar w:fldCharType="end"/>
      </w:r>
      <w:r>
        <w:rPr>
          <w:rFonts w:ascii="Times New Roman" w:hAnsi="Times New Roman" w:cs="Times New Roman"/>
          <w:sz w:val="24"/>
          <w:szCs w:val="24"/>
        </w:rPr>
        <w:t xml:space="preserve"> and has been refined through a series of studies such as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{"citationID":"mzf7N73M","properties":{"formattedCitation":"(Barney, 1991)","plainCitation":"(Barney, 1991)","dontUpdate":true,"noteIndex":0},"citationItems":[{"id":"NEZ99iNq/klaikUo9","uris":["http://zotero.org/users/10703570/items/HKB2BV33"],"itemData":{"id":5426,"type":"article-journal","container-title":"Journal of management","ISSN":"0149-2063","issue":"1","journalAbbreviation":"Journal of management","note":"publisher: Sage Publications Sage CA: Thousand Oaks, CA","page":"99-120","title":"Firm resources and sustained competitive advantage","volume":"17","author":[{"family":"Barney","given":"Jay"}],"issued":{"date-parts":[["1991"]]}}}],"schema":"https://github.com/citation-style-language/schema/raw/master/csl-citation.json"}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Barney (1991)</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{"citationID":"E2Zx4qXM","properties":{"formattedCitation":"(Amit and Schoemaker, 1993)","plainCitation":"(Amit and Schoemaker, 1993)","dontUpdate":true,"noteIndex":0},"citationItems":[{"id":"NEZ99iNq/Cqr09Kqb","uris":["http://zotero.org/users/10703570/items/Q4G8WFGW"],"itemData":{"id":5427,"type":"article-journal","abstract":"We build on an emerging strategy literature that views the firm as a bundle of resources and capabilities, and examine conditions that contribute to the realization of sustainable economic rents. Because of (1) resource-market imperfections and (2) discretionary managerial decisions about resource development and deployment, we expect firms to differ (in and out of equilibrium) in the resources and capabilities they control. This asymmetry in turn can be a source of sustainable economic rent. The paper focuses on the linkages between the industry analysis framework, the resource-based view of the firm, behavioral decision biases and organizational implementation issues. It connects the concept of Strategic Industry Factors at the market level with the notion of Strategic Assets at the firm level. Organizational rent is shown to stem from imperfect and discretionary decisions to develop and deploy selected resources and capabilities, made by boundedly rational managers facing high uncertainty, complexity, and intrafirm conflict.","container-title":"Strategic Management Journal","DOI":"10.1002/smj.4250140105","ISSN":"1097-0266","issue":"1","language":"en","license":"Copyright © 1993 John Wiley &amp; Sons, Ltd.","note":"_eprint: https://onlinelibrary.wiley.com/doi/pdf/10.1002/smj.4250140105","page":"33-46","source":"Wiley Online Library","title":"Strategic assets and organizational rent","volume":"14","author":[{"family":"Amit","given":"Raphael"},{"family":"Schoemaker","given":"Paul J. H."}],"issued":{"date-parts":[["1993"]]}}}],"schema":"https://github.com/citation-style-language/schema/raw/master/csl-citation.json"}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Amit and Schoemaker (1993)</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{"citationID":"4yzIuUhr","properties":{"formattedCitation":"(Peteraf and Bergen, 2003)","plainCitation":"(Peteraf and Bergen, 2003)","dontUpdate":true,"noteIndex":0},"citationItems":[{"id":"NEZ99iNq/TDxTSiqO","uris":["http://zotero.org/users/10703570/items/34FQ9I6X"],"itemData":{"id":5431,"type":"article-journal","abstract":"Heterogeneity among rivals implies that each firm faces a unique competitive set, despite overlapping market domains. This suggests the utility of a firm-level approach to competitor identification and analysis, particularly under dynamic environmental conditions. We take such an approach in developing a market-based and resource-based framework for scanning complex competitive fields. By facilitating a search for functional similarities among products and resources, the framework reveals relevant commonalities in an otherwise heterogeneous competitive set. Beyond its practical contribution, the paper also advances resource-based theory as a theory of competitive advantage. Most notably, we show that resource substitution conditions not only the sustainability of a competitive advantage, but the attainment of competitive advantage as well. With equifinality among resources of different types, the rareness condition for even temporary competitive advantage must include resource substitutes. It is not rareness in terms of resource type that matters, but rareness in terms of resource functionality. Copyright © 2003 John Wiley &amp; Sons, Ltd.","container-title":"Strategic Management Journal","DOI":"10.1002/smj.325","ISSN":"1097-0266","issue":"10","language":"en","license":"Copyright © 2003 John Wiley &amp; Sons, Ltd.","note":"_eprint: https://onlinelibrary.wiley.com/doi/pdf/10.1002/smj.325","page":"1027-1041","source":"Wiley Online Library","title":"Scanning dynamic competitive landscapes: a market-based and resource-based framework","title-short":"Scanning dynamic competitive landscapes","volume":"24","author":[{"family":"Peteraf","given":"Margaret A."},{"family":"Bergen","given":"Mark E."}],"issued":{"date-parts":[["2003"]]}}}],"schema":"https://github.com/citation-style-language/schema/raw/master/csl-citation.json"}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Peteraf and Bergen (2003)</w:t>
      </w:r>
      <w:r>
        <w:rPr>
          <w:rFonts w:ascii="Times New Roman" w:hAnsi="Times New Roman" w:cs="Times New Roman"/>
          <w:sz w:val="24"/>
          <w:szCs w:val="24"/>
        </w:rPr>
        <w:fldChar w:fldCharType="end"/>
      </w:r>
      <w:r>
        <w:rPr>
          <w:rFonts w:ascii="Times New Roman" w:hAnsi="Times New Roman" w:cs="Times New Roman"/>
          <w:sz w:val="24"/>
          <w:szCs w:val="24"/>
        </w:rPr>
        <w:t xml:space="preserve"> and so on, which have resulted in the formation of a systematic theoretical system. RBT is broadly divided into two research perspectives: one is represented by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{"citationID":"XdJFsawJ","properties":{"formattedCitation":"(Barney, 1991)","plainCitation":"(Barney, 1991)","dontUpdate":true,"noteIndex":0},"citationItems":[{"id":"NEZ99iNq/klaikUo9","uris":["http://zotero.org/users/10703570/items/HKB2BV33"],"itemData":{"id":5426,"type":"article-journal","container-title":"Journal of management","ISSN":"0149-2063","issue":"1","journalAbbreviation":"Journal of management","note":"publisher: Sage Publications Sage CA: Thousand Oaks, CA","page":"99-120","title":"Firm resources and sustained competitive advantage","volume":"17","author":[{"family":"Barney","given":"Jay"}],"issued":{"date-parts":[["1991"]]}}}],"schema":"https://github.com/citation-style-language/schema/raw/master/csl-citation.json"}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Barney (1991)</w:t>
      </w:r>
      <w:r>
        <w:rPr>
          <w:rFonts w:ascii="Times New Roman" w:hAnsi="Times New Roman" w:cs="Times New Roman"/>
          <w:sz w:val="24"/>
          <w:szCs w:val="24"/>
        </w:rPr>
        <w:fldChar w:fldCharType="end"/>
      </w:r>
      <w:r>
        <w:rPr>
          <w:rFonts w:ascii="Times New Roman" w:hAnsi="Times New Roman" w:cs="Times New Roman"/>
          <w:sz w:val="24"/>
          <w:szCs w:val="24"/>
        </w:rPr>
        <w:t xml:space="preserve">, who, from the internal perspective of the enterprise, explores what characteristics of heterogeneous resources the enterprise possesses to bring about competitive advantage and performance differences, and the other is represented by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{"citationID":"GfItooYo","properties":{"formattedCitation":"(Peteraf and Bergen, 2003)","plainCitation":"(Peteraf and Bergen, 2003)","dontUpdate":true,"noteIndex":0},"citationItems":[{"id":"NEZ99iNq/TDxTSiqO","uris":["http://zotero.org/users/10703570/items/34FQ9I6X"],"itemData":{"id":5431,"type":"article-journal","abstract":"Heterogeneity among rivals implies that each firm faces a unique competitive set, despite overlapping market domains. This suggests the utility of a firm-level approach to competitor identification and analysis, particularly under dynamic environmental conditions. We take such an approach in developing a market-based and resource-based framework for scanning complex competitive fields. By facilitating a search for functional similarities among products and resources, the framework reveals relevant commonalities in an otherwise heterogeneous competitive set. Beyond its practical contribution, the paper also advances resource-based theory as a theory of competitive advantage. Most notably, we show that resource substitution conditions not only the sustainability of a competitive advantage, but the attainment of competitive advantage as well. With equifinality among resources of different types, the rareness condition for even temporary competitive advantage must include resource substitutes. It is not rareness in terms of resource type that matters, but rareness in terms of resource functionality. Copyright © 2003 John Wiley &amp; Sons, Ltd.","container-title":"Strategic Management Journal","DOI":"10.1002/smj.325","ISSN":"1097-0266","issue":"10","language":"en","license":"Copyright © 2003 John Wiley &amp; Sons, Ltd.","note":"_eprint: https://onlinelibrary.wiley.com/doi/pdf/10.1002/smj.325","page":"1027-1041","source":"Wiley Online Library","title":"Scanning dynamic competitive landscapes: a market-based and resource-based framework","title-short":"Scanning dynamic competitive landscapes","volume":"24","author":[{"family":"Peteraf","given":"Margaret A."},{"family":"Bergen","given":"Mark E."}],"issued":{"date-parts":[["2003"]]}}}],"schema":"https://github.com/citation-style-language/schema/raw/master/csl-citation.json"}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Peteraf and Bergen (2003)</w:t>
      </w:r>
      <w:r>
        <w:rPr>
          <w:rFonts w:ascii="Times New Roman" w:hAnsi="Times New Roman" w:cs="Times New Roman"/>
          <w:sz w:val="24"/>
          <w:szCs w:val="24"/>
        </w:rPr>
        <w:fldChar w:fldCharType="end"/>
      </w:r>
      <w:r>
        <w:rPr>
          <w:rFonts w:ascii="Times New Roman" w:hAnsi="Times New Roman" w:cs="Times New Roman"/>
          <w:sz w:val="24"/>
          <w:szCs w:val="24"/>
        </w:rPr>
        <w:t>, who, from the perspective of competition in the external market, explore how to deal with resources to form different competitive strategies that thereby gain competitive advantage and performance differentiation.</w:t>
      </w:r>
    </w:p>
    <w:p w14:paraId="5C875A5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first research perspective,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{"citationID":"llcFPmSW","properties":{"formattedCitation":"(Barney, 1991)","plainCitation":"(Barney, 1991)","dontUpdate":true,"noteIndex":0},"citationItems":[{"id":"NEZ99iNq/klaikUo9","uris":["http://zotero.org/users/10703570/items/HKB2BV33"],"itemData":{"id":5426,"type":"article-journal","container-title":"Journal of management","ISSN":"0149-2063","issue":"1","journalAbbreviation":"Journal of management","note":"publisher: Sage Publications Sage CA: Thousand Oaks, CA","page":"99-120","title":"Firm resources and sustained competitive advantage","volume":"17","author":[{"family":"Barney","given":"Jay"}],"issued":{"date-parts":[["1991"]]}}}],"schema":"https://github.com/citation-style-language/schema/raw/master/csl-citation.json"}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Barney (1991)</w:t>
      </w:r>
      <w:r>
        <w:rPr>
          <w:rFonts w:ascii="Times New Roman" w:hAnsi="Times New Roman" w:cs="Times New Roman"/>
          <w:sz w:val="24"/>
          <w:szCs w:val="24"/>
        </w:rPr>
        <w:fldChar w:fldCharType="end"/>
      </w:r>
      <w:r>
        <w:rPr>
          <w:rFonts w:ascii="Times New Roman" w:hAnsi="Times New Roman" w:cs="Times New Roman"/>
          <w:sz w:val="24"/>
          <w:szCs w:val="24"/>
        </w:rPr>
        <w:t xml:space="preserve"> suggests that resources are homogeneous when they begin to enter the firm and form heterogeneity as they merge with firm characteristics. Barney (1991) proposes the VRIN model, which suggests that heterogeneous resources are valuable, scarce, inimitable, and non-substitutable. Based on his research,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{"citationID":"uqqucKqc","properties":{"formattedCitation":"(Barney, 2002)","plainCitation":"(Barney, 2002)","dontUpdate":true,"noteIndex":0},"citationItems":[{"id":"NEZ99iNq/szyyZQYu","uris":["http://zotero.org/users/10703570/items/I2L5EG6Y"],"itemData":{"id":5433,"type":"article-journal","abstract":"The article discusses the book “Competitive Strategy: Techniques for Analyzing Industries and Competitors,” by Michael E. Porter. The author sees Porter's intellectual prowess in acknowledging the components of strategic management, and then focusing on a single objective of strategic management research and practice that would facilitate the development of the field without entirely abandoning concerns for stakeholders besides a firm's equity holders. The author praises Porter for helping the field understand the dependent variable of economic theory, focusing on the industry as the unit of analysis, and the role of social welfare in strategic research management and practice. Porter's approach to applying the structure, conduct, and performance paradigm is also mentioned as being greatly influential.","container-title":"Academy of Management Perspectives","DOI":"10.5465/ame.2002.7173521","ISSN":"1558-9080","issue":"2","journalAbbreviation":"AMP","note":"publisher: Academy of Management","page":"53-57","source":"journals.aom.org (Atypon)","title":"Strategic management: From informed conversation to academic discipline","title-short":"Strategic management","volume":"16","author":[{"family":"Barney","given":"Jay B."}],"issued":{"date-parts":[["2002",5]]}}}],"schema":"https://github.com/citation-style-language/schema/raw/master/csl-citation.json"}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Barney (2002)</w:t>
      </w:r>
      <w:r>
        <w:rPr>
          <w:rFonts w:ascii="Times New Roman" w:hAnsi="Times New Roman" w:cs="Times New Roman"/>
          <w:sz w:val="24"/>
          <w:szCs w:val="24"/>
        </w:rPr>
        <w:fldChar w:fldCharType="end"/>
      </w:r>
      <w:r>
        <w:rPr>
          <w:rFonts w:ascii="Times New Roman" w:hAnsi="Times New Roman" w:cs="Times New Roman"/>
          <w:sz w:val="24"/>
          <w:szCs w:val="24"/>
        </w:rPr>
        <w:t xml:space="preserve"> then proposes the VRIO model, which suggests that heterogeneous resources are valuable, scarce, inimitable, and organisational. VRIO model, which argues that heterogeneous resources are valuable, scarce, inimitable and organisational; the first three characteristics have been elaborated in Barney's (1991) study, and this time, the emphasis is on organisational aspects, i.e., firms have to develop their resources according to a certain procedure to maintain a lasting competitive advantage. </w:t>
      </w:r>
    </w:p>
    <w:p w14:paraId="4FA0913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second research perspective,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{"citationID":"FE1TRr2p","properties":{"formattedCitation":"(Peteraf, 1993)","plainCitation":"(Peteraf, 1993)","dontUpdate":true,"noteIndex":0},"citationItems":[{"id":"NEZ99iNq/f9orpC3B","uris":["http://zotero.org/users/10703570/items/NDB8X9CC"],"itemData":{"id":5434,"type":"article-journal","abstract":"This paper elucidates the underlying economics of the resource-based view of competitive advantage and integrates existing perspectives into a parsimonious model of resources and firm performance. The essence of this model is that four conditions underlie sustained competitive advantage, all of which must be met. These include superior resources (heterogeneity within an industry), ex post limits to competition, imperfect resource mobility, and ex ante limits to competition. In the concluding section, applications of the model for both single business strategy and corporate strategy are discussed.","container-title":"Strategic Management Journal","DOI":"10.1002/smj.4250140303","ISSN":"1097-0266","issue":"3","language":"en","license":"Copyright © 1993 John Wiley &amp; Sons, Ltd.","note":"_eprint: https://onlinelibrary.wiley.com/doi/pdf/10.1002/smj.4250140303","page":"179-191","source":"Wiley Online Library","title":"The cornerstones of competitive advantage: A resource-based view","title-short":"The cornerstones of competitive advantage","volume":"14","author":[{"family":"Peteraf","given":"Margaret A."}],"issued":{"date-parts":[["1993"]]}}}],"schema":"https://github.com/citation-style-language/schema/raw/master/csl-citation.json"}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Peteraf (1993)</w:t>
      </w:r>
      <w:r>
        <w:rPr>
          <w:rFonts w:ascii="Times New Roman" w:hAnsi="Times New Roman" w:cs="Times New Roman"/>
          <w:sz w:val="24"/>
          <w:szCs w:val="24"/>
        </w:rPr>
        <w:fldChar w:fldCharType="end"/>
      </w:r>
      <w:r>
        <w:rPr>
          <w:rFonts w:ascii="Times New Roman" w:hAnsi="Times New Roman" w:cs="Times New Roman"/>
          <w:sz w:val="24"/>
          <w:szCs w:val="24"/>
        </w:rPr>
        <w:t xml:space="preserve"> emphasises that firms segregate different competitive strategies through resource differences that lead to competitive advantage and performance differences. Specific competitive strategies include four types: first, a competitive strategy centred on the limited supply of resources, which emphasises how firms can gain a competitive advantage by acquiring high-quality, limited resources that are different from those of their competitors; second, a competitive strategy centred on the incomplete flow of resources, which emphasises how firms can gain a competitive advantage by utilising resources at a higher rate than those of their competitors; and, third, ex-ante competitive constraints strategy, which emphasises how firms can gain competitive advantage by obtaining superior resources from the market at lower costs; and fourth, ex post competitive constraints strategy, which emphasises how firms can gain competitive advantage by making their resources inimitable and imperfectly substitutable.</w:t>
      </w:r>
    </w:p>
    <w:p w14:paraId="5DEFE93C">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Overall, the essence of RBT lies in the heterogeneity of intra-firm resources, such that all the unique resources of an enterprise can enable the enterprise to ensure heterogeneity with other enterprises in the industry over a fairly long period to obtain a competitive advantage and achieve performance success. In essence, RBT establishes a framework system of "BDC as a resource--- firm performance", and the heterogeneous BDC resources of enterprises form a kind of isolation mechanism that can be imitated or copied, helping firms to formulate and implement valuable strategies that can lead to improved performance.</w:t>
      </w:r>
    </w:p>
    <w:p w14:paraId="57D37F1B">
      <w:pPr>
        <w:pStyle w:val="4"/>
        <w:spacing w:before="120" w:after="240" w:line="360" w:lineRule="auto"/>
        <w:jc w:val="both"/>
        <w:rPr>
          <w:rFonts w:ascii="Times New Roman" w:hAnsi="Times New Roman" w:cs="Times New Roman"/>
          <w:color w:val="auto"/>
        </w:rPr>
      </w:pPr>
      <w:bookmarkStart w:id="19" w:name="_Toc178258259"/>
      <w:r>
        <w:rPr>
          <w:rFonts w:ascii="Times New Roman" w:hAnsi="Times New Roman" w:cs="Times New Roman"/>
          <w:color w:val="auto"/>
        </w:rPr>
        <w:t>2.2.2 Organizational Learning Theory</w:t>
      </w:r>
      <w:bookmarkEnd w:id="19"/>
    </w:p>
    <w:p w14:paraId="67C0269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OL has been an important management topic for scholars, and there is a vast and complex body of research on OL, with concepts dating back to the 1950s. However, despite the rapid development of research on OL, the clarification and formal definition of OL have been fraught with inconsistencies. For example,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{"citationID":"TgEB6nWm","properties":{"formattedCitation":"(Duncan, 1972)","plainCitation":"(Duncan, 1972)","dontUpdate":true,"noteIndex":0},"citationItems":[{"id":"NEZ99iNq/GkUMyXuo","uris":["http://zotero.org/users/10703570/items/6CECI6IE"],"itemData":{"id":5436,"type":"article-journal","abstract":"Twenty-two decision groups in three manufacturing and three research and development organizations are studied to identify the characteristics of the environment that contribute to decision unit members experiencing uncertainty in decision making. Two dimensions of the environment are identified. The simple-complex dimension is defined as the number of factors taken into consideration in decision making. The static-dynamic dimension is viewed as the degree to which these factors in the decision unit's environment remain basically the same over time or are in a continual process of change. Results indicate that individuals in decision units with dynamic-complex environments experience the greatest amount of uncertainty in decision making. The data also indicate that the static-dynamic dimension of the environment is a more important contributor to uncertainty than the simple-complex dimension.","container-title":"Administrative Science Quarterly","DOI":"10.2307/2392145","ISSN":"0001-8392","issue":"3","note":"publisher: [Sage Publications, Inc., Johnson Graduate School of Management, Cornell University]","page":"313-327","source":"JSTOR","title":"Characteristics of Organizational Environments and Perceived Environmental Uncertainty","volume":"17","author":[{"family":"Duncan","given":"Robert B."}],"issued":{"date-parts":[["1972"]]}}}],"schema":"https://github.com/citation-style-language/schema/raw/master/csl-citation.json"}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Duncan (1972)</w:t>
      </w:r>
      <w:r>
        <w:rPr>
          <w:rFonts w:ascii="Times New Roman" w:hAnsi="Times New Roman" w:cs="Times New Roman"/>
          <w:sz w:val="24"/>
          <w:szCs w:val="24"/>
        </w:rPr>
        <w:fldChar w:fldCharType="end"/>
      </w:r>
      <w:r>
        <w:rPr>
          <w:rFonts w:ascii="Times New Roman" w:hAnsi="Times New Roman" w:cs="Times New Roman"/>
          <w:sz w:val="24"/>
          <w:szCs w:val="24"/>
        </w:rPr>
        <w:t xml:space="preserve"> defines OL from an economic perspective as the trajectory of processes that improve the output of actions within an organisation to increase economic efficiency. It can be seen that this definition has obvious economic attributes that make it difficult to convey the true meaning of OL in business management.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{"citationID":"lqMBhcT2","properties":{"formattedCitation":"(Argyris and Sch\\uc0\\u246{}n, 1997)","plainCitation":"(Argyris and Schön, 1997)","dontUpdate":true,"noteIndex":0},"citationItems":[{"id":"NEZ99iNq/XZYV8lYw","uris":["http://zotero.org/users/10703570/items/SLWIN7EH"],"itemData":{"id":5437,"type":"article-journal","container-title":"Reis","ISSN":"0210-5233","issue":"77/78","journalAbbreviation":"Reis","note":"publisher: JSTOR","page":"345-348","title":"Organizational learning: A theory of action perspective","author":[{"family":"Argyris","given":"Ch"},{"family":"Schön","given":"Donald A"}],"issued":{"date-parts":[["1997"]]}}}],"schema":"https://github.com/citation-style-language/schema/raw/master/csl-citation.json"}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32"/>
        </w:rPr>
        <w:t>Argyris and Schön (1997)</w:t>
      </w:r>
      <w:r>
        <w:rPr>
          <w:rFonts w:ascii="Times New Roman" w:hAnsi="Times New Roman" w:cs="Times New Roman"/>
          <w:sz w:val="24"/>
          <w:szCs w:val="24"/>
        </w:rPr>
        <w:fldChar w:fldCharType="end"/>
      </w:r>
      <w:r>
        <w:rPr>
          <w:rFonts w:ascii="Times New Roman" w:hAnsi="Times New Roman" w:cs="Times New Roman"/>
          <w:sz w:val="24"/>
          <w:szCs w:val="24"/>
        </w:rPr>
        <w:t xml:space="preserve"> formally made a definition of OL. They believe that first of all, in terms of learning is the accumulation of knowledge, information internalisation and storage, OL is the organisation of each member of the self-examination and checking the organisation of the management of the problems in the management of the organisation, to find and correct the errors of OL, and to promote the organisational behaviour adjustment and correction process.</w:t>
      </w:r>
    </w:p>
    <w:p w14:paraId="5196663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Scholars' definitions of OL have been continuously interpreted from the perspectives of sociology, knowledge application and management. For example,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{"citationID":"RfPSJsn4","properties":{"formattedCitation":"(Gherardi, 2000)","plainCitation":"(Gherardi, 2000)","dontUpdate":true,"noteIndex":0},"citationItems":[{"id":"NEZ99iNq/yd9EhKFO","uris":["http://zotero.org/users/10703570/items/TRT6BJJL"],"itemData":{"id":5438,"type":"article-journal","container-title":"Organization","ISSN":"1350-5084","issue":"2","journalAbbreviation":"Organization","note":"publisher: Sage Publications Sage CA: Thousand Oaks, CA","page":"211-223","title":"Practice-based theorizing on learning and knowing in organizations","volume":"7","author":[{"family":"Gherardi","given":"Silvia"}],"issued":{"date-parts":[["2000"]]}}}],"schema":"https://github.com/citation-style-language/schema/raw/master/csl-citation.json"}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Gherardi (2000)</w:t>
      </w:r>
      <w:r>
        <w:rPr>
          <w:rFonts w:ascii="Times New Roman" w:hAnsi="Times New Roman" w:cs="Times New Roman"/>
          <w:sz w:val="24"/>
          <w:szCs w:val="24"/>
        </w:rPr>
        <w:fldChar w:fldCharType="end"/>
      </w:r>
      <w:r>
        <w:rPr>
          <w:rFonts w:ascii="Times New Roman" w:hAnsi="Times New Roman" w:cs="Times New Roman"/>
          <w:sz w:val="24"/>
          <w:szCs w:val="24"/>
        </w:rPr>
        <w:t xml:space="preserve"> defines OL from a sociological point of view, perceiving it as an organism that encompasses the two gametes of organisation and learning. It is distinguished from general individual learning by its special feature of group learning in social relationships bounded by organisational statutes.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{"citationID":"Dmcb1Yyf","properties":{"formattedCitation":"(Teece, 2000)","plainCitation":"(Teece, 2000)","dontUpdate":true,"noteIndex":0},"citationItems":[{"id":"NEZ99iNq/Pi9WYznH","uris":["http://zotero.org/users/10703570/items/8DLBFJVA"],"itemData":{"id":5439,"type":"article-journal","abstract":"In the new economy, the sustainable competitive advantage of business firms flows from the creation, ownership, protection and use of difficult-to-imitate commercial and industrial knowledge assets. Such assets include tacit and codified know-how, both technical and organisational, whether or not protected by the instruments of intellectual property such as trade secrets, copyrights and patents. Competitive advantage undergirded by such assets can be sustainable to the extent to which it is transferable and useable inside the firm, but difficult for outsiders to access and/or recreate. Knowledge management can be used to describe the panoply of procedures and techniques used to get the most from a firm’s knowledge assets. Information technology can assist knowledge management, but knowledge management involves much more than the astute use of IT tools. In particular, knowledge management requires the development of dynamic capabilities… the ability to sense and then seize opportunities quickly and proficiently. This is especially so in environments characterised by increasing returns, irrespective of the appropriability regime. Companies slow to respond to the new reality will be severely handicapped.","container-title":"Long Range Planning","DOI":"10.1016/S0024-6301(99)00117-X","ISSN":"0024-6301","issue":"1","journalAbbreviation":"Long Range Planning","page":"35-54","source":"ScienceDirect","title":"Strategies for Managing Knowledge Assets: the Role of Firm Structure and Industrial Context","title-short":"Strategies for Managing Knowledge Assets","volume":"33","author":[{"family":"Teece","given":"David J."}],"issued":{"date-parts":[["2000",2,1]]}}}],"schema":"https://github.com/citation-style-language/schema/raw/master/csl-citation.json"}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Teece (2000)</w:t>
      </w:r>
      <w:r>
        <w:rPr>
          <w:rFonts w:ascii="Times New Roman" w:hAnsi="Times New Roman" w:cs="Times New Roman"/>
          <w:sz w:val="24"/>
          <w:szCs w:val="24"/>
        </w:rPr>
        <w:fldChar w:fldCharType="end"/>
      </w:r>
      <w:r>
        <w:rPr>
          <w:rFonts w:ascii="Times New Roman" w:hAnsi="Times New Roman" w:cs="Times New Roman"/>
          <w:sz w:val="24"/>
          <w:szCs w:val="24"/>
        </w:rPr>
        <w:t>, combined with the view of dynamic competence, proposed that OL is a process of response to the rapidly changing business environment, the group efforts formed within the organisation for self-renewal, proactive learning, optimisation, and improvement.</w:t>
      </w:r>
    </w:p>
    <w:p w14:paraId="11DD597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It can be seen that the definition of OL is constantly evolving and is closely related to the development trend of the times. Based on the above compilation and refinement of the definition of OL, this paper argues that OL is an adaptive process of organisations searching, transforming, applying and creating internal and external knowledge and information to obtain and sustain corporate competitive advantages in a turbulent and complex business environment.</w:t>
      </w:r>
    </w:p>
    <w:p w14:paraId="73BE67F2">
      <w:pPr>
        <w:pStyle w:val="4"/>
        <w:spacing w:before="120" w:after="240" w:line="360" w:lineRule="auto"/>
        <w:jc w:val="both"/>
        <w:rPr>
          <w:rFonts w:ascii="Times New Roman" w:hAnsi="Times New Roman" w:cs="Times New Roman"/>
          <w:color w:val="auto"/>
        </w:rPr>
      </w:pPr>
      <w:bookmarkStart w:id="20" w:name="_Toc178258260"/>
      <w:r>
        <w:rPr>
          <w:rFonts w:ascii="Times New Roman" w:hAnsi="Times New Roman" w:cs="Times New Roman"/>
          <w:color w:val="auto"/>
        </w:rPr>
        <w:t>2.2.3 Dynamic Capability Theory</w:t>
      </w:r>
      <w:bookmarkEnd w:id="20"/>
      <w:r>
        <w:rPr>
          <w:rFonts w:ascii="Times New Roman" w:hAnsi="Times New Roman" w:cs="Times New Roman"/>
          <w:color w:val="auto"/>
        </w:rPr>
        <w:t xml:space="preserve"> </w:t>
      </w:r>
    </w:p>
    <w:p w14:paraId="6AA6ABD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development of RBT, some researchers and scholars have questioned its viewpoints, arguing that RBT confuses resources and capabilities and that its viewpoints mainly focus on the static resources of the enterprise while ignoring the dynamic environment.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{"citationID":"nFoP9lho","properties":{"formattedCitation":"(Teece, Pisano and Shuen, 1997)","plainCitation":"(Teece, Pisano and Shuen, 1997)","dontUpdate":true,"noteIndex":0},"citationItems":[{"id":"NEZ99iNq/Lf3JQnN0","uris":["http://zotero.org/users/10703570/items/EEW2ATQG"],"itemData":{"id":5461,"type":"article-journal","container-title":"Strategic management journal","ISSN":"0143-2095","issue":"7","journalAbbreviation":"Strategic management journal","note":"publisher: Wiley Online Library","page":"509-533","title":"Dynamic capabilities and strategic management","volume":"18","author":[{"family":"Teece","given":"David J"},{"family":"Pisano","given":"Gary"},{"family":"Shuen","given":"Amy"}],"issued":{"date-parts":[["1997"]]}}}],"schema":"https://github.com/citation-style-language/schema/raw/master/csl-citation.json"}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eastAsia="等线" w:cs="Times New Roman"/>
          <w:sz w:val="24"/>
          <w:szCs w:val="24"/>
        </w:rPr>
        <w:t>Teece, Pisano and Shuen (1997)</w:t>
      </w:r>
      <w:r>
        <w:rPr>
          <w:rFonts w:ascii="Times New Roman" w:hAnsi="Times New Roman" w:cs="Times New Roman"/>
          <w:sz w:val="24"/>
          <w:szCs w:val="24"/>
        </w:rPr>
        <w:fldChar w:fldCharType="end"/>
      </w:r>
      <w:r>
        <w:rPr>
          <w:rFonts w:ascii="Times New Roman" w:hAnsi="Times New Roman" w:cs="Times New Roman"/>
          <w:sz w:val="24"/>
          <w:szCs w:val="24"/>
        </w:rPr>
        <w:t xml:space="preserve"> first proposed Dynamic Capability Theory (DCT), which is considered to be an extension of the RBT, with full consideration of the dynamic environment within which the organisation operates. With the depth of research, scholars have supplemented and enriched DCT. The related research is mainly based on two perspectives: the perspective of capability and the perspective of process.</w:t>
      </w:r>
    </w:p>
    <w:p w14:paraId="171A695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capability perspective,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{"citationID":"MXfbdnZr","properties":{"formattedCitation":"(Teece, Pisano and Shuen, 1997)","plainCitation":"(Teece, Pisano and Shuen, 1997)","dontUpdate":true,"noteIndex":0},"citationItems":[{"id":"NEZ99iNq/Lf3JQnN0","uris":["http://zotero.org/users/10703570/items/EEW2ATQG"],"itemData":{"id":5461,"type":"article-journal","container-title":"Strategic management journal","ISSN":"0143-2095","issue":"7","journalAbbreviation":"Strategic management journal","note":"publisher: Wiley Online Library","page":"509-533","title":"Dynamic capabilities and strategic management","volume":"18","author":[{"family":"Teece","given":"David J"},{"family":"Pisano","given":"Gary"},{"family":"Shuen","given":"Amy"}],"issued":{"date-parts":[["1997"]]}}}],"schema":"https://github.com/citation-style-language/schema/raw/master/csl-citation.json"}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Teece, Pisano and Shuen (1997)</w:t>
      </w:r>
      <w:r>
        <w:rPr>
          <w:rFonts w:ascii="Times New Roman" w:hAnsi="Times New Roman" w:cs="Times New Roman"/>
          <w:sz w:val="24"/>
          <w:szCs w:val="24"/>
        </w:rPr>
        <w:fldChar w:fldCharType="end"/>
      </w:r>
      <w:r>
        <w:rPr>
          <w:rFonts w:ascii="Times New Roman" w:hAnsi="Times New Roman" w:cs="Times New Roman"/>
          <w:sz w:val="24"/>
          <w:szCs w:val="24"/>
        </w:rPr>
        <w:t xml:space="preserve"> define dynamic capabilities as competencies through which organisations can continuously construct, reshape, configure and reconfigure all the internal and external technologies, resources, etc., to be more responsive in any environmental shifts and be more resilient in the competition and ultimately obtain a sustainable competitive advantage.;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{"citationID":"LsBIURAa","properties":{"formattedCitation":"(Winter, 2003)","plainCitation":"(Winter, 2003)","dontUpdate":true,"noteIndex":0},"citationItems":[{"id":"NEZ99iNq/SA2ja7oy","uris":["http://zotero.org/users/10703570/items/5L43TGZL"],"itemData":{"id":5462,"type":"article-journal","container-title":"Strategic management journal","ISSN":"0143-2095","issue":"10","journalAbbreviation":"Strategic management journal","note":"publisher: Wiley Online Library","page":"991-995","title":"Understanding dynamic capabilities","volume":"24","author":[{"family":"Winter","given":"Sidney G"}],"issued":{"date-parts":[["2003"]]}}}],"schema":"https://github.com/citation-style-language/schema/raw/master/csl-citation.json"}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Winter (2003)</w:t>
      </w:r>
      <w:r>
        <w:rPr>
          <w:rFonts w:ascii="Times New Roman" w:hAnsi="Times New Roman" w:cs="Times New Roman"/>
          <w:sz w:val="24"/>
          <w:szCs w:val="24"/>
        </w:rPr>
        <w:fldChar w:fldCharType="end"/>
      </w:r>
      <w:r>
        <w:rPr>
          <w:rFonts w:ascii="Times New Roman" w:hAnsi="Times New Roman" w:cs="Times New Roman"/>
          <w:sz w:val="24"/>
          <w:szCs w:val="24"/>
        </w:rPr>
        <w:t xml:space="preserve"> believes that dynamic capability is a higher-order ability to expand, change, and create conventional lower-order capabilities; Zahra et al. (2006) propose that enterprise managers can allocate resources based on predetermined ways and the ability to allocate resources purposefully. </w:t>
      </w:r>
    </w:p>
    <w:p w14:paraId="6B47DE1C">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process perspective, research scholars argue that dynamic capability is a specific and identifiable strategic or organisational process. For instance,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{"citationID":"MERAKNUA","properties":{"formattedCitation":"(Zollo and Winter, 2002)","plainCitation":"(Zollo and Winter, 2002)","dontUpdate":true,"noteIndex":0},"citationItems":[{"id":"NEZ99iNq/VRJBEfLh","uris":["http://zotero.org/users/10703570/items/IQXN5NZ5"],"itemData":{"id":5467,"type":"article-journal","abstract":"This paper investigates the mechanisms through which organizations develop dynamic capabilities, defined as routinized activities directed to the development and adaptation of operating routines. It addresses the role of (1) experience accumulation, (2) knowledge articulation, and (3) knowledge codification processes in the evolution of dynamic, as well as operational, routines. The argument is made that dynamic capabilities are shaped by the coevolution of these learning mechanisms. At any point in time, firms adopt a mix of learning behaviors constituted by a semiautomatic accumulation of experience and by deliberate investments in knowledge articulation and codification activities. The relative effectiveness of these capability-building mechanisms is analyzed here as contingent upon selected features of the task to be learned, such as its frequency, homogeneity, and degree of causal ambiguity. Testable hypotheses about these effects are derived. Somewhat counterintuitive implications of the analysis include the relatively superior effectiveness of highly deliberate learning processes such as knowledge codification at lower levels of frequency and homogeneity of the organizational task, in contrast with common managerial practice.","container-title":"Organization Science","DOI":"10.1287/orsc.13.3.339.2780","ISSN":"1047-7039","issue":"3","note":"publisher: INFORMS","page":"339-351","source":"pubsonline.informs.org (Atypon)","title":"Deliberate Learning and the Evolution of Dynamic Capabilities","volume":"13","author":[{"family":"Zollo","given":"Maurizio"},{"family":"Winter","given":"Sidney G."}],"issued":{"date-parts":[["2002",6]]}}}],"schema":"https://github.com/citation-style-language/schema/raw/master/csl-citation.json"}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Zollo and Winter (2002)</w:t>
      </w:r>
      <w:r>
        <w:rPr>
          <w:rFonts w:ascii="Times New Roman" w:hAnsi="Times New Roman" w:cs="Times New Roman"/>
          <w:sz w:val="24"/>
          <w:szCs w:val="24"/>
        </w:rPr>
        <w:fldChar w:fldCharType="end"/>
      </w:r>
      <w:r>
        <w:rPr>
          <w:rFonts w:ascii="Times New Roman" w:hAnsi="Times New Roman" w:cs="Times New Roman"/>
          <w:sz w:val="24"/>
          <w:szCs w:val="24"/>
        </w:rPr>
        <w:t xml:space="preserve"> suggest that dynamic capability is the process by which firms, through learning, obtain a stable mode of operation so that the enterprise can achieve higher efficiency. </w:t>
      </w:r>
    </w:p>
    <w:p w14:paraId="3F20B82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Regardless of the perspective, there is no contradiction in the definitions of dynamic capabilities by researchers and scholars. Previous scholars argue that BDC can be perceived as one essential dynamic capability of the Organization, especially underpinned by the fact that BDC allows real-time insights generation from massive data. BDC enhances other aspects of the dynamic capabilities of organisations through synergetic effects, e.g., greater supply chain resilience and responsiveness, improved innovative process and efficacy, etc.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{"citationID":"iElV4SUk","properties":{"formattedCitation":"(Braganza {\\i{}et al.}, 2017; Shamim {\\i{}et al.}, 2019; Mikalef, van de Wetering and Krogstie, 2021)","plainCitation":"(Braganza et al., 2017; Shamim et al., 2019; Mikalef, van de Wetering and Krogstie, 2021)","noteIndex":0},"citationItems":[{"id":"NEZ99iNq/l8v00Fmg","uris":["http://zotero.org/users/10703570/items/RLB8UCIW"],"itemData":{"id":5400,"type":"article-journal","container-title":"Journal of Business Research","ISSN":"0148-2963","journalAbbreviation":"Journal of Business Research","note":"publisher: Elsevier","page":"328-337","title":"Resource management in big data initiatives: Processes and dynamic capabilities","volume":"70","author":[{"family":"Braganza","given":"Ashley"},{"family":"Brooks","given":"Laurence"},{"family":"Nepelski","given":"Daniel"},{"family":"Ali","given":"Maged"},{"family":"Moro","given":"Russ"}],"issued":{"date-parts":[["2017"]]}}},{"id":"NEZ99iNq/aaJe3bPc","uris":["http://zotero.org/users/10703570/items/VWNNFAIZ"],"itemData":{"id":5472,"type":"article-journal","container-title":"Information &amp; Management","ISSN":"0378-7206","issue":"6","journalAbbreviation":"Information &amp; Management","note":"publisher: Elsevier","page":"103135","title":"Role of big data management in enhancing big data decision-making capability and quality among Chinese firms: A dynamic capabilities view","volume":"56","author":[{"family":"Shamim","given":"Saqib"},{"family":"Zeng","given":"Jing"},{"family":"Shariq","given":"Syed Muhammad"},{"family":"Khan","given":"Zaheer"}],"issued":{"date-parts":[["2019"]]}}},{"id":"NEZ99iNq/TkokKxFB","uris":["http://zotero.org/users/10703570/items/Z2TA3GCB"],"itemData":{"id":5469,"type":"article-journal","abstract":"Although big data analytics have been claimed to revolutionize the way firms operate and do business, there is a striking lack of knowledge about how organizations should adopt and routinize such technologies to support their strategic objectives. The aim of this research is to explore how different inertial forces during deployments of big data analytics hinder the emergence of dynamic capabilities. To do so, we follow a multiple-case study design approach of 27 European firms and examine the different forms of inertia that materialize during big data analytics diffusion. The findings contribute to the growing body of knowledge on how big data analytics can be leveraged effectively to enable and strengthen a firm’s dynamic capabilities. By disaggregating dynamic capabilities into the underlying capabilities of sensing, seizing and transforming, findings indicate that different combinations of organizational inertia including economic, political, socio-cognitive, negative psychology, and socio-technical hamper the formation of each type of capability.","collection-title":"PACIS2019 Special Issue: Emerging technology, business, and applications in digital economy","container-title":"Information &amp; Management","DOI":"10.1016/j.im.2020.103412","ISSN":"0378-7206","issue":"6","journalAbbreviation":"Information &amp; Management","page":"103412","source":"ScienceDirect","title":"Building dynamic capabilities by leveraging big data analytics: The role of organizational inertia","title-short":"Building dynamic capabilities by leveraging big data analytics","volume":"58","author":[{"family":"Mikalef","given":"Patrick"},{"family":"Wetering","given":"Rogier","non-dropping-particle":"van de"},{"family":"Krogstie","given":"John"}],"issued":{"date-parts":[["2021",9,1]]}}}],"schema":"https://github.com/citation-style-language/schema/raw/master/csl-citation.json"}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(Braganza </w:t>
      </w:r>
      <w:r>
        <w:rPr>
          <w:rFonts w:ascii="Times New Roman" w:hAnsi="Times New Roman" w:cs="Times New Roman"/>
          <w:i/>
          <w:iCs/>
          <w:sz w:val="24"/>
          <w:szCs w:val="24"/>
        </w:rPr>
        <w:t>et al.</w:t>
      </w:r>
      <w:r>
        <w:rPr>
          <w:rFonts w:ascii="Times New Roman" w:hAnsi="Times New Roman" w:cs="Times New Roman"/>
          <w:sz w:val="24"/>
          <w:szCs w:val="24"/>
        </w:rPr>
        <w:t xml:space="preserve">, 2017; Shamim </w:t>
      </w:r>
      <w:r>
        <w:rPr>
          <w:rFonts w:ascii="Times New Roman" w:hAnsi="Times New Roman" w:cs="Times New Roman"/>
          <w:i/>
          <w:iCs/>
          <w:sz w:val="24"/>
          <w:szCs w:val="24"/>
        </w:rPr>
        <w:t>et al.</w:t>
      </w:r>
      <w:r>
        <w:rPr>
          <w:rFonts w:ascii="Times New Roman" w:hAnsi="Times New Roman" w:cs="Times New Roman"/>
          <w:sz w:val="24"/>
          <w:szCs w:val="24"/>
        </w:rPr>
        <w:t>, 2019; Mikalef, van de Wetering and Krogstie, 2021)</w:t>
      </w:r>
      <w:r>
        <w:rPr>
          <w:rFonts w:ascii="Times New Roman" w:hAnsi="Times New Roman" w:cs="Times New Roman"/>
          <w:sz w:val="24"/>
          <w:szCs w:val="24"/>
        </w:rPr>
        <w:fldChar w:fldCharType="end"/>
      </w:r>
      <w:r>
        <w:rPr>
          <w:rFonts w:ascii="Times New Roman" w:hAnsi="Times New Roman" w:cs="Times New Roman"/>
          <w:sz w:val="24"/>
          <w:szCs w:val="24"/>
        </w:rPr>
        <w:t>.</w:t>
      </w:r>
    </w:p>
    <w:p w14:paraId="6545A43B">
      <w:pPr>
        <w:spacing w:before="120" w:after="240" w:line="360" w:lineRule="auto"/>
        <w:jc w:val="both"/>
        <w:rPr>
          <w:rFonts w:ascii="Times New Roman" w:hAnsi="Times New Roman" w:cs="Times New Roman"/>
          <w:sz w:val="24"/>
          <w:szCs w:val="24"/>
        </w:rPr>
      </w:pPr>
    </w:p>
    <w:p w14:paraId="3BBA5323">
      <w:pPr>
        <w:pStyle w:val="3"/>
        <w:spacing w:after="240" w:line="360" w:lineRule="auto"/>
        <w:jc w:val="both"/>
        <w:rPr>
          <w:rFonts w:ascii="Times New Roman" w:hAnsi="Times New Roman" w:cs="Times New Roman"/>
          <w:color w:val="auto"/>
        </w:rPr>
      </w:pPr>
      <w:bookmarkStart w:id="21" w:name="_Toc178258261"/>
      <w:r>
        <w:rPr>
          <w:rFonts w:ascii="Times New Roman" w:hAnsi="Times New Roman" w:eastAsia="宋体" w:cs="Times New Roman"/>
          <w:color w:val="auto"/>
        </w:rPr>
        <w:t xml:space="preserve">2.3 </w:t>
      </w:r>
      <w:r>
        <w:rPr>
          <w:rFonts w:ascii="Times New Roman" w:hAnsi="Times New Roman" w:cs="Times New Roman"/>
          <w:color w:val="auto"/>
        </w:rPr>
        <w:t>Big Data Capabilities and Firm Performance</w:t>
      </w:r>
      <w:bookmarkEnd w:id="21"/>
    </w:p>
    <w:p w14:paraId="7614282C">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Enterprise performance indicator evaluation systems have experienced the following stages of development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{"citationID":"ZpdzWmDc","properties":{"formattedCitation":"(Harrison and Wicks, 2013; Miller, Washburn and Glick, 2013; Taouab and Issor, 2019)","plainCitation":"(Harrison and Wicks, 2013; Miller, Washburn and Glick, 2013; Taouab and Issor, 2019)","noteIndex":0},"citationItems":[{"id":"NEZ99iNq/R3LqmblB","uris":["http://zotero.org/users/10703570/items/PL485XHJ"],"itemData":{"id":5460,"type":"article-journal","container-title":"Business ethics quarterly","ISSN":"1052-150X","issue":"1","journalAbbreviation":"Business ethics quarterly","note":"publisher: Cambridge University Press","page":"97-124","title":"Stakeholder theory, value, and firm performance","volume":"23","author":[{"family":"Harrison","given":"Jeffrey S"},{"family":"Wicks","given":"Andrew C"}],"issued":{"date-parts":[["2013"]]}}},{"id":"NEZ99iNq/jbdWIEUk","uris":["http://zotero.org/users/10703570/items/HXQSE9DY"],"itemData":{"id":5459,"type":"article-journal","container-title":"Organization Science","ISSN":"1047-7039","issue":"3","journalAbbreviation":"Organization Science","note":"publisher: INFORMS","page":"948-964","title":"Perspective—The myth of firm performance","volume":"24","author":[{"family":"Miller","given":"C Chet"},{"family":"Washburn","given":"Nathan T"},{"family":"Glick","given":"William H"}],"issued":{"date-parts":[["2013"]]}}},{"id":"NEZ99iNq/sFRAefbK","uris":["http://zotero.org/users/10703570/items/EYTE3GM5"],"itemData":{"id":5458,"type":"article-journal","container-title":"European Scientific Journal","issue":"1","journalAbbreviation":"European Scientific Journal","page":"93-106","title":"Firm performance: Definition and measurement models","volume":"15","author":[{"family":"Taouab","given":"Omar"},{"family":"Issor","given":"Zineb"}],"issued":{"date-parts":[["2019"]]}}}],"schema":"https://github.com/citation-style-language/schema/raw/master/csl-citation.json"}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(Harrison and Wicks, 2013; Miller, Washburn and Glick, 2013; Taouab and Issor, 2019)</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7E56249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Firstly, a single financial indicator evaluation stage. As early as the middle of the 19th century to the early 20th century, with the introduction of Taylor's scientific management ideas, the cost performance method has become the most important means of performance evaluation, and performance improvement. This stage is a single financial indicator for enterprise performance evaluation. </w:t>
      </w:r>
    </w:p>
    <w:p w14:paraId="49C73BA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Secondly, the stage of comprehensive financial index evaluation: from the early 20th century to the 1970s, with the proposal of the DuPont financial evaluation system, the comprehensive financial index became the mainstream performance evaluation means. </w:t>
      </w:r>
    </w:p>
    <w:p w14:paraId="7B4769EC">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Third, the stage of the comprehensive evaluation of financial and non-financial indicators. From the 1970s to the present, non-financial indicators, such as innovation and sustainability, began to become an important part of enterprise performance evaluation. </w:t>
      </w:r>
    </w:p>
    <w:p w14:paraId="7DB78C26">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the present research, the focus on firm performance is on the combination of financial and non-financial indicators, specifically on the impact of BDC on financial performance and innovation performance. The relevance and significance of financial indicators in all three stages of evolution is self-evident, supporting why we need to focus on financial indicators. This paper focuses on innovation performance because in modern enterprise management, with the development of information technology and the arrival of the BD era, innovation performance has become one of the key factors for enterprises to stand out in the competitive market. Against the background of intensified globalised competition and increased market uncertainty, innovation has become a necessary condition for enterprises to acquire core competitiveness. Improved innovation performance not only helps enterprises gain competitive advantages in the short term but also lays a solid foundation for their long-term development. Especially in the Chinese market, in the face of increasingly stringent environmental regulations and diversified market demands, companies need to innovate to meet external challenges and achieve sustainable development continuously. Especially in the Chinese market, with the acceleration of the digital transformation process, innovation performance has become one of the most important means for enterprises to cope with market competition and the complex external environment. Those enterprises that excel in innovation are often able to maintain their leading position in the fierce market competition and continue to attract high-value customers and consolidate their market share.</w:t>
      </w:r>
    </w:p>
    <w:p w14:paraId="0588931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Therefore, innovation performance is not only an important measure of enterprise competitiveness but also a key driving force for enterprises to obtain long-term development and sustainable growth in the new era. In examining the impact of BD capabilities on enterprise performance, focusing on innovation performance will help to comprehensively reveal how enterprises respond to dynamic market environments through innovation to enhance their overall operational efficiency and market competitiveness.</w:t>
      </w:r>
    </w:p>
    <w:p w14:paraId="63802BAD">
      <w:pPr>
        <w:pStyle w:val="4"/>
        <w:spacing w:before="120" w:after="240" w:line="360" w:lineRule="auto"/>
        <w:jc w:val="both"/>
        <w:rPr>
          <w:rFonts w:ascii="Times New Roman" w:hAnsi="Times New Roman" w:cs="Times New Roman"/>
          <w:color w:val="auto"/>
        </w:rPr>
      </w:pPr>
      <w:bookmarkStart w:id="22" w:name="_Toc178258262"/>
      <w:r>
        <w:rPr>
          <w:rFonts w:ascii="Times New Roman" w:hAnsi="Times New Roman" w:cs="Times New Roman"/>
          <w:color w:val="auto"/>
        </w:rPr>
        <w:t>2.3.1 The Impacts of Big Data Capabilities on Financial Performance</w:t>
      </w:r>
      <w:bookmarkEnd w:id="22"/>
      <w:r>
        <w:rPr>
          <w:rFonts w:ascii="Times New Roman" w:hAnsi="Times New Roman" w:cs="Times New Roman"/>
          <w:color w:val="auto"/>
        </w:rPr>
        <w:t xml:space="preserve"> </w:t>
      </w:r>
    </w:p>
    <w:p w14:paraId="471886E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business environment of the Internet of Everything, enterprises not only need to use their own resources to obtain more data resources but also need to use the power of technology to complete the mining, integration and utilisation of data and to discover and gain insight into the business value hidden behind the data promptly. The most important thing in BD is the information it contains. Under the support of BDC, the basic value formation of the organisation is achieved through learning commitment, sharing vision, acquiring, absorbing and sharing new knowledge within the enterprise, which lays a good foundation for the formulation of strategic orientation of the enterprise under BDC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{"citationID":"vBBElwgs","properties":{"formattedCitation":"(Wamba, Gunasekaran, Akter, Ren, Dubey and Stephen J. Childe, 2017; Maroufkhani {\\i{}et al.}, 2019)","plainCitation":"(Wamba, Gunasekaran, Akter, Ren, Dubey and Stephen J. Childe, 2017; Maroufkhani et al., 2019)","noteIndex":0},"citationItems":[{"id":"NEZ99iNq/18Iy08oA","uris":["http://zotero.org/users/10703570/items/C5IAFS4E"],"itemData":{"id":5407,"type":"article-journal","abstract":"Drawing on the resource-based view and the literature on big data analytics (BDA), information system (IS) success and the business value of information technology (IT), this study proposes a big data analytics capability (BDAC) model. The study extends the above research streams by examining the direct effects of BDAC on firm performance (FPER), as well as the mediating effects of process-oriented dynamic capabilities (PODC) on the relationship between BDAC and FPER. To test our proposed research model, we used an online survey to collect data from 297 Chinese IT managers and business analysts with big data and business analytic experience. The findings confirm the value of the entanglement conceptualization of the hierarchical BDAC model, which has both direct and indirect impacts on FPER. The results also confirm the strong mediating role of PODC in improving insights and enhancing FPER. Finally, implications for practice and research are discussed.","container-title":"Journal of Business Research","DOI":"10.1016/j.jbusres.2016.08.009","ISSN":"0148-2963","journalAbbreviation":"Journal of Business Research","page":"356-365","source":"ScienceDirect","title":"Big data analytics and firm performance: Effects of dynamic capabilities","title-short":"Big data analytics and firm performance","volume":"70","author":[{"family":"Wamba","given":"Samuel Fosso"},{"family":"Gunasekaran","given":"Angappa"},{"family":"Akter","given":"Shahriar"},{"family":"Ren","given":"Steven Ji-fan"},{"family":"Dubey","given":"Rameshwar"},{"family":"Childe","given":"Stephen J."}],"issued":{"date-parts":[["2017",1,1]]}}},{"id":"NEZ99iNq/ezC7WtiH","uris":["http://zotero.org/users/10703570/items/WKTNH4DG"],"itemData":{"id":5473,"type":"article-journal","abstract":"The literature on big data analytics and firm performance is still fragmented and lacking in attempts to integrate the current studies’ results. This study aims to provide a systematic review of contributions related to big data analytics and firm performance. The authors assess papers listed in the Web of Science index. This study identifies the factors that may influence the adoption of big data analytics in various parts of an organization and categorizes the diverse types of performance that big data analytics can address. Directions for future research are developed from the results. This systematic review proposes to create avenues for both conceptual and empirical research streams by emphasizing the importance of big data analytics in improving firm performance. In addition, this review offers both scholars and practitioners an increased understanding of the link between big data analytics and firm performance.","container-title":"Information","DOI":"10.3390/info10070226","ISSN":"2078-2489","issue":"7","language":"en","license":"http://creativecommons.org/licenses/by/3.0/","note":"number: 7\npublisher: Multidisciplinary Digital Publishing Institute","page":"226","source":"www.mdpi.com","title":"Big Data Analytics and Firm Performance: A Systematic Review","title-short":"Big Data Analytics and Firm Performance","volume":"10","author":[{"family":"Maroufkhani","given":"Parisa"},{"family":"Wagner","given":"Ralf"},{"family":"Wan Ismail","given":"Wan Khairuzzaman"},{"family":"Baroto","given":"Mas Bambang"},{"family":"Nourani","given":"Mohammad"}],"issued":{"date-parts":[["2019",7]]}}}],"schema":"https://github.com/citation-style-language/schema/raw/master/csl-citation.json"}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(Wamba, Gunasekaran, Akter, Ren, Dubey and Stephen J. Childe, 2017; Maroufkhani </w:t>
      </w:r>
      <w:r>
        <w:rPr>
          <w:rFonts w:ascii="Times New Roman" w:hAnsi="Times New Roman" w:cs="Times New Roman"/>
          <w:i/>
          <w:iCs/>
          <w:sz w:val="24"/>
          <w:szCs w:val="24"/>
        </w:rPr>
        <w:t>et al.</w:t>
      </w:r>
      <w:r>
        <w:rPr>
          <w:rFonts w:ascii="Times New Roman" w:hAnsi="Times New Roman" w:cs="Times New Roman"/>
          <w:sz w:val="24"/>
          <w:szCs w:val="24"/>
        </w:rPr>
        <w:t>, 2019)</w:t>
      </w:r>
      <w:r>
        <w:rPr>
          <w:rFonts w:ascii="Times New Roman" w:hAnsi="Times New Roman" w:cs="Times New Roman"/>
          <w:sz w:val="24"/>
          <w:szCs w:val="24"/>
        </w:rPr>
        <w:fldChar w:fldCharType="end"/>
      </w:r>
      <w:r>
        <w:rPr>
          <w:rFonts w:ascii="Times New Roman" w:hAnsi="Times New Roman" w:cs="Times New Roman"/>
          <w:sz w:val="24"/>
          <w:szCs w:val="24"/>
        </w:rPr>
        <w:t xml:space="preserve">. BDC can help companies collect and manage key information about the market, provide more powerful dynamic information processing capabilities, mine information for valuable insights, and help companies identify emerging opportunities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{"citationID":"pD6vFNBo","properties":{"formattedCitation":"(Gupta {\\i{}et al.}, 2020)","plainCitation":"(Gupta et al., 2020)","noteIndex":0},"citationItems":[{"id":"NEZ99iNq/FJox0aQn","uris":["http://zotero.org/users/10703570/items/EZ9Q7MT9"],"itemData":{"id":5475,"type":"article-journal","container-title":"Industrial Marketing Management","ISSN":"0019-8501","journalAbbreviation":"Industrial Marketing Management","note":"publisher: Elsevier","page":"581-592","title":"Achieving superior organizational performance via big data predictive analytics: A dynamic capability view","volume":"90","author":[{"family":"Gupta","given":"Shivam"},{"family":"Drave","given":"Vinayak A"},{"family":"Dwivedi","given":"Yogesh K"},{"family":"Baabdullah","given":"Abdullah M"},{"family":"Ismagilova","given":"Elvira"}],"issued":{"date-parts":[["2020"]]}}}],"schema":"https://github.com/citation-style-language/schema/raw/master/csl-citation.json"}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(Gupta </w:t>
      </w:r>
      <w:r>
        <w:rPr>
          <w:rFonts w:ascii="Times New Roman" w:hAnsi="Times New Roman" w:cs="Times New Roman"/>
          <w:i/>
          <w:iCs/>
          <w:sz w:val="24"/>
          <w:szCs w:val="24"/>
        </w:rPr>
        <w:t>et al.</w:t>
      </w:r>
      <w:r>
        <w:rPr>
          <w:rFonts w:ascii="Times New Roman" w:hAnsi="Times New Roman" w:cs="Times New Roman"/>
          <w:sz w:val="24"/>
          <w:szCs w:val="24"/>
        </w:rPr>
        <w:t>, 2020)</w:t>
      </w:r>
      <w:r>
        <w:rPr>
          <w:rFonts w:ascii="Times New Roman" w:hAnsi="Times New Roman" w:cs="Times New Roman"/>
          <w:sz w:val="24"/>
          <w:szCs w:val="24"/>
        </w:rPr>
        <w:fldChar w:fldCharType="end"/>
      </w:r>
      <w:r>
        <w:rPr>
          <w:rFonts w:ascii="Times New Roman" w:hAnsi="Times New Roman" w:cs="Times New Roman"/>
          <w:sz w:val="24"/>
          <w:szCs w:val="24"/>
        </w:rPr>
        <w:t xml:space="preserve">. In the short term, it can more accurately capture market dynamics and customer demand, increase profit returns, etc., to drive overall financial performance; in the long term, it can improve operational efficiency, achieve the purpose of innovative products or improve business processes, form a dynamic organisational structure to promptly respond to environmental shifts and drive the improvement of corporate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{"citationID":"NTBzrTEZ","properties":{"formattedCitation":"(Singh and Del Giudice, 2019b)","plainCitation":"(Singh and Del Giudice, 2019b)","noteIndex":0},"citationItems":[{"id":"NEZ99iNq/i69kO9Mp","uris":["http://zotero.org/users/10703570/items/TS32DFNG"],"itemData":{"id":5476,"type":"article-journal","container-title":"Management Decision","DOI":"10.1108/MD-08-2019-020","ISSN":"0025-1747","issue":"8","note":"publisher: Emerald Publishing Limited","page":"1729-1733","source":"Emerald Insight","title":"Big data analytics, dynamic capabilities and firm performance","volume":"57","author":[{"family":"Singh","given":"Sanjay Kumar"},{"family":"Del Giudice","given":"Manlio"}],"issued":{"date-parts":[["2019",1,1]]}}}],"schema":"https://github.com/citation-style-language/schema/raw/master/csl-citation.json"}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(Singh and Del Giudice, 2019b)</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12FB4952">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Resource integration capability is the basis of BDC; the professional and technical personnel of the enterprise use BD technology to integrate it with the operation process of the enterprise through the integration of BD resources, classify and summarise the data generated, and apply it to the process of enterprise innovation as a unique resource of the enterprise, coordinating the relationship between business processes, personnel and other resources within the organisation, and providing value to each strategic business unit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{"citationID":"uEPYDTZA","properties":{"formattedCitation":"(Fosso Wamba and Mishra, 2017)","plainCitation":"(Fosso Wamba and Mishra, 2017)","noteIndex":0},"citationItems":[{"id":"NEZ99iNq/oHlkx4XN","uris":["http://zotero.org/users/10703570/items/Q23EMHTM"],"itemData":{"id":5478,"type":"article-journal","container-title":"Business Process Management Journal","ISSN":"1463-7154","issue":"3","journalAbbreviation":"Business Process Management Journal","note":"publisher: Emerald Publishing Limited","page":"477-492","title":"Big data integration with business processes: a literature review","volume":"23","author":[{"family":"Fosso Wamba","given":"Samuel"},{"family":"Mishra","given":"Deepa"}],"issued":{"date-parts":[["2017"]]}}}],"schema":"https://github.com/citation-style-language/schema/raw/master/csl-citation.json"}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(Fosso Wamba and Mishra, 2017)</w:t>
      </w:r>
      <w:r>
        <w:rPr>
          <w:rFonts w:ascii="Times New Roman" w:hAnsi="Times New Roman" w:cs="Times New Roman"/>
          <w:sz w:val="24"/>
          <w:szCs w:val="24"/>
        </w:rPr>
        <w:fldChar w:fldCharType="end"/>
      </w:r>
      <w:r>
        <w:rPr>
          <w:rFonts w:ascii="Times New Roman" w:hAnsi="Times New Roman" w:cs="Times New Roman"/>
          <w:sz w:val="24"/>
          <w:szCs w:val="24"/>
        </w:rPr>
        <w:t xml:space="preserve">. The effect of creation prompts enterprises to identify problems in real-time, generating value for the process and results of enterprise innovation behaviour and achieving optimisation of enterprise performance. </w:t>
      </w:r>
    </w:p>
    <w:p w14:paraId="4D3891A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Analytical capabilities help enterprises discover and efficiently store, retrieve, visualise and analyse data information at any time, convert data into the most usable form, apply it to the enterprise's operation and management processes, and assist them in professional processing and precise analysis of huge data information to articulate and solve business problems clearly and continually support the resources and strategic decisions required for enterprise development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{"citationID":"jQyfcXfy","properties":{"formattedCitation":"(Elgendy and Elragal, 2014)","plainCitation":"(Elgendy and Elragal, 2014)","noteIndex":0},"citationItems":[{"id":"NEZ99iNq/cad1K6Do","uris":["http://zotero.org/users/10703570/items/J6YPIZFN"],"itemData":{"id":5479,"type":"paper-conference","event-title":"Advances in Data Mining. Applications and Theoretical Aspects: 14th Industrial Conference, ICDM 2014, St. Petersburg, Russia, July 16-20, 2014. Proceedings 14","ISBN":"3-319-08975-7","page":"214-227","publisher":"Springer","title":"Big data analytics: a literature review paper","author":[{"family":"Elgendy","given":"Nada"},{"family":"Elragal","given":"Ahmed"}],"issued":{"date-parts":[["2014"]]}}}],"schema":"https://github.com/citation-style-language/schema/raw/master/csl-citation.json"}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(Elgendy and Elragal, 2014)</w:t>
      </w:r>
      <w:r>
        <w:rPr>
          <w:rFonts w:ascii="Times New Roman" w:hAnsi="Times New Roman" w:cs="Times New Roman"/>
          <w:sz w:val="24"/>
          <w:szCs w:val="24"/>
        </w:rPr>
        <w:fldChar w:fldCharType="end"/>
      </w:r>
      <w:r>
        <w:rPr>
          <w:rFonts w:ascii="Times New Roman" w:hAnsi="Times New Roman" w:cs="Times New Roman"/>
          <w:sz w:val="24"/>
          <w:szCs w:val="24"/>
        </w:rPr>
        <w:t xml:space="preserve">. The ability to integrate and analyse BD helps enterprises formulate different strategies around different sectors by processing a variety of internal and external information, strategically positioning themselves in the market, and achieving product and service drive and industrial specialisation, which is an effective way to enhance enterprise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{"citationID":"opCwYDZY","properties":{"formattedCitation":"(Ohlhorst, 2012)","plainCitation":"(Ohlhorst, 2012)","noteIndex":0},"citationItems":[{"id":"NEZ99iNq/yOOyuSkH","uris":["http://zotero.org/users/10703570/items/C5ERU4HP"],"itemData":{"id":5480,"type":"book","ISBN":"1-118-14759-6","publisher":"John Wiley &amp; Sons","title":"Big data analytics: turning big data into big money","volume":"65","author":[{"family":"Ohlhorst","given":"Frank J"}],"issued":{"date-parts":[["2012"]]}}}],"schema":"https://github.com/citation-style-language/schema/raw/master/csl-citation.json"}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(Ohlhorst, 2012)</w:t>
      </w:r>
      <w:r>
        <w:rPr>
          <w:rFonts w:ascii="Times New Roman" w:hAnsi="Times New Roman" w:cs="Times New Roman"/>
          <w:sz w:val="24"/>
          <w:szCs w:val="24"/>
        </w:rPr>
        <w:fldChar w:fldCharType="end"/>
      </w:r>
      <w:r>
        <w:rPr>
          <w:rFonts w:ascii="Times New Roman" w:hAnsi="Times New Roman" w:cs="Times New Roman"/>
          <w:sz w:val="24"/>
          <w:szCs w:val="24"/>
        </w:rPr>
        <w:t>.</w:t>
      </w:r>
    </w:p>
    <w:p w14:paraId="0E3781D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Insight prediction can be analysed and judged by some current situation or future trends. The real-time insight prediction of BD helps enterprises to understand the market demand in time, and based on this, accurate prediction of future demand guides the production activities of enterprises and helps enterprises to rationally allocate internal resources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{"citationID":"avRmGjGD","properties":{"formattedCitation":"(Schoenherr and Speier\\uc0\\u8208{}Pero, 2015)","plainCitation":"(Schoenherr and Speier‐Pero, 2015)","noteIndex":0},"citationItems":[{"id":"NEZ99iNq/hiSoQ15g","uris":["http://zotero.org/users/10703570/items/8THQNZPD"],"itemData":{"id":5481,"type":"article-journal","container-title":"Journal of Business Logistics","ISSN":"0735-3766","issue":"1","journalAbbreviation":"Journal of Business Logistics","note":"publisher: Wiley Online Library","page":"120-132","title":"Data science, predictive analytics, and big data in supply chain management: Current state and future potential","volume":"36","author":[{"family":"Schoenherr","given":"Tobias"},{"family":"Speier‐Pero","given":"Cheri"}],"issued":{"date-parts":[["2015"]]}}}],"schema":"https://github.com/citation-style-language/schema/raw/master/csl-citation.json"}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(Schoenherr and Speier‐Pero, 2015)</w:t>
      </w:r>
      <w:r>
        <w:rPr>
          <w:rFonts w:ascii="Times New Roman" w:hAnsi="Times New Roman" w:cs="Times New Roman"/>
          <w:sz w:val="24"/>
          <w:szCs w:val="24"/>
        </w:rPr>
        <w:fldChar w:fldCharType="end"/>
      </w:r>
      <w:r>
        <w:rPr>
          <w:rFonts w:ascii="Times New Roman" w:hAnsi="Times New Roman" w:cs="Times New Roman"/>
          <w:sz w:val="24"/>
          <w:szCs w:val="24"/>
        </w:rPr>
        <w:t xml:space="preserve">. At the same time, it can also track and monitor the products. Once the company's products in which part of the problem, it can immediately tell the enterprise product defects and new uses, more accurately identify narrow market segments and niche markets, etc., to improve services and products, and enhance customer satisfaction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{"citationID":"MFRMqo18","properties":{"formattedCitation":"(Jeble, Kumari and Patil, 2016)","plainCitation":"(Jeble, Kumari and Patil, 2016)","noteIndex":0},"citationItems":[{"id":"NEZ99iNq/MZiPxt3T","uris":["http://zotero.org/users/10703570/items/JYFWMAWJ"],"itemData":{"id":5482,"type":"article-journal","container-title":"International Journal of Automation and Logistics","ISSN":"2049-6745","issue":"4","journalAbbreviation":"International Journal of Automation and Logistics","note":"publisher: Inderscience Publishers (IEL)","page":"307-331","title":"Role of big data and predictive analytics","volume":"2","author":[{"family":"Jeble","given":"Shirish"},{"family":"Kumari","given":"Sneha"},{"family":"Patil","given":"Yogesh"}],"issued":{"date-parts":[["2016"]]}}}],"schema":"https://github.com/citation-style-language/schema/raw/master/csl-citation.json"}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(Jeble, Kumari and Patil, 2016)</w:t>
      </w:r>
      <w:r>
        <w:rPr>
          <w:rFonts w:ascii="Times New Roman" w:hAnsi="Times New Roman" w:cs="Times New Roman"/>
          <w:sz w:val="24"/>
          <w:szCs w:val="24"/>
        </w:rPr>
        <w:fldChar w:fldCharType="end"/>
      </w:r>
      <w:r>
        <w:rPr>
          <w:rFonts w:ascii="Times New Roman" w:hAnsi="Times New Roman" w:cs="Times New Roman"/>
          <w:sz w:val="24"/>
          <w:szCs w:val="24"/>
        </w:rPr>
        <w:t xml:space="preserve">. Real-time insight ability helps enterprises to grasp the overall evaluation of customers on the enterprise fully and the overall response to products and services. Enterprises can accordingly carry out the integration of marketing channels and the adjustment of the communication method so that the enterprise's product information can be quickly and accurately sent to the customer and, at the same time, respond quickly to the customer's feedback to better create and deliver customer value. Real-time insight capability helps enterprises to be more agile and responsive to predicted market trends and potential future business opportunities, applying them to business practices to accelerate innovation, develop new products, services and business models to gain more market share, etc. </w:t>
      </w:r>
    </w:p>
    <w:p w14:paraId="027DD3DB">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In summary, this paper proposes the following hypotheses:</w:t>
      </w:r>
    </w:p>
    <w:p w14:paraId="3035207F">
      <w:pPr>
        <w:spacing w:before="120" w:after="240" w:line="360" w:lineRule="auto"/>
        <w:jc w:val="both"/>
        <w:rPr>
          <w:rFonts w:ascii="Times New Roman" w:hAnsi="Times New Roman" w:cs="Times New Roman"/>
        </w:rPr>
      </w:pPr>
      <w:r>
        <w:rPr>
          <w:rFonts w:ascii="Times New Roman" w:hAnsi="Times New Roman" w:cs="Times New Roman"/>
          <w:i/>
          <w:iCs/>
          <w:sz w:val="24"/>
          <w:szCs w:val="24"/>
        </w:rPr>
        <w:t>H1: There is a significant positive correlation between BDC and enterprise financial performance.</w:t>
      </w:r>
    </w:p>
    <w:p w14:paraId="012C7ADD">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H1a: There is a significant positive correlation between BD resource-integration capability on enterprise financial performance.</w:t>
      </w:r>
    </w:p>
    <w:p w14:paraId="227228C9">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H1b: There is a significant positive correlation between BD analytical capability on enterprise financial performance.</w:t>
      </w:r>
    </w:p>
    <w:p w14:paraId="109358DA">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H1c: There is a significant positive correlation between BD real-time insights and prediction capability and financial innovation performance.</w:t>
      </w:r>
    </w:p>
    <w:p w14:paraId="7FC45A2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OLT, the nature of learning is a process of continuously testing and correcting errors to adapt to complex external environments, with three distinctive features: continuity, phasing and dynamism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{"citationID":"MzSyvm7g","properties":{"formattedCitation":"(Argyris and Sch\\uc0\\u246{}n, 1997)","plainCitation":"(Argyris and Schön, 1997)","noteIndex":0},"citationItems":[{"id":"NEZ99iNq/XZYV8lYw","uris":["http://zotero.org/users/10703570/items/SLWIN7EH"],"itemData":{"id":5437,"type":"article-journal","container-title":"Reis","ISSN":"0210-5233","issue":"77/78","journalAbbreviation":"Reis","note":"publisher: JSTOR","page":"345-348","title":"Organizational learning: A theory of action perspective","author":[{"family":"Argyris","given":"Ch"},{"family":"Schön","given":"Donald A"}],"issued":{"date-parts":[["1997"]]}}}],"schema":"https://github.com/citation-style-language/schema/raw/master/csl-citation.json"}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(Argyris and Schön, 1997)</w:t>
      </w:r>
      <w:r>
        <w:rPr>
          <w:rFonts w:ascii="Times New Roman" w:hAnsi="Times New Roman" w:cs="Times New Roman"/>
          <w:sz w:val="24"/>
          <w:szCs w:val="24"/>
        </w:rPr>
        <w:fldChar w:fldCharType="end"/>
      </w:r>
      <w:r>
        <w:rPr>
          <w:rFonts w:ascii="Times New Roman" w:hAnsi="Times New Roman" w:cs="Times New Roman"/>
          <w:sz w:val="24"/>
          <w:szCs w:val="24"/>
        </w:rPr>
        <w:t xml:space="preserve">, where phasing emphasises the need for firms to adapt their learning objectives and tasks according to different stages of organisational development. Similarly, when dealing with the volatile, uncertain, complex and ambiguous digital environment, firms need to make continuous change, which should be based on rational trial and error following the actual development of the organisation and its internal needs, in addition to conducting acquired learning to acquire mature digital solutions from third parties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{"citationID":"NbkwuSvB","properties":{"formattedCitation":"(Calvard, 2016)","plainCitation":"(Calvard, 2016)","noteIndex":0},"citationItems":[{"id":"NEZ99iNq/QhTuhL3M","uris":["http://zotero.org/users/10703570/items/CH5L4I5H"],"itemData":{"id":5447,"type":"article-journal","container-title":"Management learning","ISSN":"1350-5076","issue":"1","journalAbbreviation":"Management learning","note":"publisher: SAGE Publications Sage UK: London, England","page":"65-82","title":"Big data, organizational learning, and sensemaking: Theorizing interpretive challenges under conditions of dynamic complexity","volume":"47","author":[{"family":"Calvard","given":"Thomas Stephen"}],"issued":{"date-parts":[["2016"]]}}}],"schema":"https://github.com/citation-style-language/schema/raw/master/csl-citation.json"}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(Calvard, 2016)</w:t>
      </w:r>
      <w:r>
        <w:rPr>
          <w:rFonts w:ascii="Times New Roman" w:hAnsi="Times New Roman" w:cs="Times New Roman"/>
          <w:sz w:val="24"/>
          <w:szCs w:val="24"/>
        </w:rPr>
        <w:fldChar w:fldCharType="end"/>
      </w:r>
      <w:r>
        <w:rPr>
          <w:rFonts w:ascii="Times New Roman" w:hAnsi="Times New Roman" w:cs="Times New Roman"/>
          <w:sz w:val="24"/>
          <w:szCs w:val="24"/>
        </w:rPr>
        <w:t>. Enterprises' proactive or reactive learning in response to environmental change can drive business performance, as demonstrated by the following:</w:t>
      </w:r>
    </w:p>
    <w:p w14:paraId="2AC38025">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one hand, when enterprises anticipate future trends, they will no longer rely too much on experience when making strategic decisions. However, they will take proactive change measures, which can effectively avoid risks in operation and thus promote the sustainable development of enterprise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{"citationID":"Ki5YyS9n","properties":{"formattedCitation":"(Liao, Welsch and Stoica, 2003; Chang {\\i{}et al.}, 2013)","plainCitation":"(Liao, Welsch and Stoica, 2003; Chang et al., 2013)","noteIndex":0},"citationItems":[{"id":6708,"uris":["http://zotero.org/users/10703570/items/R8BHFUJP"],"itemData":{"id":6708,"type":"article-journal","container-title":"Entrepreneurship Theory and practice","ISSN":"1042-2587","issue":"1","journalAbbreviation":"Entrepreneurship Theory and practice","note":"publisher: SAGE Publications Sage CA: Los Angeles, CA","page":"63-86","title":"Organizational absorptive capacity and responsiveness: An empirical investigation of growth–oriented SMEs","volume":"28","author":[{"family":"Liao","given":"Jianwen"},{"family":"Welsch","given":"Harold"},{"family":"Stoica","given":"Michael"}],"issued":{"date-parts":[["2003"]]}}},{"id":6709,"uris":["http://zotero.org/users/10703570/items/5VIYFZK4"],"itemData":{"id":6709,"type":"article-journal","container-title":"Journal of Management","ISSN":"0149-2063","issue":"7","journalAbbreviation":"Journal of Management","note":"publisher: Sage Publications Sage CA: Los Angeles, CA","page":"1924-1951","title":"Flexibility-oriented HRM systems, absorptive capacity, and market responsiveness and firm innovativeness","volume":"39","author":[{"family":"Chang","given":"Song"},{"family":"Gong","given":"Yaping"},{"family":"Way","given":"Sean A"},{"family":"Jia","given":"Liangding"}],"issued":{"date-parts":[["2013"]]}}}],"schema":"https://github.com/citation-style-language/schema/raw/master/csl-citation.json"}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(Liao, Welsch and Stoica, 2003; Chang </w:t>
      </w:r>
      <w:r>
        <w:rPr>
          <w:rFonts w:ascii="Times New Roman" w:hAnsi="Times New Roman" w:cs="Times New Roman"/>
          <w:i/>
          <w:iCs/>
          <w:sz w:val="24"/>
          <w:szCs w:val="24"/>
        </w:rPr>
        <w:t>et al.</w:t>
      </w:r>
      <w:r>
        <w:rPr>
          <w:rFonts w:ascii="Times New Roman" w:hAnsi="Times New Roman" w:cs="Times New Roman"/>
          <w:sz w:val="24"/>
          <w:szCs w:val="24"/>
        </w:rPr>
        <w:t>, 2013)</w:t>
      </w:r>
      <w:r>
        <w:rPr>
          <w:rFonts w:ascii="Times New Roman" w:hAnsi="Times New Roman" w:cs="Times New Roman"/>
          <w:sz w:val="24"/>
          <w:szCs w:val="24"/>
        </w:rPr>
        <w:fldChar w:fldCharType="end"/>
      </w:r>
      <w:r>
        <w:rPr>
          <w:rFonts w:ascii="Times New Roman" w:hAnsi="Times New Roman" w:cs="Times New Roman"/>
          <w:sz w:val="24"/>
          <w:szCs w:val="24"/>
        </w:rPr>
        <w:t xml:space="preserve">. When the sensitivity and responsiveness of the enterprise to environmental changes are enhanced, the enterprise can identify and grasp new opportunities promptly, establish competitive advantages by seizing the market earlier than competitors, and ultimately improve enterprise financial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{"citationID":"Rcjp7tuw","properties":{"formattedCitation":"(Dejardin {\\i{}et al.}, 2023; Muneeb {\\i{}et al.}, 2023)","plainCitation":"(Dejardin et al., 2023; Muneeb et al., 2023)","noteIndex":0},"citationItems":[{"id":6711,"uris":["http://zotero.org/users/10703570/items/K2654PTU"],"itemData":{"id":6711,"type":"article-journal","container-title":"Review of Managerial Science","ISSN":"1863-6683","issue":"5","journalAbbreviation":"Review of Managerial Science","note":"publisher: Springer","page":"1703-1729","title":"The impact of dynamic capabilities on SME performance during COVID-19","volume":"17","author":[{"family":"Dejardin","given":"Marcus"},{"family":"Raposo","given":"Mario L"},{"family":"Ferreira","given":"João J"},{"family":"Fernandes","given":"Cristina I"},{"family":"Veiga","given":"Pedro M"},{"family":"Farinha","given":"Luís"}],"issued":{"date-parts":[["2023"]]}}},{"id":6710,"uris":["http://zotero.org/users/10703570/items/VCIVNNQB"],"itemData":{"id":6710,"type":"article-journal","container-title":"Journal of Asia Business Studies","ISSN":"1558-7894","issue":"4","journalAbbreviation":"Journal of Asia Business Studies","note":"publisher: Emerald Publishing Limited","page":"824-849","title":"Dynamic capabilities as a strategic flexibility enabler: organizational responsiveness to COVID-19","volume":"17","author":[{"family":"Muneeb","given":"Dilnaz"},{"family":"Khattak","given":"Amira"},{"family":"Wahba","given":"Karim"},{"family":"Abdalla","given":"Shahira"},{"family":"Ahmad","given":"Syed Zamberi"}],"issued":{"date-parts":[["2023"]]}}}],"schema":"https://github.com/citation-style-language/schema/raw/master/csl-citation.json"}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(Dejardin </w:t>
      </w:r>
      <w:r>
        <w:rPr>
          <w:rFonts w:ascii="Times New Roman" w:hAnsi="Times New Roman" w:cs="Times New Roman"/>
          <w:i/>
          <w:iCs/>
          <w:sz w:val="24"/>
          <w:szCs w:val="24"/>
        </w:rPr>
        <w:t>et al.</w:t>
      </w:r>
      <w:r>
        <w:rPr>
          <w:rFonts w:ascii="Times New Roman" w:hAnsi="Times New Roman" w:cs="Times New Roman"/>
          <w:sz w:val="24"/>
          <w:szCs w:val="24"/>
        </w:rPr>
        <w:t xml:space="preserve">, 2023; Muneeb </w:t>
      </w:r>
      <w:r>
        <w:rPr>
          <w:rFonts w:ascii="Times New Roman" w:hAnsi="Times New Roman" w:cs="Times New Roman"/>
          <w:i/>
          <w:iCs/>
          <w:sz w:val="24"/>
          <w:szCs w:val="24"/>
        </w:rPr>
        <w:t>et al.</w:t>
      </w:r>
      <w:r>
        <w:rPr>
          <w:rFonts w:ascii="Times New Roman" w:hAnsi="Times New Roman" w:cs="Times New Roman"/>
          <w:sz w:val="24"/>
          <w:szCs w:val="24"/>
        </w:rPr>
        <w:t>, 2023)</w:t>
      </w:r>
      <w:r>
        <w:rPr>
          <w:rFonts w:ascii="Times New Roman" w:hAnsi="Times New Roman" w:cs="Times New Roman"/>
          <w:sz w:val="24"/>
          <w:szCs w:val="24"/>
        </w:rPr>
        <w:fldChar w:fldCharType="end"/>
      </w:r>
      <w:r>
        <w:rPr>
          <w:rFonts w:ascii="Times New Roman" w:hAnsi="Times New Roman" w:cs="Times New Roman"/>
          <w:sz w:val="24"/>
          <w:szCs w:val="24"/>
        </w:rPr>
        <w:t>.</w:t>
      </w:r>
    </w:p>
    <w:p w14:paraId="2917D1F3">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as a higher-order dynamic capability, the process of restructuring organisational resources and practices by BDC does not happen overnight but is continuously adapted, iterated and updated through OL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{"citationID":"mchMgOrf","properties":{"formattedCitation":"(Zollo and Winter, 2002)","plainCitation":"(Zollo and Winter, 2002)","noteIndex":0},"citationItems":[{"id":"NEZ99iNq/VRJBEfLh","uris":["http://zotero.org/users/10703570/items/IQXN5NZ5"],"itemData":{"id":"NEZ99iNq/VRJBEfLh","type":"article-journal","abstract":"This paper investigates the mechanisms through which organizations develop dynamic capabilities, defined as routinized activities directed to the development and adaptation of operating routines. It addresses the role of (1) experience accumulation, (2) knowledge articulation, and (3) knowledge codification processes in the evolution of dynamic, as well as operational, routines. The argument is made that dynamic capabilities are shaped by the coevolution of these learning mechanisms. At any point in time, firms adopt a mix of learning behaviors constituted by a semiautomatic accumulation of experience and by deliberate investments in knowledge articulation and codification activities. The relative effectiveness of these capability-building mechanisms is analyzed here as contingent upon selected features of the task to be learned, such as its frequency, homogeneity, and degree of causal ambiguity. Testable hypotheses about these effects are derived. Somewhat counterintuitive implications of the analysis include the relatively superior effectiveness of highly deliberate learning processes such as knowledge codification at lower levels of frequency and homogeneity of the organizational task, in contrast with common managerial practice.","container-title":"Organization Science","DOI":"10.1287/orsc.13.3.339.2780","ISSN":"1047-7039","issue":"3","note":"publisher: INFORMS","page":"339-351","source":"pubsonline.informs.org (Atypon)","title":"Deliberate Learning and the Evolution of Dynamic Capabilities","volume":"13","author":[{"family":"Zollo","given":"Maurizio"},{"family":"Winter","given":"Sidney G."}],"issued":{"date-parts":[["2002",6]]}}}],"schema":"https://github.com/citation-style-language/schema/raw/master/csl-citation.json"}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(Zollo and Winter, 2002)</w:t>
      </w:r>
      <w:r>
        <w:rPr>
          <w:rFonts w:ascii="Times New Roman" w:hAnsi="Times New Roman" w:cs="Times New Roman"/>
          <w:sz w:val="24"/>
          <w:szCs w:val="24"/>
        </w:rPr>
        <w:fldChar w:fldCharType="end"/>
      </w:r>
      <w:r>
        <w:rPr>
          <w:rFonts w:ascii="Times New Roman" w:hAnsi="Times New Roman" w:cs="Times New Roman"/>
          <w:sz w:val="24"/>
          <w:szCs w:val="24"/>
        </w:rPr>
        <w:t xml:space="preserve">. Through this process, enterprises can gradually integrate BDC deeply with business processes, ultimately creating a new way of creating value for the organisation. Particularly in Chinese enterprises, organisations need to continuously learn and adapt to the changes in BD technology in the face of rapidly changing market environments and complex regulatory systems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{"citationID":"tFEto1xU","properties":{"formattedCitation":"(Song, 2015; Chang {\\i{}et al.}, 2017)","plainCitation":"(Song, 2015; Chang et al., 2017)","noteIndex":0},"citationItems":[{"id":6712,"uris":["http://zotero.org/users/10703570/items/YIS8XYGS"],"itemData":{"id":6712,"type":"article-journal","container-title":"Chinese Management Studies","ISSN":"1750-614X","issue":"1","journalAbbreviation":"Chinese Management Studies","note":"publisher: Emerald Group Publishing Limited","page":"97-113","title":"Organizational learning, absorptive capacity, imitation and innovation: Empirical analyses of 115 firms across China","volume":"9","author":[{"family":"Song","given":"Zhi-hong"}],"issued":{"date-parts":[["2015"]]}}},{"id":6713,"uris":["http://zotero.org/users/10703570/items/RZPPVZHX"],"itemData":{"id":6713,"type":"article-journal","container-title":"Asia Pacific Business Review","ISSN":"1360-2381","issue":"4","journalAbbreviation":"Asia Pacific Business Review","note":"publisher: Taylor &amp; Francis","page":"541-558","title":"Dynamic organizational learning: a narrative inquiry into the story of Huawei in China","volume":"23","author":[{"family":"Chang","given":"Li-Chung"},{"family":"Ho","given":"Wei-Ling"},{"family":"Tsai","given":"Sang-Bing"},{"family":"Chen","given":"Quan"},{"family":"Wu","given":"Chi-Cheng"}],"issued":{"date-parts":[["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(Song, 2015; Chang </w:t>
      </w:r>
      <w:r>
        <w:rPr>
          <w:rFonts w:ascii="Times New Roman" w:hAnsi="Times New Roman" w:cs="Times New Roman"/>
          <w:i/>
          <w:iCs/>
          <w:sz w:val="24"/>
          <w:szCs w:val="24"/>
        </w:rPr>
        <w:t>et al.</w:t>
      </w:r>
      <w:r>
        <w:rPr>
          <w:rFonts w:ascii="Times New Roman" w:hAnsi="Times New Roman" w:cs="Times New Roman"/>
          <w:sz w:val="24"/>
          <w:szCs w:val="24"/>
        </w:rPr>
        <w:t>, 2017)</w:t>
      </w:r>
      <w:r>
        <w:rPr>
          <w:rFonts w:ascii="Times New Roman" w:hAnsi="Times New Roman" w:cs="Times New Roman"/>
          <w:sz w:val="24"/>
          <w:szCs w:val="24"/>
        </w:rPr>
        <w:fldChar w:fldCharType="end"/>
      </w:r>
      <w:r>
        <w:rPr>
          <w:rFonts w:ascii="Times New Roman" w:hAnsi="Times New Roman" w:cs="Times New Roman"/>
          <w:sz w:val="24"/>
          <w:szCs w:val="24"/>
        </w:rPr>
        <w:t>. The ability to adapt and respond dynamically to any environmental changes is mainly reflected in the optimisation of management practices to improve financial performance.</w:t>
      </w:r>
    </w:p>
    <w:p w14:paraId="11DE2E33">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Chinese context, organisations are often affected by cultural differences, diversity of market demands, and changes in the policy environment. Hence, the implementation of BDC requires a more cautious and flexible approach. This gradual integration through organisational learning enables BDC to influence decision-making processes and operating models, driving innovation and efficiency. For example, Internet companies and manufacturing companies in China have successfully integrated Big Data technologies into their production management and customer analysis processes through organisational learning, creating a new competitive advantage. This approach to value creation ultimately has a positive impact on firms' financial performance and, as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{"citationID":"QtH3tNec","properties":{"formattedCitation":"(Garmaki, Gharib and Boughzala, 2023a)","plainCitation":"(Garmaki, Gharib and Boughzala, 2023a)","noteIndex":0},"citationItems":[{"id":"NEZ99iNq/3egwD3dH","uris":["http://zotero.org/users/10703570/items/NWS3XSIA"],"itemData":{"id":"NEZ99iNq/3egwD3dH","type":"article-journal","container-title":"Journal of Enterprise Information Management","ISSN":"1741-0398","issue":"5","journalAbbreviation":"Journal of Enterprise Information Management","note":"publisher: Emerald Publishing Limited","page":"1161-1184","title":"Big data analytics capability and contribution to firm performance: the mediating effect of organizational learning on firm performance","volume":"36","author":[{"family":"Garmaki","given":"Mahda"},{"family":"Gharib","given":"Rebwar Kamal"},{"family":"Boughzala","given":"Imed"}],"issued":{"date-parts":[["2023"]]}}}],"schema":"https://github.com/citation-style-language/schema/raw/master/csl-citation.json"}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Garmaki, Gharib and Boughzala (2023)</w:t>
      </w:r>
      <w:r>
        <w:rPr>
          <w:rFonts w:ascii="Times New Roman" w:hAnsi="Times New Roman" w:cs="Times New Roman"/>
          <w:sz w:val="24"/>
          <w:szCs w:val="24"/>
        </w:rPr>
        <w:fldChar w:fldCharType="end"/>
      </w:r>
      <w:r>
        <w:rPr>
          <w:rFonts w:ascii="Times New Roman" w:hAnsi="Times New Roman" w:cs="Times New Roman"/>
          <w:sz w:val="24"/>
          <w:szCs w:val="24"/>
        </w:rPr>
        <w:t xml:space="preserve"> point out, through the integration of BDC with business processes, firms can utilise their resources more efficiently, improve their profitability and enhance their competitiveness in the market.</w:t>
      </w:r>
    </w:p>
    <w:p w14:paraId="139F029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This progressive application of BDC through organisational learning not only enhances firms' ability to innovate but also enables them to better cope with market volatility and uncertainty, which is especially critical in China's fast-growing economy.</w:t>
      </w:r>
    </w:p>
    <w:p w14:paraId="563421B1">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H2: OL mediates the relationship between BDC and financial performance.</w:t>
      </w:r>
    </w:p>
    <w:p w14:paraId="28FD6948">
      <w:pPr>
        <w:pStyle w:val="4"/>
        <w:spacing w:before="120" w:after="240" w:line="360" w:lineRule="auto"/>
        <w:jc w:val="both"/>
        <w:rPr>
          <w:rFonts w:ascii="Times New Roman" w:hAnsi="Times New Roman" w:cs="Times New Roman"/>
          <w:color w:val="auto"/>
        </w:rPr>
      </w:pPr>
      <w:bookmarkStart w:id="23" w:name="_Toc178258263"/>
      <w:r>
        <w:rPr>
          <w:rFonts w:ascii="Times New Roman" w:hAnsi="Times New Roman" w:cs="Times New Roman"/>
          <w:color w:val="auto"/>
        </w:rPr>
        <w:t>2.3.2 The Impacts of Big Data Capabilities on Innovation Performance</w:t>
      </w:r>
      <w:bookmarkEnd w:id="23"/>
      <w:r>
        <w:rPr>
          <w:rFonts w:ascii="Times New Roman" w:hAnsi="Times New Roman" w:cs="Times New Roman"/>
          <w:color w:val="auto"/>
        </w:rPr>
        <w:t xml:space="preserve"> </w:t>
      </w:r>
    </w:p>
    <w:p w14:paraId="1CBCAAC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in-depth research on BDC, scholars focus on studying the impact of BDC on innovation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{"citationID":"b9di6swl","properties":{"formattedCitation":"(Trabucchi and Buganza, 2019)","plainCitation":"(Trabucchi and Buganza, 2019)","dontUpdate":true,"noteIndex":0},"citationItems":[{"id":"NEZ99iNq/0tfb7otL","uris":["http://zotero.org/users/10703570/items/UVEDMD2I"],"itemData":{"id":5443,"type":"article-journal","container-title":"European Journal of Innovation Management","ISSN":"1460-1060","issue":"1","journalAbbreviation":"European Journal of Innovation Management","note":"publisher: Emerald Publishing Limited","page":"23-40","title":"Data-driven innovation: switching the perspective on Big Data","volume":"22","author":[{"family":"Trabucchi","given":"Daniel"},{"family":"Buganza","given":"Tommaso"}],"issued":{"date-parts":[["2019"]]}}}],"schema":"https://github.com/citation-style-language/schema/raw/master/csl-citation.json"}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Trabucchi and Buganza (2019)</w:t>
      </w:r>
      <w:r>
        <w:rPr>
          <w:rFonts w:ascii="Times New Roman" w:hAnsi="Times New Roman" w:cs="Times New Roman"/>
          <w:sz w:val="24"/>
          <w:szCs w:val="24"/>
        </w:rPr>
        <w:fldChar w:fldCharType="end"/>
      </w:r>
      <w:r>
        <w:rPr>
          <w:rFonts w:ascii="Times New Roman" w:hAnsi="Times New Roman" w:cs="Times New Roman"/>
          <w:sz w:val="24"/>
          <w:szCs w:val="24"/>
        </w:rPr>
        <w:t xml:space="preserve">, based on the exploratory multiple case study approach, propose a BD-driven approach to innovation where the need and the analysis of data letting begin the entire innovation process.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{"citationID":"XHvDKNC8","properties":{"formattedCitation":"(Ghasemaghaei and Calic, 2020)","plainCitation":"(Ghasemaghaei and Calic, 2020)","dontUpdate":true,"noteIndex":0},"citationItems":[{"id":"NEZ99iNq/kuzqmaXU","uris":["http://zotero.org/users/10703570/items/FI6KJW6T"],"itemData":{"id":5442,"type":"article-journal","container-title":"Journal of business research","ISSN":"0148-2963","journalAbbreviation":"Journal of business research","note":"publisher: Elsevier","page":"147-162","title":"Assessing the impact of big data on firm innovation performance: Big data is not always better data","volume":"108","author":[{"family":"Ghasemaghaei","given":"Maryam"},{"family":"Calic","given":"Goran"}],"issued":{"date-parts":[["2020"]]}}}],"schema":"https://github.com/citation-style-language/schema/raw/master/csl-citation.json"}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Ghasemaghaei and Calic (2020)</w:t>
      </w:r>
      <w:r>
        <w:rPr>
          <w:rFonts w:ascii="Times New Roman" w:hAnsi="Times New Roman" w:cs="Times New Roman"/>
          <w:sz w:val="24"/>
          <w:szCs w:val="24"/>
        </w:rPr>
        <w:fldChar w:fldCharType="end"/>
      </w:r>
      <w:r>
        <w:rPr>
          <w:rFonts w:ascii="Times New Roman" w:hAnsi="Times New Roman" w:cs="Times New Roman"/>
          <w:sz w:val="24"/>
          <w:szCs w:val="24"/>
        </w:rPr>
        <w:t xml:space="preserve"> explore the main characteristics of BD (e.g., velocity, variety and volume) on innovation efficiency and efficacy by collecting primary data from questionnaire 239 managers, and their results indicate BDC significantly enhance innovation performance through its capabilities manifested based on three characteristics above.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{"citationID":"ngzXBs0D","properties":{"formattedCitation":"(Zhang {\\i{}et al.}, 2022)","plainCitation":"(Zhang et al., 2022)","dontUpdate":true,"noteIndex":0},"citationItems":[{"id":"NEZ99iNq/raSDzJOf","uris":["http://zotero.org/users/10703570/items/856HGY7S"],"itemData":{"id":5444,"type":"article-journal","abstract":"After the rapid expansion of data variety, velocity and volume, human civilization experienced rapid changes in the period between the “IT” and “Data” ages. Researchers view big data and data capability as new sustainable competitive advantages that enhance the sustainability of organizational development. This paper aims to develop and empirically test a framework that will investigate how big data capability is achieved through exploitative, explorative and ambidextrous modes of innovation strategies, and will also explore how they can, in turn, build firms’ sustainable competitive advantage. Using data from surveys of 229 respondents working in Chinese manufacturing firms, we test the framework using regression and bootstrapped mediation analyses. It also shows how big data capability will make firms more inclined to implement exploitative innovation strategy and construct sustainable competitive advantage, as opposed to explorative innovation strategy; when viewed from an ambidextrous perspective, combined dimension of ambidextrous innovation strategy is found to partially mediate between big data capability and sustainable competitive advantage while balanced dimension of ambidextrous innovation strategy does not. The conclusions are of great significance because they will help firms to deal with challenges that arise in big data applications and digital transformation. The findings offer new insight into the strategic choices of organizational innovations.","container-title":"Sustainability","DOI":"10.3390/su14148249","ISSN":"2071-1050","issue":"14","language":"en","license":"http://creativecommons.org/licenses/by/3.0/","note":"number: 14\npublisher: Multidisciplinary Digital Publishing Institute","page":"8249","source":"www.mdpi.com","title":"Big Data Capability and Sustainable Competitive Advantage: The Mediating Role of Ambidextrous Innovation Strategy","title-short":"Big Data Capability and Sustainable Competitive Advantage","volume":"14","author":[{"family":"Zhang","given":"Zhengang"},{"family":"Shang","given":"Yu"},{"family":"Cheng","given":"Linyuan"},{"family":"Hu","given":"Antao"}],"issued":{"date-parts":[["2022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32"/>
        </w:rPr>
        <w:t xml:space="preserve">Zhang </w:t>
      </w:r>
      <w:r>
        <w:rPr>
          <w:rFonts w:ascii="Times New Roman" w:hAnsi="Times New Roman" w:cs="Times New Roman"/>
          <w:i/>
          <w:iCs/>
          <w:sz w:val="24"/>
          <w:szCs w:val="32"/>
        </w:rPr>
        <w:t>et al.</w:t>
      </w:r>
      <w:r>
        <w:rPr>
          <w:rFonts w:ascii="Times New Roman" w:hAnsi="Times New Roman" w:cs="Times New Roman"/>
          <w:sz w:val="24"/>
          <w:szCs w:val="32"/>
        </w:rPr>
        <w:t xml:space="preserve"> (2022)</w:t>
      </w:r>
      <w:r>
        <w:rPr>
          <w:rFonts w:ascii="Times New Roman" w:hAnsi="Times New Roman" w:cs="Times New Roman"/>
          <w:sz w:val="24"/>
          <w:szCs w:val="24"/>
        </w:rPr>
        <w:fldChar w:fldCharType="end"/>
      </w:r>
      <w:r>
        <w:rPr>
          <w:rFonts w:ascii="Times New Roman" w:hAnsi="Times New Roman" w:cs="Times New Roman"/>
          <w:sz w:val="24"/>
          <w:szCs w:val="24"/>
        </w:rPr>
        <w:t xml:space="preserve"> use survey data from 229 participants working in the manufacturing sector in China to investigate how BDC interplays with ambidextrous innovation, and they argue that BDC promotes exploitative innovation to develop a sustainable competitive advantage, the relationship of which is partially mediated by the ambidextrous innovation strategy. </w:t>
      </w:r>
    </w:p>
    <w:p w14:paraId="0CF1446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Amid unprecedentedly fierce competition, enterprises are now expected to develop the ability to properly and promptly respond to any environmental shifts. BD resource integration capability allows the organisation to integrate all relevant data sources in a real-time manager, allowing organisations to develop greater sensitivity and responsiveness to changes in the business environment and initiate corresponding measures to establish a first-mover advantage over their competitors more quickly than they would otherwise be able to do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{"citationID":"5zAKoo1Q","properties":{"formattedCitation":"(Hao, Zhang and Song, 2019)","plainCitation":"(Hao, Zhang and Song, 2019)","noteIndex":0},"citationItems":[{"id":"NEZ99iNq/U49YtgCv","uris":["http://zotero.org/users/10703570/items/BFUW25YF"],"itemData":{"id":5484,"type":"article-journal","container-title":"Sustainability","ISSN":"2071-1050","issue":"24","journalAbbreviation":"Sustainability","note":"publisher: MDPI","page":"7145","title":"Big data, big data analytics capability, and sustainable innovation performance","volume":"11","author":[{"family":"Hao","given":"Shengbin"},{"family":"Zhang","given":"Haili"},{"family":"Song","given":"Michael"}],"issued":{"date-parts":[["2019"]]}}}],"schema":"https://github.com/citation-style-language/schema/raw/master/csl-citation.json"}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(Hao, Zhang and Song, 2019)</w:t>
      </w:r>
      <w:r>
        <w:rPr>
          <w:rFonts w:ascii="Times New Roman" w:hAnsi="Times New Roman" w:cs="Times New Roman"/>
          <w:sz w:val="24"/>
          <w:szCs w:val="24"/>
        </w:rPr>
        <w:fldChar w:fldCharType="end"/>
      </w:r>
      <w:r>
        <w:rPr>
          <w:rFonts w:ascii="Times New Roman" w:hAnsi="Times New Roman" w:cs="Times New Roman"/>
          <w:sz w:val="24"/>
          <w:szCs w:val="24"/>
        </w:rPr>
        <w:t xml:space="preserve">. For example, to adapt to the diversity of customer needs, BD resource integration capability exploits the potential value of BD present in every touchpoint along the customer journey. Through the transformation, processing and integration of BD resources into the enterprise business processes, it forms new innovations (e..g products, services, business models) that cater for the emerging demands of customers ahead of customers and that are difficult to </w:t>
      </w:r>
      <w:r>
        <w:rPr>
          <w:rFonts w:hint="eastAsia" w:ascii="Times New Roman" w:hAnsi="Times New Roman" w:cs="Times New Roman"/>
          <w:sz w:val="24"/>
          <w:szCs w:val="24"/>
        </w:rPr>
        <w:t xml:space="preserve">be </w:t>
      </w:r>
      <w:r>
        <w:rPr>
          <w:rFonts w:ascii="Times New Roman" w:hAnsi="Times New Roman" w:cs="Times New Roman"/>
          <w:sz w:val="24"/>
          <w:szCs w:val="24"/>
        </w:rPr>
        <w:t>imitate</w:t>
      </w:r>
      <w:r>
        <w:rPr>
          <w:rFonts w:hint="eastAsia" w:ascii="Times New Roman" w:hAnsi="Times New Roman" w:cs="Times New Roman"/>
          <w:sz w:val="24"/>
          <w:szCs w:val="24"/>
        </w:rPr>
        <w:t>d by</w:t>
      </w:r>
      <w:r>
        <w:rPr>
          <w:rFonts w:ascii="Times New Roman" w:hAnsi="Times New Roman" w:cs="Times New Roman"/>
          <w:sz w:val="24"/>
          <w:szCs w:val="24"/>
        </w:rPr>
        <w:t xml:space="preserve"> rivals, fosters customer loyalty, and improves the overall innovation performance. As such, the ability to integrate resources is itself a form of knowledge that creates new ways of application, either on its own or in combination with other knowledge. Resource integration capability largely determines the conversion rate and effective utilisation of external knowledge, which focuses on integration and innovation, involves coordinating and matching resources from different sources, at different levels and with different contents and facilitates enterprises to reconfigure their resource portfolios, competence structures and business scopes, and to quickly identify innovative opportunities in the competitive environment to realise breakthrough innovations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{"citationID":"Kn6ltqqY","properties":{"formattedCitation":"(Cadden {\\i{}et al.}, 2023; Xie {\\i{}et al.}, 2024)","plainCitation":"(Cadden et al., 2023; Xie et al., 2024)","noteIndex":0},"citationItems":[{"id":"NEZ99iNq/D8b6KhJW","uris":["http://zotero.org/users/10703570/items/UKHEHC9Z"],"itemData":{"id":5486,"type":"article-journal","abstract":"The age of digitisation has resulted in an explosion of studies investigating the benefits of Big Data Analytics (BDA) as a means to enhance competitive advantage in organisations. However, the best way to leverage BDA is still inconclusive. Moreover, there is paucity of studies investigating how SMEs, who are recognised as having high levels of entrepreneurial orientation, can utilise big data and marketing analytics to support innovation and competitive advantage in dynamic environments. This study employs dynamic capabilities as a lens to investigate the nuanced relationships. Adopting a partial least squares (PLS) path modelling method with 194 UK SMEs, this study finds that knowledge integration mechanisms are particularly critical value creation enablers by transforming EO and BDA into organisational wide capabilities in support of innovation and competitive advantage. These novel and nuanced insights are of value to both practitioner and researchers.","container-title":"Journal of Business Research","DOI":"10.1016/j.jbusres.2023.114225","ISSN":"0148-2963","journalAbbreviation":"Journal of Business Research","page":"114225","source":"ScienceDirect","title":"Examining the role of big data and marketing analytics in SMEs innovation and competitive advantage: A knowledge integration perspective","title-short":"Examining the role of big data and marketing analytics in SMEs innovation and competitive advantage","volume":"168","author":[{"family":"Cadden","given":"Trevor"},{"family":"Weerawardena","given":"Jay"},{"family":"Cao","given":"Guangming"},{"family":"Duan","given":"Yanqing"},{"family":"McIvor","given":"Ronan"}],"issued":{"date-parts":[["2023",11,1]]}}},{"id":"NEZ99iNq/RQS8nYAu","uris":["http://zotero.org/users/10703570/items/UJ2J4ZX8"],"itemData":{"id":5485,"type":"article-journal","abstract":"This paper explores the relationship between big data capability and organizational innovation and the formation mechanism of big data capability based on resource orchestration theory. Data was collected from 179 questionnaires and used to empirically test the model. Our findings suggest that big data resources acquisition capability (BDRA) is conducive to the construction of big data resources integration and utilization (BDRIU) capability and thus can actively promote product innovation. Throughout this process, the big data expected benefits negatively influence the relationship between BDRA capability and product innovation and positively influence the relationship between BDRIU capability and product and business model innovation. In terms of the formation mechanism of big data capabilities, government support has a significant positive impact on the BDRA and BDRIU capabilities. Data governance partially mediates the relationship between government support and big data capabilities.","container-title":"Journal of the Knowledge Economy","DOI":"10.1007/s13132-023-01208-w","ISSN":"1868-7873","issue":"1","journalAbbreviation":"J Knowl Econ","language":"en","page":"3767-3791","source":"Springer Link","title":"The Effect of Big Data Capability on Organizational Innovation: a Resource Orchestration Perspective","title-short":"The Effect of Big Data Capability on Organizational Innovation","volume":"15","author":[{"family":"Xie","given":"Weihong"},{"family":"Zhang","given":"Qian"},{"family":"Lin","given":"Yuyao"},{"family":"Wang","given":"Zhong"},{"family":"Li","given":"Zhongshun"}],"issued":{"date-parts":[["2024",3,1]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(Cadden </w:t>
      </w:r>
      <w:r>
        <w:rPr>
          <w:rFonts w:ascii="Times New Roman" w:hAnsi="Times New Roman" w:cs="Times New Roman"/>
          <w:i/>
          <w:iCs/>
          <w:sz w:val="24"/>
          <w:szCs w:val="24"/>
        </w:rPr>
        <w:t>et al.</w:t>
      </w:r>
      <w:r>
        <w:rPr>
          <w:rFonts w:ascii="Times New Roman" w:hAnsi="Times New Roman" w:cs="Times New Roman"/>
          <w:sz w:val="24"/>
          <w:szCs w:val="24"/>
        </w:rPr>
        <w:t xml:space="preserve">, 2023; Xie </w:t>
      </w:r>
      <w:r>
        <w:rPr>
          <w:rFonts w:ascii="Times New Roman" w:hAnsi="Times New Roman" w:cs="Times New Roman"/>
          <w:i/>
          <w:iCs/>
          <w:sz w:val="24"/>
          <w:szCs w:val="24"/>
        </w:rPr>
        <w:t>et al.</w:t>
      </w:r>
      <w:r>
        <w:rPr>
          <w:rFonts w:ascii="Times New Roman" w:hAnsi="Times New Roman" w:cs="Times New Roman"/>
          <w:sz w:val="24"/>
          <w:szCs w:val="24"/>
        </w:rPr>
        <w:t>, 2024)</w:t>
      </w:r>
      <w:r>
        <w:rPr>
          <w:rFonts w:ascii="Times New Roman" w:hAnsi="Times New Roman" w:cs="Times New Roman"/>
          <w:sz w:val="24"/>
          <w:szCs w:val="24"/>
        </w:rPr>
        <w:fldChar w:fldCharType="end"/>
      </w:r>
      <w:r>
        <w:rPr>
          <w:rFonts w:ascii="Times New Roman" w:hAnsi="Times New Roman" w:cs="Times New Roman"/>
          <w:sz w:val="24"/>
          <w:szCs w:val="24"/>
        </w:rPr>
        <w:t>. In this sense, enterprises are often able to effectively alleviate the pressure of resource constraints and break out of the original innovation paradigm by integrating existing internal and external resources and help enterprises avoid the rigidity of innovation capacity brought about by the accumulation of single knowledge.</w:t>
      </w:r>
    </w:p>
    <w:p w14:paraId="1EDAEE2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dynamic environment of fierce competition, enterprises use BD in-depth analytical capability to collect, process and analyse information and can gain insights and identify business opportunities from BD. External knowledge, such as market knowledge and technological knowledge drawn from market orientation, needs to be processed and analysed in-depth before it can be extracted and summarised into the information needed by the organization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{"citationID":"5gPVHoef","properties":{"formattedCitation":"(Hariri, Fredericks and Bowers, 2019)","plainCitation":"(Hariri, Fredericks and Bowers, 2019)","noteIndex":0},"citationItems":[{"id":"NEZ99iNq/dJWv7x0C","uris":["http://zotero.org/users/10703570/items/ZJTDZGIA"],"itemData":{"id":5489,"type":"article-journal","container-title":"Journal of Big data","ISSN":"2196-1115","issue":"1","journalAbbreviation":"Journal of Big data","note":"publisher: Springer","page":"1-16","title":"Uncertainty in big data analytics: survey, opportunities, and challenges","volume":"6","author":[{"family":"Hariri","given":"Reihaneh H"},{"family":"Fredericks","given":"Erik M"},{"family":"Bowers","given":"Kate M"}],"issued":{"date-parts":[["2019"]]}}}],"schema":"https://github.com/citation-style-language/schema/raw/master/csl-citation.json"}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(Hariri, Fredericks and Bowers, 2019)</w:t>
      </w:r>
      <w:r>
        <w:rPr>
          <w:rFonts w:ascii="Times New Roman" w:hAnsi="Times New Roman" w:cs="Times New Roman"/>
          <w:sz w:val="24"/>
          <w:szCs w:val="24"/>
        </w:rPr>
        <w:fldChar w:fldCharType="end"/>
      </w:r>
      <w:r>
        <w:rPr>
          <w:rFonts w:ascii="Times New Roman" w:hAnsi="Times New Roman" w:cs="Times New Roman"/>
          <w:sz w:val="24"/>
          <w:szCs w:val="24"/>
        </w:rPr>
        <w:t xml:space="preserve">. The knowledge extracted from data can help companies establish industry benchmarks, take the lead in emerging markets, and accelerate product development to meet changing customer needs. At the same time, BDA can enhance the flexibility and transparency of organisational operations, promote bilateral information flow within the system, and ensure the reliability and high quality of data through the application of BDA such as Hadoop to remove redundancy and reduce noise, thus effectively reducing the possibility of poor-quality data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{"citationID":"ZaeUymig","properties":{"formattedCitation":"(Ohlhorst, 2012)","plainCitation":"(Ohlhorst, 2012)","noteIndex":0},"citationItems":[{"id":"NEZ99iNq/yOOyuSkH","uris":["http://zotero.org/users/10703570/items/C5ERU4HP"],"itemData":{"id":5480,"type":"book","ISBN":"1-118-14759-6","publisher":"John Wiley &amp; Sons","title":"Big data analytics: turning big data into big money","volume":"65","author":[{"family":"Ohlhorst","given":"Frank J"}],"issued":{"date-parts":[["2012"]]}}}],"schema":"https://github.com/citation-style-language/schema/raw/master/csl-citation.json"}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(Ohlhorst, 2012)</w:t>
      </w:r>
      <w:r>
        <w:rPr>
          <w:rFonts w:ascii="Times New Roman" w:hAnsi="Times New Roman" w:cs="Times New Roman"/>
          <w:sz w:val="24"/>
          <w:szCs w:val="24"/>
        </w:rPr>
        <w:fldChar w:fldCharType="end"/>
      </w:r>
      <w:r>
        <w:rPr>
          <w:rFonts w:ascii="Times New Roman" w:hAnsi="Times New Roman" w:cs="Times New Roman"/>
          <w:sz w:val="24"/>
          <w:szCs w:val="24"/>
        </w:rPr>
        <w:t>. Therefore, the stronger the in-depth analysis capability, the more efficient the use of data resources and the less likely the knowledge and decision-making errors are triggered, which will help enterprises to meet the market demand through innovation.</w:t>
      </w:r>
    </w:p>
    <w:p w14:paraId="4FEF1ED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same time, the competitive environment faced by enterprises is dynamic, complex and changing, and real-time insights and forecasting capabilities can help enterprises identify innovation opportunities in the market in the fastest way and predict the future trend of the market so that they can better allocate innovation resources and plan innovation strategies and processes, thus realising the improvement of innovation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{"citationID":"V9069Kb3","properties":{"formattedCitation":"(Erevelles, Fukawa and Swayne, 2016)","plainCitation":"(Erevelles, Fukawa and Swayne, 2016)","noteIndex":0},"citationItems":[{"id":"NEZ99iNq/XJKyyeON","uris":["http://zotero.org/users/10703570/items/MYDAV6YP"],"itemData":{"id":5492,"type":"article-journal","container-title":"Journal of business research","ISSN":"0148-2963","issue":"2","journalAbbreviation":"Journal of business research","note":"publisher: Elsevier","page":"897-904","title":"Big Data consumer analytics and the transformation of marketing","volume":"69","author":[{"family":"Erevelles","given":"Sunil"},{"family":"Fukawa","given":"Nobuyuki"},{"family":"Swayne","given":"Linda"}],"issued":{"date-parts":[["2016"]]}}}],"schema":"https://github.com/citation-style-language/schema/raw/master/csl-citation.json"}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(Erevelles, Fukawa and Swayne, 2016)</w:t>
      </w:r>
      <w:r>
        <w:rPr>
          <w:rFonts w:ascii="Times New Roman" w:hAnsi="Times New Roman" w:cs="Times New Roman"/>
          <w:sz w:val="24"/>
          <w:szCs w:val="24"/>
        </w:rPr>
        <w:fldChar w:fldCharType="end"/>
      </w:r>
      <w:r>
        <w:rPr>
          <w:rFonts w:ascii="Times New Roman" w:hAnsi="Times New Roman" w:cs="Times New Roman"/>
          <w:sz w:val="24"/>
          <w:szCs w:val="24"/>
        </w:rPr>
        <w:t xml:space="preserve">. The time-sensitive nature of BD, i.e., the state and value will evolve with the changes in time and space, also requires enterprises to build real-time insight and prediction capabilities to explore the hidden value within the data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{"citationID":"6pHHdnJ3","properties":{"formattedCitation":"(Shahid and Sheikh, 2021)","plainCitation":"(Shahid and Sheikh, 2021)","noteIndex":0},"citationItems":[{"id":"NEZ99iNq/NmUfcY4e","uris":["http://zotero.org/users/10703570/items/44SF8ZMX"],"itemData":{"id":5490,"type":"article-journal","abstract":"Advances in the field of technology enabled individuals and businesses to collect large amounts of data (structured and unstructured) from various sources like never before. Data from social media, user-generated, internet, health care, manufacturing, supply chain, financial institution, and sensors have grown exponentially. This paper’s objective is to review how big data drive and impact innovation, competitive advantage, productivity, and decision support. Methodology: A comprehensive literature review on big data and identifying the impact of big data analytics on innovation, competitive advantage, productivity, and decision support are studied. The reviewed literature created the foundation for studying, a model that was developed based on an extensive review of literature as well as case studies and future forecast by market leaders. Big data is the latest buzzword among businesses. A new model is suggested identifying big data and the correlation between innovation, competitive advantage, productivity, and decision support. Findings: A review of scholarly literature and existing case studies finds that there is a gap between existing frameworks and the integration of big data into various business and management functions and objectives. The findings are interesting that literature is rich with concepts and frameworks for achieving the end goal for business or management function along with framework but very little is available in the literature on the question of how to integrate big data analytics into those frameworks. This paper finds that a key question is missing i.e., what are the essential steps that businesses should perform to implement and integrate big data analytics into existing frameworks to fully exploit the big data potential. Research Limitations/Implications: The research was limited to a review of selective literature focused on in-depth understanding of big data. Additionally, it focuses on how big data leads to innovation, competitive advantage, productivity, and decision support. Although there are many other related fields of studies where big data impact can be studied but is not part of this study effort. Future studies can lead to more in-depth studies of other related areas of studies. Practical Implications: The review of the literature suggested that “Big Data” is playing an important role in innovations, creating competitive advantage, enhancing productivity, and assisting in data-driven decisions. Businesses are taking advantage of the customer insights that are innovating products and services which are very customer-centric, keeping the competition on the run, improving productivity at all levels, and making educated decisions every day. The future will be driven by smarter big data solutions and insights. Originality/Value: The study provides evidence that big data is the catalyst for innovation, creates competitive advantage, enhances productivity, and assists in decision making. The methodology is to review scholarly literature and case studies. It supports the need for developing new models, implementation frameworks for better insights, and patterns. The big data implementation methodologies, framework, and governance have been ignored in empirical research.","container-title":"Open Journal of Business and Management","DOI":"10.4236/ojbm.2021.92032","issue":"02","language":"en","note":"number: 02\npublisher: Scientific Research Publishing","page":"586","source":"www.scirp.org","title":"Impact of Big Data on Innovation, Competitive Advantage, Productivity, and Decision Making: Literature Review","title-short":"Impact of Big Data on Innovation, Competitive Advantage, Productivity, and Decision Making","volume":"09","author":[{"family":"Shahid","given":"Nadeem U."},{"family":"Sheikh","given":"Nasir J."}],"issued":{"date-parts":[["2021",3,18]]}}}],"schema":"https://github.com/citation-style-language/schema/raw/master/csl-citation.json"}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(Shahid and Sheikh, 2021)</w:t>
      </w:r>
      <w:r>
        <w:rPr>
          <w:rFonts w:ascii="Times New Roman" w:hAnsi="Times New Roman" w:cs="Times New Roman"/>
          <w:sz w:val="24"/>
          <w:szCs w:val="24"/>
        </w:rPr>
        <w:fldChar w:fldCharType="end"/>
      </w:r>
      <w:r>
        <w:rPr>
          <w:rFonts w:ascii="Times New Roman" w:hAnsi="Times New Roman" w:cs="Times New Roman"/>
          <w:sz w:val="24"/>
          <w:szCs w:val="24"/>
        </w:rPr>
        <w:t>. Therefore, the stronger the real-time insight and prediction capabilities, the more accurate enterprises can read consumer behaviour, preferences and other information, and the more conducive to market-oriented enterprises to grasp the market opportunities before competitors, discover emerging edge markets and customer groups on time, explore new profit models and transaction methods, and further redefine the value proposition of stakeholders. In addition, empirical studies such as Gupta et al. have shown that BD predictive analytics can significantly improve innovation performance.</w:t>
      </w:r>
    </w:p>
    <w:p w14:paraId="237FF62E">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In summary, this paper proposes the following hypotheses:</w:t>
      </w:r>
    </w:p>
    <w:p w14:paraId="7F13F9C8">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H3: There is a significant positive correlation between BDC and enterprise innovation performance.</w:t>
      </w:r>
    </w:p>
    <w:p w14:paraId="3C625AE7">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H3a: There is a significant positive correlation between BD resource integration capability on enterprise innovation performance.</w:t>
      </w:r>
    </w:p>
    <w:p w14:paraId="24462377">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H3b: There is a significant positive correlation between BD analytical capability on enterprise innovation performance.</w:t>
      </w:r>
    </w:p>
    <w:p w14:paraId="31CB5403">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H3c: There is a significant positive correlation between BD real-time insights and prediction capability and enterprise innovation performance.</w:t>
      </w:r>
    </w:p>
    <w:p w14:paraId="6062D16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 huge advantage in the information collection and processing of enterprises with BDC, which has a facilitating effect on enterprise OL, and scholars have researched the practice of applying BDC to OL, such as the study regarding the theorisation of interpretive challenges using BDC under the conditions of dynamic complexity by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{"citationID":"kdxxmxya","properties":{"formattedCitation":"(Calvard, 2016)","plainCitation":"(Calvard, 2016)","dontUpdate":true,"noteIndex":0},"citationItems":[{"id":"NEZ99iNq/QhTuhL3M","uris":["http://zotero.org/users/10703570/items/CH5L4I5H"],"itemData":{"id":5447,"type":"article-journal","container-title":"Management learning","ISSN":"1350-5076","issue":"1","journalAbbreviation":"Management learning","note":"publisher: SAGE Publications Sage UK: London, England","page":"65-82","title":"Big data, organizational learning, and sensemaking: Theorizing interpretive challenges under conditions of dynamic complexity","volume":"47","author":[{"family":"Calvard","given":"Thomas Stephen"}],"issued":{"date-parts":[["2016"]]}}}],"schema":"https://github.com/citation-style-language/schema/raw/master/csl-citation.json"}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Calvard (2016)</w:t>
      </w:r>
      <w:r>
        <w:rPr>
          <w:rFonts w:ascii="Times New Roman" w:hAnsi="Times New Roman" w:cs="Times New Roman"/>
          <w:sz w:val="24"/>
          <w:szCs w:val="24"/>
        </w:rPr>
        <w:fldChar w:fldCharType="end"/>
      </w:r>
      <w:r>
        <w:rPr>
          <w:rFonts w:ascii="Times New Roman" w:hAnsi="Times New Roman" w:cs="Times New Roman"/>
          <w:sz w:val="24"/>
          <w:szCs w:val="24"/>
        </w:rPr>
        <w:t xml:space="preserve">, the investigation of the mediating role of OL on BDA and firm performance by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{"citationID":"sNWtJcPj","properties":{"formattedCitation":"(Garmaki, Gharib and Boughzala, 2023)","plainCitation":"(Garmaki, Gharib and Boughzala, 2023)","dontUpdate":true,"noteIndex":0},"citationItems":[{"id":"NEZ99iNq/3egwD3dH","uris":["http://zotero.org/users/10703570/items/NWS3XSIA"],"itemData":{"id":5448,"type":"article-journal","container-title":"Journal of Enterprise Information Management","ISSN":"1741-0398","issue":"5","journalAbbreviation":"Journal of Enterprise Information Management","note":"publisher: Emerald Publishing Limited","page":"1161-1184","title":"Big data analytics capability and contribution to firm performance: the mediating effect of organizational learning on firm performance","volume":"36","author":[{"family":"Garmaki","given":"Mahda"},{"family":"Gharib","given":"Rebwar Kamal"},{"family":"Boughzala","given":"Imed"}],"issued":{"date-parts":[["2023"]]}}}],"schema":"https://github.com/citation-style-language/schema/raw/master/csl-citation.json"}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Garmaki, Gharib and Boughzala (2023)</w:t>
      </w:r>
      <w:r>
        <w:rPr>
          <w:rFonts w:ascii="Times New Roman" w:hAnsi="Times New Roman" w:cs="Times New Roman"/>
          <w:sz w:val="24"/>
          <w:szCs w:val="24"/>
        </w:rPr>
        <w:fldChar w:fldCharType="end"/>
      </w:r>
      <w:r>
        <w:rPr>
          <w:rFonts w:ascii="Times New Roman" w:hAnsi="Times New Roman" w:cs="Times New Roman"/>
          <w:sz w:val="24"/>
          <w:szCs w:val="24"/>
        </w:rPr>
        <w:t xml:space="preserve">, etc. The RBT also holds that both knowledge and capability are heterogeneous resources, and they are generated by continuous OL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{"citationID":"6ZjRF07X","properties":{"formattedCitation":"(Dubey {\\i{}et al.}, 2019; Shan {\\i{}et al.}, 2019a; Kamboj and Rana, 2023)","plainCitation":"(Dubey et al., 2019; Shan et al., 2019a; Kamboj and Rana, 2023)","noteIndex":0},"citationItems":[{"id":"NEZ99iNq/b6GHRUDy","uris":["http://zotero.org/users/10703570/items/K3PI6A9B"],"itemData":{"id":5449,"type":"article-journal","container-title":"British Journal of Management","ISSN":"1045-3172","issue":"2","journalAbbreviation":"British Journal of Management","note":"publisher: Wiley Online Library","page":"341-361","title":"Big data and predictive analytics and manufacturing performance: integrating institutional theory, resource‐based view and big data culture","volume":"30","author":[{"family":"Dubey","given":"Rameshwar"},{"family":"Gunasekaran","given":"Angappa"},{"family":"Childe","given":"Stephen J"},{"family":"Blome","given":"Constantin"},{"family":"Papadopoulos","given":"Thanos"}],"issued":{"date-parts":[["2019"]]}}},{"id":"NEZ99iNq/lFfWOpaY","uris":["http://zotero.org/users/10703570/items/9R4D6KYB"],"itemData":{"id":5452,"type":"article-journal","container-title":"Technology Analysis &amp; Strategic Management","ISSN":"0953-7325","issue":"4","journalAbbreviation":"Technology Analysis &amp; Strategic Management","note":"publisher: Taylor &amp; Francis","page":"406-420","title":"Big data analysis adaptation and enterprises’ competitive advantages: the perspective of dynamic capability and resource-based theories","volume":"31","author":[{"family":"Shan","given":"Siqing"},{"family":"Luo","given":"Yiting"},{"family":"Zhou","given":"Yuan"},{"family":"Wei","given":"Yigang"}],"issued":{"date-parts":[["2019"]]}}},{"id":"NEZ99iNq/n1hatG3y","uris":["http://zotero.org/users/10703570/items/EKUI9IQS"],"itemData":{"id":5450,"type":"article-journal","container-title":"The TQM Journal","ISSN":"1754-2731","issue":"1","journalAbbreviation":"The TQM Journal","note":"publisher: Emerald Publishing Limited","page":"5-23","title":"Big data-driven supply chain and performance: a resource-based view","volume":"35","author":[{"family":"Kamboj","given":"Shampy"},{"family":"Rana","given":"Shruti"}],"issued":{"date-parts":[["2023"]]}}}],"schema":"https://github.com/citation-style-language/schema/raw/master/csl-citation.json"}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(Dubey </w:t>
      </w:r>
      <w:r>
        <w:rPr>
          <w:rFonts w:ascii="Times New Roman" w:hAnsi="Times New Roman" w:cs="Times New Roman"/>
          <w:i/>
          <w:iCs/>
          <w:sz w:val="24"/>
          <w:szCs w:val="24"/>
        </w:rPr>
        <w:t>et al.</w:t>
      </w:r>
      <w:r>
        <w:rPr>
          <w:rFonts w:ascii="Times New Roman" w:hAnsi="Times New Roman" w:cs="Times New Roman"/>
          <w:sz w:val="24"/>
          <w:szCs w:val="24"/>
        </w:rPr>
        <w:t xml:space="preserve">, 2019; Shan </w:t>
      </w:r>
      <w:r>
        <w:rPr>
          <w:rFonts w:ascii="Times New Roman" w:hAnsi="Times New Roman" w:cs="Times New Roman"/>
          <w:i/>
          <w:iCs/>
          <w:sz w:val="24"/>
          <w:szCs w:val="24"/>
        </w:rPr>
        <w:t>et al.</w:t>
      </w:r>
      <w:r>
        <w:rPr>
          <w:rFonts w:ascii="Times New Roman" w:hAnsi="Times New Roman" w:cs="Times New Roman"/>
          <w:sz w:val="24"/>
          <w:szCs w:val="24"/>
        </w:rPr>
        <w:t>, 2019a; Kamboj and Rana, 2023)</w:t>
      </w:r>
      <w:r>
        <w:rPr>
          <w:rFonts w:ascii="Times New Roman" w:hAnsi="Times New Roman" w:cs="Times New Roman"/>
          <w:sz w:val="24"/>
          <w:szCs w:val="24"/>
        </w:rPr>
        <w:fldChar w:fldCharType="end"/>
      </w:r>
      <w:r>
        <w:rPr>
          <w:rFonts w:ascii="Times New Roman" w:hAnsi="Times New Roman" w:cs="Times New Roman"/>
          <w:sz w:val="24"/>
          <w:szCs w:val="24"/>
        </w:rPr>
        <w:t xml:space="preserve">. Many scholars study the mediating role of OL between IT capabilities and firm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{"citationID":"y5QQZlaw","properties":{"formattedCitation":"(Argyris and Sch\\uc0\\u246{}n, 1997)","plainCitation":"(Argyris and Schön, 1997)","dontUpdate":true,"noteIndex":0},"citationItems":[{"id":"NEZ99iNq/XZYV8lYw","uris":["http://zotero.org/users/10703570/items/SLWIN7EH"],"itemData":{"id":5437,"type":"article-journal","container-title":"Reis","ISSN":"0210-5233","issue":"77/78","journalAbbreviation":"Reis","note":"publisher: JSTOR","page":"345-348","title":"Organizational learning: A theory of action perspective","author":[{"family":"Argyris","given":"Ch"},{"family":"Schön","given":"Donald A"}],"issued":{"date-parts":[["1997"]]}}}],"schema":"https://github.com/citation-style-language/schema/raw/master/csl-citation.json"}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Argyris and Schön (1997)</w:t>
      </w:r>
      <w:r>
        <w:rPr>
          <w:rFonts w:ascii="Times New Roman" w:hAnsi="Times New Roman" w:cs="Times New Roman"/>
          <w:sz w:val="24"/>
          <w:szCs w:val="24"/>
        </w:rPr>
        <w:fldChar w:fldCharType="end"/>
      </w:r>
      <w:r>
        <w:rPr>
          <w:rFonts w:ascii="Times New Roman" w:hAnsi="Times New Roman" w:cs="Times New Roman"/>
          <w:sz w:val="24"/>
          <w:szCs w:val="24"/>
        </w:rPr>
        <w:t xml:space="preserve"> found that firms that value and actively engage in OL are more successful in their innovation activities compared to other firms. In the context of the BD era, organisations will be faced with an unprecedented amount of information. </w:t>
      </w:r>
    </w:p>
    <w:p w14:paraId="4A074B5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one hand, BDC provides companies with the ability to access, analyse and integrate large amounts of data, thus enabling them to rapidly gain knowledge about market changes, technological advances and customer needs. However, simply having this data and the ability to analyse it is not enough to directly improve innovation performance. Through OL, companies are able to transform this data into actionable knowledge that can be further internalised into core competencies. Through an effective OL process, organisations are able to extract valuable information from extensive multidimensional and even unstructured data and then apply it (through algorithm programs to support other functions such as modelling and prediction) to promptly into processes such as product development, process optimisation, and business model innovation, thereby improving an organisation's innovation performance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{"citationID":"ea29De8Q","properties":{"formattedCitation":"(Trabucchi and Buganza, 2019)","plainCitation":"(Trabucchi and Buganza, 2019)","noteIndex":0},"citationItems":[{"id":"NEZ99iNq/0tfb7otL","uris":["http://zotero.org/users/10703570/items/UVEDMD2I"],"itemData":{"id":"NEZ99iNq/0tfb7otL","type":"article-journal","container-title":"European Journal of Innovation Management","ISSN":"1460-1060","issue":"1","journalAbbreviation":"European Journal of Innovation Management","note":"publisher: Emerald Publishing Limited","page":"23-40","title":"Data-driven innovation: switching the perspective on Big Data","volume":"22","author":[{"family":"Trabucchi","given":"Daniel"},{"family":"Buganza","given":"Tommaso"}],"issued":{"date-parts":[["2019"]]}}}],"schema":"https://github.com/citation-style-language/schema/raw/master/csl-citation.json"}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(Trabucchi and Buganza, 2019)</w:t>
      </w:r>
      <w:r>
        <w:rPr>
          <w:rFonts w:ascii="Times New Roman" w:hAnsi="Times New Roman" w:cs="Times New Roman"/>
          <w:sz w:val="24"/>
          <w:szCs w:val="24"/>
        </w:rPr>
        <w:fldChar w:fldCharType="end"/>
      </w:r>
      <w:r>
        <w:rPr>
          <w:rFonts w:ascii="Times New Roman" w:hAnsi="Times New Roman" w:cs="Times New Roman"/>
          <w:sz w:val="24"/>
          <w:szCs w:val="24"/>
        </w:rPr>
        <w:t>.  OL also plays the role of helping companies to update and restructure their knowledge continuously, thus ensuring that the linkage between BDC and corporate innovation capabilities is maximised. The fierce market competition in the Chinese context requires companies to deploy continuous OL in order to transform insights provided by BD into BD insights and then into innovative practices. This continuous OL involves grasping market opportunities and optimising the allocation of innovation resources. Thus, OL serves as an intermediary that connects the development of an enterprise's BDC and the realisation of its innovation outcomes.</w:t>
      </w:r>
    </w:p>
    <w:p w14:paraId="14E2C91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On the other hand, OL can also play the role of helping organisations to share and exchange knowledge across departments on the basis of BDC, thus improving synergetic collaboration and then stimulating creativity and innovation potential based on more integrated information and seamless cooperation. Through the OL mechanism, enterprises can share the results of BD analyses among different business units and use these results to drive product innovation, service optimisation and process improvement. As a result, organisational learning not only improves the efficiency of utilising BDC but also enhances the overall innovation capability of the enterprise.</w:t>
      </w:r>
    </w:p>
    <w:p w14:paraId="5B49217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Therefore, OL plays a key intermediary role between BDC and innovation performance, bringing the full potential of </w:t>
      </w:r>
      <w:r>
        <w:rPr>
          <w:rFonts w:hint="eastAsia" w:ascii="Times New Roman" w:hAnsi="Times New Roman" w:cs="Times New Roman"/>
          <w:sz w:val="24"/>
          <w:szCs w:val="24"/>
        </w:rPr>
        <w:t>BDC</w:t>
      </w:r>
      <w:r>
        <w:rPr>
          <w:rFonts w:ascii="Times New Roman" w:hAnsi="Times New Roman" w:cs="Times New Roman"/>
          <w:sz w:val="24"/>
          <w:szCs w:val="24"/>
        </w:rPr>
        <w:t xml:space="preserve"> into play through the learning and knowledge transformation process. This process, in turn, enhances the enterprise's innovation performance. Therefore, this paper proposes the following hypotheses. </w:t>
      </w:r>
    </w:p>
    <w:p w14:paraId="1F95AF38">
      <w:pPr>
        <w:spacing w:before="120" w:after="240"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H4: OL mediates the relationship between BDC and innovation performance. </w:t>
      </w:r>
    </w:p>
    <w:p w14:paraId="4C6FBAC7">
      <w:pPr>
        <w:spacing w:before="120" w:after="240" w:line="360" w:lineRule="auto"/>
        <w:jc w:val="both"/>
        <w:rPr>
          <w:rFonts w:ascii="Times New Roman" w:hAnsi="Times New Roman" w:cs="Times New Roman"/>
          <w:i/>
          <w:iCs/>
          <w:sz w:val="24"/>
          <w:szCs w:val="24"/>
        </w:rPr>
      </w:pPr>
    </w:p>
    <w:p w14:paraId="755D5069">
      <w:pPr>
        <w:pStyle w:val="3"/>
        <w:spacing w:after="240" w:line="360" w:lineRule="auto"/>
        <w:jc w:val="both"/>
        <w:rPr>
          <w:rFonts w:ascii="Times New Roman" w:hAnsi="Times New Roman" w:cs="Times New Roman"/>
          <w:color w:val="auto"/>
        </w:rPr>
      </w:pPr>
      <w:bookmarkStart w:id="24" w:name="_Toc178258264"/>
      <w:r>
        <w:rPr>
          <w:rFonts w:ascii="Times New Roman" w:hAnsi="Times New Roman" w:cs="Times New Roman"/>
          <w:color w:val="auto"/>
        </w:rPr>
        <w:t>2.</w:t>
      </w:r>
      <w:r>
        <w:rPr>
          <w:rFonts w:hint="eastAsia" w:ascii="Times New Roman" w:hAnsi="Times New Roman" w:cs="Times New Roman"/>
          <w:color w:val="auto"/>
        </w:rPr>
        <w:t>4</w:t>
      </w:r>
      <w:r>
        <w:rPr>
          <w:rFonts w:ascii="Times New Roman" w:hAnsi="Times New Roman" w:cs="Times New Roman"/>
          <w:color w:val="auto"/>
        </w:rPr>
        <w:t xml:space="preserve"> Summary of Literature Review</w:t>
      </w:r>
      <w:bookmarkEnd w:id="24"/>
      <w:r>
        <w:rPr>
          <w:rFonts w:ascii="Times New Roman" w:hAnsi="Times New Roman" w:cs="Times New Roman"/>
          <w:color w:val="auto"/>
        </w:rPr>
        <w:t xml:space="preserve"> </w:t>
      </w:r>
    </w:p>
    <w:p w14:paraId="17E2D07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summary, in reviewing the literature, this study focuses on the conceptualisation, dimensional classification and impact of BDC on business performance, including financial performance and innovation performance. First, from the perspectives of RBT, DCT and OLT, BDC is not only reflected in the ability of enterprises to collect, integrate, analyse and predict insights from data but also emphasises the ability of enterprises to dynamically adjust and integrate resources with the aim of continuously promoting performance growth by enhancing their competitive advantage. Second, by analysing existing research, the literature reveals a three-dimensional division of BDC under different theoretical frameworks, namely resource integration capabilities, in-depth analysis capabilities, and real-time insight and prediction capabilities. Based on these studies, this research proposes several hypotheses to explore how BDC affects the financial and innovative performance of enterprises through these dimensions.</w:t>
      </w:r>
    </w:p>
    <w:p w14:paraId="73645D0A">
      <w:pPr>
        <w:spacing w:before="120" w:after="240" w:line="360" w:lineRule="auto"/>
        <w:jc w:val="both"/>
        <w:rPr>
          <w:rFonts w:ascii="Times New Roman" w:hAnsi="Times New Roman" w:cs="Times New Roman"/>
          <w:sz w:val="20"/>
          <w:szCs w:val="20"/>
        </w:rPr>
      </w:pPr>
      <w:r>
        <w:rPr>
          <w:rFonts w:ascii="Times New Roman" w:hAnsi="Times New Roman" w:cs="Times New Roman"/>
          <w:sz w:val="20"/>
          <w:szCs w:val="20"/>
        </w:rPr>
        <w:drawing>
          <wp:inline distT="0" distB="0" distL="0" distR="0">
            <wp:extent cx="5593715" cy="2157095"/>
            <wp:effectExtent l="0" t="0" r="6985" b="0"/>
            <wp:docPr id="28004389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043893" name="图片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610817" cy="2164107"/>
                    </a:xfrm>
                    <a:prstGeom prst="rect">
                      <a:avLst/>
                    </a:prstGeom>
                    <a:noFill/>
                  </pic:spPr>
                </pic:pic>
              </a:graphicData>
            </a:graphic>
          </wp:inline>
        </w:drawing>
      </w:r>
    </w:p>
    <w:p w14:paraId="6C52337A">
      <w:pPr>
        <w:spacing w:before="120" w:after="240" w:line="360" w:lineRule="auto"/>
        <w:jc w:val="both"/>
        <w:rPr>
          <w:rFonts w:ascii="Times New Roman" w:hAnsi="Times New Roman" w:cs="Times New Roman"/>
          <w:sz w:val="20"/>
          <w:szCs w:val="20"/>
        </w:rPr>
      </w:pPr>
      <w:r>
        <w:rPr>
          <w:rFonts w:ascii="Times New Roman" w:hAnsi="Times New Roman" w:cs="Times New Roman"/>
          <w:sz w:val="20"/>
          <w:szCs w:val="20"/>
        </w:rPr>
        <w:t xml:space="preserve">Figure 2-1: Conceptual Framework </w:t>
      </w:r>
    </w:p>
    <w:p w14:paraId="288DD06C">
      <w:pPr>
        <w:spacing w:before="120" w:after="240" w:line="360" w:lineRule="auto"/>
        <w:jc w:val="both"/>
        <w:rPr>
          <w:rFonts w:ascii="Times New Roman" w:hAnsi="Times New Roman" w:cs="Times New Roman"/>
          <w:sz w:val="20"/>
          <w:szCs w:val="20"/>
        </w:rPr>
      </w:pPr>
      <w:r>
        <w:rPr>
          <w:rFonts w:ascii="Times New Roman" w:hAnsi="Times New Roman" w:cs="Times New Roman"/>
          <w:sz w:val="20"/>
          <w:szCs w:val="20"/>
        </w:rPr>
        <w:t xml:space="preserve">Source: own generation based on literature review and synthesis </w:t>
      </w:r>
    </w:p>
    <w:p w14:paraId="638197DF">
      <w:pPr>
        <w:spacing w:before="120" w:after="240" w:line="360" w:lineRule="auto"/>
        <w:jc w:val="both"/>
        <w:rPr>
          <w:rFonts w:ascii="Times New Roman" w:hAnsi="Times New Roman" w:cs="Times New Roman" w:eastAsiaTheme="majorEastAsia"/>
          <w:sz w:val="36"/>
          <w:szCs w:val="36"/>
        </w:rPr>
      </w:pPr>
      <w:r>
        <w:rPr>
          <w:rFonts w:ascii="Times New Roman" w:hAnsi="Times New Roman" w:cs="Times New Roman"/>
          <w:sz w:val="24"/>
          <w:szCs w:val="24"/>
        </w:rPr>
        <w:t>However, although existing research has extensively explored the mechanism of BDC's effect on enterprise performance, there are still several obvious gaps in the research. First, most of the current literature focuses on the analytical capabilities of BDC, and there is a lack of in-depth discussion on its synergy with other organisational capabilities, especially the role of non-analytical capabilities in the strategic decision-making process has not been fully studied. Second, although some studies have shown that BDC can improve an enterprise's innovation performance, the specific mechanism of how BDC further promotes enterprise innovation through OL ability has not been thoroughly explored. Finally, existing studies are mainly based on empirical analysis of a single industry or region, and the generalisability and applicability of the impact of BDC in different contexts (such as enterprises of different sizes or industries) still need to be further verified and expanded. This study can fill in the gaps in research by expanding the multi-dimensional understanding of BDC and transcending the traditional framework of analytical capabilities. It also reveals the mechanism by which BDC promotes different business performances through OL.</w:t>
      </w:r>
      <w:r>
        <w:rPr>
          <w:rFonts w:ascii="Times New Roman" w:hAnsi="Times New Roman" w:cs="Times New Roman"/>
        </w:rPr>
        <w:br w:type="page"/>
      </w:r>
    </w:p>
    <w:p w14:paraId="7DAC41A4">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25" w:name="_Toc178258265"/>
      <w:r>
        <w:rPr>
          <w:rFonts w:ascii="Times New Roman" w:hAnsi="Times New Roman" w:cs="Times New Roman"/>
          <w:color w:val="000000"/>
          <w14:textFill>
            <w14:solidFill>
              <w14:srgbClr w14:val="000000">
                <w14:lumMod w14:val="85000"/>
                <w14:lumOff w14:val="15000"/>
              </w14:srgbClr>
            </w14:solidFill>
          </w14:textFill>
        </w:rPr>
        <w:t>Chapter Three: Methodology</w:t>
      </w:r>
      <w:bookmarkEnd w:id="25"/>
    </w:p>
    <w:p w14:paraId="545F258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{"citationID":"8k5aINXW","properties":{"formattedCitation":"(Saunders, Lewis and Thornhill, 2009)","plainCitation":"(Saunders, Lewis and Thornhill, 2009)","dontUpdate":true,"noteIndex":0},"citationItems":[{"id":6554,"uris":["http://zotero.org/users/10703570/items/RYGFXZZT"],"itemData":{"id":6554,"type":"book","ISBN":"0-273-71686-7","publisher":"Pearson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eastAsia="等线" w:cs="Times New Roman"/>
          <w:sz w:val="24"/>
          <w:szCs w:val="24"/>
        </w:rPr>
        <w:t>Saunders, Lewis and Thornhill (2009)</w:t>
      </w:r>
      <w:r>
        <w:rPr>
          <w:rFonts w:ascii="Times New Roman" w:hAnsi="Times New Roman" w:cs="Times New Roman"/>
          <w:sz w:val="24"/>
          <w:szCs w:val="24"/>
        </w:rPr>
        <w:fldChar w:fldCharType="end"/>
      </w:r>
      <w:r>
        <w:rPr>
          <w:rFonts w:ascii="Times New Roman" w:hAnsi="Times New Roman" w:cs="Times New Roman"/>
          <w:sz w:val="24"/>
          <w:szCs w:val="24"/>
        </w:rPr>
        <w:t xml:space="preserve"> introduce the research onion to visually depict the layered consideration involved in the determination of techniques for data collection and data analysis, which is perceived by them as the centre of the research onion (as shown in the Appendix, Figure 3-1). Issues underlying the choice of data collection and analysis technique start with the discussion of the research philosophy, the research approach, the research strategy, the research choice, time horizons, and then data collection and analysis techniques and procedures. The chapter follows the logic involved in the research onion by systematically addressing each layer of the research onion from the outer to the inner, ensuring a clear and logical progression of the research design. Aside from adhering to the research onion framework, the chapter also reflects on the possible research concerns throughout the research to uphold academic integrity and reflects on the research quality issues (measured by validity, reliability and generalizability) to inform future studies. </w:t>
      </w:r>
    </w:p>
    <w:p w14:paraId="61300DCD">
      <w:pPr>
        <w:spacing w:before="120" w:after="240" w:line="360" w:lineRule="auto"/>
        <w:jc w:val="both"/>
        <w:rPr>
          <w:rFonts w:ascii="Times New Roman" w:hAnsi="Times New Roman" w:cs="Times New Roman"/>
          <w:sz w:val="20"/>
          <w:szCs w:val="20"/>
        </w:rPr>
      </w:pPr>
      <w:r>
        <w:rPr>
          <w:rFonts w:ascii="Times New Roman" w:hAnsi="Times New Roman" w:cs="Times New Roman"/>
          <w:sz w:val="20"/>
          <w:szCs w:val="20"/>
        </w:rPr>
        <w:drawing>
          <wp:inline distT="0" distB="0" distL="0" distR="0">
            <wp:extent cx="5613400" cy="3689350"/>
            <wp:effectExtent l="0" t="0" r="6350" b="6350"/>
            <wp:docPr id="16214413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441386" name="图片 1"/>
                    <pic:cNvPicPr>
                      <a:picLocks noChangeAspect="1"/>
                    </pic:cNvPicPr>
                  </pic:nvPicPr>
                  <pic:blipFill>
                    <a:blip r:embed="rId12"/>
                    <a:stretch>
                      <a:fillRect/>
                    </a:stretch>
                  </pic:blipFill>
                  <pic:spPr>
                    <a:xfrm>
                      <a:off x="0" y="0"/>
                      <a:ext cx="5617473" cy="3692203"/>
                    </a:xfrm>
                    <a:prstGeom prst="rect">
                      <a:avLst/>
                    </a:prstGeom>
                  </pic:spPr>
                </pic:pic>
              </a:graphicData>
            </a:graphic>
          </wp:inline>
        </w:drawing>
      </w:r>
    </w:p>
    <w:p w14:paraId="0B8E562E">
      <w:pPr>
        <w:spacing w:before="120" w:after="240" w:line="360" w:lineRule="auto"/>
        <w:jc w:val="both"/>
        <w:rPr>
          <w:rFonts w:ascii="Times New Roman" w:hAnsi="Times New Roman" w:cs="Times New Roman"/>
          <w:sz w:val="20"/>
          <w:szCs w:val="20"/>
        </w:rPr>
      </w:pPr>
      <w:r>
        <w:rPr>
          <w:rFonts w:ascii="Times New Roman" w:hAnsi="Times New Roman" w:cs="Times New Roman"/>
          <w:sz w:val="20"/>
          <w:szCs w:val="20"/>
        </w:rPr>
        <w:t>Figure 3-1: Research Onion</w:t>
      </w:r>
    </w:p>
    <w:p w14:paraId="6E8CDAFB">
      <w:pPr>
        <w:spacing w:before="120" w:after="240" w:line="360" w:lineRule="auto"/>
        <w:jc w:val="both"/>
        <w:rPr>
          <w:rFonts w:ascii="Times New Roman" w:hAnsi="Times New Roman" w:cs="Times New Roman"/>
          <w:sz w:val="20"/>
          <w:szCs w:val="20"/>
        </w:rPr>
      </w:pPr>
      <w:r>
        <w:rPr>
          <w:rFonts w:ascii="Times New Roman" w:hAnsi="Times New Roman" w:cs="Times New Roman"/>
          <w:sz w:val="20"/>
          <w:szCs w:val="20"/>
        </w:rPr>
        <w:t xml:space="preserve">Source: </w:t>
      </w:r>
      <w:r>
        <w:rPr>
          <w:rFonts w:ascii="Times New Roman" w:hAnsi="Times New Roman" w:cs="Times New Roman"/>
          <w:sz w:val="20"/>
          <w:szCs w:val="20"/>
        </w:rPr>
        <w:fldChar w:fldCharType="begin"/>
      </w:r>
      <w:r>
        <w:rPr>
          <w:rFonts w:ascii="Times New Roman" w:hAnsi="Times New Roman" w:cs="Times New Roman"/>
          <w:sz w:val="20"/>
          <w:szCs w:val="20"/>
        </w:rPr>
        <w:instrText xml:space="preserve"> ADDIN ZOTERO_ITEM CSL_CITATION {"citationID":"QVUS8b5D","properties":{"formattedCitation":"(Saunders, Lewis and Thornhill, 2009)","plainCitation":"(Saunders, Lewis and Thornhill, 2009)","noteIndex":0},"citationItems":[{"id":6554,"uris":["http://zotero.org/users/10703570/items/RYGFXZZT"],"itemData":{"id":6554,"type":"book","ISBN":"0-273-71686-7","publisher":"Pearson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ascii="Times New Roman" w:hAnsi="Times New Roman" w:cs="Times New Roman"/>
          <w:sz w:val="20"/>
          <w:szCs w:val="20"/>
        </w:rPr>
        <w:fldChar w:fldCharType="separate"/>
      </w:r>
      <w:r>
        <w:rPr>
          <w:rFonts w:ascii="Times New Roman" w:hAnsi="Times New Roman" w:eastAsia="等线" w:cs="Times New Roman"/>
          <w:sz w:val="20"/>
          <w:szCs w:val="20"/>
        </w:rPr>
        <w:t>(Saunders, Lewis and Thornhill, 2009)</w:t>
      </w:r>
      <w:r>
        <w:rPr>
          <w:rFonts w:ascii="Times New Roman" w:hAnsi="Times New Roman" w:cs="Times New Roman"/>
          <w:sz w:val="20"/>
          <w:szCs w:val="20"/>
        </w:rPr>
        <w:fldChar w:fldCharType="end"/>
      </w:r>
    </w:p>
    <w:p w14:paraId="2CB9B8D6">
      <w:pPr>
        <w:spacing w:before="120" w:after="240" w:line="360" w:lineRule="auto"/>
        <w:jc w:val="both"/>
        <w:rPr>
          <w:rFonts w:ascii="Times New Roman" w:hAnsi="Times New Roman" w:cs="Times New Roman"/>
          <w:sz w:val="20"/>
          <w:szCs w:val="20"/>
        </w:rPr>
      </w:pPr>
    </w:p>
    <w:p w14:paraId="6BF4A1B6">
      <w:pPr>
        <w:pStyle w:val="3"/>
        <w:spacing w:after="240" w:line="360" w:lineRule="auto"/>
        <w:jc w:val="both"/>
        <w:rPr>
          <w:rFonts w:ascii="Times New Roman" w:hAnsi="Times New Roman" w:cs="Times New Roman"/>
          <w:color w:val="auto"/>
        </w:rPr>
      </w:pPr>
      <w:bookmarkStart w:id="26" w:name="_Toc178258266"/>
      <w:r>
        <w:rPr>
          <w:rFonts w:ascii="Times New Roman" w:hAnsi="Times New Roman" w:cs="Times New Roman"/>
          <w:color w:val="auto"/>
        </w:rPr>
        <w:t>3.1 Research Philosophy</w:t>
      </w:r>
      <w:bookmarkEnd w:id="26"/>
      <w:r>
        <w:rPr>
          <w:rFonts w:ascii="Times New Roman" w:hAnsi="Times New Roman" w:cs="Times New Roman"/>
          <w:color w:val="auto"/>
        </w:rPr>
        <w:t xml:space="preserve"> </w:t>
      </w:r>
    </w:p>
    <w:p w14:paraId="22ECB742">
      <w:pPr>
        <w:pStyle w:val="19"/>
        <w:spacing w:before="120" w:beforeAutospacing="0" w:after="240" w:afterAutospacing="0" w:line="360" w:lineRule="auto"/>
        <w:jc w:val="both"/>
        <w:rPr>
          <w:rFonts w:eastAsiaTheme="minorEastAsia"/>
        </w:rPr>
      </w:pPr>
      <w:r>
        <w:rPr>
          <w:rFonts w:eastAsiaTheme="minorEastAsia"/>
        </w:rPr>
        <w:t xml:space="preserve">Research philosophy refers to the researcher's basic beliefs and assumptions about reality, knowledge and the way it is acquired </w:t>
      </w:r>
      <w:r>
        <w:rPr>
          <w:rFonts w:eastAsiaTheme="minorEastAsia"/>
        </w:rPr>
        <w:fldChar w:fldCharType="begin"/>
      </w:r>
      <w:r>
        <w:rPr>
          <w:rFonts w:eastAsiaTheme="minorEastAsia"/>
        </w:rPr>
        <w:instrText xml:space="preserve"> ADDIN ZOTERO_ITEM CSL_CITATION {"citationID":"CfJu52FR","properties":{"formattedCitation":"(Saunders, Lewis and Thornhill, 2009)","plainCitation":"(Saunders, Lewis and Thornhill, 2009)","noteIndex":0},"citationItems":[{"id":6554,"uris":["http://zotero.org/users/10703570/items/RYGFXZZT"],"itemData":{"id":6554,"type":"book","ISBN":"0-273-71686-7","publisher":"Pearson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eastAsiaTheme="minorEastAsia"/>
        </w:rPr>
        <w:fldChar w:fldCharType="separate"/>
      </w:r>
      <w:r>
        <w:rPr>
          <w:rFonts w:eastAsiaTheme="minorEastAsia"/>
        </w:rPr>
        <w:t>(Saunders, Lewis and Thornhill, 2009)</w:t>
      </w:r>
      <w:r>
        <w:rPr>
          <w:rFonts w:eastAsiaTheme="minorEastAsia"/>
        </w:rPr>
        <w:fldChar w:fldCharType="end"/>
      </w:r>
      <w:r>
        <w:rPr>
          <w:rFonts w:eastAsiaTheme="minorEastAsia"/>
        </w:rPr>
        <w:t xml:space="preserve">. This philosophical stance determination influences how the researcher understands the research topic, designs the research method and interprets the research results (Ibid). Research philosophy mainly explores the nature of and existence of reality (ontological assumption), the nature and source of knowledge (epistemological assumption), and the methodological tool and techniques used in the research process (methodological assumption) </w:t>
      </w:r>
      <w:r>
        <w:rPr>
          <w:rFonts w:eastAsiaTheme="minorEastAsia"/>
        </w:rPr>
        <w:fldChar w:fldCharType="begin"/>
      </w:r>
      <w:r>
        <w:rPr>
          <w:rFonts w:eastAsiaTheme="minorEastAsia"/>
        </w:rPr>
        <w:instrText xml:space="preserve"> ADDIN ZOTERO_ITEM CSL_CITATION {"citationID":"jc0C67XX","properties":{"formattedCitation":"(Carr, 2007; Edson, Henning and Sankaran, 2016)","plainCitation":"(Carr, 2007; Edson, Henning and Sankaran, 2016)","noteIndex":0},"citationItems":[{"id":6555,"uris":["http://zotero.org/users/10703570/items/GV546BV7"],"itemData":{"id":6555,"type":"chapter","container-title":"The quality of practitioner research","ISBN":"90-8790-319-7","page":"29-42","publisher":"Brill","title":"Philosophy, methodology and action research","author":[{"family":"Carr","given":"Wilfred"}],"issued":{"date-parts":[["2007"]]}}},{"id":6556,"uris":["http://zotero.org/users/10703570/items/663VHNZS"],"itemData":{"id":6556,"type":"book","ISBN":"981-10-0263-0","publisher":"Springer","title":"A guide to systems research: Philosophy, processes and practice","volume":"10","author":[{"family":"Edson","given":"Mary C"},{"family":"Henning","given":"Pamela Buckle"},{"family":"Sankaran","given":"Shankar"}],"issued":{"date-parts":[["2016"]]}}}],"schema":"https://github.com/citation-style-language/schema/raw/master/csl-citation.json"} </w:instrText>
      </w:r>
      <w:r>
        <w:rPr>
          <w:rFonts w:eastAsiaTheme="minorEastAsia"/>
        </w:rPr>
        <w:fldChar w:fldCharType="separate"/>
      </w:r>
      <w:r>
        <w:rPr>
          <w:rFonts w:eastAsiaTheme="minorEastAsia"/>
        </w:rPr>
        <w:t>(Carr, 2007; Edson, Henning and Sankaran, 2016)</w:t>
      </w:r>
      <w:r>
        <w:rPr>
          <w:rFonts w:eastAsiaTheme="minorEastAsia"/>
        </w:rPr>
        <w:fldChar w:fldCharType="end"/>
      </w:r>
      <w:r>
        <w:rPr>
          <w:rFonts w:eastAsiaTheme="minorEastAsia"/>
        </w:rPr>
        <w:t xml:space="preserve">. By choosing different research philosophies, researchers clarify their understanding of research questions and provide a theoretical basis for their research methods and analysis. Based on the differences in the ontological assumption, the epistemological assumption and the methodological assumption, </w:t>
      </w:r>
      <w:r>
        <w:rPr>
          <w:rFonts w:eastAsiaTheme="minorEastAsia"/>
        </w:rPr>
        <w:fldChar w:fldCharType="begin"/>
      </w:r>
      <w:r>
        <w:rPr>
          <w:rFonts w:eastAsiaTheme="minorEastAsia"/>
        </w:rPr>
        <w:instrText xml:space="preserve"> ADDIN ZOTERO_ITEM CSL_CITATION {"citationID":"xGz75Ueh","properties":{"formattedCitation":"(Saunders, Lewis and Thornhill, 2009)","plainCitation":"(Saunders, Lewis and Thornhill, 2009)","dontUpdate":true,"noteIndex":0},"citationItems":[{"id":6554,"uris":["http://zotero.org/users/10703570/items/RYGFXZZT"],"itemData":{"id":6554,"type":"book","ISBN":"0-273-71686-7","publisher":"Pearson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eastAsiaTheme="minorEastAsia"/>
        </w:rPr>
        <w:fldChar w:fldCharType="separate"/>
      </w:r>
      <w:r>
        <w:rPr>
          <w:rFonts w:eastAsiaTheme="minorEastAsia"/>
        </w:rPr>
        <w:t>Saunders, Lewis and Thornhill (2009)</w:t>
      </w:r>
      <w:r>
        <w:rPr>
          <w:rFonts w:eastAsiaTheme="minorEastAsia"/>
        </w:rPr>
        <w:fldChar w:fldCharType="end"/>
      </w:r>
      <w:r>
        <w:rPr>
          <w:rFonts w:eastAsiaTheme="minorEastAsia"/>
        </w:rPr>
        <w:t xml:space="preserve"> synthesise five distinct philosophical underpinnings, including positivism, critical realism, interpretivism, post-modernism, and pragmatism. The present study is based on the positivist stance. </w:t>
      </w:r>
    </w:p>
    <w:p w14:paraId="6E3F276E">
      <w:pPr>
        <w:pStyle w:val="19"/>
        <w:spacing w:before="120" w:beforeAutospacing="0" w:after="240" w:afterAutospacing="0" w:line="360" w:lineRule="auto"/>
        <w:jc w:val="both"/>
        <w:rPr>
          <w:rFonts w:eastAsiaTheme="minorEastAsia"/>
        </w:rPr>
      </w:pPr>
      <w:r>
        <w:rPr>
          <w:rFonts w:eastAsiaTheme="minorEastAsia"/>
        </w:rPr>
        <w:t xml:space="preserve">Positivism holds the idea that reality has inherent and fixed laws that can be generalised and repeated </w:t>
      </w:r>
      <w:r>
        <w:rPr>
          <w:rFonts w:eastAsiaTheme="minorEastAsia"/>
        </w:rPr>
        <w:fldChar w:fldCharType="begin"/>
      </w:r>
      <w:r>
        <w:rPr>
          <w:rFonts w:eastAsiaTheme="minorEastAsia"/>
        </w:rPr>
        <w:instrText xml:space="preserve"> ADDIN ZOTERO_ITEM CSL_CITATION {"citationID":"8jjMgl30","properties":{"formattedCitation":"(Comte and Bridges, 2015)","plainCitation":"(Comte and Bridges, 2015)","noteIndex":0},"citationItems":[{"id":6557,"uris":["http://zotero.org/users/10703570/items/EHFWHAGL"],"itemData":{"id":6557,"type":"book","ISBN":"1-315-64578-5","publisher":"Routledge","title":"A general view of positivism","author":[{"family":"Comte","given":"Auguste"},{"family":"Bridges","given":"John Henry"}],"issued":{"date-parts":[["2015"]]}}}],"schema":"https://github.com/citation-style-language/schema/raw/master/csl-citation.json"} </w:instrText>
      </w:r>
      <w:r>
        <w:rPr>
          <w:rFonts w:eastAsiaTheme="minorEastAsia"/>
        </w:rPr>
        <w:fldChar w:fldCharType="separate"/>
      </w:r>
      <w:r>
        <w:rPr>
          <w:rFonts w:eastAsiaTheme="minorEastAsia"/>
        </w:rPr>
        <w:t>(Comte and Bridges, 2015)</w:t>
      </w:r>
      <w:r>
        <w:rPr>
          <w:rFonts w:eastAsiaTheme="minorEastAsia"/>
        </w:rPr>
        <w:fldChar w:fldCharType="end"/>
      </w:r>
      <w:r>
        <w:rPr>
          <w:rFonts w:eastAsiaTheme="minorEastAsia"/>
        </w:rPr>
        <w:t xml:space="preserve">. As such, this specific stance defines knowledge as propositions that relate to abstract concepts and shed light on the cause-effect relationships of social constructs </w:t>
      </w:r>
      <w:r>
        <w:rPr>
          <w:rFonts w:eastAsiaTheme="minorEastAsia"/>
        </w:rPr>
        <w:fldChar w:fldCharType="begin"/>
      </w:r>
      <w:r>
        <w:rPr>
          <w:rFonts w:eastAsiaTheme="minorEastAsia"/>
        </w:rPr>
        <w:instrText xml:space="preserve"> ADDIN ZOTERO_ITEM CSL_CITATION {"citationID":"KNTJX8r7","properties":{"formattedCitation":"(Bryman, 2016)","plainCitation":"(Bryman, 2016)","noteIndex":0},"citationItems":[{"id":6558,"uris":["http://zotero.org/users/10703570/items/4DYZDQZH"],"itemData":{"id":6558,"type":"book","ISBN":"0-19-968945-8","publisher":"Oxford University Press","title":"Social research methods","author":[{"family":"Bryman","given":"Alan"}],"issued":{"date-parts":[["2016"]]}}}],"schema":"https://github.com/citation-style-language/schema/raw/master/csl-citation.json"} </w:instrText>
      </w:r>
      <w:r>
        <w:rPr>
          <w:rFonts w:eastAsiaTheme="minorEastAsia"/>
        </w:rPr>
        <w:fldChar w:fldCharType="separate"/>
      </w:r>
      <w:r>
        <w:rPr>
          <w:rFonts w:eastAsiaTheme="minorEastAsia"/>
        </w:rPr>
        <w:t>(Bryman, 2016)</w:t>
      </w:r>
      <w:r>
        <w:rPr>
          <w:rFonts w:eastAsiaTheme="minorEastAsia"/>
        </w:rPr>
        <w:fldChar w:fldCharType="end"/>
      </w:r>
      <w:r>
        <w:rPr>
          <w:rFonts w:eastAsiaTheme="minorEastAsia"/>
        </w:rPr>
        <w:t xml:space="preserve">. Epistemologically, positivism maintains that empirical theories must be tested through experience </w:t>
      </w:r>
      <w:r>
        <w:rPr>
          <w:rFonts w:eastAsiaTheme="minorEastAsia"/>
        </w:rPr>
        <w:fldChar w:fldCharType="begin"/>
      </w:r>
      <w:r>
        <w:rPr>
          <w:rFonts w:eastAsiaTheme="minorEastAsia"/>
        </w:rPr>
        <w:instrText xml:space="preserve"> ADDIN ZOTERO_ITEM CSL_CITATION {"citationID":"Obn4dw3F","properties":{"formattedCitation":"(Saunders, Lewis and Thornhill, 2009)","plainCitation":"(Saunders, Lewis and Thornhill, 2009)","noteIndex":0},"citationItems":[{"id":6554,"uris":["http://zotero.org/users/10703570/items/RYGFXZZT"],"itemData":{"id":6554,"type":"book","ISBN":"0-273-71686-7","publisher":"Pearson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eastAsiaTheme="minorEastAsia"/>
        </w:rPr>
        <w:fldChar w:fldCharType="separate"/>
      </w:r>
      <w:r>
        <w:rPr>
          <w:rFonts w:eastAsiaTheme="minorEastAsia"/>
        </w:rPr>
        <w:t>(Saunders, Lewis and Thornhill, 2009)</w:t>
      </w:r>
      <w:r>
        <w:rPr>
          <w:rFonts w:eastAsiaTheme="minorEastAsia"/>
        </w:rPr>
        <w:fldChar w:fldCharType="end"/>
      </w:r>
      <w:r>
        <w:rPr>
          <w:rFonts w:eastAsiaTheme="minorEastAsia"/>
        </w:rPr>
        <w:t xml:space="preserve">. Researchers should position themselves as being value-neutral and should prevent the involvement and interference from personal values in the research process </w:t>
      </w:r>
      <w:r>
        <w:rPr>
          <w:rFonts w:eastAsiaTheme="minorEastAsia"/>
        </w:rPr>
        <w:fldChar w:fldCharType="begin"/>
      </w:r>
      <w:r>
        <w:rPr>
          <w:rFonts w:eastAsiaTheme="minorEastAsia"/>
        </w:rPr>
        <w:instrText xml:space="preserve"> ADDIN ZOTERO_ITEM CSL_CITATION {"citationID":"9mr4CWmb","properties":{"formattedCitation":"(Bryman, 2016)","plainCitation":"(Bryman, 2016)","noteIndex":0},"citationItems":[{"id":6558,"uris":["http://zotero.org/users/10703570/items/4DYZDQZH"],"itemData":{"id":6558,"type":"book","ISBN":"0-19-968945-8","publisher":"Oxford University Press","title":"Social research methods","author":[{"family":"Bryman","given":"Alan"}],"issued":{"date-parts":[["2016"]]}}}],"schema":"https://github.com/citation-style-language/schema/raw/master/csl-citation.json"} </w:instrText>
      </w:r>
      <w:r>
        <w:rPr>
          <w:rFonts w:eastAsiaTheme="minorEastAsia"/>
        </w:rPr>
        <w:fldChar w:fldCharType="separate"/>
      </w:r>
      <w:r>
        <w:rPr>
          <w:rFonts w:eastAsiaTheme="minorEastAsia"/>
        </w:rPr>
        <w:t>(Bryman, 2016)</w:t>
      </w:r>
      <w:r>
        <w:rPr>
          <w:rFonts w:eastAsiaTheme="minorEastAsia"/>
        </w:rPr>
        <w:fldChar w:fldCharType="end"/>
      </w:r>
      <w:r>
        <w:rPr>
          <w:rFonts w:eastAsiaTheme="minorEastAsia"/>
        </w:rPr>
        <w:t xml:space="preserve">. </w:t>
      </w:r>
    </w:p>
    <w:p w14:paraId="07D8999B">
      <w:pPr>
        <w:pStyle w:val="19"/>
        <w:spacing w:before="120" w:beforeAutospacing="0" w:after="240" w:afterAutospacing="0" w:line="360" w:lineRule="auto"/>
        <w:jc w:val="both"/>
        <w:rPr>
          <w:rFonts w:eastAsiaTheme="minorEastAsia"/>
        </w:rPr>
      </w:pPr>
      <w:r>
        <w:rPr>
          <w:rFonts w:eastAsiaTheme="minorEastAsia"/>
        </w:rPr>
        <w:t xml:space="preserve">The reason why this study applies positivism is that positivism emphasises understanding reality through objective and measurable methods and enriching or constructing knowledge based on empirical data for verification and inference. When studying the impact of BDC on corporate financial and innovation performance, positivism can provide systematic and scientific methodological support for the study, ensuring that the research conclusions are universally applicable and reproducible. </w:t>
      </w:r>
    </w:p>
    <w:p w14:paraId="1B897F7D">
      <w:pPr>
        <w:pStyle w:val="19"/>
        <w:spacing w:before="120" w:beforeAutospacing="0" w:after="240" w:afterAutospacing="0" w:line="360" w:lineRule="auto"/>
        <w:jc w:val="both"/>
        <w:rPr>
          <w:rFonts w:eastAsiaTheme="minorEastAsia"/>
        </w:rPr>
      </w:pPr>
      <w:r>
        <w:rPr>
          <w:rFonts w:eastAsiaTheme="minorEastAsia"/>
        </w:rPr>
        <w:t xml:space="preserve">Specifically, on the one hand, this study involves specific variables such as BDC, financial performance, and innovation performance. Through literature review, this study finds that these variables can be objectively measured by quantitative data (such as financial indicators, innovation outputs, and the degree of OL. Previous studies have proposed different measurement methods, which have also been shown to be effective and stable in different research scenarios. Empiricism supports this research method based on empirical data, which can verify the causal relationship between variables through statistical analysis. For example, the relationship between different dimensions of BDC and financial performance and the relationship with innovation performance. </w:t>
      </w:r>
    </w:p>
    <w:p w14:paraId="04ECB063">
      <w:pPr>
        <w:pStyle w:val="19"/>
        <w:spacing w:before="120" w:beforeAutospacing="0" w:after="240" w:afterAutospacing="0" w:line="360" w:lineRule="auto"/>
        <w:jc w:val="both"/>
        <w:rPr>
          <w:rFonts w:eastAsiaTheme="minorEastAsia"/>
        </w:rPr>
      </w:pPr>
      <w:r>
        <w:rPr>
          <w:rFonts w:eastAsiaTheme="minorEastAsia"/>
        </w:rPr>
        <w:t>On the other hand, empiricism emphasises the general applicability of research results. Previous research has generally focused on a specific research scenario, such as a specific industry. Based on positivism, the BDC and enterprise performance indicators in this study can be repeatedly measured and verified at different points in time, in different industries, or in different enterprise contexts, which meets the positivist requirements for universality and generalisation.</w:t>
      </w:r>
    </w:p>
    <w:p w14:paraId="07376E81">
      <w:pPr>
        <w:pStyle w:val="19"/>
        <w:spacing w:before="120" w:beforeAutospacing="0" w:after="240" w:afterAutospacing="0" w:line="360" w:lineRule="auto"/>
        <w:jc w:val="both"/>
        <w:rPr>
          <w:rFonts w:eastAsiaTheme="minorEastAsia"/>
        </w:rPr>
      </w:pPr>
    </w:p>
    <w:p w14:paraId="7497089A">
      <w:pPr>
        <w:pStyle w:val="3"/>
        <w:spacing w:after="240" w:line="360" w:lineRule="auto"/>
        <w:jc w:val="both"/>
        <w:rPr>
          <w:rFonts w:ascii="Times New Roman" w:hAnsi="Times New Roman" w:cs="Times New Roman"/>
          <w:color w:val="auto"/>
        </w:rPr>
      </w:pPr>
      <w:bookmarkStart w:id="27" w:name="_Toc178258267"/>
      <w:r>
        <w:rPr>
          <w:rFonts w:ascii="Times New Roman" w:hAnsi="Times New Roman" w:cs="Times New Roman"/>
          <w:color w:val="auto"/>
        </w:rPr>
        <w:t>3.2 Research Approaches</w:t>
      </w:r>
      <w:bookmarkEnd w:id="27"/>
    </w:p>
    <w:p w14:paraId="6131EF8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onion model relates to the second layer, which is about research approaches, referring to the overall strategy adopted by researchers when designing and implementing research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{"citationID":"p3ZL0L6W","properties":{"formattedCitation":"(Saunders, Lewis and Thornhill, 2009)","plainCitation":"(Saunders, Lewis and Thornhill, 2009)","noteIndex":0},"citationItems":[{"id":6554,"uris":["http://zotero.org/users/10703570/items/RYGFXZZT"],"itemData":{"id":6554,"type":"book","ISBN":"0-273-71686-7","publisher":"Pearson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(Saunders, Lewis and Thornhill, 2009)</w:t>
      </w:r>
      <w:r>
        <w:rPr>
          <w:rFonts w:ascii="Times New Roman" w:hAnsi="Times New Roman" w:cs="Times New Roman"/>
          <w:sz w:val="24"/>
          <w:szCs w:val="24"/>
        </w:rPr>
        <w:fldChar w:fldCharType="end"/>
      </w:r>
      <w:r>
        <w:rPr>
          <w:rFonts w:ascii="Times New Roman" w:hAnsi="Times New Roman" w:cs="Times New Roman"/>
          <w:sz w:val="24"/>
          <w:szCs w:val="24"/>
        </w:rPr>
        <w:t xml:space="preserve">. Research methods can be differentiated according to different research philosophies and different ways of involving theories. There are three common research methods: induction, deduction and abduction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{"citationID":"Jn9osKLt","properties":{"formattedCitation":"(Bryman, 2016)","plainCitation":"(Bryman, 2016)","noteIndex":0},"citationItems":[{"id":6558,"uris":["http://zotero.org/users/10703570/items/4DYZDQZH"],"itemData":{"id":6558,"type":"book","ISBN":"0-19-968945-8","publisher":"Oxford University Press","title":"Social research methods","author":[{"family":"Bryman","given":"Alan"}],"issued":{"date-parts":[["2016"]]}}}],"schema":"https://github.com/citation-style-language/schema/raw/master/csl-citation.json"}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(Bryman, 2016)</w:t>
      </w:r>
      <w:r>
        <w:rPr>
          <w:rFonts w:ascii="Times New Roman" w:hAnsi="Times New Roman" w:cs="Times New Roman"/>
          <w:sz w:val="24"/>
          <w:szCs w:val="24"/>
        </w:rPr>
        <w:fldChar w:fldCharType="end"/>
      </w:r>
      <w:r>
        <w:rPr>
          <w:rFonts w:ascii="Times New Roman" w:hAnsi="Times New Roman" w:cs="Times New Roman"/>
          <w:sz w:val="24"/>
          <w:szCs w:val="24"/>
        </w:rPr>
        <w:t xml:space="preserve">. The present research is based on the deductive approach to reasoning. Specifically, deduction is a research method that starts from existing theories or hypotheses and tests or verifies these hypotheses through data. In deduction, researchers usually rely on existing theoretical frameworks, propose hypotheses related to research questions in a specific research context, provide reasonable explanations for the hypotheses, and then design experiments or collect data to verify the rationality of the hypotheses. </w:t>
      </w:r>
    </w:p>
    <w:p w14:paraId="53C0254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study examines the impact of BDC on corporate financial and innovative performance, taking into account the mediating role of OL. The review of relevant concepts in the previous chapter explains the fact that the concepts of BDC, OL and firm performance all have relatively mature theoretical foundations, such as RBT, DCT and so on. Therefore, existing research has laid a certain theoretical foundation for this study, and in particular, the present study can propose some research hypotheses based on existing research. The other two research methods are suitable for emerging fields with little research theory. Due to the lack of support from existing theories, they will construct theories based on data based on logic opposite to deduction. </w:t>
      </w:r>
    </w:p>
    <w:p w14:paraId="0D62F6F4">
      <w:pPr>
        <w:spacing w:before="120" w:after="240" w:line="360" w:lineRule="auto"/>
        <w:jc w:val="both"/>
        <w:rPr>
          <w:rFonts w:ascii="Times New Roman" w:hAnsi="Times New Roman" w:cs="Times New Roman"/>
          <w:sz w:val="24"/>
          <w:szCs w:val="24"/>
        </w:rPr>
      </w:pPr>
    </w:p>
    <w:p w14:paraId="28A8A02C">
      <w:pPr>
        <w:pStyle w:val="3"/>
        <w:spacing w:after="240" w:line="360" w:lineRule="auto"/>
        <w:jc w:val="both"/>
        <w:rPr>
          <w:rFonts w:ascii="Times New Roman" w:hAnsi="Times New Roman" w:cs="Times New Roman"/>
          <w:color w:val="auto"/>
        </w:rPr>
      </w:pPr>
      <w:bookmarkStart w:id="28" w:name="_Toc178258268"/>
      <w:r>
        <w:rPr>
          <w:rFonts w:ascii="Times New Roman" w:hAnsi="Times New Roman" w:cs="Times New Roman"/>
          <w:color w:val="auto"/>
        </w:rPr>
        <w:t>3.3 Research Methodological Choice</w:t>
      </w:r>
      <w:bookmarkEnd w:id="28"/>
    </w:p>
    <w:p w14:paraId="68156DE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method selection refers to the specific research strategies or tools that researchers decide to use when conducting research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{"citationID":"eirbrwOd","properties":{"formattedCitation":"(Saunders, Lewis and Thornhill, 2009)","plainCitation":"(Saunders, Lewis and Thornhill, 2009)","noteIndex":0},"citationItems":[{"id":6554,"uris":["http://zotero.org/users/10703570/items/RYGFXZZT"],"itemData":{"id":6554,"type":"book","ISBN":"0-273-71686-7","publisher":"Pearson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(Saunders, Lewis and Thornhill, 2009)</w:t>
      </w:r>
      <w:r>
        <w:rPr>
          <w:rFonts w:ascii="Times New Roman" w:hAnsi="Times New Roman" w:cs="Times New Roman"/>
          <w:sz w:val="24"/>
          <w:szCs w:val="24"/>
        </w:rPr>
        <w:fldChar w:fldCharType="end"/>
      </w:r>
      <w:r>
        <w:rPr>
          <w:rFonts w:ascii="Times New Roman" w:hAnsi="Times New Roman" w:cs="Times New Roman"/>
          <w:sz w:val="24"/>
          <w:szCs w:val="24"/>
        </w:rPr>
        <w:t xml:space="preserve">. It usually includes qualitative research, quantitative research or mixed methods. Choosing the appropriate research method depends on the research question and the research philosophy or approach adopted by the researcher. Specifically, qualitative research is interpretive research that observes and interprets things and social phenomena using methods such as observation, case studies, interviews, literature analysis, and text analysis; quantitative research is descriptive research that describes and verifies things and social phenomena using methods such as field surveys, content analysis, controlled experiments, and statistical analysis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{"citationID":"v64ID8I9","properties":{"formattedCitation":"(Bryman, 2016)","plainCitation":"(Bryman, 2016)","noteIndex":0},"citationItems":[{"id":6558,"uris":["http://zotero.org/users/10703570/items/4DYZDQZH"],"itemData":{"id":6558,"type":"book","ISBN":"0-19-968945-8","publisher":"Oxford University Press","title":"Social research methods","author":[{"family":"Bryman","given":"Alan"}],"issued":{"date-parts":[["2016"]]}}}],"schema":"https://github.com/citation-style-language/schema/raw/master/csl-citation.json"}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(Bryman, 2016)</w:t>
      </w:r>
      <w:r>
        <w:rPr>
          <w:rFonts w:ascii="Times New Roman" w:hAnsi="Times New Roman" w:cs="Times New Roman"/>
          <w:sz w:val="24"/>
          <w:szCs w:val="24"/>
        </w:rPr>
        <w:fldChar w:fldCharType="end"/>
      </w:r>
      <w:r>
        <w:rPr>
          <w:rFonts w:ascii="Times New Roman" w:hAnsi="Times New Roman" w:cs="Times New Roman"/>
          <w:sz w:val="24"/>
          <w:szCs w:val="24"/>
        </w:rPr>
        <w:t>.</w:t>
      </w:r>
    </w:p>
    <w:p w14:paraId="19273B46">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Aligned with the choice of positivist stance and deductive approach, the present research is based on the quantitative methodological choice. Specifically, in terms of the relationship between facts and values, laws and norms, and description and interpretation, positivism focuses on facts and on using laws to describe one aspect of social phenomena, i.e., discovering laws through the observation of the correlations between facts, trying to express the laws in mathematical formulas as much as possible, and predicting events that will occur, thereby confirming or falsifying related theories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{"citationID":"wEBCXqS1","properties":{"formattedCitation":"(Saunders, Lewis and Thornhill, 2009)","plainCitation":"(Saunders, Lewis and Thornhill, 2009)","noteIndex":0},"citationItems":[{"id":6554,"uris":["http://zotero.org/users/10703570/items/RYGFXZZT"],"itemData":{"id":6554,"type":"book","ISBN":"0-273-71686-7","publisher":"Pearson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(Saunders, Lewis and Thornhill, 2009)</w:t>
      </w:r>
      <w:r>
        <w:rPr>
          <w:rFonts w:ascii="Times New Roman" w:hAnsi="Times New Roman" w:cs="Times New Roman"/>
          <w:sz w:val="24"/>
          <w:szCs w:val="24"/>
        </w:rPr>
        <w:fldChar w:fldCharType="end"/>
      </w:r>
      <w:r>
        <w:rPr>
          <w:rFonts w:ascii="Times New Roman" w:hAnsi="Times New Roman" w:cs="Times New Roman"/>
          <w:sz w:val="24"/>
          <w:szCs w:val="24"/>
        </w:rPr>
        <w:t>. From the perspective of quantitative research design under the positivist paradigm, the present study is centred on the verification process of ‘hypothesis testing’ for the hypothesis raised above. This study involves multiple quantifiable variables, such as different dimensions of BDC, financial performance, innovation performance and OL, and all of these variables can be measured by quantitative indicators. Furthermore, aside from the alignment with the philosophical underpins and deductive reasoning, the results of the quantitative data-driven analysis are considered to be more objective, avoiding the subjective influence of researchers or research participants, and can provide a solid foundation for subsequent theoretical verification of BDC-related theories and suggestions for enterprises to establish and enhance, and leverage BDC more effectively.</w:t>
      </w:r>
    </w:p>
    <w:p w14:paraId="1119B0EB">
      <w:pPr>
        <w:spacing w:before="120" w:after="240" w:line="360" w:lineRule="auto"/>
        <w:jc w:val="both"/>
        <w:rPr>
          <w:rFonts w:ascii="Times New Roman" w:hAnsi="Times New Roman" w:cs="Times New Roman"/>
          <w:sz w:val="24"/>
          <w:szCs w:val="24"/>
        </w:rPr>
      </w:pPr>
    </w:p>
    <w:p w14:paraId="21A4DB99">
      <w:pPr>
        <w:pStyle w:val="3"/>
        <w:spacing w:after="240" w:line="360" w:lineRule="auto"/>
        <w:jc w:val="both"/>
        <w:rPr>
          <w:rFonts w:ascii="Times New Roman" w:hAnsi="Times New Roman" w:cs="Times New Roman"/>
          <w:color w:val="auto"/>
        </w:rPr>
      </w:pPr>
      <w:bookmarkStart w:id="29" w:name="_Toc178258269"/>
      <w:r>
        <w:rPr>
          <w:rFonts w:ascii="Times New Roman" w:hAnsi="Times New Roman" w:cs="Times New Roman"/>
          <w:color w:val="auto"/>
        </w:rPr>
        <w:t>3.4 Research Strategies</w:t>
      </w:r>
      <w:bookmarkEnd w:id="29"/>
    </w:p>
    <w:p w14:paraId="4C894736">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layer that needs to be peeled off is the strategic choice, which is the plan of action to answer the research question. As indicated by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{"citationID":"3a44YWi9","properties":{"formattedCitation":"(Saunders, Lewis and Thornhill, 2009)","plainCitation":"(Saunders, Lewis and Thornhill, 2009)","dontUpdate":true,"noteIndex":0},"citationItems":[{"id":6554,"uris":["http://zotero.org/users/10703570/items/RYGFXZZT"],"itemData":{"id":6554,"type":"book","ISBN":"0-273-71686-7","publisher":"Pearson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eastAsia="等线" w:cs="Times New Roman"/>
          <w:sz w:val="24"/>
          <w:szCs w:val="24"/>
        </w:rPr>
        <w:t>Saunders, Lewis and Thornhill (2009)</w:t>
      </w:r>
      <w:r>
        <w:rPr>
          <w:rFonts w:ascii="Times New Roman" w:hAnsi="Times New Roman" w:cs="Times New Roman"/>
          <w:sz w:val="24"/>
          <w:szCs w:val="24"/>
        </w:rPr>
        <w:fldChar w:fldCharType="end"/>
      </w:r>
      <w:r>
        <w:rPr>
          <w:rFonts w:ascii="Times New Roman" w:hAnsi="Times New Roman" w:cs="Times New Roman"/>
          <w:sz w:val="24"/>
          <w:szCs w:val="24"/>
        </w:rPr>
        <w:t xml:space="preserve">, quantitative design and deductive reasoning are also associated with survey strategy. More specifically, the present research uses an online questionnaire to collect primary insights. The questionnaire approach has been credited for its ability to gather quantitative data that allows for the further deduction of causal effect relationships between constructs such as three dimensions of BDCs, financial performance and innovation performance; in addition, the questionnaire approach also has the merits in obtaining insights from a sizeable population in a highly economical way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{"citationID":"C5ZUKR7P","properties":{"formattedCitation":"(Saunders, Lewis and Thornhill, 2009)","plainCitation":"(Saunders, Lewis and Thornhill, 2009)","noteIndex":0},"citationItems":[{"id":6554,"uris":["http://zotero.org/users/10703570/items/RYGFXZZT"],"itemData":{"id":6554,"type":"book","ISBN":"0-273-71686-7","publisher":"Pearson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(Saunders, Lewis and Thornhill, 2009)</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1425292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 research leverages the Big Data Analytics Competency Scale developed by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{"citationID":"grV6TKDb","properties":{"formattedCitation":"(Akter et al., 2016)","plainCitation":"(Akter et al., 2016)","dontUpdate":true,"noteIndex":0},"citationItems":[{"id":"NEZ99iNq/f8kCQAv6","uris":["http://zotero.org/users/10703570/items/M7M3X9LC"],"itemData":{"id":5059,"type":"article-journal","abstract":"The recent interest in big data has led many companies to develop big data analytics capability (BDAC) in order to enhance firm performance (FPER). However, BDAC pays off for some companies but not for others. It appears that very few have achieved a big impact through big data. To address this challenge, this study proposes a BDAC model drawing on the resource-based theory (RBT) and the entanglement view of sociomaterialism. The findings show BDAC as a hierarchical model, which consists of three primary dimensions (i.e., management, technology, and talent capability) and 11 subdimensions (i.e., planning, investment, coordination, control, connectivity, compatibility, modularity, technology management knowledge, technical knowledge, business knowledge and relational knowledge). The findings from two Delphi studies and 152 online surveys of business analysts in the U.S. confirm the value of the entanglement conceptualization of the higher-order BDAC model and its impact on FPER. The results also illuminate the significant moderating impact of analytics capability–business strategy alignment on the BDAC–FPER relationship.","container-title":"International Journal of Production Economics","DOI":"10.1016/j.ijpe.2016.08.018","ISSN":"0925-5273","journalAbbreviation":"International Journal of Production Economics","page":"113-131","source":"ScienceDirect","title":"How to improve firm performance using big data analytics capability and business strategy alignment?","volume":"182","author":[{"family":"Akter","given":"Shahriar"},{"family":"Wamba","given":"Samuel Fosso"},{"family":"Gunasekaran","given":"Angappa"},{"family":"Dubey","given":"Rameshwar"},{"family":"Childe","given":"Stephen J."}],"issued":{"date-parts":[["2016",12,1]]}}}],"schema":"https://github.com/citation-style-language/schema/raw/master/csl-citation.json"}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Akter et al. (2016)</w:t>
      </w:r>
      <w:r>
        <w:rPr>
          <w:rFonts w:ascii="Times New Roman" w:hAnsi="Times New Roman" w:cs="Times New Roman"/>
          <w:sz w:val="24"/>
          <w:szCs w:val="24"/>
        </w:rPr>
        <w:fldChar w:fldCharType="end"/>
      </w:r>
      <w:r>
        <w:rPr>
          <w:rFonts w:ascii="Times New Roman" w:hAnsi="Times New Roman" w:cs="Times New Roman"/>
          <w:sz w:val="24"/>
          <w:szCs w:val="24"/>
        </w:rPr>
        <w:t xml:space="preserve"> and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{"citationID":"K1AkepMc","properties":{"formattedCitation":"(Wamba et al., 2017)","plainCitation":"(Wamba et al., 2017)","dontUpdate":true,"noteIndex":0},"citationItems":[{"id":"NEZ99iNq/OfVukBDU","uris":["http://zotero.org/users/10703570/items/AIWWLWQW"],"itemData":{"id":5044,"type":"article-journal","container-title":"Journal of business research","ISSN":"0148-2963","journalAbbreviation":"Journal of business research","note":"publisher: Elsevier","page":"356-365","title":"Big data analytics and firm performance: Effects of dynamic capabilities","volume":"70","author":[{"family":"Wamba","given":"Samuel Fosso"},{"family":"Gunasekaran","given":"Angappa"},{"family":"Akter","given":"Shahriar"},{"family":"Ren","given":"Steven Ji-fan"},{"family":"Dubey","given":"Rameshwar"},{"family":"Childe","given":"Stephen J"}],"issued":{"date-parts":[["2017"]]}}}],"schema":"https://github.com/citation-style-language/schema/raw/master/csl-citation.json"}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Wamba et al. (2017)</w:t>
      </w:r>
      <w:r>
        <w:rPr>
          <w:rFonts w:ascii="Times New Roman" w:hAnsi="Times New Roman" w:cs="Times New Roman"/>
          <w:sz w:val="24"/>
          <w:szCs w:val="24"/>
        </w:rPr>
        <w:fldChar w:fldCharType="end"/>
      </w:r>
      <w:r>
        <w:rPr>
          <w:rFonts w:ascii="Times New Roman" w:hAnsi="Times New Roman" w:cs="Times New Roman"/>
          <w:sz w:val="24"/>
          <w:szCs w:val="24"/>
        </w:rPr>
        <w:t xml:space="preserve">, and the OL Scale in this study refers to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{"citationID":"LfBENKHH","properties":{"formattedCitation":"(Lin &amp; Lee, 2005)","plainCitation":"(Lin &amp; Lee, 2005)","dontUpdate":true,"noteIndex":0},"citationItems":[{"id":"NEZ99iNq/RJ7TUAwi","uris":["http://zotero.org/users/10703570/items/FGYH4BV5"],"itemData":{"id":5062,"type":"article-journal","abstract":"Purpose – To examine the impact of organizational learning factors (training available, technical expertise, and knowledge level) and knowledge management processes (knowledge acquisition, knowledge application, and knowledge sharing) on e‐business systems adoption level. Design/methodology/approach – The data from a survey of 202 IS executives in Taiwan were used empirically to test the proposed research model. Moreover, confirmatory factor analysis was conducted to examine the reliability and validity of the measurement model, and the structural equation modelling technique was used to evaluate the research model. Findings – The analytical results showed that organizational learning factors and knowledge management processes are closely related to the level of e‐business systems adoption. However, knowledge sharing did not significantly affect e‐business systems adoption level. Research limitations/implications – Future studies could seek an enhanced understanding of the impacts on the level of e‐business adoption of the organizational learning and knowledge management factors investigated in this paper through structured interviews and case studies of IS executives dealing with ongoing or recently completed e‐business systems projects. Practical implications – Owner/managers considering e‐business systems adoption would be best to focus on both social and technical factors, and their interaction within and beyond the organization, rather than focusing exclusively on technological considerations. Originality/value – This paper has implications for e‐business managers or policy‐makers in formulating policies and targeting appropriate organizational capabilities to ensure effective adoption of e‐business systems.","container-title":"Management Decision","DOI":"10.1108/00251740510581902","ISSN":"0025-1747","issue":"2","note":"publisher: Emerald Group Publishing Limited","page":"171-188","source":"Emerald Insight","title":"Impact of organizational learning and knowledge management factors on e‐business adoption","volume":"43","author":[{"family":"Lin","given":"Hsiu‐Fen"},{"family":"Lee","given":"Gwo‐Guang"}],"issued":{"date-parts":[["2005",1,1]]}}}],"schema":"https://github.com/citation-style-language/schema/raw/master/csl-citation.json"}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Lin &amp; Lee (2005)</w:t>
      </w:r>
      <w:r>
        <w:rPr>
          <w:rFonts w:ascii="Times New Roman" w:hAnsi="Times New Roman" w:cs="Times New Roman"/>
          <w:sz w:val="24"/>
          <w:szCs w:val="24"/>
        </w:rPr>
        <w:fldChar w:fldCharType="end"/>
      </w:r>
      <w:r>
        <w:rPr>
          <w:rFonts w:ascii="Times New Roman" w:hAnsi="Times New Roman" w:cs="Times New Roman"/>
          <w:sz w:val="24"/>
          <w:szCs w:val="24"/>
        </w:rPr>
        <w:t xml:space="preserve"> and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{"citationID":"F334qKVp","properties":{"formattedCitation":"(Lee et al., 2007)","plainCitation":"(Lee et al., 2007)","dontUpdate":true,"noteIndex":0},"citationItems":[{"id":"NEZ99iNq/3MYynmDI","uris":["http://zotero.org/users/10703570/items/4AREK6ND"],"itemData":{"id":5064,"type":"article-journal","abstract":"Purpose – Based on organizational capabilities and information technology implementation literature, this study seeks to propose a research model to examine the influence of organizational capabilities on e‐business implementation success. Design/methodology/approach – Data collected from 202 information systems executives in large Taiwanese organizations were employed to test the relationships between the research model constructs. The results from the structural equation modeling approach provide quite a strong support for the hypothesized relations. Findings – The results showed that certain factors related to organizational learning and knowledge management capabilities are important antecedents of e‐business value. Research limitations/implications – This study did not test all organizational factors, and focused particularly on learning capacity and knowledge capability factors. A knowledge asset must be rare and inimitable to become a source of competitive advantage. Without secure processes, knowledge loses the key qualities of being rare and inimitable. Future research could assess the influence of knowledge protection processes on e‐business implementation success. Practical implications – Knowledge management means recognizing and managing all of an organization's intellectual and social capital to meet its e‐business objectives. An organization needs a well‐designed knowledge management infrastructure to create and maintain the e‐business knowledge required to improve back‐office efficiency, customer intimacy and efficiency of coordination with business partners. Originality/value – This study is significant for at least two reasons: it determines the key antecedents to successful e‐business implementation based on organizational learning and knowledge management perspectives and it helps to understand the effects of organizational capabilities and e‐business contribution on a firm's performance.","container-title":"Business Process Management Journal","DOI":"10.1108/14637150710823156","ISSN":"1463-7154","issue":"5","note":"publisher: Emerald Group Publishing Limited","page":"677-693","source":"Emerald Insight","title":"The role of organizational capabilities in successful e‐business implementation","volume":"13","author":[{"family":"Lee","given":"Chih‐Ping"},{"family":"Lee","given":"Gwo‐Guang"},{"family":"Lin","given":"Hsiu‐Fen"}],"issued":{"date-parts":[["2007",1,1]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Lee et al. (2007)</w:t>
      </w:r>
      <w:r>
        <w:rPr>
          <w:rFonts w:ascii="Times New Roman" w:hAnsi="Times New Roman" w:cs="Times New Roman"/>
          <w:sz w:val="24"/>
          <w:szCs w:val="24"/>
        </w:rPr>
        <w:fldChar w:fldCharType="end"/>
      </w:r>
      <w:r>
        <w:rPr>
          <w:rFonts w:ascii="Times New Roman" w:hAnsi="Times New Roman" w:cs="Times New Roman"/>
          <w:sz w:val="24"/>
          <w:szCs w:val="24"/>
        </w:rPr>
        <w:t xml:space="preserve">. The measurement of financial performance is based on the scale developed by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{"citationID":"5hWlSctL","properties":{"formattedCitation":"(Gunasekaran {\\i{}et al.}, 2017)","plainCitation":"(Gunasekaran et al., 2017)","dontUpdate":true,"noteIndex":0},"citationItems":[{"id":6565,"uris":["http://zotero.org/users/10703570/items/52JBXBZ7"],"itemData":{"id":6565,"type":"article-journal","container-title":"Journal of Business Research","ISSN":"0148-2963","journalAbbreviation":"Journal of Business Research","note":"publisher: Elsevier","page":"308-317","title":"Big data and predictive analytics for supply chain and organizational performance","volume":"70","author":[{"family":"Gunasekaran","given":"Angappa"},{"family":"Papadopoulos","given":"Thanos"},{"family":"Dubey","given":"Rameshwar"},{"family":"Wamba","given":"Samuel Fosso"},{"family":"Childe","given":"Stephen J"},{"family":"Hazen","given":"Benjamin"},{"family":"Akter","given":"Shahriar"}],"issued":{"date-parts":[["2017"]]}}}],"schema":"https://github.com/citation-style-language/schema/raw/master/csl-citation.json"}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Gunasekaran et al. (2017)</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{"citationID":"saTNCOyU","properties":{"formattedCitation":"(Zhu and Yang, 2021)","plainCitation":"(Zhu and Yang, 2021)","dontUpdate":true,"noteIndex":0},"citationItems":[{"id":6563,"uris":["http://zotero.org/users/10703570/items/A8ZA638U"],"itemData":{"id":6563,"type":"article-journal","container-title":"Journal of Systems Science and Information","ISSN":"2512-6660","issue":"2","journalAbbreviation":"Journal of Systems Science and Information","note":"publisher: De Gruyter","page":"175-191","title":"Big data analytics for improving financial performance and sustainability","volume":"9","author":[{"family":"Zhu","given":"Xiangyu"},{"family":"Yang","given":"Yang"}],"issued":{"date-parts":[["2021"]]}}}],"schema":"https://github.com/citation-style-language/schema/raw/master/csl-citation.json"}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Zhu and Yang (2021)</w:t>
      </w:r>
      <w:r>
        <w:rPr>
          <w:rFonts w:ascii="Times New Roman" w:hAnsi="Times New Roman" w:cs="Times New Roman"/>
          <w:sz w:val="24"/>
          <w:szCs w:val="24"/>
        </w:rPr>
        <w:fldChar w:fldCharType="end"/>
      </w:r>
      <w:r>
        <w:rPr>
          <w:rFonts w:ascii="Times New Roman" w:hAnsi="Times New Roman" w:cs="Times New Roman"/>
          <w:sz w:val="24"/>
          <w:szCs w:val="24"/>
        </w:rPr>
        <w:t>, and</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{"citationID":"qfeswhUY","properties":{"formattedCitation":"(Garmaki et al., 2023)","plainCitation":"(Garmaki et al., 2023)","dontUpdate":true,"noteIndex":0},"citationItems":[{"id":"NEZ99iNq/J3m182lh","uris":["http://zotero.org/users/10703570/items/HYJDF9EN"],"itemData":{"id":5029,"type":"article-journal","container-title":"Journal of Enterprise Information Management","ISSN":"1741-0398","issue":"5","journalAbbreviation":"Journal of Enterprise Information Management","note":"publisher: Emerald Publishing Limited","page":"1161-1184","title":"Big data analytics capability and contribution to firm performance: the mediating effect of organizational learning on firm performance","volume":"36","author":[{"family":"Garmaki","given":"Mahda"},{"family":"Gharib","given":"Rebwar Kamal"},{"family":"Boughzala","given":"Imed"}],"issued":{"date-parts":[["2023"]]}}}],"schema":"https://github.com/citation-style-language/schema/raw/master/csl-citation.json"}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 Garmaki et al. (2023)</w:t>
      </w:r>
      <w:r>
        <w:rPr>
          <w:rFonts w:ascii="Times New Roman" w:hAnsi="Times New Roman" w:cs="Times New Roman"/>
          <w:sz w:val="24"/>
          <w:szCs w:val="24"/>
        </w:rPr>
        <w:fldChar w:fldCharType="end"/>
      </w:r>
      <w:r>
        <w:rPr>
          <w:rFonts w:ascii="Times New Roman" w:hAnsi="Times New Roman" w:cs="Times New Roman"/>
          <w:sz w:val="24"/>
          <w:szCs w:val="24"/>
        </w:rPr>
        <w:t xml:space="preserve">. The measurement of innovation performance is based on the scale developed by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{"citationID":"OdwTvyKl","properties":{"formattedCitation":"(Mikalef {\\i{}et al.}, 2019b)","plainCitation":"(Mikalef et al., 2019b)","dontUpdate":true,"noteIndex":0},"citationItems":[{"id":"NEZ99iNq/xjZHmBTp","uris":["http://zotero.org/users/10703570/items/77KQ86F5"],"itemData":{"id":"YGBwr0bu/wOcyXF28","type":"article-journal","container-title":"British journal of management","ISSN":"1045-3172","issue":"2","journalAbbreviation":"British journal of management","note":"publisher: Wiley Online Library","page":"272-298","title":"Big data analytics capabilities and innovation: the mediating role of dynamic capabilities and moderating effect of the environment","volume":"30","author":[{"family":"Mikalef","given":"Patrick"},{"family":"Boura","given":"Maria"},{"family":"Lekakos","given":"George"},{"family":"Krogstie","given":"John"}],"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Mikalef et al. (2019)</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{"citationID":"BCodujnz","properties":{"formattedCitation":"(Ghasemaghaei and Calic, 2019)","plainCitation":"(Ghasemaghaei and Calic, 2019)","dontUpdate":true,"noteIndex":0},"citationItems":[{"id":6569,"uris":["http://zotero.org/users/10703570/items/N433UPSN"],"itemData":{"id":6569,"type":"article-journal","container-title":"Journal of Business Research","ISSN":"0148-2963","journalAbbreviation":"Journal of Business Research","note":"publisher: Elsevier","page":"69-84","title":"Does big data enhance firm innovation competency? The mediating role of data-driven insights","volume":"104","author":[{"family":"Ghasemaghaei","given":"Maryam"},{"family":"Calic","given":"Goran"}],"issued":{"date-parts":[["2019"]]}}}],"schema":"https://github.com/citation-style-language/schema/raw/master/csl-citation.json"}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Ghasemaghaei and Calic (2019)</w:t>
      </w:r>
      <w:r>
        <w:rPr>
          <w:rFonts w:ascii="Times New Roman" w:hAnsi="Times New Roman" w:cs="Times New Roman"/>
          <w:sz w:val="24"/>
          <w:szCs w:val="24"/>
        </w:rPr>
        <w:fldChar w:fldCharType="end"/>
      </w:r>
      <w:r>
        <w:rPr>
          <w:rFonts w:ascii="Times New Roman" w:hAnsi="Times New Roman" w:cs="Times New Roman"/>
          <w:sz w:val="24"/>
          <w:szCs w:val="24"/>
        </w:rPr>
        <w:t xml:space="preserve">, and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{"citationID":"Tdd5ndaE","properties":{"formattedCitation":"(Shan {\\i{}et al.}, 2019b)","plainCitation":"(Shan et al., 2019b)","dontUpdate":true,"noteIndex":0},"citationItems":[{"id":6570,"uris":["http://zotero.org/users/10703570/items/LPGNA5SL"],"itemData":{"id":6570,"type":"article-journal","container-title":"Technology Analysis &amp; Strategic Management","ISSN":"0953-7325","issue":"4","journalAbbreviation":"Technology Analysis &amp; Strategic Management","note":"publisher: Taylor &amp; Francis","page":"406-420","title":"Big data analysis adaptation and enterprises’ competitive advantages: the perspective of dynamic capability and resource-based theories","volume":"31","author":[{"family":"Shan","given":"Siqing"},{"family":"Luo","given":"Yiting"},{"family":"Zhou","given":"Yuan"},{"family":"Wei","given":"Yigang"}],"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szCs w:val="24"/>
        </w:rPr>
        <w:t>Shan et al. (2019)</w:t>
      </w:r>
      <w:r>
        <w:rPr>
          <w:rFonts w:ascii="Times New Roman" w:hAnsi="Times New Roman" w:cs="Times New Roman"/>
          <w:sz w:val="24"/>
          <w:szCs w:val="24"/>
        </w:rPr>
        <w:fldChar w:fldCharType="end"/>
      </w:r>
      <w:r>
        <w:rPr>
          <w:rFonts w:ascii="Times New Roman" w:hAnsi="Times New Roman" w:cs="Times New Roman"/>
          <w:sz w:val="24"/>
          <w:szCs w:val="24"/>
        </w:rPr>
        <w:t>. On the one hand, different studies have developed and validated these scales in their respective fields, proving their reliability (consistency) and validity (validity) when measuring specific variables. By using these rigorously tested scales, it can be ensured that the measurement of each variable in the questionnaire in this study is reliable.</w:t>
      </w:r>
    </w:p>
    <w:p w14:paraId="497DB92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this study covers multiple variables, including BD analysis capabilities, OL, financial performance and innovation performance. Each of the variables measured by previous scholars has its own unique complexity and research context, so it is impossible to use a single scale to cover all these different dimensions. The use of multiple validated scales in this study can more accurately measure each specific dimension, ensuring that each variable is captured appropriately. An English version of the questionnaire is included in Appendix 1.  </w:t>
      </w:r>
    </w:p>
    <w:p w14:paraId="77352BDD">
      <w:pPr>
        <w:spacing w:before="120" w:after="240" w:line="360" w:lineRule="auto"/>
        <w:jc w:val="both"/>
        <w:rPr>
          <w:rFonts w:ascii="Times New Roman" w:hAnsi="Times New Roman" w:cs="Times New Roman"/>
          <w:sz w:val="24"/>
          <w:szCs w:val="24"/>
        </w:rPr>
      </w:pPr>
    </w:p>
    <w:p w14:paraId="4DE0B28C">
      <w:pPr>
        <w:pStyle w:val="3"/>
        <w:spacing w:after="240" w:line="360" w:lineRule="auto"/>
        <w:jc w:val="both"/>
        <w:rPr>
          <w:rFonts w:ascii="Times New Roman" w:hAnsi="Times New Roman" w:cs="Times New Roman"/>
          <w:color w:val="auto"/>
        </w:rPr>
      </w:pPr>
      <w:bookmarkStart w:id="30" w:name="_Toc178258270"/>
      <w:r>
        <w:rPr>
          <w:rFonts w:ascii="Times New Roman" w:hAnsi="Times New Roman" w:cs="Times New Roman"/>
          <w:color w:val="auto"/>
        </w:rPr>
        <w:t>3.5 Time Horizon</w:t>
      </w:r>
      <w:bookmarkEnd w:id="30"/>
      <w:r>
        <w:rPr>
          <w:rFonts w:ascii="Times New Roman" w:hAnsi="Times New Roman" w:cs="Times New Roman"/>
          <w:color w:val="auto"/>
        </w:rPr>
        <w:t xml:space="preserve"> </w:t>
      </w:r>
    </w:p>
    <w:p w14:paraId="402E890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When designing the research, it is important to consider does the research focuses on a snapshot taken at a particular time or does the research wants to be akin to the investigation of a specific phenomenon over time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{"citationID":"j2BLrkd2","properties":{"formattedCitation":"(Saunders, Lewis and Thornhill, 2009)","plainCitation":"(Saunders, Lewis and Thornhill, 2009)","noteIndex":0},"citationItems":[{"id":6554,"uris":["http://zotero.org/users/10703570/items/RYGFXZZT"],"itemData":{"id":6554,"type":"book","ISBN":"0-273-71686-7","publisher":"Pearson education","title":"Research methods for business students","author":[{"family":"Saunders","given":"Mark"},{"family":"Lewis","given":"Philip"},{"family":"Thornhill","given":"Adrian"}],"issued":{"date-parts":[["2009"]]}}}],"schema":"https://github.com/citation-style-language/schema/raw/master/csl-citation.json"}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(Saunders, Lewis and Thornhill, 2009)</w:t>
      </w:r>
      <w:r>
        <w:rPr>
          <w:rFonts w:ascii="Times New Roman" w:hAnsi="Times New Roman" w:cs="Times New Roman"/>
          <w:sz w:val="24"/>
          <w:szCs w:val="24"/>
        </w:rPr>
        <w:fldChar w:fldCharType="end"/>
      </w:r>
      <w:r>
        <w:rPr>
          <w:rFonts w:ascii="Times New Roman" w:hAnsi="Times New Roman" w:cs="Times New Roman"/>
          <w:sz w:val="24"/>
          <w:szCs w:val="24"/>
        </w:rPr>
        <w:t xml:space="preserve">. The present research is cross-sectional, given the employment of the survey approach, involving the investigation of the BDC deployment and development and its corresponding impacts on financial and innovation performance at the contemporary time. The present research does not shed any light on the longitudinal dynamism, such as the development of BDCs over time to capture changes. </w:t>
      </w:r>
    </w:p>
    <w:p w14:paraId="544C18DA">
      <w:pPr>
        <w:spacing w:before="120" w:after="240" w:line="360" w:lineRule="auto"/>
        <w:jc w:val="both"/>
        <w:rPr>
          <w:rFonts w:ascii="Times New Roman" w:hAnsi="Times New Roman" w:cs="Times New Roman"/>
          <w:sz w:val="24"/>
          <w:szCs w:val="24"/>
        </w:rPr>
      </w:pPr>
    </w:p>
    <w:p w14:paraId="06624355">
      <w:pPr>
        <w:pStyle w:val="3"/>
        <w:spacing w:after="240" w:line="360" w:lineRule="auto"/>
        <w:jc w:val="both"/>
        <w:rPr>
          <w:rFonts w:ascii="Times New Roman" w:hAnsi="Times New Roman" w:cs="Times New Roman"/>
          <w:color w:val="auto"/>
        </w:rPr>
      </w:pPr>
      <w:bookmarkStart w:id="31" w:name="_Toc178258271"/>
      <w:r>
        <w:rPr>
          <w:rFonts w:ascii="Times New Roman" w:hAnsi="Times New Roman" w:cs="Times New Roman"/>
          <w:color w:val="auto"/>
        </w:rPr>
        <w:t>3.6 Data Collection and Analysis</w:t>
      </w:r>
      <w:bookmarkEnd w:id="31"/>
      <w:r>
        <w:rPr>
          <w:rFonts w:ascii="Times New Roman" w:hAnsi="Times New Roman" w:cs="Times New Roman"/>
          <w:color w:val="auto"/>
        </w:rPr>
        <w:t xml:space="preserve"> </w:t>
      </w:r>
    </w:p>
    <w:p w14:paraId="02BDC915">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present research targets managerial roles and front-line employees who have an understanding and insights regarding the above three aspects. Specifically, on the one hand, management is usually involved in the decision-making process, especially in terms of BDC, resource allocation, and strategic planning on how to improve enterprise performance through these technologies. Managers can provide a macro perspective on how BDC affect the overall financial and innovative performance of the enterprise. On the other hand, frontline employees are the ones who have direct contact with BD systems and OL processes. They have accumulated rich practical experience in BDC in actual operation and can provide a brief introduction to the effects and practical challenges of using BD technology in daily work. Through their feedback, a better understanding of the operational performance of BDC in different dimensions can be obtained. In summary, selecting management and frontline employees as the target groups can help this study comprehensively understand the relationship between BDC, OL and enterprise performance from different perspectives of strategy and execution so as to draw more extensive and practically applicable conclusions.</w:t>
      </w:r>
    </w:p>
    <w:p w14:paraId="45D7DCC2">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Before the official distribution of the questionnaire, the researcher performed a small-scale pilot study with 5 participants involved. Although the authors of this study designed the questionnaire based on the quantitative science developed by previous scholars, a pilot study helps researchers further test and optimise the questionnaire. In particular, pilot studies help researchers identify potential problems, improve research tools, and ensure the feasibility and reliability of formal research. Some of the problems reflected in the pilot study included the question options were not set up properly, the meaning of the questions was not clear, and the meanings of some questions being repetitive. Based on this feedback, the researcher further revised the questionnaire. The questionnaire in the appendix is the final version after the researcher's revision.</w:t>
      </w:r>
    </w:p>
    <w:p w14:paraId="053CC5D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revised questionnaire was then distributed using the Wenjuanxing platform. A hybrid of convenience sampling and snowball sampling was used.</w:t>
      </w:r>
      <w:r>
        <w:rPr>
          <w:rFonts w:ascii="Times New Roman" w:hAnsi="Times New Roman" w:cs="Times New Roman"/>
        </w:rPr>
        <w:t xml:space="preserve"> </w:t>
      </w:r>
      <w:r>
        <w:rPr>
          <w:rFonts w:ascii="Times New Roman" w:hAnsi="Times New Roman" w:cs="Times New Roman"/>
          <w:sz w:val="24"/>
          <w:szCs w:val="24"/>
        </w:rPr>
        <w:t xml:space="preserve">On the one hand, the researcher posted the link to the questionnaire on personal social media platforms (especially popular social media platforms in China such as WeChat, QQ, and Weibo) and industry-related forums (such as professional forums on BD analysis and enterprise management) to facilitate self-selection of respondents. This is a convenience sample, which relies mainly on the circles and network resources that the researcher personally has direct access to to obtain the initial sample. On the other hand, the researcher also used personal and professional networks to directly send the questionnaire to familiar business managers and practitioners in the field of BD, inviting them to participate in filling out the questionnaire. After these initial participants completed the questionnaire, the researcher encouraged them to further forward the questionnaire to friends, colleagues or other relevant people in the industry who they thought met the criteria. This referral mechanism is a snowball sampling method that can help this study further expand the sample population. </w:t>
      </w:r>
    </w:p>
    <w:p w14:paraId="15D16C63">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raw data collected from the questionnaire was then analysed using SPSS and AMOS. The empirical analyses were carried out in the following ways. </w:t>
      </w:r>
      <w:r>
        <w:rPr>
          <w:rFonts w:hint="eastAsia" w:ascii="Times New Roman" w:hAnsi="Times New Roman" w:cs="Times New Roman"/>
          <w:sz w:val="24"/>
          <w:szCs w:val="24"/>
        </w:rPr>
        <w:t>On the one hand, t</w:t>
      </w:r>
      <w:r>
        <w:rPr>
          <w:rFonts w:ascii="Times New Roman" w:hAnsi="Times New Roman" w:cs="Times New Roman"/>
          <w:sz w:val="24"/>
          <w:szCs w:val="24"/>
        </w:rPr>
        <w:t xml:space="preserve">he collected socio-demographical information </w:t>
      </w:r>
      <w:r>
        <w:rPr>
          <w:rFonts w:hint="eastAsia" w:ascii="Times New Roman" w:hAnsi="Times New Roman" w:cs="Times New Roman"/>
          <w:sz w:val="24"/>
          <w:szCs w:val="24"/>
        </w:rPr>
        <w:t>is</w:t>
      </w:r>
      <w:r>
        <w:rPr>
          <w:rFonts w:ascii="Times New Roman" w:hAnsi="Times New Roman" w:cs="Times New Roman"/>
          <w:sz w:val="24"/>
          <w:szCs w:val="24"/>
        </w:rPr>
        <w:t xml:space="preserve"> analysed descriptively to derive its distribution pattern. </w:t>
      </w:r>
      <w:r>
        <w:rPr>
          <w:rFonts w:hint="eastAsia" w:ascii="Times New Roman" w:hAnsi="Times New Roman" w:cs="Times New Roman"/>
          <w:sz w:val="24"/>
          <w:szCs w:val="24"/>
        </w:rPr>
        <w:t xml:space="preserve">On the other hand, correlation and regression analysis are performed </w:t>
      </w:r>
      <w:r>
        <w:rPr>
          <w:rFonts w:ascii="Times New Roman" w:hAnsi="Times New Roman" w:cs="Times New Roman"/>
          <w:sz w:val="24"/>
          <w:szCs w:val="24"/>
        </w:rPr>
        <w:t xml:space="preserve">to verify the </w:t>
      </w:r>
      <w:r>
        <w:rPr>
          <w:rFonts w:hint="eastAsia" w:ascii="Times New Roman" w:hAnsi="Times New Roman" w:cs="Times New Roman"/>
          <w:sz w:val="24"/>
          <w:szCs w:val="24"/>
        </w:rPr>
        <w:t>causal</w:t>
      </w:r>
      <w:r>
        <w:rPr>
          <w:rFonts w:ascii="Times New Roman" w:hAnsi="Times New Roman" w:cs="Times New Roman"/>
          <w:sz w:val="24"/>
          <w:szCs w:val="24"/>
        </w:rPr>
        <w:t xml:space="preserve"> effect of BDC and each dimension on firm performance and to test the impacts of adding the mediator variable of OL.</w:t>
      </w:r>
    </w:p>
    <w:p w14:paraId="1E37CE49">
      <w:pPr>
        <w:pStyle w:val="54"/>
        <w:spacing w:before="120" w:after="240" w:line="360" w:lineRule="auto"/>
        <w:ind w:left="440"/>
        <w:contextualSpacing w:val="0"/>
        <w:jc w:val="both"/>
        <w:rPr>
          <w:rFonts w:ascii="Times New Roman" w:hAnsi="Times New Roman" w:cs="Times New Roman"/>
          <w:sz w:val="24"/>
          <w:szCs w:val="24"/>
        </w:rPr>
      </w:pPr>
    </w:p>
    <w:p w14:paraId="5DF18276">
      <w:pPr>
        <w:pStyle w:val="3"/>
        <w:spacing w:after="240" w:line="360" w:lineRule="auto"/>
        <w:jc w:val="both"/>
        <w:rPr>
          <w:rFonts w:ascii="Times New Roman" w:hAnsi="Times New Roman" w:cs="Times New Roman"/>
          <w:color w:val="auto"/>
        </w:rPr>
      </w:pPr>
      <w:bookmarkStart w:id="32" w:name="_Toc178258272"/>
      <w:r>
        <w:rPr>
          <w:rFonts w:ascii="Times New Roman" w:hAnsi="Times New Roman" w:cs="Times New Roman"/>
          <w:color w:val="auto"/>
        </w:rPr>
        <w:t>3.7 Ethical Concerns</w:t>
      </w:r>
      <w:bookmarkEnd w:id="32"/>
      <w:r>
        <w:rPr>
          <w:rFonts w:ascii="Times New Roman" w:hAnsi="Times New Roman" w:cs="Times New Roman"/>
          <w:color w:val="auto"/>
        </w:rPr>
        <w:t xml:space="preserve"> </w:t>
      </w:r>
    </w:p>
    <w:p w14:paraId="1526CEB3">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ethical issues involved in the present study's collection of primary data through questionnaires include informed consent, privacy, and confidentiality, and they have been addressed through the following actions. </w:t>
      </w:r>
    </w:p>
    <w:p w14:paraId="0CD456BD">
      <w:pPr>
        <w:pStyle w:val="54"/>
        <w:numPr>
          <w:ilvl w:val="0"/>
          <w:numId w:val="3"/>
        </w:numPr>
        <w:spacing w:before="120" w:after="240" w:line="360" w:lineRule="auto"/>
        <w:contextualSpacing w:val="0"/>
        <w:jc w:val="both"/>
        <w:rPr>
          <w:rFonts w:ascii="Times New Roman" w:hAnsi="Times New Roman" w:cs="Times New Roman" w:eastAsiaTheme="majorEastAsia"/>
          <w:sz w:val="36"/>
          <w:szCs w:val="36"/>
        </w:rPr>
      </w:pPr>
      <w:r>
        <w:rPr>
          <w:rFonts w:ascii="Times New Roman" w:hAnsi="Times New Roman" w:cs="Times New Roman"/>
          <w:sz w:val="24"/>
          <w:szCs w:val="24"/>
        </w:rPr>
        <w:t xml:space="preserve">The researcher attached an information sheet along with the questionnaire when distributing. The information sheet debriefed information including research background, research purpose, research procedure, the rights of individuals to participate or withdraw at their willingness, the contacts if they want to complain, etc. Based on the information sheet, individuals could decide whether to participate and if they do. The researcher did not force any participants to contribute to the present study against their will. </w:t>
      </w:r>
    </w:p>
    <w:p w14:paraId="49103C7E">
      <w:pPr>
        <w:pStyle w:val="54"/>
        <w:numPr>
          <w:ilvl w:val="0"/>
          <w:numId w:val="3"/>
        </w:numPr>
        <w:spacing w:before="120" w:after="240" w:line="360" w:lineRule="auto"/>
        <w:contextualSpacing w:val="0"/>
        <w:jc w:val="both"/>
        <w:rPr>
          <w:rFonts w:ascii="Times New Roman" w:hAnsi="Times New Roman" w:cs="Times New Roman" w:eastAsiaTheme="majorEastAsia"/>
          <w:sz w:val="36"/>
          <w:szCs w:val="36"/>
        </w:rPr>
      </w:pPr>
      <w:r>
        <w:rPr>
          <w:rFonts w:ascii="Times New Roman" w:hAnsi="Times New Roman" w:cs="Times New Roman"/>
          <w:sz w:val="24"/>
          <w:szCs w:val="24"/>
        </w:rPr>
        <w:t xml:space="preserve">The researcher upheld the research ethics by not collecting any sensitive data related to individuals, e.g., the companies they work within, names, contacts, gender, etc. All data has been anonymised throughout the research.  </w:t>
      </w:r>
    </w:p>
    <w:p w14:paraId="0EED9195">
      <w:pPr>
        <w:pStyle w:val="54"/>
        <w:numPr>
          <w:ilvl w:val="0"/>
          <w:numId w:val="3"/>
        </w:numPr>
        <w:spacing w:before="120" w:after="240" w:line="360" w:lineRule="auto"/>
        <w:contextualSpacing w:val="0"/>
        <w:jc w:val="both"/>
        <w:rPr>
          <w:rFonts w:ascii="Times New Roman" w:hAnsi="Times New Roman" w:cs="Times New Roman" w:eastAsiaTheme="majorEastAsia"/>
          <w:sz w:val="36"/>
          <w:szCs w:val="36"/>
        </w:rPr>
      </w:pPr>
      <w:r>
        <w:rPr>
          <w:rFonts w:ascii="Times New Roman" w:hAnsi="Times New Roman" w:cs="Times New Roman"/>
          <w:sz w:val="24"/>
          <w:szCs w:val="24"/>
        </w:rPr>
        <w:t>The researcher has stored the collected data in a password-protected personal computer and memory disk. Authorisation of access is not granted to any third parties.</w:t>
      </w:r>
    </w:p>
    <w:p w14:paraId="4AF6B282">
      <w:pPr>
        <w:spacing w:before="120" w:after="240" w:line="360" w:lineRule="auto"/>
        <w:jc w:val="both"/>
        <w:rPr>
          <w:rFonts w:ascii="Times New Roman" w:hAnsi="Times New Roman" w:cs="Times New Roman"/>
        </w:rPr>
      </w:pPr>
    </w:p>
    <w:p w14:paraId="752AF399">
      <w:pPr>
        <w:spacing w:before="120" w:after="240" w:line="360" w:lineRule="auto"/>
        <w:jc w:val="both"/>
        <w:rPr>
          <w:rFonts w:ascii="Times New Roman" w:hAnsi="Times New Roman" w:cs="Times New Roman"/>
        </w:rPr>
      </w:pPr>
    </w:p>
    <w:p w14:paraId="0BD034A3">
      <w:pPr>
        <w:spacing w:before="120" w:after="240" w:line="360" w:lineRule="auto"/>
        <w:jc w:val="both"/>
        <w:rPr>
          <w:rFonts w:ascii="Times New Roman" w:hAnsi="Times New Roman" w:cs="Times New Roman" w:eastAsiaTheme="majorEastAsia"/>
          <w:sz w:val="36"/>
          <w:szCs w:val="36"/>
        </w:rPr>
      </w:pPr>
      <w:r>
        <w:rPr>
          <w:rFonts w:ascii="Times New Roman" w:hAnsi="Times New Roman" w:cs="Times New Roman"/>
        </w:rPr>
        <w:br w:type="page"/>
      </w:r>
    </w:p>
    <w:p w14:paraId="4D801506">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33" w:name="_Toc178258273"/>
      <w:r>
        <w:rPr>
          <w:rFonts w:ascii="Times New Roman" w:hAnsi="Times New Roman" w:cs="Times New Roman"/>
          <w:color w:val="000000"/>
          <w14:textFill>
            <w14:solidFill>
              <w14:srgbClr w14:val="000000">
                <w14:lumMod w14:val="85000"/>
                <w14:lumOff w14:val="15000"/>
              </w14:srgbClr>
            </w14:solidFill>
          </w14:textFill>
        </w:rPr>
        <w:t>Chapter Four: Analysis and Discussion</w:t>
      </w:r>
      <w:bookmarkEnd w:id="33"/>
    </w:p>
    <w:p w14:paraId="45B36FC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purpose of this analysis is to investigate the mediating role of BDC on financial and innovation performance in organizations. The dissertation specifies BDC as the organizational ability to collect, collate and analyze extensive data for competitive advantage. The role of OL is being investigated as the mediator to help firms systematically acquire and apply new knowledge from BD, which in turn enhances their operational efficiency and innovation activities. The initial purpose of this study is to apply the theoretical framework (in particular RBT and DCT) which offers a basis for our hypotheses testing. These theories imply that companies which are better at using their own resources will perform better than others. Numerous financial and innovation outcomes are predicted to be the result of these capabilities being available, with OL argued to be central in delivering them. </w:t>
      </w:r>
      <w:r>
        <w:rPr>
          <w:rFonts w:hint="eastAsia" w:ascii="Times New Roman" w:hAnsi="Times New Roman" w:cs="Times New Roman"/>
          <w:sz w:val="24"/>
          <w:szCs w:val="24"/>
        </w:rPr>
        <w:t>The present research firstly anal</w:t>
      </w:r>
      <w:r>
        <w:rPr>
          <w:rFonts w:ascii="Times New Roman" w:hAnsi="Times New Roman" w:cs="Times New Roman"/>
          <w:sz w:val="24"/>
          <w:szCs w:val="24"/>
        </w:rPr>
        <w:t xml:space="preserve">yses the demographic variables of the respondents </w:t>
      </w:r>
      <w:r>
        <w:rPr>
          <w:rFonts w:hint="eastAsia" w:ascii="Times New Roman" w:hAnsi="Times New Roman" w:cs="Times New Roman"/>
          <w:sz w:val="24"/>
          <w:szCs w:val="24"/>
        </w:rPr>
        <w:t>through descr</w:t>
      </w:r>
      <w:r>
        <w:rPr>
          <w:rFonts w:ascii="Times New Roman" w:hAnsi="Times New Roman" w:cs="Times New Roman"/>
          <w:sz w:val="24"/>
          <w:szCs w:val="24"/>
        </w:rPr>
        <w:t>i</w:t>
      </w:r>
      <w:r>
        <w:rPr>
          <w:rFonts w:hint="eastAsia" w:ascii="Times New Roman" w:hAnsi="Times New Roman" w:cs="Times New Roman"/>
          <w:sz w:val="24"/>
          <w:szCs w:val="24"/>
        </w:rPr>
        <w:t xml:space="preserve">ptive analysis, and it then delves into </w:t>
      </w:r>
      <w:r>
        <w:rPr>
          <w:rFonts w:ascii="Times New Roman" w:hAnsi="Times New Roman" w:cs="Times New Roman"/>
          <w:sz w:val="24"/>
          <w:szCs w:val="24"/>
        </w:rPr>
        <w:t xml:space="preserve">reliability analysis </w:t>
      </w:r>
      <w:r>
        <w:rPr>
          <w:rFonts w:hint="eastAsia" w:ascii="Times New Roman" w:hAnsi="Times New Roman" w:cs="Times New Roman"/>
          <w:sz w:val="24"/>
          <w:szCs w:val="24"/>
        </w:rPr>
        <w:t>to</w:t>
      </w:r>
      <w:r>
        <w:rPr>
          <w:rFonts w:ascii="Times New Roman" w:hAnsi="Times New Roman" w:cs="Times New Roman"/>
          <w:sz w:val="24"/>
          <w:szCs w:val="24"/>
        </w:rPr>
        <w:t xml:space="preserve"> evaluate how much the data can be relied upon on various scales</w:t>
      </w:r>
      <w:r>
        <w:rPr>
          <w:rFonts w:hint="eastAsia" w:ascii="Times New Roman" w:hAnsi="Times New Roman" w:cs="Times New Roman"/>
          <w:sz w:val="24"/>
          <w:szCs w:val="24"/>
        </w:rPr>
        <w:t xml:space="preserve"> and</w:t>
      </w:r>
      <w:r>
        <w:rPr>
          <w:rFonts w:ascii="Times New Roman" w:hAnsi="Times New Roman" w:cs="Times New Roman"/>
          <w:sz w:val="24"/>
          <w:szCs w:val="24"/>
        </w:rPr>
        <w:t xml:space="preserve"> measure the relationship between key variables. Then, regression analysis will be carried out to test the indirect and direct impact of BDC on performance measures.</w:t>
      </w:r>
    </w:p>
    <w:p w14:paraId="0FD41504">
      <w:pPr>
        <w:spacing w:before="120" w:after="240" w:line="360" w:lineRule="auto"/>
        <w:jc w:val="both"/>
        <w:rPr>
          <w:rFonts w:ascii="Times New Roman" w:hAnsi="Times New Roman" w:cs="Times New Roman"/>
          <w:sz w:val="24"/>
          <w:szCs w:val="24"/>
        </w:rPr>
      </w:pPr>
    </w:p>
    <w:p w14:paraId="5636E742">
      <w:pPr>
        <w:pStyle w:val="54"/>
        <w:keepNext/>
        <w:keepLines/>
        <w:numPr>
          <w:ilvl w:val="0"/>
          <w:numId w:val="4"/>
        </w:numPr>
        <w:spacing w:before="120" w:after="240" w:line="360" w:lineRule="auto"/>
        <w:jc w:val="both"/>
        <w:outlineLvl w:val="1"/>
        <w:rPr>
          <w:rFonts w:ascii="Times New Roman" w:hAnsi="Times New Roman" w:cs="Times New Roman" w:eastAsiaTheme="majorEastAsia"/>
          <w:vanish/>
          <w:sz w:val="36"/>
          <w:szCs w:val="36"/>
        </w:rPr>
      </w:pPr>
      <w:bookmarkStart w:id="34" w:name="_Toc177989769"/>
      <w:bookmarkEnd w:id="34"/>
      <w:bookmarkStart w:id="35" w:name="_Toc178258229"/>
      <w:bookmarkEnd w:id="35"/>
      <w:bookmarkStart w:id="36" w:name="_Toc177995901"/>
      <w:bookmarkEnd w:id="36"/>
      <w:bookmarkStart w:id="37" w:name="_Toc178258274"/>
      <w:bookmarkEnd w:id="37"/>
    </w:p>
    <w:p w14:paraId="1352C0A5">
      <w:pPr>
        <w:pStyle w:val="54"/>
        <w:keepNext/>
        <w:keepLines/>
        <w:numPr>
          <w:ilvl w:val="0"/>
          <w:numId w:val="4"/>
        </w:numPr>
        <w:spacing w:before="120" w:after="240" w:line="360" w:lineRule="auto"/>
        <w:jc w:val="both"/>
        <w:outlineLvl w:val="1"/>
        <w:rPr>
          <w:rFonts w:ascii="Times New Roman" w:hAnsi="Times New Roman" w:cs="Times New Roman" w:eastAsiaTheme="majorEastAsia"/>
          <w:vanish/>
          <w:sz w:val="36"/>
          <w:szCs w:val="36"/>
        </w:rPr>
      </w:pPr>
      <w:bookmarkStart w:id="38" w:name="_Toc178258230"/>
      <w:bookmarkEnd w:id="38"/>
      <w:bookmarkStart w:id="39" w:name="_Toc178258275"/>
      <w:bookmarkEnd w:id="39"/>
      <w:bookmarkStart w:id="40" w:name="_Toc177989770"/>
      <w:bookmarkEnd w:id="40"/>
      <w:bookmarkStart w:id="41" w:name="_Toc177995902"/>
      <w:bookmarkEnd w:id="41"/>
    </w:p>
    <w:p w14:paraId="68B54278">
      <w:pPr>
        <w:pStyle w:val="54"/>
        <w:keepNext/>
        <w:keepLines/>
        <w:numPr>
          <w:ilvl w:val="0"/>
          <w:numId w:val="4"/>
        </w:numPr>
        <w:spacing w:before="120" w:after="240" w:line="360" w:lineRule="auto"/>
        <w:jc w:val="both"/>
        <w:outlineLvl w:val="1"/>
        <w:rPr>
          <w:rFonts w:ascii="Times New Roman" w:hAnsi="Times New Roman" w:cs="Times New Roman" w:eastAsiaTheme="majorEastAsia"/>
          <w:vanish/>
          <w:sz w:val="36"/>
          <w:szCs w:val="36"/>
        </w:rPr>
      </w:pPr>
      <w:bookmarkStart w:id="42" w:name="_Toc177995903"/>
      <w:bookmarkEnd w:id="42"/>
      <w:bookmarkStart w:id="43" w:name="_Toc178258276"/>
      <w:bookmarkEnd w:id="43"/>
      <w:bookmarkStart w:id="44" w:name="_Toc178258231"/>
      <w:bookmarkEnd w:id="44"/>
      <w:bookmarkStart w:id="45" w:name="_Toc177989771"/>
      <w:bookmarkEnd w:id="45"/>
    </w:p>
    <w:p w14:paraId="0CC3EF35">
      <w:pPr>
        <w:pStyle w:val="54"/>
        <w:keepNext/>
        <w:keepLines/>
        <w:numPr>
          <w:ilvl w:val="0"/>
          <w:numId w:val="4"/>
        </w:numPr>
        <w:spacing w:before="120" w:after="240" w:line="360" w:lineRule="auto"/>
        <w:jc w:val="both"/>
        <w:outlineLvl w:val="1"/>
        <w:rPr>
          <w:rFonts w:ascii="Times New Roman" w:hAnsi="Times New Roman" w:cs="Times New Roman" w:eastAsiaTheme="majorEastAsia"/>
          <w:vanish/>
          <w:sz w:val="36"/>
          <w:szCs w:val="36"/>
        </w:rPr>
      </w:pPr>
      <w:bookmarkStart w:id="46" w:name="_Toc178258277"/>
      <w:bookmarkEnd w:id="46"/>
      <w:bookmarkStart w:id="47" w:name="_Toc177989772"/>
      <w:bookmarkEnd w:id="47"/>
      <w:bookmarkStart w:id="48" w:name="_Toc178258232"/>
      <w:bookmarkEnd w:id="48"/>
      <w:bookmarkStart w:id="49" w:name="_Toc177995904"/>
      <w:bookmarkEnd w:id="49"/>
    </w:p>
    <w:p w14:paraId="53BC7029">
      <w:pPr>
        <w:pStyle w:val="3"/>
        <w:numPr>
          <w:ilvl w:val="1"/>
          <w:numId w:val="5"/>
        </w:numPr>
        <w:spacing w:after="240" w:line="360" w:lineRule="auto"/>
        <w:ind w:left="576" w:hanging="576"/>
        <w:jc w:val="both"/>
        <w:rPr>
          <w:rFonts w:ascii="Times New Roman" w:hAnsi="Times New Roman" w:cs="Times New Roman"/>
          <w:color w:val="auto"/>
        </w:rPr>
      </w:pPr>
      <w:bookmarkStart w:id="50" w:name="_Toc178258278"/>
      <w:r>
        <w:rPr>
          <w:rFonts w:ascii="Times New Roman" w:hAnsi="Times New Roman" w:cs="Times New Roman"/>
          <w:color w:val="auto"/>
        </w:rPr>
        <w:t>Descriptive Analysis</w:t>
      </w:r>
      <w:bookmarkEnd w:id="50"/>
    </w:p>
    <w:p w14:paraId="7F27BFA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data collection process collects 156 responses. Those with the same answers across all questions are eliminated for the purpose of ensuring the validity of the dataset, which reduces the final dataset to 128 samples. At the same time, factoring in demographic variables seems to indicate that the sample is reasonably well spread out across some of the most important determinants. The group of 26-35-year-olds constitutes the largest respondent group in respect to age, taking up a strong share of the sample. The rest are generated by the next set of respondents (aged 36 to 45). While the skew is to either early or mid-career stages of development there are cohorts represented on both ends (18 to 25 and 46 to 55). The number of males (55% respondents) is similar to the number of females (45%). This approach not only helps us limit the skewness of gender and fundamentally balance our analytical sample, but it also broadens the viewpoints of both men and women. Education-wise, the sample exhibits a high level of academic ability with more than 90% of respondents protected holding at least an undergraduate degree from college. A minimum of thirty-two (15.4%) held a master's/doctorate degree, illustrating that this is a highly educated sample across the board. That seems like a safe bet since the participants are likely experienced in using and exploiting advanced business capabilities.</w:t>
      </w:r>
    </w:p>
    <w:p w14:paraId="32F0D6BE">
      <w:pPr>
        <w:keepNext/>
        <w:spacing w:before="120" w:after="240" w:line="360" w:lineRule="auto"/>
        <w:jc w:val="both"/>
        <w:rPr>
          <w:rFonts w:ascii="Times New Roman" w:hAnsi="Times New Roman" w:cs="Times New Roman"/>
          <w:sz w:val="20"/>
          <w:szCs w:val="20"/>
        </w:rPr>
      </w:pPr>
      <w:r>
        <w:rPr>
          <w:rFonts w:ascii="Times New Roman" w:hAnsi="Times New Roman" w:cs="Times New Roman"/>
          <w:sz w:val="20"/>
          <w:szCs w:val="20"/>
        </w:rPr>
        <w:drawing>
          <wp:inline distT="0" distB="0" distL="0" distR="0">
            <wp:extent cx="3380105" cy="8206740"/>
            <wp:effectExtent l="0" t="0" r="0" b="3810"/>
            <wp:docPr id="170370561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705611" name="图片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384633" cy="8217331"/>
                    </a:xfrm>
                    <a:prstGeom prst="rect">
                      <a:avLst/>
                    </a:prstGeom>
                    <a:noFill/>
                    <a:ln>
                      <a:noFill/>
                    </a:ln>
                  </pic:spPr>
                </pic:pic>
              </a:graphicData>
            </a:graphic>
          </wp:inline>
        </w:drawing>
      </w:r>
    </w:p>
    <w:p w14:paraId="5C6B05C6">
      <w:pPr>
        <w:pStyle w:val="11"/>
        <w:spacing w:before="120" w:after="240" w:line="360" w:lineRule="auto"/>
        <w:jc w:val="both"/>
        <w:rPr>
          <w:rFonts w:ascii="Times New Roman" w:hAnsi="Times New Roman" w:cs="Times New Roman"/>
          <w:b w:val="0"/>
          <w:bCs w:val="0"/>
          <w:color w:val="000000"/>
          <w:sz w:val="20"/>
          <w:szCs w:val="20"/>
          <w14:textFill>
            <w14:solidFill>
              <w14:srgbClr w14:val="000000">
                <w14:lumMod w14:val="75000"/>
                <w14:lumOff w14:val="25000"/>
              </w14:srgbClr>
            </w14:solidFill>
          </w14:textFill>
        </w:rPr>
      </w:pPr>
      <w:r>
        <w:rPr>
          <w:rFonts w:ascii="Times New Roman" w:hAnsi="Times New Roman" w:cs="Times New Roman"/>
          <w:b w:val="0"/>
          <w:bCs w:val="0"/>
          <w:color w:val="000000"/>
          <w:sz w:val="20"/>
          <w:szCs w:val="20"/>
          <w14:textFill>
            <w14:solidFill>
              <w14:srgbClr w14:val="000000">
                <w14:lumMod w14:val="75000"/>
                <w14:lumOff w14:val="25000"/>
              </w14:srgbClr>
            </w14:solidFill>
          </w14:textFill>
        </w:rPr>
        <w:t>Table 4-</w: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begin"/>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instrText xml:space="preserve"> SEQ Table \* ARABIC </w:instrTex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separate"/>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t>1</w: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end"/>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t xml:space="preserve">. Descriptive analysis </w:t>
      </w:r>
    </w:p>
    <w:p w14:paraId="10C9531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terms of representation within the industry, nearly 60% of the total sample came from technology and finance (and related). These sectors are particularly pertinent to BDC due to their data-driven decision-making and the frequent infusion of advanced analytics into operations. Healthcare, retail and manufacturing sectors also feature but less so. These industries serve as a good portrayal of a larger scale of how BDC is used through fields. When examining the logical order held by respondents in their organization, 50 per cent are in mid-management positions. This would imply that a large sample is participating in day-to-day operational decision-making as well as strategic planning. The remainder of respondents are spread across entry-level, senior management and executive roles to ensure that the data is capturing insight from all levels of an organization.</w:t>
      </w:r>
    </w:p>
    <w:p w14:paraId="1685BB9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Experience with the organization is rather well-lit, most people mention that they have been in their current company for 1 to 5 years. This suggests that the sample ranges from newer employees to those with more experience, offering a balanced perspective on how BDCs are implemented and experienced early as well as in the later stages of an employee's tenure. Examination of the demographic insights from this sample reinforces that the data is wide-ranging and contributes to a decent representativeness of organizations and industries likely dependent upon BDC. As a diverse sample with an even representation of respondents with respect to enterprise roles, industry, male and female gender and educational attainment levels, the data provides an excellent basis for statistical examination.</w:t>
      </w:r>
    </w:p>
    <w:p w14:paraId="2379D9E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Responses to BDC and OL items were obtained by Likert scales where potential answers 1as Strongly Disagree to 5 as Strongly Agree. Most respondents highly rated the BDC dimensions such as data integration, use of analytics tools, and time to insights. The scores in these areas were more consistent, with an average range of 3.5 to 4, suggesting most organizations involved demonstrated at least reasonable applicability and competence relating to BD management and use cases. Now, few companies, ones in the leading group in particular, are very likely to have incorporated this aspect of data analysis into their day-to-day operations, which gives us an idea that they may derive actionable insights from data for business decisions. Average scores around 3.7 were also measured for OL-related responses. This indicates that most organizations in the sample promote continuous learning and offer BD training solutions. Although the overall scores trend positively, some variation in responses signals that these capabilities are not being used equally effectively by all organizations included in the survey. Several organizations are further along in instilling a learning culture than others because some are still just beginning to embed OL practices in their processes.</w:t>
      </w:r>
    </w:p>
    <w:p w14:paraId="14A97B8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This data is from 128 respondents across a variety of industries and roles, giving us an evenly distributed table to explore further with some statistical analysis. This demographic diversity, along with the overwhelmingly positive views held of BDC and OL capabilities, indicates that our sample is representative of organizations successfully using BD to perform at higher levels. With this dense dataset, the hypotheses presented in the dissertation can be tested and there is ample opportunity to investigate how BDC relates to OL as well as organisational performance. The positive rating for BDC and OL, on the whole, suggests that organizations within this study are leveraging BD competencies and progressing to a stage where they will, in future, be able to develop business models which fully exploit these capabilities. Nonetheless, the differences in responses between BDCs indicate opportunities for future research, particularly when it comes to examining how OL practices can increase or decrease the effectiveness of BDC across sectors and industries.</w:t>
      </w:r>
    </w:p>
    <w:p w14:paraId="44F42F73">
      <w:pPr>
        <w:spacing w:before="120" w:after="240" w:line="360" w:lineRule="auto"/>
        <w:jc w:val="both"/>
        <w:rPr>
          <w:rFonts w:ascii="Times New Roman" w:hAnsi="Times New Roman" w:cs="Times New Roman"/>
          <w:sz w:val="24"/>
          <w:szCs w:val="24"/>
        </w:rPr>
      </w:pPr>
    </w:p>
    <w:p w14:paraId="66CD26F7">
      <w:pPr>
        <w:pStyle w:val="3"/>
        <w:numPr>
          <w:ilvl w:val="1"/>
          <w:numId w:val="6"/>
        </w:numPr>
        <w:spacing w:after="240" w:line="360" w:lineRule="auto"/>
        <w:ind w:left="576" w:hanging="576"/>
        <w:jc w:val="both"/>
        <w:rPr>
          <w:rFonts w:ascii="Times New Roman" w:hAnsi="Times New Roman" w:cs="Times New Roman"/>
          <w:color w:val="auto"/>
        </w:rPr>
      </w:pPr>
      <w:bookmarkStart w:id="51" w:name="_Toc178258279"/>
      <w:r>
        <w:rPr>
          <w:rFonts w:ascii="Times New Roman" w:hAnsi="Times New Roman" w:cs="Times New Roman"/>
          <w:color w:val="auto"/>
        </w:rPr>
        <w:t>Correlation Analysis</w:t>
      </w:r>
      <w:bookmarkEnd w:id="51"/>
      <w:r>
        <w:rPr>
          <w:rFonts w:ascii="Times New Roman" w:hAnsi="Times New Roman" w:cs="Times New Roman"/>
          <w:color w:val="auto"/>
        </w:rPr>
        <w:t xml:space="preserve"> </w:t>
      </w:r>
    </w:p>
    <w:p w14:paraId="675CC9E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Correlation analysis is used to investigate the correlational relationships amongst BDC, OL and organizational performance outcomes in terms of financial and innovation. To answer the first question, this analysis aims to build an answer quite simply by identifying how strongly and in what direction these variables are associated with each other, initially revealing a clear image of the contribution that BDC and OL have on organizational performance. Consequently, we examine those relationships that explain how tightly BDC is aligned with the performance measures as well as the role of OL in strengthening these capabilities.</w:t>
      </w:r>
    </w:p>
    <w:p w14:paraId="6DBAFD55">
      <w:pPr>
        <w:keepNext/>
        <w:spacing w:before="120" w:after="240" w:line="360" w:lineRule="auto"/>
        <w:jc w:val="both"/>
        <w:rPr>
          <w:rFonts w:ascii="Times New Roman" w:hAnsi="Times New Roman" w:cs="Times New Roman"/>
          <w:sz w:val="20"/>
          <w:szCs w:val="20"/>
        </w:rPr>
      </w:pPr>
      <w:r>
        <w:rPr>
          <w:rFonts w:ascii="Times New Roman" w:hAnsi="Times New Roman" w:cs="Times New Roman"/>
          <w:sz w:val="18"/>
          <w:szCs w:val="18"/>
        </w:rPr>
        <w:drawing>
          <wp:inline distT="0" distB="0" distL="0" distR="0">
            <wp:extent cx="6108700" cy="996950"/>
            <wp:effectExtent l="0" t="0" r="0" b="0"/>
            <wp:docPr id="1863892917"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892917" name="图片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6120520" cy="999424"/>
                    </a:xfrm>
                    <a:prstGeom prst="rect">
                      <a:avLst/>
                    </a:prstGeom>
                    <a:noFill/>
                    <a:ln>
                      <a:noFill/>
                    </a:ln>
                  </pic:spPr>
                </pic:pic>
              </a:graphicData>
            </a:graphic>
          </wp:inline>
        </w:drawing>
      </w:r>
    </w:p>
    <w:p w14:paraId="3995923A">
      <w:pPr>
        <w:pStyle w:val="11"/>
        <w:spacing w:before="120" w:after="240" w:line="360" w:lineRule="auto"/>
        <w:jc w:val="both"/>
        <w:rPr>
          <w:rFonts w:ascii="Times New Roman" w:hAnsi="Times New Roman" w:cs="Times New Roman"/>
          <w:b w:val="0"/>
          <w:bCs w:val="0"/>
          <w:color w:val="000000"/>
          <w:sz w:val="20"/>
          <w:szCs w:val="20"/>
          <w14:textFill>
            <w14:solidFill>
              <w14:srgbClr w14:val="000000">
                <w14:lumMod w14:val="75000"/>
                <w14:lumOff w14:val="25000"/>
              </w14:srgbClr>
            </w14:solidFill>
          </w14:textFill>
        </w:rPr>
      </w:pPr>
      <w:r>
        <w:rPr>
          <w:rFonts w:ascii="Times New Roman" w:hAnsi="Times New Roman" w:cs="Times New Roman"/>
          <w:b w:val="0"/>
          <w:bCs w:val="0"/>
          <w:color w:val="000000"/>
          <w:sz w:val="20"/>
          <w:szCs w:val="20"/>
          <w14:textFill>
            <w14:solidFill>
              <w14:srgbClr w14:val="000000">
                <w14:lumMod w14:val="75000"/>
                <w14:lumOff w14:val="25000"/>
              </w14:srgbClr>
            </w14:solidFill>
          </w14:textFill>
        </w:rPr>
        <w:t>Table 4-</w: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begin"/>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instrText xml:space="preserve"> SEQ Table \* ARABIC </w:instrTex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separate"/>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t>2</w: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end"/>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t xml:space="preserve">. Correlation analysis </w:t>
      </w:r>
    </w:p>
    <w:p w14:paraId="3A1787B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primary components are at three levels; namely, BDC, OL and performance measures</w:t>
      </w:r>
      <w:r>
        <w:rPr>
          <w:rFonts w:hint="eastAsia" w:ascii="Times New Roman" w:hAnsi="Times New Roman" w:cs="Times New Roman"/>
          <w:sz w:val="24"/>
          <w:szCs w:val="24"/>
        </w:rPr>
        <w:t>,</w:t>
      </w:r>
      <w:r>
        <w:rPr>
          <w:rFonts w:ascii="Times New Roman" w:hAnsi="Times New Roman" w:cs="Times New Roman"/>
          <w:sz w:val="24"/>
          <w:szCs w:val="24"/>
        </w:rPr>
        <w:t xml:space="preserve"> being investigated. This dimension contains elements such as acquiring and integrating BD resources, bringing the information from the data into business processes, and having special teams for BD management (BDC), the latter of which is represented in the focus of OL. This further culminated into two dimensions: innovation performance by new BD-enabled products and improved competitiveness, and financial performance measured from augmented revenue and cost reductions imparted under the influence of decisions made upon available data.</w:t>
      </w:r>
    </w:p>
    <w:p w14:paraId="33BE971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results of the correlation analysis offer important information about the relationships between these variables. One of the first insights was a small and positive correlation between BD search and analysis resources acquisition/integration ability with innovation performance (r = 0.093). Organizations that are better able to acquire and transact on BD outperform their peers in the innovation process; the relationship is insignificant. Finally, the correlation between obtaining and assimilating BD and financial performance is a slightly negative one (r = -0.101), which represents a very weak inverse connection among these constructs. This seems paradoxical, but it indicates that simply getting and combining BD sources never translates to immediate profitability, as this study shows. Instead, it suggests that the presence of these capabilities matters less than how well they are utilized together to optimize financial results in the organization.</w:t>
      </w:r>
    </w:p>
    <w:p w14:paraId="31B6B00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One of the comments while going through the correlation analysis is also that BD integration on business processes and financial performance are very poorly related (r = -0.083). Organizations may be investing in BD and building it into core business functions, however, by itself, this integration is not sufficient to deliver financial success. Rather, the effectiveness of these efforts will depend on other things like corporate culture, the decision-making process, and their capacity to use the insights that BD provide. The absence of a strong positive correlation indicates that additional research is needed to determine how organizations may develop their BDC in line with financial objectives. On the other hand, there seems to be weak support for the positive association between BD integrating into business processes and innovation performance (r = 0.005). The strength of this relationship is very low, but its positive direction indicates that those organizations able to integrate BD within their processes thoroughly might achieve some positive effects in terms of innovation performance. This still leads to the argument that other variables could be more crucial than dynamic capabilities in getting a desired effect on innovation outcomes due to their low strength of correlation. Finally, this observation brings attention to the intricate nature of connecting BDC directly with innovation performance and indicates that factors beyond IT capability like organizational agility, creativity, and leadership support, may influence the impact of BD on innovation.</w:t>
      </w:r>
    </w:p>
    <w:p w14:paraId="488D0877">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such a relationship was explored in the correlation analysis for the following covariate: dedicated teams and organizational performance. There is a very weak negative correlation between dedicated teams and financial performance (r = -0.048) as well as between those two variables with innovation performance (r = -0.113 for combination). This indicates that even when dedicated teams are present, it does not mean that performance outcomes will be better. However, the negative correlations make us wonder if these teams are being optimally utilized or whether there are translation difficulties hampering their ability to convert efforts into financial or innovation results. This suggests that, while dedicated teams are necessary to handle </w:t>
      </w:r>
      <w:r>
        <w:rPr>
          <w:rFonts w:hint="eastAsia" w:ascii="Times New Roman" w:hAnsi="Times New Roman" w:cs="Times New Roman"/>
          <w:sz w:val="24"/>
          <w:szCs w:val="24"/>
        </w:rPr>
        <w:t>extensive</w:t>
      </w:r>
      <w:r>
        <w:rPr>
          <w:rFonts w:ascii="Times New Roman" w:hAnsi="Times New Roman" w:cs="Times New Roman"/>
          <w:sz w:val="24"/>
          <w:szCs w:val="24"/>
        </w:rPr>
        <w:t xml:space="preserve"> data, their effectiveness in doing so might be contingent on how well they are integrated into overall organizational strategies and decision-making. Results, with respect to the relationship between OL variables and performance, provide some important insights. Continuous learning is weakly positively correlated (r = 0.070) with financial performance, meaning that organizations prioritizing continuous learning are likely to experience marginally positive impacts on their financial results. However, the magnitude of this correlation is relatively weak and suggests that, although profitable, learning itself cannot be the sole force behind financial gain. Continuous Learning, in turn, reflects a low positive correlation with Innovation Performance (r = 0.170), showing that organizations geared towards learning are more likely to see boosts in their innovation levels as well. While the relationship is not super-strong, it implies that creating a learning culture is associated with stronger innovation performance but in connection with other factors. The relationship between access to BD training and financial performance is stronger (r = 0.181), reinforcing the need for organizations to empower their employees with the skills and capabilities for effectively leveraging BD. The relationship between the two is indicative that organizations successfully investing in such training can most likely realize incremental financial gains by enabling staff to make data-driven decisions on new ways of generating revenue and improving cost efficiencies. One curious thing to note is the inverse correlation between general BD training and innovation performance, r = -0.220; this means that training, in the end, may buttress financial performance but leave less room for further victorious outcomes from an innovation perspective. </w:t>
      </w:r>
    </w:p>
    <w:p w14:paraId="658A8EF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unexpected outcome may suggest that while workers get better at their current jobs through training, it does not necessarily promote the experimentation and innovative thinking needed to come up with better approaches. This serves to emphasise that for firms, there is a clear trade-off between training that enhances efficiency and the alternative competitive advantage of creativity and innovation. Organizations that apply lessons learned from past projects are slightly more likely to achieve better financial performance (r=0.063). However, the strength of this relationship is fairly weak, which means that extracting wealth using nothing more than one's calculation does not work. Similarly, the correlation of applying lessons learned with innovation performance is almost zero (r=-0.015), indicating that this variable has no significant impact on the ability of an organization to innovate. </w:t>
      </w:r>
    </w:p>
    <w:p w14:paraId="0F9BED2E">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sum, the correlation analysis provides some valuable insights into the connections among BDC, OL and organizational performance. In terms of financial performance, however, relationships were negative or weak even when BDC and innovation performance were positively correlated. This indicates that simply having BDC is not sufficient to ensure financial success and that organizations must consider where they deploy and how they use these capabilities in their processes. The OL learning style profiles showed significant positive correlations to performance measures, especially financial performance supporting the idea that all organizations need a learning culture. Nevertheless, due to the negative correlations between OL variables, training and learning do not look sufficient in themselves to contrive organizations over the hedge of being enough creative, innovative spirit. The contribution ends by suggesting the necessity of a holistic mix of technical capacities as well as an organizational learning culture and innovative behaviours to exploit this complex meeting point over time. This analysis provides the foundation for further inquiry of regression analysis to determine the mediating effect of potential OL on mediating the relationship between BDC and performance outcomes. Correlation analysis found some positive relationships between the variables; however, results are generally mixed and vague, which indicated that there is a need to explore additional channels for improvement towards organisational performance by adopting BDC.</w:t>
      </w:r>
    </w:p>
    <w:p w14:paraId="6BE6C7D0">
      <w:pPr>
        <w:spacing w:before="120" w:after="240" w:line="360" w:lineRule="auto"/>
        <w:jc w:val="both"/>
        <w:rPr>
          <w:rFonts w:ascii="Times New Roman" w:hAnsi="Times New Roman" w:cs="Times New Roman"/>
          <w:sz w:val="24"/>
          <w:szCs w:val="24"/>
        </w:rPr>
      </w:pPr>
    </w:p>
    <w:p w14:paraId="0F8C690E">
      <w:pPr>
        <w:pStyle w:val="3"/>
        <w:numPr>
          <w:ilvl w:val="1"/>
          <w:numId w:val="6"/>
        </w:numPr>
        <w:spacing w:after="240" w:line="360" w:lineRule="auto"/>
        <w:ind w:left="576" w:hanging="576"/>
        <w:jc w:val="both"/>
        <w:rPr>
          <w:rFonts w:ascii="Times New Roman" w:hAnsi="Times New Roman" w:cs="Times New Roman"/>
          <w:color w:val="auto"/>
        </w:rPr>
      </w:pPr>
      <w:bookmarkStart w:id="52" w:name="_Toc178258280"/>
      <w:r>
        <w:rPr>
          <w:rFonts w:ascii="Times New Roman" w:hAnsi="Times New Roman" w:cs="Times New Roman"/>
          <w:color w:val="auto"/>
        </w:rPr>
        <w:t>Regression and Mediation Analysis</w:t>
      </w:r>
      <w:bookmarkEnd w:id="52"/>
      <w:r>
        <w:rPr>
          <w:rFonts w:ascii="Times New Roman" w:hAnsi="Times New Roman" w:cs="Times New Roman"/>
          <w:color w:val="auto"/>
        </w:rPr>
        <w:t xml:space="preserve"> </w:t>
      </w:r>
    </w:p>
    <w:p w14:paraId="18A7068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regression and mediation analysis form a critical part of understanding the relationships between BDC, OL, and organizational performance in both financial and innovation contexts. Regression analysis allows us to investigate the direct effects of BDC and OL on performance, while mediation analysis helps assess whether OL mediates the relationship between BDC and performance, providing a more comprehensive view of how these variables interact. The first step in this analysis is to perform multiple regression to examine the direct effects of BDC and OL on organizational performance, which is divided into two primary measures: financial performance and innovation performance. In the regression models, the dependent variables are financial performance and innovation performance, while the independent variables include various dimensions of BDC, such as the ability to acquire and integrate BD, the integration of BD into business processes, and the presence of dedicated teams for BD management and OL variables, such as continuous learning, access to BD training, and applying lessons from past projects.</w:t>
      </w:r>
    </w:p>
    <w:p w14:paraId="5AB2CEC6">
      <w:pPr>
        <w:spacing w:before="120" w:after="240" w:line="360" w:lineRule="auto"/>
        <w:jc w:val="both"/>
        <w:rPr>
          <w:rFonts w:ascii="Times New Roman" w:hAnsi="Times New Roman" w:cs="Times New Roman"/>
          <w:sz w:val="20"/>
          <w:szCs w:val="20"/>
        </w:rPr>
      </w:pPr>
      <w:r>
        <w:rPr>
          <w:rFonts w:ascii="Times New Roman" w:hAnsi="Times New Roman" w:cs="Times New Roman"/>
          <w:sz w:val="18"/>
          <w:szCs w:val="18"/>
        </w:rPr>
        <w:drawing>
          <wp:inline distT="0" distB="0" distL="0" distR="0">
            <wp:extent cx="5856605" cy="8252460"/>
            <wp:effectExtent l="0" t="0" r="0" b="0"/>
            <wp:docPr id="188966966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669664" name="图片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861126" cy="8258064"/>
                    </a:xfrm>
                    <a:prstGeom prst="rect">
                      <a:avLst/>
                    </a:prstGeom>
                    <a:noFill/>
                    <a:ln>
                      <a:noFill/>
                    </a:ln>
                  </pic:spPr>
                </pic:pic>
              </a:graphicData>
            </a:graphic>
          </wp:inline>
        </w:drawing>
      </w:r>
    </w:p>
    <w:p w14:paraId="18B35853">
      <w:pPr>
        <w:pStyle w:val="11"/>
        <w:spacing w:before="120" w:after="240" w:line="360" w:lineRule="auto"/>
        <w:jc w:val="both"/>
        <w:rPr>
          <w:rFonts w:ascii="Times New Roman" w:hAnsi="Times New Roman" w:cs="Times New Roman"/>
          <w:b w:val="0"/>
          <w:bCs w:val="0"/>
          <w:color w:val="000000"/>
          <w:sz w:val="20"/>
          <w:szCs w:val="20"/>
          <w14:textFill>
            <w14:solidFill>
              <w14:srgbClr w14:val="000000">
                <w14:lumMod w14:val="75000"/>
                <w14:lumOff w14:val="25000"/>
              </w14:srgbClr>
            </w14:solidFill>
          </w14:textFill>
        </w:rPr>
      </w:pPr>
      <w:r>
        <w:rPr>
          <w:rFonts w:ascii="Times New Roman" w:hAnsi="Times New Roman" w:cs="Times New Roman"/>
          <w:b w:val="0"/>
          <w:bCs w:val="0"/>
          <w:color w:val="000000"/>
          <w:sz w:val="20"/>
          <w:szCs w:val="20"/>
          <w14:textFill>
            <w14:solidFill>
              <w14:srgbClr w14:val="000000">
                <w14:lumMod w14:val="75000"/>
                <w14:lumOff w14:val="25000"/>
              </w14:srgbClr>
            </w14:solidFill>
          </w14:textFill>
        </w:rPr>
        <w:t>Table 4-</w: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begin"/>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instrText xml:space="preserve"> SEQ Table \* ARABIC </w:instrTex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separate"/>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t>3</w: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end"/>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t xml:space="preserve">. Regression analysis summary </w:t>
      </w:r>
    </w:p>
    <w:p w14:paraId="33502C3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Looking at the regression analysis of financial performance, model 1 shows that BDC variables do not have a robust impact in terms of direct effects on economic results. More precisely, whether a firm has sought and incorporated BD, integrated BD into business processes, or formed a dedicated unit for managing BD are all negatively signed coefficients, although not significant at the 1% level. In this analysis, examples include the coefficient of acquiring and integrating BD, which is −0.088 (p &gt; 0.05), as well as that of integrating BD into business processes as −0.079 (p &gt; 0.05), meaning they do not matter if influencing financial performance alone. These findings are consistent with previous results from the bivariate analysis where a negative or not significant correlation between BDC variables and financial performance emerged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{"citationID":"C9i8YX6s","properties":{"formattedCitation":"(Shan {\\i{}et al.}, 2019b)","plainCitation":"(Shan et al., 2019b)","noteIndex":0},"citationItems":[{"id":"1f1CeOcg/9KZfhxCZ","uris":["http://zotero.org/users/10703570/items/LPGNA5SL"],"itemData":{"id":"1f1CeOcg/9KZfhxCZ","type":"article-journal","container-title":"Technology Analysis &amp; Strategic Management","ISSN":"0953-7325","issue":"4","journalAbbreviation":"Technology Analysis &amp; Strategic Management","note":"publisher: Taylor &amp; Francis","page":"406-420","title":"Big data analysis adaptation and enterprises’ competitive advantages: the perspective of dynamic capability and resource-based theories","volume":"31","author":[{"family":"Shan","given":"Siqing"},{"family":"Luo","given":"Yiting"},{"family":"Zhou","given":"Yuan"},{"family":"Wei","given":"Yigang"}],"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 xml:space="preserve">(Shan </w:t>
      </w:r>
      <w:r>
        <w:rPr>
          <w:rFonts w:ascii="Times New Roman" w:hAnsi="Times New Roman" w:cs="Times New Roman"/>
          <w:i/>
          <w:iCs/>
          <w:sz w:val="24"/>
        </w:rPr>
        <w:t>et al.</w:t>
      </w:r>
      <w:r>
        <w:rPr>
          <w:rFonts w:ascii="Times New Roman" w:hAnsi="Times New Roman" w:cs="Times New Roman"/>
          <w:sz w:val="24"/>
        </w:rPr>
        <w:t>, 2019b)</w:t>
      </w:r>
      <w:r>
        <w:rPr>
          <w:rFonts w:ascii="Times New Roman" w:hAnsi="Times New Roman" w:cs="Times New Roman"/>
          <w:sz w:val="24"/>
          <w:szCs w:val="24"/>
        </w:rPr>
        <w:fldChar w:fldCharType="end"/>
      </w:r>
      <w:r>
        <w:rPr>
          <w:rFonts w:ascii="Times New Roman" w:hAnsi="Times New Roman" w:cs="Times New Roman"/>
          <w:sz w:val="24"/>
          <w:szCs w:val="24"/>
        </w:rPr>
        <w:t>.</w:t>
      </w:r>
    </w:p>
    <w:p w14:paraId="25BC0495">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These results show that simply implementing BDC is not enough to ensure bottom-line success. The question is how such capabilities have been or could be operationalized within organizations and what some barriers are to BD being effectively used for financial returns. Organizations might struggle to use input from BD in strategic decision-making or extracting the value of their BD team. The results also suggest that the financial impact of BD, if any, may be more contingent than direct. On the other hand, the regression model for innovation performance tells a slightly different story. The coefficient of the direct effect of obtaining and absorbing BD is a positive sign (0.107), but it is not significant, so obtaining and absorbing BD have some weak positive effect on innovation performance. The rest of the BDC coefficients are still also small, and none shows statistical significance. This implies that BDC might benefit the innovation performance but not as strong as it originally thought. The small direct impact of BDC on innovation performance is likely due to the fact that innovation requires more than only technical competencies but also necessary organizational agility, creativity, and evidence-based knowledge conversion behaviours to propose innovative products and services.</w:t>
      </w:r>
    </w:p>
    <w:p w14:paraId="3908851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found that OL variables have a more significant impact on FS performance than BDC variables. For access to training in BD, the coefficient is 0.181, and it is significant at the 0.05 level (p = 0.049), which means that relating employees with appropriate training leads a firm to achieve better financial outcomes. This research suggests that employees need to be trained in how to use BD this way and that such training will pay off in terms of higher revenue and lower costs. Conversely, the coefficient for continuous learning is positively signed but not statistically significant (0.070), denoting only a marginally positive effect on financial performance. The positive sign of the coefficient nevertheless means that supporting a culture of continuous learning should, in all likelihood, be good for financial outcomes, even if this is not immediate or necessarily obvious. However, applying knowledge and lessons learned from past projects also has a positive coefficient of almost the same magnitude (0.063). However, it is statistically significant only at p &lt; 30%, which means that learning is definitely important but not enough to explain financial performance completely. </w:t>
      </w:r>
    </w:p>
    <w:p w14:paraId="16E7CA8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contextual difference is that the regressions wherein we introduce OL variables into the regression model for innovation performance provide somewhat mixed results as well. Continuous learning has a positive coefficient of 0.170, but the impact is not statistically significant (p = 0.077), meaning that over and above reporting attendance, acknowledging you have learned along the way can add something towards good inquiries being done. Significantly, the coefficient on BD training by itself is negative and significant (-0.220, p = 0.026), indicating that training helps improve financial performance but does not necessarily drive innovation. The results were counter-intuitive, but the authors suggest that this may be because BD training can be about efficiency and follow-through rather than confronting the uncertain and irrational nature of innovation, which demands creative thinking, experimentation, and failure. Especially when it comes to learning or training data-related knowledge, organizations may need to combine with measures that support a culture of risk-taking and exploration which is crucial for innovation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{"citationID":"f3AYQ8Wm","properties":{"formattedCitation":"(Ghasemaghaei and Calic, 2019)","plainCitation":"(Ghasemaghaei and Calic, 2019)","noteIndex":0},"citationItems":[{"id":"1f1CeOcg/lArBDr5X","uris":["http://zotero.org/users/10703570/items/N433UPSN"],"itemData":{"id":"1f1CeOcg/lArBDr5X","type":"article-journal","container-title":"Journal of Business Research","ISSN":"0148-2963","journalAbbreviation":"Journal of Business Research","note":"publisher: Elsevier","page":"69-84","title":"Does big data enhance firm innovation competency? The mediating role of data-driven insights","volume":"104","author":[{"family":"Ghasemaghaei","given":"Maryam"},{"family":"Calic","given":"Goran"}],"issued":{"date-parts":[["2019"]]}}}],"schema":"https://github.com/citation-style-language/schema/raw/master/csl-citation.json"} </w:instrText>
      </w:r>
      <w:r>
        <w:rPr>
          <w:rFonts w:ascii="Times New Roman" w:hAnsi="Times New Roman" w:cs="Times New Roman"/>
          <w:sz w:val="24"/>
          <w:szCs w:val="24"/>
        </w:rPr>
        <w:fldChar w:fldCharType="separate"/>
      </w:r>
      <w:r>
        <w:rPr>
          <w:rFonts w:ascii="Times New Roman" w:hAnsi="Times New Roman" w:cs="Times New Roman"/>
          <w:sz w:val="24"/>
        </w:rPr>
        <w:t>(Ghasemaghaei and Calic, 2019)</w:t>
      </w:r>
      <w:r>
        <w:rPr>
          <w:rFonts w:ascii="Times New Roman" w:hAnsi="Times New Roman" w:cs="Times New Roman"/>
          <w:sz w:val="24"/>
          <w:szCs w:val="24"/>
        </w:rPr>
        <w:fldChar w:fldCharType="end"/>
      </w:r>
      <w:r>
        <w:rPr>
          <w:rFonts w:ascii="Times New Roman" w:hAnsi="Times New Roman" w:cs="Times New Roman"/>
          <w:sz w:val="24"/>
          <w:szCs w:val="24"/>
        </w:rPr>
        <w:t>.</w:t>
      </w:r>
    </w:p>
    <w:p w14:paraId="555290B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negative BD training coefficient and positive innovation performance suggest just how difficult it is to walk the fine line between operational excellence and innovation. However, in serving to enable employees to make better use of data now, the data shows a downside: it might help explain why so many seem to be unable to unleash creativity. These findings highlight the importance of companies taking a more holistic approach when it comes to boosting employee development and training not in silos but accompanied by programs that cultivate and reinforce innovation or creativity.</w:t>
      </w:r>
    </w:p>
    <w:p w14:paraId="5B85876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first step is to explore the direct effect of BDC on performance and OL on performance; the second step is to analyze the mediating role of organizational learning. This study tests the direct effect of BDC on performance without OL, followed by testing the indirect effect of BDC on performance through OL. According to the results of the mediation analysis, OL only partially mediates the relationship between BDC and financial performance. For example, the coefficient of BDC with sub-item 26 is -0.088. This implies that BDC itself is not necessarily directly driving financial performance, but a strong learning culture underpinning these more efficient competencies can increase their efficacy, thereby improving the bottom line.</w:t>
      </w:r>
    </w:p>
    <w:p w14:paraId="2CA76D1B">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Similarly, the mediation analysis for innovation performance indicates that OL acts as a partial mediator in the relationship between BDC and innovation results. The net positive effects of BDC on innovation performance appear to be slightly strengthened when OL variables are incorporated into the model, indicating a potential enhancement in the influence of BDC for innovation fueled by OL. For instance, the coefficient for Big data acquisition was at 0.107 and slightly increased when OL variables were entered as a part of the model, indicating the strengthening of organizational learning processes to improve BDC exploitation towards innovation ends. Mediation effects of OL, however, are not that strong, which indicates that good performance outcomes are achieved through the mediation of other factors too. Organizational culture, leadership, and decision-making processes are examples of how the organizational context may interact with both BDC and OL in relation to performance. This complexity underscores the need for a multi-dimensional approach that investigates how BDC and OL interact with multiple performance leverage points.</w:t>
      </w:r>
    </w:p>
    <w:p w14:paraId="2E11689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results from the regression and mediation analyses offer several important implications for researchers and practitioners. They also propose that deploying BDC in isolation is unlikely to improve outcomes, especially financial outcomes. The integrated nature of these capabilities notwithstanding, organizations will still have to respond to questions about how these capabilities are linked back into broader strategies and operational processes, as well as about what is needed in terms of upskilling employees so that they can effectively leverage these capabilities. Second, OL has a definite role in improving performance, which includes influencing financial results. BDC implemented in training not only ensures that BDC functions at an optimum level for your organization but also equips leadership to make faster and better-informed decisions. As the above-mentioned study highlights, there is a deeper connection when it comes to understanding OL and its relationship with innovation, and we must make sure that our training programs open up for ideas rather than kill creativity by encouraging efficiency and execution.</w:t>
      </w:r>
    </w:p>
    <w:p w14:paraId="6CE75DF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Overall, the regression and mediation analyses brought out deeper associations between BDC, OL and performance. According to Hypothesis 3 (H3), OL moderates the relationships between BDC and the financial performance and innovation performance of firms. To squeeze the most value out of BDC, organizations need a start-to-end lifecycle that combines deep technical capabilities with a thick learning culture and an environment conducive to being creative and innovative. The results of this study have important implications for researchers and practitioners, reinforcing the importance of a more holistic view in using BD to enhance organizational performance.</w:t>
      </w:r>
    </w:p>
    <w:p w14:paraId="030DEF5C">
      <w:pPr>
        <w:spacing w:before="120" w:after="240" w:line="360" w:lineRule="auto"/>
        <w:jc w:val="both"/>
        <w:rPr>
          <w:rFonts w:ascii="Times New Roman" w:hAnsi="Times New Roman" w:cs="Times New Roman"/>
          <w:sz w:val="24"/>
          <w:szCs w:val="24"/>
        </w:rPr>
      </w:pPr>
    </w:p>
    <w:p w14:paraId="48A4494E">
      <w:pPr>
        <w:spacing w:before="120" w:after="240" w:line="360" w:lineRule="auto"/>
        <w:jc w:val="both"/>
        <w:rPr>
          <w:rFonts w:ascii="Times New Roman" w:hAnsi="Times New Roman" w:cs="Times New Roman"/>
          <w:sz w:val="20"/>
          <w:szCs w:val="20"/>
        </w:rPr>
      </w:pPr>
      <w:r>
        <w:rPr>
          <w:rFonts w:ascii="Times New Roman" w:hAnsi="Times New Roman" w:cs="Times New Roman"/>
          <w:sz w:val="18"/>
          <w:szCs w:val="18"/>
        </w:rPr>
        <w:drawing>
          <wp:inline distT="0" distB="0" distL="0" distR="0">
            <wp:extent cx="6120130" cy="3665220"/>
            <wp:effectExtent l="0" t="0" r="0" b="0"/>
            <wp:docPr id="83519449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194498" name="图片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6120130" cy="3665220"/>
                    </a:xfrm>
                    <a:prstGeom prst="rect">
                      <a:avLst/>
                    </a:prstGeom>
                    <a:noFill/>
                    <a:ln>
                      <a:noFill/>
                    </a:ln>
                  </pic:spPr>
                </pic:pic>
              </a:graphicData>
            </a:graphic>
          </wp:inline>
        </w:drawing>
      </w:r>
    </w:p>
    <w:p w14:paraId="619D079C">
      <w:pPr>
        <w:pStyle w:val="11"/>
        <w:spacing w:before="120" w:after="240" w:line="360" w:lineRule="auto"/>
        <w:jc w:val="both"/>
        <w:rPr>
          <w:rFonts w:ascii="Times New Roman" w:hAnsi="Times New Roman" w:cs="Times New Roman"/>
          <w:b w:val="0"/>
          <w:bCs w:val="0"/>
          <w:color w:val="000000"/>
          <w:sz w:val="20"/>
          <w:szCs w:val="20"/>
          <w14:textFill>
            <w14:solidFill>
              <w14:srgbClr w14:val="000000">
                <w14:lumMod w14:val="75000"/>
                <w14:lumOff w14:val="25000"/>
              </w14:srgbClr>
            </w14:solidFill>
          </w14:textFill>
        </w:rPr>
      </w:pPr>
      <w:r>
        <w:rPr>
          <w:rFonts w:ascii="Times New Roman" w:hAnsi="Times New Roman" w:cs="Times New Roman"/>
          <w:b w:val="0"/>
          <w:bCs w:val="0"/>
          <w:color w:val="000000"/>
          <w:sz w:val="20"/>
          <w:szCs w:val="20"/>
          <w14:textFill>
            <w14:solidFill>
              <w14:srgbClr w14:val="000000">
                <w14:lumMod w14:val="75000"/>
                <w14:lumOff w14:val="25000"/>
              </w14:srgbClr>
            </w14:solidFill>
          </w14:textFill>
        </w:rPr>
        <w:t>Table 4-</w: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begin"/>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instrText xml:space="preserve"> SEQ Table \* ARABIC </w:instrTex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separate"/>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t>4</w:t>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fldChar w:fldCharType="end"/>
      </w:r>
      <w:r>
        <w:rPr>
          <w:rFonts w:ascii="Times New Roman" w:hAnsi="Times New Roman" w:cs="Times New Roman"/>
          <w:b w:val="0"/>
          <w:bCs w:val="0"/>
          <w:color w:val="000000"/>
          <w:sz w:val="20"/>
          <w:szCs w:val="20"/>
          <w14:textFill>
            <w14:solidFill>
              <w14:srgbClr w14:val="000000">
                <w14:lumMod w14:val="75000"/>
                <w14:lumOff w14:val="25000"/>
              </w14:srgbClr>
            </w14:solidFill>
          </w14:textFill>
        </w:rPr>
        <w:t xml:space="preserve">. Hypothesis testing summary  </w:t>
      </w:r>
    </w:p>
    <w:p w14:paraId="6039C715">
      <w:pPr>
        <w:spacing w:before="120" w:after="240" w:line="360" w:lineRule="auto"/>
        <w:jc w:val="both"/>
        <w:rPr>
          <w:rFonts w:ascii="Times New Roman" w:hAnsi="Times New Roman" w:cs="Times New Roman" w:eastAsiaTheme="majorEastAsia"/>
          <w:sz w:val="40"/>
          <w:szCs w:val="40"/>
        </w:rPr>
      </w:pPr>
      <w:r>
        <w:rPr>
          <w:rFonts w:ascii="Times New Roman" w:hAnsi="Times New Roman" w:cs="Times New Roman"/>
        </w:rPr>
        <w:br w:type="page"/>
      </w:r>
    </w:p>
    <w:p w14:paraId="2397618C">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53" w:name="_Toc178258281"/>
      <w:r>
        <w:rPr>
          <w:rFonts w:ascii="Times New Roman" w:hAnsi="Times New Roman" w:cs="Times New Roman"/>
          <w:color w:val="000000"/>
          <w14:textFill>
            <w14:solidFill>
              <w14:srgbClr w14:val="000000">
                <w14:lumMod w14:val="85000"/>
                <w14:lumOff w14:val="15000"/>
              </w14:srgbClr>
            </w14:solidFill>
          </w14:textFill>
        </w:rPr>
        <w:t>Chapter Five: Conclusion</w:t>
      </w:r>
      <w:bookmarkEnd w:id="53"/>
      <w:r>
        <w:rPr>
          <w:rFonts w:ascii="Times New Roman" w:hAnsi="Times New Roman" w:cs="Times New Roman"/>
          <w:color w:val="000000"/>
          <w14:textFill>
            <w14:solidFill>
              <w14:srgbClr w14:val="000000">
                <w14:lumMod w14:val="85000"/>
                <w14:lumOff w14:val="15000"/>
              </w14:srgbClr>
            </w14:solidFill>
          </w14:textFill>
        </w:rPr>
        <w:t xml:space="preserve"> </w:t>
      </w:r>
    </w:p>
    <w:p w14:paraId="01860770">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the previous chapters, the present research examined how BDC affects firms' financial performance and innovation performance through OL through statistical analysis. Based on the analysis, this chapter summarises the research outcomes to answer the two research questions directly. Subsequently, the chapter discusses the managerial implications directed from the empirical analysis. In addition, the chapter discusses the inherent limitations of the present research and points out the potential directions for future research.</w:t>
      </w:r>
    </w:p>
    <w:p w14:paraId="0DD8036C">
      <w:pPr>
        <w:spacing w:before="120" w:after="240" w:line="360" w:lineRule="auto"/>
        <w:jc w:val="both"/>
        <w:rPr>
          <w:rFonts w:ascii="Times New Roman" w:hAnsi="Times New Roman" w:cs="Times New Roman"/>
          <w:sz w:val="24"/>
          <w:szCs w:val="24"/>
        </w:rPr>
      </w:pPr>
    </w:p>
    <w:p w14:paraId="3307EE66">
      <w:pPr>
        <w:pStyle w:val="3"/>
        <w:spacing w:after="240" w:line="360" w:lineRule="auto"/>
        <w:jc w:val="both"/>
        <w:rPr>
          <w:rFonts w:ascii="Times New Roman" w:hAnsi="Times New Roman" w:cs="Times New Roman"/>
          <w:color w:val="auto"/>
        </w:rPr>
      </w:pPr>
      <w:bookmarkStart w:id="54" w:name="_Toc178258282"/>
      <w:r>
        <w:rPr>
          <w:rFonts w:ascii="Times New Roman" w:hAnsi="Times New Roman" w:cs="Times New Roman"/>
          <w:color w:val="auto"/>
        </w:rPr>
        <w:t>5.1 Concluding Remarks</w:t>
      </w:r>
      <w:bookmarkEnd w:id="54"/>
      <w:r>
        <w:rPr>
          <w:rFonts w:ascii="Times New Roman" w:hAnsi="Times New Roman" w:cs="Times New Roman"/>
          <w:color w:val="auto"/>
        </w:rPr>
        <w:t xml:space="preserve"> </w:t>
      </w:r>
    </w:p>
    <w:p w14:paraId="52518BD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present research aims to answer two main research questions: First, how does BDC adoption affect the enterprise performance of Chinese firms? Second, does OL play a mediating role between BDC capabilities and firm performance? The present study obtained the following key findings through statistical analyses of the questionnaire data to test the hypotheses.</w:t>
      </w:r>
    </w:p>
    <w:p w14:paraId="1D6DC16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present study systematically analyses the impact of BDC on firms' financial performance and innovation performance and explores the mediating role played by OL in this process. By applying RBT, DCT and OLT, a BDC model containing three dimensions: resource integration capability, in-depth analytical capability, and real-time insight and prediction capability were constructed. The data for the study was obtained from an online questionnaire survey of management and frontline employees whose job responsibilities are closely related to the development, enhancement or overseeing of BDC, and the data was analysed through structural equation modelling (SEM).</w:t>
      </w:r>
    </w:p>
    <w:p w14:paraId="16A27BB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research outcomes show that BDC has a significant positive effect on innovation performance, especially resource integration capability and real-time insight and prediction capability, which are two dimensions crucial for driving innovation in a firm. Specifically, resource integration capability enables firms to effectively utilise and integrate BD resources to drive new product development and innovation processes. In contrast, real-time insight and prediction capability enables firms to capture changes in market demand in a timely manner, identify innovation opportunities in advance, and enhance market competitiveness.</w:t>
      </w:r>
    </w:p>
    <w:p w14:paraId="727104C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the direct impact of BDC on financial performance is not significant. Although companies have high BDC, this does not directly convert into short-term financial gains. This result suggests that financial performance improvement may take longer or rely on a combination of other factors, such as operational efficiency, market strategy, etc. </w:t>
      </w:r>
    </w:p>
    <w:p w14:paraId="74D041D1">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addition, OL was found to play an important partial mediating role between BDC and financial and innovation performance. By facilitating employees' learning and knowledge uptake of BD, organisations can better convert and consolidate BDC into tangible financial returns and innovation outcomes. The research outcomes validate the significant impact of BDC on innovation performance and further reveal the importance of OL as a key enhancement factor.</w:t>
      </w:r>
    </w:p>
    <w:p w14:paraId="7479E9BB">
      <w:pPr>
        <w:spacing w:before="120" w:after="240" w:line="360" w:lineRule="auto"/>
        <w:jc w:val="both"/>
        <w:rPr>
          <w:rFonts w:ascii="Times New Roman" w:hAnsi="Times New Roman" w:cs="Times New Roman"/>
          <w:sz w:val="24"/>
          <w:szCs w:val="24"/>
        </w:rPr>
      </w:pPr>
    </w:p>
    <w:p w14:paraId="0408A00D">
      <w:pPr>
        <w:pStyle w:val="3"/>
        <w:spacing w:after="240" w:line="360" w:lineRule="auto"/>
        <w:jc w:val="both"/>
        <w:rPr>
          <w:rFonts w:ascii="Times New Roman" w:hAnsi="Times New Roman" w:cs="Times New Roman"/>
          <w:color w:val="auto"/>
        </w:rPr>
      </w:pPr>
      <w:bookmarkStart w:id="55" w:name="_Toc178258283"/>
      <w:r>
        <w:rPr>
          <w:rFonts w:ascii="Times New Roman" w:hAnsi="Times New Roman" w:cs="Times New Roman"/>
          <w:color w:val="auto"/>
        </w:rPr>
        <w:t>5.2 Managerial Implications</w:t>
      </w:r>
      <w:bookmarkEnd w:id="55"/>
      <w:r>
        <w:rPr>
          <w:rFonts w:ascii="Times New Roman" w:hAnsi="Times New Roman" w:cs="Times New Roman"/>
          <w:color w:val="auto"/>
        </w:rPr>
        <w:t xml:space="preserve"> </w:t>
      </w:r>
    </w:p>
    <w:p w14:paraId="59F0C29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 xml:space="preserve">Besides the theoretical contribution in narrowing the previous research gap, the research findings above can also afford some practical recommendations that can guide businesses operating in China. These recommendations are particularly relevant given that the state has continuously promulgated the development and enhancement of BDC. Based on the above research outcomes, the following managerial implications are then generated. </w:t>
      </w:r>
    </w:p>
    <w:p w14:paraId="04666A69">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Enhancing Resource Integration Capabilities to Drive Innovation: the above findings suggest that resource integration capability is one of the most significant dimensions of Big Data Capability (BDC) that affects innovation performance. Therefore, Chinese enterprises, those that already have a BD infrastructure in place, should prioritise how to effectively integrate and utilise internal and external BD resources to enhance the breadth and depth of data. Specifically, Chinese business managers can improve the accessibility and operability of data by building a cross-functional data integration platform and strengthening cooperation between different functional departments. Encouraging data sharing and cross-departmental cooperation will help Chinese companies reduce the formation of data silos, thus improving the efficiency of data utilisation, identifying market changes faster and gaining rapid market adaptability and responsiveness through data-driven innovation.</w:t>
      </w:r>
    </w:p>
    <w:p w14:paraId="680CF72A">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Strategically investing in real-time insights and predictive capabilities: Empirical research also confirms that real-time insights and forecasting capabilities have been shown to contribute to innovation performance significantly. Therefore, Chinese companies should consider prioritising the allocation of resources, such as capital and manpower, to technologies and tools that enhance real-time analytics and forecasting. By introducing advanced predictive analytics tools, such as artificial intelligence and machine learning technologies, Chinese business managers can more efficiently help their organisations accurately predict market trends and changes in consumer demand based on data integration so that they can make timely adjustments to their product development and innovation strategies. In addition, Chinese business managers should ensure that their technology infrastructure is capable of supporting real-time data processing, as the above process involves the continuous introduction of cutting-edge data advancements. This includes, among other things, that companies should provide appropriate training to relevant employees to enhance their real-time ability to utilise these tools.</w:t>
      </w:r>
    </w:p>
    <w:p w14:paraId="5472E8DD">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Constructing a supportive culture and structure for continuous OL: The above empirical study reveals the important mediating role of organisational learning between BDC and financial and innovative performance. To maximise the positive impact of BDC on business performance, Chinese business managers should actively foster an organisational learning culture and structure. Specific practices could include establishing a knowledge management system, conducting regular BD-related training and workshops, and encouraging employees to share and apply what they learn. This continuous learning process, as well as culture, will help Chinese organisations to remain competitive in the fast-changing market environment through continuous learning of Big Data-related capabilities and knowledge.</w:t>
      </w:r>
    </w:p>
    <w:p w14:paraId="575C419F">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Perceiving BDC as a long-term strategic investment: Although the present study shows that BDC has a limited direct impact on financial performance, it indirectly affects financial performance through innovation performance. This implies that managers should not only focus on the short-term financial return of BDC investment but also make long-term plans and focus on the strategic value of BDC. For example, Chinese firms should view BDC as a long-term investment that will ultimately lead to improved financial performance through enhanced innovation capabilities as well as other capabilities and should not be myopically hampered by the investment involved in building BDC. In addition, Chinese enterprises should evaluate how to embed BDC into their business processes and drive company-wide digital transformation so as to achieve long-term and sustainable financial returns from the deeper integration of BDC into the business over the long term.</w:t>
      </w:r>
    </w:p>
    <w:p w14:paraId="094E5AB7">
      <w:pPr>
        <w:spacing w:before="120" w:after="240" w:line="360" w:lineRule="auto"/>
        <w:jc w:val="both"/>
        <w:rPr>
          <w:rFonts w:ascii="Times New Roman" w:hAnsi="Times New Roman" w:cs="Times New Roman"/>
          <w:sz w:val="24"/>
          <w:szCs w:val="24"/>
        </w:rPr>
      </w:pPr>
    </w:p>
    <w:p w14:paraId="1DFACBD1">
      <w:pPr>
        <w:pStyle w:val="3"/>
        <w:spacing w:after="240" w:line="360" w:lineRule="auto"/>
        <w:jc w:val="both"/>
        <w:rPr>
          <w:rFonts w:ascii="Times New Roman" w:hAnsi="Times New Roman" w:cs="Times New Roman"/>
          <w:color w:val="auto"/>
        </w:rPr>
      </w:pPr>
      <w:bookmarkStart w:id="56" w:name="_Toc178258284"/>
      <w:r>
        <w:rPr>
          <w:rFonts w:ascii="Times New Roman" w:hAnsi="Times New Roman" w:cs="Times New Roman"/>
          <w:color w:val="auto"/>
        </w:rPr>
        <w:t>5.3 Limitations of the Research and Future Research Directions</w:t>
      </w:r>
      <w:bookmarkEnd w:id="56"/>
      <w:r>
        <w:rPr>
          <w:rFonts w:ascii="Times New Roman" w:hAnsi="Times New Roman" w:cs="Times New Roman"/>
          <w:color w:val="auto"/>
        </w:rPr>
        <w:t xml:space="preserve"> </w:t>
      </w:r>
    </w:p>
    <w:p w14:paraId="3969C048">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The data for this study was collected mainly through an online questionnaire, and convenience sampling and snowball sampling methods were used. This sampling method, despite its economy and convenience in obtaining a sample, may result in an underrepresentative sample. Factors such as cultural background, industry distribution, and firm size of the sample may not fully reflect the differences in BDC and organisational learning across different types of firms. Therefore, the extrapolation of the findings is somewhat limited, and future research should try to expand the data sample to include evidence of Chinese enterprises from different regions, industries, and sizes in order to improve the generalisability of the findings in the Chinese context.</w:t>
      </w:r>
    </w:p>
    <w:p w14:paraId="29025C34">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the meantime, this study uses cross-sectional data. While this approach provides a snapshot of the relationship between the variables of interest, it is difficult to capture the dynamic impact of BDC on firm performance over the long term, e.g., the financial impact of BDC on firms may be effective in the short term but not in the long term. The implementation of BDC and its impact on innovation and financial performance cam take a longer time to be manifested. Based on this study, future related research could combine cross-sectional as well as longitudinal studies to explore the causal relationship between BDC and the different organiztional outcomes and how this relationship changes over time.</w:t>
      </w:r>
    </w:p>
    <w:p w14:paraId="5A980CC2">
      <w:pPr>
        <w:spacing w:before="120" w:after="240" w:line="360" w:lineRule="auto"/>
        <w:jc w:val="both"/>
        <w:rPr>
          <w:rFonts w:ascii="Times New Roman" w:hAnsi="Times New Roman" w:cs="Times New Roman"/>
          <w:sz w:val="24"/>
          <w:szCs w:val="24"/>
        </w:rPr>
      </w:pPr>
      <w:r>
        <w:rPr>
          <w:rFonts w:ascii="Times New Roman" w:hAnsi="Times New Roman" w:cs="Times New Roman"/>
          <w:sz w:val="24"/>
          <w:szCs w:val="24"/>
        </w:rPr>
        <w:t>In addition, based on a review and synthesis of existing literature, the present study classifies BDC into three dimensions. Although these dimensions provide a theoretical framework for analysing BDC, in practical applications, BDC may involve more levels of complexity and uncertainty, such as BD corporate culture, BD talent pool, BD leadership, etc., etc. These uncovered dimensions may have a significant impact on firms' financial and innovation performance. Therefore, based on this study, future research could consider a more nuanced and comprehensive decomposition of BDC to explore its more nuanced dimensions and its more comprehensive impact on firm performance.</w:t>
      </w:r>
    </w:p>
    <w:p w14:paraId="162E4E76">
      <w:pPr>
        <w:spacing w:before="120" w:after="240" w:line="360" w:lineRule="auto"/>
        <w:jc w:val="both"/>
        <w:rPr>
          <w:rFonts w:ascii="Times New Roman" w:hAnsi="Times New Roman" w:cs="Times New Roman" w:eastAsiaTheme="majorEastAsia"/>
          <w:sz w:val="36"/>
          <w:szCs w:val="36"/>
        </w:rPr>
      </w:pPr>
      <w:r>
        <w:rPr>
          <w:rFonts w:ascii="Times New Roman" w:hAnsi="Times New Roman" w:cs="Times New Roman"/>
          <w:sz w:val="24"/>
          <w:szCs w:val="24"/>
        </w:rPr>
        <w:t>Finally, this study targets Chinese firms, but it does not discuss the impact of industry heterogeneity, size heterogeneity, or even ownership heterogeneity (whether it is a state-owned enterprise, a listed enterprise, or a private enterprise) on the construction and development of BDC, as well as the impact of BDC on firm performance. Therefore, future research can further consider the general patterns under different dimensions of heterogeneity, e.g., focusing on a certain Chinese industry, a certain type of enterprise (e.g., state-owned enterprises), a certain medium-sized enterprise (e.g., small and medium enterprises), and so on. Such studies and research can provide more concrete implications for specific contexts.</w:t>
      </w:r>
      <w:r>
        <w:rPr>
          <w:rFonts w:ascii="Times New Roman" w:hAnsi="Times New Roman" w:cs="Times New Roman"/>
        </w:rPr>
        <w:br w:type="page"/>
      </w:r>
    </w:p>
    <w:p w14:paraId="0984D27F">
      <w:pPr>
        <w:pStyle w:val="2"/>
        <w:spacing w:before="120" w:after="240" w:line="48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57" w:name="_Toc178258285"/>
      <w:r>
        <w:rPr>
          <w:rFonts w:ascii="Times New Roman" w:hAnsi="Times New Roman" w:cs="Times New Roman"/>
          <w:color w:val="000000"/>
          <w14:textFill>
            <w14:solidFill>
              <w14:srgbClr w14:val="000000">
                <w14:lumMod w14:val="85000"/>
                <w14:lumOff w14:val="15000"/>
              </w14:srgbClr>
            </w14:solidFill>
          </w14:textFill>
        </w:rPr>
        <w:t>References</w:t>
      </w:r>
      <w:bookmarkEnd w:id="57"/>
      <w:r>
        <w:rPr>
          <w:rFonts w:ascii="Times New Roman" w:hAnsi="Times New Roman" w:cs="Times New Roman"/>
          <w:color w:val="000000"/>
          <w14:textFill>
            <w14:solidFill>
              <w14:srgbClr w14:val="000000">
                <w14:lumMod w14:val="85000"/>
                <w14:lumOff w14:val="15000"/>
              </w14:srgbClr>
            </w14:solidFill>
          </w14:textFill>
        </w:rPr>
        <w:t xml:space="preserve"> </w:t>
      </w:r>
    </w:p>
    <w:p w14:paraId="478C0C81">
      <w:pPr>
        <w:pStyle w:val="57"/>
        <w:spacing w:before="120" w:line="480" w:lineRule="auto"/>
        <w:rPr>
          <w:rFonts w:ascii="Times New Roman" w:hAnsi="Times New Roman" w:cs="Times New Roman"/>
          <w:sz w:val="24"/>
          <w:szCs w:val="24"/>
          <w:lang w:val="fr-FR"/>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ZOTERO_BIBL {"uncited":[],"omitted":[],"custom":[]} CSL_BIBLIOGRAPHY </w:instrText>
      </w:r>
      <w:r>
        <w:rPr>
          <w:rFonts w:ascii="Times New Roman" w:hAnsi="Times New Roman" w:cs="Times New Roman"/>
          <w:sz w:val="24"/>
          <w:szCs w:val="24"/>
        </w:rPr>
        <w:fldChar w:fldCharType="separate"/>
      </w:r>
      <w:r>
        <w:rPr>
          <w:rFonts w:ascii="Times New Roman" w:hAnsi="Times New Roman" w:cs="Times New Roman"/>
          <w:sz w:val="24"/>
          <w:szCs w:val="24"/>
        </w:rPr>
        <w:t xml:space="preserve">Akter, S. </w:t>
      </w:r>
      <w:r>
        <w:rPr>
          <w:rFonts w:ascii="Times New Roman" w:hAnsi="Times New Roman" w:cs="Times New Roman"/>
          <w:i/>
          <w:iCs/>
          <w:sz w:val="24"/>
          <w:szCs w:val="24"/>
        </w:rPr>
        <w:t>et al.</w:t>
      </w:r>
      <w:r>
        <w:rPr>
          <w:rFonts w:ascii="Times New Roman" w:hAnsi="Times New Roman" w:cs="Times New Roman"/>
          <w:sz w:val="24"/>
          <w:szCs w:val="24"/>
        </w:rPr>
        <w:t xml:space="preserve"> (2016) ‘How to improve firm performance using big data analytics capability and business strategy alignment?’, </w:t>
      </w:r>
      <w:r>
        <w:rPr>
          <w:rFonts w:ascii="Times New Roman" w:hAnsi="Times New Roman" w:cs="Times New Roman"/>
          <w:i/>
          <w:iCs/>
          <w:sz w:val="24"/>
          <w:szCs w:val="24"/>
        </w:rPr>
        <w:t>International Journal of Production Economics</w:t>
      </w:r>
      <w:r>
        <w:rPr>
          <w:rFonts w:ascii="Times New Roman" w:hAnsi="Times New Roman" w:cs="Times New Roman"/>
          <w:sz w:val="24"/>
          <w:szCs w:val="24"/>
        </w:rPr>
        <w:t xml:space="preserve">, 182, pp. 113–131. </w:t>
      </w:r>
    </w:p>
    <w:p w14:paraId="62C89DCF">
      <w:pPr>
        <w:pStyle w:val="57"/>
        <w:spacing w:before="120" w:line="480" w:lineRule="auto"/>
        <w:rPr>
          <w:rFonts w:ascii="Times New Roman" w:hAnsi="Times New Roman" w:cs="Times New Roman"/>
          <w:sz w:val="24"/>
          <w:szCs w:val="24"/>
        </w:rPr>
      </w:pPr>
      <w:r>
        <w:rPr>
          <w:rFonts w:ascii="Times New Roman" w:hAnsi="Times New Roman" w:cs="Times New Roman"/>
          <w:sz w:val="24"/>
          <w:szCs w:val="24"/>
          <w:lang w:val="fr-FR"/>
        </w:rPr>
        <w:t xml:space="preserve">Akter, S. </w:t>
      </w:r>
      <w:r>
        <w:rPr>
          <w:rFonts w:ascii="Times New Roman" w:hAnsi="Times New Roman" w:cs="Times New Roman"/>
          <w:i/>
          <w:iCs/>
          <w:sz w:val="24"/>
          <w:szCs w:val="24"/>
          <w:lang w:val="fr-FR"/>
        </w:rPr>
        <w:t>et al.</w:t>
      </w:r>
      <w:r>
        <w:rPr>
          <w:rFonts w:ascii="Times New Roman" w:hAnsi="Times New Roman" w:cs="Times New Roman"/>
          <w:sz w:val="24"/>
          <w:szCs w:val="24"/>
          <w:lang w:val="fr-FR"/>
        </w:rPr>
        <w:t xml:space="preserve"> </w:t>
      </w:r>
      <w:r>
        <w:rPr>
          <w:rFonts w:ascii="Times New Roman" w:hAnsi="Times New Roman" w:cs="Times New Roman"/>
          <w:sz w:val="24"/>
          <w:szCs w:val="24"/>
        </w:rPr>
        <w:t xml:space="preserve">(2019) ‘How talent capability can shape service analytics capability in the big data environment?’, </w:t>
      </w:r>
      <w:r>
        <w:rPr>
          <w:rFonts w:ascii="Times New Roman" w:hAnsi="Times New Roman" w:cs="Times New Roman"/>
          <w:i/>
          <w:iCs/>
          <w:sz w:val="24"/>
          <w:szCs w:val="24"/>
        </w:rPr>
        <w:t>Journal of Strategic Marketing</w:t>
      </w:r>
      <w:r>
        <w:rPr>
          <w:rFonts w:ascii="Times New Roman" w:hAnsi="Times New Roman" w:cs="Times New Roman"/>
          <w:sz w:val="24"/>
          <w:szCs w:val="24"/>
        </w:rPr>
        <w:t>, 27(6), pp. 521–539.</w:t>
      </w:r>
    </w:p>
    <w:p w14:paraId="455AEC16">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Amit, R. and Schoemaker, P.J.H. (1993) ‘Strategic assets and organizational rent’, </w:t>
      </w:r>
      <w:r>
        <w:rPr>
          <w:rFonts w:ascii="Times New Roman" w:hAnsi="Times New Roman" w:cs="Times New Roman"/>
          <w:i/>
          <w:iCs/>
          <w:sz w:val="24"/>
          <w:szCs w:val="24"/>
        </w:rPr>
        <w:t>Strategic Management Journal</w:t>
      </w:r>
      <w:r>
        <w:rPr>
          <w:rFonts w:ascii="Times New Roman" w:hAnsi="Times New Roman" w:cs="Times New Roman"/>
          <w:sz w:val="24"/>
          <w:szCs w:val="24"/>
        </w:rPr>
        <w:t>, 14(1), pp. 33–46.</w:t>
      </w:r>
    </w:p>
    <w:p w14:paraId="4C1FD252">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Anwar, M., Khan, S.Z. and Shah, S.Z.A. (2018) ‘Big data capabilities and firm’s performance: a mediating role of competitive advantage’, </w:t>
      </w:r>
      <w:r>
        <w:rPr>
          <w:rFonts w:ascii="Times New Roman" w:hAnsi="Times New Roman" w:cs="Times New Roman"/>
          <w:i/>
          <w:iCs/>
          <w:sz w:val="24"/>
          <w:szCs w:val="24"/>
        </w:rPr>
        <w:t>Journal of Information &amp; Knowledge Management</w:t>
      </w:r>
      <w:r>
        <w:rPr>
          <w:rFonts w:ascii="Times New Roman" w:hAnsi="Times New Roman" w:cs="Times New Roman"/>
          <w:sz w:val="24"/>
          <w:szCs w:val="24"/>
        </w:rPr>
        <w:t>, 17(04), p. 1850045.</w:t>
      </w:r>
    </w:p>
    <w:p w14:paraId="7BD474D1">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Argyris, C. and Schön, D.A. (1997) ‘Organizational learning: A theory of action perspective’, </w:t>
      </w:r>
      <w:r>
        <w:rPr>
          <w:rFonts w:ascii="Times New Roman" w:hAnsi="Times New Roman" w:cs="Times New Roman"/>
          <w:i/>
          <w:iCs/>
          <w:sz w:val="24"/>
          <w:szCs w:val="24"/>
        </w:rPr>
        <w:t>Reis</w:t>
      </w:r>
      <w:r>
        <w:rPr>
          <w:rFonts w:ascii="Times New Roman" w:hAnsi="Times New Roman" w:cs="Times New Roman"/>
          <w:sz w:val="24"/>
          <w:szCs w:val="24"/>
        </w:rPr>
        <w:t>, (77/78), pp. 345–348.</w:t>
      </w:r>
    </w:p>
    <w:p w14:paraId="20927EBF">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Awan, U. </w:t>
      </w:r>
      <w:r>
        <w:rPr>
          <w:rFonts w:ascii="Times New Roman" w:hAnsi="Times New Roman" w:cs="Times New Roman"/>
          <w:i/>
          <w:iCs/>
          <w:sz w:val="24"/>
          <w:szCs w:val="24"/>
        </w:rPr>
        <w:t>et al.</w:t>
      </w:r>
      <w:r>
        <w:rPr>
          <w:rFonts w:ascii="Times New Roman" w:hAnsi="Times New Roman" w:cs="Times New Roman"/>
          <w:sz w:val="24"/>
          <w:szCs w:val="24"/>
        </w:rPr>
        <w:t xml:space="preserve"> (2021) ‘Big data analytics capability and decision-making: The role of data-driven insight on circular economy performance’, </w:t>
      </w:r>
      <w:r>
        <w:rPr>
          <w:rFonts w:ascii="Times New Roman" w:hAnsi="Times New Roman" w:cs="Times New Roman"/>
          <w:i/>
          <w:iCs/>
          <w:sz w:val="24"/>
          <w:szCs w:val="24"/>
        </w:rPr>
        <w:t>Technological Forecasting and Social Change</w:t>
      </w:r>
      <w:r>
        <w:rPr>
          <w:rFonts w:ascii="Times New Roman" w:hAnsi="Times New Roman" w:cs="Times New Roman"/>
          <w:sz w:val="24"/>
          <w:szCs w:val="24"/>
        </w:rPr>
        <w:t>, 168, p. 120766.</w:t>
      </w:r>
    </w:p>
    <w:p w14:paraId="2F1532F0">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Barney, J. (1991) ‘Firm resources and sustained competitive advantage’, </w:t>
      </w:r>
      <w:r>
        <w:rPr>
          <w:rFonts w:ascii="Times New Roman" w:hAnsi="Times New Roman" w:cs="Times New Roman"/>
          <w:i/>
          <w:iCs/>
          <w:sz w:val="24"/>
          <w:szCs w:val="24"/>
        </w:rPr>
        <w:t>Journal of management</w:t>
      </w:r>
      <w:r>
        <w:rPr>
          <w:rFonts w:ascii="Times New Roman" w:hAnsi="Times New Roman" w:cs="Times New Roman"/>
          <w:sz w:val="24"/>
          <w:szCs w:val="24"/>
        </w:rPr>
        <w:t>, 17(1), pp. 99–120.</w:t>
      </w:r>
    </w:p>
    <w:p w14:paraId="5B4FFAF3">
      <w:pPr>
        <w:pStyle w:val="57"/>
        <w:spacing w:before="120" w:line="480" w:lineRule="auto"/>
        <w:rPr>
          <w:rFonts w:ascii="Times New Roman" w:hAnsi="Times New Roman" w:cs="Times New Roman"/>
          <w:sz w:val="24"/>
          <w:szCs w:val="24"/>
          <w:lang w:val="fr-FR"/>
        </w:rPr>
      </w:pPr>
      <w:r>
        <w:rPr>
          <w:rFonts w:ascii="Times New Roman" w:hAnsi="Times New Roman" w:cs="Times New Roman"/>
          <w:sz w:val="24"/>
          <w:szCs w:val="24"/>
        </w:rPr>
        <w:t xml:space="preserve">Barney, J.B. (2002) ‘Strategic management: From informed conversation to academic discipline’, </w:t>
      </w:r>
      <w:r>
        <w:rPr>
          <w:rFonts w:ascii="Times New Roman" w:hAnsi="Times New Roman" w:cs="Times New Roman"/>
          <w:i/>
          <w:iCs/>
          <w:sz w:val="24"/>
          <w:szCs w:val="24"/>
        </w:rPr>
        <w:t>Academy of Management Perspectives</w:t>
      </w:r>
      <w:r>
        <w:rPr>
          <w:rFonts w:ascii="Times New Roman" w:hAnsi="Times New Roman" w:cs="Times New Roman"/>
          <w:sz w:val="24"/>
          <w:szCs w:val="24"/>
        </w:rPr>
        <w:t xml:space="preserve">, 16(2), pp. 53–57. </w:t>
      </w:r>
    </w:p>
    <w:p w14:paraId="265B2D59">
      <w:pPr>
        <w:pStyle w:val="57"/>
        <w:spacing w:before="120" w:line="480" w:lineRule="auto"/>
        <w:rPr>
          <w:rFonts w:ascii="Times New Roman" w:hAnsi="Times New Roman" w:cs="Times New Roman"/>
          <w:sz w:val="24"/>
          <w:szCs w:val="24"/>
        </w:rPr>
      </w:pPr>
      <w:r>
        <w:rPr>
          <w:rFonts w:ascii="Times New Roman" w:hAnsi="Times New Roman" w:cs="Times New Roman"/>
          <w:sz w:val="24"/>
          <w:szCs w:val="24"/>
          <w:lang w:val="fr-FR"/>
        </w:rPr>
        <w:t xml:space="preserve">Behl, A. </w:t>
      </w:r>
      <w:r>
        <w:rPr>
          <w:rFonts w:ascii="Times New Roman" w:hAnsi="Times New Roman" w:cs="Times New Roman"/>
          <w:i/>
          <w:iCs/>
          <w:sz w:val="24"/>
          <w:szCs w:val="24"/>
          <w:lang w:val="fr-FR"/>
        </w:rPr>
        <w:t>et al.</w:t>
      </w:r>
      <w:r>
        <w:rPr>
          <w:rFonts w:ascii="Times New Roman" w:hAnsi="Times New Roman" w:cs="Times New Roman"/>
          <w:sz w:val="24"/>
          <w:szCs w:val="24"/>
          <w:lang w:val="fr-FR"/>
        </w:rPr>
        <w:t xml:space="preserve"> </w:t>
      </w:r>
      <w:r>
        <w:rPr>
          <w:rFonts w:ascii="Times New Roman" w:hAnsi="Times New Roman" w:cs="Times New Roman"/>
          <w:sz w:val="24"/>
          <w:szCs w:val="24"/>
        </w:rPr>
        <w:t xml:space="preserve">(2022) ‘Role of big data analytics capabilities to improve sustainable competitive advantage of MSME service firms during COVID-19–A multi-theoretical approach’, </w:t>
      </w:r>
      <w:r>
        <w:rPr>
          <w:rFonts w:ascii="Times New Roman" w:hAnsi="Times New Roman" w:cs="Times New Roman"/>
          <w:i/>
          <w:iCs/>
          <w:sz w:val="24"/>
          <w:szCs w:val="24"/>
        </w:rPr>
        <w:t>Journal of Business Research</w:t>
      </w:r>
      <w:r>
        <w:rPr>
          <w:rFonts w:ascii="Times New Roman" w:hAnsi="Times New Roman" w:cs="Times New Roman"/>
          <w:sz w:val="24"/>
          <w:szCs w:val="24"/>
        </w:rPr>
        <w:t>, 148, pp. 378–389.</w:t>
      </w:r>
    </w:p>
    <w:p w14:paraId="12E7667B">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Braganza, A. </w:t>
      </w:r>
      <w:r>
        <w:rPr>
          <w:rFonts w:ascii="Times New Roman" w:hAnsi="Times New Roman" w:cs="Times New Roman"/>
          <w:i/>
          <w:iCs/>
          <w:sz w:val="24"/>
          <w:szCs w:val="24"/>
        </w:rPr>
        <w:t>et al.</w:t>
      </w:r>
      <w:r>
        <w:rPr>
          <w:rFonts w:ascii="Times New Roman" w:hAnsi="Times New Roman" w:cs="Times New Roman"/>
          <w:sz w:val="24"/>
          <w:szCs w:val="24"/>
        </w:rPr>
        <w:t xml:space="preserve"> (2017) ‘Resource management in big data initiatives: Processes and dynamic capabilities’, </w:t>
      </w:r>
      <w:r>
        <w:rPr>
          <w:rFonts w:ascii="Times New Roman" w:hAnsi="Times New Roman" w:cs="Times New Roman"/>
          <w:i/>
          <w:iCs/>
          <w:sz w:val="24"/>
          <w:szCs w:val="24"/>
        </w:rPr>
        <w:t>Journal of Business Research</w:t>
      </w:r>
      <w:r>
        <w:rPr>
          <w:rFonts w:ascii="Times New Roman" w:hAnsi="Times New Roman" w:cs="Times New Roman"/>
          <w:sz w:val="24"/>
          <w:szCs w:val="24"/>
        </w:rPr>
        <w:t>, 70, pp. 328–337.</w:t>
      </w:r>
    </w:p>
    <w:p w14:paraId="52534A89">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Bryman, A. (2016) </w:t>
      </w:r>
      <w:r>
        <w:rPr>
          <w:rFonts w:ascii="Times New Roman" w:hAnsi="Times New Roman" w:cs="Times New Roman"/>
          <w:i/>
          <w:iCs/>
          <w:sz w:val="24"/>
          <w:szCs w:val="24"/>
        </w:rPr>
        <w:t>Social research methods</w:t>
      </w:r>
      <w:r>
        <w:rPr>
          <w:rFonts w:ascii="Times New Roman" w:hAnsi="Times New Roman" w:cs="Times New Roman"/>
          <w:sz w:val="24"/>
          <w:szCs w:val="24"/>
        </w:rPr>
        <w:t>. Oxford University Press.</w:t>
      </w:r>
    </w:p>
    <w:p w14:paraId="605F390B">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Cadden, T. </w:t>
      </w:r>
      <w:r>
        <w:rPr>
          <w:rFonts w:ascii="Times New Roman" w:hAnsi="Times New Roman" w:cs="Times New Roman"/>
          <w:i/>
          <w:iCs/>
          <w:sz w:val="24"/>
          <w:szCs w:val="24"/>
        </w:rPr>
        <w:t>et al.</w:t>
      </w:r>
      <w:r>
        <w:rPr>
          <w:rFonts w:ascii="Times New Roman" w:hAnsi="Times New Roman" w:cs="Times New Roman"/>
          <w:sz w:val="24"/>
          <w:szCs w:val="24"/>
        </w:rPr>
        <w:t xml:space="preserve"> (2023) ‘Examining the role of big data and marketing analytics in SMEs innovation and competitive advantage: A knowledge integration perspective’, </w:t>
      </w:r>
      <w:r>
        <w:rPr>
          <w:rFonts w:ascii="Times New Roman" w:hAnsi="Times New Roman" w:cs="Times New Roman"/>
          <w:i/>
          <w:iCs/>
          <w:sz w:val="24"/>
          <w:szCs w:val="24"/>
        </w:rPr>
        <w:t>Journal of Business Research</w:t>
      </w:r>
      <w:r>
        <w:rPr>
          <w:rFonts w:ascii="Times New Roman" w:hAnsi="Times New Roman" w:cs="Times New Roman"/>
          <w:sz w:val="24"/>
          <w:szCs w:val="24"/>
        </w:rPr>
        <w:t xml:space="preserve">, 168, p. 114225. </w:t>
      </w:r>
    </w:p>
    <w:p w14:paraId="401C3B94">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Calvard, T.S. (2016) ‘Big data, organizational learning, and sensemaking: Theorizing interpretive challenges under conditions of dynamic complexity’, </w:t>
      </w:r>
      <w:r>
        <w:rPr>
          <w:rFonts w:ascii="Times New Roman" w:hAnsi="Times New Roman" w:cs="Times New Roman"/>
          <w:i/>
          <w:iCs/>
          <w:sz w:val="24"/>
          <w:szCs w:val="24"/>
        </w:rPr>
        <w:t xml:space="preserve">Management </w:t>
      </w:r>
      <w:r>
        <w:rPr>
          <w:rFonts w:hint="eastAsia" w:ascii="Times New Roman" w:hAnsi="Times New Roman" w:cs="Times New Roman"/>
          <w:i/>
          <w:iCs/>
          <w:sz w:val="24"/>
          <w:szCs w:val="24"/>
        </w:rPr>
        <w:t>L</w:t>
      </w:r>
      <w:r>
        <w:rPr>
          <w:rFonts w:ascii="Times New Roman" w:hAnsi="Times New Roman" w:cs="Times New Roman"/>
          <w:i/>
          <w:iCs/>
          <w:sz w:val="24"/>
          <w:szCs w:val="24"/>
        </w:rPr>
        <w:t>earning</w:t>
      </w:r>
      <w:r>
        <w:rPr>
          <w:rFonts w:ascii="Times New Roman" w:hAnsi="Times New Roman" w:cs="Times New Roman"/>
          <w:sz w:val="24"/>
          <w:szCs w:val="24"/>
        </w:rPr>
        <w:t>, 47(1), pp. 65–82.</w:t>
      </w:r>
    </w:p>
    <w:p w14:paraId="16267BC7">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Carr, W. (2007) ‘Philosophy, methodology and action research’, in </w:t>
      </w:r>
      <w:r>
        <w:rPr>
          <w:rFonts w:ascii="Times New Roman" w:hAnsi="Times New Roman" w:cs="Times New Roman"/>
          <w:i/>
          <w:iCs/>
          <w:sz w:val="24"/>
          <w:szCs w:val="24"/>
        </w:rPr>
        <w:t>The quality of practitioner research</w:t>
      </w:r>
      <w:r>
        <w:rPr>
          <w:rFonts w:ascii="Times New Roman" w:hAnsi="Times New Roman" w:cs="Times New Roman"/>
          <w:sz w:val="24"/>
          <w:szCs w:val="24"/>
        </w:rPr>
        <w:t>. Brill, pp. 29–42.</w:t>
      </w:r>
    </w:p>
    <w:p w14:paraId="5D67410E">
      <w:pPr>
        <w:pStyle w:val="57"/>
        <w:spacing w:before="120" w:line="480" w:lineRule="auto"/>
        <w:rPr>
          <w:rFonts w:ascii="Times New Roman" w:hAnsi="Times New Roman" w:cs="Times New Roman"/>
          <w:sz w:val="24"/>
          <w:szCs w:val="24"/>
        </w:rPr>
      </w:pPr>
      <w:r>
        <w:rPr>
          <w:rFonts w:ascii="Times New Roman" w:hAnsi="Times New Roman" w:cs="Times New Roman"/>
          <w:sz w:val="24"/>
          <w:szCs w:val="24"/>
          <w:lang w:val="fr-FR"/>
        </w:rPr>
        <w:t xml:space="preserve">Chang, L.-C. </w:t>
      </w:r>
      <w:r>
        <w:rPr>
          <w:rFonts w:ascii="Times New Roman" w:hAnsi="Times New Roman" w:cs="Times New Roman"/>
          <w:i/>
          <w:iCs/>
          <w:sz w:val="24"/>
          <w:szCs w:val="24"/>
          <w:lang w:val="fr-FR"/>
        </w:rPr>
        <w:t>et al.</w:t>
      </w:r>
      <w:r>
        <w:rPr>
          <w:rFonts w:ascii="Times New Roman" w:hAnsi="Times New Roman" w:cs="Times New Roman"/>
          <w:sz w:val="24"/>
          <w:szCs w:val="24"/>
          <w:lang w:val="fr-FR"/>
        </w:rPr>
        <w:t xml:space="preserve"> </w:t>
      </w:r>
      <w:r>
        <w:rPr>
          <w:rFonts w:ascii="Times New Roman" w:hAnsi="Times New Roman" w:cs="Times New Roman"/>
          <w:sz w:val="24"/>
          <w:szCs w:val="24"/>
        </w:rPr>
        <w:t xml:space="preserve">(2017) ‘Dynamic organizational learning: a narrative inquiry into the story of Huawei in China’, </w:t>
      </w:r>
      <w:r>
        <w:rPr>
          <w:rFonts w:ascii="Times New Roman" w:hAnsi="Times New Roman" w:cs="Times New Roman"/>
          <w:i/>
          <w:iCs/>
          <w:sz w:val="24"/>
          <w:szCs w:val="24"/>
        </w:rPr>
        <w:t>Asia Pacific Business Review</w:t>
      </w:r>
      <w:r>
        <w:rPr>
          <w:rFonts w:ascii="Times New Roman" w:hAnsi="Times New Roman" w:cs="Times New Roman"/>
          <w:sz w:val="24"/>
          <w:szCs w:val="24"/>
        </w:rPr>
        <w:t>, 23(4), pp. 541–558.</w:t>
      </w:r>
    </w:p>
    <w:p w14:paraId="5D37A607">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Chang, S. </w:t>
      </w:r>
      <w:r>
        <w:rPr>
          <w:rFonts w:ascii="Times New Roman" w:hAnsi="Times New Roman" w:cs="Times New Roman"/>
          <w:i/>
          <w:iCs/>
          <w:sz w:val="24"/>
          <w:szCs w:val="24"/>
        </w:rPr>
        <w:t>et al.</w:t>
      </w:r>
      <w:r>
        <w:rPr>
          <w:rFonts w:ascii="Times New Roman" w:hAnsi="Times New Roman" w:cs="Times New Roman"/>
          <w:sz w:val="24"/>
          <w:szCs w:val="24"/>
        </w:rPr>
        <w:t xml:space="preserve"> (2013) ‘Flexibility-oriented HRM systems, absorptive capacity, and market responsiveness and firm innovativeness’, </w:t>
      </w:r>
      <w:r>
        <w:rPr>
          <w:rFonts w:ascii="Times New Roman" w:hAnsi="Times New Roman" w:cs="Times New Roman"/>
          <w:i/>
          <w:iCs/>
          <w:sz w:val="24"/>
          <w:szCs w:val="24"/>
        </w:rPr>
        <w:t>Journal of Management</w:t>
      </w:r>
      <w:r>
        <w:rPr>
          <w:rFonts w:ascii="Times New Roman" w:hAnsi="Times New Roman" w:cs="Times New Roman"/>
          <w:sz w:val="24"/>
          <w:szCs w:val="24"/>
        </w:rPr>
        <w:t>, 39(7), pp. 1924–1951.</w:t>
      </w:r>
    </w:p>
    <w:p w14:paraId="3AE9429E">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Comte, A. and Bridges, J.H. (2015) </w:t>
      </w:r>
      <w:r>
        <w:rPr>
          <w:rFonts w:ascii="Times New Roman" w:hAnsi="Times New Roman" w:cs="Times New Roman"/>
          <w:i/>
          <w:iCs/>
          <w:sz w:val="24"/>
          <w:szCs w:val="24"/>
        </w:rPr>
        <w:t>A general view of positivism</w:t>
      </w:r>
      <w:r>
        <w:rPr>
          <w:rFonts w:ascii="Times New Roman" w:hAnsi="Times New Roman" w:cs="Times New Roman"/>
          <w:sz w:val="24"/>
          <w:szCs w:val="24"/>
        </w:rPr>
        <w:t>. Routledge.</w:t>
      </w:r>
    </w:p>
    <w:p w14:paraId="21AD8CB4">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Dejardin, M. </w:t>
      </w:r>
      <w:r>
        <w:rPr>
          <w:rFonts w:ascii="Times New Roman" w:hAnsi="Times New Roman" w:cs="Times New Roman"/>
          <w:i/>
          <w:iCs/>
          <w:sz w:val="24"/>
          <w:szCs w:val="24"/>
        </w:rPr>
        <w:t>et al.</w:t>
      </w:r>
      <w:r>
        <w:rPr>
          <w:rFonts w:ascii="Times New Roman" w:hAnsi="Times New Roman" w:cs="Times New Roman"/>
          <w:sz w:val="24"/>
          <w:szCs w:val="24"/>
        </w:rPr>
        <w:t xml:space="preserve"> (2023) ‘The impact of dynamic capabilities on SME performance during COVID-19’, </w:t>
      </w:r>
      <w:r>
        <w:rPr>
          <w:rFonts w:ascii="Times New Roman" w:hAnsi="Times New Roman" w:cs="Times New Roman"/>
          <w:i/>
          <w:iCs/>
          <w:sz w:val="24"/>
          <w:szCs w:val="24"/>
        </w:rPr>
        <w:t>Review of Managerial Science</w:t>
      </w:r>
      <w:r>
        <w:rPr>
          <w:rFonts w:ascii="Times New Roman" w:hAnsi="Times New Roman" w:cs="Times New Roman"/>
          <w:sz w:val="24"/>
          <w:szCs w:val="24"/>
        </w:rPr>
        <w:t>, 17(5), pp. 1703–1729.</w:t>
      </w:r>
    </w:p>
    <w:p w14:paraId="19FB9F0C">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Drummer, A. (2020) </w:t>
      </w:r>
      <w:r>
        <w:rPr>
          <w:rFonts w:ascii="Times New Roman" w:hAnsi="Times New Roman" w:cs="Times New Roman"/>
          <w:i/>
          <w:iCs/>
          <w:sz w:val="24"/>
          <w:szCs w:val="24"/>
        </w:rPr>
        <w:t>Extracting insights from complex, unstructured big data</w:t>
      </w:r>
      <w:r>
        <w:rPr>
          <w:rFonts w:ascii="Times New Roman" w:hAnsi="Times New Roman" w:cs="Times New Roman"/>
          <w:sz w:val="24"/>
          <w:szCs w:val="24"/>
        </w:rPr>
        <w:t xml:space="preserve">, </w:t>
      </w:r>
      <w:r>
        <w:rPr>
          <w:rFonts w:ascii="Times New Roman" w:hAnsi="Times New Roman" w:cs="Times New Roman"/>
          <w:i/>
          <w:iCs/>
          <w:sz w:val="24"/>
          <w:szCs w:val="24"/>
        </w:rPr>
        <w:t>IBM Blog</w:t>
      </w:r>
      <w:r>
        <w:rPr>
          <w:rFonts w:ascii="Times New Roman" w:hAnsi="Times New Roman" w:cs="Times New Roman"/>
          <w:sz w:val="24"/>
          <w:szCs w:val="24"/>
        </w:rPr>
        <w:t>. Available at: https://www.ibm.com/blog/managing-unstructured-data/www.ibm.com/blog/managing-unstructured-data (Accessed: 29 May 2024).</w:t>
      </w:r>
    </w:p>
    <w:p w14:paraId="6511580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Dubey, R. </w:t>
      </w:r>
      <w:r>
        <w:rPr>
          <w:rFonts w:ascii="Times New Roman" w:hAnsi="Times New Roman" w:cs="Times New Roman"/>
          <w:i/>
          <w:iCs/>
          <w:sz w:val="24"/>
          <w:szCs w:val="24"/>
        </w:rPr>
        <w:t>et al.</w:t>
      </w:r>
      <w:r>
        <w:rPr>
          <w:rFonts w:ascii="Times New Roman" w:hAnsi="Times New Roman" w:cs="Times New Roman"/>
          <w:sz w:val="24"/>
          <w:szCs w:val="24"/>
        </w:rPr>
        <w:t xml:space="preserve"> (2019) ‘Big data and predictive analytics and manufacturing performance: integrating institutional theory, resource‐based view and big data culture’, </w:t>
      </w:r>
      <w:r>
        <w:rPr>
          <w:rFonts w:ascii="Times New Roman" w:hAnsi="Times New Roman" w:cs="Times New Roman"/>
          <w:i/>
          <w:iCs/>
          <w:sz w:val="24"/>
          <w:szCs w:val="24"/>
        </w:rPr>
        <w:t>British Journal of Management</w:t>
      </w:r>
      <w:r>
        <w:rPr>
          <w:rFonts w:ascii="Times New Roman" w:hAnsi="Times New Roman" w:cs="Times New Roman"/>
          <w:sz w:val="24"/>
          <w:szCs w:val="24"/>
        </w:rPr>
        <w:t>, 30(2), pp. 341–361.</w:t>
      </w:r>
    </w:p>
    <w:p w14:paraId="656B58D0">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Duncan, R.B. (1972) ‘Characteristics of Organizational Environments and Perceived Environmental Uncertainty’, </w:t>
      </w:r>
      <w:r>
        <w:rPr>
          <w:rFonts w:ascii="Times New Roman" w:hAnsi="Times New Roman" w:cs="Times New Roman"/>
          <w:i/>
          <w:iCs/>
          <w:sz w:val="24"/>
          <w:szCs w:val="24"/>
        </w:rPr>
        <w:t>Administrative Science Quarterly</w:t>
      </w:r>
      <w:r>
        <w:rPr>
          <w:rFonts w:ascii="Times New Roman" w:hAnsi="Times New Roman" w:cs="Times New Roman"/>
          <w:sz w:val="24"/>
          <w:szCs w:val="24"/>
        </w:rPr>
        <w:t xml:space="preserve">, 17(3), pp. 313–327. </w:t>
      </w:r>
    </w:p>
    <w:p w14:paraId="623B13F4">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Edson, M.C., Henning, P.B. and Sankaran, S. (2016) </w:t>
      </w:r>
      <w:r>
        <w:rPr>
          <w:rFonts w:ascii="Times New Roman" w:hAnsi="Times New Roman" w:cs="Times New Roman"/>
          <w:i/>
          <w:iCs/>
          <w:sz w:val="24"/>
          <w:szCs w:val="24"/>
        </w:rPr>
        <w:t>A guide to systems research: Philosophy, processes and practice</w:t>
      </w:r>
      <w:r>
        <w:rPr>
          <w:rFonts w:ascii="Times New Roman" w:hAnsi="Times New Roman" w:cs="Times New Roman"/>
          <w:sz w:val="24"/>
          <w:szCs w:val="24"/>
        </w:rPr>
        <w:t>. Springer.</w:t>
      </w:r>
    </w:p>
    <w:p w14:paraId="0F79632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Elgendy, N. and Elragal, A. (2014) ‘Big data analytics: a literature review paper’, in. </w:t>
      </w:r>
      <w:r>
        <w:rPr>
          <w:rFonts w:ascii="Times New Roman" w:hAnsi="Times New Roman" w:cs="Times New Roman"/>
          <w:i/>
          <w:iCs/>
          <w:sz w:val="24"/>
          <w:szCs w:val="24"/>
        </w:rPr>
        <w:t>Advances in Data Mining. Applications and Theoretical Aspects: 14th Industrial Conference, ICDM 2014, St. Petersburg, Russia, July 16-20, 2014. Proceedings 14</w:t>
      </w:r>
      <w:r>
        <w:rPr>
          <w:rFonts w:ascii="Times New Roman" w:hAnsi="Times New Roman" w:cs="Times New Roman"/>
          <w:sz w:val="24"/>
          <w:szCs w:val="24"/>
        </w:rPr>
        <w:t>, Springer, pp. 214–227.</w:t>
      </w:r>
    </w:p>
    <w:p w14:paraId="3EDE0ED6">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Erevelles, S., Fukawa, N. and Swayne, L. (2016) ‘Big Data consumer analytics and the transformation of marketing’, </w:t>
      </w:r>
      <w:r>
        <w:rPr>
          <w:rFonts w:ascii="Times New Roman" w:hAnsi="Times New Roman" w:cs="Times New Roman"/>
          <w:i/>
          <w:iCs/>
          <w:sz w:val="24"/>
          <w:szCs w:val="24"/>
        </w:rPr>
        <w:t xml:space="preserve">Journal of </w:t>
      </w:r>
      <w:r>
        <w:rPr>
          <w:rFonts w:hint="eastAsia" w:ascii="Times New Roman" w:hAnsi="Times New Roman" w:cs="Times New Roman"/>
          <w:i/>
          <w:iCs/>
          <w:sz w:val="24"/>
          <w:szCs w:val="24"/>
        </w:rPr>
        <w:t>B</w:t>
      </w:r>
      <w:r>
        <w:rPr>
          <w:rFonts w:ascii="Times New Roman" w:hAnsi="Times New Roman" w:cs="Times New Roman"/>
          <w:i/>
          <w:iCs/>
          <w:sz w:val="24"/>
          <w:szCs w:val="24"/>
        </w:rPr>
        <w:t xml:space="preserve">usiness </w:t>
      </w:r>
      <w:r>
        <w:rPr>
          <w:rFonts w:hint="eastAsia" w:ascii="Times New Roman" w:hAnsi="Times New Roman" w:cs="Times New Roman"/>
          <w:i/>
          <w:iCs/>
          <w:sz w:val="24"/>
          <w:szCs w:val="24"/>
        </w:rPr>
        <w:t>R</w:t>
      </w:r>
      <w:r>
        <w:rPr>
          <w:rFonts w:ascii="Times New Roman" w:hAnsi="Times New Roman" w:cs="Times New Roman"/>
          <w:i/>
          <w:iCs/>
          <w:sz w:val="24"/>
          <w:szCs w:val="24"/>
        </w:rPr>
        <w:t>esearch</w:t>
      </w:r>
      <w:r>
        <w:rPr>
          <w:rFonts w:ascii="Times New Roman" w:hAnsi="Times New Roman" w:cs="Times New Roman"/>
          <w:sz w:val="24"/>
          <w:szCs w:val="24"/>
        </w:rPr>
        <w:t>, 69(2), pp. 897–904.</w:t>
      </w:r>
    </w:p>
    <w:p w14:paraId="67EBF3A4">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Fasel, D. and Meier, A. (2014) </w:t>
      </w:r>
      <w:r>
        <w:rPr>
          <w:rFonts w:ascii="Times New Roman" w:hAnsi="Times New Roman" w:cs="Times New Roman"/>
          <w:i/>
          <w:iCs/>
          <w:sz w:val="24"/>
          <w:szCs w:val="24"/>
        </w:rPr>
        <w:t>Big data</w:t>
      </w:r>
      <w:r>
        <w:rPr>
          <w:rFonts w:ascii="Times New Roman" w:hAnsi="Times New Roman" w:cs="Times New Roman"/>
          <w:sz w:val="24"/>
          <w:szCs w:val="24"/>
        </w:rPr>
        <w:t>. Springer.</w:t>
      </w:r>
    </w:p>
    <w:p w14:paraId="61EEDADB">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Ferraris, A. </w:t>
      </w:r>
      <w:r>
        <w:rPr>
          <w:rFonts w:ascii="Times New Roman" w:hAnsi="Times New Roman" w:cs="Times New Roman"/>
          <w:i/>
          <w:iCs/>
          <w:sz w:val="24"/>
          <w:szCs w:val="24"/>
        </w:rPr>
        <w:t>et al.</w:t>
      </w:r>
      <w:r>
        <w:rPr>
          <w:rFonts w:ascii="Times New Roman" w:hAnsi="Times New Roman" w:cs="Times New Roman"/>
          <w:sz w:val="24"/>
          <w:szCs w:val="24"/>
        </w:rPr>
        <w:t xml:space="preserve"> (2019) ‘Big data analytics capabilities and knowledge management: impact on firm performance’, </w:t>
      </w:r>
      <w:r>
        <w:rPr>
          <w:rFonts w:ascii="Times New Roman" w:hAnsi="Times New Roman" w:cs="Times New Roman"/>
          <w:i/>
          <w:iCs/>
          <w:sz w:val="24"/>
          <w:szCs w:val="24"/>
        </w:rPr>
        <w:t>Management Decision</w:t>
      </w:r>
      <w:r>
        <w:rPr>
          <w:rFonts w:ascii="Times New Roman" w:hAnsi="Times New Roman" w:cs="Times New Roman"/>
          <w:sz w:val="24"/>
          <w:szCs w:val="24"/>
        </w:rPr>
        <w:t>, 57(8), pp. 1923–1936.</w:t>
      </w:r>
    </w:p>
    <w:p w14:paraId="234EDC33">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Fosso Wamba, S. and Mishra, D. (2017) ‘Big data integration with business processes: a literature review’, </w:t>
      </w:r>
      <w:r>
        <w:rPr>
          <w:rFonts w:ascii="Times New Roman" w:hAnsi="Times New Roman" w:cs="Times New Roman"/>
          <w:i/>
          <w:iCs/>
          <w:sz w:val="24"/>
          <w:szCs w:val="24"/>
        </w:rPr>
        <w:t>Business Process Management Journal</w:t>
      </w:r>
      <w:r>
        <w:rPr>
          <w:rFonts w:ascii="Times New Roman" w:hAnsi="Times New Roman" w:cs="Times New Roman"/>
          <w:sz w:val="24"/>
          <w:szCs w:val="24"/>
        </w:rPr>
        <w:t>, 23(3), pp. 477–492.</w:t>
      </w:r>
    </w:p>
    <w:p w14:paraId="236265CC">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Garmaki, M., Gharib, R.K. and Boughzala, I. (2023a) ‘Big data analytics capability and contribution to firm performance: the mediating effect of organizational learning on firm performance’, </w:t>
      </w:r>
      <w:r>
        <w:rPr>
          <w:rFonts w:ascii="Times New Roman" w:hAnsi="Times New Roman" w:cs="Times New Roman"/>
          <w:i/>
          <w:iCs/>
          <w:sz w:val="24"/>
          <w:szCs w:val="24"/>
        </w:rPr>
        <w:t>Journal of Enterprise Information Management</w:t>
      </w:r>
      <w:r>
        <w:rPr>
          <w:rFonts w:ascii="Times New Roman" w:hAnsi="Times New Roman" w:cs="Times New Roman"/>
          <w:sz w:val="24"/>
          <w:szCs w:val="24"/>
        </w:rPr>
        <w:t>, 36(5), pp. 1161–1184.</w:t>
      </w:r>
    </w:p>
    <w:p w14:paraId="10E811B6">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Garmaki, M., Gharib, R.K. and Boughzala, I. (2023b) ‘Big data analytics capability and contribution to firm performance: the mediating effect of organizational learning on firm performance’, </w:t>
      </w:r>
      <w:r>
        <w:rPr>
          <w:rFonts w:ascii="Times New Roman" w:hAnsi="Times New Roman" w:cs="Times New Roman"/>
          <w:i/>
          <w:iCs/>
          <w:sz w:val="24"/>
          <w:szCs w:val="24"/>
        </w:rPr>
        <w:t>Journal of Enterprise Information Management</w:t>
      </w:r>
      <w:r>
        <w:rPr>
          <w:rFonts w:ascii="Times New Roman" w:hAnsi="Times New Roman" w:cs="Times New Roman"/>
          <w:sz w:val="24"/>
          <w:szCs w:val="24"/>
        </w:rPr>
        <w:t>, 36(5), pp. 1161–1184.</w:t>
      </w:r>
    </w:p>
    <w:p w14:paraId="31FC3B59">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George, G., Haas, M.R. and Pentland, A. (2014) ‘Big data and management’, </w:t>
      </w:r>
      <w:r>
        <w:rPr>
          <w:rFonts w:ascii="Times New Roman" w:hAnsi="Times New Roman" w:cs="Times New Roman"/>
          <w:i/>
          <w:iCs/>
          <w:sz w:val="24"/>
          <w:szCs w:val="24"/>
        </w:rPr>
        <w:t>Academy of Management Journal</w:t>
      </w:r>
      <w:r>
        <w:rPr>
          <w:rFonts w:ascii="Times New Roman" w:hAnsi="Times New Roman" w:cs="Times New Roman"/>
          <w:sz w:val="24"/>
          <w:szCs w:val="24"/>
        </w:rPr>
        <w:t>, 57(2), pp. 321–326.</w:t>
      </w:r>
    </w:p>
    <w:p w14:paraId="347DA311">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Ghasemaghaei, M. and Calic, G. (2019) ‘Does big data enhance firm innovation competency? The mediating role of data-driven insights’, </w:t>
      </w:r>
      <w:r>
        <w:rPr>
          <w:rFonts w:ascii="Times New Roman" w:hAnsi="Times New Roman" w:cs="Times New Roman"/>
          <w:i/>
          <w:iCs/>
          <w:sz w:val="24"/>
          <w:szCs w:val="24"/>
        </w:rPr>
        <w:t>Journal of Business Research</w:t>
      </w:r>
      <w:r>
        <w:rPr>
          <w:rFonts w:ascii="Times New Roman" w:hAnsi="Times New Roman" w:cs="Times New Roman"/>
          <w:sz w:val="24"/>
          <w:szCs w:val="24"/>
        </w:rPr>
        <w:t>, 104, pp. 69–84.</w:t>
      </w:r>
    </w:p>
    <w:p w14:paraId="52E5A5EE">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Ghasemaghaei, M. and Calic, G. (2020) ‘Assessing the impact of big data on firm innovation performance: Big data is not always better data’, </w:t>
      </w:r>
      <w:r>
        <w:rPr>
          <w:rFonts w:ascii="Times New Roman" w:hAnsi="Times New Roman" w:cs="Times New Roman"/>
          <w:i/>
          <w:iCs/>
          <w:sz w:val="24"/>
          <w:szCs w:val="24"/>
        </w:rPr>
        <w:t xml:space="preserve">Journal of </w:t>
      </w:r>
      <w:r>
        <w:rPr>
          <w:rFonts w:hint="eastAsia" w:ascii="Times New Roman" w:hAnsi="Times New Roman" w:cs="Times New Roman"/>
          <w:i/>
          <w:iCs/>
          <w:sz w:val="24"/>
          <w:szCs w:val="24"/>
        </w:rPr>
        <w:t>B</w:t>
      </w:r>
      <w:r>
        <w:rPr>
          <w:rFonts w:ascii="Times New Roman" w:hAnsi="Times New Roman" w:cs="Times New Roman"/>
          <w:i/>
          <w:iCs/>
          <w:sz w:val="24"/>
          <w:szCs w:val="24"/>
        </w:rPr>
        <w:t xml:space="preserve">usiness </w:t>
      </w:r>
      <w:r>
        <w:rPr>
          <w:rFonts w:hint="eastAsia" w:ascii="Times New Roman" w:hAnsi="Times New Roman" w:cs="Times New Roman"/>
          <w:i/>
          <w:iCs/>
          <w:sz w:val="24"/>
          <w:szCs w:val="24"/>
        </w:rPr>
        <w:t>R</w:t>
      </w:r>
      <w:r>
        <w:rPr>
          <w:rFonts w:ascii="Times New Roman" w:hAnsi="Times New Roman" w:cs="Times New Roman"/>
          <w:i/>
          <w:iCs/>
          <w:sz w:val="24"/>
          <w:szCs w:val="24"/>
        </w:rPr>
        <w:t>esearch</w:t>
      </w:r>
      <w:r>
        <w:rPr>
          <w:rFonts w:ascii="Times New Roman" w:hAnsi="Times New Roman" w:cs="Times New Roman"/>
          <w:sz w:val="24"/>
          <w:szCs w:val="24"/>
        </w:rPr>
        <w:t>, 108, pp. 147–162.</w:t>
      </w:r>
    </w:p>
    <w:p w14:paraId="4F1B84BC">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Ghasemaghaei, M., Ebrahimi, S. and Hassanein, K. (2018) ‘Data analytics competency for improving firm decision making performance’, </w:t>
      </w:r>
      <w:r>
        <w:rPr>
          <w:rFonts w:ascii="Times New Roman" w:hAnsi="Times New Roman" w:cs="Times New Roman"/>
          <w:i/>
          <w:iCs/>
          <w:sz w:val="24"/>
          <w:szCs w:val="24"/>
        </w:rPr>
        <w:t>The Journal of Strategic Information Systems</w:t>
      </w:r>
      <w:r>
        <w:rPr>
          <w:rFonts w:ascii="Times New Roman" w:hAnsi="Times New Roman" w:cs="Times New Roman"/>
          <w:sz w:val="24"/>
          <w:szCs w:val="24"/>
        </w:rPr>
        <w:t>, 27(1), pp. 101–113.</w:t>
      </w:r>
    </w:p>
    <w:p w14:paraId="6DC00200">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Gherardi, S. (2000) ‘Practice-based theorizing on learning and knowing in organizations’, </w:t>
      </w:r>
      <w:r>
        <w:rPr>
          <w:rFonts w:ascii="Times New Roman" w:hAnsi="Times New Roman" w:cs="Times New Roman"/>
          <w:i/>
          <w:iCs/>
          <w:sz w:val="24"/>
          <w:szCs w:val="24"/>
        </w:rPr>
        <w:t>Organization</w:t>
      </w:r>
      <w:r>
        <w:rPr>
          <w:rFonts w:ascii="Times New Roman" w:hAnsi="Times New Roman" w:cs="Times New Roman"/>
          <w:sz w:val="24"/>
          <w:szCs w:val="24"/>
        </w:rPr>
        <w:t>, 7(2), pp. 211–223.</w:t>
      </w:r>
    </w:p>
    <w:p w14:paraId="7A19B4CE">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Gunasekaran, A. </w:t>
      </w:r>
      <w:r>
        <w:rPr>
          <w:rFonts w:ascii="Times New Roman" w:hAnsi="Times New Roman" w:cs="Times New Roman"/>
          <w:i/>
          <w:iCs/>
          <w:sz w:val="24"/>
          <w:szCs w:val="24"/>
        </w:rPr>
        <w:t>et al.</w:t>
      </w:r>
      <w:r>
        <w:rPr>
          <w:rFonts w:ascii="Times New Roman" w:hAnsi="Times New Roman" w:cs="Times New Roman"/>
          <w:sz w:val="24"/>
          <w:szCs w:val="24"/>
        </w:rPr>
        <w:t xml:space="preserve"> (2017) ‘Big data and predictive analytics for supply chain and organizational performance’, </w:t>
      </w:r>
      <w:r>
        <w:rPr>
          <w:rFonts w:ascii="Times New Roman" w:hAnsi="Times New Roman" w:cs="Times New Roman"/>
          <w:i/>
          <w:iCs/>
          <w:sz w:val="24"/>
          <w:szCs w:val="24"/>
        </w:rPr>
        <w:t>Journal of Business Research</w:t>
      </w:r>
      <w:r>
        <w:rPr>
          <w:rFonts w:ascii="Times New Roman" w:hAnsi="Times New Roman" w:cs="Times New Roman"/>
          <w:sz w:val="24"/>
          <w:szCs w:val="24"/>
        </w:rPr>
        <w:t>, 70, pp. 308–317.</w:t>
      </w:r>
    </w:p>
    <w:p w14:paraId="473A37F3">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Gupta, M. and George, J.F. (2016) ‘Toward the development of a big data analytics capability’, </w:t>
      </w:r>
      <w:r>
        <w:rPr>
          <w:rFonts w:ascii="Times New Roman" w:hAnsi="Times New Roman" w:cs="Times New Roman"/>
          <w:i/>
          <w:iCs/>
          <w:sz w:val="24"/>
          <w:szCs w:val="24"/>
        </w:rPr>
        <w:t>Information &amp; Management</w:t>
      </w:r>
      <w:r>
        <w:rPr>
          <w:rFonts w:ascii="Times New Roman" w:hAnsi="Times New Roman" w:cs="Times New Roman"/>
          <w:sz w:val="24"/>
          <w:szCs w:val="24"/>
        </w:rPr>
        <w:t>, 53(8), pp. 1049–1064.</w:t>
      </w:r>
    </w:p>
    <w:p w14:paraId="1F813B86">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Gupta, S. </w:t>
      </w:r>
      <w:r>
        <w:rPr>
          <w:rFonts w:ascii="Times New Roman" w:hAnsi="Times New Roman" w:cs="Times New Roman"/>
          <w:i/>
          <w:iCs/>
          <w:sz w:val="24"/>
          <w:szCs w:val="24"/>
        </w:rPr>
        <w:t>et al.</w:t>
      </w:r>
      <w:r>
        <w:rPr>
          <w:rFonts w:ascii="Times New Roman" w:hAnsi="Times New Roman" w:cs="Times New Roman"/>
          <w:sz w:val="24"/>
          <w:szCs w:val="24"/>
        </w:rPr>
        <w:t xml:space="preserve"> (2020) ‘Achieving superior organizational performance via big data predictive analytics: A dynamic capability view’, </w:t>
      </w:r>
      <w:r>
        <w:rPr>
          <w:rFonts w:ascii="Times New Roman" w:hAnsi="Times New Roman" w:cs="Times New Roman"/>
          <w:i/>
          <w:iCs/>
          <w:sz w:val="24"/>
          <w:szCs w:val="24"/>
        </w:rPr>
        <w:t>Industrial Marketing Management</w:t>
      </w:r>
      <w:r>
        <w:rPr>
          <w:rFonts w:ascii="Times New Roman" w:hAnsi="Times New Roman" w:cs="Times New Roman"/>
          <w:sz w:val="24"/>
          <w:szCs w:val="24"/>
        </w:rPr>
        <w:t>, 90, pp. 581–592.</w:t>
      </w:r>
    </w:p>
    <w:p w14:paraId="3BD539C7">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Hao, S., Zhang, H. and Song, M. (2019) ‘Big data, big data analytics capability, and sustainable innovation performance’, </w:t>
      </w:r>
      <w:r>
        <w:rPr>
          <w:rFonts w:ascii="Times New Roman" w:hAnsi="Times New Roman" w:cs="Times New Roman"/>
          <w:i/>
          <w:iCs/>
          <w:sz w:val="24"/>
          <w:szCs w:val="24"/>
        </w:rPr>
        <w:t>Sustainability</w:t>
      </w:r>
      <w:r>
        <w:rPr>
          <w:rFonts w:ascii="Times New Roman" w:hAnsi="Times New Roman" w:cs="Times New Roman"/>
          <w:sz w:val="24"/>
          <w:szCs w:val="24"/>
        </w:rPr>
        <w:t>, 11(24), p. 7145.</w:t>
      </w:r>
    </w:p>
    <w:p w14:paraId="7E1666AC">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Hariri, R.H., Fredericks, E.M. and Bowers, K.M. (2019) ‘Uncertainty in big data analytics: survey, opportunities, and challenges’, </w:t>
      </w:r>
      <w:r>
        <w:rPr>
          <w:rFonts w:ascii="Times New Roman" w:hAnsi="Times New Roman" w:cs="Times New Roman"/>
          <w:i/>
          <w:iCs/>
          <w:sz w:val="24"/>
          <w:szCs w:val="24"/>
        </w:rPr>
        <w:t>Journal of Big data</w:t>
      </w:r>
      <w:r>
        <w:rPr>
          <w:rFonts w:ascii="Times New Roman" w:hAnsi="Times New Roman" w:cs="Times New Roman"/>
          <w:sz w:val="24"/>
          <w:szCs w:val="24"/>
        </w:rPr>
        <w:t>, 6(1), pp. 1–16.</w:t>
      </w:r>
    </w:p>
    <w:p w14:paraId="3C6DDD74">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Harrison, J.S. and Wicks, A.C. (2013) ‘Stakeholder theory, value, and firm performance’, </w:t>
      </w:r>
      <w:r>
        <w:rPr>
          <w:rFonts w:ascii="Times New Roman" w:hAnsi="Times New Roman" w:cs="Times New Roman"/>
          <w:i/>
          <w:iCs/>
          <w:sz w:val="24"/>
          <w:szCs w:val="24"/>
        </w:rPr>
        <w:t>Business Ethics Quarterly</w:t>
      </w:r>
      <w:r>
        <w:rPr>
          <w:rFonts w:ascii="Times New Roman" w:hAnsi="Times New Roman" w:cs="Times New Roman"/>
          <w:sz w:val="24"/>
          <w:szCs w:val="24"/>
        </w:rPr>
        <w:t>, 23(1), pp. 97–124.</w:t>
      </w:r>
    </w:p>
    <w:p w14:paraId="5DD5867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Hu, X. </w:t>
      </w:r>
      <w:r>
        <w:rPr>
          <w:rFonts w:ascii="Times New Roman" w:hAnsi="Times New Roman" w:cs="Times New Roman"/>
          <w:i/>
          <w:iCs/>
          <w:sz w:val="24"/>
          <w:szCs w:val="24"/>
        </w:rPr>
        <w:t>et al.</w:t>
      </w:r>
      <w:r>
        <w:rPr>
          <w:rFonts w:ascii="Times New Roman" w:hAnsi="Times New Roman" w:cs="Times New Roman"/>
          <w:sz w:val="24"/>
          <w:szCs w:val="24"/>
        </w:rPr>
        <w:t xml:space="preserve"> (2024) ‘How does China’s big data policy affect the digital economy of cities? Evidence from national big data comprehensive pilot zones’, </w:t>
      </w:r>
      <w:r>
        <w:rPr>
          <w:rFonts w:ascii="Times New Roman" w:hAnsi="Times New Roman" w:cs="Times New Roman"/>
          <w:i/>
          <w:iCs/>
          <w:sz w:val="24"/>
          <w:szCs w:val="24"/>
        </w:rPr>
        <w:t>Heliyon</w:t>
      </w:r>
      <w:r>
        <w:rPr>
          <w:rFonts w:ascii="Times New Roman" w:hAnsi="Times New Roman" w:cs="Times New Roman"/>
          <w:sz w:val="24"/>
          <w:szCs w:val="24"/>
        </w:rPr>
        <w:t xml:space="preserve">, 10(2), p. e24638. </w:t>
      </w:r>
    </w:p>
    <w:p w14:paraId="6394E044">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Huerta, E. and Jensen, S. (2017) ‘An accounting information systems perspective on data analytics and Big Data’, </w:t>
      </w:r>
      <w:r>
        <w:rPr>
          <w:rFonts w:ascii="Times New Roman" w:hAnsi="Times New Roman" w:cs="Times New Roman"/>
          <w:i/>
          <w:iCs/>
          <w:sz w:val="24"/>
          <w:szCs w:val="24"/>
        </w:rPr>
        <w:t xml:space="preserve">Journal of </w:t>
      </w:r>
      <w:r>
        <w:rPr>
          <w:rFonts w:hint="eastAsia" w:ascii="Times New Roman" w:hAnsi="Times New Roman" w:cs="Times New Roman"/>
          <w:i/>
          <w:iCs/>
          <w:sz w:val="24"/>
          <w:szCs w:val="24"/>
        </w:rPr>
        <w:t>I</w:t>
      </w:r>
      <w:r>
        <w:rPr>
          <w:rFonts w:ascii="Times New Roman" w:hAnsi="Times New Roman" w:cs="Times New Roman"/>
          <w:i/>
          <w:iCs/>
          <w:sz w:val="24"/>
          <w:szCs w:val="24"/>
        </w:rPr>
        <w:t xml:space="preserve">nformation </w:t>
      </w:r>
      <w:r>
        <w:rPr>
          <w:rFonts w:hint="eastAsia" w:ascii="Times New Roman" w:hAnsi="Times New Roman" w:cs="Times New Roman"/>
          <w:i/>
          <w:iCs/>
          <w:sz w:val="24"/>
          <w:szCs w:val="24"/>
        </w:rPr>
        <w:t>S</w:t>
      </w:r>
      <w:r>
        <w:rPr>
          <w:rFonts w:ascii="Times New Roman" w:hAnsi="Times New Roman" w:cs="Times New Roman"/>
          <w:i/>
          <w:iCs/>
          <w:sz w:val="24"/>
          <w:szCs w:val="24"/>
        </w:rPr>
        <w:t>ystems</w:t>
      </w:r>
      <w:r>
        <w:rPr>
          <w:rFonts w:ascii="Times New Roman" w:hAnsi="Times New Roman" w:cs="Times New Roman"/>
          <w:sz w:val="24"/>
          <w:szCs w:val="24"/>
        </w:rPr>
        <w:t>, 31(3), pp. 101–114.</w:t>
      </w:r>
    </w:p>
    <w:p w14:paraId="616C8AC2">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IDC (2023) </w:t>
      </w:r>
      <w:r>
        <w:rPr>
          <w:rFonts w:ascii="Times New Roman" w:hAnsi="Times New Roman" w:cs="Times New Roman"/>
          <w:i/>
          <w:iCs/>
          <w:sz w:val="24"/>
          <w:szCs w:val="24"/>
        </w:rPr>
        <w:t>IDC: Seizing Opportunities, Travelling Through Cycles - China Big Data Platform Market Report 2022 Released</w:t>
      </w:r>
      <w:r>
        <w:rPr>
          <w:rFonts w:ascii="Times New Roman" w:hAnsi="Times New Roman" w:cs="Times New Roman"/>
          <w:sz w:val="24"/>
          <w:szCs w:val="24"/>
        </w:rPr>
        <w:t xml:space="preserve">, </w:t>
      </w:r>
      <w:r>
        <w:rPr>
          <w:rFonts w:ascii="Times New Roman" w:hAnsi="Times New Roman" w:cs="Times New Roman"/>
          <w:i/>
          <w:iCs/>
          <w:sz w:val="24"/>
          <w:szCs w:val="24"/>
        </w:rPr>
        <w:t>IDC: The premier global market intelligence company</w:t>
      </w:r>
      <w:r>
        <w:rPr>
          <w:rFonts w:ascii="Times New Roman" w:hAnsi="Times New Roman" w:cs="Times New Roman"/>
          <w:sz w:val="24"/>
          <w:szCs w:val="24"/>
        </w:rPr>
        <w:t>. Available at: https://www.idc.com/getdoc.jsp?containerId=prCHC51067323 (Accessed: 25 September 2024).</w:t>
      </w:r>
    </w:p>
    <w:p w14:paraId="1C14308F">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International Data Enterprises (2023) </w:t>
      </w:r>
      <w:r>
        <w:rPr>
          <w:rFonts w:ascii="Times New Roman" w:hAnsi="Times New Roman" w:cs="Times New Roman"/>
          <w:i/>
          <w:iCs/>
          <w:sz w:val="24"/>
          <w:szCs w:val="24"/>
        </w:rPr>
        <w:t>Worldwide IDC Global DataSphere Forecast, 2023-2027: It’s a Distributed, Diverse, and Dynamic (3D) DataSphere</w:t>
      </w:r>
      <w:r>
        <w:rPr>
          <w:rFonts w:ascii="Times New Roman" w:hAnsi="Times New Roman" w:cs="Times New Roman"/>
          <w:sz w:val="24"/>
          <w:szCs w:val="24"/>
        </w:rPr>
        <w:t xml:space="preserve">, </w:t>
      </w:r>
      <w:r>
        <w:rPr>
          <w:rFonts w:ascii="Times New Roman" w:hAnsi="Times New Roman" w:cs="Times New Roman"/>
          <w:i/>
          <w:iCs/>
          <w:sz w:val="24"/>
          <w:szCs w:val="24"/>
        </w:rPr>
        <w:t>IDC: The premier global market intelligence company</w:t>
      </w:r>
      <w:r>
        <w:rPr>
          <w:rFonts w:ascii="Times New Roman" w:hAnsi="Times New Roman" w:cs="Times New Roman"/>
          <w:sz w:val="24"/>
          <w:szCs w:val="24"/>
        </w:rPr>
        <w:t>. Available at: https://www.idc.com/getdoc.jsp?containerId=US50554523 (Accessed: 29 May 2024).</w:t>
      </w:r>
    </w:p>
    <w:p w14:paraId="4D97AFFF">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Jeble, S., Kumari, S. and Patil, Y. (2016) ‘Role of big data and predictive analytics’, </w:t>
      </w:r>
      <w:r>
        <w:rPr>
          <w:rFonts w:ascii="Times New Roman" w:hAnsi="Times New Roman" w:cs="Times New Roman"/>
          <w:i/>
          <w:iCs/>
          <w:sz w:val="24"/>
          <w:szCs w:val="24"/>
        </w:rPr>
        <w:t>International Journal of Automation and Logistics</w:t>
      </w:r>
      <w:r>
        <w:rPr>
          <w:rFonts w:ascii="Times New Roman" w:hAnsi="Times New Roman" w:cs="Times New Roman"/>
          <w:sz w:val="24"/>
          <w:szCs w:val="24"/>
        </w:rPr>
        <w:t>, 2(4), pp. 307–331.</w:t>
      </w:r>
    </w:p>
    <w:p w14:paraId="4F479F81">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Jiang, Q. (2023) ‘Big Data, Big Opportunity, and Big Future’, in </w:t>
      </w:r>
      <w:r>
        <w:rPr>
          <w:rFonts w:ascii="Times New Roman" w:hAnsi="Times New Roman" w:cs="Times New Roman"/>
          <w:i/>
          <w:iCs/>
          <w:sz w:val="24"/>
          <w:szCs w:val="24"/>
        </w:rPr>
        <w:t>Digital China: Big Data and Government Managerial Decision</w:t>
      </w:r>
      <w:r>
        <w:rPr>
          <w:rFonts w:ascii="Times New Roman" w:hAnsi="Times New Roman" w:cs="Times New Roman"/>
          <w:sz w:val="24"/>
          <w:szCs w:val="24"/>
        </w:rPr>
        <w:t>. Springer, pp. 123–137.</w:t>
      </w:r>
    </w:p>
    <w:p w14:paraId="09BEF7D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Kamboj, S. and Rana, S. (2023) ‘Big data-driven supply chain and performance: a resource-based view’, </w:t>
      </w:r>
      <w:r>
        <w:rPr>
          <w:rFonts w:ascii="Times New Roman" w:hAnsi="Times New Roman" w:cs="Times New Roman"/>
          <w:i/>
          <w:iCs/>
          <w:sz w:val="24"/>
          <w:szCs w:val="24"/>
        </w:rPr>
        <w:t>The TQM Journal</w:t>
      </w:r>
      <w:r>
        <w:rPr>
          <w:rFonts w:ascii="Times New Roman" w:hAnsi="Times New Roman" w:cs="Times New Roman"/>
          <w:sz w:val="24"/>
          <w:szCs w:val="24"/>
        </w:rPr>
        <w:t>, 35(1), pp. 5–23.</w:t>
      </w:r>
    </w:p>
    <w:p w14:paraId="7E370D74">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Lee, C., Lee, G. and Lin, H. (2007) ‘The role of organizational capabilities in successful e‐business implementation’, </w:t>
      </w:r>
      <w:r>
        <w:rPr>
          <w:rFonts w:ascii="Times New Roman" w:hAnsi="Times New Roman" w:cs="Times New Roman"/>
          <w:i/>
          <w:iCs/>
          <w:sz w:val="24"/>
          <w:szCs w:val="24"/>
        </w:rPr>
        <w:t>Business Process Management Journal</w:t>
      </w:r>
      <w:r>
        <w:rPr>
          <w:rFonts w:ascii="Times New Roman" w:hAnsi="Times New Roman" w:cs="Times New Roman"/>
          <w:sz w:val="24"/>
          <w:szCs w:val="24"/>
        </w:rPr>
        <w:t>, 13(5), pp. 677–693</w:t>
      </w:r>
    </w:p>
    <w:p w14:paraId="210C223D">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Liao, J., Welsch, H. and Stoica, M. (2003) ‘Organizational absorptive capacity and responsiveness: An empirical investigation of growth-oriented SMEs’, </w:t>
      </w:r>
      <w:r>
        <w:rPr>
          <w:rFonts w:ascii="Times New Roman" w:hAnsi="Times New Roman" w:cs="Times New Roman"/>
          <w:i/>
          <w:iCs/>
          <w:sz w:val="24"/>
          <w:szCs w:val="24"/>
        </w:rPr>
        <w:t>Entrepreneurship Theory and Practice</w:t>
      </w:r>
      <w:r>
        <w:rPr>
          <w:rFonts w:ascii="Times New Roman" w:hAnsi="Times New Roman" w:cs="Times New Roman"/>
          <w:sz w:val="24"/>
          <w:szCs w:val="24"/>
        </w:rPr>
        <w:t>, 28(1), pp. 63–86.</w:t>
      </w:r>
    </w:p>
    <w:p w14:paraId="698A44D1">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Lin, C. and Kunnathur, A. (2019) ‘Strategic orientations, developmental culture, and big data capability’, </w:t>
      </w:r>
      <w:r>
        <w:rPr>
          <w:rFonts w:ascii="Times New Roman" w:hAnsi="Times New Roman" w:cs="Times New Roman"/>
          <w:i/>
          <w:iCs/>
          <w:sz w:val="24"/>
          <w:szCs w:val="24"/>
        </w:rPr>
        <w:t>Journal of Business Research</w:t>
      </w:r>
      <w:r>
        <w:rPr>
          <w:rFonts w:ascii="Times New Roman" w:hAnsi="Times New Roman" w:cs="Times New Roman"/>
          <w:sz w:val="24"/>
          <w:szCs w:val="24"/>
        </w:rPr>
        <w:t>, 105, pp. 49–60.</w:t>
      </w:r>
    </w:p>
    <w:p w14:paraId="787EEAC7">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Lin, H. and Lee, G. (2005) ‘Impact of organizational learning and knowledge management factors on e‐business adoption’, </w:t>
      </w:r>
      <w:r>
        <w:rPr>
          <w:rFonts w:ascii="Times New Roman" w:hAnsi="Times New Roman" w:cs="Times New Roman"/>
          <w:i/>
          <w:iCs/>
          <w:sz w:val="24"/>
          <w:szCs w:val="24"/>
        </w:rPr>
        <w:t>Management Decision</w:t>
      </w:r>
      <w:r>
        <w:rPr>
          <w:rFonts w:ascii="Times New Roman" w:hAnsi="Times New Roman" w:cs="Times New Roman"/>
          <w:sz w:val="24"/>
          <w:szCs w:val="24"/>
        </w:rPr>
        <w:t xml:space="preserve">, 43(2), pp. 171–188. </w:t>
      </w:r>
    </w:p>
    <w:p w14:paraId="3801C0DD">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Lozada, N., Arias-Pérez, J. and Henao-García, E.A. (2023) ‘Unveiling the effects of big data analytics capability on innovation capability through absorptive capacity: why more and better insights matter’, </w:t>
      </w:r>
      <w:r>
        <w:rPr>
          <w:rFonts w:ascii="Times New Roman" w:hAnsi="Times New Roman" w:cs="Times New Roman"/>
          <w:i/>
          <w:iCs/>
          <w:sz w:val="24"/>
          <w:szCs w:val="24"/>
        </w:rPr>
        <w:t>Journal of Enterprise Information Management</w:t>
      </w:r>
      <w:r>
        <w:rPr>
          <w:rFonts w:ascii="Times New Roman" w:hAnsi="Times New Roman" w:cs="Times New Roman"/>
          <w:sz w:val="24"/>
          <w:szCs w:val="24"/>
        </w:rPr>
        <w:t>, 36(2), pp. 680–701.</w:t>
      </w:r>
    </w:p>
    <w:p w14:paraId="3650BFC5">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Maroufkhani, P. </w:t>
      </w:r>
      <w:r>
        <w:rPr>
          <w:rFonts w:ascii="Times New Roman" w:hAnsi="Times New Roman" w:cs="Times New Roman"/>
          <w:i/>
          <w:iCs/>
          <w:sz w:val="24"/>
          <w:szCs w:val="24"/>
        </w:rPr>
        <w:t>et al.</w:t>
      </w:r>
      <w:r>
        <w:rPr>
          <w:rFonts w:ascii="Times New Roman" w:hAnsi="Times New Roman" w:cs="Times New Roman"/>
          <w:sz w:val="24"/>
          <w:szCs w:val="24"/>
        </w:rPr>
        <w:t xml:space="preserve"> (2019) ‘Big Data Analytics and Firm Performance: A Systematic Review’, </w:t>
      </w:r>
      <w:r>
        <w:rPr>
          <w:rFonts w:ascii="Times New Roman" w:hAnsi="Times New Roman" w:cs="Times New Roman"/>
          <w:i/>
          <w:iCs/>
          <w:sz w:val="24"/>
          <w:szCs w:val="24"/>
        </w:rPr>
        <w:t>Information</w:t>
      </w:r>
      <w:r>
        <w:rPr>
          <w:rFonts w:ascii="Times New Roman" w:hAnsi="Times New Roman" w:cs="Times New Roman"/>
          <w:sz w:val="24"/>
          <w:szCs w:val="24"/>
        </w:rPr>
        <w:t>, 10(7), p. 226.</w:t>
      </w:r>
    </w:p>
    <w:p w14:paraId="52D9A81B">
      <w:pPr>
        <w:pStyle w:val="57"/>
        <w:spacing w:before="120" w:line="480" w:lineRule="auto"/>
        <w:rPr>
          <w:rFonts w:ascii="Times New Roman" w:hAnsi="Times New Roman" w:cs="Times New Roman"/>
          <w:sz w:val="24"/>
          <w:szCs w:val="24"/>
        </w:rPr>
      </w:pPr>
      <w:r>
        <w:rPr>
          <w:rFonts w:ascii="Times New Roman" w:hAnsi="Times New Roman" w:cs="Times New Roman"/>
          <w:sz w:val="24"/>
          <w:szCs w:val="24"/>
          <w:lang w:val="fr-FR"/>
        </w:rPr>
        <w:t xml:space="preserve">McAfee, A. </w:t>
      </w:r>
      <w:r>
        <w:rPr>
          <w:rFonts w:ascii="Times New Roman" w:hAnsi="Times New Roman" w:cs="Times New Roman"/>
          <w:i/>
          <w:iCs/>
          <w:sz w:val="24"/>
          <w:szCs w:val="24"/>
          <w:lang w:val="fr-FR"/>
        </w:rPr>
        <w:t>et al.</w:t>
      </w:r>
      <w:r>
        <w:rPr>
          <w:rFonts w:ascii="Times New Roman" w:hAnsi="Times New Roman" w:cs="Times New Roman"/>
          <w:sz w:val="24"/>
          <w:szCs w:val="24"/>
          <w:lang w:val="fr-FR"/>
        </w:rPr>
        <w:t xml:space="preserve"> </w:t>
      </w:r>
      <w:r>
        <w:rPr>
          <w:rFonts w:ascii="Times New Roman" w:hAnsi="Times New Roman" w:cs="Times New Roman"/>
          <w:sz w:val="24"/>
          <w:szCs w:val="24"/>
        </w:rPr>
        <w:t xml:space="preserve">(2012) ‘Big data: the management revolution’, </w:t>
      </w:r>
      <w:r>
        <w:rPr>
          <w:rFonts w:ascii="Times New Roman" w:hAnsi="Times New Roman" w:cs="Times New Roman"/>
          <w:i/>
          <w:iCs/>
          <w:sz w:val="24"/>
          <w:szCs w:val="24"/>
        </w:rPr>
        <w:t>Harvard Business Review</w:t>
      </w:r>
      <w:r>
        <w:rPr>
          <w:rFonts w:ascii="Times New Roman" w:hAnsi="Times New Roman" w:cs="Times New Roman"/>
          <w:sz w:val="24"/>
          <w:szCs w:val="24"/>
        </w:rPr>
        <w:t>, 90(10), pp. 60–68.</w:t>
      </w:r>
    </w:p>
    <w:p w14:paraId="0312EED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McAfee, A. and Brynjolfsson, E. (2012) ‘Big data: the management revolution’, </w:t>
      </w:r>
      <w:r>
        <w:rPr>
          <w:rFonts w:ascii="Times New Roman" w:hAnsi="Times New Roman" w:cs="Times New Roman"/>
          <w:i/>
          <w:iCs/>
          <w:sz w:val="24"/>
          <w:szCs w:val="24"/>
        </w:rPr>
        <w:t>Harvard Business Review</w:t>
      </w:r>
      <w:r>
        <w:rPr>
          <w:rFonts w:ascii="Times New Roman" w:hAnsi="Times New Roman" w:cs="Times New Roman"/>
          <w:sz w:val="24"/>
          <w:szCs w:val="24"/>
        </w:rPr>
        <w:t>, 90(10), pp. 60–66, 68, 128.</w:t>
      </w:r>
    </w:p>
    <w:p w14:paraId="0861C8E9">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Mikalef, P. </w:t>
      </w:r>
      <w:r>
        <w:rPr>
          <w:rFonts w:ascii="Times New Roman" w:hAnsi="Times New Roman" w:cs="Times New Roman"/>
          <w:i/>
          <w:iCs/>
          <w:sz w:val="24"/>
          <w:szCs w:val="24"/>
        </w:rPr>
        <w:t>et al.</w:t>
      </w:r>
      <w:r>
        <w:rPr>
          <w:rFonts w:ascii="Times New Roman" w:hAnsi="Times New Roman" w:cs="Times New Roman"/>
          <w:sz w:val="24"/>
          <w:szCs w:val="24"/>
        </w:rPr>
        <w:t xml:space="preserve"> (2019a) ‘Big data analytics and firm performance: Findings from a mixed-method approach’, </w:t>
      </w:r>
      <w:r>
        <w:rPr>
          <w:rFonts w:ascii="Times New Roman" w:hAnsi="Times New Roman" w:cs="Times New Roman"/>
          <w:i/>
          <w:iCs/>
          <w:sz w:val="24"/>
          <w:szCs w:val="24"/>
        </w:rPr>
        <w:t>Journal of Business Research</w:t>
      </w:r>
      <w:r>
        <w:rPr>
          <w:rFonts w:ascii="Times New Roman" w:hAnsi="Times New Roman" w:cs="Times New Roman"/>
          <w:sz w:val="24"/>
          <w:szCs w:val="24"/>
        </w:rPr>
        <w:t>, 98, pp. 261–276.</w:t>
      </w:r>
    </w:p>
    <w:p w14:paraId="2A655077">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Mikalef, P. </w:t>
      </w:r>
      <w:r>
        <w:rPr>
          <w:rFonts w:ascii="Times New Roman" w:hAnsi="Times New Roman" w:cs="Times New Roman"/>
          <w:i/>
          <w:iCs/>
          <w:sz w:val="24"/>
          <w:szCs w:val="24"/>
        </w:rPr>
        <w:t>et al.</w:t>
      </w:r>
      <w:r>
        <w:rPr>
          <w:rFonts w:ascii="Times New Roman" w:hAnsi="Times New Roman" w:cs="Times New Roman"/>
          <w:sz w:val="24"/>
          <w:szCs w:val="24"/>
        </w:rPr>
        <w:t xml:space="preserve"> (2019b) ‘Big data analytics capabilities and innovation: the mediating role of dynamic capabilities and moderating effect of the environment’, </w:t>
      </w:r>
      <w:r>
        <w:rPr>
          <w:rFonts w:ascii="Times New Roman" w:hAnsi="Times New Roman" w:cs="Times New Roman"/>
          <w:i/>
          <w:iCs/>
          <w:sz w:val="24"/>
          <w:szCs w:val="24"/>
        </w:rPr>
        <w:t>British Journal of Management</w:t>
      </w:r>
      <w:r>
        <w:rPr>
          <w:rFonts w:ascii="Times New Roman" w:hAnsi="Times New Roman" w:cs="Times New Roman"/>
          <w:sz w:val="24"/>
          <w:szCs w:val="24"/>
        </w:rPr>
        <w:t>, 30(2), pp. 272–298.</w:t>
      </w:r>
    </w:p>
    <w:p w14:paraId="0BCCAA15">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Mikalef, P. and Krogstie, J. (2020) ‘Examining the interplay between big data analytics and contextual factors in driving process innovation capabilities’, </w:t>
      </w:r>
      <w:r>
        <w:rPr>
          <w:rFonts w:ascii="Times New Roman" w:hAnsi="Times New Roman" w:cs="Times New Roman"/>
          <w:i/>
          <w:iCs/>
          <w:sz w:val="24"/>
          <w:szCs w:val="24"/>
        </w:rPr>
        <w:t>European Journal of Information Systems</w:t>
      </w:r>
      <w:r>
        <w:rPr>
          <w:rFonts w:ascii="Times New Roman" w:hAnsi="Times New Roman" w:cs="Times New Roman"/>
          <w:sz w:val="24"/>
          <w:szCs w:val="24"/>
        </w:rPr>
        <w:t xml:space="preserve"> [Preprint]. Available at: https://www.tandfonline.com/doi/abs/10.1080/0960085X.2020.1740618 (Accessed: 15 July 2024).</w:t>
      </w:r>
    </w:p>
    <w:p w14:paraId="45A5AF73">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Mikalef, P., van de Wetering, R. and Krogstie, J. (2021) ‘Building dynamic capabilities by leveraging big data analytics: The role of organizational inertia’, </w:t>
      </w:r>
      <w:r>
        <w:rPr>
          <w:rFonts w:ascii="Times New Roman" w:hAnsi="Times New Roman" w:cs="Times New Roman"/>
          <w:i/>
          <w:iCs/>
          <w:sz w:val="24"/>
          <w:szCs w:val="24"/>
        </w:rPr>
        <w:t>Information &amp; Management</w:t>
      </w:r>
      <w:r>
        <w:rPr>
          <w:rFonts w:ascii="Times New Roman" w:hAnsi="Times New Roman" w:cs="Times New Roman"/>
          <w:sz w:val="24"/>
          <w:szCs w:val="24"/>
        </w:rPr>
        <w:t>, 58(6), p. 103412.</w:t>
      </w:r>
    </w:p>
    <w:p w14:paraId="0048995F">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Miller, C.C., Washburn, N.T. and Glick, W.H. (2013) ‘Perspective—The myth of firm performance’, </w:t>
      </w:r>
      <w:r>
        <w:rPr>
          <w:rFonts w:ascii="Times New Roman" w:hAnsi="Times New Roman" w:cs="Times New Roman"/>
          <w:i/>
          <w:iCs/>
          <w:sz w:val="24"/>
          <w:szCs w:val="24"/>
        </w:rPr>
        <w:t>Organization Science</w:t>
      </w:r>
      <w:r>
        <w:rPr>
          <w:rFonts w:ascii="Times New Roman" w:hAnsi="Times New Roman" w:cs="Times New Roman"/>
          <w:sz w:val="24"/>
          <w:szCs w:val="24"/>
        </w:rPr>
        <w:t>, 24(3), pp. 948–964.</w:t>
      </w:r>
    </w:p>
    <w:p w14:paraId="7C309159">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Muneeb, D. </w:t>
      </w:r>
      <w:r>
        <w:rPr>
          <w:rFonts w:ascii="Times New Roman" w:hAnsi="Times New Roman" w:cs="Times New Roman"/>
          <w:i/>
          <w:iCs/>
          <w:sz w:val="24"/>
          <w:szCs w:val="24"/>
        </w:rPr>
        <w:t>et al.</w:t>
      </w:r>
      <w:r>
        <w:rPr>
          <w:rFonts w:ascii="Times New Roman" w:hAnsi="Times New Roman" w:cs="Times New Roman"/>
          <w:sz w:val="24"/>
          <w:szCs w:val="24"/>
        </w:rPr>
        <w:t xml:space="preserve"> (2023) ‘Dynamic capabilities as a strategic flexibility enabler: organizational responsiveness to COVID-19’, </w:t>
      </w:r>
      <w:r>
        <w:rPr>
          <w:rFonts w:ascii="Times New Roman" w:hAnsi="Times New Roman" w:cs="Times New Roman"/>
          <w:i/>
          <w:iCs/>
          <w:sz w:val="24"/>
          <w:szCs w:val="24"/>
        </w:rPr>
        <w:t>Journal of Asia Business Studies</w:t>
      </w:r>
      <w:r>
        <w:rPr>
          <w:rFonts w:ascii="Times New Roman" w:hAnsi="Times New Roman" w:cs="Times New Roman"/>
          <w:sz w:val="24"/>
          <w:szCs w:val="24"/>
        </w:rPr>
        <w:t>, 17(4), pp. 824–849.</w:t>
      </w:r>
    </w:p>
    <w:p w14:paraId="6E44FA3E">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Murray, P. and Chapman, R. (2003) ‘From continuous improvement to organisational learning: developmental theory’, </w:t>
      </w:r>
      <w:r>
        <w:rPr>
          <w:rFonts w:ascii="Times New Roman" w:hAnsi="Times New Roman" w:cs="Times New Roman"/>
          <w:i/>
          <w:iCs/>
          <w:sz w:val="24"/>
          <w:szCs w:val="24"/>
        </w:rPr>
        <w:t xml:space="preserve">The </w:t>
      </w:r>
      <w:r>
        <w:rPr>
          <w:rFonts w:hint="eastAsia" w:ascii="Times New Roman" w:hAnsi="Times New Roman" w:cs="Times New Roman"/>
          <w:i/>
          <w:iCs/>
          <w:sz w:val="24"/>
          <w:szCs w:val="24"/>
        </w:rPr>
        <w:t>L</w:t>
      </w:r>
      <w:r>
        <w:rPr>
          <w:rFonts w:ascii="Times New Roman" w:hAnsi="Times New Roman" w:cs="Times New Roman"/>
          <w:i/>
          <w:iCs/>
          <w:sz w:val="24"/>
          <w:szCs w:val="24"/>
        </w:rPr>
        <w:t xml:space="preserve">earning </w:t>
      </w:r>
      <w:r>
        <w:rPr>
          <w:rFonts w:hint="eastAsia" w:ascii="Times New Roman" w:hAnsi="Times New Roman" w:cs="Times New Roman"/>
          <w:i/>
          <w:iCs/>
          <w:sz w:val="24"/>
          <w:szCs w:val="24"/>
        </w:rPr>
        <w:t>O</w:t>
      </w:r>
      <w:r>
        <w:rPr>
          <w:rFonts w:ascii="Times New Roman" w:hAnsi="Times New Roman" w:cs="Times New Roman"/>
          <w:i/>
          <w:iCs/>
          <w:sz w:val="24"/>
          <w:szCs w:val="24"/>
        </w:rPr>
        <w:t>rganization</w:t>
      </w:r>
      <w:r>
        <w:rPr>
          <w:rFonts w:ascii="Times New Roman" w:hAnsi="Times New Roman" w:cs="Times New Roman"/>
          <w:sz w:val="24"/>
          <w:szCs w:val="24"/>
        </w:rPr>
        <w:t>, 10(5), pp. 272–282.</w:t>
      </w:r>
    </w:p>
    <w:p w14:paraId="67410EF0">
      <w:pPr>
        <w:pStyle w:val="57"/>
        <w:spacing w:before="120" w:line="480" w:lineRule="auto"/>
        <w:rPr>
          <w:rFonts w:ascii="Times New Roman" w:hAnsi="Times New Roman" w:cs="Times New Roman"/>
          <w:sz w:val="24"/>
          <w:szCs w:val="24"/>
        </w:rPr>
      </w:pPr>
      <w:r>
        <w:rPr>
          <w:rFonts w:ascii="Times New Roman" w:hAnsi="Times New Roman" w:cs="Times New Roman"/>
          <w:sz w:val="24"/>
          <w:szCs w:val="24"/>
          <w:lang w:val="fr-FR"/>
        </w:rPr>
        <w:t xml:space="preserve">Nisar, Q.A. </w:t>
      </w:r>
      <w:r>
        <w:rPr>
          <w:rFonts w:ascii="Times New Roman" w:hAnsi="Times New Roman" w:cs="Times New Roman"/>
          <w:i/>
          <w:iCs/>
          <w:sz w:val="24"/>
          <w:szCs w:val="24"/>
          <w:lang w:val="fr-FR"/>
        </w:rPr>
        <w:t>et al.</w:t>
      </w:r>
      <w:r>
        <w:rPr>
          <w:rFonts w:ascii="Times New Roman" w:hAnsi="Times New Roman" w:cs="Times New Roman"/>
          <w:sz w:val="24"/>
          <w:szCs w:val="24"/>
          <w:lang w:val="fr-FR"/>
        </w:rPr>
        <w:t xml:space="preserve"> </w:t>
      </w:r>
      <w:r>
        <w:rPr>
          <w:rFonts w:ascii="Times New Roman" w:hAnsi="Times New Roman" w:cs="Times New Roman"/>
          <w:sz w:val="24"/>
          <w:szCs w:val="24"/>
        </w:rPr>
        <w:t xml:space="preserve">(2021) ‘Big data management and environmental performance: role of big data decision-making capabilities and decision-making quality’, </w:t>
      </w:r>
      <w:r>
        <w:rPr>
          <w:rFonts w:ascii="Times New Roman" w:hAnsi="Times New Roman" w:cs="Times New Roman"/>
          <w:i/>
          <w:iCs/>
          <w:sz w:val="24"/>
          <w:szCs w:val="24"/>
        </w:rPr>
        <w:t>Journal of Enterprise Information Management</w:t>
      </w:r>
      <w:r>
        <w:rPr>
          <w:rFonts w:ascii="Times New Roman" w:hAnsi="Times New Roman" w:cs="Times New Roman"/>
          <w:sz w:val="24"/>
          <w:szCs w:val="24"/>
        </w:rPr>
        <w:t>, 34(4), pp. 1061–1096.</w:t>
      </w:r>
    </w:p>
    <w:p w14:paraId="45E6F51D">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Ohlhorst, F.J. (2012) </w:t>
      </w:r>
      <w:r>
        <w:rPr>
          <w:rFonts w:ascii="Times New Roman" w:hAnsi="Times New Roman" w:cs="Times New Roman"/>
          <w:i/>
          <w:iCs/>
          <w:sz w:val="24"/>
          <w:szCs w:val="24"/>
        </w:rPr>
        <w:t>Big data analytics: turning big data into big money</w:t>
      </w:r>
      <w:r>
        <w:rPr>
          <w:rFonts w:ascii="Times New Roman" w:hAnsi="Times New Roman" w:cs="Times New Roman"/>
          <w:sz w:val="24"/>
          <w:szCs w:val="24"/>
        </w:rPr>
        <w:t>. John Wiley &amp; Sons.</w:t>
      </w:r>
    </w:p>
    <w:p w14:paraId="485630E7">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Peteraf, M.A. (1993) ‘The cornerstones of competitive advantage: A resource-based view’, </w:t>
      </w:r>
      <w:r>
        <w:rPr>
          <w:rFonts w:ascii="Times New Roman" w:hAnsi="Times New Roman" w:cs="Times New Roman"/>
          <w:i/>
          <w:iCs/>
          <w:sz w:val="24"/>
          <w:szCs w:val="24"/>
        </w:rPr>
        <w:t>Strategic Management Journal</w:t>
      </w:r>
      <w:r>
        <w:rPr>
          <w:rFonts w:ascii="Times New Roman" w:hAnsi="Times New Roman" w:cs="Times New Roman"/>
          <w:sz w:val="24"/>
          <w:szCs w:val="24"/>
        </w:rPr>
        <w:t>, 14(3), pp. 179–191.</w:t>
      </w:r>
    </w:p>
    <w:p w14:paraId="2D9EDFD1">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Peteraf, M.A. and Bergen, M.E. (2003) ‘Scanning dynamic competitive landscapes: a market-based and resource-based framework’, </w:t>
      </w:r>
      <w:r>
        <w:rPr>
          <w:rFonts w:ascii="Times New Roman" w:hAnsi="Times New Roman" w:cs="Times New Roman"/>
          <w:i/>
          <w:iCs/>
          <w:sz w:val="24"/>
          <w:szCs w:val="24"/>
        </w:rPr>
        <w:t>Strategic Management Journal</w:t>
      </w:r>
      <w:r>
        <w:rPr>
          <w:rFonts w:ascii="Times New Roman" w:hAnsi="Times New Roman" w:cs="Times New Roman"/>
          <w:sz w:val="24"/>
          <w:szCs w:val="24"/>
        </w:rPr>
        <w:t xml:space="preserve">, 24(10), pp. 1027–1041. </w:t>
      </w:r>
    </w:p>
    <w:p w14:paraId="42FD1CDB">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Saunders, M., Lewis, P. and Thornhill, A. (2009) </w:t>
      </w:r>
      <w:r>
        <w:rPr>
          <w:rFonts w:ascii="Times New Roman" w:hAnsi="Times New Roman" w:cs="Times New Roman"/>
          <w:i/>
          <w:iCs/>
          <w:sz w:val="24"/>
          <w:szCs w:val="24"/>
        </w:rPr>
        <w:t>Research methods for business students</w:t>
      </w:r>
      <w:r>
        <w:rPr>
          <w:rFonts w:ascii="Times New Roman" w:hAnsi="Times New Roman" w:cs="Times New Roman"/>
          <w:sz w:val="24"/>
          <w:szCs w:val="24"/>
        </w:rPr>
        <w:t>. Pearson education.</w:t>
      </w:r>
    </w:p>
    <w:p w14:paraId="0348E5C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Schoenherr, T. and Speier‐Pero, C. (2015) ‘Data science, predictive analytics, and big data in supply chain management: Current state and future potential’, </w:t>
      </w:r>
      <w:r>
        <w:rPr>
          <w:rFonts w:ascii="Times New Roman" w:hAnsi="Times New Roman" w:cs="Times New Roman"/>
          <w:i/>
          <w:iCs/>
          <w:sz w:val="24"/>
          <w:szCs w:val="24"/>
        </w:rPr>
        <w:t>Journal of Business Logistics</w:t>
      </w:r>
      <w:r>
        <w:rPr>
          <w:rFonts w:ascii="Times New Roman" w:hAnsi="Times New Roman" w:cs="Times New Roman"/>
          <w:sz w:val="24"/>
          <w:szCs w:val="24"/>
        </w:rPr>
        <w:t>, 36(1), pp. 120–132.</w:t>
      </w:r>
    </w:p>
    <w:p w14:paraId="1EA41CE6">
      <w:pPr>
        <w:pStyle w:val="57"/>
        <w:spacing w:before="120" w:line="480" w:lineRule="auto"/>
        <w:rPr>
          <w:rFonts w:ascii="Times New Roman" w:hAnsi="Times New Roman" w:cs="Times New Roman"/>
          <w:sz w:val="24"/>
          <w:szCs w:val="24"/>
          <w:lang w:val="fr-FR"/>
        </w:rPr>
      </w:pPr>
      <w:r>
        <w:rPr>
          <w:rFonts w:ascii="Times New Roman" w:hAnsi="Times New Roman" w:cs="Times New Roman"/>
          <w:sz w:val="24"/>
          <w:szCs w:val="24"/>
        </w:rPr>
        <w:t xml:space="preserve">Shahid, N.U. and Sheikh, N.J. (2021) ‘Impact of Big Data on Innovation, Competitive Advantage, Productivity, and Decision Making: Literature Review’, </w:t>
      </w:r>
      <w:r>
        <w:rPr>
          <w:rFonts w:ascii="Times New Roman" w:hAnsi="Times New Roman" w:cs="Times New Roman"/>
          <w:i/>
          <w:iCs/>
          <w:sz w:val="24"/>
          <w:szCs w:val="24"/>
        </w:rPr>
        <w:t>Open Journal of Business and Management</w:t>
      </w:r>
      <w:r>
        <w:rPr>
          <w:rFonts w:ascii="Times New Roman" w:hAnsi="Times New Roman" w:cs="Times New Roman"/>
          <w:sz w:val="24"/>
          <w:szCs w:val="24"/>
        </w:rPr>
        <w:t xml:space="preserve">, 09(02), p. 586. </w:t>
      </w:r>
    </w:p>
    <w:p w14:paraId="18F564F9">
      <w:pPr>
        <w:pStyle w:val="57"/>
        <w:spacing w:before="120" w:line="480" w:lineRule="auto"/>
        <w:rPr>
          <w:rFonts w:ascii="Times New Roman" w:hAnsi="Times New Roman" w:cs="Times New Roman"/>
          <w:sz w:val="24"/>
          <w:szCs w:val="24"/>
        </w:rPr>
      </w:pPr>
      <w:r>
        <w:rPr>
          <w:rFonts w:ascii="Times New Roman" w:hAnsi="Times New Roman" w:cs="Times New Roman"/>
          <w:sz w:val="24"/>
          <w:szCs w:val="24"/>
          <w:lang w:val="fr-FR"/>
        </w:rPr>
        <w:t xml:space="preserve">Shamim, S. </w:t>
      </w:r>
      <w:r>
        <w:rPr>
          <w:rFonts w:ascii="Times New Roman" w:hAnsi="Times New Roman" w:cs="Times New Roman"/>
          <w:i/>
          <w:iCs/>
          <w:sz w:val="24"/>
          <w:szCs w:val="24"/>
          <w:lang w:val="fr-FR"/>
        </w:rPr>
        <w:t>et al.</w:t>
      </w:r>
      <w:r>
        <w:rPr>
          <w:rFonts w:ascii="Times New Roman" w:hAnsi="Times New Roman" w:cs="Times New Roman"/>
          <w:sz w:val="24"/>
          <w:szCs w:val="24"/>
          <w:lang w:val="fr-FR"/>
        </w:rPr>
        <w:t xml:space="preserve"> </w:t>
      </w:r>
      <w:r>
        <w:rPr>
          <w:rFonts w:ascii="Times New Roman" w:hAnsi="Times New Roman" w:cs="Times New Roman"/>
          <w:sz w:val="24"/>
          <w:szCs w:val="24"/>
        </w:rPr>
        <w:t xml:space="preserve">(2019) ‘Role of big data management in enhancing big data decision-making capability and quality among Chinese firms: A dynamic capabilities view’, </w:t>
      </w:r>
      <w:r>
        <w:rPr>
          <w:rFonts w:ascii="Times New Roman" w:hAnsi="Times New Roman" w:cs="Times New Roman"/>
          <w:i/>
          <w:iCs/>
          <w:sz w:val="24"/>
          <w:szCs w:val="24"/>
        </w:rPr>
        <w:t>Information &amp; Management</w:t>
      </w:r>
      <w:r>
        <w:rPr>
          <w:rFonts w:ascii="Times New Roman" w:hAnsi="Times New Roman" w:cs="Times New Roman"/>
          <w:sz w:val="24"/>
          <w:szCs w:val="24"/>
        </w:rPr>
        <w:t>, 56(6), p. 103135.</w:t>
      </w:r>
    </w:p>
    <w:p w14:paraId="192F5E87">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Shan, S. </w:t>
      </w:r>
      <w:r>
        <w:rPr>
          <w:rFonts w:ascii="Times New Roman" w:hAnsi="Times New Roman" w:cs="Times New Roman"/>
          <w:i/>
          <w:iCs/>
          <w:sz w:val="24"/>
          <w:szCs w:val="24"/>
        </w:rPr>
        <w:t>et al.</w:t>
      </w:r>
      <w:r>
        <w:rPr>
          <w:rFonts w:ascii="Times New Roman" w:hAnsi="Times New Roman" w:cs="Times New Roman"/>
          <w:sz w:val="24"/>
          <w:szCs w:val="24"/>
        </w:rPr>
        <w:t xml:space="preserve"> (2019a) ‘Big data analysis adaptation and enterprises’ competitive advantages: the perspective of dynamic capability and resource-based theories’, </w:t>
      </w:r>
      <w:r>
        <w:rPr>
          <w:rFonts w:ascii="Times New Roman" w:hAnsi="Times New Roman" w:cs="Times New Roman"/>
          <w:i/>
          <w:iCs/>
          <w:sz w:val="24"/>
          <w:szCs w:val="24"/>
        </w:rPr>
        <w:t>Technology Analysis &amp; Strategic Management</w:t>
      </w:r>
      <w:r>
        <w:rPr>
          <w:rFonts w:ascii="Times New Roman" w:hAnsi="Times New Roman" w:cs="Times New Roman"/>
          <w:sz w:val="24"/>
          <w:szCs w:val="24"/>
        </w:rPr>
        <w:t>, 31(4), pp. 406–420.</w:t>
      </w:r>
    </w:p>
    <w:p w14:paraId="494A321D">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Shan, S. </w:t>
      </w:r>
      <w:r>
        <w:rPr>
          <w:rFonts w:ascii="Times New Roman" w:hAnsi="Times New Roman" w:cs="Times New Roman"/>
          <w:i/>
          <w:iCs/>
          <w:sz w:val="24"/>
          <w:szCs w:val="24"/>
        </w:rPr>
        <w:t>et al.</w:t>
      </w:r>
      <w:r>
        <w:rPr>
          <w:rFonts w:ascii="Times New Roman" w:hAnsi="Times New Roman" w:cs="Times New Roman"/>
          <w:sz w:val="24"/>
          <w:szCs w:val="24"/>
        </w:rPr>
        <w:t xml:space="preserve"> (2019b) ‘Big data analysis adaptation and enterprises’ competitive advantages: the perspective of dynamic capability and resource-based theories’, </w:t>
      </w:r>
      <w:r>
        <w:rPr>
          <w:rFonts w:ascii="Times New Roman" w:hAnsi="Times New Roman" w:cs="Times New Roman"/>
          <w:i/>
          <w:iCs/>
          <w:sz w:val="24"/>
          <w:szCs w:val="24"/>
        </w:rPr>
        <w:t>Technology Analysis &amp; Strategic Management</w:t>
      </w:r>
      <w:r>
        <w:rPr>
          <w:rFonts w:ascii="Times New Roman" w:hAnsi="Times New Roman" w:cs="Times New Roman"/>
          <w:sz w:val="24"/>
          <w:szCs w:val="24"/>
        </w:rPr>
        <w:t>, 31(4), pp. 406–420.</w:t>
      </w:r>
    </w:p>
    <w:p w14:paraId="3E7170E8">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Sina News (2021) </w:t>
      </w:r>
      <w:r>
        <w:rPr>
          <w:rFonts w:ascii="Times New Roman" w:hAnsi="Times New Roman" w:cs="Times New Roman"/>
          <w:i/>
          <w:iCs/>
          <w:sz w:val="24"/>
          <w:szCs w:val="24"/>
        </w:rPr>
        <w:t>China’s big data industry in 2021, the national level policy summary and interpretation (full) big data security and industrial integration and development has become the focus of the industry’s policy construction</w:t>
      </w:r>
      <w:r>
        <w:rPr>
          <w:rFonts w:ascii="Times New Roman" w:hAnsi="Times New Roman" w:cs="Times New Roman"/>
          <w:sz w:val="24"/>
          <w:szCs w:val="24"/>
        </w:rPr>
        <w:t>. Available at: https://finance.sina.cn/2021-10-24/detail-iktzscyy1459970.d.html (Accessed: 25 September 2024).</w:t>
      </w:r>
    </w:p>
    <w:p w14:paraId="21053D1D">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Singh, S.K. and Del Giudice, M. (2019a) ‘Big data analytics, dynamic capabilities and firm performance’, </w:t>
      </w:r>
      <w:r>
        <w:rPr>
          <w:rFonts w:ascii="Times New Roman" w:hAnsi="Times New Roman" w:cs="Times New Roman"/>
          <w:i/>
          <w:iCs/>
          <w:sz w:val="24"/>
          <w:szCs w:val="24"/>
        </w:rPr>
        <w:t>Management Decision</w:t>
      </w:r>
      <w:r>
        <w:rPr>
          <w:rFonts w:ascii="Times New Roman" w:hAnsi="Times New Roman" w:cs="Times New Roman"/>
          <w:sz w:val="24"/>
          <w:szCs w:val="24"/>
        </w:rPr>
        <w:t>, 57(8), pp. 1729–1733.</w:t>
      </w:r>
    </w:p>
    <w:p w14:paraId="61064A4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Singh, S.K. and Del Giudice, M. (2019b) ‘Big data analytics, dynamic capabilities and firm performance’, </w:t>
      </w:r>
      <w:r>
        <w:rPr>
          <w:rFonts w:ascii="Times New Roman" w:hAnsi="Times New Roman" w:cs="Times New Roman"/>
          <w:i/>
          <w:iCs/>
          <w:sz w:val="24"/>
          <w:szCs w:val="24"/>
        </w:rPr>
        <w:t>Management Decision</w:t>
      </w:r>
      <w:r>
        <w:rPr>
          <w:rFonts w:ascii="Times New Roman" w:hAnsi="Times New Roman" w:cs="Times New Roman"/>
          <w:sz w:val="24"/>
          <w:szCs w:val="24"/>
        </w:rPr>
        <w:t>, 57(8), pp. 1729–1733.</w:t>
      </w:r>
    </w:p>
    <w:p w14:paraId="495CE108">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Song, Z. (2015) ‘Organizational learning, absorptive capacity, imitation and innovation: Empirical analyses of 115 firms across China’, </w:t>
      </w:r>
      <w:r>
        <w:rPr>
          <w:rFonts w:ascii="Times New Roman" w:hAnsi="Times New Roman" w:cs="Times New Roman"/>
          <w:i/>
          <w:iCs/>
          <w:sz w:val="24"/>
          <w:szCs w:val="24"/>
        </w:rPr>
        <w:t>Chinese Management Studies</w:t>
      </w:r>
      <w:r>
        <w:rPr>
          <w:rFonts w:ascii="Times New Roman" w:hAnsi="Times New Roman" w:cs="Times New Roman"/>
          <w:sz w:val="24"/>
          <w:szCs w:val="24"/>
        </w:rPr>
        <w:t>, 9(1), pp. 97–113.</w:t>
      </w:r>
    </w:p>
    <w:p w14:paraId="0B31DC2E">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Statista (2024) </w:t>
      </w:r>
      <w:r>
        <w:rPr>
          <w:rFonts w:ascii="Times New Roman" w:hAnsi="Times New Roman" w:cs="Times New Roman"/>
          <w:i/>
          <w:iCs/>
          <w:sz w:val="24"/>
          <w:szCs w:val="24"/>
        </w:rPr>
        <w:t>Topic: Big data</w:t>
      </w:r>
      <w:r>
        <w:rPr>
          <w:rFonts w:ascii="Times New Roman" w:hAnsi="Times New Roman" w:cs="Times New Roman"/>
          <w:sz w:val="24"/>
          <w:szCs w:val="24"/>
        </w:rPr>
        <w:t xml:space="preserve">, </w:t>
      </w:r>
      <w:r>
        <w:rPr>
          <w:rFonts w:ascii="Times New Roman" w:hAnsi="Times New Roman" w:cs="Times New Roman"/>
          <w:i/>
          <w:iCs/>
          <w:sz w:val="24"/>
          <w:szCs w:val="24"/>
        </w:rPr>
        <w:t>Statista</w:t>
      </w:r>
      <w:r>
        <w:rPr>
          <w:rFonts w:ascii="Times New Roman" w:hAnsi="Times New Roman" w:cs="Times New Roman"/>
          <w:sz w:val="24"/>
          <w:szCs w:val="24"/>
        </w:rPr>
        <w:t>. Available at: https://www.statista.com/topics/1464/big-data/ (Accessed: 25 September 2024).</w:t>
      </w:r>
    </w:p>
    <w:p w14:paraId="12D8963F">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Talwar, S. </w:t>
      </w:r>
      <w:r>
        <w:rPr>
          <w:rFonts w:ascii="Times New Roman" w:hAnsi="Times New Roman" w:cs="Times New Roman"/>
          <w:i/>
          <w:iCs/>
          <w:sz w:val="24"/>
          <w:szCs w:val="24"/>
        </w:rPr>
        <w:t>et al.</w:t>
      </w:r>
      <w:r>
        <w:rPr>
          <w:rFonts w:ascii="Times New Roman" w:hAnsi="Times New Roman" w:cs="Times New Roman"/>
          <w:sz w:val="24"/>
          <w:szCs w:val="24"/>
        </w:rPr>
        <w:t xml:space="preserve"> (2021) ‘Big Data in operations and supply chain management: a systematic literature review and future research agenda’, </w:t>
      </w:r>
      <w:r>
        <w:rPr>
          <w:rFonts w:ascii="Times New Roman" w:hAnsi="Times New Roman" w:cs="Times New Roman"/>
          <w:i/>
          <w:iCs/>
          <w:sz w:val="24"/>
          <w:szCs w:val="24"/>
        </w:rPr>
        <w:t>International Journal of Production Research</w:t>
      </w:r>
      <w:r>
        <w:rPr>
          <w:rFonts w:ascii="Times New Roman" w:hAnsi="Times New Roman" w:cs="Times New Roman"/>
          <w:sz w:val="24"/>
          <w:szCs w:val="24"/>
        </w:rPr>
        <w:t>, 59(11), pp. 3509–3534.</w:t>
      </w:r>
    </w:p>
    <w:p w14:paraId="1A08B7F2">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Taouab, O. and Issor, Z. (2019) ‘Firm performance: Definition and measurement models’, </w:t>
      </w:r>
      <w:r>
        <w:rPr>
          <w:rFonts w:ascii="Times New Roman" w:hAnsi="Times New Roman" w:cs="Times New Roman"/>
          <w:i/>
          <w:iCs/>
          <w:sz w:val="24"/>
          <w:szCs w:val="24"/>
        </w:rPr>
        <w:t>European Scientific Journal</w:t>
      </w:r>
      <w:r>
        <w:rPr>
          <w:rFonts w:ascii="Times New Roman" w:hAnsi="Times New Roman" w:cs="Times New Roman"/>
          <w:sz w:val="24"/>
          <w:szCs w:val="24"/>
        </w:rPr>
        <w:t>, 15(1), pp. 93–106.</w:t>
      </w:r>
    </w:p>
    <w:p w14:paraId="5B857636">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Teece, D.J. (2000) ‘Strategies for Managing Knowledge Assets: the Role of Firm Structure and Industrial Context’, </w:t>
      </w:r>
      <w:r>
        <w:rPr>
          <w:rFonts w:ascii="Times New Roman" w:hAnsi="Times New Roman" w:cs="Times New Roman"/>
          <w:i/>
          <w:iCs/>
          <w:sz w:val="24"/>
          <w:szCs w:val="24"/>
        </w:rPr>
        <w:t>Long Range Planning</w:t>
      </w:r>
      <w:r>
        <w:rPr>
          <w:rFonts w:ascii="Times New Roman" w:hAnsi="Times New Roman" w:cs="Times New Roman"/>
          <w:sz w:val="24"/>
          <w:szCs w:val="24"/>
        </w:rPr>
        <w:t xml:space="preserve">, 33(1), pp. 35–54. </w:t>
      </w:r>
    </w:p>
    <w:p w14:paraId="2A14D168">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Teece, D.J., Pisano, G. and Shuen, A. (1997) ‘Dynamic capabilities and strategic management’, </w:t>
      </w:r>
      <w:r>
        <w:rPr>
          <w:rFonts w:ascii="Times New Roman" w:hAnsi="Times New Roman" w:cs="Times New Roman"/>
          <w:i/>
          <w:iCs/>
          <w:sz w:val="24"/>
          <w:szCs w:val="24"/>
        </w:rPr>
        <w:t>Strategic management journal</w:t>
      </w:r>
      <w:r>
        <w:rPr>
          <w:rFonts w:ascii="Times New Roman" w:hAnsi="Times New Roman" w:cs="Times New Roman"/>
          <w:sz w:val="24"/>
          <w:szCs w:val="24"/>
        </w:rPr>
        <w:t>, 18(7), pp. 509–533.</w:t>
      </w:r>
    </w:p>
    <w:p w14:paraId="7BB249CF">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The Economist (2017) </w:t>
      </w:r>
      <w:r>
        <w:rPr>
          <w:rFonts w:ascii="Times New Roman" w:hAnsi="Times New Roman" w:cs="Times New Roman"/>
          <w:i/>
          <w:iCs/>
          <w:sz w:val="24"/>
          <w:szCs w:val="24"/>
        </w:rPr>
        <w:t>The world’s most valuable resource is no longer oil, but data</w:t>
      </w:r>
      <w:r>
        <w:rPr>
          <w:rFonts w:ascii="Times New Roman" w:hAnsi="Times New Roman" w:cs="Times New Roman"/>
          <w:sz w:val="24"/>
          <w:szCs w:val="24"/>
        </w:rPr>
        <w:t>. Available at: https://www.economist.com/leaders/2017/05/06/the-worlds-most-valuable-resource-is-no-longer-oil-but-data?utm_medium=cpc.adword.pd&amp;utm_source=google&amp;ppccampaignID=18151738051&amp;ppcadID=&amp;utm_campaign=a.22brand_pmax&amp;utm_content=conversion.direct-response.anonymous&amp;gad_source=1&amp;gclid=CjwKCAjw6c63BhAiEiwAF0EH1ESZgOlADmkQttXusx9p0dyDtq5OWcafx1ppQhpnW4fdt8WDiz0WRxoCedUQAvD_BwE&amp;gclsrc=aw.ds (Accessed: 25 September 2024).</w:t>
      </w:r>
    </w:p>
    <w:p w14:paraId="01C691E6">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Trabucchi, D. and Buganza, T. (2019) ‘Data-driven innovation: switching the perspective on Big Data’, </w:t>
      </w:r>
      <w:r>
        <w:rPr>
          <w:rFonts w:ascii="Times New Roman" w:hAnsi="Times New Roman" w:cs="Times New Roman"/>
          <w:i/>
          <w:iCs/>
          <w:sz w:val="24"/>
          <w:szCs w:val="24"/>
        </w:rPr>
        <w:t>European Journal of Innovation Management</w:t>
      </w:r>
      <w:r>
        <w:rPr>
          <w:rFonts w:ascii="Times New Roman" w:hAnsi="Times New Roman" w:cs="Times New Roman"/>
          <w:sz w:val="24"/>
          <w:szCs w:val="24"/>
        </w:rPr>
        <w:t>, 22(1), pp. 23–40.</w:t>
      </w:r>
    </w:p>
    <w:p w14:paraId="39D7D63C">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Upadhyay, P. and Kumar, A. (2020) ‘The intermediating role of organizational culture and internal analytical knowledge between the capability of big data analytics and a firm’s performance’, </w:t>
      </w:r>
      <w:r>
        <w:rPr>
          <w:rFonts w:ascii="Times New Roman" w:hAnsi="Times New Roman" w:cs="Times New Roman"/>
          <w:i/>
          <w:iCs/>
          <w:sz w:val="24"/>
          <w:szCs w:val="24"/>
        </w:rPr>
        <w:t>International Journal of Information Management</w:t>
      </w:r>
      <w:r>
        <w:rPr>
          <w:rFonts w:ascii="Times New Roman" w:hAnsi="Times New Roman" w:cs="Times New Roman"/>
          <w:sz w:val="24"/>
          <w:szCs w:val="24"/>
        </w:rPr>
        <w:t xml:space="preserve">, 52, p. 102100. </w:t>
      </w:r>
    </w:p>
    <w:p w14:paraId="28427FB0">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Wallis, S.E. (2009) ‘Seeking the robust core of organisational learning theory’, </w:t>
      </w:r>
      <w:r>
        <w:rPr>
          <w:rFonts w:ascii="Times New Roman" w:hAnsi="Times New Roman" w:cs="Times New Roman"/>
          <w:i/>
          <w:iCs/>
          <w:sz w:val="24"/>
          <w:szCs w:val="24"/>
        </w:rPr>
        <w:t>International Journal of Collaborative Enterprise</w:t>
      </w:r>
      <w:r>
        <w:rPr>
          <w:rFonts w:ascii="Times New Roman" w:hAnsi="Times New Roman" w:cs="Times New Roman"/>
          <w:sz w:val="24"/>
          <w:szCs w:val="24"/>
        </w:rPr>
        <w:t>, 1(2), pp. 180–193.</w:t>
      </w:r>
    </w:p>
    <w:p w14:paraId="1A293CC9">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Wamba, S.F., Gunasekaran, A., Akter, S., Ren, S.J., Dubey, R. and Childe, Stephen J (2017) ‘Big data analytics and firm performance: Effects of dynamic capabilities’, </w:t>
      </w:r>
      <w:r>
        <w:rPr>
          <w:rFonts w:ascii="Times New Roman" w:hAnsi="Times New Roman" w:cs="Times New Roman"/>
          <w:i/>
          <w:iCs/>
          <w:sz w:val="24"/>
          <w:szCs w:val="24"/>
        </w:rPr>
        <w:t>Journal of business research</w:t>
      </w:r>
      <w:r>
        <w:rPr>
          <w:rFonts w:ascii="Times New Roman" w:hAnsi="Times New Roman" w:cs="Times New Roman"/>
          <w:sz w:val="24"/>
          <w:szCs w:val="24"/>
        </w:rPr>
        <w:t>, 70, pp. 356–365.</w:t>
      </w:r>
    </w:p>
    <w:p w14:paraId="3B0DA730">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Wamba, S.F., Gunasekaran, A., Akter, S., Ren, S.J., Dubey, R. and Childe, Stephen J. (2017) ‘Big data analytics and firm performance: Effects of dynamic capabilities’, </w:t>
      </w:r>
      <w:r>
        <w:rPr>
          <w:rFonts w:ascii="Times New Roman" w:hAnsi="Times New Roman" w:cs="Times New Roman"/>
          <w:i/>
          <w:iCs/>
          <w:sz w:val="24"/>
          <w:szCs w:val="24"/>
        </w:rPr>
        <w:t>Journal of Business Research</w:t>
      </w:r>
      <w:r>
        <w:rPr>
          <w:rFonts w:ascii="Times New Roman" w:hAnsi="Times New Roman" w:cs="Times New Roman"/>
          <w:sz w:val="24"/>
          <w:szCs w:val="24"/>
        </w:rPr>
        <w:t xml:space="preserve">, 70, pp. 356–365. </w:t>
      </w:r>
    </w:p>
    <w:p w14:paraId="15D3B0CF">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Wang, Y. and Ali, Z. (2023) ‘Exploring big data use to predict supply chain effectiveness in Chinese organizations: a moderated mediated model link’, </w:t>
      </w:r>
      <w:r>
        <w:rPr>
          <w:rFonts w:ascii="Times New Roman" w:hAnsi="Times New Roman" w:cs="Times New Roman"/>
          <w:i/>
          <w:iCs/>
          <w:sz w:val="24"/>
          <w:szCs w:val="24"/>
        </w:rPr>
        <w:t>Asia Pacific Business Review</w:t>
      </w:r>
      <w:r>
        <w:rPr>
          <w:rFonts w:ascii="Times New Roman" w:hAnsi="Times New Roman" w:cs="Times New Roman"/>
          <w:sz w:val="24"/>
          <w:szCs w:val="24"/>
        </w:rPr>
        <w:t>, 29(3), pp. 632–653.</w:t>
      </w:r>
    </w:p>
    <w:p w14:paraId="7532BCE7">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Wernerfelt, B. (1984) ‘A resource-based view of the firm’, </w:t>
      </w:r>
      <w:r>
        <w:rPr>
          <w:rFonts w:ascii="Times New Roman" w:hAnsi="Times New Roman" w:cs="Times New Roman"/>
          <w:i/>
          <w:iCs/>
          <w:sz w:val="24"/>
          <w:szCs w:val="24"/>
        </w:rPr>
        <w:t>Strategic Management Journal</w:t>
      </w:r>
      <w:r>
        <w:rPr>
          <w:rFonts w:ascii="Times New Roman" w:hAnsi="Times New Roman" w:cs="Times New Roman"/>
          <w:sz w:val="24"/>
          <w:szCs w:val="24"/>
        </w:rPr>
        <w:t>, 5(2), pp. 171–180. Available at: https://doi.org/10.1002/smj.4250050207.</w:t>
      </w:r>
    </w:p>
    <w:p w14:paraId="3685E39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Winter, S.G. (2003) ‘Understanding dynamic capabilities’, </w:t>
      </w:r>
      <w:r>
        <w:rPr>
          <w:rFonts w:ascii="Times New Roman" w:hAnsi="Times New Roman" w:cs="Times New Roman"/>
          <w:i/>
          <w:iCs/>
          <w:sz w:val="24"/>
          <w:szCs w:val="24"/>
        </w:rPr>
        <w:t>Strategic management journal</w:t>
      </w:r>
      <w:r>
        <w:rPr>
          <w:rFonts w:ascii="Times New Roman" w:hAnsi="Times New Roman" w:cs="Times New Roman"/>
          <w:sz w:val="24"/>
          <w:szCs w:val="24"/>
        </w:rPr>
        <w:t>, 24(10), pp. 991–995.</w:t>
      </w:r>
    </w:p>
    <w:p w14:paraId="4979642F">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Xie, W. </w:t>
      </w:r>
      <w:r>
        <w:rPr>
          <w:rFonts w:ascii="Times New Roman" w:hAnsi="Times New Roman" w:cs="Times New Roman"/>
          <w:i/>
          <w:iCs/>
          <w:sz w:val="24"/>
          <w:szCs w:val="24"/>
        </w:rPr>
        <w:t>et al.</w:t>
      </w:r>
      <w:r>
        <w:rPr>
          <w:rFonts w:ascii="Times New Roman" w:hAnsi="Times New Roman" w:cs="Times New Roman"/>
          <w:sz w:val="24"/>
          <w:szCs w:val="24"/>
        </w:rPr>
        <w:t xml:space="preserve"> (2024) ‘The Effect of Big Data Capability on Organizational Innovation: a Resource Orchestration Perspective’, </w:t>
      </w:r>
      <w:r>
        <w:rPr>
          <w:rFonts w:ascii="Times New Roman" w:hAnsi="Times New Roman" w:cs="Times New Roman"/>
          <w:i/>
          <w:iCs/>
          <w:sz w:val="24"/>
          <w:szCs w:val="24"/>
        </w:rPr>
        <w:t>Journal of the Knowledge Economy</w:t>
      </w:r>
      <w:r>
        <w:rPr>
          <w:rFonts w:ascii="Times New Roman" w:hAnsi="Times New Roman" w:cs="Times New Roman"/>
          <w:sz w:val="24"/>
          <w:szCs w:val="24"/>
        </w:rPr>
        <w:t xml:space="preserve">, 15(1), pp. 3767–3791. </w:t>
      </w:r>
    </w:p>
    <w:p w14:paraId="510545BA">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Xie, W., Liu, G. and Wang, T. (2016) ‘Study on the Connotation and Dimension of Big Data Capability and Its Relationship with Group Management and Control’, </w:t>
      </w:r>
      <w:r>
        <w:rPr>
          <w:rFonts w:ascii="Times New Roman" w:hAnsi="Times New Roman" w:cs="Times New Roman"/>
          <w:i/>
          <w:iCs/>
          <w:sz w:val="24"/>
          <w:szCs w:val="24"/>
        </w:rPr>
        <w:t>Science and Technology Management Studies</w:t>
      </w:r>
      <w:r>
        <w:rPr>
          <w:rFonts w:ascii="Times New Roman" w:hAnsi="Times New Roman" w:cs="Times New Roman"/>
          <w:sz w:val="24"/>
          <w:szCs w:val="24"/>
        </w:rPr>
        <w:t>, 36(14), pp. 170–177.</w:t>
      </w:r>
    </w:p>
    <w:p w14:paraId="5250C490">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Yaqoob, I. </w:t>
      </w:r>
      <w:r>
        <w:rPr>
          <w:rFonts w:ascii="Times New Roman" w:hAnsi="Times New Roman" w:cs="Times New Roman"/>
          <w:i/>
          <w:iCs/>
          <w:sz w:val="24"/>
          <w:szCs w:val="24"/>
        </w:rPr>
        <w:t>et al.</w:t>
      </w:r>
      <w:r>
        <w:rPr>
          <w:rFonts w:ascii="Times New Roman" w:hAnsi="Times New Roman" w:cs="Times New Roman"/>
          <w:sz w:val="24"/>
          <w:szCs w:val="24"/>
        </w:rPr>
        <w:t xml:space="preserve"> (2016) ‘Big data: From beginning to future’, </w:t>
      </w:r>
      <w:r>
        <w:rPr>
          <w:rFonts w:ascii="Times New Roman" w:hAnsi="Times New Roman" w:cs="Times New Roman"/>
          <w:i/>
          <w:iCs/>
          <w:sz w:val="24"/>
          <w:szCs w:val="24"/>
        </w:rPr>
        <w:t>International Journal of Information Management</w:t>
      </w:r>
      <w:r>
        <w:rPr>
          <w:rFonts w:ascii="Times New Roman" w:hAnsi="Times New Roman" w:cs="Times New Roman"/>
          <w:sz w:val="24"/>
          <w:szCs w:val="24"/>
        </w:rPr>
        <w:t>, 36(6), pp. 1231–1247.</w:t>
      </w:r>
    </w:p>
    <w:p w14:paraId="7F91B9E6">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Zhang, Z. </w:t>
      </w:r>
      <w:r>
        <w:rPr>
          <w:rFonts w:ascii="Times New Roman" w:hAnsi="Times New Roman" w:cs="Times New Roman"/>
          <w:i/>
          <w:iCs/>
          <w:sz w:val="24"/>
          <w:szCs w:val="24"/>
        </w:rPr>
        <w:t>et al.</w:t>
      </w:r>
      <w:r>
        <w:rPr>
          <w:rFonts w:ascii="Times New Roman" w:hAnsi="Times New Roman" w:cs="Times New Roman"/>
          <w:sz w:val="24"/>
          <w:szCs w:val="24"/>
        </w:rPr>
        <w:t xml:space="preserve"> (2022) ‘Big Data Capability and Sustainable Competitive Advantage: The Mediating Role of Ambidextrous Innovation Strategy’, </w:t>
      </w:r>
      <w:r>
        <w:rPr>
          <w:rFonts w:ascii="Times New Roman" w:hAnsi="Times New Roman" w:cs="Times New Roman"/>
          <w:i/>
          <w:iCs/>
          <w:sz w:val="24"/>
          <w:szCs w:val="24"/>
        </w:rPr>
        <w:t>Sustainability</w:t>
      </w:r>
      <w:r>
        <w:rPr>
          <w:rFonts w:ascii="Times New Roman" w:hAnsi="Times New Roman" w:cs="Times New Roman"/>
          <w:sz w:val="24"/>
          <w:szCs w:val="24"/>
        </w:rPr>
        <w:t xml:space="preserve">, 14(14), p. 8249. </w:t>
      </w:r>
    </w:p>
    <w:p w14:paraId="1495BAD9">
      <w:pPr>
        <w:pStyle w:val="57"/>
        <w:spacing w:before="120" w:line="480" w:lineRule="auto"/>
        <w:rPr>
          <w:rFonts w:ascii="Times New Roman" w:hAnsi="Times New Roman" w:cs="Times New Roman"/>
          <w:sz w:val="24"/>
          <w:szCs w:val="24"/>
        </w:rPr>
      </w:pPr>
      <w:r>
        <w:rPr>
          <w:rFonts w:ascii="Times New Roman" w:hAnsi="Times New Roman" w:cs="Times New Roman"/>
          <w:sz w:val="24"/>
          <w:szCs w:val="24"/>
        </w:rPr>
        <w:t xml:space="preserve">Zhu, X. and Yang, Y. (2021) ‘Big data analytics for improving financial performance and sustainability’, </w:t>
      </w:r>
      <w:r>
        <w:rPr>
          <w:rFonts w:ascii="Times New Roman" w:hAnsi="Times New Roman" w:cs="Times New Roman"/>
          <w:i/>
          <w:iCs/>
          <w:sz w:val="24"/>
          <w:szCs w:val="24"/>
        </w:rPr>
        <w:t>Journal of Systems Science and Information</w:t>
      </w:r>
      <w:r>
        <w:rPr>
          <w:rFonts w:ascii="Times New Roman" w:hAnsi="Times New Roman" w:cs="Times New Roman"/>
          <w:sz w:val="24"/>
          <w:szCs w:val="24"/>
        </w:rPr>
        <w:t>, 9(2), pp. 175–191.</w:t>
      </w:r>
    </w:p>
    <w:p w14:paraId="4F2DC7E9">
      <w:pPr>
        <w:pStyle w:val="57"/>
        <w:spacing w:before="120" w:line="480" w:lineRule="auto"/>
        <w:rPr>
          <w:rFonts w:ascii="Times New Roman" w:hAnsi="Times New Roman" w:cs="Times New Roman" w:eastAsiaTheme="majorEastAsia"/>
          <w:sz w:val="24"/>
          <w:szCs w:val="24"/>
        </w:rPr>
      </w:pPr>
      <w:r>
        <w:rPr>
          <w:rFonts w:ascii="Times New Roman" w:hAnsi="Times New Roman" w:cs="Times New Roman"/>
          <w:sz w:val="24"/>
          <w:szCs w:val="24"/>
        </w:rPr>
        <w:t xml:space="preserve">Zollo, M. and Winter, S.G. (2002) ‘Deliberate Learning and the Evolution of Dynamic Capabilities’, </w:t>
      </w:r>
      <w:r>
        <w:rPr>
          <w:rFonts w:ascii="Times New Roman" w:hAnsi="Times New Roman" w:cs="Times New Roman"/>
          <w:i/>
          <w:iCs/>
          <w:sz w:val="24"/>
          <w:szCs w:val="24"/>
        </w:rPr>
        <w:t>Organization Science</w:t>
      </w:r>
      <w:r>
        <w:rPr>
          <w:rFonts w:ascii="Times New Roman" w:hAnsi="Times New Roman" w:cs="Times New Roman"/>
          <w:sz w:val="24"/>
          <w:szCs w:val="24"/>
        </w:rPr>
        <w:t>, 13(3), pp. 339–351.</w:t>
      </w:r>
      <w:r>
        <w:rPr>
          <w:rFonts w:ascii="Times New Roman" w:hAnsi="Times New Roman" w:cs="Times New Roman"/>
          <w:sz w:val="24"/>
          <w:szCs w:val="24"/>
        </w:rPr>
        <w:fldChar w:fldCharType="end"/>
      </w:r>
      <w:r>
        <w:rPr>
          <w:rFonts w:ascii="Times New Roman" w:hAnsi="Times New Roman" w:cs="Times New Roman"/>
          <w:sz w:val="24"/>
          <w:szCs w:val="24"/>
        </w:rPr>
        <w:br w:type="page"/>
      </w:r>
    </w:p>
    <w:p w14:paraId="2A5B0E83">
      <w:pPr>
        <w:pStyle w:val="2"/>
        <w:spacing w:before="120" w:after="240" w:line="360" w:lineRule="auto"/>
        <w:jc w:val="both"/>
        <w:rPr>
          <w:rFonts w:ascii="Times New Roman" w:hAnsi="Times New Roman" w:cs="Times New Roman"/>
          <w:color w:val="000000"/>
          <w14:textFill>
            <w14:solidFill>
              <w14:srgbClr w14:val="000000">
                <w14:lumMod w14:val="85000"/>
                <w14:lumOff w14:val="15000"/>
              </w14:srgbClr>
            </w14:solidFill>
          </w14:textFill>
        </w:rPr>
      </w:pPr>
      <w:bookmarkStart w:id="58" w:name="_Toc178258286"/>
      <w:r>
        <w:rPr>
          <w:rFonts w:ascii="Times New Roman" w:hAnsi="Times New Roman" w:cs="Times New Roman"/>
          <w:color w:val="000000"/>
          <w14:textFill>
            <w14:solidFill>
              <w14:srgbClr w14:val="000000">
                <w14:lumMod w14:val="85000"/>
                <w14:lumOff w14:val="15000"/>
              </w14:srgbClr>
            </w14:solidFill>
          </w14:textFill>
        </w:rPr>
        <w:t>Appendix</w:t>
      </w:r>
      <w:bookmarkEnd w:id="58"/>
    </w:p>
    <w:p w14:paraId="02487B67">
      <w:pPr>
        <w:pStyle w:val="3"/>
        <w:spacing w:after="240" w:line="360" w:lineRule="auto"/>
        <w:jc w:val="both"/>
        <w:rPr>
          <w:rFonts w:ascii="Times New Roman" w:hAnsi="Times New Roman" w:cs="Times New Roman"/>
          <w:color w:val="auto"/>
        </w:rPr>
      </w:pPr>
      <w:bookmarkStart w:id="59" w:name="_Toc178258287"/>
      <w:r>
        <w:rPr>
          <w:rFonts w:ascii="Times New Roman" w:hAnsi="Times New Roman" w:cs="Times New Roman"/>
          <w:color w:val="auto"/>
        </w:rPr>
        <w:t>Appendix 1: Questionnaire</w:t>
      </w:r>
      <w:bookmarkEnd w:id="59"/>
      <w:r>
        <w:rPr>
          <w:rFonts w:ascii="Times New Roman" w:hAnsi="Times New Roman" w:cs="Times New Roman"/>
          <w:color w:val="auto"/>
        </w:rPr>
        <w:t xml:space="preserve"> </w:t>
      </w:r>
    </w:p>
    <w:p w14:paraId="31B2E0A8">
      <w:pPr>
        <w:spacing w:before="120" w:after="240" w:line="360" w:lineRule="auto"/>
        <w:rPr>
          <w:rFonts w:ascii="Times New Roman" w:hAnsi="Times New Roman" w:cs="Times New Roman"/>
        </w:rPr>
      </w:pPr>
      <w:r>
        <w:rPr>
          <w:rFonts w:ascii="Times New Roman" w:hAnsi="Times New Roman" w:cs="Times New Roman"/>
        </w:rPr>
        <w:drawing>
          <wp:inline distT="0" distB="0" distL="0" distR="0">
            <wp:extent cx="6120130" cy="6631305"/>
            <wp:effectExtent l="0" t="0" r="0" b="0"/>
            <wp:docPr id="11174311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431157" name="图片 1"/>
                    <pic:cNvPicPr>
                      <a:picLocks noChangeAspect="1"/>
                    </pic:cNvPicPr>
                  </pic:nvPicPr>
                  <pic:blipFill>
                    <a:blip r:embed="rId17"/>
                    <a:stretch>
                      <a:fillRect/>
                    </a:stretch>
                  </pic:blipFill>
                  <pic:spPr>
                    <a:xfrm>
                      <a:off x="0" y="0"/>
                      <a:ext cx="6120130" cy="6631305"/>
                    </a:xfrm>
                    <a:prstGeom prst="rect">
                      <a:avLst/>
                    </a:prstGeom>
                  </pic:spPr>
                </pic:pic>
              </a:graphicData>
            </a:graphic>
          </wp:inline>
        </w:drawing>
      </w:r>
    </w:p>
    <w:p w14:paraId="36615664">
      <w:pPr>
        <w:spacing w:before="120" w:after="240" w:line="360" w:lineRule="auto"/>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drawing>
          <wp:inline distT="0" distB="0" distL="0" distR="0">
            <wp:extent cx="6120130" cy="6598285"/>
            <wp:effectExtent l="0" t="0" r="0" b="0"/>
            <wp:docPr id="12680862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086258" name="图片 1"/>
                    <pic:cNvPicPr>
                      <a:picLocks noChangeAspect="1"/>
                    </pic:cNvPicPr>
                  </pic:nvPicPr>
                  <pic:blipFill>
                    <a:blip r:embed="rId18"/>
                    <a:stretch>
                      <a:fillRect/>
                    </a:stretch>
                  </pic:blipFill>
                  <pic:spPr>
                    <a:xfrm>
                      <a:off x="0" y="0"/>
                      <a:ext cx="6120130" cy="6598285"/>
                    </a:xfrm>
                    <a:prstGeom prst="rect">
                      <a:avLst/>
                    </a:prstGeom>
                  </pic:spPr>
                </pic:pic>
              </a:graphicData>
            </a:graphic>
          </wp:inline>
        </w:drawing>
      </w:r>
      <w:r>
        <w:rPr>
          <w:rFonts w:ascii="Times New Roman" w:hAnsi="Times New Roman" w:cs="Times New Roman"/>
        </w:rPr>
        <w:drawing>
          <wp:inline distT="0" distB="0" distL="0" distR="0">
            <wp:extent cx="6120130" cy="6870700"/>
            <wp:effectExtent l="0" t="0" r="0" b="6350"/>
            <wp:docPr id="14672047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204794" name="图片 1"/>
                    <pic:cNvPicPr>
                      <a:picLocks noChangeAspect="1"/>
                    </pic:cNvPicPr>
                  </pic:nvPicPr>
                  <pic:blipFill>
                    <a:blip r:embed="rId19"/>
                    <a:stretch>
                      <a:fillRect/>
                    </a:stretch>
                  </pic:blipFill>
                  <pic:spPr>
                    <a:xfrm>
                      <a:off x="0" y="0"/>
                      <a:ext cx="6120130" cy="6870700"/>
                    </a:xfrm>
                    <a:prstGeom prst="rect">
                      <a:avLst/>
                    </a:prstGeom>
                  </pic:spPr>
                </pic:pic>
              </a:graphicData>
            </a:graphic>
          </wp:inline>
        </w:drawing>
      </w:r>
      <w:r>
        <w:rPr>
          <w:rFonts w:ascii="Times New Roman" w:hAnsi="Times New Roman" w:cs="Times New Roman"/>
        </w:rPr>
        <w:drawing>
          <wp:inline distT="0" distB="0" distL="0" distR="0">
            <wp:extent cx="6120130" cy="6710045"/>
            <wp:effectExtent l="0" t="0" r="0" b="0"/>
            <wp:docPr id="3486700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670041" name="图片 1"/>
                    <pic:cNvPicPr>
                      <a:picLocks noChangeAspect="1"/>
                    </pic:cNvPicPr>
                  </pic:nvPicPr>
                  <pic:blipFill>
                    <a:blip r:embed="rId20"/>
                    <a:stretch>
                      <a:fillRect/>
                    </a:stretch>
                  </pic:blipFill>
                  <pic:spPr>
                    <a:xfrm>
                      <a:off x="0" y="0"/>
                      <a:ext cx="6120130" cy="6710045"/>
                    </a:xfrm>
                    <a:prstGeom prst="rect">
                      <a:avLst/>
                    </a:prstGeom>
                  </pic:spPr>
                </pic:pic>
              </a:graphicData>
            </a:graphic>
          </wp:inline>
        </w:drawing>
      </w:r>
      <w:r>
        <w:rPr>
          <w:rFonts w:ascii="Times New Roman" w:hAnsi="Times New Roman" w:cs="Times New Roman"/>
        </w:rPr>
        <w:drawing>
          <wp:inline distT="0" distB="0" distL="0" distR="0">
            <wp:extent cx="6120130" cy="5725160"/>
            <wp:effectExtent l="0" t="0" r="0" b="8890"/>
            <wp:docPr id="166834115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41154" name="图片 1"/>
                    <pic:cNvPicPr>
                      <a:picLocks noChangeAspect="1"/>
                    </pic:cNvPicPr>
                  </pic:nvPicPr>
                  <pic:blipFill>
                    <a:blip r:embed="rId21"/>
                    <a:stretch>
                      <a:fillRect/>
                    </a:stretch>
                  </pic:blipFill>
                  <pic:spPr>
                    <a:xfrm>
                      <a:off x="0" y="0"/>
                      <a:ext cx="6120130" cy="5725160"/>
                    </a:xfrm>
                    <a:prstGeom prst="rect">
                      <a:avLst/>
                    </a:prstGeom>
                  </pic:spPr>
                </pic:pic>
              </a:graphicData>
            </a:graphic>
          </wp:inline>
        </w:drawing>
      </w:r>
    </w:p>
    <w:p w14:paraId="4F3BFE23">
      <w:pPr>
        <w:spacing w:before="120" w:after="240" w:line="360" w:lineRule="auto"/>
        <w:rPr>
          <w:rFonts w:ascii="Times New Roman" w:hAnsi="Times New Roman" w:cs="Times New Roman"/>
        </w:rPr>
      </w:pPr>
      <w:r>
        <w:rPr>
          <w:rFonts w:ascii="Times New Roman" w:hAnsi="Times New Roman" w:cs="Times New Roman"/>
        </w:rPr>
        <w:drawing>
          <wp:inline distT="0" distB="0" distL="0" distR="0">
            <wp:extent cx="6120130" cy="5192395"/>
            <wp:effectExtent l="0" t="0" r="0" b="8255"/>
            <wp:docPr id="168880887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08878" name="图片 1"/>
                    <pic:cNvPicPr>
                      <a:picLocks noChangeAspect="1"/>
                    </pic:cNvPicPr>
                  </pic:nvPicPr>
                  <pic:blipFill>
                    <a:blip r:embed="rId22"/>
                    <a:stretch>
                      <a:fillRect/>
                    </a:stretch>
                  </pic:blipFill>
                  <pic:spPr>
                    <a:xfrm>
                      <a:off x="0" y="0"/>
                      <a:ext cx="6120130" cy="5192395"/>
                    </a:xfrm>
                    <a:prstGeom prst="rect">
                      <a:avLst/>
                    </a:prstGeom>
                  </pic:spPr>
                </pic:pic>
              </a:graphicData>
            </a:graphic>
          </wp:inline>
        </w:drawing>
      </w:r>
    </w:p>
    <w:p w14:paraId="4B916D50">
      <w:pPr>
        <w:spacing w:before="120" w:after="240" w:line="360" w:lineRule="auto"/>
        <w:rPr>
          <w:rFonts w:ascii="Times New Roman" w:hAnsi="Times New Roman" w:cs="Times New Roman"/>
        </w:rPr>
      </w:pPr>
      <w:r>
        <w:rPr>
          <w:rFonts w:ascii="Times New Roman" w:hAnsi="Times New Roman" w:cs="Times New Roman"/>
        </w:rPr>
        <w:drawing>
          <wp:inline distT="0" distB="0" distL="0" distR="0">
            <wp:extent cx="6120130" cy="4206875"/>
            <wp:effectExtent l="0" t="0" r="0" b="3175"/>
            <wp:docPr id="20923496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349699" name="图片 1"/>
                    <pic:cNvPicPr>
                      <a:picLocks noChangeAspect="1"/>
                    </pic:cNvPicPr>
                  </pic:nvPicPr>
                  <pic:blipFill>
                    <a:blip r:embed="rId23"/>
                    <a:stretch>
                      <a:fillRect/>
                    </a:stretch>
                  </pic:blipFill>
                  <pic:spPr>
                    <a:xfrm>
                      <a:off x="0" y="0"/>
                      <a:ext cx="6120130" cy="4206875"/>
                    </a:xfrm>
                    <a:prstGeom prst="rect">
                      <a:avLst/>
                    </a:prstGeom>
                  </pic:spPr>
                </pic:pic>
              </a:graphicData>
            </a:graphic>
          </wp:inline>
        </w:drawing>
      </w:r>
    </w:p>
    <w:p w14:paraId="251B85C8">
      <w:pPr>
        <w:spacing w:before="120" w:after="240" w:line="360" w:lineRule="auto"/>
        <w:rPr>
          <w:rFonts w:ascii="Times New Roman" w:hAnsi="Times New Roman" w:cs="Times New Roman"/>
        </w:rPr>
      </w:pPr>
    </w:p>
    <w:p w14:paraId="2BE81CD4">
      <w:pPr>
        <w:spacing w:before="120" w:after="240" w:line="360" w:lineRule="auto"/>
        <w:rPr>
          <w:rFonts w:ascii="Times New Roman" w:hAnsi="Times New Roman" w:cs="Times New Roman"/>
        </w:rPr>
      </w:pPr>
    </w:p>
    <w:sectPr>
      <w:footerReference r:id="rId6" w:type="default"/>
      <w:pgSz w:w="11906" w:h="16838"/>
      <w:pgMar w:top="1134" w:right="1134" w:bottom="1134" w:left="1134"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Lato">
    <w:altName w:val="AlienCaret"/>
    <w:panose1 w:val="00000000000000000000"/>
    <w:charset w:val="00"/>
    <w:family w:val="swiss"/>
    <w:pitch w:val="default"/>
    <w:sig w:usb0="00000000" w:usb1="00000000" w:usb2="00000021" w:usb3="00000000" w:csb0="0000019F" w:csb1="00000000"/>
  </w:font>
  <w:font w:name="AlienCaret">
    <w:panose1 w:val="02000500000000000000"/>
    <w:charset w:val="00"/>
    <w:family w:val="auto"/>
    <w:pitch w:val="default"/>
    <w:sig w:usb0="800000A7" w:usb1="5000004A" w:usb2="00000000" w:usb3="00000000" w:csb0="20000111" w:csb1="41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53046">
    <w:pPr>
      <w:pStyle w:val="14"/>
      <w:jc w:val="right"/>
      <w:rPr>
        <w:rFonts w:hint="eastAsia"/>
      </w:rPr>
    </w:pPr>
  </w:p>
  <w:p w14:paraId="3149D0F0">
    <w:pPr>
      <w:pStyle w:val="14"/>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14276406"/>
      <w:docPartObj>
        <w:docPartGallery w:val="autotext"/>
      </w:docPartObj>
    </w:sdtPr>
    <w:sdtContent>
      <w:p w14:paraId="17D64EF3">
        <w:pPr>
          <w:pStyle w:val="14"/>
          <w:jc w:val="right"/>
          <w:rPr>
            <w:rFonts w:hint="eastAsia"/>
          </w:rPr>
        </w:pPr>
        <w:r>
          <w:fldChar w:fldCharType="begin"/>
        </w:r>
        <w:r>
          <w:instrText xml:space="preserve">PAGE   \* MERGEFORMAT</w:instrText>
        </w:r>
        <w:r>
          <w:fldChar w:fldCharType="separate"/>
        </w:r>
        <w:r>
          <w:rPr>
            <w:lang w:val="zh-CN"/>
          </w:rPr>
          <w:t>2</w:t>
        </w:r>
        <w:r>
          <w:fldChar w:fldCharType="end"/>
        </w:r>
      </w:p>
    </w:sdtContent>
  </w:sdt>
  <w:p w14:paraId="139F7242">
    <w:pPr>
      <w:pStyle w:val="14"/>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B020C"/>
    <w:multiLevelType w:val="multilevel"/>
    <w:tmpl w:val="0AAB020C"/>
    <w:lvl w:ilvl="0" w:tentative="0">
      <w:start w:val="4"/>
      <w:numFmt w:val="decimal"/>
      <w:lvlText w:val="%1"/>
      <w:lvlJc w:val="left"/>
      <w:pPr>
        <w:ind w:left="492" w:hanging="492"/>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1">
    <w:nsid w:val="0AC73193"/>
    <w:multiLevelType w:val="multilevel"/>
    <w:tmpl w:val="0AC73193"/>
    <w:lvl w:ilvl="0" w:tentative="0">
      <w:start w:val="1"/>
      <w:numFmt w:val="decimal"/>
      <w:lvlText w:val="%1."/>
      <w:lvlJc w:val="left"/>
      <w:pPr>
        <w:ind w:left="425" w:hanging="425"/>
      </w:pPr>
    </w:lvl>
    <w:lvl w:ilvl="1" w:tentative="0">
      <w:start w:val="1"/>
      <w:numFmt w:val="decimal"/>
      <w:lvlText w:val="%1.%2."/>
      <w:lvlJc w:val="left"/>
      <w:pPr>
        <w:ind w:left="567" w:hanging="567"/>
      </w:pPr>
    </w:lvl>
    <w:lvl w:ilvl="2" w:tentative="0">
      <w:start w:val="1"/>
      <w:numFmt w:val="decimal"/>
      <w:lvlText w:val="%1.%2.%3."/>
      <w:lvlJc w:val="left"/>
      <w:pPr>
        <w:ind w:left="709" w:hanging="709"/>
      </w:pPr>
    </w:lvl>
    <w:lvl w:ilvl="3" w:tentative="0">
      <w:start w:val="1"/>
      <w:numFmt w:val="decimal"/>
      <w:lvlText w:val="%1.%2.%3.%4."/>
      <w:lvlJc w:val="left"/>
      <w:pPr>
        <w:ind w:left="851" w:hanging="851"/>
      </w:pPr>
    </w:lvl>
    <w:lvl w:ilvl="4" w:tentative="0">
      <w:start w:val="1"/>
      <w:numFmt w:val="decimal"/>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2">
    <w:nsid w:val="30ED22C7"/>
    <w:multiLevelType w:val="multilevel"/>
    <w:tmpl w:val="30ED22C7"/>
    <w:lvl w:ilvl="0" w:tentative="0">
      <w:start w:val="2"/>
      <w:numFmt w:val="bullet"/>
      <w:lvlText w:val=""/>
      <w:lvlJc w:val="left"/>
      <w:pPr>
        <w:ind w:left="720" w:hanging="360"/>
      </w:pPr>
      <w:rPr>
        <w:rFonts w:hint="default" w:ascii="Wingdings" w:hAnsi="Wingdings" w:eastAsia="宋体"/>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48216CC"/>
    <w:multiLevelType w:val="multilevel"/>
    <w:tmpl w:val="348216CC"/>
    <w:lvl w:ilvl="0" w:tentative="0">
      <w:start w:val="3"/>
      <w:numFmt w:val="bullet"/>
      <w:lvlText w:val="-"/>
      <w:lvlJc w:val="left"/>
      <w:pPr>
        <w:ind w:left="360" w:hanging="360"/>
      </w:pPr>
      <w:rPr>
        <w:rFonts w:hint="default" w:ascii="Lato" w:hAnsi="Lato" w:eastAsiaTheme="minorEastAsia" w:cstheme="minorBidi"/>
        <w:color w:val="auto"/>
        <w:sz w:val="24"/>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465B6495"/>
    <w:multiLevelType w:val="multilevel"/>
    <w:tmpl w:val="465B6495"/>
    <w:lvl w:ilvl="0" w:tentative="0">
      <w:start w:val="1"/>
      <w:numFmt w:val="decimal"/>
      <w:lvlText w:val="%1"/>
      <w:lvlJc w:val="left"/>
      <w:pPr>
        <w:ind w:left="432" w:hanging="432"/>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5">
    <w:nsid w:val="5C557278"/>
    <w:multiLevelType w:val="multilevel"/>
    <w:tmpl w:val="5C557278"/>
    <w:lvl w:ilvl="0" w:tentative="0">
      <w:start w:val="4"/>
      <w:numFmt w:val="decimal"/>
      <w:lvlText w:val="%1"/>
      <w:lvlJc w:val="left"/>
      <w:pPr>
        <w:ind w:left="492" w:hanging="492"/>
      </w:pPr>
      <w:rPr>
        <w:rFonts w:hint="default"/>
      </w:rPr>
    </w:lvl>
    <w:lvl w:ilvl="1" w:tentative="0">
      <w:start w:val="2"/>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num w:numId="1">
    <w:abstractNumId w:val="4"/>
  </w:num>
  <w:num w:numId="2">
    <w:abstractNumId w:val="2"/>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U1MDG1MDU0NjcxMzNV0lEKTi0uzszPAykwNK0FAIt5postAAAA"/>
    <w:docVar w:name="commondata" w:val="eyJoZGlkIjoiZTU0ZDdmMmJlM2U3NTA0ODY0ZmM0NzM5ZmJjNGUyNDMifQ=="/>
  </w:docVars>
  <w:rsids>
    <w:rsidRoot w:val="006B1AC9"/>
    <w:rsid w:val="00005A84"/>
    <w:rsid w:val="00011460"/>
    <w:rsid w:val="000219FB"/>
    <w:rsid w:val="00034261"/>
    <w:rsid w:val="000353E4"/>
    <w:rsid w:val="0004131B"/>
    <w:rsid w:val="00042298"/>
    <w:rsid w:val="00055176"/>
    <w:rsid w:val="00055B27"/>
    <w:rsid w:val="00083314"/>
    <w:rsid w:val="00085A5D"/>
    <w:rsid w:val="00090B07"/>
    <w:rsid w:val="00096252"/>
    <w:rsid w:val="000A5FA3"/>
    <w:rsid w:val="000A76E1"/>
    <w:rsid w:val="000B161E"/>
    <w:rsid w:val="000B1F93"/>
    <w:rsid w:val="000C2961"/>
    <w:rsid w:val="000E0C36"/>
    <w:rsid w:val="000F4E8A"/>
    <w:rsid w:val="0010275E"/>
    <w:rsid w:val="00126531"/>
    <w:rsid w:val="00126FF1"/>
    <w:rsid w:val="00144E44"/>
    <w:rsid w:val="00173BD1"/>
    <w:rsid w:val="001A0CA6"/>
    <w:rsid w:val="001B64FD"/>
    <w:rsid w:val="001B71EC"/>
    <w:rsid w:val="001C6016"/>
    <w:rsid w:val="001C6A38"/>
    <w:rsid w:val="001D2AA8"/>
    <w:rsid w:val="001E2561"/>
    <w:rsid w:val="001F6BB3"/>
    <w:rsid w:val="002019E7"/>
    <w:rsid w:val="00214482"/>
    <w:rsid w:val="00215254"/>
    <w:rsid w:val="00216FB2"/>
    <w:rsid w:val="00233D14"/>
    <w:rsid w:val="00241DFF"/>
    <w:rsid w:val="00244783"/>
    <w:rsid w:val="002455E1"/>
    <w:rsid w:val="00266193"/>
    <w:rsid w:val="002A79C7"/>
    <w:rsid w:val="002C5C9A"/>
    <w:rsid w:val="002D76E9"/>
    <w:rsid w:val="002E406B"/>
    <w:rsid w:val="002F2A96"/>
    <w:rsid w:val="002F4145"/>
    <w:rsid w:val="00302A5E"/>
    <w:rsid w:val="0030445B"/>
    <w:rsid w:val="00320998"/>
    <w:rsid w:val="00354831"/>
    <w:rsid w:val="003570CC"/>
    <w:rsid w:val="003646C6"/>
    <w:rsid w:val="00371721"/>
    <w:rsid w:val="003843F0"/>
    <w:rsid w:val="00384EC6"/>
    <w:rsid w:val="00387248"/>
    <w:rsid w:val="00390A1A"/>
    <w:rsid w:val="003A131D"/>
    <w:rsid w:val="003B2453"/>
    <w:rsid w:val="003B4339"/>
    <w:rsid w:val="003B54BE"/>
    <w:rsid w:val="003C14F8"/>
    <w:rsid w:val="003D63FC"/>
    <w:rsid w:val="003F6E3E"/>
    <w:rsid w:val="004163EA"/>
    <w:rsid w:val="00434888"/>
    <w:rsid w:val="00440910"/>
    <w:rsid w:val="00484160"/>
    <w:rsid w:val="0048559B"/>
    <w:rsid w:val="004B70CC"/>
    <w:rsid w:val="004D1998"/>
    <w:rsid w:val="004D4FEB"/>
    <w:rsid w:val="004E62C4"/>
    <w:rsid w:val="004F36B2"/>
    <w:rsid w:val="00521A51"/>
    <w:rsid w:val="00524CC0"/>
    <w:rsid w:val="005472CF"/>
    <w:rsid w:val="00562513"/>
    <w:rsid w:val="00567F36"/>
    <w:rsid w:val="00575151"/>
    <w:rsid w:val="005804D9"/>
    <w:rsid w:val="00592FCA"/>
    <w:rsid w:val="005953DD"/>
    <w:rsid w:val="005A0460"/>
    <w:rsid w:val="005A4C26"/>
    <w:rsid w:val="005B009A"/>
    <w:rsid w:val="005B4C43"/>
    <w:rsid w:val="005C1803"/>
    <w:rsid w:val="005E4FF3"/>
    <w:rsid w:val="005F1A86"/>
    <w:rsid w:val="00600ED6"/>
    <w:rsid w:val="00611CBF"/>
    <w:rsid w:val="00626BC2"/>
    <w:rsid w:val="0063317A"/>
    <w:rsid w:val="00643A62"/>
    <w:rsid w:val="00685CDF"/>
    <w:rsid w:val="00696E1F"/>
    <w:rsid w:val="006A4CE8"/>
    <w:rsid w:val="006A62F1"/>
    <w:rsid w:val="006B1AC9"/>
    <w:rsid w:val="006B271C"/>
    <w:rsid w:val="006B7D32"/>
    <w:rsid w:val="006C259D"/>
    <w:rsid w:val="006C41CF"/>
    <w:rsid w:val="006C4B37"/>
    <w:rsid w:val="006D6B19"/>
    <w:rsid w:val="006E1178"/>
    <w:rsid w:val="006F52A2"/>
    <w:rsid w:val="00711851"/>
    <w:rsid w:val="00733F08"/>
    <w:rsid w:val="0078162C"/>
    <w:rsid w:val="00787022"/>
    <w:rsid w:val="007960B7"/>
    <w:rsid w:val="007A6A3D"/>
    <w:rsid w:val="007C541C"/>
    <w:rsid w:val="007D6ACF"/>
    <w:rsid w:val="007D6D79"/>
    <w:rsid w:val="00810715"/>
    <w:rsid w:val="00811CE2"/>
    <w:rsid w:val="0084317E"/>
    <w:rsid w:val="008466F9"/>
    <w:rsid w:val="00851DFB"/>
    <w:rsid w:val="00854873"/>
    <w:rsid w:val="008564B3"/>
    <w:rsid w:val="008578E9"/>
    <w:rsid w:val="00880380"/>
    <w:rsid w:val="00887B56"/>
    <w:rsid w:val="008A4320"/>
    <w:rsid w:val="008C7178"/>
    <w:rsid w:val="008D6430"/>
    <w:rsid w:val="0092290E"/>
    <w:rsid w:val="00937C78"/>
    <w:rsid w:val="00945698"/>
    <w:rsid w:val="009465F7"/>
    <w:rsid w:val="00974237"/>
    <w:rsid w:val="009810A6"/>
    <w:rsid w:val="009816DF"/>
    <w:rsid w:val="00990DE9"/>
    <w:rsid w:val="009948B3"/>
    <w:rsid w:val="009C3010"/>
    <w:rsid w:val="009D2780"/>
    <w:rsid w:val="009F1DA7"/>
    <w:rsid w:val="009F45A8"/>
    <w:rsid w:val="009F4B16"/>
    <w:rsid w:val="00A21211"/>
    <w:rsid w:val="00A3484D"/>
    <w:rsid w:val="00A435FC"/>
    <w:rsid w:val="00A75FBE"/>
    <w:rsid w:val="00A80F33"/>
    <w:rsid w:val="00A82AB3"/>
    <w:rsid w:val="00AA33A6"/>
    <w:rsid w:val="00AA678F"/>
    <w:rsid w:val="00AC7BA9"/>
    <w:rsid w:val="00AD6DF7"/>
    <w:rsid w:val="00AE05A7"/>
    <w:rsid w:val="00AE308D"/>
    <w:rsid w:val="00AE3802"/>
    <w:rsid w:val="00B02750"/>
    <w:rsid w:val="00B25CC8"/>
    <w:rsid w:val="00B52511"/>
    <w:rsid w:val="00B75BF5"/>
    <w:rsid w:val="00B77FC3"/>
    <w:rsid w:val="00BA4C7E"/>
    <w:rsid w:val="00BA756E"/>
    <w:rsid w:val="00BD1BDF"/>
    <w:rsid w:val="00BD746F"/>
    <w:rsid w:val="00C03BEB"/>
    <w:rsid w:val="00C37AA6"/>
    <w:rsid w:val="00C52FAE"/>
    <w:rsid w:val="00C53B43"/>
    <w:rsid w:val="00C7281B"/>
    <w:rsid w:val="00C73211"/>
    <w:rsid w:val="00C77197"/>
    <w:rsid w:val="00C808FF"/>
    <w:rsid w:val="00C869C0"/>
    <w:rsid w:val="00C955AA"/>
    <w:rsid w:val="00CB60C8"/>
    <w:rsid w:val="00CD245C"/>
    <w:rsid w:val="00CD7328"/>
    <w:rsid w:val="00D0533F"/>
    <w:rsid w:val="00D1076B"/>
    <w:rsid w:val="00D1456D"/>
    <w:rsid w:val="00D32147"/>
    <w:rsid w:val="00D460A1"/>
    <w:rsid w:val="00D5114D"/>
    <w:rsid w:val="00D53459"/>
    <w:rsid w:val="00D655CB"/>
    <w:rsid w:val="00D7047D"/>
    <w:rsid w:val="00D75D39"/>
    <w:rsid w:val="00D75DA3"/>
    <w:rsid w:val="00D92747"/>
    <w:rsid w:val="00D94F52"/>
    <w:rsid w:val="00DA3368"/>
    <w:rsid w:val="00DB6960"/>
    <w:rsid w:val="00DC34E7"/>
    <w:rsid w:val="00DD6B32"/>
    <w:rsid w:val="00E03AF0"/>
    <w:rsid w:val="00E1434E"/>
    <w:rsid w:val="00E15356"/>
    <w:rsid w:val="00E31232"/>
    <w:rsid w:val="00E426C7"/>
    <w:rsid w:val="00E55104"/>
    <w:rsid w:val="00E576DA"/>
    <w:rsid w:val="00E735C7"/>
    <w:rsid w:val="00E7511A"/>
    <w:rsid w:val="00E909A7"/>
    <w:rsid w:val="00EA5334"/>
    <w:rsid w:val="00EC0918"/>
    <w:rsid w:val="00EF451B"/>
    <w:rsid w:val="00F04C6D"/>
    <w:rsid w:val="00F07B44"/>
    <w:rsid w:val="00F144A0"/>
    <w:rsid w:val="00F24B2B"/>
    <w:rsid w:val="00F37D0E"/>
    <w:rsid w:val="00F775A5"/>
    <w:rsid w:val="00F946D4"/>
    <w:rsid w:val="00F95546"/>
    <w:rsid w:val="00F95AEA"/>
    <w:rsid w:val="00F97E31"/>
    <w:rsid w:val="00FA1105"/>
    <w:rsid w:val="00FB760D"/>
    <w:rsid w:val="00FC4A6C"/>
    <w:rsid w:val="00FD38A3"/>
    <w:rsid w:val="00FF2A37"/>
    <w:rsid w:val="00FF6CFE"/>
    <w:rsid w:val="1AB64BE3"/>
    <w:rsid w:val="376B3BDC"/>
    <w:rsid w:val="3A6B35F9"/>
    <w:rsid w:val="4C9A6C60"/>
    <w:rsid w:val="6ED42907"/>
    <w:rsid w:val="73D75019"/>
    <w:rsid w:val="7F3119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6" w:lineRule="auto"/>
    </w:pPr>
    <w:rPr>
      <w:rFonts w:asciiTheme="minorHAnsi" w:hAnsiTheme="minorHAnsi" w:eastAsiaTheme="minorEastAsia" w:cstheme="minorBidi"/>
      <w:sz w:val="21"/>
      <w:szCs w:val="21"/>
      <w:lang w:val="en-GB" w:eastAsia="zh-CN" w:bidi="ar-SA"/>
    </w:rPr>
  </w:style>
  <w:style w:type="paragraph" w:styleId="2">
    <w:name w:val="heading 1"/>
    <w:basedOn w:val="1"/>
    <w:next w:val="1"/>
    <w:link w:val="31"/>
    <w:qFormat/>
    <w:uiPriority w:val="9"/>
    <w:pPr>
      <w:keepNext/>
      <w:keepLines/>
      <w:pBdr>
        <w:bottom w:val="single" w:color="C0504D" w:themeColor="accent2" w:sz="4" w:space="2"/>
      </w:pBdr>
      <w:spacing w:before="360" w:after="120" w:line="240" w:lineRule="auto"/>
      <w:outlineLvl w:val="0"/>
    </w:pPr>
    <w:rPr>
      <w:rFonts w:asciiTheme="majorHAnsi" w:hAnsiTheme="majorHAnsi" w:eastAsiaTheme="majorEastAsia" w:cstheme="majorBidi"/>
      <w:color w:val="262626" w:themeColor="text1" w:themeTint="D9"/>
      <w:sz w:val="40"/>
      <w:szCs w:val="40"/>
      <w14:textFill>
        <w14:solidFill>
          <w14:schemeClr w14:val="tx1">
            <w14:lumMod w14:val="85000"/>
            <w14:lumOff w14:val="15000"/>
          </w14:schemeClr>
        </w14:solidFill>
      </w14:textFill>
    </w:rPr>
  </w:style>
  <w:style w:type="paragraph" w:styleId="3">
    <w:name w:val="heading 2"/>
    <w:basedOn w:val="1"/>
    <w:next w:val="1"/>
    <w:link w:val="32"/>
    <w:unhideWhenUsed/>
    <w:qFormat/>
    <w:uiPriority w:val="9"/>
    <w:pPr>
      <w:keepNext/>
      <w:keepLines/>
      <w:spacing w:before="120" w:after="0" w:line="240" w:lineRule="auto"/>
      <w:outlineLvl w:val="1"/>
    </w:pPr>
    <w:rPr>
      <w:rFonts w:asciiTheme="majorHAnsi" w:hAnsiTheme="majorHAnsi" w:eastAsiaTheme="majorEastAsia" w:cstheme="majorBidi"/>
      <w:color w:val="C0504D" w:themeColor="accent2"/>
      <w:sz w:val="36"/>
      <w:szCs w:val="36"/>
      <w14:textFill>
        <w14:solidFill>
          <w14:schemeClr w14:val="accent2"/>
        </w14:solidFill>
      </w14:textFill>
    </w:rPr>
  </w:style>
  <w:style w:type="paragraph" w:styleId="4">
    <w:name w:val="heading 3"/>
    <w:basedOn w:val="1"/>
    <w:next w:val="1"/>
    <w:link w:val="33"/>
    <w:unhideWhenUsed/>
    <w:qFormat/>
    <w:uiPriority w:val="9"/>
    <w:pPr>
      <w:keepNext/>
      <w:keepLines/>
      <w:spacing w:before="80" w:after="0" w:line="240" w:lineRule="auto"/>
      <w:outlineLvl w:val="2"/>
    </w:pPr>
    <w:rPr>
      <w:rFonts w:asciiTheme="majorHAnsi" w:hAnsiTheme="majorHAnsi" w:eastAsiaTheme="majorEastAsia" w:cstheme="majorBidi"/>
      <w:color w:val="953735" w:themeColor="accent2" w:themeShade="BF"/>
      <w:sz w:val="32"/>
      <w:szCs w:val="32"/>
    </w:rPr>
  </w:style>
  <w:style w:type="paragraph" w:styleId="5">
    <w:name w:val="heading 4"/>
    <w:basedOn w:val="1"/>
    <w:next w:val="1"/>
    <w:link w:val="34"/>
    <w:unhideWhenUsed/>
    <w:qFormat/>
    <w:uiPriority w:val="9"/>
    <w:pPr>
      <w:keepNext/>
      <w:keepLines/>
      <w:spacing w:before="80" w:after="0" w:line="240" w:lineRule="auto"/>
      <w:outlineLvl w:val="3"/>
    </w:pPr>
    <w:rPr>
      <w:rFonts w:asciiTheme="majorHAnsi" w:hAnsiTheme="majorHAnsi" w:eastAsiaTheme="majorEastAsia" w:cstheme="majorBidi"/>
      <w:i/>
      <w:iCs/>
      <w:color w:val="632523" w:themeColor="accent2" w:themeShade="80"/>
      <w:sz w:val="28"/>
      <w:szCs w:val="28"/>
    </w:rPr>
  </w:style>
  <w:style w:type="paragraph" w:styleId="6">
    <w:name w:val="heading 5"/>
    <w:basedOn w:val="1"/>
    <w:next w:val="1"/>
    <w:link w:val="35"/>
    <w:semiHidden/>
    <w:unhideWhenUsed/>
    <w:qFormat/>
    <w:uiPriority w:val="9"/>
    <w:pPr>
      <w:keepNext/>
      <w:keepLines/>
      <w:spacing w:before="80" w:after="0" w:line="240" w:lineRule="auto"/>
      <w:outlineLvl w:val="4"/>
    </w:pPr>
    <w:rPr>
      <w:rFonts w:asciiTheme="majorHAnsi" w:hAnsiTheme="majorHAnsi" w:eastAsiaTheme="majorEastAsia" w:cstheme="majorBidi"/>
      <w:color w:val="953735" w:themeColor="accent2" w:themeShade="BF"/>
      <w:sz w:val="24"/>
      <w:szCs w:val="24"/>
    </w:rPr>
  </w:style>
  <w:style w:type="paragraph" w:styleId="7">
    <w:name w:val="heading 6"/>
    <w:basedOn w:val="1"/>
    <w:next w:val="1"/>
    <w:link w:val="36"/>
    <w:semiHidden/>
    <w:unhideWhenUsed/>
    <w:qFormat/>
    <w:uiPriority w:val="9"/>
    <w:pPr>
      <w:keepNext/>
      <w:keepLines/>
      <w:spacing w:before="80" w:after="0" w:line="240" w:lineRule="auto"/>
      <w:outlineLvl w:val="5"/>
    </w:pPr>
    <w:rPr>
      <w:rFonts w:asciiTheme="majorHAnsi" w:hAnsiTheme="majorHAnsi" w:eastAsiaTheme="majorEastAsia" w:cstheme="majorBidi"/>
      <w:i/>
      <w:iCs/>
      <w:color w:val="632523" w:themeColor="accent2" w:themeShade="80"/>
      <w:sz w:val="24"/>
      <w:szCs w:val="24"/>
    </w:rPr>
  </w:style>
  <w:style w:type="paragraph" w:styleId="8">
    <w:name w:val="heading 7"/>
    <w:basedOn w:val="1"/>
    <w:next w:val="1"/>
    <w:link w:val="37"/>
    <w:semiHidden/>
    <w:unhideWhenUsed/>
    <w:qFormat/>
    <w:uiPriority w:val="9"/>
    <w:pPr>
      <w:keepNext/>
      <w:keepLines/>
      <w:spacing w:before="80" w:after="0" w:line="240" w:lineRule="auto"/>
      <w:outlineLvl w:val="6"/>
    </w:pPr>
    <w:rPr>
      <w:rFonts w:asciiTheme="majorHAnsi" w:hAnsiTheme="majorHAnsi" w:eastAsiaTheme="majorEastAsia" w:cstheme="majorBidi"/>
      <w:b/>
      <w:bCs/>
      <w:color w:val="632523" w:themeColor="accent2" w:themeShade="80"/>
      <w:sz w:val="22"/>
      <w:szCs w:val="22"/>
    </w:rPr>
  </w:style>
  <w:style w:type="paragraph" w:styleId="9">
    <w:name w:val="heading 8"/>
    <w:basedOn w:val="1"/>
    <w:next w:val="1"/>
    <w:link w:val="38"/>
    <w:semiHidden/>
    <w:unhideWhenUsed/>
    <w:qFormat/>
    <w:uiPriority w:val="9"/>
    <w:pPr>
      <w:keepNext/>
      <w:keepLines/>
      <w:spacing w:before="80" w:after="0" w:line="240" w:lineRule="auto"/>
      <w:outlineLvl w:val="7"/>
    </w:pPr>
    <w:rPr>
      <w:rFonts w:asciiTheme="majorHAnsi" w:hAnsiTheme="majorHAnsi" w:eastAsiaTheme="majorEastAsia" w:cstheme="majorBidi"/>
      <w:color w:val="632523" w:themeColor="accent2" w:themeShade="80"/>
      <w:sz w:val="22"/>
      <w:szCs w:val="22"/>
    </w:rPr>
  </w:style>
  <w:style w:type="paragraph" w:styleId="10">
    <w:name w:val="heading 9"/>
    <w:basedOn w:val="1"/>
    <w:next w:val="1"/>
    <w:link w:val="39"/>
    <w:semiHidden/>
    <w:unhideWhenUsed/>
    <w:qFormat/>
    <w:uiPriority w:val="9"/>
    <w:pPr>
      <w:keepNext/>
      <w:keepLines/>
      <w:spacing w:before="80" w:after="0" w:line="240" w:lineRule="auto"/>
      <w:outlineLvl w:val="8"/>
    </w:pPr>
    <w:rPr>
      <w:rFonts w:asciiTheme="majorHAnsi" w:hAnsiTheme="majorHAnsi" w:eastAsiaTheme="majorEastAsia" w:cstheme="majorBidi"/>
      <w:i/>
      <w:iCs/>
      <w:color w:val="632523" w:themeColor="accent2" w:themeShade="80"/>
      <w:sz w:val="22"/>
      <w:szCs w:val="22"/>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0"/>
    <w:pPr>
      <w:spacing w:line="240" w:lineRule="auto"/>
    </w:pPr>
    <w:rPr>
      <w:b/>
      <w:bCs/>
      <w:color w:val="404040" w:themeColor="text1" w:themeTint="BF"/>
      <w:sz w:val="16"/>
      <w:szCs w:val="16"/>
      <w14:textFill>
        <w14:solidFill>
          <w14:schemeClr w14:val="tx1">
            <w14:lumMod w14:val="75000"/>
            <w14:lumOff w14:val="25000"/>
          </w14:schemeClr>
        </w14:solidFill>
      </w14:textFill>
    </w:rPr>
  </w:style>
  <w:style w:type="paragraph" w:styleId="12">
    <w:name w:val="annotation text"/>
    <w:basedOn w:val="1"/>
    <w:link w:val="55"/>
    <w:semiHidden/>
    <w:unhideWhenUsed/>
    <w:qFormat/>
    <w:uiPriority w:val="99"/>
    <w:pPr>
      <w:spacing w:line="240" w:lineRule="auto"/>
    </w:pPr>
    <w:rPr>
      <w:sz w:val="20"/>
      <w:szCs w:val="20"/>
    </w:rPr>
  </w:style>
  <w:style w:type="paragraph" w:styleId="13">
    <w:name w:val="toc 3"/>
    <w:basedOn w:val="1"/>
    <w:next w:val="1"/>
    <w:autoRedefine/>
    <w:unhideWhenUsed/>
    <w:qFormat/>
    <w:uiPriority w:val="39"/>
    <w:pPr>
      <w:spacing w:after="100"/>
      <w:ind w:left="420"/>
    </w:pPr>
  </w:style>
  <w:style w:type="paragraph" w:styleId="14">
    <w:name w:val="footer"/>
    <w:basedOn w:val="1"/>
    <w:link w:val="30"/>
    <w:unhideWhenUsed/>
    <w:qFormat/>
    <w:uiPriority w:val="99"/>
    <w:pPr>
      <w:tabs>
        <w:tab w:val="center" w:pos="4153"/>
        <w:tab w:val="right" w:pos="8306"/>
      </w:tabs>
    </w:pPr>
  </w:style>
  <w:style w:type="paragraph" w:styleId="15">
    <w:name w:val="header"/>
    <w:basedOn w:val="1"/>
    <w:link w:val="29"/>
    <w:unhideWhenUsed/>
    <w:qFormat/>
    <w:uiPriority w:val="99"/>
    <w:pPr>
      <w:tabs>
        <w:tab w:val="center" w:pos="4153"/>
        <w:tab w:val="right" w:pos="8306"/>
      </w:tabs>
    </w:pPr>
  </w:style>
  <w:style w:type="paragraph" w:styleId="16">
    <w:name w:val="toc 1"/>
    <w:basedOn w:val="1"/>
    <w:next w:val="1"/>
    <w:autoRedefine/>
    <w:unhideWhenUsed/>
    <w:qFormat/>
    <w:uiPriority w:val="39"/>
    <w:pPr>
      <w:tabs>
        <w:tab w:val="right" w:leader="dot" w:pos="9628"/>
      </w:tabs>
      <w:spacing w:after="100"/>
    </w:pPr>
    <w:rPr>
      <w:rFonts w:ascii="Arial" w:hAnsi="Arial" w:cs="Arial"/>
      <w:b/>
      <w:bCs/>
      <w:sz w:val="24"/>
      <w:szCs w:val="24"/>
    </w:rPr>
  </w:style>
  <w:style w:type="paragraph" w:styleId="17">
    <w:name w:val="Subtitle"/>
    <w:basedOn w:val="1"/>
    <w:next w:val="1"/>
    <w:link w:val="41"/>
    <w:qFormat/>
    <w:uiPriority w:val="11"/>
    <w:pPr>
      <w:spacing w:after="240"/>
    </w:pPr>
    <w:rPr>
      <w:caps/>
      <w:color w:val="404040" w:themeColor="text1" w:themeTint="BF"/>
      <w:spacing w:val="20"/>
      <w:sz w:val="28"/>
      <w:szCs w:val="28"/>
      <w14:textFill>
        <w14:solidFill>
          <w14:schemeClr w14:val="tx1">
            <w14:lumMod w14:val="75000"/>
            <w14:lumOff w14:val="25000"/>
          </w14:schemeClr>
        </w14:solidFill>
      </w14:textFill>
    </w:rPr>
  </w:style>
  <w:style w:type="paragraph" w:styleId="18">
    <w:name w:val="toc 2"/>
    <w:basedOn w:val="1"/>
    <w:next w:val="1"/>
    <w:autoRedefine/>
    <w:unhideWhenUsed/>
    <w:qFormat/>
    <w:uiPriority w:val="39"/>
    <w:pPr>
      <w:spacing w:after="100"/>
      <w:ind w:left="210"/>
    </w:pPr>
  </w:style>
  <w:style w:type="paragraph" w:styleId="19">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20">
    <w:name w:val="Title"/>
    <w:basedOn w:val="1"/>
    <w:next w:val="1"/>
    <w:link w:val="40"/>
    <w:qFormat/>
    <w:uiPriority w:val="10"/>
    <w:pPr>
      <w:spacing w:after="0" w:line="240" w:lineRule="auto"/>
      <w:contextualSpacing/>
    </w:pPr>
    <w:rPr>
      <w:rFonts w:asciiTheme="majorHAnsi" w:hAnsiTheme="majorHAnsi" w:eastAsiaTheme="majorEastAsia" w:cstheme="majorBidi"/>
      <w:color w:val="262626" w:themeColor="text1" w:themeTint="D9"/>
      <w:sz w:val="96"/>
      <w:szCs w:val="96"/>
      <w14:textFill>
        <w14:solidFill>
          <w14:schemeClr w14:val="tx1">
            <w14:lumMod w14:val="85000"/>
            <w14:lumOff w14:val="15000"/>
          </w14:schemeClr>
        </w14:solidFill>
      </w14:textFill>
    </w:rPr>
  </w:style>
  <w:style w:type="paragraph" w:styleId="21">
    <w:name w:val="annotation subject"/>
    <w:basedOn w:val="12"/>
    <w:next w:val="12"/>
    <w:link w:val="56"/>
    <w:semiHidden/>
    <w:unhideWhenUsed/>
    <w:qFormat/>
    <w:uiPriority w:val="99"/>
    <w:rPr>
      <w:b/>
      <w:bCs/>
    </w:r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bCs/>
    </w:rPr>
  </w:style>
  <w:style w:type="character" w:styleId="26">
    <w:name w:val="Emphasis"/>
    <w:basedOn w:val="24"/>
    <w:qFormat/>
    <w:uiPriority w:val="20"/>
    <w:rPr>
      <w:i/>
      <w:iCs/>
      <w:color w:val="000000" w:themeColor="text1"/>
      <w14:textFill>
        <w14:solidFill>
          <w14:schemeClr w14:val="tx1"/>
        </w14:solidFill>
      </w14:textFill>
    </w:rPr>
  </w:style>
  <w:style w:type="character" w:styleId="27">
    <w:name w:val="Hyperlink"/>
    <w:basedOn w:val="24"/>
    <w:unhideWhenUsed/>
    <w:qFormat/>
    <w:uiPriority w:val="99"/>
    <w:rPr>
      <w:color w:val="0000FF" w:themeColor="hyperlink"/>
      <w:u w:val="single"/>
      <w14:textFill>
        <w14:solidFill>
          <w14:schemeClr w14:val="hlink"/>
        </w14:solidFill>
      </w14:textFill>
    </w:rPr>
  </w:style>
  <w:style w:type="character" w:styleId="28">
    <w:name w:val="annotation reference"/>
    <w:basedOn w:val="24"/>
    <w:semiHidden/>
    <w:unhideWhenUsed/>
    <w:qFormat/>
    <w:uiPriority w:val="99"/>
    <w:rPr>
      <w:sz w:val="16"/>
      <w:szCs w:val="16"/>
    </w:rPr>
  </w:style>
  <w:style w:type="character" w:customStyle="1" w:styleId="29">
    <w:name w:val="页眉 字符"/>
    <w:basedOn w:val="24"/>
    <w:link w:val="15"/>
    <w:qFormat/>
    <w:uiPriority w:val="99"/>
    <w:rPr>
      <w:lang w:val="en-GB"/>
    </w:rPr>
  </w:style>
  <w:style w:type="character" w:customStyle="1" w:styleId="30">
    <w:name w:val="页脚 字符"/>
    <w:basedOn w:val="24"/>
    <w:link w:val="14"/>
    <w:qFormat/>
    <w:uiPriority w:val="99"/>
    <w:rPr>
      <w:lang w:val="en-GB"/>
    </w:rPr>
  </w:style>
  <w:style w:type="character" w:customStyle="1" w:styleId="31">
    <w:name w:val="标题 1 字符"/>
    <w:basedOn w:val="24"/>
    <w:link w:val="2"/>
    <w:qFormat/>
    <w:uiPriority w:val="9"/>
    <w:rPr>
      <w:rFonts w:asciiTheme="majorHAnsi" w:hAnsiTheme="majorHAnsi" w:eastAsiaTheme="majorEastAsia" w:cstheme="majorBidi"/>
      <w:color w:val="262626" w:themeColor="text1" w:themeTint="D9"/>
      <w:sz w:val="40"/>
      <w:szCs w:val="40"/>
      <w14:textFill>
        <w14:solidFill>
          <w14:schemeClr w14:val="tx1">
            <w14:lumMod w14:val="85000"/>
            <w14:lumOff w14:val="15000"/>
          </w14:schemeClr>
        </w14:solidFill>
      </w14:textFill>
    </w:rPr>
  </w:style>
  <w:style w:type="character" w:customStyle="1" w:styleId="32">
    <w:name w:val="标题 2 字符"/>
    <w:basedOn w:val="24"/>
    <w:link w:val="3"/>
    <w:qFormat/>
    <w:uiPriority w:val="9"/>
    <w:rPr>
      <w:rFonts w:asciiTheme="majorHAnsi" w:hAnsiTheme="majorHAnsi" w:eastAsiaTheme="majorEastAsia" w:cstheme="majorBidi"/>
      <w:color w:val="C0504D" w:themeColor="accent2"/>
      <w:sz w:val="36"/>
      <w:szCs w:val="36"/>
      <w14:textFill>
        <w14:solidFill>
          <w14:schemeClr w14:val="accent2"/>
        </w14:solidFill>
      </w14:textFill>
    </w:rPr>
  </w:style>
  <w:style w:type="character" w:customStyle="1" w:styleId="33">
    <w:name w:val="标题 3 字符"/>
    <w:basedOn w:val="24"/>
    <w:link w:val="4"/>
    <w:qFormat/>
    <w:uiPriority w:val="9"/>
    <w:rPr>
      <w:rFonts w:asciiTheme="majorHAnsi" w:hAnsiTheme="majorHAnsi" w:eastAsiaTheme="majorEastAsia" w:cstheme="majorBidi"/>
      <w:color w:val="953735" w:themeColor="accent2" w:themeShade="BF"/>
      <w:sz w:val="32"/>
      <w:szCs w:val="32"/>
    </w:rPr>
  </w:style>
  <w:style w:type="character" w:customStyle="1" w:styleId="34">
    <w:name w:val="标题 4 字符"/>
    <w:basedOn w:val="24"/>
    <w:link w:val="5"/>
    <w:qFormat/>
    <w:uiPriority w:val="9"/>
    <w:rPr>
      <w:rFonts w:asciiTheme="majorHAnsi" w:hAnsiTheme="majorHAnsi" w:eastAsiaTheme="majorEastAsia" w:cstheme="majorBidi"/>
      <w:i/>
      <w:iCs/>
      <w:color w:val="632523" w:themeColor="accent2" w:themeShade="80"/>
      <w:sz w:val="28"/>
      <w:szCs w:val="28"/>
    </w:rPr>
  </w:style>
  <w:style w:type="character" w:customStyle="1" w:styleId="35">
    <w:name w:val="标题 5 字符"/>
    <w:basedOn w:val="24"/>
    <w:link w:val="6"/>
    <w:semiHidden/>
    <w:qFormat/>
    <w:uiPriority w:val="9"/>
    <w:rPr>
      <w:rFonts w:asciiTheme="majorHAnsi" w:hAnsiTheme="majorHAnsi" w:eastAsiaTheme="majorEastAsia" w:cstheme="majorBidi"/>
      <w:color w:val="953735" w:themeColor="accent2" w:themeShade="BF"/>
      <w:sz w:val="24"/>
      <w:szCs w:val="24"/>
    </w:rPr>
  </w:style>
  <w:style w:type="character" w:customStyle="1" w:styleId="36">
    <w:name w:val="标题 6 字符"/>
    <w:basedOn w:val="24"/>
    <w:link w:val="7"/>
    <w:semiHidden/>
    <w:qFormat/>
    <w:uiPriority w:val="9"/>
    <w:rPr>
      <w:rFonts w:asciiTheme="majorHAnsi" w:hAnsiTheme="majorHAnsi" w:eastAsiaTheme="majorEastAsia" w:cstheme="majorBidi"/>
      <w:i/>
      <w:iCs/>
      <w:color w:val="632523" w:themeColor="accent2" w:themeShade="80"/>
      <w:sz w:val="24"/>
      <w:szCs w:val="24"/>
    </w:rPr>
  </w:style>
  <w:style w:type="character" w:customStyle="1" w:styleId="37">
    <w:name w:val="标题 7 字符"/>
    <w:basedOn w:val="24"/>
    <w:link w:val="8"/>
    <w:semiHidden/>
    <w:qFormat/>
    <w:uiPriority w:val="9"/>
    <w:rPr>
      <w:rFonts w:asciiTheme="majorHAnsi" w:hAnsiTheme="majorHAnsi" w:eastAsiaTheme="majorEastAsia" w:cstheme="majorBidi"/>
      <w:b/>
      <w:bCs/>
      <w:color w:val="632523" w:themeColor="accent2" w:themeShade="80"/>
      <w:sz w:val="22"/>
      <w:szCs w:val="22"/>
    </w:rPr>
  </w:style>
  <w:style w:type="character" w:customStyle="1" w:styleId="38">
    <w:name w:val="标题 8 字符"/>
    <w:basedOn w:val="24"/>
    <w:link w:val="9"/>
    <w:semiHidden/>
    <w:qFormat/>
    <w:uiPriority w:val="9"/>
    <w:rPr>
      <w:rFonts w:asciiTheme="majorHAnsi" w:hAnsiTheme="majorHAnsi" w:eastAsiaTheme="majorEastAsia" w:cstheme="majorBidi"/>
      <w:color w:val="632523" w:themeColor="accent2" w:themeShade="80"/>
      <w:sz w:val="22"/>
      <w:szCs w:val="22"/>
    </w:rPr>
  </w:style>
  <w:style w:type="character" w:customStyle="1" w:styleId="39">
    <w:name w:val="标题 9 字符"/>
    <w:basedOn w:val="24"/>
    <w:link w:val="10"/>
    <w:semiHidden/>
    <w:qFormat/>
    <w:uiPriority w:val="9"/>
    <w:rPr>
      <w:rFonts w:asciiTheme="majorHAnsi" w:hAnsiTheme="majorHAnsi" w:eastAsiaTheme="majorEastAsia" w:cstheme="majorBidi"/>
      <w:i/>
      <w:iCs/>
      <w:color w:val="632523" w:themeColor="accent2" w:themeShade="80"/>
      <w:sz w:val="22"/>
      <w:szCs w:val="22"/>
    </w:rPr>
  </w:style>
  <w:style w:type="character" w:customStyle="1" w:styleId="40">
    <w:name w:val="标题 字符"/>
    <w:basedOn w:val="24"/>
    <w:link w:val="20"/>
    <w:qFormat/>
    <w:uiPriority w:val="10"/>
    <w:rPr>
      <w:rFonts w:asciiTheme="majorHAnsi" w:hAnsiTheme="majorHAnsi" w:eastAsiaTheme="majorEastAsia" w:cstheme="majorBidi"/>
      <w:color w:val="262626" w:themeColor="text1" w:themeTint="D9"/>
      <w:sz w:val="96"/>
      <w:szCs w:val="96"/>
      <w14:textFill>
        <w14:solidFill>
          <w14:schemeClr w14:val="tx1">
            <w14:lumMod w14:val="85000"/>
            <w14:lumOff w14:val="15000"/>
          </w14:schemeClr>
        </w14:solidFill>
      </w14:textFill>
    </w:rPr>
  </w:style>
  <w:style w:type="character" w:customStyle="1" w:styleId="41">
    <w:name w:val="副标题 字符"/>
    <w:basedOn w:val="24"/>
    <w:link w:val="17"/>
    <w:qFormat/>
    <w:uiPriority w:val="11"/>
    <w:rPr>
      <w:caps/>
      <w:color w:val="404040" w:themeColor="text1" w:themeTint="BF"/>
      <w:spacing w:val="20"/>
      <w:sz w:val="28"/>
      <w:szCs w:val="28"/>
      <w14:textFill>
        <w14:solidFill>
          <w14:schemeClr w14:val="tx1">
            <w14:lumMod w14:val="75000"/>
            <w14:lumOff w14:val="25000"/>
          </w14:schemeClr>
        </w14:solidFill>
      </w14:textFill>
    </w:rPr>
  </w:style>
  <w:style w:type="paragraph" w:styleId="42">
    <w:name w:val="No Spacing"/>
    <w:qFormat/>
    <w:uiPriority w:val="1"/>
    <w:rPr>
      <w:rFonts w:asciiTheme="minorHAnsi" w:hAnsiTheme="minorHAnsi" w:eastAsiaTheme="minorEastAsia" w:cstheme="minorBidi"/>
      <w:sz w:val="21"/>
      <w:szCs w:val="21"/>
      <w:lang w:val="en-US" w:eastAsia="zh-CN" w:bidi="ar-SA"/>
    </w:rPr>
  </w:style>
  <w:style w:type="paragraph" w:styleId="43">
    <w:name w:val="Quote"/>
    <w:basedOn w:val="1"/>
    <w:next w:val="1"/>
    <w:link w:val="44"/>
    <w:qFormat/>
    <w:uiPriority w:val="29"/>
    <w:pPr>
      <w:spacing w:before="160"/>
      <w:ind w:left="720" w:right="720"/>
      <w:jc w:val="center"/>
    </w:pPr>
    <w:rPr>
      <w:rFonts w:asciiTheme="majorHAnsi" w:hAnsiTheme="majorHAnsi" w:eastAsiaTheme="majorEastAsia" w:cstheme="majorBidi"/>
      <w:color w:val="000000" w:themeColor="text1"/>
      <w:sz w:val="24"/>
      <w:szCs w:val="24"/>
      <w14:textFill>
        <w14:solidFill>
          <w14:schemeClr w14:val="tx1"/>
        </w14:solidFill>
      </w14:textFill>
    </w:rPr>
  </w:style>
  <w:style w:type="character" w:customStyle="1" w:styleId="44">
    <w:name w:val="引用 字符"/>
    <w:basedOn w:val="24"/>
    <w:link w:val="43"/>
    <w:qFormat/>
    <w:uiPriority w:val="29"/>
    <w:rPr>
      <w:rFonts w:asciiTheme="majorHAnsi" w:hAnsiTheme="majorHAnsi" w:eastAsiaTheme="majorEastAsia" w:cstheme="majorBidi"/>
      <w:color w:val="000000" w:themeColor="text1"/>
      <w:sz w:val="24"/>
      <w:szCs w:val="24"/>
      <w14:textFill>
        <w14:solidFill>
          <w14:schemeClr w14:val="tx1"/>
        </w14:solidFill>
      </w14:textFill>
    </w:rPr>
  </w:style>
  <w:style w:type="paragraph" w:styleId="45">
    <w:name w:val="Intense Quote"/>
    <w:basedOn w:val="1"/>
    <w:next w:val="1"/>
    <w:link w:val="46"/>
    <w:qFormat/>
    <w:uiPriority w:val="30"/>
    <w:pPr>
      <w:pBdr>
        <w:top w:val="single" w:color="C0504D" w:themeColor="accent2" w:sz="24" w:space="4"/>
      </w:pBdr>
      <w:spacing w:before="240" w:after="240" w:line="240" w:lineRule="auto"/>
      <w:ind w:left="936" w:right="936"/>
      <w:jc w:val="center"/>
    </w:pPr>
    <w:rPr>
      <w:rFonts w:asciiTheme="majorHAnsi" w:hAnsiTheme="majorHAnsi" w:eastAsiaTheme="majorEastAsia" w:cstheme="majorBidi"/>
      <w:sz w:val="24"/>
      <w:szCs w:val="24"/>
    </w:rPr>
  </w:style>
  <w:style w:type="character" w:customStyle="1" w:styleId="46">
    <w:name w:val="明显引用 字符"/>
    <w:basedOn w:val="24"/>
    <w:link w:val="45"/>
    <w:qFormat/>
    <w:uiPriority w:val="30"/>
    <w:rPr>
      <w:rFonts w:asciiTheme="majorHAnsi" w:hAnsiTheme="majorHAnsi" w:eastAsiaTheme="majorEastAsia" w:cstheme="majorBidi"/>
      <w:sz w:val="24"/>
      <w:szCs w:val="24"/>
    </w:rPr>
  </w:style>
  <w:style w:type="character" w:customStyle="1" w:styleId="47">
    <w:name w:val="不明显强调1"/>
    <w:basedOn w:val="24"/>
    <w:qFormat/>
    <w:uiPriority w:val="19"/>
    <w:rPr>
      <w:i/>
      <w:iCs/>
      <w:color w:val="595959" w:themeColor="text1" w:themeTint="A6"/>
      <w14:textFill>
        <w14:solidFill>
          <w14:schemeClr w14:val="tx1">
            <w14:lumMod w14:val="65000"/>
            <w14:lumOff w14:val="35000"/>
          </w14:schemeClr>
        </w14:solidFill>
      </w14:textFill>
    </w:rPr>
  </w:style>
  <w:style w:type="character" w:customStyle="1" w:styleId="48">
    <w:name w:val="明显强调1"/>
    <w:basedOn w:val="24"/>
    <w:qFormat/>
    <w:uiPriority w:val="21"/>
    <w:rPr>
      <w:b/>
      <w:bCs/>
      <w:i/>
      <w:iCs/>
      <w:color w:val="C0504D" w:themeColor="accent2"/>
      <w14:textFill>
        <w14:solidFill>
          <w14:schemeClr w14:val="accent2"/>
        </w14:solidFill>
      </w14:textFill>
    </w:rPr>
  </w:style>
  <w:style w:type="character" w:customStyle="1" w:styleId="49">
    <w:name w:val="不明显参考1"/>
    <w:basedOn w:val="24"/>
    <w:qFormat/>
    <w:uiPriority w:val="31"/>
    <w:rPr>
      <w:smallCaps/>
      <w:color w:val="404040" w:themeColor="text1" w:themeTint="BF"/>
      <w:spacing w:val="0"/>
      <w:u w:val="single" w:color="7E7E7E" w:themeColor="text1" w:themeTint="80"/>
      <w14:textFill>
        <w14:solidFill>
          <w14:schemeClr w14:val="tx1">
            <w14:lumMod w14:val="75000"/>
            <w14:lumOff w14:val="25000"/>
          </w14:schemeClr>
        </w14:solidFill>
      </w14:textFill>
    </w:rPr>
  </w:style>
  <w:style w:type="character" w:customStyle="1" w:styleId="50">
    <w:name w:val="明显参考1"/>
    <w:basedOn w:val="24"/>
    <w:qFormat/>
    <w:uiPriority w:val="32"/>
    <w:rPr>
      <w:b/>
      <w:bCs/>
      <w:smallCaps/>
      <w:color w:val="auto"/>
      <w:spacing w:val="0"/>
      <w:u w:val="single"/>
    </w:rPr>
  </w:style>
  <w:style w:type="character" w:customStyle="1" w:styleId="51">
    <w:name w:val="书籍标题1"/>
    <w:basedOn w:val="24"/>
    <w:qFormat/>
    <w:uiPriority w:val="33"/>
    <w:rPr>
      <w:b/>
      <w:bCs/>
      <w:smallCaps/>
      <w:spacing w:val="0"/>
    </w:rPr>
  </w:style>
  <w:style w:type="paragraph" w:customStyle="1" w:styleId="52">
    <w:name w:val="TOC 标题1"/>
    <w:basedOn w:val="2"/>
    <w:next w:val="1"/>
    <w:unhideWhenUsed/>
    <w:qFormat/>
    <w:uiPriority w:val="39"/>
    <w:pPr>
      <w:outlineLvl w:val="9"/>
    </w:pPr>
  </w:style>
  <w:style w:type="character" w:styleId="53">
    <w:name w:val="Placeholder Text"/>
    <w:basedOn w:val="24"/>
    <w:semiHidden/>
    <w:qFormat/>
    <w:uiPriority w:val="99"/>
    <w:rPr>
      <w:color w:val="666666"/>
    </w:rPr>
  </w:style>
  <w:style w:type="paragraph" w:styleId="54">
    <w:name w:val="List Paragraph"/>
    <w:basedOn w:val="1"/>
    <w:qFormat/>
    <w:uiPriority w:val="34"/>
    <w:pPr>
      <w:ind w:left="720"/>
      <w:contextualSpacing/>
    </w:pPr>
  </w:style>
  <w:style w:type="character" w:customStyle="1" w:styleId="55">
    <w:name w:val="批注文字 字符"/>
    <w:basedOn w:val="24"/>
    <w:link w:val="12"/>
    <w:semiHidden/>
    <w:qFormat/>
    <w:uiPriority w:val="99"/>
    <w:rPr>
      <w:sz w:val="20"/>
      <w:szCs w:val="20"/>
    </w:rPr>
  </w:style>
  <w:style w:type="character" w:customStyle="1" w:styleId="56">
    <w:name w:val="批注主题 字符"/>
    <w:basedOn w:val="55"/>
    <w:link w:val="21"/>
    <w:semiHidden/>
    <w:qFormat/>
    <w:uiPriority w:val="99"/>
    <w:rPr>
      <w:b/>
      <w:bCs/>
      <w:sz w:val="20"/>
      <w:szCs w:val="20"/>
    </w:rPr>
  </w:style>
  <w:style w:type="paragraph" w:customStyle="1" w:styleId="57">
    <w:name w:val="书目1"/>
    <w:basedOn w:val="1"/>
    <w:next w:val="1"/>
    <w:unhideWhenUsed/>
    <w:qFormat/>
    <w:uiPriority w:val="37"/>
    <w:pPr>
      <w:spacing w:after="240" w:line="240" w:lineRule="auto"/>
    </w:p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customXml" Target="../customXml/item1.xml"/><Relationship Id="rId24" Type="http://schemas.openxmlformats.org/officeDocument/2006/relationships/numbering" Target="numbering.xml"/><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emf"/><Relationship Id="rId15" Type="http://schemas.openxmlformats.org/officeDocument/2006/relationships/image" Target="media/image8.emf"/><Relationship Id="rId14" Type="http://schemas.openxmlformats.org/officeDocument/2006/relationships/image" Target="media/image7.emf"/><Relationship Id="rId13" Type="http://schemas.openxmlformats.org/officeDocument/2006/relationships/image" Target="media/image6.emf"/><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651CC-50EA-424B-9152-6DDB213CA8DE}">
  <ds:schemaRefs/>
</ds:datastoreItem>
</file>

<file path=docProps/app.xml><?xml version="1.0" encoding="utf-8"?>
<Properties xmlns="http://schemas.openxmlformats.org/officeDocument/2006/extended-properties" xmlns:vt="http://schemas.openxmlformats.org/officeDocument/2006/docPropsVTypes">
  <Template>Normal</Template>
  <Pages>82</Pages>
  <Words>18922</Words>
  <Characters>113736</Characters>
  <Lines>3375</Lines>
  <Paragraphs>888</Paragraphs>
  <TotalTime>33</TotalTime>
  <ScaleCrop>false</ScaleCrop>
  <LinksUpToDate>false</LinksUpToDate>
  <CharactersWithSpaces>132569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2024-09-27T11:02:00Z</dcterms:created>
  <dc:creator>Qi Huiwen</dc:creator>
  <cp:lastModifiedBy>@</cp:lastModifiedBy>
  <dcterms:modified xsi:type="dcterms:W3CDTF">2024-09-27T19:07:24Z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a5926bd9fb57b864616e9074ece8fa9d0f500682e2061a2a33174aebb73bb24c</vt:lpwstr>
  </property>
  <property fmtid="{D5CDD505-2E9C-101B-9397-08002B2CF9AE}" pid="3" name="ZOTERO_PREF_1">
    <vt:lpwstr>&lt;data data-version="3" zotero-version="6.0.30"&gt;&lt;session id="1f1CeOcg"/&gt;&lt;style id="http://www.zotero.org/styles/harvard-cite-them-right" hasBibliography="1" bibliographyStyleHasBeenSet="1"/&gt;&lt;prefs&gt;&lt;pref name="fieldType" value="Field"/&gt;&lt;/prefs&gt;&lt;/data&gt;</vt:lpwstr>
  </property>
  <property fmtid="{D5CDD505-2E9C-101B-9397-08002B2CF9AE}" pid="4" name="KSOProductBuildVer">
    <vt:lpwstr>2052-12.1.0.18276</vt:lpwstr>
  </property>
  <property fmtid="{D5CDD505-2E9C-101B-9397-08002B2CF9AE}" pid="5" name="ICV">
    <vt:lpwstr>3BF715766F9D4E249392FEFED71774CD_13</vt:lpwstr>
  </property>
</Properties>
</file>