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8C8DD7" w14:textId="77777777" w:rsidR="00E52F63" w:rsidRDefault="00E52F63" w:rsidP="00E52F63">
      <w:pPr>
        <w:pStyle w:val="Header"/>
        <w:jc w:val="center"/>
        <w:rPr>
          <w:b/>
          <w:bCs/>
          <w:sz w:val="56"/>
          <w:szCs w:val="38"/>
          <w:lang w:val="en-US"/>
        </w:rPr>
      </w:pPr>
    </w:p>
    <w:p w14:paraId="28E9815C" w14:textId="77777777" w:rsidR="00E52F63" w:rsidRDefault="00E52F63" w:rsidP="00E52F63">
      <w:pPr>
        <w:pStyle w:val="Header"/>
        <w:jc w:val="center"/>
        <w:rPr>
          <w:b/>
          <w:bCs/>
          <w:sz w:val="56"/>
          <w:szCs w:val="38"/>
          <w:lang w:val="en-US"/>
        </w:rPr>
      </w:pPr>
    </w:p>
    <w:p w14:paraId="28BD70B5" w14:textId="77777777" w:rsidR="00E52F63" w:rsidRDefault="00E52F63" w:rsidP="00E52F63">
      <w:pPr>
        <w:pStyle w:val="Header"/>
        <w:jc w:val="center"/>
        <w:rPr>
          <w:b/>
          <w:bCs/>
          <w:sz w:val="56"/>
          <w:szCs w:val="38"/>
          <w:lang w:val="en-US"/>
        </w:rPr>
      </w:pPr>
    </w:p>
    <w:p w14:paraId="4B4EF477" w14:textId="77777777" w:rsidR="00E52F63" w:rsidRDefault="00E52F63" w:rsidP="00E52F63">
      <w:pPr>
        <w:pStyle w:val="Header"/>
        <w:jc w:val="center"/>
        <w:rPr>
          <w:b/>
          <w:bCs/>
          <w:sz w:val="56"/>
          <w:szCs w:val="38"/>
          <w:lang w:val="en-US"/>
        </w:rPr>
      </w:pPr>
    </w:p>
    <w:p w14:paraId="7C281600" w14:textId="77777777" w:rsidR="00E52F63" w:rsidRDefault="00E52F63" w:rsidP="00E52F63">
      <w:pPr>
        <w:pStyle w:val="Header"/>
        <w:jc w:val="center"/>
        <w:rPr>
          <w:b/>
          <w:bCs/>
          <w:sz w:val="56"/>
          <w:szCs w:val="38"/>
          <w:lang w:val="en-US"/>
        </w:rPr>
      </w:pPr>
    </w:p>
    <w:p w14:paraId="56E74C47" w14:textId="68FE4635" w:rsidR="00E52F63" w:rsidRPr="00965084" w:rsidRDefault="00965084" w:rsidP="00E52F63">
      <w:pPr>
        <w:pStyle w:val="Header"/>
        <w:jc w:val="center"/>
        <w:rPr>
          <w:b/>
          <w:bCs/>
          <w:sz w:val="48"/>
          <w:szCs w:val="48"/>
          <w:lang w:val="en-US"/>
        </w:rPr>
      </w:pPr>
      <w:r w:rsidRPr="00965084">
        <w:rPr>
          <w:b/>
          <w:bCs/>
          <w:sz w:val="48"/>
          <w:szCs w:val="48"/>
          <w:lang w:val="en-US"/>
        </w:rPr>
        <w:t>BA BUSINESS MANAGEMENT</w:t>
      </w:r>
    </w:p>
    <w:p w14:paraId="065A6098" w14:textId="77777777" w:rsidR="00965084" w:rsidRDefault="007C08CF" w:rsidP="00965084">
      <w:pPr>
        <w:pStyle w:val="Header"/>
        <w:jc w:val="center"/>
        <w:rPr>
          <w:b/>
          <w:bCs/>
          <w:sz w:val="48"/>
          <w:szCs w:val="48"/>
          <w:lang w:val="en-US"/>
        </w:rPr>
      </w:pPr>
      <w:r w:rsidRPr="00965084">
        <w:rPr>
          <w:b/>
          <w:bCs/>
          <w:sz w:val="48"/>
          <w:szCs w:val="48"/>
          <w:lang w:val="en-US"/>
        </w:rPr>
        <w:t>Accounting Fundamentals</w:t>
      </w:r>
    </w:p>
    <w:p w14:paraId="10BA1350" w14:textId="77777777" w:rsidR="00965084" w:rsidRDefault="00965084" w:rsidP="00965084">
      <w:pPr>
        <w:pStyle w:val="Header"/>
        <w:jc w:val="center"/>
        <w:rPr>
          <w:b/>
          <w:bCs/>
          <w:sz w:val="48"/>
          <w:szCs w:val="48"/>
          <w:lang w:val="en-US"/>
        </w:rPr>
      </w:pPr>
    </w:p>
    <w:p w14:paraId="4EFCDC6A" w14:textId="77777777" w:rsidR="00965084" w:rsidRDefault="00965084" w:rsidP="00965084">
      <w:pPr>
        <w:pStyle w:val="Header"/>
        <w:jc w:val="center"/>
        <w:rPr>
          <w:b/>
          <w:bCs/>
          <w:sz w:val="48"/>
          <w:szCs w:val="48"/>
          <w:lang w:val="en-US"/>
        </w:rPr>
      </w:pPr>
    </w:p>
    <w:p w14:paraId="0DEEA0F3" w14:textId="77777777" w:rsidR="00965084" w:rsidRDefault="00965084" w:rsidP="00965084">
      <w:pPr>
        <w:pStyle w:val="Header"/>
        <w:jc w:val="center"/>
        <w:rPr>
          <w:b/>
          <w:bCs/>
          <w:sz w:val="48"/>
          <w:szCs w:val="48"/>
          <w:lang w:val="en-US"/>
        </w:rPr>
      </w:pPr>
    </w:p>
    <w:p w14:paraId="432402C7" w14:textId="77777777" w:rsidR="00965084" w:rsidRDefault="00965084" w:rsidP="00965084">
      <w:pPr>
        <w:pStyle w:val="Header"/>
        <w:jc w:val="center"/>
        <w:rPr>
          <w:b/>
          <w:bCs/>
          <w:sz w:val="48"/>
          <w:szCs w:val="48"/>
          <w:lang w:val="en-US"/>
        </w:rPr>
      </w:pPr>
    </w:p>
    <w:p w14:paraId="17E2EEA8" w14:textId="77777777" w:rsidR="00965084" w:rsidRDefault="00965084" w:rsidP="00965084">
      <w:pPr>
        <w:pStyle w:val="Header"/>
        <w:jc w:val="center"/>
        <w:rPr>
          <w:b/>
          <w:bCs/>
          <w:sz w:val="48"/>
          <w:szCs w:val="48"/>
          <w:lang w:val="en-US"/>
        </w:rPr>
      </w:pPr>
    </w:p>
    <w:p w14:paraId="788BF6C7" w14:textId="77777777" w:rsidR="00965084" w:rsidRDefault="00965084" w:rsidP="00965084">
      <w:pPr>
        <w:pStyle w:val="Header"/>
        <w:jc w:val="center"/>
        <w:rPr>
          <w:b/>
          <w:bCs/>
          <w:sz w:val="48"/>
          <w:szCs w:val="48"/>
          <w:lang w:val="en-US"/>
        </w:rPr>
      </w:pPr>
    </w:p>
    <w:p w14:paraId="57A19DCC" w14:textId="77777777" w:rsidR="00965084" w:rsidRDefault="00965084" w:rsidP="00965084">
      <w:pPr>
        <w:pStyle w:val="Header"/>
        <w:jc w:val="center"/>
        <w:rPr>
          <w:b/>
          <w:bCs/>
          <w:sz w:val="48"/>
          <w:szCs w:val="48"/>
          <w:lang w:val="en-US"/>
        </w:rPr>
      </w:pPr>
    </w:p>
    <w:p w14:paraId="31BF90BF" w14:textId="77777777" w:rsidR="00965084" w:rsidRDefault="00965084" w:rsidP="00965084">
      <w:pPr>
        <w:pStyle w:val="Header"/>
        <w:jc w:val="center"/>
        <w:rPr>
          <w:b/>
          <w:bCs/>
          <w:sz w:val="48"/>
          <w:szCs w:val="48"/>
          <w:lang w:val="en-US"/>
        </w:rPr>
      </w:pPr>
    </w:p>
    <w:p w14:paraId="0C92963B" w14:textId="77777777" w:rsidR="00965084" w:rsidRDefault="00965084" w:rsidP="00965084">
      <w:pPr>
        <w:pStyle w:val="Header"/>
        <w:jc w:val="center"/>
        <w:rPr>
          <w:b/>
          <w:bCs/>
          <w:sz w:val="48"/>
          <w:szCs w:val="48"/>
          <w:lang w:val="en-US"/>
        </w:rPr>
      </w:pPr>
    </w:p>
    <w:p w14:paraId="26716306" w14:textId="41FAF8BD" w:rsidR="00965084" w:rsidRDefault="00965084" w:rsidP="00965084">
      <w:pPr>
        <w:pStyle w:val="Header"/>
        <w:jc w:val="left"/>
        <w:rPr>
          <w:b/>
          <w:bCs/>
          <w:sz w:val="48"/>
          <w:szCs w:val="48"/>
          <w:lang w:val="en-US"/>
        </w:rPr>
      </w:pPr>
    </w:p>
    <w:p w14:paraId="542532D1" w14:textId="321B52B2" w:rsidR="00965084" w:rsidRDefault="00965084" w:rsidP="00965084">
      <w:pPr>
        <w:pStyle w:val="Header"/>
        <w:jc w:val="left"/>
        <w:rPr>
          <w:b/>
          <w:bCs/>
          <w:sz w:val="48"/>
          <w:szCs w:val="48"/>
          <w:lang w:val="en-US"/>
        </w:rPr>
      </w:pPr>
    </w:p>
    <w:p w14:paraId="5D40372D" w14:textId="77777777" w:rsidR="00965084" w:rsidRDefault="00965084" w:rsidP="00965084">
      <w:pPr>
        <w:pStyle w:val="Header"/>
        <w:spacing w:after="120"/>
        <w:jc w:val="left"/>
        <w:rPr>
          <w:b/>
          <w:bCs/>
          <w:sz w:val="48"/>
          <w:szCs w:val="48"/>
          <w:lang w:val="en-US"/>
        </w:rPr>
      </w:pPr>
    </w:p>
    <w:p w14:paraId="705A2F5F" w14:textId="38CC58B2" w:rsidR="00965084" w:rsidRPr="00965084" w:rsidRDefault="00965084" w:rsidP="00965084">
      <w:pPr>
        <w:pStyle w:val="Header"/>
        <w:spacing w:after="120"/>
        <w:jc w:val="left"/>
        <w:rPr>
          <w:rFonts w:eastAsia="Times New Roman" w:cs="Times New Roman"/>
          <w:b/>
          <w:color w:val="333333"/>
          <w:sz w:val="28"/>
          <w:szCs w:val="28"/>
        </w:rPr>
      </w:pPr>
      <w:r>
        <w:rPr>
          <w:rFonts w:eastAsia="Times New Roman" w:cs="Times New Roman"/>
          <w:b/>
          <w:color w:val="333333"/>
          <w:sz w:val="28"/>
          <w:szCs w:val="28"/>
        </w:rPr>
        <w:t>Module code: LCBB4001</w:t>
      </w:r>
    </w:p>
    <w:p w14:paraId="74C5E127" w14:textId="0D7E7EAE" w:rsidR="00965084" w:rsidRDefault="00965084" w:rsidP="00965084">
      <w:pPr>
        <w:shd w:val="clear" w:color="auto" w:fill="FFFFFF"/>
        <w:spacing w:after="120" w:line="240" w:lineRule="auto"/>
        <w:jc w:val="left"/>
        <w:rPr>
          <w:rFonts w:eastAsia="Times New Roman" w:cs="Times New Roman"/>
          <w:b/>
          <w:color w:val="333333"/>
          <w:sz w:val="28"/>
          <w:szCs w:val="28"/>
        </w:rPr>
      </w:pPr>
      <w:r>
        <w:rPr>
          <w:rFonts w:eastAsia="Times New Roman" w:cs="Times New Roman"/>
          <w:b/>
          <w:color w:val="333333"/>
          <w:sz w:val="28"/>
          <w:szCs w:val="28"/>
        </w:rPr>
        <w:t>Student: Elena</w:t>
      </w:r>
      <w:r w:rsidR="008407F4">
        <w:rPr>
          <w:rFonts w:eastAsia="Times New Roman" w:cs="Times New Roman"/>
          <w:b/>
          <w:color w:val="333333"/>
          <w:sz w:val="28"/>
          <w:szCs w:val="28"/>
        </w:rPr>
        <w:t xml:space="preserve"> </w:t>
      </w:r>
      <w:proofErr w:type="spellStart"/>
      <w:r w:rsidR="008407F4">
        <w:rPr>
          <w:rFonts w:eastAsia="Times New Roman" w:cs="Times New Roman"/>
          <w:b/>
          <w:color w:val="333333"/>
          <w:sz w:val="28"/>
          <w:szCs w:val="28"/>
        </w:rPr>
        <w:t>Porcescu</w:t>
      </w:r>
      <w:proofErr w:type="spellEnd"/>
    </w:p>
    <w:p w14:paraId="275690A4" w14:textId="2C16DC66" w:rsidR="00965084" w:rsidRDefault="00965084" w:rsidP="00965084">
      <w:pPr>
        <w:shd w:val="clear" w:color="auto" w:fill="FFFFFF"/>
        <w:spacing w:after="120" w:line="240" w:lineRule="auto"/>
        <w:jc w:val="left"/>
        <w:rPr>
          <w:rFonts w:eastAsia="Times New Roman" w:cs="Times New Roman"/>
          <w:b/>
          <w:color w:val="333333"/>
          <w:sz w:val="28"/>
          <w:szCs w:val="28"/>
        </w:rPr>
      </w:pPr>
      <w:r>
        <w:rPr>
          <w:rFonts w:eastAsia="Times New Roman" w:cs="Times New Roman"/>
          <w:b/>
          <w:color w:val="333333"/>
          <w:sz w:val="28"/>
          <w:szCs w:val="28"/>
        </w:rPr>
        <w:t xml:space="preserve">Lecturer name: </w:t>
      </w:r>
      <w:r w:rsidR="00884233">
        <w:rPr>
          <w:rFonts w:eastAsia="Times New Roman" w:cs="Times New Roman"/>
          <w:b/>
          <w:color w:val="333333"/>
          <w:sz w:val="28"/>
          <w:szCs w:val="28"/>
        </w:rPr>
        <w:t>Nadeem Mirza</w:t>
      </w:r>
    </w:p>
    <w:p w14:paraId="79235C91" w14:textId="1622B0DF" w:rsidR="00965084" w:rsidRPr="00965084" w:rsidRDefault="00965084" w:rsidP="00965084">
      <w:pPr>
        <w:shd w:val="clear" w:color="auto" w:fill="FFFFFF"/>
        <w:spacing w:after="120" w:line="240" w:lineRule="auto"/>
        <w:jc w:val="left"/>
        <w:rPr>
          <w:rFonts w:eastAsia="Times New Roman" w:cs="Times New Roman"/>
          <w:b/>
          <w:color w:val="333333"/>
          <w:sz w:val="28"/>
          <w:szCs w:val="28"/>
        </w:rPr>
      </w:pPr>
      <w:r>
        <w:rPr>
          <w:rFonts w:eastAsia="Times New Roman" w:cs="Times New Roman"/>
          <w:b/>
          <w:color w:val="333333"/>
          <w:sz w:val="28"/>
          <w:szCs w:val="28"/>
        </w:rPr>
        <w:t>Student ID: 2123762</w:t>
      </w:r>
    </w:p>
    <w:p w14:paraId="0A5DDD6E" w14:textId="77777777" w:rsidR="00E52F63" w:rsidRDefault="007C08CF" w:rsidP="00E52F63">
      <w:pPr>
        <w:jc w:val="center"/>
        <w:rPr>
          <w:b/>
          <w:bCs/>
          <w:color w:val="auto"/>
          <w:szCs w:val="24"/>
          <w:lang w:val="en-US"/>
        </w:rPr>
      </w:pPr>
      <w:r>
        <w:rPr>
          <w:b/>
          <w:bCs/>
        </w:rPr>
        <w:t>Executive summary</w:t>
      </w:r>
    </w:p>
    <w:p w14:paraId="286A01E2" w14:textId="301021AD" w:rsidR="005229E7" w:rsidRDefault="007C08CF" w:rsidP="00E52F63">
      <w:r w:rsidRPr="00845290">
        <w:t xml:space="preserve">The statement of earnings and finances of a </w:t>
      </w:r>
      <w:r w:rsidRPr="00845290">
        <w:t>company, like Wales plc, are presented in this report to illustrate the organi</w:t>
      </w:r>
      <w:r>
        <w:t>s</w:t>
      </w:r>
      <w:r w:rsidRPr="00845290">
        <w:t>ation</w:t>
      </w:r>
      <w:r>
        <w:t>’</w:t>
      </w:r>
      <w:r w:rsidRPr="00845290">
        <w:t xml:space="preserve">s financial situation. It presents the financial situation and suggests tactics for maintaining peak performance over the course of an accounting year. In </w:t>
      </w:r>
      <w:r w:rsidRPr="00845290">
        <w:t xml:space="preserve">addition, the study evaluates the calculation of different financial ratios </w:t>
      </w:r>
      <w:proofErr w:type="gramStart"/>
      <w:r w:rsidRPr="00845290">
        <w:t>in order to</w:t>
      </w:r>
      <w:proofErr w:type="gramEnd"/>
      <w:r w:rsidRPr="00845290">
        <w:t xml:space="preserve"> determine the overall performance and operational effectiveness of a business, as Sweet's plc is an example of, based on the results obtained.</w:t>
      </w:r>
      <w:r w:rsidR="00C91CB1">
        <w:t xml:space="preserve"> </w:t>
      </w:r>
      <w:r w:rsidR="007B186F">
        <w:t xml:space="preserve"> </w:t>
      </w:r>
      <w:r w:rsidR="007D3017">
        <w:t xml:space="preserve"> </w:t>
      </w:r>
    </w:p>
    <w:p w14:paraId="2172E663" w14:textId="77777777" w:rsidR="005229E7" w:rsidRDefault="005229E7">
      <w:pPr>
        <w:spacing w:line="259" w:lineRule="auto"/>
        <w:jc w:val="left"/>
      </w:pPr>
      <w:r>
        <w:br w:type="page"/>
      </w:r>
    </w:p>
    <w:sdt>
      <w:sdtPr>
        <w:rPr>
          <w:rFonts w:ascii="Times New Roman" w:eastAsiaTheme="minorHAnsi" w:hAnsi="Times New Roman" w:cstheme="minorBidi"/>
          <w:color w:val="000000" w:themeColor="text1"/>
          <w:kern w:val="2"/>
          <w:sz w:val="24"/>
          <w:szCs w:val="22"/>
          <w:lang w:val="en-IN"/>
          <w14:ligatures w14:val="standardContextual"/>
        </w:rPr>
        <w:id w:val="-1446390844"/>
        <w:docPartObj>
          <w:docPartGallery w:val="Table of Contents"/>
          <w:docPartUnique/>
        </w:docPartObj>
      </w:sdtPr>
      <w:sdtEndPr>
        <w:rPr>
          <w:b/>
          <w:bCs/>
          <w:noProof/>
        </w:rPr>
      </w:sdtEndPr>
      <w:sdtContent>
        <w:p w14:paraId="442D90A4" w14:textId="19C6FE00" w:rsidR="005229E7" w:rsidRDefault="005229E7">
          <w:pPr>
            <w:pStyle w:val="TOCHeading"/>
          </w:pPr>
          <w:r>
            <w:t>Table of Contents</w:t>
          </w:r>
        </w:p>
        <w:p w14:paraId="3850743E" w14:textId="2A99ABBD" w:rsidR="009124C3" w:rsidRDefault="005229E7">
          <w:pPr>
            <w:pStyle w:val="TOC1"/>
            <w:tabs>
              <w:tab w:val="right" w:leader="dot" w:pos="9350"/>
            </w:tabs>
            <w:rPr>
              <w:rFonts w:asciiTheme="minorHAnsi" w:eastAsiaTheme="minorEastAsia" w:hAnsiTheme="minorHAnsi"/>
              <w:noProof/>
              <w:color w:val="auto"/>
              <w:sz w:val="22"/>
              <w:lang w:val="en-US"/>
            </w:rPr>
          </w:pPr>
          <w:r>
            <w:fldChar w:fldCharType="begin"/>
          </w:r>
          <w:r>
            <w:instrText xml:space="preserve"> TOC \o "1-3" \h \z \u </w:instrText>
          </w:r>
          <w:r>
            <w:fldChar w:fldCharType="separate"/>
          </w:r>
          <w:hyperlink w:anchor="_Toc151731820" w:history="1">
            <w:r w:rsidR="009124C3" w:rsidRPr="00926580">
              <w:rPr>
                <w:rStyle w:val="Hyperlink"/>
                <w:noProof/>
                <w:lang w:val="en-US" w:bidi="th-TH"/>
              </w:rPr>
              <w:t>Introduction</w:t>
            </w:r>
            <w:r w:rsidR="009124C3">
              <w:rPr>
                <w:noProof/>
                <w:webHidden/>
              </w:rPr>
              <w:tab/>
            </w:r>
            <w:r w:rsidR="009124C3">
              <w:rPr>
                <w:noProof/>
                <w:webHidden/>
              </w:rPr>
              <w:fldChar w:fldCharType="begin"/>
            </w:r>
            <w:r w:rsidR="009124C3">
              <w:rPr>
                <w:noProof/>
                <w:webHidden/>
              </w:rPr>
              <w:instrText xml:space="preserve"> PAGEREF _Toc151731820 \h </w:instrText>
            </w:r>
            <w:r w:rsidR="009124C3">
              <w:rPr>
                <w:noProof/>
                <w:webHidden/>
              </w:rPr>
            </w:r>
            <w:r w:rsidR="009124C3">
              <w:rPr>
                <w:noProof/>
                <w:webHidden/>
              </w:rPr>
              <w:fldChar w:fldCharType="separate"/>
            </w:r>
            <w:r w:rsidR="009124C3">
              <w:rPr>
                <w:noProof/>
                <w:webHidden/>
              </w:rPr>
              <w:t>4</w:t>
            </w:r>
            <w:r w:rsidR="009124C3">
              <w:rPr>
                <w:noProof/>
                <w:webHidden/>
              </w:rPr>
              <w:fldChar w:fldCharType="end"/>
            </w:r>
          </w:hyperlink>
        </w:p>
        <w:p w14:paraId="0188443F" w14:textId="128BC677" w:rsidR="009124C3" w:rsidRDefault="007C08CF">
          <w:pPr>
            <w:pStyle w:val="TOC1"/>
            <w:tabs>
              <w:tab w:val="right" w:leader="dot" w:pos="9350"/>
            </w:tabs>
            <w:rPr>
              <w:rFonts w:asciiTheme="minorHAnsi" w:eastAsiaTheme="minorEastAsia" w:hAnsiTheme="minorHAnsi"/>
              <w:noProof/>
              <w:color w:val="auto"/>
              <w:sz w:val="22"/>
              <w:lang w:val="en-US"/>
            </w:rPr>
          </w:pPr>
          <w:hyperlink w:anchor="_Toc151731821" w:history="1">
            <w:r w:rsidR="009124C3" w:rsidRPr="00926580">
              <w:rPr>
                <w:rStyle w:val="Hyperlink"/>
                <w:noProof/>
                <w:lang w:val="en-US" w:bidi="th-TH"/>
              </w:rPr>
              <w:t>Question 1- Commenting on the statements</w:t>
            </w:r>
            <w:r w:rsidR="009124C3">
              <w:rPr>
                <w:noProof/>
                <w:webHidden/>
              </w:rPr>
              <w:tab/>
            </w:r>
            <w:r w:rsidR="009124C3">
              <w:rPr>
                <w:noProof/>
                <w:webHidden/>
              </w:rPr>
              <w:fldChar w:fldCharType="begin"/>
            </w:r>
            <w:r w:rsidR="009124C3">
              <w:rPr>
                <w:noProof/>
                <w:webHidden/>
              </w:rPr>
              <w:instrText xml:space="preserve"> PAGEREF _Toc151731821 \h </w:instrText>
            </w:r>
            <w:r w:rsidR="009124C3">
              <w:rPr>
                <w:noProof/>
                <w:webHidden/>
              </w:rPr>
            </w:r>
            <w:r w:rsidR="009124C3">
              <w:rPr>
                <w:noProof/>
                <w:webHidden/>
              </w:rPr>
              <w:fldChar w:fldCharType="separate"/>
            </w:r>
            <w:r w:rsidR="009124C3">
              <w:rPr>
                <w:noProof/>
                <w:webHidden/>
              </w:rPr>
              <w:t>5</w:t>
            </w:r>
            <w:r w:rsidR="009124C3">
              <w:rPr>
                <w:noProof/>
                <w:webHidden/>
              </w:rPr>
              <w:fldChar w:fldCharType="end"/>
            </w:r>
          </w:hyperlink>
        </w:p>
        <w:p w14:paraId="63AED091" w14:textId="38690F68" w:rsidR="009124C3" w:rsidRDefault="007C08CF">
          <w:pPr>
            <w:pStyle w:val="TOC1"/>
            <w:tabs>
              <w:tab w:val="right" w:leader="dot" w:pos="9350"/>
            </w:tabs>
            <w:rPr>
              <w:rFonts w:asciiTheme="minorHAnsi" w:eastAsiaTheme="minorEastAsia" w:hAnsiTheme="minorHAnsi"/>
              <w:noProof/>
              <w:color w:val="auto"/>
              <w:sz w:val="22"/>
              <w:lang w:val="en-US"/>
            </w:rPr>
          </w:pPr>
          <w:hyperlink w:anchor="_Toc151731822" w:history="1">
            <w:r w:rsidR="009124C3" w:rsidRPr="00926580">
              <w:rPr>
                <w:rStyle w:val="Hyperlink"/>
                <w:noProof/>
                <w:lang w:bidi="th-TH"/>
              </w:rPr>
              <w:t>Question 2: Preparing and evaluating the income statement</w:t>
            </w:r>
            <w:r w:rsidR="009124C3">
              <w:rPr>
                <w:noProof/>
                <w:webHidden/>
              </w:rPr>
              <w:tab/>
            </w:r>
            <w:r w:rsidR="009124C3">
              <w:rPr>
                <w:noProof/>
                <w:webHidden/>
              </w:rPr>
              <w:fldChar w:fldCharType="begin"/>
            </w:r>
            <w:r w:rsidR="009124C3">
              <w:rPr>
                <w:noProof/>
                <w:webHidden/>
              </w:rPr>
              <w:instrText xml:space="preserve"> PAGEREF _Toc151731822 \h </w:instrText>
            </w:r>
            <w:r w:rsidR="009124C3">
              <w:rPr>
                <w:noProof/>
                <w:webHidden/>
              </w:rPr>
            </w:r>
            <w:r w:rsidR="009124C3">
              <w:rPr>
                <w:noProof/>
                <w:webHidden/>
              </w:rPr>
              <w:fldChar w:fldCharType="separate"/>
            </w:r>
            <w:r w:rsidR="009124C3">
              <w:rPr>
                <w:noProof/>
                <w:webHidden/>
              </w:rPr>
              <w:t>7</w:t>
            </w:r>
            <w:r w:rsidR="009124C3">
              <w:rPr>
                <w:noProof/>
                <w:webHidden/>
              </w:rPr>
              <w:fldChar w:fldCharType="end"/>
            </w:r>
          </w:hyperlink>
        </w:p>
        <w:p w14:paraId="448446E8" w14:textId="233EECC4" w:rsidR="009124C3" w:rsidRDefault="007C08CF">
          <w:pPr>
            <w:pStyle w:val="TOC1"/>
            <w:tabs>
              <w:tab w:val="right" w:leader="dot" w:pos="9350"/>
            </w:tabs>
            <w:rPr>
              <w:rFonts w:asciiTheme="minorHAnsi" w:eastAsiaTheme="minorEastAsia" w:hAnsiTheme="minorHAnsi"/>
              <w:noProof/>
              <w:color w:val="auto"/>
              <w:sz w:val="22"/>
              <w:lang w:val="en-US"/>
            </w:rPr>
          </w:pPr>
          <w:hyperlink w:anchor="_Toc151731823" w:history="1">
            <w:r w:rsidR="009124C3" w:rsidRPr="00926580">
              <w:rPr>
                <w:rStyle w:val="Hyperlink"/>
                <w:noProof/>
                <w:lang w:bidi="th-TH"/>
              </w:rPr>
              <w:t xml:space="preserve">Question 3- </w:t>
            </w:r>
            <w:r w:rsidR="009124C3" w:rsidRPr="00926580">
              <w:rPr>
                <w:rStyle w:val="Hyperlink"/>
                <w:noProof/>
                <w:lang w:val="en-US" w:bidi="th-TH"/>
              </w:rPr>
              <w:t>Preparation and interpretation of the financial ratios</w:t>
            </w:r>
            <w:r w:rsidR="009124C3">
              <w:rPr>
                <w:noProof/>
                <w:webHidden/>
              </w:rPr>
              <w:tab/>
            </w:r>
            <w:r w:rsidR="009124C3">
              <w:rPr>
                <w:noProof/>
                <w:webHidden/>
              </w:rPr>
              <w:fldChar w:fldCharType="begin"/>
            </w:r>
            <w:r w:rsidR="009124C3">
              <w:rPr>
                <w:noProof/>
                <w:webHidden/>
              </w:rPr>
              <w:instrText xml:space="preserve"> PAGEREF _Toc151731823 \h </w:instrText>
            </w:r>
            <w:r w:rsidR="009124C3">
              <w:rPr>
                <w:noProof/>
                <w:webHidden/>
              </w:rPr>
            </w:r>
            <w:r w:rsidR="009124C3">
              <w:rPr>
                <w:noProof/>
                <w:webHidden/>
              </w:rPr>
              <w:fldChar w:fldCharType="separate"/>
            </w:r>
            <w:r w:rsidR="009124C3">
              <w:rPr>
                <w:noProof/>
                <w:webHidden/>
              </w:rPr>
              <w:t>9</w:t>
            </w:r>
            <w:r w:rsidR="009124C3">
              <w:rPr>
                <w:noProof/>
                <w:webHidden/>
              </w:rPr>
              <w:fldChar w:fldCharType="end"/>
            </w:r>
          </w:hyperlink>
        </w:p>
        <w:p w14:paraId="21A11DBB" w14:textId="542992C3" w:rsidR="009124C3" w:rsidRDefault="007C08CF">
          <w:pPr>
            <w:pStyle w:val="TOC2"/>
            <w:tabs>
              <w:tab w:val="right" w:leader="dot" w:pos="9350"/>
            </w:tabs>
            <w:rPr>
              <w:rFonts w:asciiTheme="minorHAnsi" w:eastAsiaTheme="minorEastAsia" w:hAnsiTheme="minorHAnsi"/>
              <w:noProof/>
              <w:color w:val="auto"/>
              <w:sz w:val="22"/>
              <w:lang w:val="en-US"/>
            </w:rPr>
          </w:pPr>
          <w:hyperlink w:anchor="_Toc151731824" w:history="1">
            <w:r w:rsidR="009124C3" w:rsidRPr="00926580">
              <w:rPr>
                <w:rStyle w:val="Hyperlink"/>
                <w:noProof/>
                <w:lang w:bidi="th-TH"/>
              </w:rPr>
              <w:t xml:space="preserve">Calculation of Several financial ratios of Sweets plc </w:t>
            </w:r>
            <w:r w:rsidR="009124C3" w:rsidRPr="00926580">
              <w:rPr>
                <w:rStyle w:val="Hyperlink"/>
                <w:rFonts w:eastAsia="Times New Roman"/>
                <w:noProof/>
                <w:lang w:bidi="th-TH"/>
              </w:rPr>
              <w:t>for the years 2022 and 2021</w:t>
            </w:r>
            <w:r w:rsidR="009124C3">
              <w:rPr>
                <w:noProof/>
                <w:webHidden/>
              </w:rPr>
              <w:tab/>
            </w:r>
            <w:r w:rsidR="009124C3">
              <w:rPr>
                <w:noProof/>
                <w:webHidden/>
              </w:rPr>
              <w:fldChar w:fldCharType="begin"/>
            </w:r>
            <w:r w:rsidR="009124C3">
              <w:rPr>
                <w:noProof/>
                <w:webHidden/>
              </w:rPr>
              <w:instrText xml:space="preserve"> PAGEREF _Toc151731824 \h </w:instrText>
            </w:r>
            <w:r w:rsidR="009124C3">
              <w:rPr>
                <w:noProof/>
                <w:webHidden/>
              </w:rPr>
            </w:r>
            <w:r w:rsidR="009124C3">
              <w:rPr>
                <w:noProof/>
                <w:webHidden/>
              </w:rPr>
              <w:fldChar w:fldCharType="separate"/>
            </w:r>
            <w:r w:rsidR="009124C3">
              <w:rPr>
                <w:noProof/>
                <w:webHidden/>
              </w:rPr>
              <w:t>9</w:t>
            </w:r>
            <w:r w:rsidR="009124C3">
              <w:rPr>
                <w:noProof/>
                <w:webHidden/>
              </w:rPr>
              <w:fldChar w:fldCharType="end"/>
            </w:r>
          </w:hyperlink>
        </w:p>
        <w:p w14:paraId="3CFE548B" w14:textId="17DAE48F" w:rsidR="009124C3" w:rsidRDefault="007C08CF">
          <w:pPr>
            <w:pStyle w:val="TOC2"/>
            <w:tabs>
              <w:tab w:val="right" w:leader="dot" w:pos="9350"/>
            </w:tabs>
            <w:rPr>
              <w:rFonts w:asciiTheme="minorHAnsi" w:eastAsiaTheme="minorEastAsia" w:hAnsiTheme="minorHAnsi"/>
              <w:noProof/>
              <w:color w:val="auto"/>
              <w:sz w:val="22"/>
              <w:lang w:val="en-US"/>
            </w:rPr>
          </w:pPr>
          <w:hyperlink w:anchor="_Toc151731825" w:history="1">
            <w:r w:rsidR="009124C3" w:rsidRPr="00926580">
              <w:rPr>
                <w:rStyle w:val="Hyperlink"/>
                <w:noProof/>
                <w:lang w:val="en-US" w:bidi="th-TH"/>
              </w:rPr>
              <w:t>Interpretation of the prepared financial ratios for the respective business entity Sweets Plc for the year 2022 and 2021</w:t>
            </w:r>
            <w:r w:rsidR="009124C3">
              <w:rPr>
                <w:noProof/>
                <w:webHidden/>
              </w:rPr>
              <w:tab/>
            </w:r>
            <w:r w:rsidR="009124C3">
              <w:rPr>
                <w:noProof/>
                <w:webHidden/>
              </w:rPr>
              <w:fldChar w:fldCharType="begin"/>
            </w:r>
            <w:r w:rsidR="009124C3">
              <w:rPr>
                <w:noProof/>
                <w:webHidden/>
              </w:rPr>
              <w:instrText xml:space="preserve"> PAGEREF _Toc151731825 \h </w:instrText>
            </w:r>
            <w:r w:rsidR="009124C3">
              <w:rPr>
                <w:noProof/>
                <w:webHidden/>
              </w:rPr>
            </w:r>
            <w:r w:rsidR="009124C3">
              <w:rPr>
                <w:noProof/>
                <w:webHidden/>
              </w:rPr>
              <w:fldChar w:fldCharType="separate"/>
            </w:r>
            <w:r w:rsidR="009124C3">
              <w:rPr>
                <w:noProof/>
                <w:webHidden/>
              </w:rPr>
              <w:t>12</w:t>
            </w:r>
            <w:r w:rsidR="009124C3">
              <w:rPr>
                <w:noProof/>
                <w:webHidden/>
              </w:rPr>
              <w:fldChar w:fldCharType="end"/>
            </w:r>
          </w:hyperlink>
        </w:p>
        <w:p w14:paraId="03FE2886" w14:textId="5832D6A0" w:rsidR="009124C3" w:rsidRDefault="007C08CF">
          <w:pPr>
            <w:pStyle w:val="TOC1"/>
            <w:tabs>
              <w:tab w:val="right" w:leader="dot" w:pos="9350"/>
            </w:tabs>
            <w:rPr>
              <w:rFonts w:asciiTheme="minorHAnsi" w:eastAsiaTheme="minorEastAsia" w:hAnsiTheme="minorHAnsi"/>
              <w:noProof/>
              <w:color w:val="auto"/>
              <w:sz w:val="22"/>
              <w:lang w:val="en-US"/>
            </w:rPr>
          </w:pPr>
          <w:hyperlink w:anchor="_Toc151731826" w:history="1">
            <w:r w:rsidR="009124C3" w:rsidRPr="00926580">
              <w:rPr>
                <w:rStyle w:val="Hyperlink"/>
                <w:noProof/>
                <w:lang w:bidi="th-TH"/>
              </w:rPr>
              <w:t>Conclusion</w:t>
            </w:r>
            <w:r w:rsidR="009124C3">
              <w:rPr>
                <w:noProof/>
                <w:webHidden/>
              </w:rPr>
              <w:tab/>
            </w:r>
            <w:r w:rsidR="009124C3">
              <w:rPr>
                <w:noProof/>
                <w:webHidden/>
              </w:rPr>
              <w:fldChar w:fldCharType="begin"/>
            </w:r>
            <w:r w:rsidR="009124C3">
              <w:rPr>
                <w:noProof/>
                <w:webHidden/>
              </w:rPr>
              <w:instrText xml:space="preserve"> PAGEREF _Toc151731826 \h </w:instrText>
            </w:r>
            <w:r w:rsidR="009124C3">
              <w:rPr>
                <w:noProof/>
                <w:webHidden/>
              </w:rPr>
            </w:r>
            <w:r w:rsidR="009124C3">
              <w:rPr>
                <w:noProof/>
                <w:webHidden/>
              </w:rPr>
              <w:fldChar w:fldCharType="separate"/>
            </w:r>
            <w:r w:rsidR="009124C3">
              <w:rPr>
                <w:noProof/>
                <w:webHidden/>
              </w:rPr>
              <w:t>19</w:t>
            </w:r>
            <w:r w:rsidR="009124C3">
              <w:rPr>
                <w:noProof/>
                <w:webHidden/>
              </w:rPr>
              <w:fldChar w:fldCharType="end"/>
            </w:r>
          </w:hyperlink>
        </w:p>
        <w:p w14:paraId="48654FDB" w14:textId="5BB40E6F" w:rsidR="009124C3" w:rsidRDefault="007C08CF">
          <w:pPr>
            <w:pStyle w:val="TOC1"/>
            <w:tabs>
              <w:tab w:val="right" w:leader="dot" w:pos="9350"/>
            </w:tabs>
            <w:rPr>
              <w:rFonts w:asciiTheme="minorHAnsi" w:eastAsiaTheme="minorEastAsia" w:hAnsiTheme="minorHAnsi"/>
              <w:noProof/>
              <w:color w:val="auto"/>
              <w:sz w:val="22"/>
              <w:lang w:val="en-US"/>
            </w:rPr>
          </w:pPr>
          <w:hyperlink w:anchor="_Toc151731827" w:history="1">
            <w:r w:rsidR="009124C3" w:rsidRPr="00926580">
              <w:rPr>
                <w:rStyle w:val="Hyperlink"/>
                <w:noProof/>
                <w:lang w:val="en-US" w:bidi="th-TH"/>
              </w:rPr>
              <w:t>References</w:t>
            </w:r>
            <w:r w:rsidR="009124C3">
              <w:rPr>
                <w:noProof/>
                <w:webHidden/>
              </w:rPr>
              <w:tab/>
            </w:r>
            <w:r w:rsidR="009124C3">
              <w:rPr>
                <w:noProof/>
                <w:webHidden/>
              </w:rPr>
              <w:fldChar w:fldCharType="begin"/>
            </w:r>
            <w:r w:rsidR="009124C3">
              <w:rPr>
                <w:noProof/>
                <w:webHidden/>
              </w:rPr>
              <w:instrText xml:space="preserve"> PAGEREF _Toc151731827 \h </w:instrText>
            </w:r>
            <w:r w:rsidR="009124C3">
              <w:rPr>
                <w:noProof/>
                <w:webHidden/>
              </w:rPr>
            </w:r>
            <w:r w:rsidR="009124C3">
              <w:rPr>
                <w:noProof/>
                <w:webHidden/>
              </w:rPr>
              <w:fldChar w:fldCharType="separate"/>
            </w:r>
            <w:r w:rsidR="009124C3">
              <w:rPr>
                <w:noProof/>
                <w:webHidden/>
              </w:rPr>
              <w:t>20</w:t>
            </w:r>
            <w:r w:rsidR="009124C3">
              <w:rPr>
                <w:noProof/>
                <w:webHidden/>
              </w:rPr>
              <w:fldChar w:fldCharType="end"/>
            </w:r>
          </w:hyperlink>
        </w:p>
        <w:p w14:paraId="2312C955" w14:textId="71B560B8" w:rsidR="005229E7" w:rsidRDefault="005229E7">
          <w:r>
            <w:rPr>
              <w:b/>
              <w:bCs/>
              <w:noProof/>
            </w:rPr>
            <w:fldChar w:fldCharType="end"/>
          </w:r>
        </w:p>
      </w:sdtContent>
    </w:sdt>
    <w:p w14:paraId="67724936" w14:textId="77777777" w:rsidR="00E52F63" w:rsidRPr="00E52F63" w:rsidRDefault="00E52F63" w:rsidP="005229E7"/>
    <w:p w14:paraId="61AE41A4" w14:textId="77777777" w:rsidR="00E52F63" w:rsidRDefault="007C08CF">
      <w:pPr>
        <w:spacing w:line="259" w:lineRule="auto"/>
        <w:jc w:val="left"/>
        <w:rPr>
          <w:b/>
          <w:bCs/>
          <w:sz w:val="56"/>
          <w:szCs w:val="38"/>
          <w:lang w:val="en-US"/>
        </w:rPr>
      </w:pPr>
      <w:r>
        <w:rPr>
          <w:b/>
          <w:bCs/>
          <w:sz w:val="56"/>
          <w:szCs w:val="38"/>
          <w:lang w:val="en-US"/>
        </w:rPr>
        <w:br w:type="page"/>
      </w:r>
    </w:p>
    <w:p w14:paraId="26505B38" w14:textId="2B04CC85" w:rsidR="00E52F63" w:rsidRDefault="007C08CF" w:rsidP="00E52F63">
      <w:pPr>
        <w:pStyle w:val="Heading1"/>
        <w:rPr>
          <w:lang w:val="en-US"/>
        </w:rPr>
      </w:pPr>
      <w:bookmarkStart w:id="0" w:name="_Toc151731820"/>
      <w:r>
        <w:rPr>
          <w:lang w:val="en-US"/>
        </w:rPr>
        <w:t>Introduction</w:t>
      </w:r>
      <w:bookmarkEnd w:id="0"/>
    </w:p>
    <w:p w14:paraId="06A9D212" w14:textId="4E0C9688" w:rsidR="00C85AA7" w:rsidRDefault="007C08CF" w:rsidP="00C85AA7">
      <w:pPr>
        <w:rPr>
          <w:lang w:val="en-US" w:bidi="th-TH"/>
        </w:rPr>
      </w:pPr>
      <w:r w:rsidRPr="00C85AA7">
        <w:rPr>
          <w:lang w:val="en-US" w:bidi="th-TH"/>
        </w:rPr>
        <w:t xml:space="preserve">Accounting principles cover a wide range of duties associated with handling financial transactions, keeping track of entries, and producing financial documentation for a specific fiscal year. Keeping track of </w:t>
      </w:r>
      <w:r w:rsidRPr="00C85AA7">
        <w:rPr>
          <w:lang w:val="en-US" w:bidi="th-TH"/>
        </w:rPr>
        <w:t>every business account's balance is another aspect of this process. The balance sheet and income statements of the business will be thoroughly examined in the upcoming report, giving readers a clear picture of its financial situation. It seeks to provide insight into the company</w:t>
      </w:r>
      <w:r>
        <w:rPr>
          <w:lang w:val="en-US" w:bidi="th-TH"/>
        </w:rPr>
        <w:t>’</w:t>
      </w:r>
      <w:r w:rsidRPr="00C85AA7">
        <w:rPr>
          <w:lang w:val="en-US" w:bidi="th-TH"/>
        </w:rPr>
        <w:t>s financial health and present plans for maintaining peak performance for the duration of the fiscal year. The report will also examine how different financial ratios are calculated, providing information on the effectiveness and su</w:t>
      </w:r>
      <w:r w:rsidRPr="00C85AA7">
        <w:rPr>
          <w:lang w:val="en-US" w:bidi="th-TH"/>
        </w:rPr>
        <w:t>ccess of the business.</w:t>
      </w:r>
    </w:p>
    <w:p w14:paraId="53F7ABE8" w14:textId="77777777" w:rsidR="00C85AA7" w:rsidRDefault="007C08CF">
      <w:pPr>
        <w:spacing w:line="259" w:lineRule="auto"/>
        <w:jc w:val="left"/>
        <w:rPr>
          <w:lang w:val="en-US" w:bidi="th-TH"/>
        </w:rPr>
      </w:pPr>
      <w:r>
        <w:rPr>
          <w:lang w:val="en-US" w:bidi="th-TH"/>
        </w:rPr>
        <w:br w:type="page"/>
      </w:r>
    </w:p>
    <w:p w14:paraId="54E771FB" w14:textId="2A638EF4" w:rsidR="00C85AA7" w:rsidRDefault="007C08CF" w:rsidP="00565248">
      <w:pPr>
        <w:pStyle w:val="Heading1"/>
        <w:rPr>
          <w:lang w:val="en-US"/>
        </w:rPr>
      </w:pPr>
      <w:bookmarkStart w:id="1" w:name="_Toc151731821"/>
      <w:r>
        <w:rPr>
          <w:lang w:val="en-US"/>
        </w:rPr>
        <w:t xml:space="preserve">Question 1- Commenting on the </w:t>
      </w:r>
      <w:proofErr w:type="gramStart"/>
      <w:r>
        <w:rPr>
          <w:lang w:val="en-US"/>
        </w:rPr>
        <w:t>statements</w:t>
      </w:r>
      <w:bookmarkEnd w:id="1"/>
      <w:proofErr w:type="gramEnd"/>
    </w:p>
    <w:p w14:paraId="0F3BF1A7" w14:textId="3CC68478" w:rsidR="00565248" w:rsidRDefault="007C08CF" w:rsidP="00565248">
      <w:pPr>
        <w:rPr>
          <w:b/>
          <w:bCs/>
          <w:i/>
          <w:iCs/>
          <w:u w:val="single"/>
          <w:lang w:val="en-US"/>
        </w:rPr>
      </w:pPr>
      <w:r>
        <w:rPr>
          <w:b/>
          <w:bCs/>
          <w:i/>
          <w:iCs/>
          <w:u w:val="single"/>
          <w:lang w:val="en-US"/>
        </w:rPr>
        <w:t>For statement 1:</w:t>
      </w:r>
    </w:p>
    <w:p w14:paraId="28E8DAF9" w14:textId="3A9FE13D" w:rsidR="00565248" w:rsidRPr="00A15B77" w:rsidRDefault="007C08CF" w:rsidP="00565248">
      <w:pPr>
        <w:rPr>
          <w:shd w:val="clear" w:color="auto" w:fill="FFFFFF"/>
        </w:rPr>
      </w:pPr>
      <w:r w:rsidRPr="003C6180">
        <w:t>The cash flow information for an accounting period is not expressly displayed on the balance sheet, also called the statement of financial position</w:t>
      </w:r>
      <w:r w:rsidR="00A15B77">
        <w:t xml:space="preserve"> </w:t>
      </w:r>
      <w:r w:rsidR="00A15B77">
        <w:rPr>
          <w:shd w:val="clear" w:color="auto" w:fill="FFFFFF"/>
        </w:rPr>
        <w:t>(</w:t>
      </w:r>
      <w:proofErr w:type="spellStart"/>
      <w:r w:rsidR="00A15B77">
        <w:rPr>
          <w:shd w:val="clear" w:color="auto" w:fill="FFFFFF"/>
        </w:rPr>
        <w:t>Fridson</w:t>
      </w:r>
      <w:proofErr w:type="spellEnd"/>
      <w:r w:rsidR="00A15B77">
        <w:rPr>
          <w:shd w:val="clear" w:color="auto" w:fill="FFFFFF"/>
        </w:rPr>
        <w:t xml:space="preserve"> and Alvarez, 2022)</w:t>
      </w:r>
      <w:r w:rsidRPr="003C6180">
        <w:t>. Rather, it offers an overview of the company</w:t>
      </w:r>
      <w:r w:rsidR="003256FB">
        <w:t>’</w:t>
      </w:r>
      <w:r w:rsidRPr="003C6180">
        <w:t>s equity, liabilities, and assets as of a particular date. A separate financial statement that lists cash inflows and outflows is the statement of cash flows, which is usually used when analysing cash movements.</w:t>
      </w:r>
    </w:p>
    <w:p w14:paraId="60306DD0" w14:textId="16444739" w:rsidR="00565248" w:rsidRDefault="007C08CF" w:rsidP="00565248">
      <w:pPr>
        <w:rPr>
          <w:b/>
          <w:bCs/>
          <w:i/>
          <w:iCs/>
          <w:u w:val="single"/>
          <w:lang w:val="en-US"/>
        </w:rPr>
      </w:pPr>
      <w:r>
        <w:rPr>
          <w:b/>
          <w:bCs/>
          <w:i/>
          <w:iCs/>
          <w:u w:val="single"/>
          <w:lang w:val="en-US"/>
        </w:rPr>
        <w:t>For statement 2:</w:t>
      </w:r>
    </w:p>
    <w:p w14:paraId="280F8FDF" w14:textId="7339ABA5" w:rsidR="003D0025" w:rsidRPr="00A15B77" w:rsidRDefault="007C08CF" w:rsidP="00565248">
      <w:pPr>
        <w:rPr>
          <w:shd w:val="clear" w:color="auto" w:fill="FFFFFF"/>
        </w:rPr>
      </w:pPr>
      <w:r w:rsidRPr="00152E52">
        <w:t>Property and machinery are examples of assets that have a useful life longer than a year. These are known as non-current assets. The phrase non-current refers more to their extended usable life than to their immobility, even though they are usually set in place</w:t>
      </w:r>
      <w:r w:rsidR="00A15B77">
        <w:t xml:space="preserve"> </w:t>
      </w:r>
      <w:r w:rsidR="00A15B77">
        <w:rPr>
          <w:shd w:val="clear" w:color="auto" w:fill="FFFFFF"/>
        </w:rPr>
        <w:t>(</w:t>
      </w:r>
      <w:proofErr w:type="spellStart"/>
      <w:r w:rsidR="00A15B77">
        <w:rPr>
          <w:shd w:val="clear" w:color="auto" w:fill="FFFFFF"/>
        </w:rPr>
        <w:t>Fridson</w:t>
      </w:r>
      <w:proofErr w:type="spellEnd"/>
      <w:r w:rsidR="00A15B77">
        <w:rPr>
          <w:shd w:val="clear" w:color="auto" w:fill="FFFFFF"/>
        </w:rPr>
        <w:t xml:space="preserve"> and Alvarez, 2022)</w:t>
      </w:r>
      <w:r w:rsidRPr="00152E52">
        <w:t>. Patents and trademarks, for example, are examples of assets that are deemed non-current even when they are not physically moveable.</w:t>
      </w:r>
    </w:p>
    <w:p w14:paraId="7A616F90" w14:textId="1B449EDD" w:rsidR="00565248" w:rsidRDefault="007C08CF" w:rsidP="00565248">
      <w:pPr>
        <w:rPr>
          <w:b/>
          <w:bCs/>
          <w:i/>
          <w:iCs/>
          <w:u w:val="single"/>
          <w:lang w:val="en-US"/>
        </w:rPr>
      </w:pPr>
      <w:r>
        <w:rPr>
          <w:b/>
          <w:bCs/>
          <w:i/>
          <w:iCs/>
          <w:u w:val="single"/>
          <w:lang w:val="en-US"/>
        </w:rPr>
        <w:t>For statement 3:</w:t>
      </w:r>
    </w:p>
    <w:p w14:paraId="3A696591" w14:textId="5869D666" w:rsidR="008C31ED" w:rsidRPr="008C31ED" w:rsidRDefault="007C08CF" w:rsidP="00565248">
      <w:r w:rsidRPr="00644727">
        <w:t xml:space="preserve">All shareholders, not just the present ones, </w:t>
      </w:r>
      <w:r w:rsidRPr="00644727">
        <w:t>must receive financial information from managers. Current and prospective shareholders depend on this data to help them make wise investment decisions. To ensure that all parties involved have access to pertinent financial information and to preserve confidence, transparency is essential.</w:t>
      </w:r>
    </w:p>
    <w:p w14:paraId="3EA53F9F" w14:textId="44915B32" w:rsidR="00565248" w:rsidRDefault="007C08CF" w:rsidP="00565248">
      <w:pPr>
        <w:rPr>
          <w:b/>
          <w:bCs/>
          <w:i/>
          <w:iCs/>
          <w:u w:val="single"/>
          <w:lang w:val="en-US"/>
        </w:rPr>
      </w:pPr>
      <w:r>
        <w:rPr>
          <w:b/>
          <w:bCs/>
          <w:i/>
          <w:iCs/>
          <w:u w:val="single"/>
          <w:lang w:val="en-US"/>
        </w:rPr>
        <w:t>For statement 4:</w:t>
      </w:r>
    </w:p>
    <w:p w14:paraId="6E6A1140" w14:textId="75891970" w:rsidR="00644727" w:rsidRPr="00344074" w:rsidRDefault="007C08CF" w:rsidP="00565248">
      <w:r w:rsidRPr="00850CFC">
        <w:rPr>
          <w:lang w:val="en-US"/>
        </w:rPr>
        <w:t>Accurate financial reporting requires both accruals and payments to be made. They reflect future economic advantages and responsibilities, therefore leaving them out of the statement of financial position would result in an incomplete picture of a company</w:t>
      </w:r>
      <w:r>
        <w:rPr>
          <w:lang w:val="en-US"/>
        </w:rPr>
        <w:t>’</w:t>
      </w:r>
      <w:r w:rsidRPr="00850CFC">
        <w:rPr>
          <w:lang w:val="en-US"/>
        </w:rPr>
        <w:t>s financial situation</w:t>
      </w:r>
      <w:r w:rsidR="00344074">
        <w:rPr>
          <w:lang w:val="en-US"/>
        </w:rPr>
        <w:t xml:space="preserve"> </w:t>
      </w:r>
      <w:r w:rsidR="00344074">
        <w:rPr>
          <w:shd w:val="clear" w:color="auto" w:fill="FFFFFF"/>
        </w:rPr>
        <w:t xml:space="preserve">(Lee </w:t>
      </w:r>
      <w:r w:rsidR="00344074">
        <w:rPr>
          <w:i/>
          <w:iCs/>
          <w:shd w:val="clear" w:color="auto" w:fill="FFFFFF"/>
        </w:rPr>
        <w:t xml:space="preserve">et al., </w:t>
      </w:r>
      <w:r w:rsidR="00344074">
        <w:rPr>
          <w:shd w:val="clear" w:color="auto" w:fill="FFFFFF"/>
        </w:rPr>
        <w:t>2022)</w:t>
      </w:r>
      <w:r w:rsidRPr="00850CFC">
        <w:rPr>
          <w:lang w:val="en-US"/>
        </w:rPr>
        <w:t>.</w:t>
      </w:r>
    </w:p>
    <w:p w14:paraId="01F8A13B" w14:textId="6266CFD6" w:rsidR="00565248" w:rsidRDefault="007C08CF" w:rsidP="00565248">
      <w:pPr>
        <w:rPr>
          <w:b/>
          <w:bCs/>
          <w:i/>
          <w:iCs/>
          <w:u w:val="single"/>
          <w:lang w:val="en-US"/>
        </w:rPr>
      </w:pPr>
      <w:r>
        <w:rPr>
          <w:b/>
          <w:bCs/>
          <w:i/>
          <w:iCs/>
          <w:u w:val="single"/>
          <w:lang w:val="en-US"/>
        </w:rPr>
        <w:t>For statement 5:</w:t>
      </w:r>
    </w:p>
    <w:p w14:paraId="35967DD4" w14:textId="075E609D" w:rsidR="00517A19" w:rsidRPr="00517A19" w:rsidRDefault="007C08CF" w:rsidP="00565248">
      <w:r w:rsidRPr="00174F39">
        <w:t>For financial statements to be accurate and reliable, regulations are essential. Accounting standards are one example of a regulatory framework that exists to support accountability, comparability, and transparency in financial reporting. Financial data could be inconsistent and untrustworthy in the absence of restrictions.</w:t>
      </w:r>
    </w:p>
    <w:p w14:paraId="43F85CBA" w14:textId="53311C31" w:rsidR="00565248" w:rsidRPr="00565248" w:rsidRDefault="007C08CF" w:rsidP="00565248">
      <w:pPr>
        <w:rPr>
          <w:b/>
          <w:bCs/>
          <w:i/>
          <w:iCs/>
          <w:u w:val="single"/>
          <w:lang w:val="en-US"/>
        </w:rPr>
      </w:pPr>
      <w:r>
        <w:rPr>
          <w:b/>
          <w:bCs/>
          <w:i/>
          <w:iCs/>
          <w:u w:val="single"/>
          <w:lang w:val="en-US"/>
        </w:rPr>
        <w:t>For statement 6:</w:t>
      </w:r>
    </w:p>
    <w:p w14:paraId="084E68B5" w14:textId="28B49B79" w:rsidR="00565248" w:rsidRPr="00344074" w:rsidRDefault="007C08CF" w:rsidP="00565248">
      <w:r w:rsidRPr="002B45C0">
        <w:rPr>
          <w:lang w:val="en-US" w:bidi="th-TH"/>
        </w:rPr>
        <w:t>An important part of accounting is keeping the trial balance and ledger accounts balanced. This guarantees financial statements</w:t>
      </w:r>
      <w:r>
        <w:rPr>
          <w:lang w:val="en-US" w:bidi="th-TH"/>
        </w:rPr>
        <w:t>’</w:t>
      </w:r>
      <w:r w:rsidRPr="002B45C0">
        <w:rPr>
          <w:lang w:val="en-US" w:bidi="th-TH"/>
        </w:rPr>
        <w:t xml:space="preserve"> dependability and accuracy</w:t>
      </w:r>
      <w:r w:rsidR="00344074">
        <w:rPr>
          <w:lang w:val="en-US" w:bidi="th-TH"/>
        </w:rPr>
        <w:t xml:space="preserve"> </w:t>
      </w:r>
      <w:r w:rsidR="00344074">
        <w:rPr>
          <w:shd w:val="clear" w:color="auto" w:fill="FFFFFF"/>
        </w:rPr>
        <w:t xml:space="preserve">(Lee </w:t>
      </w:r>
      <w:r w:rsidR="00344074">
        <w:rPr>
          <w:i/>
          <w:iCs/>
          <w:shd w:val="clear" w:color="auto" w:fill="FFFFFF"/>
        </w:rPr>
        <w:t xml:space="preserve">et al., </w:t>
      </w:r>
      <w:r w:rsidR="00344074">
        <w:rPr>
          <w:shd w:val="clear" w:color="auto" w:fill="FFFFFF"/>
        </w:rPr>
        <w:t>2022)</w:t>
      </w:r>
      <w:r w:rsidRPr="002B45C0">
        <w:rPr>
          <w:lang w:val="en-US" w:bidi="th-TH"/>
        </w:rPr>
        <w:t>. The probability of errors in financial reporting is decreased when there is a balanced trial balance, which shows that debits and credits are equal. The overall financial image given to stakeholders may be impacted by errors in the final financial statements resulting from a failure to balance the trial balance and accounts.</w:t>
      </w:r>
    </w:p>
    <w:p w14:paraId="3BECBDE1" w14:textId="0B3EBB03" w:rsidR="00471CC9" w:rsidRDefault="007C08CF">
      <w:pPr>
        <w:spacing w:line="259" w:lineRule="auto"/>
        <w:jc w:val="left"/>
        <w:rPr>
          <w:lang w:val="en-US" w:bidi="th-TH"/>
        </w:rPr>
      </w:pPr>
      <w:r>
        <w:rPr>
          <w:lang w:val="en-US" w:bidi="th-TH"/>
        </w:rPr>
        <w:br w:type="page"/>
      </w:r>
    </w:p>
    <w:p w14:paraId="119CC95A" w14:textId="07727801" w:rsidR="007B73B1" w:rsidRPr="00E2475B" w:rsidRDefault="007C08CF" w:rsidP="00E2475B">
      <w:pPr>
        <w:pStyle w:val="Heading1"/>
      </w:pPr>
      <w:bookmarkStart w:id="2" w:name="_Toc112082921"/>
      <w:bookmarkStart w:id="3" w:name="_Toc151731822"/>
      <w:r>
        <w:t xml:space="preserve">Question 2: </w:t>
      </w:r>
      <w:bookmarkEnd w:id="2"/>
      <w:r w:rsidR="00185191">
        <w:t>Preparing</w:t>
      </w:r>
      <w:r w:rsidR="006514C8" w:rsidRPr="006514C8">
        <w:t xml:space="preserve"> and </w:t>
      </w:r>
      <w:r w:rsidR="00185191">
        <w:t>evaluating</w:t>
      </w:r>
      <w:r w:rsidR="006514C8" w:rsidRPr="006514C8">
        <w:t xml:space="preserve"> </w:t>
      </w:r>
      <w:r w:rsidR="00185191">
        <w:t xml:space="preserve">the </w:t>
      </w:r>
      <w:r w:rsidR="006514C8" w:rsidRPr="006514C8">
        <w:t xml:space="preserve">income </w:t>
      </w:r>
      <w:proofErr w:type="gramStart"/>
      <w:r w:rsidR="006514C8" w:rsidRPr="006514C8">
        <w:t>statement</w:t>
      </w:r>
      <w:bookmarkEnd w:id="3"/>
      <w:proofErr w:type="gramEnd"/>
      <w:r w:rsidR="006514C8" w:rsidRPr="006514C8">
        <w:t xml:space="preserve">   </w:t>
      </w:r>
    </w:p>
    <w:p w14:paraId="6751885F" w14:textId="3DE9889E" w:rsidR="00E2475B" w:rsidRPr="00E2475B" w:rsidRDefault="007C08CF" w:rsidP="00E2475B">
      <w:pPr>
        <w:jc w:val="center"/>
        <w:rPr>
          <w:i/>
          <w:iCs/>
        </w:rPr>
      </w:pPr>
      <w:bookmarkStart w:id="4" w:name="_Toc112082922"/>
      <w:r w:rsidRPr="00E2475B">
        <w:rPr>
          <w:i/>
          <w:iCs/>
        </w:rPr>
        <w:t>Preparation of income statement of Wales plc</w:t>
      </w:r>
    </w:p>
    <w:p w14:paraId="46E542F5" w14:textId="121DEDBB" w:rsidR="007B73B1" w:rsidRDefault="007C08CF" w:rsidP="00E2475B">
      <w:pPr>
        <w:jc w:val="center"/>
        <w:rPr>
          <w:i/>
          <w:iCs/>
        </w:rPr>
      </w:pPr>
      <w:r w:rsidRPr="00E2475B">
        <w:rPr>
          <w:i/>
          <w:iCs/>
        </w:rPr>
        <w:t>for the year ended 31st December 202</w:t>
      </w:r>
      <w:bookmarkEnd w:id="4"/>
      <w:r w:rsidR="00E2475B">
        <w:rPr>
          <w:i/>
          <w:iCs/>
        </w:rPr>
        <w:t>2</w:t>
      </w:r>
    </w:p>
    <w:tbl>
      <w:tblPr>
        <w:tblW w:w="6360" w:type="dxa"/>
        <w:jc w:val="center"/>
        <w:tblLook w:val="04A0" w:firstRow="1" w:lastRow="0" w:firstColumn="1" w:lastColumn="0" w:noHBand="0" w:noVBand="1"/>
      </w:tblPr>
      <w:tblGrid>
        <w:gridCol w:w="2760"/>
        <w:gridCol w:w="2300"/>
        <w:gridCol w:w="1300"/>
      </w:tblGrid>
      <w:tr w:rsidR="00F16806" w14:paraId="1AA48EF3" w14:textId="77777777" w:rsidTr="007D7EB2">
        <w:trPr>
          <w:trHeight w:val="300"/>
          <w:jc w:val="center"/>
        </w:trPr>
        <w:tc>
          <w:tcPr>
            <w:tcW w:w="2760" w:type="dxa"/>
            <w:tcBorders>
              <w:top w:val="single" w:sz="4" w:space="0" w:color="ED7D31"/>
              <w:left w:val="single" w:sz="4" w:space="0" w:color="ED7D31"/>
              <w:bottom w:val="nil"/>
              <w:right w:val="nil"/>
            </w:tcBorders>
            <w:shd w:val="clear" w:color="ED7D31" w:fill="ED7D31"/>
            <w:noWrap/>
            <w:vAlign w:val="bottom"/>
            <w:hideMark/>
          </w:tcPr>
          <w:p w14:paraId="255BD69C" w14:textId="77777777" w:rsidR="007D7EB2" w:rsidRPr="007D7EB2" w:rsidRDefault="007C08CF" w:rsidP="007D7EB2">
            <w:pPr>
              <w:spacing w:after="0" w:line="240" w:lineRule="auto"/>
              <w:jc w:val="left"/>
              <w:rPr>
                <w:rFonts w:ascii="Calibri" w:eastAsia="Times New Roman" w:hAnsi="Calibri" w:cs="Calibri"/>
                <w:b/>
                <w:bCs/>
                <w:color w:val="FFFFFF"/>
                <w:kern w:val="0"/>
                <w:sz w:val="22"/>
                <w:lang w:val="en-US"/>
                <w14:ligatures w14:val="none"/>
              </w:rPr>
            </w:pPr>
            <w:r w:rsidRPr="007D7EB2">
              <w:rPr>
                <w:rFonts w:ascii="Calibri" w:eastAsia="Times New Roman" w:hAnsi="Calibri" w:cs="Calibri"/>
                <w:b/>
                <w:bCs/>
                <w:color w:val="FFFFFF"/>
                <w:kern w:val="0"/>
                <w:sz w:val="22"/>
                <w:lang w:val="en-US"/>
                <w14:ligatures w14:val="none"/>
              </w:rPr>
              <w:t>Particulars</w:t>
            </w:r>
          </w:p>
        </w:tc>
        <w:tc>
          <w:tcPr>
            <w:tcW w:w="2300" w:type="dxa"/>
            <w:tcBorders>
              <w:top w:val="single" w:sz="4" w:space="0" w:color="ED7D31"/>
              <w:left w:val="nil"/>
              <w:bottom w:val="nil"/>
              <w:right w:val="nil"/>
            </w:tcBorders>
            <w:shd w:val="clear" w:color="ED7D31" w:fill="ED7D31"/>
            <w:noWrap/>
            <w:vAlign w:val="bottom"/>
            <w:hideMark/>
          </w:tcPr>
          <w:p w14:paraId="4F44F85C" w14:textId="77777777" w:rsidR="007D7EB2" w:rsidRPr="007D7EB2" w:rsidRDefault="007C08CF" w:rsidP="007D7EB2">
            <w:pPr>
              <w:spacing w:after="0" w:line="240" w:lineRule="auto"/>
              <w:jc w:val="left"/>
              <w:rPr>
                <w:rFonts w:ascii="Calibri" w:eastAsia="Times New Roman" w:hAnsi="Calibri" w:cs="Calibri"/>
                <w:b/>
                <w:bCs/>
                <w:color w:val="FFFFFF"/>
                <w:kern w:val="0"/>
                <w:sz w:val="22"/>
                <w:lang w:val="en-US"/>
                <w14:ligatures w14:val="none"/>
              </w:rPr>
            </w:pPr>
            <w:r w:rsidRPr="007D7EB2">
              <w:rPr>
                <w:rFonts w:ascii="Calibri" w:eastAsia="Times New Roman" w:hAnsi="Calibri" w:cs="Calibri"/>
                <w:b/>
                <w:bCs/>
                <w:color w:val="FFFFFF"/>
                <w:kern w:val="0"/>
                <w:sz w:val="22"/>
                <w:lang w:val="en-US"/>
                <w14:ligatures w14:val="none"/>
              </w:rPr>
              <w:t>Amount</w:t>
            </w:r>
          </w:p>
        </w:tc>
        <w:tc>
          <w:tcPr>
            <w:tcW w:w="1300" w:type="dxa"/>
            <w:tcBorders>
              <w:top w:val="single" w:sz="4" w:space="0" w:color="ED7D31"/>
              <w:left w:val="nil"/>
              <w:bottom w:val="nil"/>
              <w:right w:val="single" w:sz="4" w:space="0" w:color="ED7D31"/>
            </w:tcBorders>
            <w:shd w:val="clear" w:color="ED7D31" w:fill="ED7D31"/>
            <w:noWrap/>
            <w:vAlign w:val="bottom"/>
            <w:hideMark/>
          </w:tcPr>
          <w:p w14:paraId="23F8CB86" w14:textId="77777777" w:rsidR="007D7EB2" w:rsidRPr="007D7EB2" w:rsidRDefault="007C08CF" w:rsidP="007D7EB2">
            <w:pPr>
              <w:spacing w:after="0" w:line="240" w:lineRule="auto"/>
              <w:jc w:val="left"/>
              <w:rPr>
                <w:rFonts w:ascii="Calibri" w:eastAsia="Times New Roman" w:hAnsi="Calibri" w:cs="Calibri"/>
                <w:b/>
                <w:bCs/>
                <w:color w:val="FFFFFF"/>
                <w:kern w:val="0"/>
                <w:sz w:val="22"/>
                <w:lang w:val="en-US"/>
                <w14:ligatures w14:val="none"/>
              </w:rPr>
            </w:pPr>
            <w:r w:rsidRPr="007D7EB2">
              <w:rPr>
                <w:rFonts w:ascii="Calibri" w:eastAsia="Times New Roman" w:hAnsi="Calibri" w:cs="Calibri"/>
                <w:b/>
                <w:bCs/>
                <w:color w:val="FFFFFF"/>
                <w:kern w:val="0"/>
                <w:sz w:val="22"/>
                <w:lang w:val="en-US"/>
                <w14:ligatures w14:val="none"/>
              </w:rPr>
              <w:t xml:space="preserve">Amount </w:t>
            </w:r>
          </w:p>
        </w:tc>
      </w:tr>
      <w:tr w:rsidR="00F16806" w14:paraId="7D5F3CBA" w14:textId="77777777" w:rsidTr="007D7EB2">
        <w:trPr>
          <w:trHeight w:val="300"/>
          <w:jc w:val="center"/>
        </w:trPr>
        <w:tc>
          <w:tcPr>
            <w:tcW w:w="2760" w:type="dxa"/>
            <w:tcBorders>
              <w:top w:val="single" w:sz="4" w:space="0" w:color="ED7D31"/>
              <w:left w:val="single" w:sz="4" w:space="0" w:color="ED7D31"/>
              <w:bottom w:val="nil"/>
              <w:right w:val="nil"/>
            </w:tcBorders>
            <w:shd w:val="clear" w:color="auto" w:fill="auto"/>
            <w:noWrap/>
            <w:vAlign w:val="bottom"/>
            <w:hideMark/>
          </w:tcPr>
          <w:p w14:paraId="360CCDC1" w14:textId="77777777" w:rsidR="007D7EB2" w:rsidRPr="007D7EB2" w:rsidRDefault="007C08CF" w:rsidP="007D7EB2">
            <w:pPr>
              <w:spacing w:after="0" w:line="240" w:lineRule="auto"/>
              <w:jc w:val="left"/>
              <w:rPr>
                <w:rFonts w:ascii="Calibri" w:eastAsia="Times New Roman" w:hAnsi="Calibri" w:cs="Calibri"/>
                <w:color w:val="000000"/>
                <w:kern w:val="0"/>
                <w:sz w:val="22"/>
                <w:lang w:val="en-US"/>
                <w14:ligatures w14:val="none"/>
              </w:rPr>
            </w:pPr>
            <w:r w:rsidRPr="007D7EB2">
              <w:rPr>
                <w:rFonts w:ascii="Calibri" w:eastAsia="Times New Roman" w:hAnsi="Calibri" w:cs="Calibri"/>
                <w:color w:val="000000"/>
                <w:kern w:val="0"/>
                <w:sz w:val="22"/>
                <w:lang w:val="en-US"/>
                <w14:ligatures w14:val="none"/>
              </w:rPr>
              <w:t xml:space="preserve">Sales </w:t>
            </w:r>
          </w:p>
        </w:tc>
        <w:tc>
          <w:tcPr>
            <w:tcW w:w="2300" w:type="dxa"/>
            <w:tcBorders>
              <w:top w:val="single" w:sz="4" w:space="0" w:color="ED7D31"/>
              <w:left w:val="nil"/>
              <w:bottom w:val="nil"/>
              <w:right w:val="nil"/>
            </w:tcBorders>
            <w:shd w:val="clear" w:color="auto" w:fill="auto"/>
            <w:noWrap/>
            <w:vAlign w:val="bottom"/>
            <w:hideMark/>
          </w:tcPr>
          <w:p w14:paraId="243E37E9" w14:textId="77777777" w:rsidR="007D7EB2" w:rsidRPr="007D7EB2" w:rsidRDefault="007D7EB2" w:rsidP="007D7EB2">
            <w:pPr>
              <w:spacing w:after="0" w:line="240" w:lineRule="auto"/>
              <w:jc w:val="left"/>
              <w:rPr>
                <w:rFonts w:ascii="Calibri" w:eastAsia="Times New Roman" w:hAnsi="Calibri" w:cs="Calibri"/>
                <w:color w:val="000000"/>
                <w:kern w:val="0"/>
                <w:sz w:val="22"/>
                <w:lang w:val="en-US"/>
                <w14:ligatures w14:val="none"/>
              </w:rPr>
            </w:pPr>
          </w:p>
        </w:tc>
        <w:tc>
          <w:tcPr>
            <w:tcW w:w="1300" w:type="dxa"/>
            <w:tcBorders>
              <w:top w:val="single" w:sz="4" w:space="0" w:color="ED7D31"/>
              <w:left w:val="nil"/>
              <w:bottom w:val="nil"/>
              <w:right w:val="single" w:sz="4" w:space="0" w:color="ED7D31"/>
            </w:tcBorders>
            <w:shd w:val="clear" w:color="auto" w:fill="auto"/>
            <w:noWrap/>
            <w:vAlign w:val="bottom"/>
            <w:hideMark/>
          </w:tcPr>
          <w:p w14:paraId="01F3B479" w14:textId="77777777" w:rsidR="007D7EB2" w:rsidRPr="007D7EB2" w:rsidRDefault="007C08CF" w:rsidP="007D7EB2">
            <w:pPr>
              <w:spacing w:after="0" w:line="240" w:lineRule="auto"/>
              <w:jc w:val="right"/>
              <w:rPr>
                <w:rFonts w:ascii="Calibri" w:eastAsia="Times New Roman" w:hAnsi="Calibri" w:cs="Calibri"/>
                <w:color w:val="000000"/>
                <w:kern w:val="0"/>
                <w:sz w:val="22"/>
                <w:lang w:val="en-US"/>
                <w14:ligatures w14:val="none"/>
              </w:rPr>
            </w:pPr>
            <w:r w:rsidRPr="007D7EB2">
              <w:rPr>
                <w:rFonts w:ascii="Calibri" w:eastAsia="Times New Roman" w:hAnsi="Calibri" w:cs="Calibri"/>
                <w:color w:val="000000"/>
                <w:kern w:val="0"/>
                <w:sz w:val="22"/>
                <w:lang w:val="en-US"/>
                <w14:ligatures w14:val="none"/>
              </w:rPr>
              <w:t>900000</w:t>
            </w:r>
          </w:p>
        </w:tc>
      </w:tr>
      <w:tr w:rsidR="00F16806" w14:paraId="68EA45E0" w14:textId="77777777" w:rsidTr="007D7EB2">
        <w:trPr>
          <w:trHeight w:val="300"/>
          <w:jc w:val="center"/>
        </w:trPr>
        <w:tc>
          <w:tcPr>
            <w:tcW w:w="2760" w:type="dxa"/>
            <w:tcBorders>
              <w:top w:val="single" w:sz="4" w:space="0" w:color="ED7D31"/>
              <w:left w:val="single" w:sz="4" w:space="0" w:color="ED7D31"/>
              <w:bottom w:val="nil"/>
              <w:right w:val="nil"/>
            </w:tcBorders>
            <w:shd w:val="clear" w:color="auto" w:fill="auto"/>
            <w:noWrap/>
            <w:vAlign w:val="bottom"/>
            <w:hideMark/>
          </w:tcPr>
          <w:p w14:paraId="49A9A34F" w14:textId="77777777" w:rsidR="007D7EB2" w:rsidRPr="007D7EB2" w:rsidRDefault="007C08CF" w:rsidP="007D7EB2">
            <w:pPr>
              <w:spacing w:after="0" w:line="240" w:lineRule="auto"/>
              <w:jc w:val="left"/>
              <w:rPr>
                <w:rFonts w:ascii="Calibri" w:eastAsia="Times New Roman" w:hAnsi="Calibri" w:cs="Calibri"/>
                <w:color w:val="000000"/>
                <w:kern w:val="0"/>
                <w:sz w:val="22"/>
                <w:lang w:val="en-US"/>
                <w14:ligatures w14:val="none"/>
              </w:rPr>
            </w:pPr>
            <w:r w:rsidRPr="007D7EB2">
              <w:rPr>
                <w:rFonts w:ascii="Calibri" w:eastAsia="Times New Roman" w:hAnsi="Calibri" w:cs="Calibri"/>
                <w:color w:val="000000"/>
                <w:kern w:val="0"/>
                <w:sz w:val="22"/>
                <w:lang w:val="en-US"/>
                <w14:ligatures w14:val="none"/>
              </w:rPr>
              <w:t>COGS:</w:t>
            </w:r>
          </w:p>
        </w:tc>
        <w:tc>
          <w:tcPr>
            <w:tcW w:w="2300" w:type="dxa"/>
            <w:tcBorders>
              <w:top w:val="single" w:sz="4" w:space="0" w:color="ED7D31"/>
              <w:left w:val="nil"/>
              <w:bottom w:val="nil"/>
              <w:right w:val="nil"/>
            </w:tcBorders>
            <w:shd w:val="clear" w:color="auto" w:fill="auto"/>
            <w:noWrap/>
            <w:vAlign w:val="bottom"/>
            <w:hideMark/>
          </w:tcPr>
          <w:p w14:paraId="0BEAE24C" w14:textId="77777777" w:rsidR="007D7EB2" w:rsidRPr="007D7EB2" w:rsidRDefault="007D7EB2" w:rsidP="007D7EB2">
            <w:pPr>
              <w:spacing w:after="0" w:line="240" w:lineRule="auto"/>
              <w:jc w:val="left"/>
              <w:rPr>
                <w:rFonts w:ascii="Calibri" w:eastAsia="Times New Roman" w:hAnsi="Calibri" w:cs="Calibri"/>
                <w:color w:val="000000"/>
                <w:kern w:val="0"/>
                <w:sz w:val="22"/>
                <w:lang w:val="en-US"/>
                <w14:ligatures w14:val="none"/>
              </w:rPr>
            </w:pPr>
          </w:p>
        </w:tc>
        <w:tc>
          <w:tcPr>
            <w:tcW w:w="1300" w:type="dxa"/>
            <w:tcBorders>
              <w:top w:val="single" w:sz="4" w:space="0" w:color="ED7D31"/>
              <w:left w:val="nil"/>
              <w:bottom w:val="nil"/>
              <w:right w:val="single" w:sz="4" w:space="0" w:color="ED7D31"/>
            </w:tcBorders>
            <w:shd w:val="clear" w:color="auto" w:fill="auto"/>
            <w:noWrap/>
            <w:vAlign w:val="bottom"/>
            <w:hideMark/>
          </w:tcPr>
          <w:p w14:paraId="4CF833DB" w14:textId="77777777" w:rsidR="007D7EB2" w:rsidRPr="007D7EB2" w:rsidRDefault="007D7EB2" w:rsidP="007D7EB2">
            <w:pPr>
              <w:spacing w:after="0" w:line="240" w:lineRule="auto"/>
              <w:jc w:val="left"/>
              <w:rPr>
                <w:rFonts w:eastAsia="Times New Roman" w:cs="Times New Roman"/>
                <w:color w:val="auto"/>
                <w:kern w:val="0"/>
                <w:sz w:val="20"/>
                <w:szCs w:val="20"/>
                <w:lang w:val="en-US"/>
                <w14:ligatures w14:val="none"/>
              </w:rPr>
            </w:pPr>
          </w:p>
        </w:tc>
      </w:tr>
      <w:tr w:rsidR="00F16806" w14:paraId="4CEC19C8" w14:textId="77777777" w:rsidTr="007D7EB2">
        <w:trPr>
          <w:trHeight w:val="300"/>
          <w:jc w:val="center"/>
        </w:trPr>
        <w:tc>
          <w:tcPr>
            <w:tcW w:w="2760" w:type="dxa"/>
            <w:tcBorders>
              <w:top w:val="single" w:sz="4" w:space="0" w:color="ED7D31"/>
              <w:left w:val="single" w:sz="4" w:space="0" w:color="ED7D31"/>
              <w:bottom w:val="nil"/>
              <w:right w:val="nil"/>
            </w:tcBorders>
            <w:shd w:val="clear" w:color="auto" w:fill="auto"/>
            <w:noWrap/>
            <w:vAlign w:val="bottom"/>
            <w:hideMark/>
          </w:tcPr>
          <w:p w14:paraId="7E87A319" w14:textId="77777777" w:rsidR="007D7EB2" w:rsidRPr="007D7EB2" w:rsidRDefault="007C08CF" w:rsidP="007D7EB2">
            <w:pPr>
              <w:spacing w:after="0" w:line="240" w:lineRule="auto"/>
              <w:jc w:val="left"/>
              <w:rPr>
                <w:rFonts w:ascii="Calibri" w:eastAsia="Times New Roman" w:hAnsi="Calibri" w:cs="Calibri"/>
                <w:color w:val="000000"/>
                <w:kern w:val="0"/>
                <w:sz w:val="22"/>
                <w:lang w:val="en-US"/>
                <w14:ligatures w14:val="none"/>
              </w:rPr>
            </w:pPr>
            <w:r w:rsidRPr="007D7EB2">
              <w:rPr>
                <w:rFonts w:ascii="Calibri" w:eastAsia="Times New Roman" w:hAnsi="Calibri" w:cs="Calibri"/>
                <w:color w:val="000000"/>
                <w:kern w:val="0"/>
                <w:sz w:val="22"/>
                <w:lang w:val="en-US"/>
                <w14:ligatures w14:val="none"/>
              </w:rPr>
              <w:t>Opening inventory</w:t>
            </w:r>
          </w:p>
        </w:tc>
        <w:tc>
          <w:tcPr>
            <w:tcW w:w="2300" w:type="dxa"/>
            <w:tcBorders>
              <w:top w:val="single" w:sz="4" w:space="0" w:color="ED7D31"/>
              <w:left w:val="nil"/>
              <w:bottom w:val="nil"/>
              <w:right w:val="nil"/>
            </w:tcBorders>
            <w:shd w:val="clear" w:color="auto" w:fill="auto"/>
            <w:noWrap/>
            <w:vAlign w:val="bottom"/>
            <w:hideMark/>
          </w:tcPr>
          <w:p w14:paraId="3488F889" w14:textId="77777777" w:rsidR="007D7EB2" w:rsidRPr="007D7EB2" w:rsidRDefault="007D7EB2" w:rsidP="007D7EB2">
            <w:pPr>
              <w:spacing w:after="0" w:line="240" w:lineRule="auto"/>
              <w:jc w:val="left"/>
              <w:rPr>
                <w:rFonts w:ascii="Calibri" w:eastAsia="Times New Roman" w:hAnsi="Calibri" w:cs="Calibri"/>
                <w:color w:val="000000"/>
                <w:kern w:val="0"/>
                <w:sz w:val="22"/>
                <w:lang w:val="en-US"/>
                <w14:ligatures w14:val="none"/>
              </w:rPr>
            </w:pPr>
          </w:p>
        </w:tc>
        <w:tc>
          <w:tcPr>
            <w:tcW w:w="1300" w:type="dxa"/>
            <w:tcBorders>
              <w:top w:val="single" w:sz="4" w:space="0" w:color="ED7D31"/>
              <w:left w:val="nil"/>
              <w:bottom w:val="nil"/>
              <w:right w:val="single" w:sz="4" w:space="0" w:color="ED7D31"/>
            </w:tcBorders>
            <w:shd w:val="clear" w:color="auto" w:fill="auto"/>
            <w:noWrap/>
            <w:vAlign w:val="bottom"/>
            <w:hideMark/>
          </w:tcPr>
          <w:p w14:paraId="05B35C64" w14:textId="77777777" w:rsidR="007D7EB2" w:rsidRPr="007D7EB2" w:rsidRDefault="007D7EB2" w:rsidP="007D7EB2">
            <w:pPr>
              <w:spacing w:after="0" w:line="240" w:lineRule="auto"/>
              <w:jc w:val="left"/>
              <w:rPr>
                <w:rFonts w:eastAsia="Times New Roman" w:cs="Times New Roman"/>
                <w:color w:val="auto"/>
                <w:kern w:val="0"/>
                <w:sz w:val="20"/>
                <w:szCs w:val="20"/>
                <w:lang w:val="en-US"/>
                <w14:ligatures w14:val="none"/>
              </w:rPr>
            </w:pPr>
          </w:p>
        </w:tc>
      </w:tr>
      <w:tr w:rsidR="00F16806" w14:paraId="6A102CEA" w14:textId="77777777" w:rsidTr="007D7EB2">
        <w:trPr>
          <w:trHeight w:val="300"/>
          <w:jc w:val="center"/>
        </w:trPr>
        <w:tc>
          <w:tcPr>
            <w:tcW w:w="2760" w:type="dxa"/>
            <w:tcBorders>
              <w:top w:val="single" w:sz="4" w:space="0" w:color="ED7D31"/>
              <w:left w:val="single" w:sz="4" w:space="0" w:color="ED7D31"/>
              <w:bottom w:val="nil"/>
              <w:right w:val="nil"/>
            </w:tcBorders>
            <w:shd w:val="clear" w:color="auto" w:fill="auto"/>
            <w:noWrap/>
            <w:vAlign w:val="bottom"/>
            <w:hideMark/>
          </w:tcPr>
          <w:p w14:paraId="18A5E301" w14:textId="77777777" w:rsidR="007D7EB2" w:rsidRPr="007D7EB2" w:rsidRDefault="007C08CF" w:rsidP="007D7EB2">
            <w:pPr>
              <w:spacing w:after="0" w:line="240" w:lineRule="auto"/>
              <w:jc w:val="left"/>
              <w:rPr>
                <w:rFonts w:ascii="Calibri" w:eastAsia="Times New Roman" w:hAnsi="Calibri" w:cs="Calibri"/>
                <w:color w:val="000000"/>
                <w:kern w:val="0"/>
                <w:sz w:val="22"/>
                <w:lang w:val="en-US"/>
                <w14:ligatures w14:val="none"/>
              </w:rPr>
            </w:pPr>
            <w:r w:rsidRPr="007D7EB2">
              <w:rPr>
                <w:rFonts w:ascii="Calibri" w:eastAsia="Times New Roman" w:hAnsi="Calibri" w:cs="Calibri"/>
                <w:color w:val="000000"/>
                <w:kern w:val="0"/>
                <w:sz w:val="22"/>
                <w:lang w:val="en-US"/>
                <w14:ligatures w14:val="none"/>
              </w:rPr>
              <w:t>Add: Purchases</w:t>
            </w:r>
          </w:p>
        </w:tc>
        <w:tc>
          <w:tcPr>
            <w:tcW w:w="2300" w:type="dxa"/>
            <w:tcBorders>
              <w:top w:val="single" w:sz="4" w:space="0" w:color="ED7D31"/>
              <w:left w:val="nil"/>
              <w:bottom w:val="nil"/>
              <w:right w:val="nil"/>
            </w:tcBorders>
            <w:shd w:val="clear" w:color="auto" w:fill="auto"/>
            <w:noWrap/>
            <w:vAlign w:val="bottom"/>
            <w:hideMark/>
          </w:tcPr>
          <w:p w14:paraId="2F024C92" w14:textId="77777777" w:rsidR="007D7EB2" w:rsidRPr="007D7EB2" w:rsidRDefault="007D7EB2" w:rsidP="007D7EB2">
            <w:pPr>
              <w:spacing w:after="0" w:line="240" w:lineRule="auto"/>
              <w:jc w:val="left"/>
              <w:rPr>
                <w:rFonts w:ascii="Calibri" w:eastAsia="Times New Roman" w:hAnsi="Calibri" w:cs="Calibri"/>
                <w:color w:val="000000"/>
                <w:kern w:val="0"/>
                <w:sz w:val="22"/>
                <w:lang w:val="en-US"/>
                <w14:ligatures w14:val="none"/>
              </w:rPr>
            </w:pPr>
          </w:p>
        </w:tc>
        <w:tc>
          <w:tcPr>
            <w:tcW w:w="1300" w:type="dxa"/>
            <w:tcBorders>
              <w:top w:val="single" w:sz="4" w:space="0" w:color="ED7D31"/>
              <w:left w:val="nil"/>
              <w:bottom w:val="nil"/>
              <w:right w:val="single" w:sz="4" w:space="0" w:color="ED7D31"/>
            </w:tcBorders>
            <w:shd w:val="clear" w:color="auto" w:fill="auto"/>
            <w:noWrap/>
            <w:vAlign w:val="bottom"/>
            <w:hideMark/>
          </w:tcPr>
          <w:p w14:paraId="06404127" w14:textId="77777777" w:rsidR="007D7EB2" w:rsidRPr="007D7EB2" w:rsidRDefault="007D7EB2" w:rsidP="007D7EB2">
            <w:pPr>
              <w:spacing w:after="0" w:line="240" w:lineRule="auto"/>
              <w:jc w:val="left"/>
              <w:rPr>
                <w:rFonts w:eastAsia="Times New Roman" w:cs="Times New Roman"/>
                <w:color w:val="auto"/>
                <w:kern w:val="0"/>
                <w:sz w:val="20"/>
                <w:szCs w:val="20"/>
                <w:lang w:val="en-US"/>
                <w14:ligatures w14:val="none"/>
              </w:rPr>
            </w:pPr>
          </w:p>
        </w:tc>
      </w:tr>
      <w:tr w:rsidR="00F16806" w14:paraId="10CFD471" w14:textId="77777777" w:rsidTr="007D7EB2">
        <w:trPr>
          <w:trHeight w:val="300"/>
          <w:jc w:val="center"/>
        </w:trPr>
        <w:tc>
          <w:tcPr>
            <w:tcW w:w="2760" w:type="dxa"/>
            <w:tcBorders>
              <w:top w:val="single" w:sz="4" w:space="0" w:color="ED7D31"/>
              <w:left w:val="single" w:sz="4" w:space="0" w:color="ED7D31"/>
              <w:bottom w:val="nil"/>
              <w:right w:val="nil"/>
            </w:tcBorders>
            <w:shd w:val="clear" w:color="auto" w:fill="auto"/>
            <w:noWrap/>
            <w:vAlign w:val="bottom"/>
            <w:hideMark/>
          </w:tcPr>
          <w:p w14:paraId="0997EC3F" w14:textId="77777777" w:rsidR="007D7EB2" w:rsidRPr="007D7EB2" w:rsidRDefault="007C08CF" w:rsidP="007D7EB2">
            <w:pPr>
              <w:spacing w:after="0" w:line="240" w:lineRule="auto"/>
              <w:jc w:val="left"/>
              <w:rPr>
                <w:rFonts w:ascii="Calibri" w:eastAsia="Times New Roman" w:hAnsi="Calibri" w:cs="Calibri"/>
                <w:color w:val="000000"/>
                <w:kern w:val="0"/>
                <w:sz w:val="22"/>
                <w:lang w:val="en-US"/>
                <w14:ligatures w14:val="none"/>
              </w:rPr>
            </w:pPr>
            <w:r w:rsidRPr="007D7EB2">
              <w:rPr>
                <w:rFonts w:ascii="Calibri" w:eastAsia="Times New Roman" w:hAnsi="Calibri" w:cs="Calibri"/>
                <w:color w:val="000000"/>
                <w:kern w:val="0"/>
                <w:sz w:val="22"/>
                <w:lang w:val="en-US"/>
                <w14:ligatures w14:val="none"/>
              </w:rPr>
              <w:t>Less: closing inventory</w:t>
            </w:r>
          </w:p>
        </w:tc>
        <w:tc>
          <w:tcPr>
            <w:tcW w:w="2300" w:type="dxa"/>
            <w:tcBorders>
              <w:top w:val="single" w:sz="4" w:space="0" w:color="ED7D31"/>
              <w:left w:val="nil"/>
              <w:bottom w:val="nil"/>
              <w:right w:val="nil"/>
            </w:tcBorders>
            <w:shd w:val="clear" w:color="auto" w:fill="auto"/>
            <w:noWrap/>
            <w:vAlign w:val="bottom"/>
            <w:hideMark/>
          </w:tcPr>
          <w:p w14:paraId="244EDB32" w14:textId="77777777" w:rsidR="007D7EB2" w:rsidRPr="007D7EB2" w:rsidRDefault="007D7EB2" w:rsidP="007D7EB2">
            <w:pPr>
              <w:spacing w:after="0" w:line="240" w:lineRule="auto"/>
              <w:jc w:val="left"/>
              <w:rPr>
                <w:rFonts w:ascii="Calibri" w:eastAsia="Times New Roman" w:hAnsi="Calibri" w:cs="Calibri"/>
                <w:color w:val="000000"/>
                <w:kern w:val="0"/>
                <w:sz w:val="22"/>
                <w:lang w:val="en-US"/>
                <w14:ligatures w14:val="none"/>
              </w:rPr>
            </w:pPr>
          </w:p>
        </w:tc>
        <w:tc>
          <w:tcPr>
            <w:tcW w:w="1300" w:type="dxa"/>
            <w:tcBorders>
              <w:top w:val="single" w:sz="4" w:space="0" w:color="ED7D31"/>
              <w:left w:val="nil"/>
              <w:bottom w:val="nil"/>
              <w:right w:val="single" w:sz="4" w:space="0" w:color="ED7D31"/>
            </w:tcBorders>
            <w:shd w:val="clear" w:color="auto" w:fill="auto"/>
            <w:noWrap/>
            <w:vAlign w:val="bottom"/>
            <w:hideMark/>
          </w:tcPr>
          <w:p w14:paraId="003BCA62" w14:textId="77777777" w:rsidR="007D7EB2" w:rsidRPr="007D7EB2" w:rsidRDefault="007D7EB2" w:rsidP="007D7EB2">
            <w:pPr>
              <w:spacing w:after="0" w:line="240" w:lineRule="auto"/>
              <w:jc w:val="left"/>
              <w:rPr>
                <w:rFonts w:eastAsia="Times New Roman" w:cs="Times New Roman"/>
                <w:color w:val="auto"/>
                <w:kern w:val="0"/>
                <w:sz w:val="20"/>
                <w:szCs w:val="20"/>
                <w:lang w:val="en-US"/>
                <w14:ligatures w14:val="none"/>
              </w:rPr>
            </w:pPr>
          </w:p>
        </w:tc>
      </w:tr>
      <w:tr w:rsidR="00F16806" w14:paraId="66C98739" w14:textId="77777777" w:rsidTr="007D7EB2">
        <w:trPr>
          <w:trHeight w:val="300"/>
          <w:jc w:val="center"/>
        </w:trPr>
        <w:tc>
          <w:tcPr>
            <w:tcW w:w="2760" w:type="dxa"/>
            <w:tcBorders>
              <w:top w:val="single" w:sz="4" w:space="0" w:color="ED7D31"/>
              <w:left w:val="single" w:sz="4" w:space="0" w:color="ED7D31"/>
              <w:bottom w:val="nil"/>
              <w:right w:val="nil"/>
            </w:tcBorders>
            <w:shd w:val="clear" w:color="auto" w:fill="auto"/>
            <w:noWrap/>
            <w:vAlign w:val="bottom"/>
            <w:hideMark/>
          </w:tcPr>
          <w:p w14:paraId="1015A76E" w14:textId="77777777" w:rsidR="007D7EB2" w:rsidRPr="007D7EB2" w:rsidRDefault="007C08CF" w:rsidP="007D7EB2">
            <w:pPr>
              <w:spacing w:after="0" w:line="240" w:lineRule="auto"/>
              <w:jc w:val="left"/>
              <w:rPr>
                <w:rFonts w:ascii="Calibri" w:eastAsia="Times New Roman" w:hAnsi="Calibri" w:cs="Calibri"/>
                <w:color w:val="000000"/>
                <w:kern w:val="0"/>
                <w:sz w:val="22"/>
                <w:lang w:val="en-US"/>
                <w14:ligatures w14:val="none"/>
              </w:rPr>
            </w:pPr>
            <w:r w:rsidRPr="007D7EB2">
              <w:rPr>
                <w:rFonts w:ascii="Calibri" w:eastAsia="Times New Roman" w:hAnsi="Calibri" w:cs="Calibri"/>
                <w:color w:val="000000"/>
                <w:kern w:val="0"/>
                <w:sz w:val="22"/>
                <w:lang w:val="en-US"/>
                <w14:ligatures w14:val="none"/>
              </w:rPr>
              <w:t>Depreciation on inventory</w:t>
            </w:r>
          </w:p>
        </w:tc>
        <w:tc>
          <w:tcPr>
            <w:tcW w:w="2300" w:type="dxa"/>
            <w:tcBorders>
              <w:top w:val="single" w:sz="4" w:space="0" w:color="ED7D31"/>
              <w:left w:val="nil"/>
              <w:bottom w:val="nil"/>
              <w:right w:val="nil"/>
            </w:tcBorders>
            <w:shd w:val="clear" w:color="auto" w:fill="auto"/>
            <w:noWrap/>
            <w:vAlign w:val="bottom"/>
            <w:hideMark/>
          </w:tcPr>
          <w:p w14:paraId="29C4E788" w14:textId="77777777" w:rsidR="007D7EB2" w:rsidRPr="007D7EB2" w:rsidRDefault="007C08CF" w:rsidP="007D7EB2">
            <w:pPr>
              <w:spacing w:after="0" w:line="240" w:lineRule="auto"/>
              <w:jc w:val="left"/>
              <w:rPr>
                <w:rFonts w:ascii="Calibri" w:eastAsia="Times New Roman" w:hAnsi="Calibri" w:cs="Calibri"/>
                <w:color w:val="000000"/>
                <w:kern w:val="0"/>
                <w:sz w:val="22"/>
                <w:lang w:val="en-US"/>
                <w14:ligatures w14:val="none"/>
              </w:rPr>
            </w:pPr>
            <w:r w:rsidRPr="007D7EB2">
              <w:rPr>
                <w:rFonts w:ascii="Calibri" w:eastAsia="Times New Roman" w:hAnsi="Calibri" w:cs="Calibri"/>
                <w:color w:val="000000"/>
                <w:kern w:val="0"/>
                <w:sz w:val="22"/>
                <w:lang w:val="en-US"/>
                <w14:ligatures w14:val="none"/>
              </w:rPr>
              <w:t>650000x10%</w:t>
            </w:r>
          </w:p>
        </w:tc>
        <w:tc>
          <w:tcPr>
            <w:tcW w:w="1300" w:type="dxa"/>
            <w:tcBorders>
              <w:top w:val="single" w:sz="4" w:space="0" w:color="ED7D31"/>
              <w:left w:val="nil"/>
              <w:bottom w:val="nil"/>
              <w:right w:val="single" w:sz="4" w:space="0" w:color="ED7D31"/>
            </w:tcBorders>
            <w:shd w:val="clear" w:color="auto" w:fill="auto"/>
            <w:noWrap/>
            <w:vAlign w:val="bottom"/>
            <w:hideMark/>
          </w:tcPr>
          <w:p w14:paraId="01F31DC4" w14:textId="77777777" w:rsidR="007D7EB2" w:rsidRPr="007D7EB2" w:rsidRDefault="007C08CF" w:rsidP="007D7EB2">
            <w:pPr>
              <w:spacing w:after="0" w:line="240" w:lineRule="auto"/>
              <w:jc w:val="right"/>
              <w:rPr>
                <w:rFonts w:ascii="Calibri" w:eastAsia="Times New Roman" w:hAnsi="Calibri" w:cs="Calibri"/>
                <w:color w:val="000000"/>
                <w:kern w:val="0"/>
                <w:sz w:val="22"/>
                <w:lang w:val="en-US"/>
                <w14:ligatures w14:val="none"/>
              </w:rPr>
            </w:pPr>
            <w:r w:rsidRPr="007D7EB2">
              <w:rPr>
                <w:rFonts w:ascii="Calibri" w:eastAsia="Times New Roman" w:hAnsi="Calibri" w:cs="Calibri"/>
                <w:color w:val="000000"/>
                <w:kern w:val="0"/>
                <w:sz w:val="22"/>
                <w:lang w:val="en-US"/>
                <w14:ligatures w14:val="none"/>
              </w:rPr>
              <w:t>65000</w:t>
            </w:r>
          </w:p>
        </w:tc>
      </w:tr>
      <w:tr w:rsidR="00F16806" w14:paraId="723ABA73" w14:textId="77777777" w:rsidTr="007D7EB2">
        <w:trPr>
          <w:trHeight w:val="300"/>
          <w:jc w:val="center"/>
        </w:trPr>
        <w:tc>
          <w:tcPr>
            <w:tcW w:w="2760" w:type="dxa"/>
            <w:tcBorders>
              <w:top w:val="single" w:sz="4" w:space="0" w:color="ED7D31"/>
              <w:left w:val="single" w:sz="4" w:space="0" w:color="ED7D31"/>
              <w:bottom w:val="nil"/>
              <w:right w:val="nil"/>
            </w:tcBorders>
            <w:shd w:val="clear" w:color="auto" w:fill="auto"/>
            <w:noWrap/>
            <w:vAlign w:val="bottom"/>
            <w:hideMark/>
          </w:tcPr>
          <w:p w14:paraId="5C557731" w14:textId="77777777" w:rsidR="007D7EB2" w:rsidRPr="007D7EB2" w:rsidRDefault="007C08CF" w:rsidP="007D7EB2">
            <w:pPr>
              <w:spacing w:after="0" w:line="240" w:lineRule="auto"/>
              <w:jc w:val="left"/>
              <w:rPr>
                <w:rFonts w:ascii="Calibri" w:eastAsia="Times New Roman" w:hAnsi="Calibri" w:cs="Calibri"/>
                <w:color w:val="000000"/>
                <w:kern w:val="0"/>
                <w:sz w:val="22"/>
                <w:lang w:val="en-US"/>
                <w14:ligatures w14:val="none"/>
              </w:rPr>
            </w:pPr>
            <w:r w:rsidRPr="007D7EB2">
              <w:rPr>
                <w:rFonts w:ascii="Calibri" w:eastAsia="Times New Roman" w:hAnsi="Calibri" w:cs="Calibri"/>
                <w:color w:val="000000"/>
                <w:kern w:val="0"/>
                <w:sz w:val="22"/>
                <w:lang w:val="en-US"/>
                <w14:ligatures w14:val="none"/>
              </w:rPr>
              <w:t xml:space="preserve">Gross </w:t>
            </w:r>
            <w:r w:rsidRPr="007D7EB2">
              <w:rPr>
                <w:rFonts w:ascii="Calibri" w:eastAsia="Times New Roman" w:hAnsi="Calibri" w:cs="Calibri"/>
                <w:color w:val="000000"/>
                <w:kern w:val="0"/>
                <w:sz w:val="22"/>
                <w:lang w:val="en-US"/>
                <w14:ligatures w14:val="none"/>
              </w:rPr>
              <w:t>profit</w:t>
            </w:r>
          </w:p>
        </w:tc>
        <w:tc>
          <w:tcPr>
            <w:tcW w:w="2300" w:type="dxa"/>
            <w:tcBorders>
              <w:top w:val="single" w:sz="4" w:space="0" w:color="ED7D31"/>
              <w:left w:val="nil"/>
              <w:bottom w:val="nil"/>
              <w:right w:val="nil"/>
            </w:tcBorders>
            <w:shd w:val="clear" w:color="auto" w:fill="auto"/>
            <w:noWrap/>
            <w:vAlign w:val="bottom"/>
            <w:hideMark/>
          </w:tcPr>
          <w:p w14:paraId="55CA6958" w14:textId="77777777" w:rsidR="007D7EB2" w:rsidRPr="007D7EB2" w:rsidRDefault="007D7EB2" w:rsidP="007D7EB2">
            <w:pPr>
              <w:spacing w:after="0" w:line="240" w:lineRule="auto"/>
              <w:jc w:val="left"/>
              <w:rPr>
                <w:rFonts w:ascii="Calibri" w:eastAsia="Times New Roman" w:hAnsi="Calibri" w:cs="Calibri"/>
                <w:color w:val="000000"/>
                <w:kern w:val="0"/>
                <w:sz w:val="22"/>
                <w:lang w:val="en-US"/>
                <w14:ligatures w14:val="none"/>
              </w:rPr>
            </w:pPr>
          </w:p>
        </w:tc>
        <w:tc>
          <w:tcPr>
            <w:tcW w:w="1300" w:type="dxa"/>
            <w:tcBorders>
              <w:top w:val="single" w:sz="4" w:space="0" w:color="ED7D31"/>
              <w:left w:val="nil"/>
              <w:bottom w:val="nil"/>
              <w:right w:val="single" w:sz="4" w:space="0" w:color="ED7D31"/>
            </w:tcBorders>
            <w:shd w:val="clear" w:color="auto" w:fill="auto"/>
            <w:noWrap/>
            <w:vAlign w:val="bottom"/>
            <w:hideMark/>
          </w:tcPr>
          <w:p w14:paraId="513826F1" w14:textId="77777777" w:rsidR="007D7EB2" w:rsidRPr="007D7EB2" w:rsidRDefault="007C08CF" w:rsidP="007D7EB2">
            <w:pPr>
              <w:spacing w:after="0" w:line="240" w:lineRule="auto"/>
              <w:jc w:val="right"/>
              <w:rPr>
                <w:rFonts w:ascii="Calibri" w:eastAsia="Times New Roman" w:hAnsi="Calibri" w:cs="Calibri"/>
                <w:color w:val="000000"/>
                <w:kern w:val="0"/>
                <w:sz w:val="22"/>
                <w:lang w:val="en-US"/>
                <w14:ligatures w14:val="none"/>
              </w:rPr>
            </w:pPr>
            <w:r w:rsidRPr="007D7EB2">
              <w:rPr>
                <w:rFonts w:ascii="Calibri" w:eastAsia="Times New Roman" w:hAnsi="Calibri" w:cs="Calibri"/>
                <w:color w:val="000000"/>
                <w:kern w:val="0"/>
                <w:sz w:val="22"/>
                <w:lang w:val="en-US"/>
                <w14:ligatures w14:val="none"/>
              </w:rPr>
              <w:t>835000</w:t>
            </w:r>
          </w:p>
        </w:tc>
      </w:tr>
      <w:tr w:rsidR="00F16806" w14:paraId="7E7FDD76" w14:textId="77777777" w:rsidTr="007D7EB2">
        <w:trPr>
          <w:trHeight w:val="300"/>
          <w:jc w:val="center"/>
        </w:trPr>
        <w:tc>
          <w:tcPr>
            <w:tcW w:w="2760" w:type="dxa"/>
            <w:tcBorders>
              <w:top w:val="single" w:sz="4" w:space="0" w:color="ED7D31"/>
              <w:left w:val="single" w:sz="4" w:space="0" w:color="ED7D31"/>
              <w:bottom w:val="nil"/>
              <w:right w:val="nil"/>
            </w:tcBorders>
            <w:shd w:val="clear" w:color="auto" w:fill="auto"/>
            <w:noWrap/>
            <w:vAlign w:val="bottom"/>
            <w:hideMark/>
          </w:tcPr>
          <w:p w14:paraId="520FB1E1" w14:textId="77777777" w:rsidR="007D7EB2" w:rsidRPr="007D7EB2" w:rsidRDefault="007C08CF" w:rsidP="007D7EB2">
            <w:pPr>
              <w:spacing w:after="0" w:line="240" w:lineRule="auto"/>
              <w:jc w:val="left"/>
              <w:rPr>
                <w:rFonts w:ascii="Calibri" w:eastAsia="Times New Roman" w:hAnsi="Calibri" w:cs="Calibri"/>
                <w:color w:val="000000"/>
                <w:kern w:val="0"/>
                <w:sz w:val="22"/>
                <w:lang w:val="en-US"/>
                <w14:ligatures w14:val="none"/>
              </w:rPr>
            </w:pPr>
            <w:r w:rsidRPr="007D7EB2">
              <w:rPr>
                <w:rFonts w:ascii="Calibri" w:eastAsia="Times New Roman" w:hAnsi="Calibri" w:cs="Calibri"/>
                <w:color w:val="000000"/>
                <w:kern w:val="0"/>
                <w:sz w:val="22"/>
                <w:lang w:val="en-US"/>
                <w14:ligatures w14:val="none"/>
              </w:rPr>
              <w:t>Operating expenses</w:t>
            </w:r>
          </w:p>
        </w:tc>
        <w:tc>
          <w:tcPr>
            <w:tcW w:w="2300" w:type="dxa"/>
            <w:tcBorders>
              <w:top w:val="single" w:sz="4" w:space="0" w:color="ED7D31"/>
              <w:left w:val="nil"/>
              <w:bottom w:val="nil"/>
              <w:right w:val="nil"/>
            </w:tcBorders>
            <w:shd w:val="clear" w:color="auto" w:fill="auto"/>
            <w:noWrap/>
            <w:vAlign w:val="bottom"/>
            <w:hideMark/>
          </w:tcPr>
          <w:p w14:paraId="3F27F85A" w14:textId="77777777" w:rsidR="007D7EB2" w:rsidRPr="007D7EB2" w:rsidRDefault="007D7EB2" w:rsidP="007D7EB2">
            <w:pPr>
              <w:spacing w:after="0" w:line="240" w:lineRule="auto"/>
              <w:jc w:val="left"/>
              <w:rPr>
                <w:rFonts w:ascii="Calibri" w:eastAsia="Times New Roman" w:hAnsi="Calibri" w:cs="Calibri"/>
                <w:color w:val="000000"/>
                <w:kern w:val="0"/>
                <w:sz w:val="22"/>
                <w:lang w:val="en-US"/>
                <w14:ligatures w14:val="none"/>
              </w:rPr>
            </w:pPr>
          </w:p>
        </w:tc>
        <w:tc>
          <w:tcPr>
            <w:tcW w:w="1300" w:type="dxa"/>
            <w:tcBorders>
              <w:top w:val="single" w:sz="4" w:space="0" w:color="ED7D31"/>
              <w:left w:val="nil"/>
              <w:bottom w:val="nil"/>
              <w:right w:val="single" w:sz="4" w:space="0" w:color="ED7D31"/>
            </w:tcBorders>
            <w:shd w:val="clear" w:color="auto" w:fill="auto"/>
            <w:noWrap/>
            <w:vAlign w:val="bottom"/>
            <w:hideMark/>
          </w:tcPr>
          <w:p w14:paraId="7B6F78F2" w14:textId="77777777" w:rsidR="007D7EB2" w:rsidRPr="007D7EB2" w:rsidRDefault="007D7EB2" w:rsidP="007D7EB2">
            <w:pPr>
              <w:spacing w:after="0" w:line="240" w:lineRule="auto"/>
              <w:jc w:val="left"/>
              <w:rPr>
                <w:rFonts w:eastAsia="Times New Roman" w:cs="Times New Roman"/>
                <w:color w:val="auto"/>
                <w:kern w:val="0"/>
                <w:sz w:val="20"/>
                <w:szCs w:val="20"/>
                <w:lang w:val="en-US"/>
                <w14:ligatures w14:val="none"/>
              </w:rPr>
            </w:pPr>
          </w:p>
        </w:tc>
      </w:tr>
      <w:tr w:rsidR="00F16806" w14:paraId="23E8F3ED" w14:textId="77777777" w:rsidTr="007D7EB2">
        <w:trPr>
          <w:trHeight w:val="300"/>
          <w:jc w:val="center"/>
        </w:trPr>
        <w:tc>
          <w:tcPr>
            <w:tcW w:w="2760" w:type="dxa"/>
            <w:tcBorders>
              <w:top w:val="single" w:sz="4" w:space="0" w:color="ED7D31"/>
              <w:left w:val="single" w:sz="4" w:space="0" w:color="ED7D31"/>
              <w:bottom w:val="nil"/>
              <w:right w:val="nil"/>
            </w:tcBorders>
            <w:shd w:val="clear" w:color="auto" w:fill="auto"/>
            <w:noWrap/>
            <w:vAlign w:val="bottom"/>
            <w:hideMark/>
          </w:tcPr>
          <w:p w14:paraId="0A5FFA52" w14:textId="77777777" w:rsidR="007D7EB2" w:rsidRPr="007D7EB2" w:rsidRDefault="007C08CF" w:rsidP="007D7EB2">
            <w:pPr>
              <w:spacing w:after="0" w:line="240" w:lineRule="auto"/>
              <w:jc w:val="left"/>
              <w:rPr>
                <w:rFonts w:ascii="Calibri" w:eastAsia="Times New Roman" w:hAnsi="Calibri" w:cs="Calibri"/>
                <w:color w:val="000000"/>
                <w:kern w:val="0"/>
                <w:sz w:val="22"/>
                <w:lang w:val="en-US"/>
                <w14:ligatures w14:val="none"/>
              </w:rPr>
            </w:pPr>
            <w:r w:rsidRPr="007D7EB2">
              <w:rPr>
                <w:rFonts w:ascii="Calibri" w:eastAsia="Times New Roman" w:hAnsi="Calibri" w:cs="Calibri"/>
                <w:color w:val="000000"/>
                <w:kern w:val="0"/>
                <w:sz w:val="22"/>
                <w:lang w:val="en-US"/>
                <w14:ligatures w14:val="none"/>
              </w:rPr>
              <w:t>Administrative expenses</w:t>
            </w:r>
          </w:p>
        </w:tc>
        <w:tc>
          <w:tcPr>
            <w:tcW w:w="2300" w:type="dxa"/>
            <w:tcBorders>
              <w:top w:val="single" w:sz="4" w:space="0" w:color="ED7D31"/>
              <w:left w:val="nil"/>
              <w:bottom w:val="nil"/>
              <w:right w:val="nil"/>
            </w:tcBorders>
            <w:shd w:val="clear" w:color="auto" w:fill="auto"/>
            <w:noWrap/>
            <w:vAlign w:val="bottom"/>
            <w:hideMark/>
          </w:tcPr>
          <w:p w14:paraId="1F12D869" w14:textId="77777777" w:rsidR="007D7EB2" w:rsidRPr="007D7EB2" w:rsidRDefault="007C08CF" w:rsidP="007D7EB2">
            <w:pPr>
              <w:spacing w:after="0" w:line="240" w:lineRule="auto"/>
              <w:jc w:val="right"/>
              <w:rPr>
                <w:rFonts w:ascii="Calibri" w:eastAsia="Times New Roman" w:hAnsi="Calibri" w:cs="Calibri"/>
                <w:color w:val="000000"/>
                <w:kern w:val="0"/>
                <w:sz w:val="22"/>
                <w:lang w:val="en-US"/>
                <w14:ligatures w14:val="none"/>
              </w:rPr>
            </w:pPr>
            <w:r w:rsidRPr="007D7EB2">
              <w:rPr>
                <w:rFonts w:ascii="Calibri" w:eastAsia="Times New Roman" w:hAnsi="Calibri" w:cs="Calibri"/>
                <w:color w:val="000000"/>
                <w:kern w:val="0"/>
                <w:sz w:val="22"/>
                <w:lang w:val="en-US"/>
                <w14:ligatures w14:val="none"/>
              </w:rPr>
              <w:t>170000</w:t>
            </w:r>
          </w:p>
        </w:tc>
        <w:tc>
          <w:tcPr>
            <w:tcW w:w="1300" w:type="dxa"/>
            <w:tcBorders>
              <w:top w:val="single" w:sz="4" w:space="0" w:color="ED7D31"/>
              <w:left w:val="nil"/>
              <w:bottom w:val="nil"/>
              <w:right w:val="single" w:sz="4" w:space="0" w:color="ED7D31"/>
            </w:tcBorders>
            <w:shd w:val="clear" w:color="auto" w:fill="auto"/>
            <w:noWrap/>
            <w:vAlign w:val="bottom"/>
            <w:hideMark/>
          </w:tcPr>
          <w:p w14:paraId="3104E599" w14:textId="77777777" w:rsidR="007D7EB2" w:rsidRPr="007D7EB2" w:rsidRDefault="007D7EB2" w:rsidP="007D7EB2">
            <w:pPr>
              <w:spacing w:after="0" w:line="240" w:lineRule="auto"/>
              <w:jc w:val="right"/>
              <w:rPr>
                <w:rFonts w:ascii="Calibri" w:eastAsia="Times New Roman" w:hAnsi="Calibri" w:cs="Calibri"/>
                <w:color w:val="000000"/>
                <w:kern w:val="0"/>
                <w:sz w:val="22"/>
                <w:lang w:val="en-US"/>
                <w14:ligatures w14:val="none"/>
              </w:rPr>
            </w:pPr>
          </w:p>
        </w:tc>
      </w:tr>
      <w:tr w:rsidR="00F16806" w14:paraId="034818BC" w14:textId="77777777" w:rsidTr="007D7EB2">
        <w:trPr>
          <w:trHeight w:val="300"/>
          <w:jc w:val="center"/>
        </w:trPr>
        <w:tc>
          <w:tcPr>
            <w:tcW w:w="2760" w:type="dxa"/>
            <w:tcBorders>
              <w:top w:val="single" w:sz="4" w:space="0" w:color="ED7D31"/>
              <w:left w:val="single" w:sz="4" w:space="0" w:color="ED7D31"/>
              <w:bottom w:val="nil"/>
              <w:right w:val="nil"/>
            </w:tcBorders>
            <w:shd w:val="clear" w:color="auto" w:fill="auto"/>
            <w:noWrap/>
            <w:vAlign w:val="bottom"/>
            <w:hideMark/>
          </w:tcPr>
          <w:p w14:paraId="3AE2A0AB" w14:textId="77777777" w:rsidR="007D7EB2" w:rsidRPr="007D7EB2" w:rsidRDefault="007C08CF" w:rsidP="007D7EB2">
            <w:pPr>
              <w:spacing w:after="0" w:line="240" w:lineRule="auto"/>
              <w:jc w:val="left"/>
              <w:rPr>
                <w:rFonts w:ascii="Calibri" w:eastAsia="Times New Roman" w:hAnsi="Calibri" w:cs="Calibri"/>
                <w:color w:val="000000"/>
                <w:kern w:val="0"/>
                <w:sz w:val="22"/>
                <w:lang w:val="en-US"/>
                <w14:ligatures w14:val="none"/>
              </w:rPr>
            </w:pPr>
            <w:r w:rsidRPr="007D7EB2">
              <w:rPr>
                <w:rFonts w:ascii="Calibri" w:eastAsia="Times New Roman" w:hAnsi="Calibri" w:cs="Calibri"/>
                <w:color w:val="000000"/>
                <w:kern w:val="0"/>
                <w:sz w:val="22"/>
                <w:lang w:val="en-US"/>
                <w14:ligatures w14:val="none"/>
              </w:rPr>
              <w:t>Distribution costs</w:t>
            </w:r>
          </w:p>
        </w:tc>
        <w:tc>
          <w:tcPr>
            <w:tcW w:w="2300" w:type="dxa"/>
            <w:tcBorders>
              <w:top w:val="single" w:sz="4" w:space="0" w:color="ED7D31"/>
              <w:left w:val="nil"/>
              <w:bottom w:val="nil"/>
              <w:right w:val="nil"/>
            </w:tcBorders>
            <w:shd w:val="clear" w:color="auto" w:fill="auto"/>
            <w:noWrap/>
            <w:vAlign w:val="bottom"/>
            <w:hideMark/>
          </w:tcPr>
          <w:p w14:paraId="233A843C" w14:textId="77777777" w:rsidR="007D7EB2" w:rsidRPr="007D7EB2" w:rsidRDefault="007C08CF" w:rsidP="007D7EB2">
            <w:pPr>
              <w:spacing w:after="0" w:line="240" w:lineRule="auto"/>
              <w:jc w:val="right"/>
              <w:rPr>
                <w:rFonts w:ascii="Calibri" w:eastAsia="Times New Roman" w:hAnsi="Calibri" w:cs="Calibri"/>
                <w:color w:val="000000"/>
                <w:kern w:val="0"/>
                <w:sz w:val="22"/>
                <w:lang w:val="en-US"/>
                <w14:ligatures w14:val="none"/>
              </w:rPr>
            </w:pPr>
            <w:r w:rsidRPr="007D7EB2">
              <w:rPr>
                <w:rFonts w:ascii="Calibri" w:eastAsia="Times New Roman" w:hAnsi="Calibri" w:cs="Calibri"/>
                <w:color w:val="000000"/>
                <w:kern w:val="0"/>
                <w:sz w:val="22"/>
                <w:lang w:val="en-US"/>
                <w14:ligatures w14:val="none"/>
              </w:rPr>
              <w:t>28000</w:t>
            </w:r>
          </w:p>
        </w:tc>
        <w:tc>
          <w:tcPr>
            <w:tcW w:w="1300" w:type="dxa"/>
            <w:tcBorders>
              <w:top w:val="single" w:sz="4" w:space="0" w:color="ED7D31"/>
              <w:left w:val="nil"/>
              <w:bottom w:val="nil"/>
              <w:right w:val="single" w:sz="4" w:space="0" w:color="ED7D31"/>
            </w:tcBorders>
            <w:shd w:val="clear" w:color="auto" w:fill="auto"/>
            <w:noWrap/>
            <w:vAlign w:val="bottom"/>
            <w:hideMark/>
          </w:tcPr>
          <w:p w14:paraId="16EFA98C" w14:textId="77777777" w:rsidR="007D7EB2" w:rsidRPr="007D7EB2" w:rsidRDefault="007D7EB2" w:rsidP="007D7EB2">
            <w:pPr>
              <w:spacing w:after="0" w:line="240" w:lineRule="auto"/>
              <w:jc w:val="right"/>
              <w:rPr>
                <w:rFonts w:ascii="Calibri" w:eastAsia="Times New Roman" w:hAnsi="Calibri" w:cs="Calibri"/>
                <w:color w:val="000000"/>
                <w:kern w:val="0"/>
                <w:sz w:val="22"/>
                <w:lang w:val="en-US"/>
                <w14:ligatures w14:val="none"/>
              </w:rPr>
            </w:pPr>
          </w:p>
        </w:tc>
      </w:tr>
      <w:tr w:rsidR="00F16806" w14:paraId="5462BCC6" w14:textId="77777777" w:rsidTr="007D7EB2">
        <w:trPr>
          <w:trHeight w:val="300"/>
          <w:jc w:val="center"/>
        </w:trPr>
        <w:tc>
          <w:tcPr>
            <w:tcW w:w="2760" w:type="dxa"/>
            <w:tcBorders>
              <w:top w:val="single" w:sz="4" w:space="0" w:color="ED7D31"/>
              <w:left w:val="single" w:sz="4" w:space="0" w:color="ED7D31"/>
              <w:bottom w:val="nil"/>
              <w:right w:val="nil"/>
            </w:tcBorders>
            <w:shd w:val="clear" w:color="auto" w:fill="auto"/>
            <w:noWrap/>
            <w:vAlign w:val="bottom"/>
            <w:hideMark/>
          </w:tcPr>
          <w:p w14:paraId="7FE99299" w14:textId="62964536" w:rsidR="007D7EB2" w:rsidRPr="007D7EB2" w:rsidRDefault="007C08CF" w:rsidP="007D7EB2">
            <w:pPr>
              <w:spacing w:after="0" w:line="240" w:lineRule="auto"/>
              <w:jc w:val="left"/>
              <w:rPr>
                <w:rFonts w:ascii="Calibri" w:eastAsia="Times New Roman" w:hAnsi="Calibri" w:cs="Calibri"/>
                <w:color w:val="000000"/>
                <w:kern w:val="0"/>
                <w:sz w:val="22"/>
                <w:lang w:val="en-US"/>
                <w14:ligatures w14:val="none"/>
              </w:rPr>
            </w:pPr>
            <w:r w:rsidRPr="007D7EB2">
              <w:rPr>
                <w:rFonts w:ascii="Calibri" w:eastAsia="Times New Roman" w:hAnsi="Calibri" w:cs="Calibri"/>
                <w:color w:val="000000"/>
                <w:kern w:val="0"/>
                <w:sz w:val="22"/>
                <w:lang w:val="en-US"/>
                <w14:ligatures w14:val="none"/>
              </w:rPr>
              <w:t>Director's remuneration</w:t>
            </w:r>
          </w:p>
        </w:tc>
        <w:tc>
          <w:tcPr>
            <w:tcW w:w="2300" w:type="dxa"/>
            <w:tcBorders>
              <w:top w:val="single" w:sz="4" w:space="0" w:color="ED7D31"/>
              <w:left w:val="nil"/>
              <w:bottom w:val="nil"/>
              <w:right w:val="nil"/>
            </w:tcBorders>
            <w:shd w:val="clear" w:color="auto" w:fill="auto"/>
            <w:noWrap/>
            <w:vAlign w:val="bottom"/>
            <w:hideMark/>
          </w:tcPr>
          <w:p w14:paraId="3EAA0187" w14:textId="77777777" w:rsidR="007D7EB2" w:rsidRPr="007D7EB2" w:rsidRDefault="007C08CF" w:rsidP="007D7EB2">
            <w:pPr>
              <w:spacing w:after="0" w:line="240" w:lineRule="auto"/>
              <w:jc w:val="right"/>
              <w:rPr>
                <w:rFonts w:ascii="Calibri" w:eastAsia="Times New Roman" w:hAnsi="Calibri" w:cs="Calibri"/>
                <w:color w:val="000000"/>
                <w:kern w:val="0"/>
                <w:sz w:val="22"/>
                <w:lang w:val="en-US"/>
                <w14:ligatures w14:val="none"/>
              </w:rPr>
            </w:pPr>
            <w:r w:rsidRPr="007D7EB2">
              <w:rPr>
                <w:rFonts w:ascii="Calibri" w:eastAsia="Times New Roman" w:hAnsi="Calibri" w:cs="Calibri"/>
                <w:color w:val="000000"/>
                <w:kern w:val="0"/>
                <w:sz w:val="22"/>
                <w:lang w:val="en-US"/>
                <w14:ligatures w14:val="none"/>
              </w:rPr>
              <w:t>5000</w:t>
            </w:r>
          </w:p>
        </w:tc>
        <w:tc>
          <w:tcPr>
            <w:tcW w:w="1300" w:type="dxa"/>
            <w:tcBorders>
              <w:top w:val="single" w:sz="4" w:space="0" w:color="ED7D31"/>
              <w:left w:val="nil"/>
              <w:bottom w:val="nil"/>
              <w:right w:val="single" w:sz="4" w:space="0" w:color="ED7D31"/>
            </w:tcBorders>
            <w:shd w:val="clear" w:color="auto" w:fill="auto"/>
            <w:noWrap/>
            <w:vAlign w:val="bottom"/>
            <w:hideMark/>
          </w:tcPr>
          <w:p w14:paraId="1B0971E2" w14:textId="77777777" w:rsidR="007D7EB2" w:rsidRPr="007D7EB2" w:rsidRDefault="007D7EB2" w:rsidP="007D7EB2">
            <w:pPr>
              <w:spacing w:after="0" w:line="240" w:lineRule="auto"/>
              <w:jc w:val="right"/>
              <w:rPr>
                <w:rFonts w:ascii="Calibri" w:eastAsia="Times New Roman" w:hAnsi="Calibri" w:cs="Calibri"/>
                <w:color w:val="000000"/>
                <w:kern w:val="0"/>
                <w:sz w:val="22"/>
                <w:lang w:val="en-US"/>
                <w14:ligatures w14:val="none"/>
              </w:rPr>
            </w:pPr>
          </w:p>
        </w:tc>
      </w:tr>
      <w:tr w:rsidR="00F16806" w14:paraId="1E585B3C" w14:textId="77777777" w:rsidTr="007D7EB2">
        <w:trPr>
          <w:trHeight w:val="300"/>
          <w:jc w:val="center"/>
        </w:trPr>
        <w:tc>
          <w:tcPr>
            <w:tcW w:w="2760" w:type="dxa"/>
            <w:tcBorders>
              <w:top w:val="single" w:sz="4" w:space="0" w:color="ED7D31"/>
              <w:left w:val="single" w:sz="4" w:space="0" w:color="ED7D31"/>
              <w:bottom w:val="nil"/>
              <w:right w:val="nil"/>
            </w:tcBorders>
            <w:shd w:val="clear" w:color="auto" w:fill="auto"/>
            <w:noWrap/>
            <w:vAlign w:val="bottom"/>
            <w:hideMark/>
          </w:tcPr>
          <w:p w14:paraId="6AF0D151" w14:textId="77777777" w:rsidR="007D7EB2" w:rsidRPr="007D7EB2" w:rsidRDefault="007C08CF" w:rsidP="007D7EB2">
            <w:pPr>
              <w:spacing w:after="0" w:line="240" w:lineRule="auto"/>
              <w:jc w:val="left"/>
              <w:rPr>
                <w:rFonts w:ascii="Calibri" w:eastAsia="Times New Roman" w:hAnsi="Calibri" w:cs="Calibri"/>
                <w:color w:val="000000"/>
                <w:kern w:val="0"/>
                <w:sz w:val="22"/>
                <w:lang w:val="en-US"/>
                <w14:ligatures w14:val="none"/>
              </w:rPr>
            </w:pPr>
            <w:r w:rsidRPr="007D7EB2">
              <w:rPr>
                <w:rFonts w:ascii="Calibri" w:eastAsia="Times New Roman" w:hAnsi="Calibri" w:cs="Calibri"/>
                <w:color w:val="000000"/>
                <w:kern w:val="0"/>
                <w:sz w:val="22"/>
                <w:lang w:val="en-US"/>
                <w14:ligatures w14:val="none"/>
              </w:rPr>
              <w:t>Interest paid</w:t>
            </w:r>
          </w:p>
        </w:tc>
        <w:tc>
          <w:tcPr>
            <w:tcW w:w="2300" w:type="dxa"/>
            <w:tcBorders>
              <w:top w:val="single" w:sz="4" w:space="0" w:color="ED7D31"/>
              <w:left w:val="nil"/>
              <w:bottom w:val="nil"/>
              <w:right w:val="nil"/>
            </w:tcBorders>
            <w:shd w:val="clear" w:color="auto" w:fill="auto"/>
            <w:noWrap/>
            <w:vAlign w:val="bottom"/>
            <w:hideMark/>
          </w:tcPr>
          <w:p w14:paraId="339B0504" w14:textId="77777777" w:rsidR="007D7EB2" w:rsidRPr="007D7EB2" w:rsidRDefault="007C08CF" w:rsidP="007D7EB2">
            <w:pPr>
              <w:spacing w:after="0" w:line="240" w:lineRule="auto"/>
              <w:jc w:val="right"/>
              <w:rPr>
                <w:rFonts w:ascii="Calibri" w:eastAsia="Times New Roman" w:hAnsi="Calibri" w:cs="Calibri"/>
                <w:color w:val="000000"/>
                <w:kern w:val="0"/>
                <w:sz w:val="22"/>
                <w:lang w:val="en-US"/>
                <w14:ligatures w14:val="none"/>
              </w:rPr>
            </w:pPr>
            <w:r w:rsidRPr="007D7EB2">
              <w:rPr>
                <w:rFonts w:ascii="Calibri" w:eastAsia="Times New Roman" w:hAnsi="Calibri" w:cs="Calibri"/>
                <w:color w:val="000000"/>
                <w:kern w:val="0"/>
                <w:sz w:val="22"/>
                <w:lang w:val="en-US"/>
                <w14:ligatures w14:val="none"/>
              </w:rPr>
              <w:t>2000</w:t>
            </w:r>
          </w:p>
        </w:tc>
        <w:tc>
          <w:tcPr>
            <w:tcW w:w="1300" w:type="dxa"/>
            <w:tcBorders>
              <w:top w:val="single" w:sz="4" w:space="0" w:color="ED7D31"/>
              <w:left w:val="nil"/>
              <w:bottom w:val="nil"/>
              <w:right w:val="single" w:sz="4" w:space="0" w:color="ED7D31"/>
            </w:tcBorders>
            <w:shd w:val="clear" w:color="auto" w:fill="auto"/>
            <w:noWrap/>
            <w:vAlign w:val="bottom"/>
            <w:hideMark/>
          </w:tcPr>
          <w:p w14:paraId="5D1C3634" w14:textId="77777777" w:rsidR="007D7EB2" w:rsidRPr="007D7EB2" w:rsidRDefault="007D7EB2" w:rsidP="007D7EB2">
            <w:pPr>
              <w:spacing w:after="0" w:line="240" w:lineRule="auto"/>
              <w:jc w:val="right"/>
              <w:rPr>
                <w:rFonts w:ascii="Calibri" w:eastAsia="Times New Roman" w:hAnsi="Calibri" w:cs="Calibri"/>
                <w:color w:val="000000"/>
                <w:kern w:val="0"/>
                <w:sz w:val="22"/>
                <w:lang w:val="en-US"/>
                <w14:ligatures w14:val="none"/>
              </w:rPr>
            </w:pPr>
          </w:p>
        </w:tc>
      </w:tr>
      <w:tr w:rsidR="00F16806" w14:paraId="1D8F2008" w14:textId="77777777" w:rsidTr="007D7EB2">
        <w:trPr>
          <w:trHeight w:val="300"/>
          <w:jc w:val="center"/>
        </w:trPr>
        <w:tc>
          <w:tcPr>
            <w:tcW w:w="2760" w:type="dxa"/>
            <w:tcBorders>
              <w:top w:val="single" w:sz="4" w:space="0" w:color="ED7D31"/>
              <w:left w:val="single" w:sz="4" w:space="0" w:color="ED7D31"/>
              <w:bottom w:val="nil"/>
              <w:right w:val="nil"/>
            </w:tcBorders>
            <w:shd w:val="clear" w:color="auto" w:fill="auto"/>
            <w:noWrap/>
            <w:vAlign w:val="bottom"/>
            <w:hideMark/>
          </w:tcPr>
          <w:p w14:paraId="3EB0C751" w14:textId="77777777" w:rsidR="007D7EB2" w:rsidRPr="007D7EB2" w:rsidRDefault="007C08CF" w:rsidP="007D7EB2">
            <w:pPr>
              <w:spacing w:after="0" w:line="240" w:lineRule="auto"/>
              <w:jc w:val="left"/>
              <w:rPr>
                <w:rFonts w:ascii="Calibri" w:eastAsia="Times New Roman" w:hAnsi="Calibri" w:cs="Calibri"/>
                <w:color w:val="000000"/>
                <w:kern w:val="0"/>
                <w:sz w:val="22"/>
                <w:lang w:val="en-US"/>
                <w14:ligatures w14:val="none"/>
              </w:rPr>
            </w:pPr>
            <w:r w:rsidRPr="007D7EB2">
              <w:rPr>
                <w:rFonts w:ascii="Calibri" w:eastAsia="Times New Roman" w:hAnsi="Calibri" w:cs="Calibri"/>
                <w:color w:val="000000"/>
                <w:kern w:val="0"/>
                <w:sz w:val="22"/>
                <w:lang w:val="en-US"/>
                <w14:ligatures w14:val="none"/>
              </w:rPr>
              <w:t>Total operating expenses</w:t>
            </w:r>
          </w:p>
        </w:tc>
        <w:tc>
          <w:tcPr>
            <w:tcW w:w="2300" w:type="dxa"/>
            <w:tcBorders>
              <w:top w:val="single" w:sz="4" w:space="0" w:color="ED7D31"/>
              <w:left w:val="nil"/>
              <w:bottom w:val="nil"/>
              <w:right w:val="nil"/>
            </w:tcBorders>
            <w:shd w:val="clear" w:color="auto" w:fill="auto"/>
            <w:noWrap/>
            <w:vAlign w:val="bottom"/>
            <w:hideMark/>
          </w:tcPr>
          <w:p w14:paraId="1EDB42F2" w14:textId="77777777" w:rsidR="007D7EB2" w:rsidRPr="007D7EB2" w:rsidRDefault="007D7EB2" w:rsidP="007D7EB2">
            <w:pPr>
              <w:spacing w:after="0" w:line="240" w:lineRule="auto"/>
              <w:jc w:val="left"/>
              <w:rPr>
                <w:rFonts w:ascii="Calibri" w:eastAsia="Times New Roman" w:hAnsi="Calibri" w:cs="Calibri"/>
                <w:color w:val="000000"/>
                <w:kern w:val="0"/>
                <w:sz w:val="22"/>
                <w:lang w:val="en-US"/>
                <w14:ligatures w14:val="none"/>
              </w:rPr>
            </w:pPr>
          </w:p>
        </w:tc>
        <w:tc>
          <w:tcPr>
            <w:tcW w:w="1300" w:type="dxa"/>
            <w:tcBorders>
              <w:top w:val="single" w:sz="4" w:space="0" w:color="ED7D31"/>
              <w:left w:val="nil"/>
              <w:bottom w:val="nil"/>
              <w:right w:val="single" w:sz="4" w:space="0" w:color="ED7D31"/>
            </w:tcBorders>
            <w:shd w:val="clear" w:color="auto" w:fill="auto"/>
            <w:noWrap/>
            <w:vAlign w:val="bottom"/>
            <w:hideMark/>
          </w:tcPr>
          <w:p w14:paraId="5CA4138E" w14:textId="77777777" w:rsidR="007D7EB2" w:rsidRPr="007D7EB2" w:rsidRDefault="007C08CF" w:rsidP="007D7EB2">
            <w:pPr>
              <w:spacing w:after="0" w:line="240" w:lineRule="auto"/>
              <w:jc w:val="right"/>
              <w:rPr>
                <w:rFonts w:ascii="Calibri" w:eastAsia="Times New Roman" w:hAnsi="Calibri" w:cs="Calibri"/>
                <w:color w:val="000000"/>
                <w:kern w:val="0"/>
                <w:sz w:val="22"/>
                <w:lang w:val="en-US"/>
                <w14:ligatures w14:val="none"/>
              </w:rPr>
            </w:pPr>
            <w:r w:rsidRPr="007D7EB2">
              <w:rPr>
                <w:rFonts w:ascii="Calibri" w:eastAsia="Times New Roman" w:hAnsi="Calibri" w:cs="Calibri"/>
                <w:color w:val="000000"/>
                <w:kern w:val="0"/>
                <w:sz w:val="22"/>
                <w:lang w:val="en-US"/>
                <w14:ligatures w14:val="none"/>
              </w:rPr>
              <w:t>205000</w:t>
            </w:r>
          </w:p>
        </w:tc>
      </w:tr>
      <w:tr w:rsidR="00F16806" w14:paraId="72870BEB" w14:textId="77777777" w:rsidTr="007D7EB2">
        <w:trPr>
          <w:trHeight w:val="300"/>
          <w:jc w:val="center"/>
        </w:trPr>
        <w:tc>
          <w:tcPr>
            <w:tcW w:w="2760" w:type="dxa"/>
            <w:tcBorders>
              <w:top w:val="single" w:sz="4" w:space="0" w:color="ED7D31"/>
              <w:left w:val="single" w:sz="4" w:space="0" w:color="ED7D31"/>
              <w:bottom w:val="nil"/>
              <w:right w:val="nil"/>
            </w:tcBorders>
            <w:shd w:val="clear" w:color="auto" w:fill="auto"/>
            <w:noWrap/>
            <w:vAlign w:val="bottom"/>
            <w:hideMark/>
          </w:tcPr>
          <w:p w14:paraId="16CC8689" w14:textId="77777777" w:rsidR="007D7EB2" w:rsidRPr="007D7EB2" w:rsidRDefault="007C08CF" w:rsidP="007D7EB2">
            <w:pPr>
              <w:spacing w:after="0" w:line="240" w:lineRule="auto"/>
              <w:jc w:val="left"/>
              <w:rPr>
                <w:rFonts w:ascii="Calibri" w:eastAsia="Times New Roman" w:hAnsi="Calibri" w:cs="Calibri"/>
                <w:color w:val="000000"/>
                <w:kern w:val="0"/>
                <w:sz w:val="22"/>
                <w:lang w:val="en-US"/>
                <w14:ligatures w14:val="none"/>
              </w:rPr>
            </w:pPr>
            <w:r w:rsidRPr="007D7EB2">
              <w:rPr>
                <w:rFonts w:ascii="Calibri" w:eastAsia="Times New Roman" w:hAnsi="Calibri" w:cs="Calibri"/>
                <w:color w:val="000000"/>
                <w:kern w:val="0"/>
                <w:sz w:val="22"/>
                <w:lang w:val="en-US"/>
                <w14:ligatures w14:val="none"/>
              </w:rPr>
              <w:t>Profit before tax</w:t>
            </w:r>
          </w:p>
        </w:tc>
        <w:tc>
          <w:tcPr>
            <w:tcW w:w="2300" w:type="dxa"/>
            <w:tcBorders>
              <w:top w:val="single" w:sz="4" w:space="0" w:color="ED7D31"/>
              <w:left w:val="nil"/>
              <w:bottom w:val="nil"/>
              <w:right w:val="nil"/>
            </w:tcBorders>
            <w:shd w:val="clear" w:color="auto" w:fill="auto"/>
            <w:noWrap/>
            <w:vAlign w:val="bottom"/>
            <w:hideMark/>
          </w:tcPr>
          <w:p w14:paraId="3F51EF04" w14:textId="77777777" w:rsidR="007D7EB2" w:rsidRPr="007D7EB2" w:rsidRDefault="007D7EB2" w:rsidP="007D7EB2">
            <w:pPr>
              <w:spacing w:after="0" w:line="240" w:lineRule="auto"/>
              <w:jc w:val="left"/>
              <w:rPr>
                <w:rFonts w:ascii="Calibri" w:eastAsia="Times New Roman" w:hAnsi="Calibri" w:cs="Calibri"/>
                <w:color w:val="000000"/>
                <w:kern w:val="0"/>
                <w:sz w:val="22"/>
                <w:lang w:val="en-US"/>
                <w14:ligatures w14:val="none"/>
              </w:rPr>
            </w:pPr>
          </w:p>
        </w:tc>
        <w:tc>
          <w:tcPr>
            <w:tcW w:w="1300" w:type="dxa"/>
            <w:tcBorders>
              <w:top w:val="single" w:sz="4" w:space="0" w:color="ED7D31"/>
              <w:left w:val="nil"/>
              <w:bottom w:val="nil"/>
              <w:right w:val="single" w:sz="4" w:space="0" w:color="ED7D31"/>
            </w:tcBorders>
            <w:shd w:val="clear" w:color="auto" w:fill="auto"/>
            <w:noWrap/>
            <w:vAlign w:val="bottom"/>
            <w:hideMark/>
          </w:tcPr>
          <w:p w14:paraId="454B3D9A" w14:textId="77777777" w:rsidR="007D7EB2" w:rsidRPr="007D7EB2" w:rsidRDefault="007D7EB2" w:rsidP="007D7EB2">
            <w:pPr>
              <w:spacing w:after="0" w:line="240" w:lineRule="auto"/>
              <w:jc w:val="left"/>
              <w:rPr>
                <w:rFonts w:eastAsia="Times New Roman" w:cs="Times New Roman"/>
                <w:color w:val="auto"/>
                <w:kern w:val="0"/>
                <w:sz w:val="20"/>
                <w:szCs w:val="20"/>
                <w:lang w:val="en-US"/>
                <w14:ligatures w14:val="none"/>
              </w:rPr>
            </w:pPr>
          </w:p>
        </w:tc>
      </w:tr>
      <w:tr w:rsidR="00F16806" w14:paraId="3D95352F" w14:textId="77777777" w:rsidTr="007D7EB2">
        <w:trPr>
          <w:trHeight w:val="300"/>
          <w:jc w:val="center"/>
        </w:trPr>
        <w:tc>
          <w:tcPr>
            <w:tcW w:w="2760" w:type="dxa"/>
            <w:tcBorders>
              <w:top w:val="single" w:sz="4" w:space="0" w:color="ED7D31"/>
              <w:left w:val="single" w:sz="4" w:space="0" w:color="ED7D31"/>
              <w:bottom w:val="nil"/>
              <w:right w:val="nil"/>
            </w:tcBorders>
            <w:shd w:val="clear" w:color="auto" w:fill="auto"/>
            <w:noWrap/>
            <w:vAlign w:val="bottom"/>
            <w:hideMark/>
          </w:tcPr>
          <w:p w14:paraId="41E12172" w14:textId="77777777" w:rsidR="007D7EB2" w:rsidRPr="007D7EB2" w:rsidRDefault="007C08CF" w:rsidP="007D7EB2">
            <w:pPr>
              <w:spacing w:after="0" w:line="240" w:lineRule="auto"/>
              <w:jc w:val="left"/>
              <w:rPr>
                <w:rFonts w:ascii="Calibri" w:eastAsia="Times New Roman" w:hAnsi="Calibri" w:cs="Calibri"/>
                <w:color w:val="000000"/>
                <w:kern w:val="0"/>
                <w:sz w:val="22"/>
                <w:lang w:val="en-US"/>
                <w14:ligatures w14:val="none"/>
              </w:rPr>
            </w:pPr>
            <w:r w:rsidRPr="007D7EB2">
              <w:rPr>
                <w:rFonts w:ascii="Calibri" w:eastAsia="Times New Roman" w:hAnsi="Calibri" w:cs="Calibri"/>
                <w:color w:val="000000"/>
                <w:kern w:val="0"/>
                <w:sz w:val="22"/>
                <w:lang w:val="en-US"/>
                <w14:ligatures w14:val="none"/>
              </w:rPr>
              <w:t>Tax estimated</w:t>
            </w:r>
          </w:p>
        </w:tc>
        <w:tc>
          <w:tcPr>
            <w:tcW w:w="2300" w:type="dxa"/>
            <w:tcBorders>
              <w:top w:val="single" w:sz="4" w:space="0" w:color="ED7D31"/>
              <w:left w:val="nil"/>
              <w:bottom w:val="nil"/>
              <w:right w:val="nil"/>
            </w:tcBorders>
            <w:shd w:val="clear" w:color="auto" w:fill="auto"/>
            <w:noWrap/>
            <w:vAlign w:val="bottom"/>
            <w:hideMark/>
          </w:tcPr>
          <w:p w14:paraId="74CCDB9E" w14:textId="77777777" w:rsidR="007D7EB2" w:rsidRPr="007D7EB2" w:rsidRDefault="007D7EB2" w:rsidP="007D7EB2">
            <w:pPr>
              <w:spacing w:after="0" w:line="240" w:lineRule="auto"/>
              <w:jc w:val="left"/>
              <w:rPr>
                <w:rFonts w:ascii="Calibri" w:eastAsia="Times New Roman" w:hAnsi="Calibri" w:cs="Calibri"/>
                <w:color w:val="000000"/>
                <w:kern w:val="0"/>
                <w:sz w:val="22"/>
                <w:lang w:val="en-US"/>
                <w14:ligatures w14:val="none"/>
              </w:rPr>
            </w:pPr>
          </w:p>
        </w:tc>
        <w:tc>
          <w:tcPr>
            <w:tcW w:w="1300" w:type="dxa"/>
            <w:tcBorders>
              <w:top w:val="single" w:sz="4" w:space="0" w:color="ED7D31"/>
              <w:left w:val="nil"/>
              <w:bottom w:val="nil"/>
              <w:right w:val="single" w:sz="4" w:space="0" w:color="ED7D31"/>
            </w:tcBorders>
            <w:shd w:val="clear" w:color="auto" w:fill="auto"/>
            <w:noWrap/>
            <w:vAlign w:val="bottom"/>
            <w:hideMark/>
          </w:tcPr>
          <w:p w14:paraId="721227FE" w14:textId="77777777" w:rsidR="007D7EB2" w:rsidRPr="007D7EB2" w:rsidRDefault="007C08CF" w:rsidP="007D7EB2">
            <w:pPr>
              <w:spacing w:after="0" w:line="240" w:lineRule="auto"/>
              <w:jc w:val="right"/>
              <w:rPr>
                <w:rFonts w:ascii="Calibri" w:eastAsia="Times New Roman" w:hAnsi="Calibri" w:cs="Calibri"/>
                <w:color w:val="000000"/>
                <w:kern w:val="0"/>
                <w:sz w:val="22"/>
                <w:lang w:val="en-US"/>
                <w14:ligatures w14:val="none"/>
              </w:rPr>
            </w:pPr>
            <w:r w:rsidRPr="007D7EB2">
              <w:rPr>
                <w:rFonts w:ascii="Calibri" w:eastAsia="Times New Roman" w:hAnsi="Calibri" w:cs="Calibri"/>
                <w:color w:val="000000"/>
                <w:kern w:val="0"/>
                <w:sz w:val="22"/>
                <w:lang w:val="en-US"/>
                <w14:ligatures w14:val="none"/>
              </w:rPr>
              <w:t>15000</w:t>
            </w:r>
          </w:p>
        </w:tc>
      </w:tr>
      <w:tr w:rsidR="00F16806" w14:paraId="64DD9894" w14:textId="77777777" w:rsidTr="007D7EB2">
        <w:trPr>
          <w:trHeight w:val="300"/>
          <w:jc w:val="center"/>
        </w:trPr>
        <w:tc>
          <w:tcPr>
            <w:tcW w:w="2760" w:type="dxa"/>
            <w:tcBorders>
              <w:top w:val="single" w:sz="4" w:space="0" w:color="ED7D31"/>
              <w:left w:val="single" w:sz="4" w:space="0" w:color="ED7D31"/>
              <w:bottom w:val="single" w:sz="4" w:space="0" w:color="ED7D31"/>
              <w:right w:val="nil"/>
            </w:tcBorders>
            <w:shd w:val="clear" w:color="auto" w:fill="auto"/>
            <w:noWrap/>
            <w:vAlign w:val="bottom"/>
            <w:hideMark/>
          </w:tcPr>
          <w:p w14:paraId="202613EF" w14:textId="77777777" w:rsidR="007D7EB2" w:rsidRPr="007D7EB2" w:rsidRDefault="007C08CF" w:rsidP="007D7EB2">
            <w:pPr>
              <w:spacing w:after="0" w:line="240" w:lineRule="auto"/>
              <w:jc w:val="left"/>
              <w:rPr>
                <w:rFonts w:ascii="Calibri" w:eastAsia="Times New Roman" w:hAnsi="Calibri" w:cs="Calibri"/>
                <w:color w:val="000000"/>
                <w:kern w:val="0"/>
                <w:sz w:val="22"/>
                <w:lang w:val="en-US"/>
                <w14:ligatures w14:val="none"/>
              </w:rPr>
            </w:pPr>
            <w:r w:rsidRPr="007D7EB2">
              <w:rPr>
                <w:rFonts w:ascii="Calibri" w:eastAsia="Times New Roman" w:hAnsi="Calibri" w:cs="Calibri"/>
                <w:color w:val="000000"/>
                <w:kern w:val="0"/>
                <w:sz w:val="22"/>
                <w:lang w:val="en-US"/>
                <w14:ligatures w14:val="none"/>
              </w:rPr>
              <w:t>Net profit for the year</w:t>
            </w:r>
          </w:p>
        </w:tc>
        <w:tc>
          <w:tcPr>
            <w:tcW w:w="2300" w:type="dxa"/>
            <w:tcBorders>
              <w:top w:val="single" w:sz="4" w:space="0" w:color="ED7D31"/>
              <w:left w:val="nil"/>
              <w:bottom w:val="single" w:sz="4" w:space="0" w:color="ED7D31"/>
              <w:right w:val="nil"/>
            </w:tcBorders>
            <w:shd w:val="clear" w:color="auto" w:fill="auto"/>
            <w:noWrap/>
            <w:vAlign w:val="bottom"/>
            <w:hideMark/>
          </w:tcPr>
          <w:p w14:paraId="6FD772B7" w14:textId="77777777" w:rsidR="007D7EB2" w:rsidRPr="007D7EB2" w:rsidRDefault="007D7EB2" w:rsidP="007D7EB2">
            <w:pPr>
              <w:spacing w:after="0" w:line="240" w:lineRule="auto"/>
              <w:jc w:val="left"/>
              <w:rPr>
                <w:rFonts w:ascii="Calibri" w:eastAsia="Times New Roman" w:hAnsi="Calibri" w:cs="Calibri"/>
                <w:color w:val="000000"/>
                <w:kern w:val="0"/>
                <w:sz w:val="22"/>
                <w:lang w:val="en-US"/>
                <w14:ligatures w14:val="none"/>
              </w:rPr>
            </w:pPr>
          </w:p>
        </w:tc>
        <w:tc>
          <w:tcPr>
            <w:tcW w:w="1300" w:type="dxa"/>
            <w:tcBorders>
              <w:top w:val="single" w:sz="4" w:space="0" w:color="ED7D31"/>
              <w:left w:val="nil"/>
              <w:bottom w:val="single" w:sz="4" w:space="0" w:color="ED7D31"/>
              <w:right w:val="single" w:sz="4" w:space="0" w:color="ED7D31"/>
            </w:tcBorders>
            <w:shd w:val="clear" w:color="auto" w:fill="auto"/>
            <w:noWrap/>
            <w:vAlign w:val="bottom"/>
            <w:hideMark/>
          </w:tcPr>
          <w:p w14:paraId="3758CDD8" w14:textId="77777777" w:rsidR="007D7EB2" w:rsidRPr="007D7EB2" w:rsidRDefault="007C08CF" w:rsidP="007D7EB2">
            <w:pPr>
              <w:spacing w:after="0" w:line="240" w:lineRule="auto"/>
              <w:jc w:val="right"/>
              <w:rPr>
                <w:rFonts w:ascii="Calibri" w:eastAsia="Times New Roman" w:hAnsi="Calibri" w:cs="Calibri"/>
                <w:color w:val="000000"/>
                <w:kern w:val="0"/>
                <w:sz w:val="22"/>
                <w:lang w:val="en-US"/>
                <w14:ligatures w14:val="none"/>
              </w:rPr>
            </w:pPr>
            <w:r w:rsidRPr="007D7EB2">
              <w:rPr>
                <w:rFonts w:ascii="Calibri" w:eastAsia="Times New Roman" w:hAnsi="Calibri" w:cs="Calibri"/>
                <w:color w:val="000000"/>
                <w:kern w:val="0"/>
                <w:sz w:val="22"/>
                <w:lang w:val="en-US"/>
                <w14:ligatures w14:val="none"/>
              </w:rPr>
              <w:t>613000</w:t>
            </w:r>
          </w:p>
        </w:tc>
      </w:tr>
    </w:tbl>
    <w:p w14:paraId="29265432" w14:textId="77777777" w:rsidR="00E2475B" w:rsidRPr="00E2475B" w:rsidRDefault="00E2475B" w:rsidP="00E2475B">
      <w:pPr>
        <w:jc w:val="center"/>
      </w:pPr>
    </w:p>
    <w:p w14:paraId="009907DC" w14:textId="537035F6" w:rsidR="00C85AA7" w:rsidRDefault="007C08CF" w:rsidP="00C85AA7">
      <w:pPr>
        <w:rPr>
          <w:b/>
          <w:bCs/>
          <w:i/>
          <w:iCs/>
          <w:lang w:bidi="th-TH"/>
        </w:rPr>
      </w:pPr>
      <w:r>
        <w:rPr>
          <w:b/>
          <w:bCs/>
          <w:i/>
          <w:iCs/>
          <w:lang w:bidi="th-TH"/>
        </w:rPr>
        <w:t>Interpretation</w:t>
      </w:r>
    </w:p>
    <w:p w14:paraId="4482C42A" w14:textId="5D376EA5" w:rsidR="00185191" w:rsidRDefault="007C08CF" w:rsidP="00C85AA7">
      <w:r w:rsidRPr="003D1EA2">
        <w:rPr>
          <w:lang w:bidi="th-TH"/>
        </w:rPr>
        <w:t>Wales plc</w:t>
      </w:r>
      <w:r w:rsidR="00A67F55">
        <w:rPr>
          <w:lang w:bidi="th-TH"/>
        </w:rPr>
        <w:t>’</w:t>
      </w:r>
      <w:r w:rsidRPr="003D1EA2">
        <w:rPr>
          <w:lang w:bidi="th-TH"/>
        </w:rPr>
        <w:t>s income statement for the fiscal year that concluded on December 31, 2022, shows a strong financial performance. During that time, sales tota</w:t>
      </w:r>
      <w:r w:rsidR="006866C0">
        <w:rPr>
          <w:lang w:bidi="th-TH"/>
        </w:rPr>
        <w:t>l</w:t>
      </w:r>
      <w:r w:rsidRPr="003D1EA2">
        <w:rPr>
          <w:lang w:bidi="th-TH"/>
        </w:rPr>
        <w:t>led £900,000. A gross profit of £835,000 was obtained by deducting the cost of goods sold (COGS), which includes equipment depreciation at a rate of 10%. Operating expenses came to £205,000. These included interest payments, director</w:t>
      </w:r>
      <w:r w:rsidR="006866C0">
        <w:rPr>
          <w:lang w:bidi="th-TH"/>
        </w:rPr>
        <w:t>’</w:t>
      </w:r>
      <w:r w:rsidRPr="003D1EA2">
        <w:rPr>
          <w:lang w:bidi="th-TH"/>
        </w:rPr>
        <w:t>s compensation, distribution charges, and administrative fees. That meant that the profit before tax was £630,000</w:t>
      </w:r>
      <w:r w:rsidR="00344074">
        <w:rPr>
          <w:lang w:bidi="th-TH"/>
        </w:rPr>
        <w:t xml:space="preserve"> </w:t>
      </w:r>
      <w:r w:rsidR="00344074">
        <w:rPr>
          <w:shd w:val="clear" w:color="auto" w:fill="FFFFFF"/>
        </w:rPr>
        <w:t xml:space="preserve">(Lee </w:t>
      </w:r>
      <w:r w:rsidR="00344074">
        <w:rPr>
          <w:i/>
          <w:iCs/>
          <w:shd w:val="clear" w:color="auto" w:fill="FFFFFF"/>
        </w:rPr>
        <w:t xml:space="preserve">et al., </w:t>
      </w:r>
      <w:r w:rsidR="00344074">
        <w:rPr>
          <w:shd w:val="clear" w:color="auto" w:fill="FFFFFF"/>
        </w:rPr>
        <w:t>2022)</w:t>
      </w:r>
      <w:r w:rsidRPr="003D1EA2">
        <w:rPr>
          <w:lang w:bidi="th-TH"/>
        </w:rPr>
        <w:t xml:space="preserve">. </w:t>
      </w:r>
      <w:r w:rsidRPr="003D1EA2">
        <w:rPr>
          <w:lang w:bidi="th-TH"/>
        </w:rPr>
        <w:t>With a projected £15,000 annual tax liability, the net profit is £613,000. This financial overview highlights the business</w:t>
      </w:r>
      <w:r w:rsidR="00160898">
        <w:rPr>
          <w:lang w:bidi="th-TH"/>
        </w:rPr>
        <w:t>’</w:t>
      </w:r>
      <w:r w:rsidRPr="003D1EA2">
        <w:rPr>
          <w:lang w:bidi="th-TH"/>
        </w:rPr>
        <w:t>s capacity to bring in money, control expenses well, and turn a respectable profit, demonstrating its soundness and stability as of year</w:t>
      </w:r>
      <w:r w:rsidR="00B16A03">
        <w:rPr>
          <w:lang w:bidi="th-TH"/>
        </w:rPr>
        <w:t>’</w:t>
      </w:r>
      <w:r w:rsidRPr="003D1EA2">
        <w:rPr>
          <w:lang w:bidi="th-TH"/>
        </w:rPr>
        <w:t>s end.</w:t>
      </w:r>
      <w:r w:rsidR="00937F7D" w:rsidRPr="00937F7D">
        <w:t xml:space="preserve"> </w:t>
      </w:r>
      <w:r w:rsidR="00937F7D" w:rsidRPr="00937F7D">
        <w:rPr>
          <w:lang w:bidi="th-TH"/>
        </w:rPr>
        <w:t>Including projected taxes and carefully accounting for different expenses help to create a complete picture of the business</w:t>
      </w:r>
      <w:r w:rsidR="00937F7D">
        <w:rPr>
          <w:lang w:bidi="th-TH"/>
        </w:rPr>
        <w:t>’</w:t>
      </w:r>
      <w:r w:rsidR="00937F7D" w:rsidRPr="00937F7D">
        <w:rPr>
          <w:lang w:bidi="th-TH"/>
        </w:rPr>
        <w:t>s financial performance.</w:t>
      </w:r>
      <w:r w:rsidR="005D6700">
        <w:rPr>
          <w:lang w:bidi="th-TH"/>
        </w:rPr>
        <w:t xml:space="preserve"> </w:t>
      </w:r>
    </w:p>
    <w:p w14:paraId="3D5F15FD" w14:textId="77777777" w:rsidR="00185191" w:rsidRDefault="007C08CF">
      <w:pPr>
        <w:spacing w:line="259" w:lineRule="auto"/>
        <w:jc w:val="left"/>
        <w:rPr>
          <w:lang w:bidi="th-TH"/>
        </w:rPr>
      </w:pPr>
      <w:r>
        <w:rPr>
          <w:lang w:bidi="th-TH"/>
        </w:rPr>
        <w:br w:type="page"/>
      </w:r>
    </w:p>
    <w:p w14:paraId="5BE1B9B6" w14:textId="7E359BED" w:rsidR="000E5B11" w:rsidRDefault="007C08CF" w:rsidP="003F47C7">
      <w:pPr>
        <w:pStyle w:val="Heading1"/>
        <w:rPr>
          <w:lang w:val="en-US"/>
        </w:rPr>
      </w:pPr>
      <w:bookmarkStart w:id="5" w:name="_Toc151731823"/>
      <w:r>
        <w:t>Question 3</w:t>
      </w:r>
      <w:r w:rsidR="005D6700">
        <w:t xml:space="preserve">- </w:t>
      </w:r>
      <w:r w:rsidR="003F47C7">
        <w:rPr>
          <w:lang w:val="en-US"/>
        </w:rPr>
        <w:t>Preparation and interpretation of the financial ratios</w:t>
      </w:r>
      <w:bookmarkEnd w:id="5"/>
    </w:p>
    <w:p w14:paraId="1D4FA9F1" w14:textId="0F0C13C6" w:rsidR="00B007F0" w:rsidRDefault="007C08CF" w:rsidP="00B007F0">
      <w:pPr>
        <w:pStyle w:val="Heading2"/>
        <w:rPr>
          <w:color w:val="0D0D0D" w:themeColor="text1" w:themeTint="F2"/>
          <w:szCs w:val="26"/>
          <w:lang w:val="en-US"/>
        </w:rPr>
      </w:pPr>
      <w:bookmarkStart w:id="6" w:name="_Toc112082925"/>
      <w:bookmarkStart w:id="7" w:name="_Toc151731824"/>
      <w:r>
        <w:t xml:space="preserve">Calculation of Several financial ratios of </w:t>
      </w:r>
      <w:proofErr w:type="gramStart"/>
      <w:r>
        <w:t>Sweets</w:t>
      </w:r>
      <w:proofErr w:type="gramEnd"/>
      <w:r>
        <w:t xml:space="preserve"> plc </w:t>
      </w:r>
      <w:r>
        <w:rPr>
          <w:rFonts w:eastAsia="Times New Roman"/>
        </w:rPr>
        <w:t>for the years 2022 and 202</w:t>
      </w:r>
      <w:bookmarkEnd w:id="6"/>
      <w:r>
        <w:rPr>
          <w:rFonts w:eastAsia="Times New Roman"/>
        </w:rPr>
        <w:t>1</w:t>
      </w:r>
      <w:bookmarkEnd w:id="7"/>
      <w:r>
        <w:t xml:space="preserve"> </w:t>
      </w:r>
    </w:p>
    <w:tbl>
      <w:tblPr>
        <w:tblStyle w:val="ListTable7Colorful-Accent6"/>
        <w:tblW w:w="0" w:type="auto"/>
        <w:jc w:val="center"/>
        <w:shd w:val="clear" w:color="auto" w:fill="DEEAF6" w:themeFill="accent5" w:themeFillTint="33"/>
        <w:tblLook w:val="04A0" w:firstRow="1" w:lastRow="0" w:firstColumn="1" w:lastColumn="0" w:noHBand="0" w:noVBand="1"/>
      </w:tblPr>
      <w:tblGrid>
        <w:gridCol w:w="4109"/>
        <w:gridCol w:w="1056"/>
        <w:gridCol w:w="996"/>
      </w:tblGrid>
      <w:tr w:rsidR="00F16806" w14:paraId="27B2BE9A" w14:textId="77777777" w:rsidTr="00F16806">
        <w:trPr>
          <w:cnfStyle w:val="100000000000" w:firstRow="1" w:lastRow="0" w:firstColumn="0" w:lastColumn="0" w:oddVBand="0" w:evenVBand="0" w:oddHBand="0" w:evenHBand="0" w:firstRowFirstColumn="0" w:firstRowLastColumn="0" w:lastRowFirstColumn="0" w:lastRowLastColumn="0"/>
          <w:trHeight w:val="305"/>
          <w:jc w:val="center"/>
        </w:trPr>
        <w:tc>
          <w:tcPr>
            <w:cnfStyle w:val="001000000100" w:firstRow="0" w:lastRow="0" w:firstColumn="1" w:lastColumn="0" w:oddVBand="0" w:evenVBand="0" w:oddHBand="0" w:evenHBand="0" w:firstRowFirstColumn="1" w:firstRowLastColumn="0" w:lastRowFirstColumn="0" w:lastRowLastColumn="0"/>
            <w:tcW w:w="0" w:type="auto"/>
            <w:gridSpan w:val="3"/>
            <w:tcBorders>
              <w:top w:val="nil"/>
              <w:left w:val="nil"/>
            </w:tcBorders>
            <w:shd w:val="clear" w:color="auto" w:fill="DEEAF6" w:themeFill="accent5" w:themeFillTint="33"/>
            <w:hideMark/>
          </w:tcPr>
          <w:p w14:paraId="14374730" w14:textId="77777777" w:rsidR="00B007F0" w:rsidRDefault="007C08CF">
            <w:pPr>
              <w:jc w:val="center"/>
              <w:rPr>
                <w:rFonts w:eastAsia="Times New Roman" w:cs="Times New Roman"/>
              </w:rPr>
            </w:pPr>
            <w:r>
              <w:rPr>
                <w:rFonts w:eastAsia="Times New Roman" w:cs="Times New Roman"/>
                <w:color w:val="000000"/>
                <w:shd w:val="clear" w:color="auto" w:fill="DAEEF3"/>
              </w:rPr>
              <w:t>Calculation of Return on capital employed (ROCE)</w:t>
            </w:r>
          </w:p>
        </w:tc>
      </w:tr>
      <w:tr w:rsidR="00F16806" w14:paraId="6361F70F" w14:textId="77777777" w:rsidTr="00F16806">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DEEAF6" w:themeFill="accent5" w:themeFillTint="33"/>
            <w:hideMark/>
          </w:tcPr>
          <w:p w14:paraId="0F46DC56" w14:textId="77777777" w:rsidR="00B007F0" w:rsidRDefault="007C08CF">
            <w:pPr>
              <w:jc w:val="center"/>
              <w:rPr>
                <w:rFonts w:eastAsia="Times New Roman" w:cs="Times New Roman"/>
              </w:rPr>
            </w:pPr>
            <w:r>
              <w:rPr>
                <w:rFonts w:eastAsia="Times New Roman" w:cs="Times New Roman"/>
                <w:color w:val="000000"/>
              </w:rPr>
              <w:t>Particulars </w:t>
            </w:r>
          </w:p>
        </w:tc>
        <w:tc>
          <w:tcPr>
            <w:tcW w:w="0" w:type="auto"/>
            <w:shd w:val="clear" w:color="auto" w:fill="DEEAF6" w:themeFill="accent5" w:themeFillTint="33"/>
            <w:hideMark/>
          </w:tcPr>
          <w:p w14:paraId="2C7F802C" w14:textId="2B0B963B" w:rsidR="00B007F0" w:rsidRDefault="007C08CF">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eastAsia="Times New Roman" w:cs="Times New Roman"/>
                <w:color w:val="000000"/>
              </w:rPr>
              <w:t>2022 </w:t>
            </w:r>
          </w:p>
        </w:tc>
        <w:tc>
          <w:tcPr>
            <w:tcW w:w="0" w:type="auto"/>
            <w:shd w:val="clear" w:color="auto" w:fill="DEEAF6" w:themeFill="accent5" w:themeFillTint="33"/>
            <w:hideMark/>
          </w:tcPr>
          <w:p w14:paraId="3264E2EA" w14:textId="6BF8FA6A" w:rsidR="00B007F0" w:rsidRDefault="007C08CF">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eastAsia="Times New Roman" w:cs="Times New Roman"/>
                <w:color w:val="000000"/>
              </w:rPr>
              <w:t>2021</w:t>
            </w:r>
          </w:p>
        </w:tc>
      </w:tr>
      <w:tr w:rsidR="00F16806" w14:paraId="4F52C6F6" w14:textId="77777777" w:rsidTr="00F16806">
        <w:trPr>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DEEAF6" w:themeFill="accent5" w:themeFillTint="33"/>
            <w:hideMark/>
          </w:tcPr>
          <w:p w14:paraId="404FE24D" w14:textId="77777777" w:rsidR="00B007F0" w:rsidRDefault="007C08CF">
            <w:pPr>
              <w:jc w:val="center"/>
              <w:rPr>
                <w:rFonts w:eastAsia="Times New Roman" w:cs="Times New Roman"/>
              </w:rPr>
            </w:pPr>
            <w:r>
              <w:rPr>
                <w:rFonts w:eastAsia="Times New Roman" w:cs="Times New Roman"/>
                <w:color w:val="000000"/>
              </w:rPr>
              <w:t>Earnings before interest and tax (EBIT) </w:t>
            </w:r>
          </w:p>
        </w:tc>
        <w:tc>
          <w:tcPr>
            <w:tcW w:w="0" w:type="auto"/>
            <w:shd w:val="clear" w:color="auto" w:fill="DEEAF6" w:themeFill="accent5" w:themeFillTint="33"/>
            <w:hideMark/>
          </w:tcPr>
          <w:p w14:paraId="53A9745F" w14:textId="77777777" w:rsidR="00B007F0" w:rsidRDefault="007C08CF">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eastAsia="Times New Roman" w:cs="Times New Roman"/>
                <w:color w:val="000000"/>
              </w:rPr>
              <w:t>805 </w:t>
            </w:r>
          </w:p>
        </w:tc>
        <w:tc>
          <w:tcPr>
            <w:tcW w:w="0" w:type="auto"/>
            <w:shd w:val="clear" w:color="auto" w:fill="DEEAF6" w:themeFill="accent5" w:themeFillTint="33"/>
            <w:hideMark/>
          </w:tcPr>
          <w:p w14:paraId="26E23688" w14:textId="77777777" w:rsidR="00B007F0" w:rsidRDefault="007C08CF">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eastAsia="Times New Roman" w:cs="Times New Roman"/>
                <w:color w:val="000000"/>
              </w:rPr>
              <w:t>699</w:t>
            </w:r>
          </w:p>
        </w:tc>
      </w:tr>
      <w:tr w:rsidR="00F16806" w14:paraId="1672BE19" w14:textId="77777777" w:rsidTr="00F16806">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DEEAF6" w:themeFill="accent5" w:themeFillTint="33"/>
            <w:hideMark/>
          </w:tcPr>
          <w:p w14:paraId="35A7B71D" w14:textId="77777777" w:rsidR="00B007F0" w:rsidRDefault="007C08CF">
            <w:pPr>
              <w:jc w:val="center"/>
              <w:rPr>
                <w:rFonts w:eastAsia="Times New Roman" w:cs="Times New Roman"/>
              </w:rPr>
            </w:pPr>
            <w:r>
              <w:rPr>
                <w:rFonts w:eastAsia="Times New Roman" w:cs="Times New Roman"/>
                <w:color w:val="000000"/>
              </w:rPr>
              <w:t>Total Asset </w:t>
            </w:r>
          </w:p>
        </w:tc>
        <w:tc>
          <w:tcPr>
            <w:tcW w:w="0" w:type="auto"/>
            <w:shd w:val="clear" w:color="auto" w:fill="DEEAF6" w:themeFill="accent5" w:themeFillTint="33"/>
            <w:hideMark/>
          </w:tcPr>
          <w:p w14:paraId="7E28B503" w14:textId="77777777" w:rsidR="00B007F0" w:rsidRDefault="007C08CF">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eastAsia="Times New Roman" w:cs="Times New Roman"/>
                <w:color w:val="000000"/>
              </w:rPr>
              <w:t>9,736 </w:t>
            </w:r>
          </w:p>
        </w:tc>
        <w:tc>
          <w:tcPr>
            <w:tcW w:w="0" w:type="auto"/>
            <w:shd w:val="clear" w:color="auto" w:fill="DEEAF6" w:themeFill="accent5" w:themeFillTint="33"/>
            <w:hideMark/>
          </w:tcPr>
          <w:p w14:paraId="7AB5405A" w14:textId="77777777" w:rsidR="00B007F0" w:rsidRDefault="007C08CF">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eastAsia="Times New Roman" w:cs="Times New Roman"/>
                <w:color w:val="000000"/>
              </w:rPr>
              <w:t>10,087</w:t>
            </w:r>
          </w:p>
        </w:tc>
      </w:tr>
      <w:tr w:rsidR="00F16806" w14:paraId="2B1AD6A8" w14:textId="77777777" w:rsidTr="00F16806">
        <w:trPr>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DEEAF6" w:themeFill="accent5" w:themeFillTint="33"/>
            <w:hideMark/>
          </w:tcPr>
          <w:p w14:paraId="4AF3933B" w14:textId="77777777" w:rsidR="00B007F0" w:rsidRDefault="007C08CF">
            <w:pPr>
              <w:jc w:val="center"/>
              <w:rPr>
                <w:rFonts w:eastAsia="Times New Roman" w:cs="Times New Roman"/>
              </w:rPr>
            </w:pPr>
            <w:r>
              <w:rPr>
                <w:rFonts w:eastAsia="Times New Roman" w:cs="Times New Roman"/>
                <w:color w:val="000000"/>
              </w:rPr>
              <w:t>Current liabilities </w:t>
            </w:r>
          </w:p>
        </w:tc>
        <w:tc>
          <w:tcPr>
            <w:tcW w:w="0" w:type="auto"/>
            <w:shd w:val="clear" w:color="auto" w:fill="DEEAF6" w:themeFill="accent5" w:themeFillTint="33"/>
            <w:hideMark/>
          </w:tcPr>
          <w:p w14:paraId="7D642994" w14:textId="77777777" w:rsidR="00B007F0" w:rsidRDefault="007C08CF">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eastAsia="Times New Roman" w:cs="Times New Roman"/>
                <w:color w:val="000000"/>
              </w:rPr>
              <w:t>2,511 </w:t>
            </w:r>
          </w:p>
        </w:tc>
        <w:tc>
          <w:tcPr>
            <w:tcW w:w="0" w:type="auto"/>
            <w:shd w:val="clear" w:color="auto" w:fill="DEEAF6" w:themeFill="accent5" w:themeFillTint="33"/>
            <w:hideMark/>
          </w:tcPr>
          <w:p w14:paraId="069C093B" w14:textId="77777777" w:rsidR="00B007F0" w:rsidRDefault="007C08CF">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eastAsia="Times New Roman" w:cs="Times New Roman"/>
                <w:color w:val="000000"/>
              </w:rPr>
              <w:t>3,046</w:t>
            </w:r>
          </w:p>
        </w:tc>
      </w:tr>
      <w:tr w:rsidR="00F16806" w14:paraId="390A8221" w14:textId="77777777" w:rsidTr="00F16806">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DEEAF6" w:themeFill="accent5" w:themeFillTint="33"/>
            <w:hideMark/>
          </w:tcPr>
          <w:p w14:paraId="3FA9A3AD" w14:textId="77777777" w:rsidR="00B007F0" w:rsidRDefault="007C08CF">
            <w:pPr>
              <w:jc w:val="center"/>
              <w:rPr>
                <w:rFonts w:eastAsia="Times New Roman" w:cs="Times New Roman"/>
              </w:rPr>
            </w:pPr>
            <w:r>
              <w:rPr>
                <w:rFonts w:eastAsia="Times New Roman" w:cs="Times New Roman"/>
                <w:color w:val="000000"/>
              </w:rPr>
              <w:t>Capital employed </w:t>
            </w:r>
          </w:p>
        </w:tc>
        <w:tc>
          <w:tcPr>
            <w:tcW w:w="0" w:type="auto"/>
            <w:shd w:val="clear" w:color="auto" w:fill="DEEAF6" w:themeFill="accent5" w:themeFillTint="33"/>
            <w:hideMark/>
          </w:tcPr>
          <w:p w14:paraId="69F909F9" w14:textId="77777777" w:rsidR="00B007F0" w:rsidRDefault="007C08CF">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eastAsia="Times New Roman" w:cs="Times New Roman"/>
                <w:color w:val="000000"/>
              </w:rPr>
              <w:t>7,225 </w:t>
            </w:r>
          </w:p>
        </w:tc>
        <w:tc>
          <w:tcPr>
            <w:tcW w:w="0" w:type="auto"/>
            <w:shd w:val="clear" w:color="auto" w:fill="DEEAF6" w:themeFill="accent5" w:themeFillTint="33"/>
            <w:hideMark/>
          </w:tcPr>
          <w:p w14:paraId="12008567" w14:textId="77777777" w:rsidR="00B007F0" w:rsidRDefault="007C08CF">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eastAsia="Times New Roman" w:cs="Times New Roman"/>
                <w:color w:val="000000"/>
              </w:rPr>
              <w:t>7,041</w:t>
            </w:r>
          </w:p>
        </w:tc>
      </w:tr>
      <w:tr w:rsidR="00F16806" w14:paraId="38FDE7C4" w14:textId="77777777" w:rsidTr="00F16806">
        <w:trPr>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DEEAF6" w:themeFill="accent5" w:themeFillTint="33"/>
            <w:hideMark/>
          </w:tcPr>
          <w:p w14:paraId="632F114A" w14:textId="77777777" w:rsidR="00B007F0" w:rsidRDefault="007C08CF">
            <w:pPr>
              <w:jc w:val="center"/>
              <w:rPr>
                <w:rFonts w:eastAsia="Times New Roman" w:cs="Times New Roman"/>
              </w:rPr>
            </w:pPr>
            <w:r>
              <w:rPr>
                <w:rFonts w:eastAsia="Times New Roman" w:cs="Times New Roman"/>
                <w:color w:val="000000"/>
              </w:rPr>
              <w:t>ROCE= EBIT/ Capital employed </w:t>
            </w:r>
          </w:p>
        </w:tc>
        <w:tc>
          <w:tcPr>
            <w:tcW w:w="0" w:type="auto"/>
            <w:shd w:val="clear" w:color="auto" w:fill="DEEAF6" w:themeFill="accent5" w:themeFillTint="33"/>
            <w:hideMark/>
          </w:tcPr>
          <w:p w14:paraId="1FB733E7" w14:textId="77777777" w:rsidR="00B007F0" w:rsidRDefault="007C08CF">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eastAsia="Times New Roman" w:cs="Times New Roman"/>
                <w:color w:val="000000"/>
              </w:rPr>
              <w:t>11.1419 </w:t>
            </w:r>
          </w:p>
        </w:tc>
        <w:tc>
          <w:tcPr>
            <w:tcW w:w="0" w:type="auto"/>
            <w:shd w:val="clear" w:color="auto" w:fill="DEEAF6" w:themeFill="accent5" w:themeFillTint="33"/>
            <w:hideMark/>
          </w:tcPr>
          <w:p w14:paraId="524EED99" w14:textId="77777777" w:rsidR="00B007F0" w:rsidRDefault="007C08CF">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eastAsia="Times New Roman" w:cs="Times New Roman"/>
                <w:color w:val="000000"/>
              </w:rPr>
              <w:t>9.92757</w:t>
            </w:r>
          </w:p>
        </w:tc>
      </w:tr>
    </w:tbl>
    <w:p w14:paraId="7FB1143B" w14:textId="77777777" w:rsidR="00B007F0" w:rsidRDefault="00B007F0" w:rsidP="00B007F0">
      <w:pPr>
        <w:rPr>
          <w:rFonts w:eastAsia="Calibri" w:cs="Calibri"/>
          <w:b/>
          <w:bCs/>
          <w:lang w:eastAsia="en-GB"/>
        </w:rPr>
      </w:pPr>
    </w:p>
    <w:tbl>
      <w:tblPr>
        <w:tblStyle w:val="ListTable7Colorful-Accent6"/>
        <w:tblW w:w="0" w:type="auto"/>
        <w:jc w:val="center"/>
        <w:shd w:val="clear" w:color="auto" w:fill="DEEAF6" w:themeFill="accent5" w:themeFillTint="33"/>
        <w:tblLook w:val="04A0" w:firstRow="1" w:lastRow="0" w:firstColumn="1" w:lastColumn="0" w:noHBand="0" w:noVBand="1"/>
      </w:tblPr>
      <w:tblGrid>
        <w:gridCol w:w="4024"/>
        <w:gridCol w:w="1102"/>
        <w:gridCol w:w="696"/>
      </w:tblGrid>
      <w:tr w:rsidR="00F16806" w14:paraId="16B1B1A9" w14:textId="77777777" w:rsidTr="00F16806">
        <w:trPr>
          <w:cnfStyle w:val="100000000000" w:firstRow="1" w:lastRow="0" w:firstColumn="0" w:lastColumn="0" w:oddVBand="0" w:evenVBand="0" w:oddHBand="0" w:evenHBand="0" w:firstRowFirstColumn="0" w:firstRowLastColumn="0" w:lastRowFirstColumn="0" w:lastRowLastColumn="0"/>
          <w:trHeight w:val="305"/>
          <w:jc w:val="center"/>
        </w:trPr>
        <w:tc>
          <w:tcPr>
            <w:cnfStyle w:val="001000000100" w:firstRow="0" w:lastRow="0" w:firstColumn="1" w:lastColumn="0" w:oddVBand="0" w:evenVBand="0" w:oddHBand="0" w:evenHBand="0" w:firstRowFirstColumn="1" w:firstRowLastColumn="0" w:lastRowFirstColumn="0" w:lastRowLastColumn="0"/>
            <w:tcW w:w="0" w:type="auto"/>
            <w:gridSpan w:val="3"/>
            <w:tcBorders>
              <w:top w:val="nil"/>
              <w:left w:val="nil"/>
            </w:tcBorders>
            <w:shd w:val="clear" w:color="auto" w:fill="DEEAF6" w:themeFill="accent5" w:themeFillTint="33"/>
            <w:hideMark/>
          </w:tcPr>
          <w:p w14:paraId="476206F5" w14:textId="77777777" w:rsidR="00B007F0" w:rsidRPr="00B007F0" w:rsidRDefault="007C08CF">
            <w:pPr>
              <w:jc w:val="center"/>
              <w:rPr>
                <w:rFonts w:eastAsia="Times New Roman" w:cs="Times New Roman"/>
                <w:i w:val="0"/>
                <w:iCs w:val="0"/>
              </w:rPr>
            </w:pPr>
            <w:r w:rsidRPr="00B007F0">
              <w:rPr>
                <w:rFonts w:eastAsia="Times New Roman" w:cs="Times New Roman"/>
                <w:color w:val="000000"/>
                <w:shd w:val="clear" w:color="auto" w:fill="DAEEF3"/>
              </w:rPr>
              <w:t>Calculation of Return on equity (ROE)</w:t>
            </w:r>
          </w:p>
        </w:tc>
      </w:tr>
      <w:tr w:rsidR="00F16806" w14:paraId="23A5F41A" w14:textId="77777777" w:rsidTr="00F16806">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DEEAF6" w:themeFill="accent5" w:themeFillTint="33"/>
            <w:hideMark/>
          </w:tcPr>
          <w:p w14:paraId="39F94CE7" w14:textId="77777777" w:rsidR="00B007F0" w:rsidRDefault="007C08CF">
            <w:pPr>
              <w:jc w:val="center"/>
              <w:rPr>
                <w:rFonts w:eastAsia="Times New Roman" w:cs="Times New Roman"/>
              </w:rPr>
            </w:pPr>
            <w:r>
              <w:rPr>
                <w:rFonts w:eastAsia="Times New Roman" w:cs="Times New Roman"/>
                <w:color w:val="000000"/>
              </w:rPr>
              <w:t>Particulars </w:t>
            </w:r>
          </w:p>
        </w:tc>
        <w:tc>
          <w:tcPr>
            <w:tcW w:w="0" w:type="auto"/>
            <w:shd w:val="clear" w:color="auto" w:fill="DEEAF6" w:themeFill="accent5" w:themeFillTint="33"/>
            <w:hideMark/>
          </w:tcPr>
          <w:p w14:paraId="2C080FB6" w14:textId="5694B1AA" w:rsidR="00B007F0" w:rsidRDefault="007C08CF">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eastAsia="Times New Roman" w:cs="Times New Roman"/>
                <w:color w:val="000000"/>
              </w:rPr>
              <w:t>2022 </w:t>
            </w:r>
          </w:p>
        </w:tc>
        <w:tc>
          <w:tcPr>
            <w:tcW w:w="0" w:type="auto"/>
            <w:shd w:val="clear" w:color="auto" w:fill="DEEAF6" w:themeFill="accent5" w:themeFillTint="33"/>
            <w:hideMark/>
          </w:tcPr>
          <w:p w14:paraId="4C4F9222" w14:textId="143007CA" w:rsidR="00B007F0" w:rsidRDefault="007C08CF">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eastAsia="Times New Roman" w:cs="Times New Roman"/>
                <w:color w:val="000000"/>
              </w:rPr>
              <w:t>2021</w:t>
            </w:r>
          </w:p>
        </w:tc>
      </w:tr>
      <w:tr w:rsidR="00F16806" w14:paraId="6E140DD9" w14:textId="77777777" w:rsidTr="00F16806">
        <w:trPr>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DEEAF6" w:themeFill="accent5" w:themeFillTint="33"/>
            <w:hideMark/>
          </w:tcPr>
          <w:p w14:paraId="30924371" w14:textId="77777777" w:rsidR="00B007F0" w:rsidRDefault="007C08CF">
            <w:pPr>
              <w:jc w:val="center"/>
              <w:rPr>
                <w:rFonts w:eastAsia="Times New Roman" w:cs="Times New Roman"/>
              </w:rPr>
            </w:pPr>
            <w:r>
              <w:rPr>
                <w:rFonts w:eastAsia="Times New Roman" w:cs="Times New Roman"/>
                <w:color w:val="000000"/>
              </w:rPr>
              <w:t>Net income </w:t>
            </w:r>
          </w:p>
        </w:tc>
        <w:tc>
          <w:tcPr>
            <w:tcW w:w="0" w:type="auto"/>
            <w:shd w:val="clear" w:color="auto" w:fill="DEEAF6" w:themeFill="accent5" w:themeFillTint="33"/>
            <w:hideMark/>
          </w:tcPr>
          <w:p w14:paraId="76321027" w14:textId="77777777" w:rsidR="00B007F0" w:rsidRDefault="007C08CF">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ascii="Calibri" w:eastAsia="Times New Roman" w:hAnsi="Calibri"/>
                <w:color w:val="000000"/>
                <w:sz w:val="22"/>
              </w:rPr>
              <w:t>431 </w:t>
            </w:r>
          </w:p>
        </w:tc>
        <w:tc>
          <w:tcPr>
            <w:tcW w:w="0" w:type="auto"/>
            <w:shd w:val="clear" w:color="auto" w:fill="DEEAF6" w:themeFill="accent5" w:themeFillTint="33"/>
            <w:hideMark/>
          </w:tcPr>
          <w:p w14:paraId="79A29AA8" w14:textId="77777777" w:rsidR="00B007F0" w:rsidRDefault="007C08CF">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ascii="Calibri" w:eastAsia="Times New Roman" w:hAnsi="Calibri"/>
                <w:color w:val="000000"/>
                <w:sz w:val="22"/>
              </w:rPr>
              <w:t>366</w:t>
            </w:r>
          </w:p>
        </w:tc>
      </w:tr>
      <w:tr w:rsidR="00F16806" w14:paraId="2CA27F2C" w14:textId="77777777" w:rsidTr="00F16806">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DEEAF6" w:themeFill="accent5" w:themeFillTint="33"/>
            <w:hideMark/>
          </w:tcPr>
          <w:p w14:paraId="1264308D" w14:textId="77777777" w:rsidR="00B007F0" w:rsidRDefault="007C08CF">
            <w:pPr>
              <w:jc w:val="center"/>
              <w:rPr>
                <w:rFonts w:eastAsia="Times New Roman" w:cs="Times New Roman"/>
              </w:rPr>
            </w:pPr>
            <w:r>
              <w:rPr>
                <w:rFonts w:eastAsia="Times New Roman" w:cs="Times New Roman"/>
                <w:color w:val="000000"/>
              </w:rPr>
              <w:t>Shareholders’ equity </w:t>
            </w:r>
          </w:p>
        </w:tc>
        <w:tc>
          <w:tcPr>
            <w:tcW w:w="0" w:type="auto"/>
            <w:shd w:val="clear" w:color="auto" w:fill="DEEAF6" w:themeFill="accent5" w:themeFillTint="33"/>
            <w:hideMark/>
          </w:tcPr>
          <w:p w14:paraId="28A7484C" w14:textId="77777777" w:rsidR="00B007F0" w:rsidRDefault="007C08CF">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ascii="Calibri" w:eastAsia="Times New Roman" w:hAnsi="Calibri"/>
                <w:color w:val="000000"/>
                <w:sz w:val="22"/>
              </w:rPr>
              <w:t>300 </w:t>
            </w:r>
          </w:p>
        </w:tc>
        <w:tc>
          <w:tcPr>
            <w:tcW w:w="0" w:type="auto"/>
            <w:shd w:val="clear" w:color="auto" w:fill="DEEAF6" w:themeFill="accent5" w:themeFillTint="33"/>
            <w:hideMark/>
          </w:tcPr>
          <w:p w14:paraId="348D527E" w14:textId="77777777" w:rsidR="00B007F0" w:rsidRDefault="007C08CF">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ascii="Calibri" w:eastAsia="Times New Roman" w:hAnsi="Calibri"/>
                <w:color w:val="000000"/>
                <w:sz w:val="22"/>
              </w:rPr>
              <w:t>300</w:t>
            </w:r>
          </w:p>
        </w:tc>
      </w:tr>
      <w:tr w:rsidR="00F16806" w14:paraId="74E01502" w14:textId="77777777" w:rsidTr="00F16806">
        <w:trPr>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DEEAF6" w:themeFill="accent5" w:themeFillTint="33"/>
            <w:hideMark/>
          </w:tcPr>
          <w:p w14:paraId="70F574D4" w14:textId="77777777" w:rsidR="00B007F0" w:rsidRDefault="007C08CF">
            <w:pPr>
              <w:jc w:val="center"/>
              <w:rPr>
                <w:rFonts w:eastAsia="Times New Roman" w:cs="Times New Roman"/>
              </w:rPr>
            </w:pPr>
            <w:r>
              <w:rPr>
                <w:rFonts w:eastAsia="Times New Roman" w:cs="Times New Roman"/>
                <w:color w:val="000000"/>
              </w:rPr>
              <w:t xml:space="preserve">ROE= Net income/Shareholders Equity </w:t>
            </w:r>
          </w:p>
        </w:tc>
        <w:tc>
          <w:tcPr>
            <w:tcW w:w="0" w:type="auto"/>
            <w:shd w:val="clear" w:color="auto" w:fill="DEEAF6" w:themeFill="accent5" w:themeFillTint="33"/>
            <w:hideMark/>
          </w:tcPr>
          <w:p w14:paraId="138FCB8D" w14:textId="77777777" w:rsidR="00B007F0" w:rsidRDefault="007C08CF">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ascii="Calibri" w:eastAsia="Times New Roman" w:hAnsi="Calibri"/>
                <w:color w:val="000000"/>
                <w:sz w:val="22"/>
              </w:rPr>
              <w:t>1.436667 </w:t>
            </w:r>
          </w:p>
        </w:tc>
        <w:tc>
          <w:tcPr>
            <w:tcW w:w="0" w:type="auto"/>
            <w:shd w:val="clear" w:color="auto" w:fill="DEEAF6" w:themeFill="accent5" w:themeFillTint="33"/>
            <w:hideMark/>
          </w:tcPr>
          <w:p w14:paraId="0E808E4F" w14:textId="77777777" w:rsidR="00B007F0" w:rsidRDefault="007C08CF">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ascii="Calibri" w:eastAsia="Times New Roman" w:hAnsi="Calibri"/>
                <w:color w:val="000000"/>
                <w:sz w:val="22"/>
              </w:rPr>
              <w:t>1.22</w:t>
            </w:r>
          </w:p>
        </w:tc>
      </w:tr>
    </w:tbl>
    <w:p w14:paraId="5392E34A" w14:textId="77777777" w:rsidR="00B007F0" w:rsidRDefault="00B007F0" w:rsidP="00B007F0">
      <w:pPr>
        <w:rPr>
          <w:rFonts w:eastAsia="Calibri" w:cs="Calibri"/>
          <w:b/>
          <w:bCs/>
          <w:lang w:eastAsia="en-GB"/>
        </w:rPr>
      </w:pPr>
    </w:p>
    <w:tbl>
      <w:tblPr>
        <w:tblStyle w:val="ListTable7Colorful-Accent6"/>
        <w:tblW w:w="0" w:type="auto"/>
        <w:jc w:val="center"/>
        <w:shd w:val="clear" w:color="auto" w:fill="DEEAF6" w:themeFill="accent5" w:themeFillTint="33"/>
        <w:tblLook w:val="04A0" w:firstRow="1" w:lastRow="0" w:firstColumn="1" w:lastColumn="0" w:noHBand="0" w:noVBand="1"/>
      </w:tblPr>
      <w:tblGrid>
        <w:gridCol w:w="4804"/>
        <w:gridCol w:w="1132"/>
        <w:gridCol w:w="1053"/>
      </w:tblGrid>
      <w:tr w:rsidR="00F16806" w14:paraId="6D603623" w14:textId="77777777" w:rsidTr="00F16806">
        <w:trPr>
          <w:cnfStyle w:val="100000000000" w:firstRow="1" w:lastRow="0" w:firstColumn="0" w:lastColumn="0" w:oddVBand="0" w:evenVBand="0" w:oddHBand="0" w:evenHBand="0" w:firstRowFirstColumn="0" w:firstRowLastColumn="0" w:lastRowFirstColumn="0" w:lastRowLastColumn="0"/>
          <w:trHeight w:val="305"/>
          <w:jc w:val="center"/>
        </w:trPr>
        <w:tc>
          <w:tcPr>
            <w:cnfStyle w:val="001000000100" w:firstRow="0" w:lastRow="0" w:firstColumn="1" w:lastColumn="0" w:oddVBand="0" w:evenVBand="0" w:oddHBand="0" w:evenHBand="0" w:firstRowFirstColumn="1" w:firstRowLastColumn="0" w:lastRowFirstColumn="0" w:lastRowLastColumn="0"/>
            <w:tcW w:w="0" w:type="auto"/>
            <w:gridSpan w:val="3"/>
            <w:tcBorders>
              <w:top w:val="nil"/>
              <w:left w:val="nil"/>
            </w:tcBorders>
            <w:shd w:val="clear" w:color="auto" w:fill="DEEAF6" w:themeFill="accent5" w:themeFillTint="33"/>
            <w:hideMark/>
          </w:tcPr>
          <w:p w14:paraId="45266792" w14:textId="77777777" w:rsidR="00B007F0" w:rsidRPr="00B007F0" w:rsidRDefault="007C08CF">
            <w:pPr>
              <w:jc w:val="center"/>
              <w:rPr>
                <w:rFonts w:eastAsia="Times New Roman" w:cs="Times New Roman"/>
                <w:i w:val="0"/>
                <w:iCs w:val="0"/>
              </w:rPr>
            </w:pPr>
            <w:r w:rsidRPr="00B007F0">
              <w:rPr>
                <w:rFonts w:eastAsia="Times New Roman" w:cs="Times New Roman"/>
                <w:color w:val="auto"/>
                <w:shd w:val="clear" w:color="auto" w:fill="DAEEF3"/>
              </w:rPr>
              <w:t xml:space="preserve">Calculation of </w:t>
            </w:r>
            <w:proofErr w:type="spellStart"/>
            <w:r w:rsidRPr="00B007F0">
              <w:rPr>
                <w:rFonts w:eastAsia="Times New Roman" w:cs="Times New Roman"/>
                <w:color w:val="auto"/>
                <w:shd w:val="clear" w:color="auto" w:fill="DAEEF3"/>
              </w:rPr>
              <w:t>Earning</w:t>
            </w:r>
            <w:proofErr w:type="spellEnd"/>
            <w:r w:rsidRPr="00B007F0">
              <w:rPr>
                <w:rFonts w:eastAsia="Times New Roman" w:cs="Times New Roman"/>
                <w:color w:val="auto"/>
                <w:shd w:val="clear" w:color="auto" w:fill="DAEEF3"/>
              </w:rPr>
              <w:t xml:space="preserve"> per share</w:t>
            </w:r>
          </w:p>
        </w:tc>
      </w:tr>
      <w:tr w:rsidR="00F16806" w14:paraId="6C4DBB59" w14:textId="77777777" w:rsidTr="00F16806">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DEEAF6" w:themeFill="accent5" w:themeFillTint="33"/>
            <w:hideMark/>
          </w:tcPr>
          <w:p w14:paraId="1F09BE59" w14:textId="77777777" w:rsidR="00B007F0" w:rsidRDefault="007C08CF">
            <w:pPr>
              <w:jc w:val="center"/>
              <w:rPr>
                <w:rFonts w:eastAsia="Times New Roman" w:cs="Times New Roman"/>
              </w:rPr>
            </w:pPr>
            <w:r>
              <w:rPr>
                <w:rFonts w:eastAsia="Times New Roman" w:cs="Times New Roman"/>
                <w:color w:val="auto"/>
              </w:rPr>
              <w:t>Particulars </w:t>
            </w:r>
          </w:p>
        </w:tc>
        <w:tc>
          <w:tcPr>
            <w:tcW w:w="0" w:type="auto"/>
            <w:shd w:val="clear" w:color="auto" w:fill="DEEAF6" w:themeFill="accent5" w:themeFillTint="33"/>
            <w:hideMark/>
          </w:tcPr>
          <w:p w14:paraId="53D829E2" w14:textId="6465EA7A" w:rsidR="00B007F0" w:rsidRDefault="007C08CF">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eastAsia="Times New Roman" w:cs="Times New Roman"/>
                <w:color w:val="auto"/>
              </w:rPr>
              <w:t>2022 </w:t>
            </w:r>
          </w:p>
        </w:tc>
        <w:tc>
          <w:tcPr>
            <w:tcW w:w="0" w:type="auto"/>
            <w:shd w:val="clear" w:color="auto" w:fill="DEEAF6" w:themeFill="accent5" w:themeFillTint="33"/>
            <w:hideMark/>
          </w:tcPr>
          <w:p w14:paraId="26CB9CDE" w14:textId="3FC44192" w:rsidR="00B007F0" w:rsidRDefault="007C08CF">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eastAsia="Times New Roman" w:cs="Times New Roman"/>
                <w:color w:val="auto"/>
              </w:rPr>
              <w:t>2021</w:t>
            </w:r>
          </w:p>
        </w:tc>
      </w:tr>
      <w:tr w:rsidR="00F16806" w14:paraId="6387D915" w14:textId="77777777" w:rsidTr="00F16806">
        <w:trPr>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DEEAF6" w:themeFill="accent5" w:themeFillTint="33"/>
            <w:hideMark/>
          </w:tcPr>
          <w:p w14:paraId="7D194934" w14:textId="77777777" w:rsidR="00B007F0" w:rsidRDefault="007C08CF">
            <w:pPr>
              <w:jc w:val="center"/>
              <w:rPr>
                <w:rFonts w:eastAsia="Times New Roman" w:cs="Times New Roman"/>
              </w:rPr>
            </w:pPr>
            <w:r>
              <w:rPr>
                <w:rFonts w:eastAsia="Times New Roman" w:cs="Times New Roman"/>
                <w:color w:val="auto"/>
              </w:rPr>
              <w:t>Net income </w:t>
            </w:r>
          </w:p>
        </w:tc>
        <w:tc>
          <w:tcPr>
            <w:tcW w:w="0" w:type="auto"/>
            <w:shd w:val="clear" w:color="auto" w:fill="DEEAF6" w:themeFill="accent5" w:themeFillTint="33"/>
            <w:hideMark/>
          </w:tcPr>
          <w:p w14:paraId="4E1A441B" w14:textId="77777777" w:rsidR="00B007F0" w:rsidRDefault="007C08CF">
            <w:pPr>
              <w:ind w:right="29"/>
              <w:jc w:val="right"/>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ascii="Calibri" w:eastAsia="Times New Roman" w:hAnsi="Calibri"/>
                <w:sz w:val="22"/>
              </w:rPr>
              <w:t>431 </w:t>
            </w:r>
          </w:p>
        </w:tc>
        <w:tc>
          <w:tcPr>
            <w:tcW w:w="0" w:type="auto"/>
            <w:shd w:val="clear" w:color="auto" w:fill="DEEAF6" w:themeFill="accent5" w:themeFillTint="33"/>
            <w:hideMark/>
          </w:tcPr>
          <w:p w14:paraId="60B38F28" w14:textId="77777777" w:rsidR="00B007F0" w:rsidRDefault="007C08CF">
            <w:pPr>
              <w:ind w:right="39"/>
              <w:jc w:val="right"/>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ascii="Calibri" w:eastAsia="Times New Roman" w:hAnsi="Calibri"/>
                <w:sz w:val="22"/>
              </w:rPr>
              <w:t>366</w:t>
            </w:r>
          </w:p>
        </w:tc>
      </w:tr>
      <w:tr w:rsidR="00F16806" w14:paraId="455E84C8" w14:textId="77777777" w:rsidTr="00F16806">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DEEAF6" w:themeFill="accent5" w:themeFillTint="33"/>
            <w:hideMark/>
          </w:tcPr>
          <w:p w14:paraId="6D9FD584" w14:textId="77777777" w:rsidR="00B007F0" w:rsidRDefault="007C08CF">
            <w:pPr>
              <w:jc w:val="center"/>
              <w:rPr>
                <w:rFonts w:eastAsia="Times New Roman" w:cs="Times New Roman"/>
              </w:rPr>
            </w:pPr>
            <w:r>
              <w:rPr>
                <w:rFonts w:eastAsia="Times New Roman" w:cs="Times New Roman"/>
                <w:color w:val="auto"/>
              </w:rPr>
              <w:t>Outstanding shares </w:t>
            </w:r>
          </w:p>
        </w:tc>
        <w:tc>
          <w:tcPr>
            <w:tcW w:w="0" w:type="auto"/>
            <w:shd w:val="clear" w:color="auto" w:fill="DEEAF6" w:themeFill="accent5" w:themeFillTint="33"/>
            <w:hideMark/>
          </w:tcPr>
          <w:p w14:paraId="27CF0F75" w14:textId="77777777" w:rsidR="00B007F0" w:rsidRDefault="007C08CF">
            <w:pPr>
              <w:ind w:right="29"/>
              <w:jc w:val="right"/>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ascii="Calibri" w:eastAsia="Times New Roman" w:hAnsi="Calibri"/>
                <w:color w:val="auto"/>
                <w:sz w:val="22"/>
              </w:rPr>
              <w:t>300 </w:t>
            </w:r>
          </w:p>
        </w:tc>
        <w:tc>
          <w:tcPr>
            <w:tcW w:w="0" w:type="auto"/>
            <w:shd w:val="clear" w:color="auto" w:fill="DEEAF6" w:themeFill="accent5" w:themeFillTint="33"/>
            <w:hideMark/>
          </w:tcPr>
          <w:p w14:paraId="4D90C190" w14:textId="77777777" w:rsidR="00B007F0" w:rsidRDefault="007C08CF">
            <w:pPr>
              <w:ind w:right="38"/>
              <w:jc w:val="right"/>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ascii="Calibri" w:eastAsia="Times New Roman" w:hAnsi="Calibri"/>
                <w:color w:val="auto"/>
                <w:sz w:val="22"/>
              </w:rPr>
              <w:t>300</w:t>
            </w:r>
          </w:p>
        </w:tc>
      </w:tr>
      <w:tr w:rsidR="00F16806" w14:paraId="3979182C" w14:textId="77777777" w:rsidTr="00F16806">
        <w:trPr>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DEEAF6" w:themeFill="accent5" w:themeFillTint="33"/>
            <w:hideMark/>
          </w:tcPr>
          <w:p w14:paraId="5618D3D5" w14:textId="77777777" w:rsidR="00B007F0" w:rsidRDefault="007C08CF">
            <w:pPr>
              <w:jc w:val="center"/>
              <w:rPr>
                <w:rFonts w:eastAsia="Times New Roman" w:cs="Times New Roman"/>
              </w:rPr>
            </w:pPr>
            <w:r>
              <w:rPr>
                <w:rFonts w:eastAsia="Times New Roman" w:cs="Times New Roman"/>
                <w:color w:val="auto"/>
              </w:rPr>
              <w:t>Average outstanding shares </w:t>
            </w:r>
          </w:p>
        </w:tc>
        <w:tc>
          <w:tcPr>
            <w:tcW w:w="0" w:type="auto"/>
            <w:shd w:val="clear" w:color="auto" w:fill="DEEAF6" w:themeFill="accent5" w:themeFillTint="33"/>
            <w:hideMark/>
          </w:tcPr>
          <w:p w14:paraId="118370CB" w14:textId="77777777" w:rsidR="00B007F0" w:rsidRDefault="007C08CF">
            <w:pPr>
              <w:ind w:right="29"/>
              <w:jc w:val="right"/>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ascii="Calibri" w:eastAsia="Times New Roman" w:hAnsi="Calibri"/>
                <w:sz w:val="22"/>
              </w:rPr>
              <w:t>300 </w:t>
            </w:r>
          </w:p>
        </w:tc>
        <w:tc>
          <w:tcPr>
            <w:tcW w:w="0" w:type="auto"/>
            <w:shd w:val="clear" w:color="auto" w:fill="DEEAF6" w:themeFill="accent5" w:themeFillTint="33"/>
            <w:hideMark/>
          </w:tcPr>
          <w:p w14:paraId="7A8ACA20" w14:textId="77777777" w:rsidR="00B007F0" w:rsidRDefault="007C08CF">
            <w:pPr>
              <w:ind w:right="38"/>
              <w:jc w:val="right"/>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ascii="Calibri" w:eastAsia="Times New Roman" w:hAnsi="Calibri"/>
                <w:sz w:val="22"/>
              </w:rPr>
              <w:t>150</w:t>
            </w:r>
          </w:p>
        </w:tc>
      </w:tr>
      <w:tr w:rsidR="00F16806" w14:paraId="5D3E4348" w14:textId="77777777" w:rsidTr="00F16806">
        <w:trPr>
          <w:cnfStyle w:val="000000100000" w:firstRow="0" w:lastRow="0" w:firstColumn="0" w:lastColumn="0" w:oddVBand="0" w:evenVBand="0" w:oddHBand="1" w:evenHBand="0" w:firstRowFirstColumn="0" w:firstRowLastColumn="0" w:lastRowFirstColumn="0" w:lastRowLastColumn="0"/>
          <w:trHeight w:val="810"/>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DEEAF6" w:themeFill="accent5" w:themeFillTint="33"/>
            <w:hideMark/>
          </w:tcPr>
          <w:p w14:paraId="75A13536" w14:textId="77777777" w:rsidR="00B007F0" w:rsidRDefault="007C08CF">
            <w:pPr>
              <w:jc w:val="center"/>
              <w:rPr>
                <w:rFonts w:eastAsia="Times New Roman" w:cs="Times New Roman"/>
              </w:rPr>
            </w:pPr>
            <w:r>
              <w:rPr>
                <w:rFonts w:eastAsia="Times New Roman" w:cs="Times New Roman"/>
                <w:color w:val="auto"/>
              </w:rPr>
              <w:t>EPS= Net income/ Average outstanding shares </w:t>
            </w:r>
          </w:p>
        </w:tc>
        <w:tc>
          <w:tcPr>
            <w:tcW w:w="0" w:type="auto"/>
            <w:shd w:val="clear" w:color="auto" w:fill="DEEAF6" w:themeFill="accent5" w:themeFillTint="33"/>
            <w:hideMark/>
          </w:tcPr>
          <w:p w14:paraId="448341AB" w14:textId="77777777" w:rsidR="00B007F0" w:rsidRDefault="007C08CF">
            <w:pPr>
              <w:ind w:right="30"/>
              <w:jc w:val="right"/>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ascii="Calibri" w:eastAsia="Times New Roman" w:hAnsi="Calibri"/>
                <w:color w:val="auto"/>
                <w:sz w:val="22"/>
              </w:rPr>
              <w:t>1.436667 </w:t>
            </w:r>
          </w:p>
        </w:tc>
        <w:tc>
          <w:tcPr>
            <w:tcW w:w="0" w:type="auto"/>
            <w:shd w:val="clear" w:color="auto" w:fill="DEEAF6" w:themeFill="accent5" w:themeFillTint="33"/>
            <w:hideMark/>
          </w:tcPr>
          <w:p w14:paraId="7A7B0A12" w14:textId="77777777" w:rsidR="00B007F0" w:rsidRDefault="007C08CF">
            <w:pPr>
              <w:ind w:right="36"/>
              <w:jc w:val="right"/>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ascii="Calibri" w:eastAsia="Times New Roman" w:hAnsi="Calibri"/>
                <w:color w:val="auto"/>
                <w:sz w:val="22"/>
              </w:rPr>
              <w:t>2.44</w:t>
            </w:r>
          </w:p>
        </w:tc>
      </w:tr>
      <w:tr w:rsidR="00F16806" w14:paraId="2206BB46" w14:textId="77777777" w:rsidTr="00F16806">
        <w:trPr>
          <w:trHeight w:val="305"/>
          <w:jc w:val="center"/>
        </w:trPr>
        <w:tc>
          <w:tcPr>
            <w:cnfStyle w:val="001000000000" w:firstRow="0" w:lastRow="0" w:firstColumn="1" w:lastColumn="0" w:oddVBand="0" w:evenVBand="0" w:oddHBand="0" w:evenHBand="0" w:firstRowFirstColumn="0" w:firstRowLastColumn="0" w:lastRowFirstColumn="0" w:lastRowLastColumn="0"/>
            <w:tcW w:w="0" w:type="auto"/>
            <w:gridSpan w:val="3"/>
            <w:tcBorders>
              <w:top w:val="nil"/>
              <w:left w:val="nil"/>
              <w:bottom w:val="nil"/>
            </w:tcBorders>
            <w:shd w:val="clear" w:color="auto" w:fill="DEEAF6" w:themeFill="accent5" w:themeFillTint="33"/>
            <w:hideMark/>
          </w:tcPr>
          <w:p w14:paraId="38A80CFB" w14:textId="77777777" w:rsidR="00B007F0" w:rsidRDefault="007C08CF">
            <w:pPr>
              <w:jc w:val="center"/>
              <w:rPr>
                <w:rFonts w:cs="Calibri"/>
              </w:rPr>
            </w:pPr>
            <w:r>
              <w:rPr>
                <w:color w:val="auto"/>
                <w:shd w:val="clear" w:color="auto" w:fill="DAEEF3"/>
              </w:rPr>
              <w:t>Calculation of Net profit margin</w:t>
            </w:r>
          </w:p>
        </w:tc>
      </w:tr>
      <w:tr w:rsidR="00F16806" w14:paraId="6563509F" w14:textId="77777777" w:rsidTr="00F16806">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DEEAF6" w:themeFill="accent5" w:themeFillTint="33"/>
            <w:hideMark/>
          </w:tcPr>
          <w:p w14:paraId="774B27D8" w14:textId="77777777" w:rsidR="00B007F0" w:rsidRDefault="007C08CF">
            <w:pPr>
              <w:jc w:val="center"/>
              <w:rPr>
                <w:rFonts w:eastAsia="Times New Roman" w:cs="Times New Roman"/>
              </w:rPr>
            </w:pPr>
            <w:r>
              <w:rPr>
                <w:rFonts w:eastAsia="Times New Roman" w:cs="Times New Roman"/>
                <w:color w:val="auto"/>
              </w:rPr>
              <w:t>Particulars </w:t>
            </w:r>
          </w:p>
        </w:tc>
        <w:tc>
          <w:tcPr>
            <w:tcW w:w="0" w:type="auto"/>
            <w:shd w:val="clear" w:color="auto" w:fill="DEEAF6" w:themeFill="accent5" w:themeFillTint="33"/>
            <w:hideMark/>
          </w:tcPr>
          <w:p w14:paraId="19448B3F" w14:textId="121D48AE" w:rsidR="00B007F0" w:rsidRDefault="007C08CF">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eastAsia="Times New Roman" w:cs="Times New Roman"/>
                <w:color w:val="auto"/>
              </w:rPr>
              <w:t>2022 </w:t>
            </w:r>
          </w:p>
        </w:tc>
        <w:tc>
          <w:tcPr>
            <w:tcW w:w="0" w:type="auto"/>
            <w:shd w:val="clear" w:color="auto" w:fill="DEEAF6" w:themeFill="accent5" w:themeFillTint="33"/>
            <w:hideMark/>
          </w:tcPr>
          <w:p w14:paraId="759EBA70" w14:textId="4BD7644E" w:rsidR="00B007F0" w:rsidRDefault="007C08CF">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eastAsia="Times New Roman" w:cs="Times New Roman"/>
                <w:color w:val="auto"/>
              </w:rPr>
              <w:t>2021</w:t>
            </w:r>
          </w:p>
        </w:tc>
      </w:tr>
      <w:tr w:rsidR="00F16806" w14:paraId="09089DB2" w14:textId="77777777" w:rsidTr="00F16806">
        <w:trPr>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DEEAF6" w:themeFill="accent5" w:themeFillTint="33"/>
            <w:hideMark/>
          </w:tcPr>
          <w:p w14:paraId="2E18E05E" w14:textId="77777777" w:rsidR="00B007F0" w:rsidRDefault="007C08CF">
            <w:pPr>
              <w:jc w:val="center"/>
              <w:rPr>
                <w:rFonts w:eastAsia="Times New Roman" w:cs="Times New Roman"/>
              </w:rPr>
            </w:pPr>
            <w:r>
              <w:rPr>
                <w:rFonts w:eastAsia="Times New Roman" w:cs="Times New Roman"/>
                <w:color w:val="auto"/>
              </w:rPr>
              <w:t>Net profit </w:t>
            </w:r>
          </w:p>
        </w:tc>
        <w:tc>
          <w:tcPr>
            <w:tcW w:w="0" w:type="auto"/>
            <w:shd w:val="clear" w:color="auto" w:fill="DEEAF6" w:themeFill="accent5" w:themeFillTint="33"/>
            <w:hideMark/>
          </w:tcPr>
          <w:p w14:paraId="0B64529D" w14:textId="77777777" w:rsidR="00B007F0" w:rsidRDefault="007C08CF">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ascii="Calibri" w:eastAsia="Times New Roman" w:hAnsi="Calibri"/>
                <w:sz w:val="22"/>
              </w:rPr>
              <w:t>431 </w:t>
            </w:r>
          </w:p>
        </w:tc>
        <w:tc>
          <w:tcPr>
            <w:tcW w:w="0" w:type="auto"/>
            <w:shd w:val="clear" w:color="auto" w:fill="DEEAF6" w:themeFill="accent5" w:themeFillTint="33"/>
            <w:hideMark/>
          </w:tcPr>
          <w:p w14:paraId="22C20A0F" w14:textId="77777777" w:rsidR="00B007F0" w:rsidRDefault="007C08CF">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ascii="Calibri" w:eastAsia="Times New Roman" w:hAnsi="Calibri"/>
                <w:sz w:val="22"/>
              </w:rPr>
              <w:t>366</w:t>
            </w:r>
          </w:p>
        </w:tc>
      </w:tr>
      <w:tr w:rsidR="00F16806" w14:paraId="47E3AD5C" w14:textId="77777777" w:rsidTr="00F16806">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DEEAF6" w:themeFill="accent5" w:themeFillTint="33"/>
            <w:hideMark/>
          </w:tcPr>
          <w:p w14:paraId="2A966AA4" w14:textId="77777777" w:rsidR="00B007F0" w:rsidRDefault="007C08CF">
            <w:pPr>
              <w:jc w:val="center"/>
              <w:rPr>
                <w:rFonts w:eastAsia="Times New Roman" w:cs="Times New Roman"/>
              </w:rPr>
            </w:pPr>
            <w:r>
              <w:rPr>
                <w:rFonts w:eastAsia="Times New Roman" w:cs="Times New Roman"/>
                <w:color w:val="auto"/>
              </w:rPr>
              <w:t>Total revenue </w:t>
            </w:r>
          </w:p>
        </w:tc>
        <w:tc>
          <w:tcPr>
            <w:tcW w:w="0" w:type="auto"/>
            <w:shd w:val="clear" w:color="auto" w:fill="DEEAF6" w:themeFill="accent5" w:themeFillTint="33"/>
            <w:hideMark/>
          </w:tcPr>
          <w:p w14:paraId="6785D929" w14:textId="77777777" w:rsidR="00B007F0" w:rsidRDefault="007C08CF">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ascii="Calibri" w:eastAsia="Times New Roman" w:hAnsi="Calibri"/>
                <w:color w:val="auto"/>
                <w:sz w:val="22"/>
              </w:rPr>
              <w:t>6738 </w:t>
            </w:r>
          </w:p>
        </w:tc>
        <w:tc>
          <w:tcPr>
            <w:tcW w:w="0" w:type="auto"/>
            <w:shd w:val="clear" w:color="auto" w:fill="DEEAF6" w:themeFill="accent5" w:themeFillTint="33"/>
            <w:hideMark/>
          </w:tcPr>
          <w:p w14:paraId="14E8F3F5" w14:textId="77777777" w:rsidR="00B007F0" w:rsidRDefault="007C08CF">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ascii="Calibri" w:eastAsia="Times New Roman" w:hAnsi="Calibri"/>
                <w:color w:val="auto"/>
                <w:sz w:val="22"/>
              </w:rPr>
              <w:t>6441</w:t>
            </w:r>
          </w:p>
        </w:tc>
      </w:tr>
      <w:tr w:rsidR="00F16806" w14:paraId="75F26BD2" w14:textId="77777777" w:rsidTr="00F16806">
        <w:trPr>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DEEAF6" w:themeFill="accent5" w:themeFillTint="33"/>
            <w:hideMark/>
          </w:tcPr>
          <w:p w14:paraId="047E7479" w14:textId="77777777" w:rsidR="00B007F0" w:rsidRDefault="007C08CF">
            <w:pPr>
              <w:jc w:val="center"/>
              <w:rPr>
                <w:rFonts w:eastAsia="Times New Roman" w:cs="Times New Roman"/>
              </w:rPr>
            </w:pPr>
            <w:r>
              <w:rPr>
                <w:rFonts w:eastAsia="Times New Roman" w:cs="Times New Roman"/>
                <w:color w:val="auto"/>
              </w:rPr>
              <w:t>Net profit margin= (net profit /revenue) x 100 </w:t>
            </w:r>
          </w:p>
        </w:tc>
        <w:tc>
          <w:tcPr>
            <w:tcW w:w="0" w:type="auto"/>
            <w:shd w:val="clear" w:color="auto" w:fill="DEEAF6" w:themeFill="accent5" w:themeFillTint="33"/>
            <w:hideMark/>
          </w:tcPr>
          <w:p w14:paraId="0246F577" w14:textId="77777777" w:rsidR="00B007F0" w:rsidRDefault="007C08CF">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ascii="Calibri" w:eastAsia="Times New Roman" w:hAnsi="Calibri"/>
                <w:sz w:val="22"/>
              </w:rPr>
              <w:t>6.396557 </w:t>
            </w:r>
          </w:p>
        </w:tc>
        <w:tc>
          <w:tcPr>
            <w:tcW w:w="0" w:type="auto"/>
            <w:shd w:val="clear" w:color="auto" w:fill="DEEAF6" w:themeFill="accent5" w:themeFillTint="33"/>
            <w:hideMark/>
          </w:tcPr>
          <w:p w14:paraId="77438FD9" w14:textId="77777777" w:rsidR="00B007F0" w:rsidRDefault="007C08CF">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ascii="Calibri" w:eastAsia="Times New Roman" w:hAnsi="Calibri"/>
                <w:sz w:val="22"/>
              </w:rPr>
              <w:t>5.682347</w:t>
            </w:r>
          </w:p>
        </w:tc>
      </w:tr>
    </w:tbl>
    <w:p w14:paraId="701F4F19" w14:textId="77777777" w:rsidR="00B007F0" w:rsidRDefault="00B007F0" w:rsidP="00B007F0">
      <w:pPr>
        <w:spacing w:after="240" w:line="240" w:lineRule="auto"/>
        <w:jc w:val="left"/>
        <w:rPr>
          <w:rFonts w:eastAsia="Times New Roman" w:cs="Times New Roman"/>
        </w:rPr>
      </w:pPr>
    </w:p>
    <w:tbl>
      <w:tblPr>
        <w:tblStyle w:val="ListTable7Colorful-Accent6"/>
        <w:tblW w:w="0" w:type="auto"/>
        <w:jc w:val="center"/>
        <w:shd w:val="clear" w:color="auto" w:fill="DEEAF6" w:themeFill="accent5" w:themeFillTint="33"/>
        <w:tblLook w:val="04A0" w:firstRow="1" w:lastRow="0" w:firstColumn="1" w:lastColumn="0" w:noHBand="0" w:noVBand="1"/>
      </w:tblPr>
      <w:tblGrid>
        <w:gridCol w:w="4584"/>
        <w:gridCol w:w="1132"/>
        <w:gridCol w:w="1095"/>
      </w:tblGrid>
      <w:tr w:rsidR="00F16806" w14:paraId="003ED100" w14:textId="77777777" w:rsidTr="00F16806">
        <w:trPr>
          <w:cnfStyle w:val="100000000000" w:firstRow="1" w:lastRow="0" w:firstColumn="0" w:lastColumn="0" w:oddVBand="0" w:evenVBand="0" w:oddHBand="0" w:evenHBand="0" w:firstRowFirstColumn="0" w:firstRowLastColumn="0" w:lastRowFirstColumn="0" w:lastRowLastColumn="0"/>
          <w:trHeight w:val="305"/>
          <w:jc w:val="center"/>
        </w:trPr>
        <w:tc>
          <w:tcPr>
            <w:cnfStyle w:val="001000000100" w:firstRow="0" w:lastRow="0" w:firstColumn="1" w:lastColumn="0" w:oddVBand="0" w:evenVBand="0" w:oddHBand="0" w:evenHBand="0" w:firstRowFirstColumn="1" w:firstRowLastColumn="0" w:lastRowFirstColumn="0" w:lastRowLastColumn="0"/>
            <w:tcW w:w="0" w:type="auto"/>
            <w:gridSpan w:val="3"/>
            <w:tcBorders>
              <w:top w:val="nil"/>
              <w:left w:val="nil"/>
            </w:tcBorders>
            <w:shd w:val="clear" w:color="auto" w:fill="DEEAF6" w:themeFill="accent5" w:themeFillTint="33"/>
            <w:hideMark/>
          </w:tcPr>
          <w:p w14:paraId="7C2A5D00" w14:textId="77777777" w:rsidR="00B007F0" w:rsidRDefault="007C08CF">
            <w:pPr>
              <w:jc w:val="center"/>
              <w:rPr>
                <w:rFonts w:eastAsia="Times New Roman" w:cs="Times New Roman"/>
              </w:rPr>
            </w:pPr>
            <w:r>
              <w:rPr>
                <w:rFonts w:eastAsia="Times New Roman" w:cs="Times New Roman"/>
                <w:color w:val="auto"/>
                <w:shd w:val="clear" w:color="auto" w:fill="DAEEF3"/>
              </w:rPr>
              <w:t>Calculation of Asset turnover</w:t>
            </w:r>
          </w:p>
        </w:tc>
      </w:tr>
      <w:tr w:rsidR="00F16806" w14:paraId="6DD5A9F4" w14:textId="77777777" w:rsidTr="00F16806">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DEEAF6" w:themeFill="accent5" w:themeFillTint="33"/>
            <w:hideMark/>
          </w:tcPr>
          <w:p w14:paraId="04E49431" w14:textId="77777777" w:rsidR="00B007F0" w:rsidRDefault="007C08CF">
            <w:pPr>
              <w:jc w:val="center"/>
              <w:rPr>
                <w:rFonts w:eastAsia="Times New Roman" w:cs="Times New Roman"/>
              </w:rPr>
            </w:pPr>
            <w:r>
              <w:rPr>
                <w:rFonts w:eastAsia="Times New Roman" w:cs="Times New Roman"/>
                <w:color w:val="000000"/>
              </w:rPr>
              <w:t>Particulars </w:t>
            </w:r>
          </w:p>
        </w:tc>
        <w:tc>
          <w:tcPr>
            <w:tcW w:w="0" w:type="auto"/>
            <w:shd w:val="clear" w:color="auto" w:fill="DEEAF6" w:themeFill="accent5" w:themeFillTint="33"/>
            <w:hideMark/>
          </w:tcPr>
          <w:p w14:paraId="5015CF34" w14:textId="4279EC65" w:rsidR="00B007F0" w:rsidRDefault="007C08CF">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eastAsia="Times New Roman" w:cs="Times New Roman"/>
                <w:color w:val="000000"/>
              </w:rPr>
              <w:t>2022 </w:t>
            </w:r>
          </w:p>
        </w:tc>
        <w:tc>
          <w:tcPr>
            <w:tcW w:w="0" w:type="auto"/>
            <w:shd w:val="clear" w:color="auto" w:fill="DEEAF6" w:themeFill="accent5" w:themeFillTint="33"/>
            <w:hideMark/>
          </w:tcPr>
          <w:p w14:paraId="6FBAD6F7" w14:textId="62348766" w:rsidR="00B007F0" w:rsidRDefault="007C08CF">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eastAsia="Times New Roman" w:cs="Times New Roman"/>
                <w:color w:val="000000"/>
              </w:rPr>
              <w:t>2021</w:t>
            </w:r>
          </w:p>
        </w:tc>
      </w:tr>
      <w:tr w:rsidR="00F16806" w14:paraId="12C44FD6" w14:textId="77777777" w:rsidTr="00F16806">
        <w:trPr>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DEEAF6" w:themeFill="accent5" w:themeFillTint="33"/>
            <w:hideMark/>
          </w:tcPr>
          <w:p w14:paraId="38E5E8F5" w14:textId="77777777" w:rsidR="00B007F0" w:rsidRDefault="007C08CF">
            <w:pPr>
              <w:jc w:val="center"/>
              <w:rPr>
                <w:rFonts w:eastAsia="Times New Roman" w:cs="Times New Roman"/>
              </w:rPr>
            </w:pPr>
            <w:r>
              <w:rPr>
                <w:rFonts w:eastAsia="Times New Roman" w:cs="Times New Roman"/>
                <w:color w:val="000000"/>
              </w:rPr>
              <w:t>Total revenue </w:t>
            </w:r>
          </w:p>
        </w:tc>
        <w:tc>
          <w:tcPr>
            <w:tcW w:w="0" w:type="auto"/>
            <w:shd w:val="clear" w:color="auto" w:fill="DEEAF6" w:themeFill="accent5" w:themeFillTint="33"/>
            <w:hideMark/>
          </w:tcPr>
          <w:p w14:paraId="6726C775" w14:textId="77777777" w:rsidR="00B007F0" w:rsidRDefault="007C08CF">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ascii="Calibri" w:eastAsia="Times New Roman" w:hAnsi="Calibri"/>
                <w:color w:val="000000"/>
                <w:sz w:val="22"/>
              </w:rPr>
              <w:t>6738 </w:t>
            </w:r>
          </w:p>
        </w:tc>
        <w:tc>
          <w:tcPr>
            <w:tcW w:w="0" w:type="auto"/>
            <w:shd w:val="clear" w:color="auto" w:fill="DEEAF6" w:themeFill="accent5" w:themeFillTint="33"/>
            <w:hideMark/>
          </w:tcPr>
          <w:p w14:paraId="55BEC625" w14:textId="77777777" w:rsidR="00B007F0" w:rsidRDefault="007C08CF">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ascii="Calibri" w:eastAsia="Times New Roman" w:hAnsi="Calibri"/>
                <w:color w:val="000000"/>
                <w:sz w:val="22"/>
              </w:rPr>
              <w:t>6441</w:t>
            </w:r>
          </w:p>
        </w:tc>
      </w:tr>
      <w:tr w:rsidR="00F16806" w14:paraId="0C379182" w14:textId="77777777" w:rsidTr="00F16806">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DEEAF6" w:themeFill="accent5" w:themeFillTint="33"/>
            <w:hideMark/>
          </w:tcPr>
          <w:p w14:paraId="103788C8" w14:textId="77777777" w:rsidR="00B007F0" w:rsidRDefault="007C08CF">
            <w:pPr>
              <w:jc w:val="center"/>
              <w:rPr>
                <w:rFonts w:eastAsia="Times New Roman" w:cs="Times New Roman"/>
              </w:rPr>
            </w:pPr>
            <w:r>
              <w:rPr>
                <w:rFonts w:eastAsia="Times New Roman" w:cs="Times New Roman"/>
                <w:color w:val="000000"/>
              </w:rPr>
              <w:t>Total Asset </w:t>
            </w:r>
          </w:p>
        </w:tc>
        <w:tc>
          <w:tcPr>
            <w:tcW w:w="0" w:type="auto"/>
            <w:shd w:val="clear" w:color="auto" w:fill="DEEAF6" w:themeFill="accent5" w:themeFillTint="33"/>
            <w:hideMark/>
          </w:tcPr>
          <w:p w14:paraId="3D87116F" w14:textId="77777777" w:rsidR="00B007F0" w:rsidRDefault="007C08CF">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eastAsia="Times New Roman" w:cs="Times New Roman"/>
                <w:color w:val="000000"/>
              </w:rPr>
              <w:t>9,736 </w:t>
            </w:r>
          </w:p>
        </w:tc>
        <w:tc>
          <w:tcPr>
            <w:tcW w:w="0" w:type="auto"/>
            <w:shd w:val="clear" w:color="auto" w:fill="DEEAF6" w:themeFill="accent5" w:themeFillTint="33"/>
            <w:hideMark/>
          </w:tcPr>
          <w:p w14:paraId="01B4B2AF" w14:textId="77777777" w:rsidR="00B007F0" w:rsidRDefault="007C08CF">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eastAsia="Times New Roman" w:cs="Times New Roman"/>
                <w:color w:val="000000"/>
              </w:rPr>
              <w:t>10,087</w:t>
            </w:r>
          </w:p>
        </w:tc>
      </w:tr>
      <w:tr w:rsidR="00F16806" w14:paraId="5DC5B540" w14:textId="77777777" w:rsidTr="00F16806">
        <w:trPr>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DEEAF6" w:themeFill="accent5" w:themeFillTint="33"/>
            <w:hideMark/>
          </w:tcPr>
          <w:p w14:paraId="4AD5E8F7" w14:textId="77777777" w:rsidR="00B007F0" w:rsidRDefault="007C08CF">
            <w:pPr>
              <w:jc w:val="center"/>
              <w:rPr>
                <w:rFonts w:eastAsia="Times New Roman" w:cs="Times New Roman"/>
              </w:rPr>
            </w:pPr>
            <w:r>
              <w:rPr>
                <w:rFonts w:eastAsia="Times New Roman" w:cs="Times New Roman"/>
                <w:color w:val="000000"/>
              </w:rPr>
              <w:t>Average total asset </w:t>
            </w:r>
          </w:p>
        </w:tc>
        <w:tc>
          <w:tcPr>
            <w:tcW w:w="0" w:type="auto"/>
            <w:shd w:val="clear" w:color="auto" w:fill="DEEAF6" w:themeFill="accent5" w:themeFillTint="33"/>
            <w:hideMark/>
          </w:tcPr>
          <w:p w14:paraId="0B573A2B" w14:textId="77777777" w:rsidR="00B007F0" w:rsidRDefault="007C08CF">
            <w:pPr>
              <w:ind w:right="30"/>
              <w:jc w:val="right"/>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ascii="Calibri" w:eastAsia="Times New Roman" w:hAnsi="Calibri"/>
                <w:color w:val="000000"/>
                <w:sz w:val="22"/>
              </w:rPr>
              <w:t>9911.5 </w:t>
            </w:r>
          </w:p>
        </w:tc>
        <w:tc>
          <w:tcPr>
            <w:tcW w:w="0" w:type="auto"/>
            <w:shd w:val="clear" w:color="auto" w:fill="DEEAF6" w:themeFill="accent5" w:themeFillTint="33"/>
            <w:hideMark/>
          </w:tcPr>
          <w:p w14:paraId="2C5F4423" w14:textId="77777777" w:rsidR="00B007F0" w:rsidRDefault="007C08CF">
            <w:pPr>
              <w:ind w:right="43"/>
              <w:jc w:val="right"/>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ascii="Calibri" w:eastAsia="Times New Roman" w:hAnsi="Calibri"/>
                <w:color w:val="000000"/>
                <w:sz w:val="22"/>
              </w:rPr>
              <w:t>5043.5</w:t>
            </w:r>
          </w:p>
        </w:tc>
      </w:tr>
      <w:tr w:rsidR="00F16806" w14:paraId="5F77CCDE" w14:textId="77777777" w:rsidTr="00F16806">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DEEAF6" w:themeFill="accent5" w:themeFillTint="33"/>
            <w:hideMark/>
          </w:tcPr>
          <w:p w14:paraId="04C73D7B" w14:textId="77777777" w:rsidR="00B007F0" w:rsidRDefault="007C08CF">
            <w:pPr>
              <w:jc w:val="center"/>
              <w:rPr>
                <w:rFonts w:eastAsia="Times New Roman" w:cs="Times New Roman"/>
              </w:rPr>
            </w:pPr>
            <w:r>
              <w:rPr>
                <w:rFonts w:eastAsia="Times New Roman" w:cs="Times New Roman"/>
                <w:color w:val="000000"/>
              </w:rPr>
              <w:t>Asset turnover= Revenue/average total asset </w:t>
            </w:r>
          </w:p>
        </w:tc>
        <w:tc>
          <w:tcPr>
            <w:tcW w:w="0" w:type="auto"/>
            <w:shd w:val="clear" w:color="auto" w:fill="DEEAF6" w:themeFill="accent5" w:themeFillTint="33"/>
            <w:hideMark/>
          </w:tcPr>
          <w:p w14:paraId="6A8E5A5E" w14:textId="77777777" w:rsidR="00B007F0" w:rsidRDefault="007C08CF">
            <w:pPr>
              <w:ind w:right="30"/>
              <w:jc w:val="right"/>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ascii="Calibri" w:eastAsia="Times New Roman" w:hAnsi="Calibri"/>
                <w:color w:val="000000"/>
                <w:sz w:val="22"/>
              </w:rPr>
              <w:t>0.679816 </w:t>
            </w:r>
          </w:p>
        </w:tc>
        <w:tc>
          <w:tcPr>
            <w:tcW w:w="0" w:type="auto"/>
            <w:shd w:val="clear" w:color="auto" w:fill="DEEAF6" w:themeFill="accent5" w:themeFillTint="33"/>
            <w:hideMark/>
          </w:tcPr>
          <w:p w14:paraId="722DBB4F" w14:textId="77777777" w:rsidR="00B007F0" w:rsidRDefault="007C08CF">
            <w:pPr>
              <w:ind w:right="42"/>
              <w:jc w:val="right"/>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ascii="Calibri" w:eastAsia="Times New Roman" w:hAnsi="Calibri"/>
                <w:color w:val="000000"/>
                <w:sz w:val="22"/>
              </w:rPr>
              <w:t>1.277089</w:t>
            </w:r>
          </w:p>
        </w:tc>
      </w:tr>
    </w:tbl>
    <w:p w14:paraId="11FB5491" w14:textId="77777777" w:rsidR="00B007F0" w:rsidRDefault="00B007F0" w:rsidP="00B007F0">
      <w:pPr>
        <w:spacing w:after="240" w:line="240" w:lineRule="auto"/>
        <w:jc w:val="left"/>
        <w:rPr>
          <w:rFonts w:eastAsia="Times New Roman" w:cs="Times New Roman"/>
        </w:rPr>
      </w:pPr>
    </w:p>
    <w:p w14:paraId="71E7F213" w14:textId="77777777" w:rsidR="00B007F0" w:rsidRDefault="00B007F0" w:rsidP="00B007F0">
      <w:pPr>
        <w:spacing w:line="240" w:lineRule="auto"/>
        <w:ind w:right="2892"/>
        <w:jc w:val="right"/>
        <w:rPr>
          <w:rFonts w:eastAsia="Times New Roman" w:cs="Times New Roman"/>
        </w:rPr>
      </w:pPr>
    </w:p>
    <w:tbl>
      <w:tblPr>
        <w:tblStyle w:val="ListTable7Colorful-Accent6"/>
        <w:tblW w:w="0" w:type="auto"/>
        <w:jc w:val="center"/>
        <w:shd w:val="clear" w:color="auto" w:fill="DEEAF6" w:themeFill="accent5" w:themeFillTint="33"/>
        <w:tblLayout w:type="fixed"/>
        <w:tblLook w:val="04A0" w:firstRow="1" w:lastRow="0" w:firstColumn="1" w:lastColumn="0" w:noHBand="0" w:noVBand="1"/>
      </w:tblPr>
      <w:tblGrid>
        <w:gridCol w:w="6176"/>
        <w:gridCol w:w="1109"/>
        <w:gridCol w:w="1530"/>
      </w:tblGrid>
      <w:tr w:rsidR="00F16806" w14:paraId="028B0EAF" w14:textId="77777777" w:rsidTr="00F16806">
        <w:trPr>
          <w:cnfStyle w:val="100000000000" w:firstRow="1" w:lastRow="0" w:firstColumn="0" w:lastColumn="0" w:oddVBand="0" w:evenVBand="0" w:oddHBand="0" w:evenHBand="0" w:firstRowFirstColumn="0" w:firstRowLastColumn="0" w:lastRowFirstColumn="0" w:lastRowLastColumn="0"/>
          <w:trHeight w:val="305"/>
          <w:jc w:val="center"/>
        </w:trPr>
        <w:tc>
          <w:tcPr>
            <w:cnfStyle w:val="001000000100" w:firstRow="0" w:lastRow="0" w:firstColumn="1" w:lastColumn="0" w:oddVBand="0" w:evenVBand="0" w:oddHBand="0" w:evenHBand="0" w:firstRowFirstColumn="1" w:firstRowLastColumn="0" w:lastRowFirstColumn="0" w:lastRowLastColumn="0"/>
            <w:tcW w:w="8815" w:type="dxa"/>
            <w:gridSpan w:val="3"/>
            <w:tcBorders>
              <w:top w:val="nil"/>
              <w:left w:val="nil"/>
            </w:tcBorders>
            <w:shd w:val="clear" w:color="auto" w:fill="DEEAF6" w:themeFill="accent5" w:themeFillTint="33"/>
            <w:hideMark/>
          </w:tcPr>
          <w:p w14:paraId="6A3EB3F8" w14:textId="77777777" w:rsidR="00B007F0" w:rsidRDefault="007C08CF">
            <w:pPr>
              <w:jc w:val="center"/>
              <w:rPr>
                <w:rFonts w:cs="Calibri"/>
              </w:rPr>
            </w:pPr>
            <w:r>
              <w:rPr>
                <w:color w:val="auto"/>
              </w:rPr>
              <w:t xml:space="preserve">Calculation of </w:t>
            </w:r>
            <w:r>
              <w:rPr>
                <w:color w:val="auto"/>
                <w:shd w:val="clear" w:color="auto" w:fill="DAEEF3"/>
              </w:rPr>
              <w:t>Stock holding days</w:t>
            </w:r>
          </w:p>
        </w:tc>
      </w:tr>
      <w:tr w:rsidR="00F16806" w14:paraId="317AED91" w14:textId="77777777" w:rsidTr="00F16806">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6176" w:type="dxa"/>
            <w:tcBorders>
              <w:top w:val="nil"/>
              <w:left w:val="nil"/>
              <w:bottom w:val="nil"/>
            </w:tcBorders>
            <w:shd w:val="clear" w:color="auto" w:fill="DEEAF6" w:themeFill="accent5" w:themeFillTint="33"/>
            <w:hideMark/>
          </w:tcPr>
          <w:p w14:paraId="2BBEFE08" w14:textId="77777777" w:rsidR="00B007F0" w:rsidRDefault="007C08CF">
            <w:pPr>
              <w:jc w:val="center"/>
              <w:rPr>
                <w:rFonts w:eastAsia="Times New Roman" w:cs="Times New Roman"/>
              </w:rPr>
            </w:pPr>
            <w:r>
              <w:rPr>
                <w:rFonts w:eastAsia="Times New Roman" w:cs="Times New Roman"/>
                <w:color w:val="auto"/>
              </w:rPr>
              <w:t>Particulars </w:t>
            </w:r>
          </w:p>
        </w:tc>
        <w:tc>
          <w:tcPr>
            <w:tcW w:w="1109" w:type="dxa"/>
            <w:shd w:val="clear" w:color="auto" w:fill="DEEAF6" w:themeFill="accent5" w:themeFillTint="33"/>
            <w:hideMark/>
          </w:tcPr>
          <w:p w14:paraId="5924440F" w14:textId="405079DA" w:rsidR="00B007F0" w:rsidRDefault="007C08CF">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eastAsia="Times New Roman" w:cs="Times New Roman"/>
                <w:color w:val="auto"/>
              </w:rPr>
              <w:t>2022</w:t>
            </w:r>
          </w:p>
        </w:tc>
        <w:tc>
          <w:tcPr>
            <w:tcW w:w="1530" w:type="dxa"/>
            <w:shd w:val="clear" w:color="auto" w:fill="DEEAF6" w:themeFill="accent5" w:themeFillTint="33"/>
            <w:hideMark/>
          </w:tcPr>
          <w:p w14:paraId="5F53EB68" w14:textId="6A556E66" w:rsidR="00B007F0" w:rsidRDefault="007C08CF">
            <w:pPr>
              <w:jc w:val="center"/>
              <w:cnfStyle w:val="000000100000" w:firstRow="0" w:lastRow="0" w:firstColumn="0" w:lastColumn="0" w:oddVBand="0" w:evenVBand="0" w:oddHBand="1" w:evenHBand="0" w:firstRowFirstColumn="0" w:firstRowLastColumn="0" w:lastRowFirstColumn="0" w:lastRowLastColumn="0"/>
              <w:rPr>
                <w:rFonts w:cs="Calibri"/>
                <w:lang w:eastAsia="en-GB"/>
              </w:rPr>
            </w:pPr>
            <w:r>
              <w:rPr>
                <w:color w:val="auto"/>
              </w:rPr>
              <w:t>2021</w:t>
            </w:r>
          </w:p>
        </w:tc>
      </w:tr>
      <w:tr w:rsidR="00F16806" w14:paraId="2B946AE7" w14:textId="77777777" w:rsidTr="00F16806">
        <w:trPr>
          <w:trHeight w:val="305"/>
          <w:jc w:val="center"/>
        </w:trPr>
        <w:tc>
          <w:tcPr>
            <w:cnfStyle w:val="001000000000" w:firstRow="0" w:lastRow="0" w:firstColumn="1" w:lastColumn="0" w:oddVBand="0" w:evenVBand="0" w:oddHBand="0" w:evenHBand="0" w:firstRowFirstColumn="0" w:firstRowLastColumn="0" w:lastRowFirstColumn="0" w:lastRowLastColumn="0"/>
            <w:tcW w:w="6176" w:type="dxa"/>
            <w:tcBorders>
              <w:top w:val="nil"/>
              <w:left w:val="nil"/>
              <w:bottom w:val="nil"/>
            </w:tcBorders>
            <w:shd w:val="clear" w:color="auto" w:fill="DEEAF6" w:themeFill="accent5" w:themeFillTint="33"/>
            <w:hideMark/>
          </w:tcPr>
          <w:p w14:paraId="53F8A605" w14:textId="77777777" w:rsidR="00B007F0" w:rsidRDefault="007C08CF">
            <w:pPr>
              <w:jc w:val="center"/>
              <w:rPr>
                <w:rFonts w:eastAsia="Times New Roman" w:cs="Times New Roman"/>
              </w:rPr>
            </w:pPr>
            <w:r>
              <w:rPr>
                <w:rFonts w:eastAsia="Times New Roman" w:cs="Times New Roman"/>
                <w:color w:val="auto"/>
              </w:rPr>
              <w:t>Closing stock </w:t>
            </w:r>
          </w:p>
        </w:tc>
        <w:tc>
          <w:tcPr>
            <w:tcW w:w="1109" w:type="dxa"/>
            <w:shd w:val="clear" w:color="auto" w:fill="DEEAF6" w:themeFill="accent5" w:themeFillTint="33"/>
            <w:hideMark/>
          </w:tcPr>
          <w:p w14:paraId="0505FF90" w14:textId="77777777" w:rsidR="00B007F0" w:rsidRDefault="007C08CF">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eastAsia="Times New Roman" w:cs="Times New Roman"/>
              </w:rPr>
              <w:t>708</w:t>
            </w:r>
          </w:p>
        </w:tc>
        <w:tc>
          <w:tcPr>
            <w:tcW w:w="1530" w:type="dxa"/>
            <w:shd w:val="clear" w:color="auto" w:fill="DEEAF6" w:themeFill="accent5" w:themeFillTint="33"/>
            <w:hideMark/>
          </w:tcPr>
          <w:p w14:paraId="5229E073" w14:textId="77777777" w:rsidR="00B007F0" w:rsidRDefault="007C08CF">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rPr>
            </w:pPr>
            <w:r>
              <w:t>659</w:t>
            </w:r>
          </w:p>
        </w:tc>
      </w:tr>
      <w:tr w:rsidR="00F16806" w14:paraId="0EC858AB" w14:textId="77777777" w:rsidTr="00F16806">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6176" w:type="dxa"/>
            <w:tcBorders>
              <w:top w:val="nil"/>
              <w:left w:val="nil"/>
              <w:bottom w:val="nil"/>
            </w:tcBorders>
            <w:shd w:val="clear" w:color="auto" w:fill="DEEAF6" w:themeFill="accent5" w:themeFillTint="33"/>
            <w:hideMark/>
          </w:tcPr>
          <w:p w14:paraId="77D5F290" w14:textId="77777777" w:rsidR="00B007F0" w:rsidRDefault="007C08CF">
            <w:pPr>
              <w:jc w:val="center"/>
              <w:rPr>
                <w:rFonts w:eastAsia="Times New Roman" w:cs="Times New Roman"/>
              </w:rPr>
            </w:pPr>
            <w:r>
              <w:rPr>
                <w:rFonts w:eastAsia="Times New Roman" w:cs="Times New Roman"/>
                <w:color w:val="auto"/>
              </w:rPr>
              <w:t xml:space="preserve">Cost of </w:t>
            </w:r>
            <w:r>
              <w:rPr>
                <w:rFonts w:eastAsia="Times New Roman" w:cs="Times New Roman"/>
                <w:color w:val="auto"/>
              </w:rPr>
              <w:t>goods sold </w:t>
            </w:r>
          </w:p>
        </w:tc>
        <w:tc>
          <w:tcPr>
            <w:tcW w:w="1109" w:type="dxa"/>
            <w:shd w:val="clear" w:color="auto" w:fill="DEEAF6" w:themeFill="accent5" w:themeFillTint="33"/>
            <w:hideMark/>
          </w:tcPr>
          <w:p w14:paraId="65C76590" w14:textId="77777777" w:rsidR="00B007F0" w:rsidRDefault="007C08CF">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eastAsia="Times New Roman" w:cs="Times New Roman"/>
                <w:color w:val="auto"/>
              </w:rPr>
              <w:t>3235</w:t>
            </w:r>
          </w:p>
        </w:tc>
        <w:tc>
          <w:tcPr>
            <w:tcW w:w="1530" w:type="dxa"/>
            <w:shd w:val="clear" w:color="auto" w:fill="DEEAF6" w:themeFill="accent5" w:themeFillTint="33"/>
            <w:hideMark/>
          </w:tcPr>
          <w:p w14:paraId="2D902AD7" w14:textId="77777777" w:rsidR="00B007F0" w:rsidRDefault="007C08CF">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color w:val="auto"/>
              </w:rPr>
              <w:t>3096</w:t>
            </w:r>
          </w:p>
        </w:tc>
      </w:tr>
      <w:tr w:rsidR="00F16806" w14:paraId="147C3585" w14:textId="77777777" w:rsidTr="00F16806">
        <w:trPr>
          <w:trHeight w:val="305"/>
          <w:jc w:val="center"/>
        </w:trPr>
        <w:tc>
          <w:tcPr>
            <w:cnfStyle w:val="001000000000" w:firstRow="0" w:lastRow="0" w:firstColumn="1" w:lastColumn="0" w:oddVBand="0" w:evenVBand="0" w:oddHBand="0" w:evenHBand="0" w:firstRowFirstColumn="0" w:firstRowLastColumn="0" w:lastRowFirstColumn="0" w:lastRowLastColumn="0"/>
            <w:tcW w:w="6176" w:type="dxa"/>
            <w:tcBorders>
              <w:top w:val="nil"/>
              <w:left w:val="nil"/>
              <w:bottom w:val="nil"/>
            </w:tcBorders>
            <w:shd w:val="clear" w:color="auto" w:fill="DEEAF6" w:themeFill="accent5" w:themeFillTint="33"/>
            <w:hideMark/>
          </w:tcPr>
          <w:p w14:paraId="36FE5470" w14:textId="77777777" w:rsidR="00B007F0" w:rsidRDefault="007C08CF">
            <w:pPr>
              <w:jc w:val="center"/>
              <w:rPr>
                <w:rFonts w:eastAsia="Times New Roman" w:cs="Times New Roman"/>
              </w:rPr>
            </w:pPr>
            <w:r>
              <w:rPr>
                <w:rFonts w:eastAsia="Times New Roman" w:cs="Times New Roman"/>
                <w:color w:val="auto"/>
              </w:rPr>
              <w:t xml:space="preserve">Stock holding days (Closing stock/cost of goods sold) x 365 </w:t>
            </w:r>
          </w:p>
        </w:tc>
        <w:tc>
          <w:tcPr>
            <w:tcW w:w="1109" w:type="dxa"/>
            <w:shd w:val="clear" w:color="auto" w:fill="DEEAF6" w:themeFill="accent5" w:themeFillTint="33"/>
            <w:hideMark/>
          </w:tcPr>
          <w:p w14:paraId="55FA2EFE" w14:textId="77777777" w:rsidR="00B007F0" w:rsidRDefault="007C08CF">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eastAsia="Times New Roman" w:cs="Times New Roman"/>
              </w:rPr>
              <w:t>79.8825</w:t>
            </w:r>
          </w:p>
        </w:tc>
        <w:tc>
          <w:tcPr>
            <w:tcW w:w="1530" w:type="dxa"/>
            <w:shd w:val="clear" w:color="auto" w:fill="DEEAF6" w:themeFill="accent5" w:themeFillTint="33"/>
            <w:hideMark/>
          </w:tcPr>
          <w:p w14:paraId="79E9AC19" w14:textId="77777777" w:rsidR="00B007F0" w:rsidRDefault="007C08CF">
            <w:pPr>
              <w:pStyle w:val="NormalWeb"/>
              <w:spacing w:line="480" w:lineRule="auto"/>
              <w:jc w:val="center"/>
              <w:cnfStyle w:val="000000000000" w:firstRow="0" w:lastRow="0" w:firstColumn="0" w:lastColumn="0" w:oddVBand="0" w:evenVBand="0" w:oddHBand="0" w:evenHBand="0" w:firstRowFirstColumn="0" w:firstRowLastColumn="0" w:lastRowFirstColumn="0" w:lastRowLastColumn="0"/>
            </w:pPr>
            <w:r>
              <w:t>77.69218346</w:t>
            </w:r>
          </w:p>
        </w:tc>
      </w:tr>
    </w:tbl>
    <w:p w14:paraId="7C1DDB4C" w14:textId="77777777" w:rsidR="00B007F0" w:rsidRDefault="00B007F0" w:rsidP="00B007F0">
      <w:pPr>
        <w:rPr>
          <w:rFonts w:cs="Calibri"/>
          <w:b/>
          <w:bCs/>
          <w:lang w:eastAsia="en-GB"/>
        </w:rPr>
      </w:pPr>
    </w:p>
    <w:p w14:paraId="2072E45A" w14:textId="77777777" w:rsidR="00B007F0" w:rsidRDefault="00B007F0" w:rsidP="00B007F0">
      <w:pPr>
        <w:spacing w:line="240" w:lineRule="auto"/>
        <w:ind w:right="1903"/>
        <w:jc w:val="right"/>
        <w:rPr>
          <w:rFonts w:eastAsia="Times New Roman" w:cs="Times New Roman"/>
        </w:rPr>
      </w:pPr>
    </w:p>
    <w:tbl>
      <w:tblPr>
        <w:tblStyle w:val="ListTable7Colorful-Accent6"/>
        <w:tblW w:w="0" w:type="auto"/>
        <w:jc w:val="center"/>
        <w:shd w:val="clear" w:color="auto" w:fill="DEEAF6" w:themeFill="accent5" w:themeFillTint="33"/>
        <w:tblLook w:val="04A0" w:firstRow="1" w:lastRow="0" w:firstColumn="1" w:lastColumn="0" w:noHBand="0" w:noVBand="1"/>
      </w:tblPr>
      <w:tblGrid>
        <w:gridCol w:w="7032"/>
        <w:gridCol w:w="941"/>
        <w:gridCol w:w="1387"/>
      </w:tblGrid>
      <w:tr w:rsidR="00F16806" w14:paraId="4378AD08" w14:textId="77777777" w:rsidTr="00F16806">
        <w:trPr>
          <w:cnfStyle w:val="100000000000" w:firstRow="1" w:lastRow="0" w:firstColumn="0" w:lastColumn="0" w:oddVBand="0" w:evenVBand="0" w:oddHBand="0" w:evenHBand="0" w:firstRowFirstColumn="0" w:firstRowLastColumn="0" w:lastRowFirstColumn="0" w:lastRowLastColumn="0"/>
          <w:trHeight w:val="555"/>
          <w:jc w:val="center"/>
        </w:trPr>
        <w:tc>
          <w:tcPr>
            <w:cnfStyle w:val="001000000100" w:firstRow="0" w:lastRow="0" w:firstColumn="1" w:lastColumn="0" w:oddVBand="0" w:evenVBand="0" w:oddHBand="0" w:evenHBand="0" w:firstRowFirstColumn="1" w:firstRowLastColumn="0" w:lastRowFirstColumn="0" w:lastRowLastColumn="0"/>
            <w:tcW w:w="0" w:type="auto"/>
            <w:gridSpan w:val="3"/>
            <w:tcBorders>
              <w:top w:val="nil"/>
              <w:left w:val="nil"/>
            </w:tcBorders>
            <w:shd w:val="clear" w:color="auto" w:fill="DEEAF6" w:themeFill="accent5" w:themeFillTint="33"/>
            <w:hideMark/>
          </w:tcPr>
          <w:p w14:paraId="72AF2057" w14:textId="77777777" w:rsidR="00B007F0" w:rsidRDefault="007C08CF">
            <w:pPr>
              <w:jc w:val="center"/>
              <w:rPr>
                <w:rFonts w:cs="Calibri"/>
              </w:rPr>
            </w:pPr>
            <w:r>
              <w:rPr>
                <w:color w:val="auto"/>
                <w:shd w:val="clear" w:color="auto" w:fill="DAEEF3"/>
              </w:rPr>
              <w:t>Calculation of debtors' collection period</w:t>
            </w:r>
          </w:p>
        </w:tc>
      </w:tr>
      <w:tr w:rsidR="00F16806" w14:paraId="6F2606F7" w14:textId="77777777" w:rsidTr="00F16806">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DEEAF6" w:themeFill="accent5" w:themeFillTint="33"/>
            <w:hideMark/>
          </w:tcPr>
          <w:p w14:paraId="0792D677" w14:textId="77777777" w:rsidR="00B007F0" w:rsidRDefault="007C08CF">
            <w:pPr>
              <w:jc w:val="center"/>
              <w:rPr>
                <w:rFonts w:eastAsia="Times New Roman" w:cs="Times New Roman"/>
              </w:rPr>
            </w:pPr>
            <w:r>
              <w:rPr>
                <w:rFonts w:eastAsia="Times New Roman" w:cs="Times New Roman"/>
                <w:color w:val="auto"/>
              </w:rPr>
              <w:t>Particulars </w:t>
            </w:r>
          </w:p>
        </w:tc>
        <w:tc>
          <w:tcPr>
            <w:tcW w:w="0" w:type="auto"/>
            <w:shd w:val="clear" w:color="auto" w:fill="DEEAF6" w:themeFill="accent5" w:themeFillTint="33"/>
            <w:hideMark/>
          </w:tcPr>
          <w:p w14:paraId="273A3C71" w14:textId="458E5A67" w:rsidR="00B007F0" w:rsidRDefault="007C08CF">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eastAsia="Times New Roman" w:cs="Times New Roman"/>
                <w:color w:val="auto"/>
              </w:rPr>
              <w:t>2022</w:t>
            </w:r>
          </w:p>
        </w:tc>
        <w:tc>
          <w:tcPr>
            <w:tcW w:w="0" w:type="auto"/>
            <w:shd w:val="clear" w:color="auto" w:fill="DEEAF6" w:themeFill="accent5" w:themeFillTint="33"/>
            <w:hideMark/>
          </w:tcPr>
          <w:p w14:paraId="002D9126" w14:textId="028F42F9" w:rsidR="00B007F0" w:rsidRDefault="007C08CF">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eastAsia="Times New Roman" w:cs="Times New Roman"/>
                <w:color w:val="auto"/>
              </w:rPr>
              <w:t>2021</w:t>
            </w:r>
          </w:p>
        </w:tc>
      </w:tr>
      <w:tr w:rsidR="00F16806" w14:paraId="16FAFFA9" w14:textId="77777777" w:rsidTr="00F16806">
        <w:trPr>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DEEAF6" w:themeFill="accent5" w:themeFillTint="33"/>
            <w:hideMark/>
          </w:tcPr>
          <w:p w14:paraId="20E6195C" w14:textId="77777777" w:rsidR="00B007F0" w:rsidRDefault="007C08CF">
            <w:pPr>
              <w:jc w:val="center"/>
              <w:rPr>
                <w:rFonts w:eastAsia="Times New Roman" w:cs="Times New Roman"/>
              </w:rPr>
            </w:pPr>
            <w:r>
              <w:rPr>
                <w:rFonts w:eastAsia="Times New Roman" w:cs="Times New Roman"/>
                <w:color w:val="auto"/>
              </w:rPr>
              <w:t xml:space="preserve">The amount owed by Debtors </w:t>
            </w:r>
          </w:p>
        </w:tc>
        <w:tc>
          <w:tcPr>
            <w:tcW w:w="0" w:type="auto"/>
            <w:shd w:val="clear" w:color="auto" w:fill="DEEAF6" w:themeFill="accent5" w:themeFillTint="33"/>
            <w:hideMark/>
          </w:tcPr>
          <w:p w14:paraId="3667A861" w14:textId="77777777" w:rsidR="00B007F0" w:rsidRDefault="007C08CF">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ascii="Calibri" w:eastAsia="Times New Roman" w:hAnsi="Calibri"/>
                <w:sz w:val="22"/>
              </w:rPr>
              <w:t>1,249</w:t>
            </w:r>
          </w:p>
        </w:tc>
        <w:tc>
          <w:tcPr>
            <w:tcW w:w="0" w:type="auto"/>
            <w:shd w:val="clear" w:color="auto" w:fill="DEEAF6" w:themeFill="accent5" w:themeFillTint="33"/>
            <w:hideMark/>
          </w:tcPr>
          <w:p w14:paraId="41B34F6E" w14:textId="77777777" w:rsidR="00B007F0" w:rsidRDefault="007C08CF">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 w:val="22"/>
              </w:rPr>
            </w:pPr>
            <w:r>
              <w:rPr>
                <w:rFonts w:ascii="Calibri" w:eastAsia="Times New Roman" w:hAnsi="Calibri"/>
                <w:sz w:val="22"/>
              </w:rPr>
              <w:t>1287</w:t>
            </w:r>
          </w:p>
        </w:tc>
      </w:tr>
      <w:tr w:rsidR="00F16806" w14:paraId="734A560A" w14:textId="77777777" w:rsidTr="00F16806">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DEEAF6" w:themeFill="accent5" w:themeFillTint="33"/>
            <w:hideMark/>
          </w:tcPr>
          <w:p w14:paraId="362EC1EC" w14:textId="77777777" w:rsidR="00B007F0" w:rsidRDefault="007C08CF">
            <w:pPr>
              <w:jc w:val="center"/>
              <w:rPr>
                <w:rFonts w:eastAsia="Times New Roman" w:cs="Times New Roman"/>
                <w:szCs w:val="24"/>
              </w:rPr>
            </w:pPr>
            <w:r>
              <w:rPr>
                <w:rFonts w:eastAsia="Times New Roman" w:cs="Times New Roman"/>
                <w:color w:val="auto"/>
              </w:rPr>
              <w:t>credit sales </w:t>
            </w:r>
          </w:p>
        </w:tc>
        <w:tc>
          <w:tcPr>
            <w:tcW w:w="0" w:type="auto"/>
            <w:shd w:val="clear" w:color="auto" w:fill="DEEAF6" w:themeFill="accent5" w:themeFillTint="33"/>
            <w:hideMark/>
          </w:tcPr>
          <w:p w14:paraId="3AD2582C" w14:textId="77777777" w:rsidR="00B007F0" w:rsidRDefault="007C08CF">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ascii="Calibri" w:eastAsia="Times New Roman" w:hAnsi="Calibri"/>
                <w:color w:val="auto"/>
                <w:sz w:val="22"/>
              </w:rPr>
              <w:t>6,738</w:t>
            </w:r>
          </w:p>
        </w:tc>
        <w:tc>
          <w:tcPr>
            <w:tcW w:w="0" w:type="auto"/>
            <w:shd w:val="clear" w:color="auto" w:fill="DEEAF6" w:themeFill="accent5" w:themeFillTint="33"/>
            <w:hideMark/>
          </w:tcPr>
          <w:p w14:paraId="328D56DE" w14:textId="77777777" w:rsidR="00B007F0" w:rsidRDefault="007C08CF">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 w:val="22"/>
              </w:rPr>
            </w:pPr>
            <w:r>
              <w:rPr>
                <w:rFonts w:ascii="Calibri" w:eastAsia="Times New Roman" w:hAnsi="Calibri"/>
                <w:color w:val="auto"/>
                <w:sz w:val="22"/>
              </w:rPr>
              <w:t>6441</w:t>
            </w:r>
          </w:p>
        </w:tc>
      </w:tr>
      <w:tr w:rsidR="00F16806" w14:paraId="7757C203" w14:textId="77777777" w:rsidTr="00F16806">
        <w:trPr>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DEEAF6" w:themeFill="accent5" w:themeFillTint="33"/>
            <w:hideMark/>
          </w:tcPr>
          <w:p w14:paraId="05D3C435" w14:textId="77777777" w:rsidR="00B007F0" w:rsidRDefault="007C08CF">
            <w:pPr>
              <w:jc w:val="center"/>
              <w:rPr>
                <w:rFonts w:eastAsia="Times New Roman" w:cs="Times New Roman"/>
                <w:szCs w:val="24"/>
              </w:rPr>
            </w:pPr>
            <w:proofErr w:type="gramStart"/>
            <w:r>
              <w:rPr>
                <w:rFonts w:eastAsia="Times New Roman" w:cs="Times New Roman"/>
                <w:color w:val="auto"/>
              </w:rPr>
              <w:t>Debtors</w:t>
            </w:r>
            <w:proofErr w:type="gramEnd"/>
            <w:r>
              <w:rPr>
                <w:rFonts w:eastAsia="Times New Roman" w:cs="Times New Roman"/>
                <w:color w:val="auto"/>
              </w:rPr>
              <w:t xml:space="preserve"> collection period (Amount owed by debtor/annual credit sales) x 365 </w:t>
            </w:r>
          </w:p>
        </w:tc>
        <w:tc>
          <w:tcPr>
            <w:tcW w:w="0" w:type="auto"/>
            <w:shd w:val="clear" w:color="auto" w:fill="DEEAF6" w:themeFill="accent5" w:themeFillTint="33"/>
            <w:hideMark/>
          </w:tcPr>
          <w:p w14:paraId="281AE16C" w14:textId="77777777" w:rsidR="00B007F0" w:rsidRDefault="007C08CF">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ascii="Calibri" w:eastAsia="Times New Roman" w:hAnsi="Calibri"/>
                <w:sz w:val="22"/>
              </w:rPr>
              <w:t>67.6588</w:t>
            </w:r>
          </w:p>
        </w:tc>
        <w:tc>
          <w:tcPr>
            <w:tcW w:w="0" w:type="auto"/>
            <w:shd w:val="clear" w:color="auto" w:fill="DEEAF6" w:themeFill="accent5" w:themeFillTint="33"/>
            <w:hideMark/>
          </w:tcPr>
          <w:p w14:paraId="2A46C09B" w14:textId="77777777" w:rsidR="00B007F0" w:rsidRDefault="007C08CF">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 w:val="22"/>
              </w:rPr>
            </w:pPr>
            <w:r>
              <w:rPr>
                <w:rFonts w:ascii="Calibri" w:hAnsi="Calibri"/>
                <w:sz w:val="22"/>
              </w:rPr>
              <w:t>72.93199814</w:t>
            </w:r>
          </w:p>
        </w:tc>
      </w:tr>
    </w:tbl>
    <w:p w14:paraId="7CBAE6C5" w14:textId="77777777" w:rsidR="00B007F0" w:rsidRDefault="00B007F0" w:rsidP="00B007F0">
      <w:pPr>
        <w:rPr>
          <w:rFonts w:eastAsia="Calibri" w:cs="Calibri"/>
          <w:b/>
          <w:bCs/>
          <w:szCs w:val="24"/>
          <w:lang w:eastAsia="en-GB"/>
        </w:rPr>
      </w:pPr>
    </w:p>
    <w:tbl>
      <w:tblPr>
        <w:tblStyle w:val="ListTable7Colorful-Accent6"/>
        <w:tblW w:w="0" w:type="auto"/>
        <w:jc w:val="center"/>
        <w:shd w:val="clear" w:color="auto" w:fill="DEEAF6" w:themeFill="accent5" w:themeFillTint="33"/>
        <w:tblLook w:val="04A0" w:firstRow="1" w:lastRow="0" w:firstColumn="1" w:lastColumn="0" w:noHBand="0" w:noVBand="1"/>
      </w:tblPr>
      <w:tblGrid>
        <w:gridCol w:w="4198"/>
        <w:gridCol w:w="941"/>
        <w:gridCol w:w="1387"/>
      </w:tblGrid>
      <w:tr w:rsidR="00F16806" w14:paraId="4DD03F59" w14:textId="77777777" w:rsidTr="00F16806">
        <w:trPr>
          <w:cnfStyle w:val="100000000000" w:firstRow="1" w:lastRow="0" w:firstColumn="0" w:lastColumn="0" w:oddVBand="0" w:evenVBand="0" w:oddHBand="0" w:evenHBand="0" w:firstRowFirstColumn="0" w:firstRowLastColumn="0" w:lastRowFirstColumn="0" w:lastRowLastColumn="0"/>
          <w:trHeight w:val="305"/>
          <w:jc w:val="center"/>
        </w:trPr>
        <w:tc>
          <w:tcPr>
            <w:cnfStyle w:val="001000000100" w:firstRow="0" w:lastRow="0" w:firstColumn="1" w:lastColumn="0" w:oddVBand="0" w:evenVBand="0" w:oddHBand="0" w:evenHBand="0" w:firstRowFirstColumn="1" w:firstRowLastColumn="0" w:lastRowFirstColumn="0" w:lastRowLastColumn="0"/>
            <w:tcW w:w="6502" w:type="dxa"/>
            <w:gridSpan w:val="3"/>
            <w:tcBorders>
              <w:top w:val="nil"/>
              <w:left w:val="nil"/>
            </w:tcBorders>
            <w:shd w:val="clear" w:color="auto" w:fill="DEEAF6" w:themeFill="accent5" w:themeFillTint="33"/>
            <w:hideMark/>
          </w:tcPr>
          <w:p w14:paraId="2934132C" w14:textId="77777777" w:rsidR="00B007F0" w:rsidRDefault="007C08CF">
            <w:pPr>
              <w:jc w:val="center"/>
              <w:rPr>
                <w:rFonts w:eastAsia="Times New Roman" w:cs="Times New Roman"/>
              </w:rPr>
            </w:pPr>
            <w:r>
              <w:rPr>
                <w:color w:val="auto"/>
                <w:shd w:val="clear" w:color="auto" w:fill="DAEEF3"/>
              </w:rPr>
              <w:t>Calculation of the current ratio</w:t>
            </w:r>
          </w:p>
        </w:tc>
      </w:tr>
      <w:tr w:rsidR="00F16806" w14:paraId="33124828" w14:textId="77777777" w:rsidTr="00F16806">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DEEAF6" w:themeFill="accent5" w:themeFillTint="33"/>
            <w:hideMark/>
          </w:tcPr>
          <w:p w14:paraId="491B144B" w14:textId="77777777" w:rsidR="00B007F0" w:rsidRDefault="007C08CF">
            <w:pPr>
              <w:jc w:val="center"/>
              <w:rPr>
                <w:rFonts w:eastAsia="Times New Roman" w:cs="Times New Roman"/>
              </w:rPr>
            </w:pPr>
            <w:r>
              <w:rPr>
                <w:rFonts w:eastAsia="Times New Roman" w:cs="Times New Roman"/>
                <w:color w:val="auto"/>
              </w:rPr>
              <w:t>Particulars </w:t>
            </w:r>
          </w:p>
        </w:tc>
        <w:tc>
          <w:tcPr>
            <w:tcW w:w="0" w:type="auto"/>
            <w:shd w:val="clear" w:color="auto" w:fill="DEEAF6" w:themeFill="accent5" w:themeFillTint="33"/>
            <w:hideMark/>
          </w:tcPr>
          <w:p w14:paraId="2EE66EB8" w14:textId="3BB30CD0" w:rsidR="00B007F0" w:rsidRDefault="007C08CF">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eastAsia="Times New Roman" w:cs="Times New Roman"/>
                <w:color w:val="auto"/>
              </w:rPr>
              <w:t>2022</w:t>
            </w:r>
          </w:p>
        </w:tc>
        <w:tc>
          <w:tcPr>
            <w:tcW w:w="1201" w:type="dxa"/>
            <w:shd w:val="clear" w:color="auto" w:fill="DEEAF6" w:themeFill="accent5" w:themeFillTint="33"/>
          </w:tcPr>
          <w:p w14:paraId="59324AC8" w14:textId="073FB2F9" w:rsidR="00B007F0" w:rsidRDefault="007C08CF">
            <w:pPr>
              <w:pStyle w:val="NormalWeb"/>
              <w:spacing w:line="480" w:lineRule="auto"/>
              <w:jc w:val="center"/>
              <w:cnfStyle w:val="000000100000" w:firstRow="0" w:lastRow="0" w:firstColumn="0" w:lastColumn="0" w:oddVBand="0" w:evenVBand="0" w:oddHBand="1" w:evenHBand="0" w:firstRowFirstColumn="0" w:firstRowLastColumn="0" w:lastRowFirstColumn="0" w:lastRowLastColumn="0"/>
            </w:pPr>
            <w:r>
              <w:t>2021</w:t>
            </w:r>
          </w:p>
          <w:p w14:paraId="796BAE7F" w14:textId="77777777" w:rsidR="00B007F0" w:rsidRDefault="00B007F0">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p>
        </w:tc>
      </w:tr>
      <w:tr w:rsidR="00F16806" w14:paraId="32950A78" w14:textId="77777777" w:rsidTr="00F16806">
        <w:trPr>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DEEAF6" w:themeFill="accent5" w:themeFillTint="33"/>
            <w:hideMark/>
          </w:tcPr>
          <w:p w14:paraId="5F66F07C" w14:textId="77777777" w:rsidR="00B007F0" w:rsidRDefault="007C08CF">
            <w:pPr>
              <w:jc w:val="center"/>
              <w:rPr>
                <w:rFonts w:eastAsia="Times New Roman" w:cs="Times New Roman"/>
              </w:rPr>
            </w:pPr>
            <w:r>
              <w:rPr>
                <w:rFonts w:ascii="Calibri" w:eastAsia="Times New Roman" w:hAnsi="Calibri"/>
                <w:color w:val="auto"/>
                <w:sz w:val="22"/>
              </w:rPr>
              <w:t>Current asset </w:t>
            </w:r>
          </w:p>
        </w:tc>
        <w:tc>
          <w:tcPr>
            <w:tcW w:w="0" w:type="auto"/>
            <w:shd w:val="clear" w:color="auto" w:fill="DEEAF6" w:themeFill="accent5" w:themeFillTint="33"/>
            <w:hideMark/>
          </w:tcPr>
          <w:p w14:paraId="0B24A99B" w14:textId="77777777" w:rsidR="00B007F0" w:rsidRDefault="007C08CF">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ascii="Calibri" w:eastAsia="Times New Roman" w:hAnsi="Calibri"/>
                <w:sz w:val="22"/>
              </w:rPr>
              <w:t>9,736</w:t>
            </w:r>
          </w:p>
        </w:tc>
        <w:tc>
          <w:tcPr>
            <w:tcW w:w="1201" w:type="dxa"/>
            <w:shd w:val="clear" w:color="auto" w:fill="DEEAF6" w:themeFill="accent5" w:themeFillTint="33"/>
            <w:hideMark/>
          </w:tcPr>
          <w:p w14:paraId="188B49A5" w14:textId="77777777" w:rsidR="00B007F0" w:rsidRDefault="007C08CF">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 w:val="22"/>
              </w:rPr>
            </w:pPr>
            <w:r>
              <w:rPr>
                <w:rFonts w:ascii="Calibri" w:hAnsi="Calibri"/>
                <w:sz w:val="22"/>
              </w:rPr>
              <w:t>10,087</w:t>
            </w:r>
          </w:p>
        </w:tc>
      </w:tr>
      <w:tr w:rsidR="00F16806" w14:paraId="4B3ADB08" w14:textId="77777777" w:rsidTr="00F16806">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DEEAF6" w:themeFill="accent5" w:themeFillTint="33"/>
            <w:hideMark/>
          </w:tcPr>
          <w:p w14:paraId="1ABF7B08" w14:textId="77777777" w:rsidR="00B007F0" w:rsidRDefault="007C08CF">
            <w:pPr>
              <w:jc w:val="center"/>
              <w:rPr>
                <w:rFonts w:eastAsia="Times New Roman" w:cs="Times New Roman"/>
                <w:szCs w:val="24"/>
              </w:rPr>
            </w:pPr>
            <w:r>
              <w:rPr>
                <w:rFonts w:ascii="Calibri" w:eastAsia="Times New Roman" w:hAnsi="Calibri"/>
                <w:color w:val="auto"/>
                <w:sz w:val="22"/>
              </w:rPr>
              <w:t>Current liabilities </w:t>
            </w:r>
          </w:p>
        </w:tc>
        <w:tc>
          <w:tcPr>
            <w:tcW w:w="0" w:type="auto"/>
            <w:shd w:val="clear" w:color="auto" w:fill="DEEAF6" w:themeFill="accent5" w:themeFillTint="33"/>
            <w:hideMark/>
          </w:tcPr>
          <w:p w14:paraId="3EDFA8CA" w14:textId="77777777" w:rsidR="00B007F0" w:rsidRDefault="007C08CF">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ascii="Calibri" w:eastAsia="Times New Roman" w:hAnsi="Calibri"/>
                <w:color w:val="auto"/>
                <w:sz w:val="22"/>
              </w:rPr>
              <w:t>2,511</w:t>
            </w:r>
          </w:p>
        </w:tc>
        <w:tc>
          <w:tcPr>
            <w:tcW w:w="1201" w:type="dxa"/>
            <w:shd w:val="clear" w:color="auto" w:fill="DEEAF6" w:themeFill="accent5" w:themeFillTint="33"/>
          </w:tcPr>
          <w:p w14:paraId="255B20C8" w14:textId="77777777" w:rsidR="00B007F0" w:rsidRDefault="007C08CF">
            <w:pPr>
              <w:pStyle w:val="NormalWeb"/>
              <w:spacing w:line="480" w:lineRule="auto"/>
              <w:jc w:val="center"/>
              <w:cnfStyle w:val="000000100000" w:firstRow="0" w:lastRow="0" w:firstColumn="0" w:lastColumn="0" w:oddVBand="0" w:evenVBand="0" w:oddHBand="1" w:evenHBand="0" w:firstRowFirstColumn="0" w:firstRowLastColumn="0" w:lastRowFirstColumn="0" w:lastRowLastColumn="0"/>
            </w:pPr>
            <w:r>
              <w:rPr>
                <w:rFonts w:ascii="Calibri" w:hAnsi="Calibri" w:cs="Calibri"/>
                <w:sz w:val="22"/>
                <w:szCs w:val="22"/>
              </w:rPr>
              <w:t>3,046</w:t>
            </w:r>
          </w:p>
          <w:p w14:paraId="34055280" w14:textId="77777777" w:rsidR="00B007F0" w:rsidRDefault="00B007F0">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sz w:val="22"/>
              </w:rPr>
            </w:pPr>
          </w:p>
        </w:tc>
      </w:tr>
      <w:tr w:rsidR="00F16806" w14:paraId="553C9F87" w14:textId="77777777" w:rsidTr="00F16806">
        <w:trPr>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DEEAF6" w:themeFill="accent5" w:themeFillTint="33"/>
            <w:hideMark/>
          </w:tcPr>
          <w:p w14:paraId="2BF19647" w14:textId="77777777" w:rsidR="00B007F0" w:rsidRDefault="007C08CF">
            <w:pPr>
              <w:rPr>
                <w:rFonts w:eastAsia="Times New Roman" w:cs="Times New Roman"/>
                <w:szCs w:val="24"/>
              </w:rPr>
            </w:pPr>
            <w:r>
              <w:rPr>
                <w:rFonts w:ascii="Calibri" w:eastAsia="Times New Roman" w:hAnsi="Calibri"/>
                <w:color w:val="auto"/>
                <w:sz w:val="22"/>
              </w:rPr>
              <w:t xml:space="preserve">Current ratio current asset/ current liabilities </w:t>
            </w:r>
          </w:p>
        </w:tc>
        <w:tc>
          <w:tcPr>
            <w:tcW w:w="0" w:type="auto"/>
            <w:shd w:val="clear" w:color="auto" w:fill="DEEAF6" w:themeFill="accent5" w:themeFillTint="33"/>
            <w:hideMark/>
          </w:tcPr>
          <w:p w14:paraId="6E1EE97F" w14:textId="77777777" w:rsidR="00B007F0" w:rsidRDefault="007C08CF">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ascii="Calibri" w:eastAsia="Times New Roman" w:hAnsi="Calibri"/>
                <w:sz w:val="22"/>
              </w:rPr>
              <w:t>3.87734</w:t>
            </w:r>
          </w:p>
        </w:tc>
        <w:tc>
          <w:tcPr>
            <w:tcW w:w="1201" w:type="dxa"/>
            <w:shd w:val="clear" w:color="auto" w:fill="DEEAF6" w:themeFill="accent5" w:themeFillTint="33"/>
            <w:hideMark/>
          </w:tcPr>
          <w:p w14:paraId="32F0A6D2" w14:textId="77777777" w:rsidR="00B007F0" w:rsidRDefault="007C08CF">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 w:val="22"/>
              </w:rPr>
            </w:pPr>
            <w:r>
              <w:rPr>
                <w:rFonts w:ascii="Calibri" w:hAnsi="Calibri"/>
                <w:sz w:val="22"/>
              </w:rPr>
              <w:t>3.311556139</w:t>
            </w:r>
          </w:p>
        </w:tc>
      </w:tr>
    </w:tbl>
    <w:p w14:paraId="11C0E4B3" w14:textId="77777777" w:rsidR="00B007F0" w:rsidRDefault="00B007F0" w:rsidP="00B007F0">
      <w:pPr>
        <w:rPr>
          <w:rFonts w:eastAsia="Calibri" w:cs="Calibri"/>
          <w:b/>
          <w:bCs/>
          <w:szCs w:val="24"/>
          <w:lang w:eastAsia="en-GB"/>
        </w:rPr>
      </w:pPr>
    </w:p>
    <w:tbl>
      <w:tblPr>
        <w:tblStyle w:val="ListTable7Colorful-Accent6"/>
        <w:tblW w:w="0" w:type="auto"/>
        <w:jc w:val="center"/>
        <w:shd w:val="clear" w:color="auto" w:fill="DEEAF6" w:themeFill="accent5" w:themeFillTint="33"/>
        <w:tblLook w:val="04A0" w:firstRow="1" w:lastRow="0" w:firstColumn="1" w:lastColumn="0" w:noHBand="0" w:noVBand="1"/>
      </w:tblPr>
      <w:tblGrid>
        <w:gridCol w:w="5583"/>
        <w:gridCol w:w="1038"/>
        <w:gridCol w:w="1518"/>
      </w:tblGrid>
      <w:tr w:rsidR="00F16806" w14:paraId="4A46A29F" w14:textId="77777777" w:rsidTr="00F16806">
        <w:trPr>
          <w:cnfStyle w:val="100000000000" w:firstRow="1" w:lastRow="0" w:firstColumn="0" w:lastColumn="0" w:oddVBand="0" w:evenVBand="0" w:oddHBand="0" w:evenHBand="0" w:firstRowFirstColumn="0" w:firstRowLastColumn="0" w:lastRowFirstColumn="0" w:lastRowLastColumn="0"/>
          <w:trHeight w:val="305"/>
          <w:jc w:val="center"/>
        </w:trPr>
        <w:tc>
          <w:tcPr>
            <w:cnfStyle w:val="001000000100" w:firstRow="0" w:lastRow="0" w:firstColumn="1" w:lastColumn="0" w:oddVBand="0" w:evenVBand="0" w:oddHBand="0" w:evenHBand="0" w:firstRowFirstColumn="1" w:firstRowLastColumn="0" w:lastRowFirstColumn="0" w:lastRowLastColumn="0"/>
            <w:tcW w:w="0" w:type="auto"/>
            <w:gridSpan w:val="3"/>
            <w:tcBorders>
              <w:top w:val="nil"/>
              <w:left w:val="nil"/>
            </w:tcBorders>
            <w:shd w:val="clear" w:color="auto" w:fill="DEEAF6" w:themeFill="accent5" w:themeFillTint="33"/>
            <w:hideMark/>
          </w:tcPr>
          <w:p w14:paraId="301254A9" w14:textId="77777777" w:rsidR="00B007F0" w:rsidRPr="00B007F0" w:rsidRDefault="007C08CF">
            <w:pPr>
              <w:jc w:val="center"/>
              <w:rPr>
                <w:rFonts w:eastAsia="Times New Roman" w:cs="Times New Roman"/>
                <w:i w:val="0"/>
                <w:iCs w:val="0"/>
              </w:rPr>
            </w:pPr>
            <w:r w:rsidRPr="00B007F0">
              <w:rPr>
                <w:color w:val="auto"/>
                <w:shd w:val="clear" w:color="auto" w:fill="DAEEF3"/>
              </w:rPr>
              <w:t>Calculation of gearing ratio</w:t>
            </w:r>
          </w:p>
        </w:tc>
      </w:tr>
      <w:tr w:rsidR="00F16806" w14:paraId="0E5617BB" w14:textId="77777777" w:rsidTr="00F16806">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DEEAF6" w:themeFill="accent5" w:themeFillTint="33"/>
            <w:hideMark/>
          </w:tcPr>
          <w:p w14:paraId="12D995B1" w14:textId="77777777" w:rsidR="00B007F0" w:rsidRDefault="007C08CF">
            <w:pPr>
              <w:jc w:val="center"/>
              <w:rPr>
                <w:rFonts w:cs="Calibri"/>
              </w:rPr>
            </w:pPr>
            <w:r>
              <w:rPr>
                <w:color w:val="auto"/>
              </w:rPr>
              <w:t>Particulars</w:t>
            </w:r>
          </w:p>
        </w:tc>
        <w:tc>
          <w:tcPr>
            <w:tcW w:w="0" w:type="auto"/>
            <w:shd w:val="clear" w:color="auto" w:fill="DEEAF6" w:themeFill="accent5" w:themeFillTint="33"/>
            <w:hideMark/>
          </w:tcPr>
          <w:p w14:paraId="4050584E" w14:textId="6CCA8C0C" w:rsidR="00B007F0" w:rsidRDefault="007C08CF">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eastAsia="Times New Roman" w:cs="Times New Roman"/>
                <w:color w:val="auto"/>
              </w:rPr>
              <w:t>2022</w:t>
            </w:r>
          </w:p>
        </w:tc>
        <w:tc>
          <w:tcPr>
            <w:tcW w:w="0" w:type="auto"/>
            <w:shd w:val="clear" w:color="auto" w:fill="DEEAF6" w:themeFill="accent5" w:themeFillTint="33"/>
            <w:hideMark/>
          </w:tcPr>
          <w:p w14:paraId="65587A3B" w14:textId="08AD3F65" w:rsidR="00B007F0" w:rsidRDefault="007C08CF">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eastAsia="Times New Roman" w:cs="Times New Roman"/>
                <w:color w:val="auto"/>
              </w:rPr>
              <w:t>2021</w:t>
            </w:r>
          </w:p>
        </w:tc>
      </w:tr>
      <w:tr w:rsidR="00F16806" w14:paraId="1D23D096" w14:textId="77777777" w:rsidTr="00F16806">
        <w:trPr>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DEEAF6" w:themeFill="accent5" w:themeFillTint="33"/>
            <w:hideMark/>
          </w:tcPr>
          <w:p w14:paraId="17D922CC" w14:textId="77777777" w:rsidR="00B007F0" w:rsidRDefault="007C08CF">
            <w:pPr>
              <w:jc w:val="center"/>
              <w:rPr>
                <w:rFonts w:cs="Calibri"/>
              </w:rPr>
            </w:pPr>
            <w:r>
              <w:rPr>
                <w:color w:val="auto"/>
              </w:rPr>
              <w:t>Loans and borrowings</w:t>
            </w:r>
          </w:p>
        </w:tc>
        <w:tc>
          <w:tcPr>
            <w:tcW w:w="0" w:type="auto"/>
            <w:shd w:val="clear" w:color="auto" w:fill="DEEAF6" w:themeFill="accent5" w:themeFillTint="33"/>
            <w:hideMark/>
          </w:tcPr>
          <w:p w14:paraId="0018B8FD" w14:textId="77777777" w:rsidR="00B007F0" w:rsidRDefault="007C08CF">
            <w:pPr>
              <w:ind w:right="41"/>
              <w:jc w:val="right"/>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eastAsia="Times New Roman" w:cs="Times New Roman"/>
              </w:rPr>
              <w:t>4137</w:t>
            </w:r>
          </w:p>
        </w:tc>
        <w:tc>
          <w:tcPr>
            <w:tcW w:w="0" w:type="auto"/>
            <w:shd w:val="clear" w:color="auto" w:fill="DEEAF6" w:themeFill="accent5" w:themeFillTint="33"/>
            <w:hideMark/>
          </w:tcPr>
          <w:p w14:paraId="4F7D8352" w14:textId="77777777" w:rsidR="00B007F0" w:rsidRDefault="007C08CF">
            <w:pPr>
              <w:ind w:right="41"/>
              <w:jc w:val="right"/>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eastAsia="Times New Roman" w:cs="Times New Roman"/>
              </w:rPr>
              <w:t>4129</w:t>
            </w:r>
          </w:p>
        </w:tc>
      </w:tr>
      <w:tr w:rsidR="00F16806" w14:paraId="758E0E29" w14:textId="77777777" w:rsidTr="00F16806">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DEEAF6" w:themeFill="accent5" w:themeFillTint="33"/>
            <w:hideMark/>
          </w:tcPr>
          <w:p w14:paraId="0205CBE9" w14:textId="77777777" w:rsidR="00B007F0" w:rsidRDefault="007C08CF">
            <w:pPr>
              <w:jc w:val="center"/>
              <w:rPr>
                <w:rFonts w:cs="Calibri"/>
              </w:rPr>
            </w:pPr>
            <w:r>
              <w:rPr>
                <w:color w:val="auto"/>
              </w:rPr>
              <w:t>Shareholder equity</w:t>
            </w:r>
          </w:p>
        </w:tc>
        <w:tc>
          <w:tcPr>
            <w:tcW w:w="0" w:type="auto"/>
            <w:shd w:val="clear" w:color="auto" w:fill="DEEAF6" w:themeFill="accent5" w:themeFillTint="33"/>
            <w:hideMark/>
          </w:tcPr>
          <w:p w14:paraId="336C4CB6" w14:textId="77777777" w:rsidR="00B007F0" w:rsidRDefault="007C08CF">
            <w:pPr>
              <w:ind w:right="44"/>
              <w:jc w:val="right"/>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eastAsia="Times New Roman" w:cs="Times New Roman"/>
                <w:color w:val="auto"/>
              </w:rPr>
              <w:t>3,088</w:t>
            </w:r>
          </w:p>
        </w:tc>
        <w:tc>
          <w:tcPr>
            <w:tcW w:w="0" w:type="auto"/>
            <w:shd w:val="clear" w:color="auto" w:fill="DEEAF6" w:themeFill="accent5" w:themeFillTint="33"/>
            <w:hideMark/>
          </w:tcPr>
          <w:p w14:paraId="5CC7BC42" w14:textId="77777777" w:rsidR="00B007F0" w:rsidRDefault="007C08CF">
            <w:pPr>
              <w:ind w:right="44"/>
              <w:jc w:val="right"/>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eastAsia="Times New Roman" w:cs="Times New Roman"/>
                <w:color w:val="auto"/>
              </w:rPr>
              <w:t>2912</w:t>
            </w:r>
          </w:p>
        </w:tc>
      </w:tr>
      <w:tr w:rsidR="00F16806" w14:paraId="7A4E34BA" w14:textId="77777777" w:rsidTr="00F16806">
        <w:trPr>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DEEAF6" w:themeFill="accent5" w:themeFillTint="33"/>
            <w:hideMark/>
          </w:tcPr>
          <w:p w14:paraId="65C22118" w14:textId="77777777" w:rsidR="00B007F0" w:rsidRDefault="007C08CF">
            <w:pPr>
              <w:jc w:val="center"/>
              <w:rPr>
                <w:rFonts w:cs="Calibri"/>
              </w:rPr>
            </w:pPr>
            <w:r>
              <w:rPr>
                <w:color w:val="auto"/>
              </w:rPr>
              <w:t>Gearing ratio loans and borrowings/shareholder equity</w:t>
            </w:r>
          </w:p>
        </w:tc>
        <w:tc>
          <w:tcPr>
            <w:tcW w:w="0" w:type="auto"/>
            <w:shd w:val="clear" w:color="auto" w:fill="DEEAF6" w:themeFill="accent5" w:themeFillTint="33"/>
            <w:hideMark/>
          </w:tcPr>
          <w:p w14:paraId="637C8CA1" w14:textId="77777777" w:rsidR="00B007F0" w:rsidRDefault="007C08CF">
            <w:pPr>
              <w:ind w:right="41"/>
              <w:jc w:val="right"/>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eastAsia="Times New Roman" w:cs="Times New Roman"/>
              </w:rPr>
              <w:t>1.42067</w:t>
            </w:r>
          </w:p>
        </w:tc>
        <w:tc>
          <w:tcPr>
            <w:tcW w:w="0" w:type="auto"/>
            <w:shd w:val="clear" w:color="auto" w:fill="DEEAF6" w:themeFill="accent5" w:themeFillTint="33"/>
            <w:hideMark/>
          </w:tcPr>
          <w:p w14:paraId="3C2BE071" w14:textId="77777777" w:rsidR="00B007F0" w:rsidRDefault="007C08CF">
            <w:pPr>
              <w:ind w:right="41"/>
              <w:jc w:val="right"/>
              <w:cnfStyle w:val="000000000000" w:firstRow="0" w:lastRow="0" w:firstColumn="0" w:lastColumn="0" w:oddVBand="0" w:evenVBand="0" w:oddHBand="0" w:evenHBand="0" w:firstRowFirstColumn="0" w:firstRowLastColumn="0" w:lastRowFirstColumn="0" w:lastRowLastColumn="0"/>
              <w:rPr>
                <w:rFonts w:eastAsia="Times New Roman" w:cs="Times New Roman"/>
              </w:rPr>
            </w:pPr>
            <w:r>
              <w:t>1.417925824</w:t>
            </w:r>
          </w:p>
        </w:tc>
      </w:tr>
    </w:tbl>
    <w:p w14:paraId="2549B012" w14:textId="77777777" w:rsidR="00B007F0" w:rsidRDefault="00B007F0" w:rsidP="00B007F0">
      <w:pPr>
        <w:rPr>
          <w:rFonts w:eastAsia="Calibri" w:cs="Calibri"/>
          <w:b/>
          <w:bCs/>
          <w:lang w:eastAsia="en-GB"/>
        </w:rPr>
      </w:pPr>
    </w:p>
    <w:tbl>
      <w:tblPr>
        <w:tblStyle w:val="ListTable7Colorful-Accent6"/>
        <w:tblW w:w="0" w:type="auto"/>
        <w:jc w:val="center"/>
        <w:shd w:val="clear" w:color="auto" w:fill="DEEAF6" w:themeFill="accent5" w:themeFillTint="33"/>
        <w:tblLook w:val="04A0" w:firstRow="1" w:lastRow="0" w:firstColumn="1" w:lastColumn="0" w:noHBand="0" w:noVBand="1"/>
      </w:tblPr>
      <w:tblGrid>
        <w:gridCol w:w="3931"/>
        <w:gridCol w:w="1057"/>
        <w:gridCol w:w="1392"/>
      </w:tblGrid>
      <w:tr w:rsidR="00F16806" w14:paraId="36ABA817" w14:textId="77777777" w:rsidTr="00F16806">
        <w:trPr>
          <w:cnfStyle w:val="100000000000" w:firstRow="1" w:lastRow="0" w:firstColumn="0" w:lastColumn="0" w:oddVBand="0" w:evenVBand="0" w:oddHBand="0" w:evenHBand="0" w:firstRowFirstColumn="0" w:firstRowLastColumn="0" w:lastRowFirstColumn="0" w:lastRowLastColumn="0"/>
          <w:trHeight w:val="305"/>
          <w:jc w:val="center"/>
        </w:trPr>
        <w:tc>
          <w:tcPr>
            <w:cnfStyle w:val="001000000100" w:firstRow="0" w:lastRow="0" w:firstColumn="1" w:lastColumn="0" w:oddVBand="0" w:evenVBand="0" w:oddHBand="0" w:evenHBand="0" w:firstRowFirstColumn="1" w:firstRowLastColumn="0" w:lastRowFirstColumn="0" w:lastRowLastColumn="0"/>
            <w:tcW w:w="6380" w:type="dxa"/>
            <w:gridSpan w:val="3"/>
            <w:tcBorders>
              <w:top w:val="nil"/>
              <w:left w:val="nil"/>
            </w:tcBorders>
            <w:shd w:val="clear" w:color="auto" w:fill="DEEAF6" w:themeFill="accent5" w:themeFillTint="33"/>
            <w:hideMark/>
          </w:tcPr>
          <w:p w14:paraId="16F4569E" w14:textId="77777777" w:rsidR="00B007F0" w:rsidRPr="00B007F0" w:rsidRDefault="007C08CF">
            <w:pPr>
              <w:jc w:val="center"/>
              <w:rPr>
                <w:rFonts w:eastAsia="Times New Roman" w:cs="Times New Roman"/>
                <w:i w:val="0"/>
                <w:iCs w:val="0"/>
              </w:rPr>
            </w:pPr>
            <w:r w:rsidRPr="00B007F0">
              <w:rPr>
                <w:color w:val="auto"/>
                <w:shd w:val="clear" w:color="auto" w:fill="DAEEF3"/>
              </w:rPr>
              <w:t>Calculation of interest cover</w:t>
            </w:r>
          </w:p>
        </w:tc>
      </w:tr>
      <w:tr w:rsidR="00F16806" w14:paraId="4AA49DF5" w14:textId="77777777" w:rsidTr="00F16806">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DEEAF6" w:themeFill="accent5" w:themeFillTint="33"/>
            <w:hideMark/>
          </w:tcPr>
          <w:p w14:paraId="725C5923" w14:textId="77777777" w:rsidR="00B007F0" w:rsidRDefault="007C08CF">
            <w:pPr>
              <w:jc w:val="center"/>
              <w:rPr>
                <w:rFonts w:eastAsia="Times New Roman" w:cs="Times New Roman"/>
              </w:rPr>
            </w:pPr>
            <w:r>
              <w:rPr>
                <w:rFonts w:eastAsia="Times New Roman" w:cs="Times New Roman"/>
                <w:color w:val="auto"/>
              </w:rPr>
              <w:t>Particulars </w:t>
            </w:r>
          </w:p>
        </w:tc>
        <w:tc>
          <w:tcPr>
            <w:tcW w:w="0" w:type="auto"/>
            <w:shd w:val="clear" w:color="auto" w:fill="DEEAF6" w:themeFill="accent5" w:themeFillTint="33"/>
            <w:hideMark/>
          </w:tcPr>
          <w:p w14:paraId="5BD48B4D" w14:textId="4BFC7522" w:rsidR="00B007F0" w:rsidRDefault="007C08CF">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eastAsia="Times New Roman" w:cs="Times New Roman"/>
                <w:color w:val="auto"/>
              </w:rPr>
              <w:t>2022</w:t>
            </w:r>
          </w:p>
        </w:tc>
        <w:tc>
          <w:tcPr>
            <w:tcW w:w="1329" w:type="dxa"/>
            <w:shd w:val="clear" w:color="auto" w:fill="DEEAF6" w:themeFill="accent5" w:themeFillTint="33"/>
            <w:hideMark/>
          </w:tcPr>
          <w:p w14:paraId="03F0DEEB" w14:textId="70CD7417" w:rsidR="00B007F0" w:rsidRDefault="007C08CF">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eastAsia="Times New Roman" w:cs="Times New Roman"/>
                <w:color w:val="auto"/>
              </w:rPr>
              <w:t>2021</w:t>
            </w:r>
          </w:p>
        </w:tc>
      </w:tr>
      <w:tr w:rsidR="00F16806" w14:paraId="2E89186F" w14:textId="77777777" w:rsidTr="00F16806">
        <w:trPr>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DEEAF6" w:themeFill="accent5" w:themeFillTint="33"/>
            <w:hideMark/>
          </w:tcPr>
          <w:p w14:paraId="284CAFE0" w14:textId="77777777" w:rsidR="00B007F0" w:rsidRDefault="007C08CF">
            <w:pPr>
              <w:jc w:val="center"/>
              <w:rPr>
                <w:rFonts w:eastAsia="Times New Roman" w:cs="Times New Roman"/>
              </w:rPr>
            </w:pPr>
            <w:r>
              <w:rPr>
                <w:rFonts w:eastAsia="Times New Roman" w:cs="Times New Roman"/>
                <w:color w:val="auto"/>
              </w:rPr>
              <w:t>Earnings before interest and taxes </w:t>
            </w:r>
          </w:p>
        </w:tc>
        <w:tc>
          <w:tcPr>
            <w:tcW w:w="0" w:type="auto"/>
            <w:shd w:val="clear" w:color="auto" w:fill="DEEAF6" w:themeFill="accent5" w:themeFillTint="33"/>
            <w:hideMark/>
          </w:tcPr>
          <w:p w14:paraId="2103DF1F" w14:textId="77777777" w:rsidR="00B007F0" w:rsidRDefault="007C08CF">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eastAsia="Times New Roman" w:cs="Times New Roman"/>
              </w:rPr>
              <w:t>805</w:t>
            </w:r>
          </w:p>
        </w:tc>
        <w:tc>
          <w:tcPr>
            <w:tcW w:w="1329" w:type="dxa"/>
            <w:shd w:val="clear" w:color="auto" w:fill="DEEAF6" w:themeFill="accent5" w:themeFillTint="33"/>
            <w:hideMark/>
          </w:tcPr>
          <w:p w14:paraId="2C936B53" w14:textId="77777777" w:rsidR="00B007F0" w:rsidRDefault="007C08CF">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eastAsia="Times New Roman" w:cs="Times New Roman"/>
              </w:rPr>
              <w:t>699</w:t>
            </w:r>
          </w:p>
        </w:tc>
      </w:tr>
      <w:tr w:rsidR="00F16806" w14:paraId="03B30B99" w14:textId="77777777" w:rsidTr="00F16806">
        <w:trPr>
          <w:cnfStyle w:val="000000100000" w:firstRow="0" w:lastRow="0" w:firstColumn="0" w:lastColumn="0" w:oddVBand="0" w:evenVBand="0" w:oddHBand="1" w:evenHBand="0" w:firstRowFirstColumn="0" w:firstRowLastColumn="0" w:lastRowFirstColumn="0" w:lastRowLastColumn="0"/>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DEEAF6" w:themeFill="accent5" w:themeFillTint="33"/>
            <w:hideMark/>
          </w:tcPr>
          <w:p w14:paraId="5C7B2686" w14:textId="77777777" w:rsidR="00B007F0" w:rsidRDefault="007C08CF">
            <w:pPr>
              <w:jc w:val="center"/>
              <w:rPr>
                <w:rFonts w:eastAsia="Times New Roman" w:cs="Times New Roman"/>
              </w:rPr>
            </w:pPr>
            <w:r>
              <w:rPr>
                <w:rFonts w:eastAsia="Times New Roman" w:cs="Times New Roman"/>
                <w:color w:val="auto"/>
              </w:rPr>
              <w:t>Interest expenses </w:t>
            </w:r>
          </w:p>
        </w:tc>
        <w:tc>
          <w:tcPr>
            <w:tcW w:w="0" w:type="auto"/>
            <w:shd w:val="clear" w:color="auto" w:fill="DEEAF6" w:themeFill="accent5" w:themeFillTint="33"/>
            <w:hideMark/>
          </w:tcPr>
          <w:p w14:paraId="7B81D877" w14:textId="77777777" w:rsidR="00B007F0" w:rsidRDefault="007C08CF">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rPr>
            </w:pPr>
            <w:r>
              <w:rPr>
                <w:rFonts w:ascii="Calibri" w:eastAsia="Times New Roman" w:hAnsi="Calibri"/>
                <w:color w:val="auto"/>
                <w:sz w:val="22"/>
              </w:rPr>
              <w:t>226</w:t>
            </w:r>
          </w:p>
        </w:tc>
        <w:tc>
          <w:tcPr>
            <w:tcW w:w="1329" w:type="dxa"/>
            <w:shd w:val="clear" w:color="auto" w:fill="DEEAF6" w:themeFill="accent5" w:themeFillTint="33"/>
            <w:hideMark/>
          </w:tcPr>
          <w:p w14:paraId="3F5A3BC0" w14:textId="77777777" w:rsidR="00B007F0" w:rsidRDefault="007C08CF">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sz w:val="22"/>
              </w:rPr>
            </w:pPr>
            <w:r>
              <w:rPr>
                <w:rFonts w:ascii="Calibri" w:eastAsia="Times New Roman" w:hAnsi="Calibri"/>
                <w:color w:val="auto"/>
                <w:sz w:val="22"/>
              </w:rPr>
              <w:t>181</w:t>
            </w:r>
          </w:p>
        </w:tc>
      </w:tr>
      <w:tr w:rsidR="00F16806" w14:paraId="6DA05236" w14:textId="77777777" w:rsidTr="00F16806">
        <w:trPr>
          <w:trHeight w:val="305"/>
          <w:jc w:val="center"/>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shd w:val="clear" w:color="auto" w:fill="DEEAF6" w:themeFill="accent5" w:themeFillTint="33"/>
            <w:hideMark/>
          </w:tcPr>
          <w:p w14:paraId="06D08DB4" w14:textId="77777777" w:rsidR="00B007F0" w:rsidRDefault="007C08CF">
            <w:pPr>
              <w:jc w:val="center"/>
              <w:rPr>
                <w:rFonts w:eastAsia="Times New Roman" w:cs="Times New Roman"/>
                <w:szCs w:val="24"/>
              </w:rPr>
            </w:pPr>
            <w:r>
              <w:rPr>
                <w:rFonts w:eastAsia="Times New Roman" w:cs="Times New Roman"/>
                <w:color w:val="auto"/>
              </w:rPr>
              <w:t xml:space="preserve">Interest covers EBIT/Interest expenses </w:t>
            </w:r>
          </w:p>
        </w:tc>
        <w:tc>
          <w:tcPr>
            <w:tcW w:w="0" w:type="auto"/>
            <w:shd w:val="clear" w:color="auto" w:fill="DEEAF6" w:themeFill="accent5" w:themeFillTint="33"/>
            <w:hideMark/>
          </w:tcPr>
          <w:p w14:paraId="09D8F0CF" w14:textId="77777777" w:rsidR="00B007F0" w:rsidRDefault="007C08CF">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rPr>
            </w:pPr>
            <w:r>
              <w:rPr>
                <w:rFonts w:ascii="Calibri" w:eastAsia="Times New Roman" w:hAnsi="Calibri"/>
                <w:sz w:val="22"/>
              </w:rPr>
              <w:t>3.561947</w:t>
            </w:r>
          </w:p>
        </w:tc>
        <w:tc>
          <w:tcPr>
            <w:tcW w:w="1329" w:type="dxa"/>
            <w:shd w:val="clear" w:color="auto" w:fill="DEEAF6" w:themeFill="accent5" w:themeFillTint="33"/>
            <w:hideMark/>
          </w:tcPr>
          <w:p w14:paraId="629AF470" w14:textId="77777777" w:rsidR="00B007F0" w:rsidRDefault="007C08CF">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sz w:val="22"/>
              </w:rPr>
            </w:pPr>
            <w:r>
              <w:rPr>
                <w:rFonts w:ascii="Calibri" w:hAnsi="Calibri"/>
                <w:sz w:val="22"/>
              </w:rPr>
              <w:t>3.861878453</w:t>
            </w:r>
          </w:p>
        </w:tc>
      </w:tr>
    </w:tbl>
    <w:p w14:paraId="6E0AE2A7" w14:textId="77777777" w:rsidR="003F47C7" w:rsidRPr="003F47C7" w:rsidRDefault="003F47C7" w:rsidP="003F47C7">
      <w:pPr>
        <w:rPr>
          <w:lang w:val="en-US" w:bidi="th-TH"/>
        </w:rPr>
      </w:pPr>
    </w:p>
    <w:p w14:paraId="043D2334" w14:textId="0A96EAF5" w:rsidR="00C85AA7" w:rsidRDefault="007C08CF" w:rsidP="00B007F0">
      <w:pPr>
        <w:pStyle w:val="Heading2"/>
        <w:rPr>
          <w:lang w:val="en-US"/>
        </w:rPr>
      </w:pPr>
      <w:bookmarkStart w:id="8" w:name="_Toc151731825"/>
      <w:r>
        <w:rPr>
          <w:lang w:val="en-US"/>
        </w:rPr>
        <w:t xml:space="preserve">Interpretation of the prepared financial </w:t>
      </w:r>
      <w:r>
        <w:rPr>
          <w:lang w:val="en-US"/>
        </w:rPr>
        <w:t>ratios for the respective business entity Sweets Plc for the year 2022 and 2021</w:t>
      </w:r>
      <w:bookmarkEnd w:id="8"/>
    </w:p>
    <w:p w14:paraId="7A133D1E" w14:textId="2B587256" w:rsidR="00B007F0" w:rsidRDefault="007C08CF" w:rsidP="00B007F0">
      <w:pPr>
        <w:rPr>
          <w:b/>
          <w:bCs/>
          <w:i/>
          <w:iCs/>
          <w:lang w:val="en-US" w:bidi="th-TH"/>
        </w:rPr>
      </w:pPr>
      <w:r>
        <w:rPr>
          <w:b/>
          <w:bCs/>
          <w:i/>
          <w:iCs/>
          <w:lang w:val="en-US" w:bidi="th-TH"/>
        </w:rPr>
        <w:t xml:space="preserve">Return on capital </w:t>
      </w:r>
      <w:proofErr w:type="gramStart"/>
      <w:r>
        <w:rPr>
          <w:b/>
          <w:bCs/>
          <w:i/>
          <w:iCs/>
          <w:lang w:val="en-US" w:bidi="th-TH"/>
        </w:rPr>
        <w:t>employed</w:t>
      </w:r>
      <w:proofErr w:type="gramEnd"/>
    </w:p>
    <w:p w14:paraId="345E26AF" w14:textId="5400009C" w:rsidR="005E0CC7" w:rsidRPr="005E0CC7" w:rsidRDefault="007C08CF" w:rsidP="00B007F0">
      <w:pPr>
        <w:rPr>
          <w:i/>
          <w:iCs/>
        </w:rPr>
      </w:pPr>
      <w:r>
        <w:rPr>
          <w:i/>
          <w:iCs/>
        </w:rPr>
        <w:t>Formula</w:t>
      </w:r>
      <w:proofErr w:type="gramStart"/>
      <w:r>
        <w:rPr>
          <w:i/>
          <w:iCs/>
        </w:rPr>
        <w:t>-“</w:t>
      </w:r>
      <w:proofErr w:type="gramEnd"/>
      <w:r w:rsidRPr="008F6E49">
        <w:rPr>
          <w:b/>
          <w:bCs/>
        </w:rPr>
        <w:t>Return on capital employed = Earnings Before Interest and Tax (EBIT) / Capital employed</w:t>
      </w:r>
      <w:r>
        <w:rPr>
          <w:b/>
          <w:bCs/>
        </w:rPr>
        <w:t>”</w:t>
      </w:r>
    </w:p>
    <w:p w14:paraId="55327895" w14:textId="54EE2432" w:rsidR="005E0CC7" w:rsidRDefault="007C08CF" w:rsidP="005E0CC7">
      <w:r w:rsidRPr="0025350D">
        <w:t xml:space="preserve">Examining Return on Capital Employed (ROCE) is a </w:t>
      </w:r>
      <w:r w:rsidRPr="0025350D">
        <w:t>critical means of clarifying a business</w:t>
      </w:r>
      <w:r>
        <w:t>’</w:t>
      </w:r>
      <w:r w:rsidRPr="0025350D">
        <w:t>s capital efficiency and profitability while providing a thorough understanding of its financial performance. This measure simply assesses how well the business generates profit from the capital it has invested, indicating how effective its operations are. Investors primarily depend on this research to guide their choices regarding firm investments because it offers a transparent evaluation of the company</w:t>
      </w:r>
      <w:r>
        <w:t>’</w:t>
      </w:r>
      <w:r w:rsidRPr="0025350D">
        <w:t>s capacity to turn a profit. Moreover, ROCE research makes it e</w:t>
      </w:r>
      <w:r w:rsidRPr="0025350D">
        <w:t>asier to compare large investment projects, like those in the airline or railway industries and helps investors identify profitable business prospects</w:t>
      </w:r>
      <w:r w:rsidR="00AE01F6">
        <w:t xml:space="preserve"> </w:t>
      </w:r>
      <w:sdt>
        <w:sdtPr>
          <w:id w:val="-466512819"/>
          <w:citation/>
        </w:sdtPr>
        <w:sdtEndPr/>
        <w:sdtContent>
          <w:r>
            <w:fldChar w:fldCharType="begin"/>
          </w:r>
          <w:r>
            <w:instrText xml:space="preserve">CITATION acc2224 \l 1033 </w:instrText>
          </w:r>
          <w:r>
            <w:fldChar w:fldCharType="separate"/>
          </w:r>
          <w:r w:rsidRPr="005E0CC7">
            <w:rPr>
              <w:noProof/>
            </w:rPr>
            <w:t>(accountingtools, 2022)</w:t>
          </w:r>
          <w:r>
            <w:fldChar w:fldCharType="end"/>
          </w:r>
        </w:sdtContent>
      </w:sdt>
      <w:r>
        <w:t xml:space="preserve">. </w:t>
      </w:r>
      <w:r w:rsidR="00A75F97" w:rsidRPr="00A75F97">
        <w:t xml:space="preserve">Regarding Sweets plc, the observed rise in ROCE from 9.92757 to 11.1419 in 2022 indicates an improvement in the ability of the business to generate profit from the capital utilised in its operations. This encouraging pattern underlines </w:t>
      </w:r>
      <w:proofErr w:type="gramStart"/>
      <w:r w:rsidR="00A75F97" w:rsidRPr="00A75F97">
        <w:t>Sweets</w:t>
      </w:r>
      <w:proofErr w:type="gramEnd"/>
      <w:r w:rsidR="00A75F97" w:rsidRPr="00A75F97">
        <w:t xml:space="preserve"> plc</w:t>
      </w:r>
      <w:r w:rsidR="00D17FB8">
        <w:t>’</w:t>
      </w:r>
      <w:r w:rsidR="00A75F97" w:rsidRPr="00A75F97">
        <w:t>s increased potential to turn a profit</w:t>
      </w:r>
      <w:r w:rsidR="00AE5EC2">
        <w:t xml:space="preserve"> </w:t>
      </w:r>
      <w:r w:rsidR="00A75F97" w:rsidRPr="00A75F97">
        <w:t xml:space="preserve">even when taking into account the capital used. After </w:t>
      </w:r>
      <w:proofErr w:type="gramStart"/>
      <w:r w:rsidR="00A75F97" w:rsidRPr="00A75F97">
        <w:t>taking into account</w:t>
      </w:r>
      <w:proofErr w:type="gramEnd"/>
      <w:r w:rsidR="00A75F97" w:rsidRPr="00A75F97">
        <w:t xml:space="preserve"> the capital needed to maintain and increase this level of profitability, the ROCE calculation is crucial in identifying the company</w:t>
      </w:r>
      <w:r w:rsidR="00AE5EC2">
        <w:t>’</w:t>
      </w:r>
      <w:r w:rsidR="00A75F97" w:rsidRPr="00A75F97">
        <w:t xml:space="preserve">s intrinsic ability to generate profit. As ROCE rises, it serves as a barometer of </w:t>
      </w:r>
      <w:proofErr w:type="gramStart"/>
      <w:r w:rsidR="00A75F97" w:rsidRPr="00A75F97">
        <w:t>Sweets</w:t>
      </w:r>
      <w:proofErr w:type="gramEnd"/>
      <w:r w:rsidR="00A75F97" w:rsidRPr="00A75F97">
        <w:t xml:space="preserve"> plc</w:t>
      </w:r>
      <w:r w:rsidR="00AE5EC2">
        <w:t>’</w:t>
      </w:r>
      <w:r w:rsidR="00A75F97" w:rsidRPr="00A75F97">
        <w:t>s financial health as well as a call to action for potential investors looking for profitable ventures due to its increased capacity to generate returns on invested capital</w:t>
      </w:r>
      <w:r w:rsidR="00AE5EC2">
        <w:t xml:space="preserve"> </w:t>
      </w:r>
      <w:sdt>
        <w:sdtPr>
          <w:id w:val="-799143084"/>
          <w:citation/>
        </w:sdtPr>
        <w:sdtEndPr/>
        <w:sdtContent>
          <w:r>
            <w:fldChar w:fldCharType="begin"/>
          </w:r>
          <w:r>
            <w:instrText xml:space="preserve">CITATION cor20 \l 1033 </w:instrText>
          </w:r>
          <w:r>
            <w:fldChar w:fldCharType="separate"/>
          </w:r>
          <w:r w:rsidRPr="005E0CC7">
            <w:rPr>
              <w:noProof/>
            </w:rPr>
            <w:t>(corporatefinanceinstitute, 2022)</w:t>
          </w:r>
          <w:r>
            <w:fldChar w:fldCharType="end"/>
          </w:r>
        </w:sdtContent>
      </w:sdt>
      <w:r>
        <w:t xml:space="preserve">. </w:t>
      </w:r>
    </w:p>
    <w:p w14:paraId="098617BE" w14:textId="77777777" w:rsidR="00195AB4" w:rsidRPr="00195AB4" w:rsidRDefault="007C08CF" w:rsidP="00195AB4">
      <w:pPr>
        <w:rPr>
          <w:rFonts w:cs="Times New Roman"/>
          <w:b/>
          <w:bCs/>
          <w:i/>
          <w:iCs/>
        </w:rPr>
      </w:pPr>
      <w:r w:rsidRPr="00195AB4">
        <w:rPr>
          <w:b/>
          <w:bCs/>
          <w:i/>
          <w:iCs/>
        </w:rPr>
        <w:t>Return on equity (ROE)</w:t>
      </w:r>
    </w:p>
    <w:p w14:paraId="0309643F" w14:textId="4C6F108E" w:rsidR="00586972" w:rsidRDefault="007C08CF" w:rsidP="005E0CC7">
      <w:pPr>
        <w:rPr>
          <w:b/>
          <w:bCs/>
        </w:rPr>
      </w:pPr>
      <w:r w:rsidRPr="00195AB4">
        <w:rPr>
          <w:rFonts w:cs="Times New Roman"/>
          <w:i/>
          <w:iCs/>
        </w:rPr>
        <w:t>Formula</w:t>
      </w:r>
      <w:r>
        <w:rPr>
          <w:rFonts w:cs="Times New Roman"/>
          <w:b/>
          <w:bCs/>
          <w:i/>
          <w:iCs/>
        </w:rPr>
        <w:t>- “</w:t>
      </w:r>
      <w:r w:rsidRPr="008F6E49">
        <w:rPr>
          <w:b/>
          <w:bCs/>
        </w:rPr>
        <w:t>Return on equity = Annually net income / Shareholders equity</w:t>
      </w:r>
      <w:r>
        <w:rPr>
          <w:b/>
          <w:bCs/>
        </w:rPr>
        <w:t>”</w:t>
      </w:r>
    </w:p>
    <w:p w14:paraId="10B6193F" w14:textId="2E16F4A8" w:rsidR="0088059E" w:rsidRDefault="007C08CF" w:rsidP="0099396D">
      <w:r w:rsidRPr="00FC2CFF">
        <w:t>Return on Equity (ROE) analysis is a crucial statistic that is computed by dividing net profit by shareholder equity. It illustrates how well a company uses shareholder cash to accomplish its business goals. This assessment reveals how well the corporation deploys equity for regular business activities (Ji, 2019). ROE calculations are more than just a financial measure</w:t>
      </w:r>
      <w:r w:rsidR="00623F8C">
        <w:t>,</w:t>
      </w:r>
      <w:r w:rsidRPr="00FC2CFF">
        <w:t xml:space="preserve"> they are a major factor in determining investor attitudes and future investment intentions. They serve as a gauge of the state of the company's finances by giving a concise summary of the profits attributable to equity owners for a particular accounting period.</w:t>
      </w:r>
      <w:r w:rsidR="006E5835" w:rsidRPr="006E5835">
        <w:t xml:space="preserve"> The rise of </w:t>
      </w:r>
      <w:proofErr w:type="gramStart"/>
      <w:r w:rsidR="006E5835" w:rsidRPr="006E5835">
        <w:t>Sweets</w:t>
      </w:r>
      <w:proofErr w:type="gramEnd"/>
      <w:r w:rsidR="006E5835" w:rsidRPr="006E5835">
        <w:t xml:space="preserve"> plc</w:t>
      </w:r>
      <w:r w:rsidR="00623F8C">
        <w:t>’</w:t>
      </w:r>
      <w:r w:rsidR="006E5835" w:rsidRPr="006E5835">
        <w:t xml:space="preserve">s ROE from 1.22 to 1.436667 in 2022 indicates that the business is doing a better job of using shareholder equity. According to </w:t>
      </w:r>
      <w:proofErr w:type="spellStart"/>
      <w:r w:rsidR="006E5835" w:rsidRPr="006E5835">
        <w:t>Manzaneque</w:t>
      </w:r>
      <w:proofErr w:type="spellEnd"/>
      <w:r w:rsidR="006E5835" w:rsidRPr="006E5835">
        <w:t xml:space="preserve">-Lizano </w:t>
      </w:r>
      <w:r w:rsidR="006E5835" w:rsidRPr="00623F8C">
        <w:rPr>
          <w:i/>
          <w:iCs/>
        </w:rPr>
        <w:t>et al</w:t>
      </w:r>
      <w:r w:rsidR="006E5835" w:rsidRPr="006E5835">
        <w:t>.</w:t>
      </w:r>
      <w:r w:rsidR="00623F8C">
        <w:t>,</w:t>
      </w:r>
      <w:r w:rsidR="006E5835" w:rsidRPr="006E5835">
        <w:t xml:space="preserve"> (2019), this not only demonstrates improved success in utilising equity for business operations but also indicates a stable financial performance that can provide shareholders with substantial returns. Sweets plc is an appealing option for investors looking for steady and profitable returns on their equity investments because of its elevated ROE, which demonstrates the company's dedication to maximising the use of shareholder cash.</w:t>
      </w:r>
    </w:p>
    <w:p w14:paraId="159833AC" w14:textId="77777777" w:rsidR="000D7269" w:rsidRPr="0023536D" w:rsidRDefault="007C08CF" w:rsidP="000D7269">
      <w:pPr>
        <w:rPr>
          <w:b/>
          <w:bCs/>
          <w:i/>
          <w:iCs/>
        </w:rPr>
      </w:pPr>
      <w:r w:rsidRPr="0023536D">
        <w:rPr>
          <w:b/>
          <w:bCs/>
          <w:i/>
          <w:iCs/>
        </w:rPr>
        <w:t>Earnings per share (EPS)</w:t>
      </w:r>
    </w:p>
    <w:p w14:paraId="0B030B74" w14:textId="775A0FB2" w:rsidR="000D7269" w:rsidRPr="000D7269" w:rsidRDefault="007C08CF" w:rsidP="000D7269">
      <w:r w:rsidRPr="000D7269">
        <w:rPr>
          <w:rFonts w:cs="Times New Roman"/>
          <w:i/>
          <w:iCs/>
        </w:rPr>
        <w:t>Formula</w:t>
      </w:r>
      <w:r>
        <w:rPr>
          <w:rFonts w:cs="Times New Roman"/>
          <w:i/>
          <w:iCs/>
        </w:rPr>
        <w:t>-</w:t>
      </w:r>
      <w:r>
        <w:t xml:space="preserve"> “</w:t>
      </w:r>
      <w:r w:rsidRPr="008F6E49">
        <w:rPr>
          <w:b/>
          <w:bCs/>
        </w:rPr>
        <w:t>Earning per share = Net income of the company – Dividend to preferred shareholders / Average outstanding shares of the company</w:t>
      </w:r>
      <w:r>
        <w:rPr>
          <w:b/>
          <w:bCs/>
        </w:rPr>
        <w:t>”</w:t>
      </w:r>
    </w:p>
    <w:p w14:paraId="7CA3E7F7" w14:textId="31C0A4DD" w:rsidR="009D026E" w:rsidRDefault="007C08CF" w:rsidP="009D026E">
      <w:r w:rsidRPr="0078639A">
        <w:t xml:space="preserve">One important indicator is earnings per share (EPS), which measures how much a company's outstanding earnings per share were worth over a certain accounting period. This number plays a key role in setting the stock price and helps investors evaluate the performance of the company and choose wisely among their investment possibilities. EPS tracking additionally offers historical performance information about the company (Board </w:t>
      </w:r>
      <w:r w:rsidRPr="0078639A">
        <w:rPr>
          <w:i/>
          <w:iCs/>
        </w:rPr>
        <w:t>et al</w:t>
      </w:r>
      <w:r w:rsidRPr="0078639A">
        <w:t>., 201</w:t>
      </w:r>
      <w:r w:rsidR="00344074">
        <w:t>9</w:t>
      </w:r>
      <w:r w:rsidRPr="0078639A">
        <w:t>). An elevated EPS signifies the possibility of bigger dividend disbursements, signifying sound financial standing and profitability</w:t>
      </w:r>
      <w:r>
        <w:t xml:space="preserve"> </w:t>
      </w:r>
      <w:r w:rsidR="008F2DB9" w:rsidRPr="008F2DB9">
        <w:t>The decline in EPS for Sweets plc from 2.44 to 1.436667 in 202</w:t>
      </w:r>
      <w:r w:rsidR="00995BF0">
        <w:t>2</w:t>
      </w:r>
      <w:r w:rsidR="008F2DB9" w:rsidRPr="008F2DB9">
        <w:t xml:space="preserve"> indicates a difficulty in increasing profits. This drop underlines how important it is for Sweet Plc to implement creative tactics </w:t>
      </w:r>
      <w:proofErr w:type="gramStart"/>
      <w:r w:rsidR="008F2DB9" w:rsidRPr="008F2DB9">
        <w:t>in order to</w:t>
      </w:r>
      <w:proofErr w:type="gramEnd"/>
      <w:r w:rsidR="008F2DB9" w:rsidRPr="008F2DB9">
        <w:t xml:space="preserve"> beat rivals in the industry. An observable indicator of the company</w:t>
      </w:r>
      <w:r w:rsidR="006E3333">
        <w:t>’</w:t>
      </w:r>
      <w:r w:rsidR="008F2DB9" w:rsidRPr="008F2DB9">
        <w:t>s efficiency and profitability is provided by the EPS calculation. Although the decline in EPS highlights the need for strategic changes, it also highlights how much innovation is needed in the competitive environment to increase profits. By using EPS trends as a guide, investors can obtain important insights into the dynamics of the company</w:t>
      </w:r>
      <w:r w:rsidR="00995BF0">
        <w:t>’</w:t>
      </w:r>
      <w:r w:rsidR="008F2DB9" w:rsidRPr="008F2DB9">
        <w:t xml:space="preserve">s performance and identify areas where </w:t>
      </w:r>
      <w:proofErr w:type="gramStart"/>
      <w:r w:rsidR="008F2DB9" w:rsidRPr="008F2DB9">
        <w:t>Sweet</w:t>
      </w:r>
      <w:proofErr w:type="gramEnd"/>
      <w:r w:rsidR="008F2DB9" w:rsidRPr="008F2DB9">
        <w:t xml:space="preserve"> plc needs to concentrate its efforts in order to improve its market position</w:t>
      </w:r>
      <w:r w:rsidR="006E3333">
        <w:t xml:space="preserve"> </w:t>
      </w:r>
      <w:sdt>
        <w:sdtPr>
          <w:id w:val="-2084908360"/>
          <w:citation/>
        </w:sdtPr>
        <w:sdtEndPr/>
        <w:sdtContent>
          <w:r>
            <w:fldChar w:fldCharType="begin"/>
          </w:r>
          <w:r>
            <w:instrText xml:space="preserve">CITATION BBC2214 \l 1033 </w:instrText>
          </w:r>
          <w:r>
            <w:fldChar w:fldCharType="separate"/>
          </w:r>
          <w:r w:rsidRPr="009D026E">
            <w:rPr>
              <w:noProof/>
            </w:rPr>
            <w:t>(BBC, 2022)</w:t>
          </w:r>
          <w:r>
            <w:fldChar w:fldCharType="end"/>
          </w:r>
        </w:sdtContent>
      </w:sdt>
      <w:r w:rsidRPr="00B209E6">
        <w:t>.   </w:t>
      </w:r>
    </w:p>
    <w:p w14:paraId="01482064" w14:textId="77777777" w:rsidR="0023536D" w:rsidRPr="0023536D" w:rsidRDefault="007C08CF" w:rsidP="0023536D">
      <w:pPr>
        <w:rPr>
          <w:b/>
          <w:bCs/>
          <w:i/>
          <w:iCs/>
        </w:rPr>
      </w:pPr>
      <w:r w:rsidRPr="0023536D">
        <w:rPr>
          <w:b/>
          <w:bCs/>
          <w:i/>
          <w:iCs/>
        </w:rPr>
        <w:t>Net profit margin</w:t>
      </w:r>
    </w:p>
    <w:p w14:paraId="723B6C6D" w14:textId="6E8E07EA" w:rsidR="00C57398" w:rsidRDefault="007C08CF" w:rsidP="009D026E">
      <w:pPr>
        <w:rPr>
          <w:b/>
          <w:bCs/>
        </w:rPr>
      </w:pPr>
      <w:r w:rsidRPr="0023536D">
        <w:rPr>
          <w:rFonts w:cs="Times New Roman"/>
          <w:i/>
          <w:iCs/>
        </w:rPr>
        <w:t>Formula</w:t>
      </w:r>
      <w:r>
        <w:rPr>
          <w:rFonts w:cs="Times New Roman"/>
          <w:i/>
          <w:iCs/>
        </w:rPr>
        <w:t>-</w:t>
      </w:r>
      <w:r>
        <w:t xml:space="preserve"> “</w:t>
      </w:r>
      <w:r w:rsidRPr="008F6E49">
        <w:rPr>
          <w:b/>
          <w:bCs/>
        </w:rPr>
        <w:t>Net profit margin = Revenue – Cost / Revenue</w:t>
      </w:r>
      <w:r>
        <w:rPr>
          <w:b/>
          <w:bCs/>
        </w:rPr>
        <w:t>”</w:t>
      </w:r>
    </w:p>
    <w:p w14:paraId="7D5E30C7" w14:textId="2E43017F" w:rsidR="0023536D" w:rsidRDefault="007C08CF" w:rsidP="009D026E">
      <w:r w:rsidRPr="0050355A">
        <w:t>As a crucial indicator of a company</w:t>
      </w:r>
      <w:r w:rsidR="00B13AAE">
        <w:t>’</w:t>
      </w:r>
      <w:r w:rsidRPr="0050355A">
        <w:t xml:space="preserve">s profitability and financial stability over a given time frame, the net </w:t>
      </w:r>
      <w:r w:rsidRPr="0050355A">
        <w:t>profit margin is useful. It provides a thorough understanding of the company</w:t>
      </w:r>
      <w:r w:rsidR="00B13AAE">
        <w:t>’</w:t>
      </w:r>
      <w:r w:rsidRPr="0050355A">
        <w:t>s cost-effectiveness by capturing the entire earnings after deducting indirect costs and tax expenses. Furthermore, this measure makes it easier to compare performance over various time periods, which helps evaluate the state of the business. Sweets plc</w:t>
      </w:r>
      <w:r w:rsidR="00CA09DD">
        <w:t>’</w:t>
      </w:r>
      <w:r w:rsidRPr="0050355A">
        <w:t>s net profit margin increased from 5.682347 to 6.396557 in 2022, according to Kumhof and Noone (2019), indicating a rise in profitability. The aforementioned computation presents th</w:t>
      </w:r>
      <w:r w:rsidRPr="0050355A">
        <w:t xml:space="preserve">e net profit per unit, which suggests that </w:t>
      </w:r>
      <w:proofErr w:type="gramStart"/>
      <w:r w:rsidRPr="0050355A">
        <w:t>Sweets</w:t>
      </w:r>
      <w:proofErr w:type="gramEnd"/>
      <w:r w:rsidRPr="0050355A">
        <w:t xml:space="preserve"> plc has enhanced its profitability through efficient cost control and reduction measures.</w:t>
      </w:r>
      <w:r w:rsidR="00B519C6">
        <w:t xml:space="preserve"> </w:t>
      </w:r>
      <w:r w:rsidR="00B26C0B" w:rsidRPr="00B26C0B">
        <w:t>The increasing net profit margin highlights how well the business has managed costs and how skilled it is at improving its financial performance.</w:t>
      </w:r>
    </w:p>
    <w:p w14:paraId="39B78FF3" w14:textId="77777777" w:rsidR="00F47751" w:rsidRPr="00F47751" w:rsidRDefault="007C08CF" w:rsidP="00F47751">
      <w:pPr>
        <w:rPr>
          <w:b/>
          <w:bCs/>
          <w:i/>
          <w:iCs/>
        </w:rPr>
      </w:pPr>
      <w:r w:rsidRPr="00F47751">
        <w:rPr>
          <w:b/>
          <w:bCs/>
          <w:i/>
          <w:iCs/>
        </w:rPr>
        <w:t>Asset turnover ratio</w:t>
      </w:r>
    </w:p>
    <w:p w14:paraId="6A836345" w14:textId="3A3C4632" w:rsidR="00A564B3" w:rsidRDefault="007C08CF" w:rsidP="009D026E">
      <w:pPr>
        <w:rPr>
          <w:b/>
          <w:bCs/>
        </w:rPr>
      </w:pPr>
      <w:r w:rsidRPr="00F47751">
        <w:rPr>
          <w:rFonts w:cs="Times New Roman"/>
          <w:i/>
          <w:iCs/>
        </w:rPr>
        <w:t>Formula</w:t>
      </w:r>
      <w:r>
        <w:rPr>
          <w:rFonts w:cs="Times New Roman"/>
          <w:b/>
          <w:bCs/>
        </w:rPr>
        <w:t>- “</w:t>
      </w:r>
      <w:r w:rsidRPr="008F6E49">
        <w:rPr>
          <w:b/>
          <w:bCs/>
        </w:rPr>
        <w:t>Assets turnover ratio = Net sales / Average total assets</w:t>
      </w:r>
      <w:r>
        <w:rPr>
          <w:b/>
          <w:bCs/>
        </w:rPr>
        <w:t>”</w:t>
      </w:r>
    </w:p>
    <w:p w14:paraId="6AA9F8B6" w14:textId="5C15FC31" w:rsidR="00F47751" w:rsidRDefault="007C08CF" w:rsidP="009D026E">
      <w:r w:rsidRPr="00045463">
        <w:t>An essential tool for assessing how well a business uses its assets to boost sales and profitability is the assets turnover ratio analysis. This measure assesses the company</w:t>
      </w:r>
      <w:r>
        <w:t>’</w:t>
      </w:r>
      <w:r w:rsidRPr="00045463">
        <w:t>s ability to use both current and fixed assets to boost total profit in a certain accounting period. Increased returns are indicative of efficient asset utilisation, which is indicated by a larger percentage in the asset turnover ratio. This ratio provides insight into operational efficiency in addition to assisting senior management in making decisions about the purchase or sale of assets.</w:t>
      </w:r>
      <w:r>
        <w:t xml:space="preserve"> </w:t>
      </w:r>
      <w:r w:rsidR="009C557A" w:rsidRPr="009C557A">
        <w:t>As for Sweets plc, Phan</w:t>
      </w:r>
      <w:r w:rsidR="00BA463E">
        <w:t xml:space="preserve"> (</w:t>
      </w:r>
      <w:r w:rsidR="009C557A" w:rsidRPr="009C557A">
        <w:t>201</w:t>
      </w:r>
      <w:r w:rsidR="00344074">
        <w:t>9</w:t>
      </w:r>
      <w:r w:rsidR="009C557A" w:rsidRPr="009C557A">
        <w:t>) notes that the company</w:t>
      </w:r>
      <w:r w:rsidR="00BA463E">
        <w:t>’</w:t>
      </w:r>
      <w:r w:rsidR="009C557A" w:rsidRPr="009C557A">
        <w:t xml:space="preserve">s asset turnover ratio decreased from 1.277089 to 0.679816 in 2022, indicating a declining capacity to increase sales and raise revenue via asset utilisation. The company's need to improve everyday operating efficiency </w:t>
      </w:r>
      <w:proofErr w:type="gramStart"/>
      <w:r w:rsidR="009C557A" w:rsidRPr="009C557A">
        <w:t>in order to</w:t>
      </w:r>
      <w:proofErr w:type="gramEnd"/>
      <w:r w:rsidR="009C557A" w:rsidRPr="009C557A">
        <w:t xml:space="preserve"> maximise asset utilisation is highlighted by this reduction. It makes a case for strategically repurposing </w:t>
      </w:r>
      <w:proofErr w:type="gramStart"/>
      <w:r w:rsidR="009C557A" w:rsidRPr="009C557A">
        <w:t>Sweets</w:t>
      </w:r>
      <w:proofErr w:type="gramEnd"/>
      <w:r w:rsidR="009C557A" w:rsidRPr="009C557A">
        <w:t xml:space="preserve"> plc</w:t>
      </w:r>
      <w:r w:rsidR="00CE5755">
        <w:t>’</w:t>
      </w:r>
      <w:r w:rsidR="009C557A" w:rsidRPr="009C557A">
        <w:t>s assets in order to increase and reclaim its ability to generate sales.</w:t>
      </w:r>
      <w:r w:rsidR="00B615F4">
        <w:t xml:space="preserve"> </w:t>
      </w:r>
      <w:r w:rsidR="00A90D99">
        <w:t xml:space="preserve"> </w:t>
      </w:r>
    </w:p>
    <w:p w14:paraId="29662802" w14:textId="77777777" w:rsidR="00AD3B2F" w:rsidRPr="00AD3B2F" w:rsidRDefault="007C08CF" w:rsidP="00AD3B2F">
      <w:pPr>
        <w:rPr>
          <w:b/>
          <w:bCs/>
          <w:i/>
          <w:iCs/>
        </w:rPr>
      </w:pPr>
      <w:r w:rsidRPr="00AD3B2F">
        <w:rPr>
          <w:b/>
          <w:bCs/>
          <w:i/>
          <w:iCs/>
        </w:rPr>
        <w:t xml:space="preserve">Stock holding </w:t>
      </w:r>
      <w:proofErr w:type="gramStart"/>
      <w:r w:rsidRPr="00AD3B2F">
        <w:rPr>
          <w:b/>
          <w:bCs/>
          <w:i/>
          <w:iCs/>
        </w:rPr>
        <w:t>days</w:t>
      </w:r>
      <w:proofErr w:type="gramEnd"/>
    </w:p>
    <w:p w14:paraId="4F198D72" w14:textId="26A496DA" w:rsidR="00AD3B2F" w:rsidRDefault="007C08CF" w:rsidP="00AD3B2F">
      <w:pPr>
        <w:rPr>
          <w:b/>
          <w:bCs/>
        </w:rPr>
      </w:pPr>
      <w:r w:rsidRPr="00AD3B2F">
        <w:rPr>
          <w:rFonts w:cs="Times New Roman"/>
          <w:i/>
          <w:iCs/>
        </w:rPr>
        <w:t>Formula</w:t>
      </w:r>
      <w:r>
        <w:rPr>
          <w:rFonts w:cs="Times New Roman"/>
          <w:b/>
          <w:bCs/>
        </w:rPr>
        <w:t>- “</w:t>
      </w:r>
      <w:r w:rsidRPr="008F6E49">
        <w:rPr>
          <w:b/>
          <w:bCs/>
        </w:rPr>
        <w:t>Stock holding days = Closing stock / Cost of goods sold x 365</w:t>
      </w:r>
      <w:r>
        <w:rPr>
          <w:b/>
          <w:bCs/>
        </w:rPr>
        <w:t>”</w:t>
      </w:r>
    </w:p>
    <w:p w14:paraId="7E6D3789" w14:textId="0EB12015" w:rsidR="00AD3B2F" w:rsidRDefault="007C08CF" w:rsidP="00AD3B2F">
      <w:r w:rsidRPr="00546991">
        <w:t xml:space="preserve">One useful </w:t>
      </w:r>
      <w:r w:rsidRPr="00546991">
        <w:t>statistic that evaluates how long it takes a corporation to turn its stock into sales is the analysis of stock holding days. This assessment looks at the company</w:t>
      </w:r>
      <w:r w:rsidR="00546991">
        <w:t>’</w:t>
      </w:r>
      <w:r w:rsidRPr="00546991">
        <w:t xml:space="preserve">s quickness in stock turnover in addition to its overall performance. Increased stock holding days are a symptom that product sales are difficult to </w:t>
      </w:r>
      <w:proofErr w:type="gramStart"/>
      <w:r w:rsidRPr="00546991">
        <w:t>achieve</w:t>
      </w:r>
      <w:proofErr w:type="gramEnd"/>
      <w:r w:rsidRPr="00546991">
        <w:t xml:space="preserve"> and that more aggressive sales tactics are required. Longer stock holding days can have benefits such as tax breaks and reduced overhead costs, but businesses usually want to minimise this time</w:t>
      </w:r>
      <w:r w:rsidRPr="00546991">
        <w:t xml:space="preserve"> </w:t>
      </w:r>
      <w:proofErr w:type="gramStart"/>
      <w:r w:rsidRPr="00546991">
        <w:t>in order to</w:t>
      </w:r>
      <w:proofErr w:type="gramEnd"/>
      <w:r w:rsidRPr="00546991">
        <w:t xml:space="preserve"> maximise profits during an accounting period (</w:t>
      </w:r>
      <w:proofErr w:type="spellStart"/>
      <w:r w:rsidRPr="00546991">
        <w:t>Lucianelli</w:t>
      </w:r>
      <w:proofErr w:type="spellEnd"/>
      <w:r w:rsidRPr="00546991">
        <w:t xml:space="preserve"> </w:t>
      </w:r>
      <w:r w:rsidRPr="00546991">
        <w:rPr>
          <w:i/>
          <w:iCs/>
        </w:rPr>
        <w:t>et al</w:t>
      </w:r>
      <w:r w:rsidRPr="00546991">
        <w:t>., 2020).</w:t>
      </w:r>
      <w:r w:rsidR="0086676F">
        <w:t xml:space="preserve"> </w:t>
      </w:r>
      <w:r w:rsidR="00A569E3" w:rsidRPr="00A569E3">
        <w:t xml:space="preserve">The rise in stock holding days for Sweet's plc from 77.69218346 to 79.8825 in 2022 suggests that the company may be having trouble turning inventory into sales quickly. This could be due to changes in market patterns that impact the demand for </w:t>
      </w:r>
      <w:proofErr w:type="gramStart"/>
      <w:r w:rsidR="00A569E3" w:rsidRPr="00A569E3">
        <w:t>Sweets</w:t>
      </w:r>
      <w:proofErr w:type="gramEnd"/>
      <w:r w:rsidR="00A569E3" w:rsidRPr="00A569E3">
        <w:t xml:space="preserve"> plc</w:t>
      </w:r>
      <w:r w:rsidR="00A569E3">
        <w:t>’</w:t>
      </w:r>
      <w:r w:rsidR="00A569E3" w:rsidRPr="00A569E3">
        <w:t xml:space="preserve">s products. This highlights the necessity for the organisation to adjust and react proficiently to changing market conditions </w:t>
      </w:r>
      <w:proofErr w:type="gramStart"/>
      <w:r w:rsidR="00A569E3" w:rsidRPr="00A569E3">
        <w:t>in order to</w:t>
      </w:r>
      <w:proofErr w:type="gramEnd"/>
      <w:r w:rsidR="00A569E3" w:rsidRPr="00A569E3">
        <w:t xml:space="preserve"> maximise stock rotation and enhance financial gains.</w:t>
      </w:r>
    </w:p>
    <w:p w14:paraId="16D0273B" w14:textId="77777777" w:rsidR="00184458" w:rsidRPr="00184458" w:rsidRDefault="007C08CF" w:rsidP="00184458">
      <w:pPr>
        <w:rPr>
          <w:b/>
          <w:bCs/>
          <w:i/>
          <w:iCs/>
        </w:rPr>
      </w:pPr>
      <w:proofErr w:type="gramStart"/>
      <w:r w:rsidRPr="00184458">
        <w:rPr>
          <w:b/>
          <w:bCs/>
          <w:i/>
          <w:iCs/>
        </w:rPr>
        <w:t>Debtors</w:t>
      </w:r>
      <w:proofErr w:type="gramEnd"/>
      <w:r w:rsidRPr="00184458">
        <w:rPr>
          <w:b/>
          <w:bCs/>
          <w:i/>
          <w:iCs/>
        </w:rPr>
        <w:t xml:space="preserve"> collection period</w:t>
      </w:r>
    </w:p>
    <w:p w14:paraId="08D4A81E" w14:textId="5CEB9590" w:rsidR="00127A2F" w:rsidRDefault="007C08CF" w:rsidP="00AD3B2F">
      <w:pPr>
        <w:rPr>
          <w:b/>
          <w:bCs/>
        </w:rPr>
      </w:pPr>
      <w:r w:rsidRPr="00184458">
        <w:rPr>
          <w:rFonts w:cs="Times New Roman"/>
          <w:i/>
          <w:iCs/>
        </w:rPr>
        <w:t>Formula</w:t>
      </w:r>
      <w:r>
        <w:rPr>
          <w:rFonts w:cs="Times New Roman"/>
          <w:i/>
          <w:iCs/>
        </w:rPr>
        <w:t>-</w:t>
      </w:r>
      <w:r>
        <w:t xml:space="preserve"> “</w:t>
      </w:r>
      <w:r w:rsidRPr="008F6E49">
        <w:rPr>
          <w:b/>
          <w:bCs/>
        </w:rPr>
        <w:t>Debtors collection period = Sundry debtors / sales turnover x 365</w:t>
      </w:r>
      <w:r>
        <w:rPr>
          <w:b/>
          <w:bCs/>
        </w:rPr>
        <w:t>”</w:t>
      </w:r>
    </w:p>
    <w:p w14:paraId="24DB038D" w14:textId="088ED85D" w:rsidR="00184458" w:rsidRDefault="007C08CF" w:rsidP="00AD3B2F">
      <w:r w:rsidRPr="00A356E2">
        <w:t xml:space="preserve">The length of time the business needs to collect </w:t>
      </w:r>
      <w:proofErr w:type="gramStart"/>
      <w:r w:rsidRPr="00A356E2">
        <w:t>all of</w:t>
      </w:r>
      <w:proofErr w:type="gramEnd"/>
      <w:r w:rsidRPr="00A356E2">
        <w:t xml:space="preserve"> the sums due from its various borrowers is reflected in the study of the debtor's collection period. It helped the business to compare the actual collection period with the credit period that was issued. According to this study, the business has enough cash on hand to cover its expenses at that </w:t>
      </w:r>
      <w:proofErr w:type="gramStart"/>
      <w:r w:rsidRPr="00A356E2">
        <w:t>particular moment</w:t>
      </w:r>
      <w:proofErr w:type="gramEnd"/>
      <w:r w:rsidRPr="00A356E2">
        <w:t xml:space="preserve"> (</w:t>
      </w:r>
      <w:proofErr w:type="spellStart"/>
      <w:r w:rsidRPr="00A356E2">
        <w:t>Batrancea</w:t>
      </w:r>
      <w:proofErr w:type="spellEnd"/>
      <w:r w:rsidRPr="00A356E2">
        <w:t>, 2021). The length demonstrates how seriously the business takes its account receivable management procedures. By 2022, Sweets plc was able to cut the collecting period from 72.931</w:t>
      </w:r>
      <w:r w:rsidRPr="00A356E2">
        <w:t xml:space="preserve">99814 to 67.6588. This indicates that </w:t>
      </w:r>
      <w:proofErr w:type="gramStart"/>
      <w:r w:rsidRPr="00A356E2">
        <w:t>Sweets</w:t>
      </w:r>
      <w:proofErr w:type="gramEnd"/>
      <w:r w:rsidRPr="00A356E2">
        <w:t xml:space="preserve"> plc implemented certain policies and guidelines to enhance the time it took to collect debts from its clients.   </w:t>
      </w:r>
    </w:p>
    <w:p w14:paraId="1A7B2036" w14:textId="77777777" w:rsidR="006C185C" w:rsidRPr="006C185C" w:rsidRDefault="007C08CF" w:rsidP="006C185C">
      <w:pPr>
        <w:rPr>
          <w:b/>
          <w:bCs/>
          <w:i/>
          <w:iCs/>
        </w:rPr>
      </w:pPr>
      <w:r w:rsidRPr="006C185C">
        <w:rPr>
          <w:b/>
          <w:bCs/>
          <w:i/>
          <w:iCs/>
        </w:rPr>
        <w:t>Current ratio</w:t>
      </w:r>
    </w:p>
    <w:p w14:paraId="3F2DD8A6" w14:textId="28F248E6" w:rsidR="00A356E2" w:rsidRDefault="007C08CF" w:rsidP="00AD3B2F">
      <w:pPr>
        <w:rPr>
          <w:b/>
          <w:bCs/>
        </w:rPr>
      </w:pPr>
      <w:r w:rsidRPr="006C185C">
        <w:rPr>
          <w:rFonts w:cs="Times New Roman"/>
          <w:i/>
          <w:iCs/>
        </w:rPr>
        <w:t>Formula</w:t>
      </w:r>
      <w:r>
        <w:rPr>
          <w:rFonts w:cs="Times New Roman"/>
          <w:b/>
          <w:bCs/>
        </w:rPr>
        <w:t>- “</w:t>
      </w:r>
      <w:r w:rsidRPr="008F6E49">
        <w:rPr>
          <w:b/>
          <w:bCs/>
        </w:rPr>
        <w:t>Current ratio = Current assets / Current liabilities</w:t>
      </w:r>
      <w:r>
        <w:rPr>
          <w:b/>
          <w:bCs/>
        </w:rPr>
        <w:t>”</w:t>
      </w:r>
    </w:p>
    <w:p w14:paraId="7F8C3D43" w14:textId="724271C9" w:rsidR="005B638E" w:rsidRDefault="007C08CF" w:rsidP="005B638E">
      <w:r w:rsidRPr="00F96AC5">
        <w:t xml:space="preserve">How well a corporation can settle its short-term debts within the current accounting period is shown by the current ratio calculation. As to </w:t>
      </w:r>
      <w:proofErr w:type="spellStart"/>
      <w:r w:rsidRPr="00F96AC5">
        <w:t>Liwski</w:t>
      </w:r>
      <w:proofErr w:type="spellEnd"/>
      <w:r w:rsidRPr="00F96AC5">
        <w:t xml:space="preserve"> and Gebel (2019), the investor was helped in understanding the financial efficiency of the company in terms of paying off short-term debt with short-term assets. It is not possible for the analysis to show a company</w:t>
      </w:r>
      <w:r w:rsidR="00364202">
        <w:t>’</w:t>
      </w:r>
      <w:r w:rsidRPr="00F96AC5">
        <w:t>s entire solvency picture; it only shows the company</w:t>
      </w:r>
      <w:r w:rsidR="00364202">
        <w:t>’</w:t>
      </w:r>
      <w:r w:rsidRPr="00F96AC5">
        <w:t>s short-term liquidity. Sweets plc</w:t>
      </w:r>
      <w:r w:rsidR="00364202">
        <w:t>’</w:t>
      </w:r>
      <w:r w:rsidRPr="00F96AC5">
        <w:t>s consistent financial performance lifted the company</w:t>
      </w:r>
      <w:r w:rsidR="00364202">
        <w:t>’</w:t>
      </w:r>
      <w:r w:rsidRPr="00F96AC5">
        <w:t xml:space="preserve">s current ratio to 3.87734 in 2021 from 3.311556139. Throughout the accounting period, this will also show how well </w:t>
      </w:r>
      <w:proofErr w:type="gramStart"/>
      <w:r w:rsidRPr="00F96AC5">
        <w:t>Sweets</w:t>
      </w:r>
      <w:proofErr w:type="gramEnd"/>
      <w:r w:rsidRPr="00F96AC5">
        <w:t xml:space="preserve"> plc is able to turn its </w:t>
      </w:r>
      <w:r w:rsidRPr="00F96AC5">
        <w:t xml:space="preserve">assets into cash and cash equivalent items. It displays </w:t>
      </w:r>
      <w:proofErr w:type="gramStart"/>
      <w:r w:rsidRPr="00F96AC5">
        <w:t>Sweets</w:t>
      </w:r>
      <w:proofErr w:type="gramEnd"/>
      <w:r w:rsidRPr="00F96AC5">
        <w:t xml:space="preserve"> plc</w:t>
      </w:r>
      <w:r>
        <w:t>’</w:t>
      </w:r>
      <w:r w:rsidRPr="00F96AC5">
        <w:t>s proficiency in working capital management</w:t>
      </w:r>
      <w:r w:rsidR="00364202">
        <w:t xml:space="preserve"> </w:t>
      </w:r>
      <w:sdt>
        <w:sdtPr>
          <w:id w:val="-683364801"/>
          <w:citation/>
        </w:sdtPr>
        <w:sdtEndPr/>
        <w:sdtContent>
          <w:r>
            <w:fldChar w:fldCharType="begin"/>
          </w:r>
          <w:r>
            <w:instrText xml:space="preserve">CITATION cor224 \l 1033 </w:instrText>
          </w:r>
          <w:r>
            <w:fldChar w:fldCharType="separate"/>
          </w:r>
          <w:r w:rsidRPr="005B638E">
            <w:rPr>
              <w:noProof/>
            </w:rPr>
            <w:t>(corporatefinanceinstitute, 2022)</w:t>
          </w:r>
          <w:r>
            <w:fldChar w:fldCharType="end"/>
          </w:r>
        </w:sdtContent>
      </w:sdt>
      <w:r w:rsidRPr="00185D2D">
        <w:t>.  </w:t>
      </w:r>
    </w:p>
    <w:p w14:paraId="3E915894" w14:textId="77777777" w:rsidR="00135D2D" w:rsidRPr="00135D2D" w:rsidRDefault="007C08CF" w:rsidP="00135D2D">
      <w:pPr>
        <w:rPr>
          <w:b/>
          <w:bCs/>
          <w:i/>
          <w:iCs/>
        </w:rPr>
      </w:pPr>
      <w:r w:rsidRPr="00135D2D">
        <w:rPr>
          <w:b/>
          <w:bCs/>
          <w:i/>
          <w:iCs/>
        </w:rPr>
        <w:t>Gearing ratio</w:t>
      </w:r>
    </w:p>
    <w:p w14:paraId="70DD9074" w14:textId="6CB0C3F1" w:rsidR="00364202" w:rsidRDefault="007C08CF" w:rsidP="005B638E">
      <w:pPr>
        <w:rPr>
          <w:b/>
          <w:bCs/>
        </w:rPr>
      </w:pPr>
      <w:r w:rsidRPr="00135D2D">
        <w:rPr>
          <w:rFonts w:cs="Times New Roman"/>
          <w:i/>
          <w:iCs/>
        </w:rPr>
        <w:t>Formula</w:t>
      </w:r>
      <w:r>
        <w:rPr>
          <w:rFonts w:cs="Times New Roman"/>
          <w:b/>
          <w:bCs/>
        </w:rPr>
        <w:t>- “</w:t>
      </w:r>
      <w:r w:rsidRPr="008F6E49">
        <w:rPr>
          <w:b/>
          <w:bCs/>
        </w:rPr>
        <w:t xml:space="preserve">Gearing ratio = Long-term debt + Short-term debt + Bank overdraft / </w:t>
      </w:r>
      <w:proofErr w:type="spellStart"/>
      <w:r w:rsidRPr="008F6E49">
        <w:rPr>
          <w:b/>
          <w:bCs/>
        </w:rPr>
        <w:t>Share holder</w:t>
      </w:r>
      <w:proofErr w:type="spellEnd"/>
      <w:r w:rsidRPr="008F6E49">
        <w:rPr>
          <w:b/>
          <w:bCs/>
        </w:rPr>
        <w:t xml:space="preserve"> equity</w:t>
      </w:r>
      <w:r>
        <w:rPr>
          <w:b/>
          <w:bCs/>
        </w:rPr>
        <w:t>”</w:t>
      </w:r>
    </w:p>
    <w:p w14:paraId="17FE0A60" w14:textId="3A1BD6A0" w:rsidR="0087259D" w:rsidRPr="00185D2D" w:rsidRDefault="007C08CF" w:rsidP="0087259D">
      <w:r w:rsidRPr="001F0EBC">
        <w:t>The ratio of gearing represents the set of financial components that compares the debt of the company to the equity held by shareholders. This demonstrates the company</w:t>
      </w:r>
      <w:r w:rsidR="0070566D">
        <w:t>’</w:t>
      </w:r>
      <w:r w:rsidRPr="001F0EBC">
        <w:t xml:space="preserve">s ability to pay and the level of leverage it possesses during the accounting period. Also, it illustrates the quantity of operations that are funded by debt and those that are funded by equity (Dimitropoulos, 2022). Extreme debt can lead to financial issues in the operations of the firm, indicating the financial risk of the enterprise. From 1.417925824 in 2022 to 1.42067 in 2023, Sweets plc increased its gearing ratio. Increased equity in </w:t>
      </w:r>
      <w:proofErr w:type="gramStart"/>
      <w:r w:rsidRPr="001F0EBC">
        <w:t>Sweets</w:t>
      </w:r>
      <w:proofErr w:type="gramEnd"/>
      <w:r w:rsidRPr="001F0EBC">
        <w:t xml:space="preserve"> plc</w:t>
      </w:r>
      <w:r w:rsidR="009A1806">
        <w:t>’</w:t>
      </w:r>
      <w:r w:rsidRPr="001F0EBC">
        <w:t>s activities is indicated by this increase in the gearin</w:t>
      </w:r>
      <w:r w:rsidRPr="001F0EBC">
        <w:t xml:space="preserve">g ratio. </w:t>
      </w:r>
      <w:r w:rsidR="009A1806" w:rsidRPr="009A1806">
        <w:t xml:space="preserve">Additionally, </w:t>
      </w:r>
      <w:proofErr w:type="gramStart"/>
      <w:r w:rsidR="009A1806" w:rsidRPr="009A1806">
        <w:t>Sweets</w:t>
      </w:r>
      <w:proofErr w:type="gramEnd"/>
      <w:r w:rsidR="009A1806" w:rsidRPr="009A1806">
        <w:t xml:space="preserve"> plc benefits from using its own company fund for day-to-day operations because it lowers income tax due to lower taxable income</w:t>
      </w:r>
      <w:r w:rsidR="009A1806">
        <w:t xml:space="preserve"> </w:t>
      </w:r>
      <w:sdt>
        <w:sdtPr>
          <w:id w:val="1599685639"/>
          <w:citation/>
        </w:sdtPr>
        <w:sdtEndPr/>
        <w:sdtContent>
          <w:r w:rsidRPr="00170022">
            <w:fldChar w:fldCharType="begin"/>
          </w:r>
          <w:r w:rsidRPr="00170022">
            <w:instrText xml:space="preserve"> CITATION cor223 \l 1033 </w:instrText>
          </w:r>
          <w:r w:rsidRPr="00170022">
            <w:fldChar w:fldCharType="separate"/>
          </w:r>
          <w:r w:rsidRPr="00170022">
            <w:t>(corporatefinanceinstitute, 2022)</w:t>
          </w:r>
          <w:r w:rsidRPr="00170022">
            <w:fldChar w:fldCharType="end"/>
          </w:r>
        </w:sdtContent>
      </w:sdt>
      <w:r w:rsidRPr="00185D2D">
        <w:t>. </w:t>
      </w:r>
    </w:p>
    <w:p w14:paraId="77C1A30B" w14:textId="77777777" w:rsidR="00B62EA0" w:rsidRPr="00B62EA0" w:rsidRDefault="007C08CF" w:rsidP="00B62EA0">
      <w:pPr>
        <w:rPr>
          <w:rFonts w:cs="Times New Roman"/>
          <w:b/>
          <w:bCs/>
          <w:i/>
          <w:iCs/>
        </w:rPr>
      </w:pPr>
      <w:r w:rsidRPr="00B62EA0">
        <w:rPr>
          <w:rFonts w:cs="Times New Roman"/>
          <w:b/>
          <w:bCs/>
          <w:i/>
          <w:iCs/>
        </w:rPr>
        <w:t>Interest coverage ratio</w:t>
      </w:r>
    </w:p>
    <w:p w14:paraId="498528C4" w14:textId="4E610289" w:rsidR="00AE4272" w:rsidRDefault="007C08CF" w:rsidP="005B638E">
      <w:pPr>
        <w:rPr>
          <w:rFonts w:cs="Times New Roman"/>
          <w:b/>
          <w:bCs/>
        </w:rPr>
      </w:pPr>
      <w:r w:rsidRPr="00B62EA0">
        <w:rPr>
          <w:rFonts w:cs="Times New Roman"/>
          <w:i/>
          <w:iCs/>
        </w:rPr>
        <w:t>Formula</w:t>
      </w:r>
      <w:r>
        <w:rPr>
          <w:rFonts w:cs="Times New Roman"/>
          <w:b/>
          <w:bCs/>
        </w:rPr>
        <w:t>- “Interest coverage ratio = Earnings before interest and taxes / Interest expenses”</w:t>
      </w:r>
    </w:p>
    <w:p w14:paraId="70CEA170" w14:textId="602F99C6" w:rsidR="000D093A" w:rsidRDefault="007C08CF" w:rsidP="00652647">
      <w:r w:rsidRPr="00AD4C82">
        <w:t xml:space="preserve">The interest coverage ratio, which is calculated, indicates the company's </w:t>
      </w:r>
      <w:r w:rsidRPr="00AD4C82">
        <w:t>ability to pay interest on its outstanding obligations</w:t>
      </w:r>
      <w:r w:rsidR="00E52821">
        <w:t xml:space="preserve"> </w:t>
      </w:r>
      <w:sdt>
        <w:sdtPr>
          <w:id w:val="2142295013"/>
          <w:citation/>
        </w:sdtPr>
        <w:sdtEndPr/>
        <w:sdtContent>
          <w:r>
            <w:fldChar w:fldCharType="begin"/>
          </w:r>
          <w:r>
            <w:instrText xml:space="preserve">CITATION BBC2212 \l 1033 </w:instrText>
          </w:r>
          <w:r>
            <w:fldChar w:fldCharType="separate"/>
          </w:r>
          <w:r w:rsidRPr="00652647">
            <w:rPr>
              <w:noProof/>
            </w:rPr>
            <w:t>(BBC, 2022)</w:t>
          </w:r>
          <w:r>
            <w:fldChar w:fldCharType="end"/>
          </w:r>
        </w:sdtContent>
      </w:sdt>
      <w:r w:rsidRPr="00185D2D">
        <w:t xml:space="preserve">. </w:t>
      </w:r>
      <w:r w:rsidR="0038368C" w:rsidRPr="0038368C">
        <w:t>Lenders and creditors utilise this to learn about the risks associated with providing financing to a company. A clear picture of the company</w:t>
      </w:r>
      <w:r w:rsidR="00436290">
        <w:t>’</w:t>
      </w:r>
      <w:r w:rsidR="0038368C" w:rsidRPr="0038368C">
        <w:t>s ability to pay its current debts to creditors is provided by this ratio study, which is crucial for investors and market analysts alike (Akgün and Karataş, 2020). After losing its capacity to pay its creditors, Sweets Plc</w:t>
      </w:r>
      <w:r w:rsidR="005C0701">
        <w:t>’</w:t>
      </w:r>
      <w:r w:rsidR="0038368C" w:rsidRPr="0038368C">
        <w:t xml:space="preserve">s 2021 rating dropped to 3.561947 from 3.861878453. The business is having financial difficulties since </w:t>
      </w:r>
      <w:proofErr w:type="gramStart"/>
      <w:r w:rsidR="0038368C" w:rsidRPr="0038368C">
        <w:t>Sweets</w:t>
      </w:r>
      <w:proofErr w:type="gramEnd"/>
      <w:r w:rsidR="0038368C" w:rsidRPr="0038368C">
        <w:t xml:space="preserve"> plc is finding it difficult to sell its goods in marketplaces as a result of the shifting consumer trends.</w:t>
      </w:r>
      <w:r w:rsidR="005C0701">
        <w:t xml:space="preserve"> </w:t>
      </w:r>
    </w:p>
    <w:p w14:paraId="1D2B2676" w14:textId="77777777" w:rsidR="000D093A" w:rsidRDefault="000D093A">
      <w:pPr>
        <w:spacing w:line="259" w:lineRule="auto"/>
        <w:jc w:val="left"/>
      </w:pPr>
      <w:r>
        <w:br w:type="page"/>
      </w:r>
    </w:p>
    <w:p w14:paraId="3E6C6A1C" w14:textId="5418B618" w:rsidR="00652647" w:rsidRDefault="000D093A" w:rsidP="000D093A">
      <w:pPr>
        <w:pStyle w:val="Heading1"/>
      </w:pPr>
      <w:bookmarkStart w:id="9" w:name="_Toc151731826"/>
      <w:r>
        <w:t>Conclusion</w:t>
      </w:r>
      <w:bookmarkEnd w:id="9"/>
    </w:p>
    <w:p w14:paraId="1FA70117" w14:textId="16CDE1A8" w:rsidR="000C7B7E" w:rsidRPr="000C7B7E" w:rsidRDefault="00085398" w:rsidP="000C7B7E">
      <w:pPr>
        <w:rPr>
          <w:lang w:bidi="th-TH"/>
        </w:rPr>
      </w:pPr>
      <w:r w:rsidRPr="00085398">
        <w:rPr>
          <w:lang w:bidi="th-TH"/>
        </w:rPr>
        <w:t>The income statements and balance sheet of Wales plc, which showed the company</w:t>
      </w:r>
      <w:r w:rsidR="00FF36C6">
        <w:rPr>
          <w:lang w:bidi="th-TH"/>
        </w:rPr>
        <w:t>’</w:t>
      </w:r>
      <w:r w:rsidRPr="00085398">
        <w:rPr>
          <w:lang w:bidi="th-TH"/>
        </w:rPr>
        <w:t xml:space="preserve">s financial situation, were reflected in this report. This </w:t>
      </w:r>
      <w:proofErr w:type="gramStart"/>
      <w:r w:rsidRPr="00085398">
        <w:rPr>
          <w:lang w:bidi="th-TH"/>
        </w:rPr>
        <w:t>was a reflection of</w:t>
      </w:r>
      <w:proofErr w:type="gramEnd"/>
      <w:r w:rsidRPr="00085398">
        <w:rPr>
          <w:lang w:bidi="th-TH"/>
        </w:rPr>
        <w:t xml:space="preserve"> the company</w:t>
      </w:r>
      <w:r w:rsidR="00FF36C6">
        <w:rPr>
          <w:lang w:bidi="th-TH"/>
        </w:rPr>
        <w:t>’</w:t>
      </w:r>
      <w:r w:rsidRPr="00085398">
        <w:rPr>
          <w:lang w:bidi="th-TH"/>
        </w:rPr>
        <w:t xml:space="preserve">s financial situation and how to keep up a sustainable level of performance throughout the fiscal year. Additionally, this report shows how various financial ratios were calculated </w:t>
      </w:r>
      <w:proofErr w:type="gramStart"/>
      <w:r w:rsidRPr="00085398">
        <w:rPr>
          <w:lang w:bidi="th-TH"/>
        </w:rPr>
        <w:t>and,</w:t>
      </w:r>
      <w:proofErr w:type="gramEnd"/>
      <w:r w:rsidRPr="00085398">
        <w:rPr>
          <w:lang w:bidi="th-TH"/>
        </w:rPr>
        <w:t xml:space="preserve"> based on the examination of those ratios, shows the effectiveness and performance of Sweets Plc.   </w:t>
      </w:r>
      <w:r w:rsidR="00F318C8">
        <w:rPr>
          <w:lang w:bidi="th-TH"/>
        </w:rPr>
        <w:t xml:space="preserve"> </w:t>
      </w:r>
      <w:r w:rsidR="007C21BD">
        <w:rPr>
          <w:lang w:bidi="th-TH"/>
        </w:rPr>
        <w:t xml:space="preserve"> </w:t>
      </w:r>
    </w:p>
    <w:p w14:paraId="35593F44" w14:textId="25835FD1" w:rsidR="000D093A" w:rsidRDefault="000D093A" w:rsidP="000C7B7E">
      <w:pPr>
        <w:spacing w:line="259" w:lineRule="auto"/>
        <w:jc w:val="left"/>
        <w:rPr>
          <w:lang w:bidi="th-TH"/>
        </w:rPr>
      </w:pPr>
    </w:p>
    <w:p w14:paraId="5825E64D" w14:textId="77777777" w:rsidR="000C7B7E" w:rsidRDefault="000C7B7E" w:rsidP="000C7B7E">
      <w:pPr>
        <w:spacing w:line="259" w:lineRule="auto"/>
        <w:jc w:val="left"/>
        <w:rPr>
          <w:lang w:bidi="th-TH"/>
        </w:rPr>
      </w:pPr>
    </w:p>
    <w:p w14:paraId="5CD0A428" w14:textId="77777777" w:rsidR="000C7B7E" w:rsidRDefault="000C7B7E" w:rsidP="000C7B7E">
      <w:pPr>
        <w:spacing w:line="259" w:lineRule="auto"/>
        <w:jc w:val="left"/>
        <w:rPr>
          <w:lang w:bidi="th-TH"/>
        </w:rPr>
      </w:pPr>
    </w:p>
    <w:p w14:paraId="018F2E32" w14:textId="77777777" w:rsidR="000C7B7E" w:rsidRDefault="000C7B7E" w:rsidP="000C7B7E">
      <w:pPr>
        <w:spacing w:line="259" w:lineRule="auto"/>
        <w:jc w:val="left"/>
        <w:rPr>
          <w:lang w:bidi="th-TH"/>
        </w:rPr>
      </w:pPr>
    </w:p>
    <w:p w14:paraId="32F6DB2C" w14:textId="77777777" w:rsidR="000C7B7E" w:rsidRDefault="000C7B7E" w:rsidP="000C7B7E">
      <w:pPr>
        <w:spacing w:line="259" w:lineRule="auto"/>
        <w:jc w:val="left"/>
        <w:rPr>
          <w:lang w:bidi="th-TH"/>
        </w:rPr>
      </w:pPr>
    </w:p>
    <w:p w14:paraId="7B417ECE" w14:textId="77777777" w:rsidR="000C7B7E" w:rsidRPr="000D093A" w:rsidRDefault="000C7B7E" w:rsidP="000C7B7E">
      <w:pPr>
        <w:spacing w:line="259" w:lineRule="auto"/>
        <w:jc w:val="left"/>
        <w:rPr>
          <w:lang w:bidi="th-TH"/>
        </w:rPr>
      </w:pPr>
    </w:p>
    <w:p w14:paraId="48F5EA0B" w14:textId="77777777" w:rsidR="0065623D" w:rsidRPr="00B62EA0" w:rsidRDefault="0065623D" w:rsidP="005B638E">
      <w:pPr>
        <w:rPr>
          <w:rFonts w:cs="Times New Roman"/>
          <w:b/>
          <w:bCs/>
        </w:rPr>
      </w:pPr>
    </w:p>
    <w:p w14:paraId="3DFCF1A4" w14:textId="77777777" w:rsidR="006C185C" w:rsidRPr="006C185C" w:rsidRDefault="006C185C" w:rsidP="00AD3B2F">
      <w:pPr>
        <w:rPr>
          <w:rFonts w:cs="Times New Roman"/>
          <w:b/>
          <w:bCs/>
        </w:rPr>
      </w:pPr>
    </w:p>
    <w:p w14:paraId="47F55AB1" w14:textId="77777777" w:rsidR="00E75268" w:rsidRPr="00045463" w:rsidRDefault="00E75268" w:rsidP="009D026E"/>
    <w:p w14:paraId="6E427E18" w14:textId="77777777" w:rsidR="00A428DA" w:rsidRDefault="00A428DA" w:rsidP="0099396D"/>
    <w:p w14:paraId="7C4113AD" w14:textId="77777777" w:rsidR="00195AB4" w:rsidRPr="0088059E" w:rsidRDefault="00195AB4" w:rsidP="005E0CC7"/>
    <w:p w14:paraId="2580DFEB" w14:textId="77777777" w:rsidR="005E0CC7" w:rsidRPr="005E0CC7" w:rsidRDefault="005E0CC7" w:rsidP="00B007F0">
      <w:pPr>
        <w:rPr>
          <w:lang w:bidi="th-TH"/>
        </w:rPr>
      </w:pPr>
    </w:p>
    <w:p w14:paraId="387C39CA" w14:textId="77777777" w:rsidR="00C85AA7" w:rsidRPr="00C85AA7" w:rsidRDefault="00C85AA7" w:rsidP="00C85AA7">
      <w:pPr>
        <w:rPr>
          <w:lang w:val="en-US" w:bidi="th-TH"/>
        </w:rPr>
      </w:pPr>
    </w:p>
    <w:p w14:paraId="10C1C131" w14:textId="77777777" w:rsidR="00C85AA7" w:rsidRPr="00C85AA7" w:rsidRDefault="00C85AA7" w:rsidP="00C85AA7">
      <w:pPr>
        <w:rPr>
          <w:lang w:val="en-US" w:bidi="th-TH"/>
        </w:rPr>
      </w:pPr>
    </w:p>
    <w:p w14:paraId="3481D886" w14:textId="77777777" w:rsidR="000D093A" w:rsidRDefault="000D093A" w:rsidP="000D093A">
      <w:pPr>
        <w:rPr>
          <w:lang w:val="en-US"/>
        </w:rPr>
      </w:pPr>
    </w:p>
    <w:p w14:paraId="657C04F3" w14:textId="45274976" w:rsidR="00E52F63" w:rsidRDefault="000D093A" w:rsidP="005D57F4">
      <w:pPr>
        <w:pStyle w:val="Heading1"/>
        <w:rPr>
          <w:lang w:val="en-US"/>
        </w:rPr>
      </w:pPr>
      <w:bookmarkStart w:id="10" w:name="_Toc151731827"/>
      <w:r>
        <w:rPr>
          <w:lang w:val="en-US"/>
        </w:rPr>
        <w:t>References</w:t>
      </w:r>
      <w:bookmarkEnd w:id="10"/>
    </w:p>
    <w:p w14:paraId="5CDC9735" w14:textId="77777777" w:rsidR="001C442E" w:rsidRDefault="007C08CF" w:rsidP="001C442E">
      <w:proofErr w:type="spellStart"/>
      <w:r>
        <w:t>accountingtools</w:t>
      </w:r>
      <w:proofErr w:type="spellEnd"/>
      <w:r>
        <w:t xml:space="preserve">, (2022). Inventory turnover definition. [Online] Available at: </w:t>
      </w:r>
      <w:r>
        <w:t>https://www.accountingtools.com/articles/what-is-inventory-turnover.html#:~:text=By%20using%20the%20days%20sales,multiply%20the%20result%20by%20365. [Accessed 20 November 2023].</w:t>
      </w:r>
    </w:p>
    <w:p w14:paraId="15A1A918" w14:textId="77777777" w:rsidR="001C442E" w:rsidRDefault="007C08CF" w:rsidP="00F009AE">
      <w:pPr>
        <w:rPr>
          <w:shd w:val="clear" w:color="auto" w:fill="FFFFFF"/>
        </w:rPr>
      </w:pPr>
      <w:proofErr w:type="spellStart"/>
      <w:r>
        <w:rPr>
          <w:shd w:val="clear" w:color="auto" w:fill="FFFFFF"/>
        </w:rPr>
        <w:t>Batrancea</w:t>
      </w:r>
      <w:proofErr w:type="spellEnd"/>
      <w:r>
        <w:rPr>
          <w:shd w:val="clear" w:color="auto" w:fill="FFFFFF"/>
        </w:rPr>
        <w:t>, L.M., (2021). An Econometric Approach on Performance, Assets, and Liabilities in a Sample of Banks from Europe, Israel, United States of America, and Canada. </w:t>
      </w:r>
      <w:r>
        <w:rPr>
          <w:i/>
          <w:iCs/>
          <w:shd w:val="clear" w:color="auto" w:fill="FFFFFF"/>
        </w:rPr>
        <w:t>Mathematics</w:t>
      </w:r>
      <w:r>
        <w:rPr>
          <w:shd w:val="clear" w:color="auto" w:fill="FFFFFF"/>
        </w:rPr>
        <w:t>, </w:t>
      </w:r>
      <w:r>
        <w:rPr>
          <w:i/>
          <w:iCs/>
          <w:shd w:val="clear" w:color="auto" w:fill="FFFFFF"/>
        </w:rPr>
        <w:t>9</w:t>
      </w:r>
      <w:r>
        <w:rPr>
          <w:shd w:val="clear" w:color="auto" w:fill="FFFFFF"/>
        </w:rPr>
        <w:t>(24), p.3178.</w:t>
      </w:r>
    </w:p>
    <w:p w14:paraId="75E0B337" w14:textId="77777777" w:rsidR="001C442E" w:rsidRDefault="007C08CF" w:rsidP="001C442E">
      <w:r>
        <w:t>BBC, (2022). Financial records. [Online] Available at: https://www.bbc.co.uk/bitesize/guides/zhm6sbk/revision/2 [Accessed 21 November 2023].</w:t>
      </w:r>
    </w:p>
    <w:p w14:paraId="48483958" w14:textId="77777777" w:rsidR="001C442E" w:rsidRDefault="007C08CF" w:rsidP="001C442E">
      <w:r>
        <w:t>BBC, (2022). Revenue, cost and profit. [Online] Available at: https://www.bbc.co.uk/bitesize/guides/zxq2hyc/revision/2 [Accessed 21 November 2023].</w:t>
      </w:r>
    </w:p>
    <w:p w14:paraId="15CCC242" w14:textId="77777777" w:rsidR="001C442E" w:rsidRDefault="007C08CF" w:rsidP="006D4C57">
      <w:pPr>
        <w:rPr>
          <w:shd w:val="clear" w:color="auto" w:fill="FFFFFF"/>
        </w:rPr>
      </w:pPr>
      <w:r>
        <w:rPr>
          <w:shd w:val="clear" w:color="auto" w:fill="FFFFFF"/>
        </w:rPr>
        <w:t>Board, J., Delargy, P.R. and Tonks, I., (2019). R &amp; D Intensity and Firm Finance: A US–UK Comparison. In </w:t>
      </w:r>
      <w:r>
        <w:rPr>
          <w:i/>
          <w:iCs/>
          <w:shd w:val="clear" w:color="auto" w:fill="FFFFFF"/>
        </w:rPr>
        <w:t>New Technologies and the Firm</w:t>
      </w:r>
      <w:r>
        <w:rPr>
          <w:shd w:val="clear" w:color="auto" w:fill="FFFFFF"/>
        </w:rPr>
        <w:t> (pp. 321-342). Routledge.</w:t>
      </w:r>
    </w:p>
    <w:p w14:paraId="6B4516EB" w14:textId="77777777" w:rsidR="001C442E" w:rsidRDefault="007C08CF" w:rsidP="001C442E">
      <w:proofErr w:type="spellStart"/>
      <w:r>
        <w:t>corporatefinanceinstitute</w:t>
      </w:r>
      <w:proofErr w:type="spellEnd"/>
      <w:r>
        <w:t>, (2022). Current Ratio Formula. [Online] Available at: https://corporatefinanceinstitute.com/resources/knowledge/finance/current-ratio-formula/</w:t>
      </w:r>
    </w:p>
    <w:p w14:paraId="548D375F" w14:textId="77777777" w:rsidR="001C442E" w:rsidRDefault="007C08CF" w:rsidP="001C442E">
      <w:proofErr w:type="spellStart"/>
      <w:r>
        <w:t>corporatefinanceinstitute</w:t>
      </w:r>
      <w:proofErr w:type="spellEnd"/>
      <w:r>
        <w:t>, (2022). Gearing. [Online] Available at: https://corporatefinanceinstitute.com/resources/knowledge/finance/gearing/ [Accessed 20 November 2023].</w:t>
      </w:r>
    </w:p>
    <w:p w14:paraId="4892170C" w14:textId="77777777" w:rsidR="001C442E" w:rsidRDefault="007C08CF" w:rsidP="001C442E">
      <w:proofErr w:type="spellStart"/>
      <w:r>
        <w:t>corporatefinanceinstitute</w:t>
      </w:r>
      <w:proofErr w:type="spellEnd"/>
      <w:r>
        <w:t>, (2022). Interest Coverage Ratio. [Online] Available at: https://corporatefinanceinstitute.com/resources/knowledge/finance/interest-coverage-ratio/ [Accessed 20 November 2023].</w:t>
      </w:r>
    </w:p>
    <w:p w14:paraId="278AF18A" w14:textId="77777777" w:rsidR="001C442E" w:rsidRDefault="007C08CF" w:rsidP="006D4C57">
      <w:pPr>
        <w:rPr>
          <w:shd w:val="clear" w:color="auto" w:fill="FFFFFF"/>
        </w:rPr>
      </w:pPr>
      <w:r>
        <w:rPr>
          <w:shd w:val="clear" w:color="auto" w:fill="FFFFFF"/>
        </w:rPr>
        <w:t>Dimitropoulos, P.E., (2022). Litigation Risk, Audit Fees and the Financial Crisis Impact: Empirical Evidence from the UK. In </w:t>
      </w:r>
      <w:r>
        <w:rPr>
          <w:i/>
          <w:iCs/>
          <w:shd w:val="clear" w:color="auto" w:fill="FFFFFF"/>
        </w:rPr>
        <w:t>Business Under Crisis Volume I</w:t>
      </w:r>
      <w:r>
        <w:rPr>
          <w:shd w:val="clear" w:color="auto" w:fill="FFFFFF"/>
        </w:rPr>
        <w:t> (pp. 41-61). Palgrave Macmillan, Cham.</w:t>
      </w:r>
    </w:p>
    <w:p w14:paraId="18610E3B" w14:textId="77777777" w:rsidR="001C442E" w:rsidRDefault="007C08CF" w:rsidP="00344074">
      <w:pPr>
        <w:rPr>
          <w:shd w:val="clear" w:color="auto" w:fill="FFFFFF"/>
        </w:rPr>
      </w:pPr>
      <w:proofErr w:type="spellStart"/>
      <w:r>
        <w:rPr>
          <w:shd w:val="clear" w:color="auto" w:fill="FFFFFF"/>
        </w:rPr>
        <w:t>Fridson</w:t>
      </w:r>
      <w:proofErr w:type="spellEnd"/>
      <w:r>
        <w:rPr>
          <w:shd w:val="clear" w:color="auto" w:fill="FFFFFF"/>
        </w:rPr>
        <w:t>, M.S. and Alvarez, F., (2022). </w:t>
      </w:r>
      <w:r>
        <w:rPr>
          <w:i/>
          <w:iCs/>
          <w:shd w:val="clear" w:color="auto" w:fill="FFFFFF"/>
        </w:rPr>
        <w:t>Financial statement analysis: a practitioner's guide</w:t>
      </w:r>
      <w:r>
        <w:rPr>
          <w:shd w:val="clear" w:color="auto" w:fill="FFFFFF"/>
        </w:rPr>
        <w:t>. John Wiley &amp; Sons.</w:t>
      </w:r>
    </w:p>
    <w:p w14:paraId="5E6BB1C4" w14:textId="77777777" w:rsidR="001C442E" w:rsidRDefault="007C08CF" w:rsidP="006D4C57">
      <w:pPr>
        <w:rPr>
          <w:shd w:val="clear" w:color="auto" w:fill="FFFFFF"/>
        </w:rPr>
      </w:pPr>
      <w:r>
        <w:rPr>
          <w:shd w:val="clear" w:color="auto" w:fill="FFFFFF"/>
        </w:rPr>
        <w:t>Ji, H., (2019). The impact of interest coverage ratio on value relevance of reported earnings: Evidence from South Korea. </w:t>
      </w:r>
      <w:r>
        <w:rPr>
          <w:i/>
          <w:iCs/>
          <w:shd w:val="clear" w:color="auto" w:fill="FFFFFF"/>
        </w:rPr>
        <w:t>Sustainability</w:t>
      </w:r>
      <w:r>
        <w:rPr>
          <w:shd w:val="clear" w:color="auto" w:fill="FFFFFF"/>
        </w:rPr>
        <w:t>, </w:t>
      </w:r>
      <w:r>
        <w:rPr>
          <w:i/>
          <w:iCs/>
          <w:shd w:val="clear" w:color="auto" w:fill="FFFFFF"/>
        </w:rPr>
        <w:t>11</w:t>
      </w:r>
      <w:r>
        <w:rPr>
          <w:shd w:val="clear" w:color="auto" w:fill="FFFFFF"/>
        </w:rPr>
        <w:t>(24), p.7193.</w:t>
      </w:r>
    </w:p>
    <w:p w14:paraId="648F9F37" w14:textId="77777777" w:rsidR="001C442E" w:rsidRDefault="007C08CF" w:rsidP="006D4C57">
      <w:pPr>
        <w:rPr>
          <w:shd w:val="clear" w:color="auto" w:fill="FFFFFF"/>
        </w:rPr>
      </w:pPr>
      <w:r>
        <w:rPr>
          <w:shd w:val="clear" w:color="auto" w:fill="FFFFFF"/>
        </w:rPr>
        <w:t>Kumhof, M. and Noone, C., (2019). Central bank digital currencies-design principles and balance sheet implications.</w:t>
      </w:r>
    </w:p>
    <w:p w14:paraId="74DBFA36" w14:textId="77777777" w:rsidR="001C442E" w:rsidRDefault="007C08CF" w:rsidP="00344074">
      <w:pPr>
        <w:rPr>
          <w:shd w:val="clear" w:color="auto" w:fill="FFFFFF"/>
        </w:rPr>
      </w:pPr>
      <w:r>
        <w:rPr>
          <w:shd w:val="clear" w:color="auto" w:fill="FFFFFF"/>
        </w:rPr>
        <w:t>Lee, D.K.C., Lim, J., Phoon, K.F. and Wang, Y., (2022). </w:t>
      </w:r>
      <w:r>
        <w:rPr>
          <w:i/>
          <w:iCs/>
          <w:shd w:val="clear" w:color="auto" w:fill="FFFFFF"/>
        </w:rPr>
        <w:t>Understanding Income Statements</w:t>
      </w:r>
      <w:r>
        <w:rPr>
          <w:shd w:val="clear" w:color="auto" w:fill="FFFFFF"/>
        </w:rPr>
        <w:t xml:space="preserve"> (pp. 235-261). World Scientific Publishing Co. </w:t>
      </w:r>
      <w:proofErr w:type="spellStart"/>
      <w:r>
        <w:rPr>
          <w:shd w:val="clear" w:color="auto" w:fill="FFFFFF"/>
        </w:rPr>
        <w:t>Pte.</w:t>
      </w:r>
      <w:proofErr w:type="spellEnd"/>
      <w:r>
        <w:rPr>
          <w:shd w:val="clear" w:color="auto" w:fill="FFFFFF"/>
        </w:rPr>
        <w:t xml:space="preserve"> Ltd.</w:t>
      </w:r>
    </w:p>
    <w:p w14:paraId="361AE5C6" w14:textId="77777777" w:rsidR="001C442E" w:rsidRDefault="007C08CF" w:rsidP="006D4C57">
      <w:pPr>
        <w:rPr>
          <w:shd w:val="clear" w:color="auto" w:fill="FFFFFF"/>
        </w:rPr>
      </w:pPr>
      <w:proofErr w:type="spellStart"/>
      <w:r>
        <w:rPr>
          <w:shd w:val="clear" w:color="auto" w:fill="FFFFFF"/>
        </w:rPr>
        <w:t>Liwski</w:t>
      </w:r>
      <w:proofErr w:type="spellEnd"/>
      <w:r>
        <w:rPr>
          <w:shd w:val="clear" w:color="auto" w:fill="FFFFFF"/>
        </w:rPr>
        <w:t>, R.S. and Gebel, H.M., (2019). Of cells and microparticles: assets and liabilities of HLA antibody detection. </w:t>
      </w:r>
      <w:r>
        <w:rPr>
          <w:i/>
          <w:iCs/>
          <w:shd w:val="clear" w:color="auto" w:fill="FFFFFF"/>
        </w:rPr>
        <w:t>Transplantation</w:t>
      </w:r>
      <w:r>
        <w:rPr>
          <w:shd w:val="clear" w:color="auto" w:fill="FFFFFF"/>
        </w:rPr>
        <w:t>, </w:t>
      </w:r>
      <w:r>
        <w:rPr>
          <w:i/>
          <w:iCs/>
          <w:shd w:val="clear" w:color="auto" w:fill="FFFFFF"/>
        </w:rPr>
        <w:t>102</w:t>
      </w:r>
      <w:r>
        <w:rPr>
          <w:shd w:val="clear" w:color="auto" w:fill="FFFFFF"/>
        </w:rPr>
        <w:t xml:space="preserve">(1S), </w:t>
      </w:r>
      <w:proofErr w:type="gramStart"/>
      <w:r>
        <w:rPr>
          <w:shd w:val="clear" w:color="auto" w:fill="FFFFFF"/>
        </w:rPr>
        <w:t>pp.S</w:t>
      </w:r>
      <w:proofErr w:type="gramEnd"/>
      <w:r>
        <w:rPr>
          <w:shd w:val="clear" w:color="auto" w:fill="FFFFFF"/>
        </w:rPr>
        <w:t>1-S6.</w:t>
      </w:r>
    </w:p>
    <w:p w14:paraId="40EDB605" w14:textId="77777777" w:rsidR="001C442E" w:rsidRDefault="007C08CF" w:rsidP="006D4C57">
      <w:pPr>
        <w:rPr>
          <w:shd w:val="clear" w:color="auto" w:fill="FFFFFF"/>
        </w:rPr>
      </w:pPr>
      <w:proofErr w:type="spellStart"/>
      <w:r w:rsidRPr="007B186F">
        <w:rPr>
          <w:shd w:val="clear" w:color="auto" w:fill="FFFFFF"/>
          <w:lang w:val="en-US"/>
        </w:rPr>
        <w:t>Lucianelli</w:t>
      </w:r>
      <w:proofErr w:type="spellEnd"/>
      <w:r w:rsidRPr="007B186F">
        <w:rPr>
          <w:shd w:val="clear" w:color="auto" w:fill="FFFFFF"/>
          <w:lang w:val="en-US"/>
        </w:rPr>
        <w:t xml:space="preserve">, G., Fazzari, A.L. and Cavalieri, M., (2020). </w:t>
      </w:r>
      <w:r>
        <w:rPr>
          <w:shd w:val="clear" w:color="auto" w:fill="FFFFFF"/>
        </w:rPr>
        <w:t>The Analysis of Income Statement and Final Balance Sheet in Local Governments: A Case Study for Financial Sustainability. </w:t>
      </w:r>
      <w:r>
        <w:rPr>
          <w:i/>
          <w:iCs/>
          <w:shd w:val="clear" w:color="auto" w:fill="FFFFFF"/>
        </w:rPr>
        <w:t>International Journal of Business and Management</w:t>
      </w:r>
      <w:r>
        <w:rPr>
          <w:shd w:val="clear" w:color="auto" w:fill="FFFFFF"/>
        </w:rPr>
        <w:t>, </w:t>
      </w:r>
      <w:r>
        <w:rPr>
          <w:i/>
          <w:iCs/>
          <w:shd w:val="clear" w:color="auto" w:fill="FFFFFF"/>
        </w:rPr>
        <w:t>15</w:t>
      </w:r>
      <w:r>
        <w:rPr>
          <w:shd w:val="clear" w:color="auto" w:fill="FFFFFF"/>
        </w:rPr>
        <w:t>(3), p.80.</w:t>
      </w:r>
    </w:p>
    <w:p w14:paraId="7A6CB687" w14:textId="77777777" w:rsidR="001C442E" w:rsidRDefault="007C08CF" w:rsidP="006D4C57">
      <w:pPr>
        <w:rPr>
          <w:shd w:val="clear" w:color="auto" w:fill="FFFFFF"/>
        </w:rPr>
      </w:pPr>
      <w:proofErr w:type="spellStart"/>
      <w:r w:rsidRPr="007B186F">
        <w:rPr>
          <w:shd w:val="clear" w:color="auto" w:fill="FFFFFF"/>
          <w:lang w:val="en-US"/>
        </w:rPr>
        <w:t>Manzaneque</w:t>
      </w:r>
      <w:proofErr w:type="spellEnd"/>
      <w:r w:rsidRPr="007B186F">
        <w:rPr>
          <w:shd w:val="clear" w:color="auto" w:fill="FFFFFF"/>
          <w:lang w:val="en-US"/>
        </w:rPr>
        <w:t xml:space="preserve">-Lizano, M., Alfaro-Cortés, E. and Priego de la Cruz, A.M., (2019). </w:t>
      </w:r>
      <w:r>
        <w:rPr>
          <w:shd w:val="clear" w:color="auto" w:fill="FFFFFF"/>
        </w:rPr>
        <w:t>Stakeholders and long-term sustainability of SMEs. Who really matters in crisis contexts, and when. </w:t>
      </w:r>
      <w:r>
        <w:rPr>
          <w:i/>
          <w:iCs/>
          <w:shd w:val="clear" w:color="auto" w:fill="FFFFFF"/>
        </w:rPr>
        <w:t>Sustainability</w:t>
      </w:r>
      <w:r>
        <w:rPr>
          <w:shd w:val="clear" w:color="auto" w:fill="FFFFFF"/>
        </w:rPr>
        <w:t>, </w:t>
      </w:r>
      <w:r>
        <w:rPr>
          <w:i/>
          <w:iCs/>
          <w:shd w:val="clear" w:color="auto" w:fill="FFFFFF"/>
        </w:rPr>
        <w:t>11</w:t>
      </w:r>
      <w:r>
        <w:rPr>
          <w:shd w:val="clear" w:color="auto" w:fill="FFFFFF"/>
        </w:rPr>
        <w:t>(23), p.6551.</w:t>
      </w:r>
    </w:p>
    <w:p w14:paraId="37A35BA5" w14:textId="10FF9380" w:rsidR="001C442E" w:rsidRDefault="007C08CF" w:rsidP="006D4C57">
      <w:pPr>
        <w:rPr>
          <w:shd w:val="clear" w:color="auto" w:fill="FFFFFF"/>
        </w:rPr>
      </w:pPr>
      <w:r>
        <w:rPr>
          <w:shd w:val="clear" w:color="auto" w:fill="FFFFFF"/>
        </w:rPr>
        <w:t xml:space="preserve">Phan, Q.T., (2019). Corporate debt and </w:t>
      </w:r>
      <w:r>
        <w:rPr>
          <w:shd w:val="clear" w:color="auto" w:fill="FFFFFF"/>
        </w:rPr>
        <w:t>investment with financial constraints: Vietnamese listed firms. </w:t>
      </w:r>
      <w:r>
        <w:rPr>
          <w:i/>
          <w:iCs/>
          <w:shd w:val="clear" w:color="auto" w:fill="FFFFFF"/>
        </w:rPr>
        <w:t>Research in International Business and Finance</w:t>
      </w:r>
      <w:r>
        <w:rPr>
          <w:shd w:val="clear" w:color="auto" w:fill="FFFFFF"/>
        </w:rPr>
        <w:t>, </w:t>
      </w:r>
      <w:r>
        <w:rPr>
          <w:i/>
          <w:iCs/>
          <w:shd w:val="clear" w:color="auto" w:fill="FFFFFF"/>
        </w:rPr>
        <w:t>46</w:t>
      </w:r>
      <w:r>
        <w:rPr>
          <w:shd w:val="clear" w:color="auto" w:fill="FFFFFF"/>
        </w:rPr>
        <w:t xml:space="preserve">, pp.268-280. </w:t>
      </w:r>
    </w:p>
    <w:p w14:paraId="358587E1" w14:textId="77777777" w:rsidR="00176DCC" w:rsidRDefault="00176DCC" w:rsidP="00344074">
      <w:pPr>
        <w:rPr>
          <w:shd w:val="clear" w:color="auto" w:fill="FFFFFF"/>
        </w:rPr>
      </w:pPr>
    </w:p>
    <w:sectPr w:rsidR="00176DCC" w:rsidSect="00E52F63">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79E491" w14:textId="77777777" w:rsidR="007C08CF" w:rsidRDefault="007C08CF">
      <w:pPr>
        <w:spacing w:after="0" w:line="240" w:lineRule="auto"/>
      </w:pPr>
      <w:r>
        <w:separator/>
      </w:r>
    </w:p>
  </w:endnote>
  <w:endnote w:type="continuationSeparator" w:id="0">
    <w:p w14:paraId="6607CE50" w14:textId="77777777" w:rsidR="007C08CF" w:rsidRDefault="007C08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2985235"/>
      <w:docPartObj>
        <w:docPartGallery w:val="Page Numbers (Bottom of Page)"/>
        <w:docPartUnique/>
      </w:docPartObj>
    </w:sdtPr>
    <w:sdtEndPr/>
    <w:sdtContent>
      <w:sdt>
        <w:sdtPr>
          <w:id w:val="-1769616900"/>
          <w:docPartObj>
            <w:docPartGallery w:val="Page Numbers (Top of Page)"/>
            <w:docPartUnique/>
          </w:docPartObj>
        </w:sdtPr>
        <w:sdtEndPr/>
        <w:sdtContent>
          <w:p w14:paraId="61A795D5" w14:textId="325DBAC5" w:rsidR="00E52F63" w:rsidRDefault="007C08CF">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3353F63" w14:textId="77777777" w:rsidR="00E52F63" w:rsidRDefault="00E52F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6848CC" w14:textId="77777777" w:rsidR="007C08CF" w:rsidRDefault="007C08CF">
      <w:pPr>
        <w:spacing w:after="0" w:line="240" w:lineRule="auto"/>
      </w:pPr>
      <w:r>
        <w:separator/>
      </w:r>
    </w:p>
  </w:footnote>
  <w:footnote w:type="continuationSeparator" w:id="0">
    <w:p w14:paraId="44A3965D" w14:textId="77777777" w:rsidR="007C08CF" w:rsidRDefault="007C08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AC8FE7" w14:textId="6BED864B" w:rsidR="00E52F63" w:rsidRDefault="007C08CF">
    <w:pPr>
      <w:pStyle w:val="Header"/>
      <w:tabs>
        <w:tab w:val="clear" w:pos="4680"/>
        <w:tab w:val="clear" w:pos="9360"/>
      </w:tabs>
      <w:jc w:val="right"/>
      <w:rPr>
        <w:color w:val="7F7F7F" w:themeColor="text1" w:themeTint="80"/>
      </w:rPr>
    </w:pPr>
    <w:r w:rsidRPr="00E52F63">
      <w:rPr>
        <w:lang w:val="en-US"/>
      </w:rPr>
      <w:t>Accounting Fundamentals</w:t>
    </w:r>
  </w:p>
  <w:p w14:paraId="31DDB343" w14:textId="3C25E5D1" w:rsidR="00E52F63" w:rsidRPr="00E52F63" w:rsidRDefault="00E52F63" w:rsidP="00E52F6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B8626A"/>
    <w:multiLevelType w:val="multilevel"/>
    <w:tmpl w:val="9CDAF1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510362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F63"/>
    <w:rsid w:val="00011906"/>
    <w:rsid w:val="000312CE"/>
    <w:rsid w:val="0004342C"/>
    <w:rsid w:val="00045463"/>
    <w:rsid w:val="00085398"/>
    <w:rsid w:val="000C7B7E"/>
    <w:rsid w:val="000D093A"/>
    <w:rsid w:val="000D7269"/>
    <w:rsid w:val="000E5B11"/>
    <w:rsid w:val="00127A2F"/>
    <w:rsid w:val="00135D2D"/>
    <w:rsid w:val="00152E52"/>
    <w:rsid w:val="001549D1"/>
    <w:rsid w:val="00160898"/>
    <w:rsid w:val="00170022"/>
    <w:rsid w:val="00174F39"/>
    <w:rsid w:val="00176DCC"/>
    <w:rsid w:val="00182DC6"/>
    <w:rsid w:val="00184458"/>
    <w:rsid w:val="00185191"/>
    <w:rsid w:val="00185D2D"/>
    <w:rsid w:val="00195AB4"/>
    <w:rsid w:val="00197A7A"/>
    <w:rsid w:val="001C442E"/>
    <w:rsid w:val="001E753C"/>
    <w:rsid w:val="001F0EBC"/>
    <w:rsid w:val="0023536D"/>
    <w:rsid w:val="002467AB"/>
    <w:rsid w:val="0025350D"/>
    <w:rsid w:val="00260EF7"/>
    <w:rsid w:val="002655AE"/>
    <w:rsid w:val="00294DAF"/>
    <w:rsid w:val="002B45C0"/>
    <w:rsid w:val="002D0D71"/>
    <w:rsid w:val="00323658"/>
    <w:rsid w:val="003256FB"/>
    <w:rsid w:val="00343829"/>
    <w:rsid w:val="00344074"/>
    <w:rsid w:val="00364202"/>
    <w:rsid w:val="0037211A"/>
    <w:rsid w:val="0038368C"/>
    <w:rsid w:val="00397BFB"/>
    <w:rsid w:val="003A2589"/>
    <w:rsid w:val="003C6180"/>
    <w:rsid w:val="003D0025"/>
    <w:rsid w:val="003D1EA2"/>
    <w:rsid w:val="003F47C7"/>
    <w:rsid w:val="00415543"/>
    <w:rsid w:val="004272DE"/>
    <w:rsid w:val="00435793"/>
    <w:rsid w:val="00436290"/>
    <w:rsid w:val="00444335"/>
    <w:rsid w:val="00454534"/>
    <w:rsid w:val="0045565B"/>
    <w:rsid w:val="00471CC9"/>
    <w:rsid w:val="004B330D"/>
    <w:rsid w:val="004C7E16"/>
    <w:rsid w:val="004E1895"/>
    <w:rsid w:val="0050355A"/>
    <w:rsid w:val="00517A19"/>
    <w:rsid w:val="005229E7"/>
    <w:rsid w:val="00526555"/>
    <w:rsid w:val="00546991"/>
    <w:rsid w:val="005649E3"/>
    <w:rsid w:val="00565248"/>
    <w:rsid w:val="00573BB8"/>
    <w:rsid w:val="00586972"/>
    <w:rsid w:val="005B638E"/>
    <w:rsid w:val="005C0701"/>
    <w:rsid w:val="005D57F4"/>
    <w:rsid w:val="005D6700"/>
    <w:rsid w:val="005E0CC7"/>
    <w:rsid w:val="006013F7"/>
    <w:rsid w:val="00613A71"/>
    <w:rsid w:val="00623F8C"/>
    <w:rsid w:val="00644727"/>
    <w:rsid w:val="006514C8"/>
    <w:rsid w:val="00652647"/>
    <w:rsid w:val="0065623D"/>
    <w:rsid w:val="006866C0"/>
    <w:rsid w:val="006C185C"/>
    <w:rsid w:val="006D4C57"/>
    <w:rsid w:val="006E3333"/>
    <w:rsid w:val="006E5835"/>
    <w:rsid w:val="0070458B"/>
    <w:rsid w:val="0070566D"/>
    <w:rsid w:val="00715CDC"/>
    <w:rsid w:val="007530BE"/>
    <w:rsid w:val="00755BA4"/>
    <w:rsid w:val="00767354"/>
    <w:rsid w:val="0078424E"/>
    <w:rsid w:val="00785AD1"/>
    <w:rsid w:val="0078639A"/>
    <w:rsid w:val="0079477D"/>
    <w:rsid w:val="007B186F"/>
    <w:rsid w:val="007B73B1"/>
    <w:rsid w:val="007C08CF"/>
    <w:rsid w:val="007C21BD"/>
    <w:rsid w:val="007D3017"/>
    <w:rsid w:val="007D7EB2"/>
    <w:rsid w:val="008407F4"/>
    <w:rsid w:val="00845290"/>
    <w:rsid w:val="00846ECA"/>
    <w:rsid w:val="00850CFC"/>
    <w:rsid w:val="0086676F"/>
    <w:rsid w:val="0087259D"/>
    <w:rsid w:val="0088059E"/>
    <w:rsid w:val="00884233"/>
    <w:rsid w:val="008B2E17"/>
    <w:rsid w:val="008C31ED"/>
    <w:rsid w:val="008F2DB9"/>
    <w:rsid w:val="008F6E49"/>
    <w:rsid w:val="0090684E"/>
    <w:rsid w:val="009124C3"/>
    <w:rsid w:val="00913295"/>
    <w:rsid w:val="009176F3"/>
    <w:rsid w:val="009257F8"/>
    <w:rsid w:val="00937F7D"/>
    <w:rsid w:val="00965084"/>
    <w:rsid w:val="0097256F"/>
    <w:rsid w:val="0099396D"/>
    <w:rsid w:val="00995BF0"/>
    <w:rsid w:val="009A1806"/>
    <w:rsid w:val="009B0CC4"/>
    <w:rsid w:val="009C1AD3"/>
    <w:rsid w:val="009C4B3D"/>
    <w:rsid w:val="009C557A"/>
    <w:rsid w:val="009D026E"/>
    <w:rsid w:val="00A15B77"/>
    <w:rsid w:val="00A356E2"/>
    <w:rsid w:val="00A4280A"/>
    <w:rsid w:val="00A428DA"/>
    <w:rsid w:val="00A535A9"/>
    <w:rsid w:val="00A564B3"/>
    <w:rsid w:val="00A569E3"/>
    <w:rsid w:val="00A62FEB"/>
    <w:rsid w:val="00A67F55"/>
    <w:rsid w:val="00A75F97"/>
    <w:rsid w:val="00A90D99"/>
    <w:rsid w:val="00AD014B"/>
    <w:rsid w:val="00AD3B2F"/>
    <w:rsid w:val="00AD4C82"/>
    <w:rsid w:val="00AE01F6"/>
    <w:rsid w:val="00AE4272"/>
    <w:rsid w:val="00AE5EC2"/>
    <w:rsid w:val="00B007F0"/>
    <w:rsid w:val="00B13AAE"/>
    <w:rsid w:val="00B16A03"/>
    <w:rsid w:val="00B209E6"/>
    <w:rsid w:val="00B260EA"/>
    <w:rsid w:val="00B26C0B"/>
    <w:rsid w:val="00B519C6"/>
    <w:rsid w:val="00B615F4"/>
    <w:rsid w:val="00B62EA0"/>
    <w:rsid w:val="00B634A1"/>
    <w:rsid w:val="00B658D2"/>
    <w:rsid w:val="00B8286B"/>
    <w:rsid w:val="00B94050"/>
    <w:rsid w:val="00BA2867"/>
    <w:rsid w:val="00BA463E"/>
    <w:rsid w:val="00C5141B"/>
    <w:rsid w:val="00C57398"/>
    <w:rsid w:val="00C57F22"/>
    <w:rsid w:val="00C639B9"/>
    <w:rsid w:val="00C76C07"/>
    <w:rsid w:val="00C8285B"/>
    <w:rsid w:val="00C85AA7"/>
    <w:rsid w:val="00C91675"/>
    <w:rsid w:val="00C91CB1"/>
    <w:rsid w:val="00CA09DD"/>
    <w:rsid w:val="00CC5E72"/>
    <w:rsid w:val="00CE28A2"/>
    <w:rsid w:val="00CE5755"/>
    <w:rsid w:val="00D17FB8"/>
    <w:rsid w:val="00D273C8"/>
    <w:rsid w:val="00D54105"/>
    <w:rsid w:val="00D65677"/>
    <w:rsid w:val="00D731AC"/>
    <w:rsid w:val="00DA48E5"/>
    <w:rsid w:val="00E2475B"/>
    <w:rsid w:val="00E42E32"/>
    <w:rsid w:val="00E52821"/>
    <w:rsid w:val="00E52F63"/>
    <w:rsid w:val="00E75268"/>
    <w:rsid w:val="00EA047D"/>
    <w:rsid w:val="00ED50D7"/>
    <w:rsid w:val="00F009AE"/>
    <w:rsid w:val="00F16806"/>
    <w:rsid w:val="00F26F38"/>
    <w:rsid w:val="00F318C8"/>
    <w:rsid w:val="00F47751"/>
    <w:rsid w:val="00F96AC5"/>
    <w:rsid w:val="00FA639F"/>
    <w:rsid w:val="00FB498B"/>
    <w:rsid w:val="00FC2CFF"/>
    <w:rsid w:val="00FC6A92"/>
    <w:rsid w:val="00FF36C6"/>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F2613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US"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5248"/>
    <w:pPr>
      <w:spacing w:line="480" w:lineRule="auto"/>
      <w:jc w:val="both"/>
    </w:pPr>
    <w:rPr>
      <w:rFonts w:ascii="Times New Roman" w:hAnsi="Times New Roman"/>
      <w:color w:val="000000" w:themeColor="text1"/>
      <w:sz w:val="24"/>
      <w:szCs w:val="22"/>
      <w:lang w:val="en-IN" w:bidi="ar-SA"/>
    </w:rPr>
  </w:style>
  <w:style w:type="paragraph" w:styleId="Heading1">
    <w:name w:val="heading 1"/>
    <w:basedOn w:val="Normal"/>
    <w:next w:val="Normal"/>
    <w:link w:val="Heading1Char"/>
    <w:uiPriority w:val="9"/>
    <w:qFormat/>
    <w:rsid w:val="00526555"/>
    <w:pPr>
      <w:keepNext/>
      <w:keepLines/>
      <w:spacing w:before="480" w:after="0"/>
      <w:outlineLvl w:val="0"/>
    </w:pPr>
    <w:rPr>
      <w:rFonts w:eastAsiaTheme="majorEastAsia" w:cstheme="majorBidi"/>
      <w:b/>
      <w:bCs/>
      <w:sz w:val="28"/>
      <w:szCs w:val="25"/>
      <w:lang w:bidi="th-TH"/>
    </w:rPr>
  </w:style>
  <w:style w:type="paragraph" w:styleId="Heading2">
    <w:name w:val="heading 2"/>
    <w:basedOn w:val="Normal"/>
    <w:next w:val="Normal"/>
    <w:link w:val="Heading2Char"/>
    <w:uiPriority w:val="9"/>
    <w:unhideWhenUsed/>
    <w:qFormat/>
    <w:rsid w:val="004E1895"/>
    <w:pPr>
      <w:keepNext/>
      <w:keepLines/>
      <w:spacing w:before="40" w:after="0"/>
      <w:outlineLvl w:val="1"/>
    </w:pPr>
    <w:rPr>
      <w:rFonts w:eastAsiaTheme="majorEastAsia" w:cstheme="majorBidi"/>
      <w:b/>
      <w:sz w:val="26"/>
      <w:szCs w:val="23"/>
      <w:lang w:bidi="th-TH"/>
    </w:rPr>
  </w:style>
  <w:style w:type="paragraph" w:styleId="Heading3">
    <w:name w:val="heading 3"/>
    <w:basedOn w:val="Normal"/>
    <w:next w:val="Normal"/>
    <w:link w:val="Heading3Char"/>
    <w:uiPriority w:val="9"/>
    <w:unhideWhenUsed/>
    <w:qFormat/>
    <w:rsid w:val="00011906"/>
    <w:pPr>
      <w:keepNext/>
      <w:keepLines/>
      <w:spacing w:before="40" w:after="0"/>
      <w:outlineLvl w:val="2"/>
    </w:pPr>
    <w:rPr>
      <w:rFonts w:eastAsiaTheme="majorEastAsia" w:cstheme="majorBidi"/>
      <w:i/>
      <w:sz w:val="22"/>
      <w:szCs w:val="24"/>
      <w:u w:val="single"/>
      <w:lang w:bidi="th-TH"/>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6555"/>
    <w:rPr>
      <w:rFonts w:ascii="Times New Roman" w:eastAsiaTheme="majorEastAsia" w:hAnsi="Times New Roman" w:cstheme="majorBidi"/>
      <w:b/>
      <w:bCs/>
      <w:color w:val="000000" w:themeColor="text1"/>
      <w:sz w:val="28"/>
      <w:szCs w:val="25"/>
    </w:rPr>
  </w:style>
  <w:style w:type="character" w:customStyle="1" w:styleId="Heading2Char">
    <w:name w:val="Heading 2 Char"/>
    <w:basedOn w:val="DefaultParagraphFont"/>
    <w:link w:val="Heading2"/>
    <w:uiPriority w:val="9"/>
    <w:rsid w:val="004E1895"/>
    <w:rPr>
      <w:rFonts w:ascii="Times New Roman" w:eastAsiaTheme="majorEastAsia" w:hAnsi="Times New Roman" w:cstheme="majorBidi"/>
      <w:b/>
      <w:color w:val="000000" w:themeColor="text1"/>
      <w:sz w:val="26"/>
      <w:szCs w:val="23"/>
    </w:rPr>
  </w:style>
  <w:style w:type="character" w:customStyle="1" w:styleId="Heading3Char">
    <w:name w:val="Heading 3 Char"/>
    <w:basedOn w:val="DefaultParagraphFont"/>
    <w:link w:val="Heading3"/>
    <w:uiPriority w:val="9"/>
    <w:rsid w:val="00011906"/>
    <w:rPr>
      <w:rFonts w:ascii="Times New Roman" w:eastAsiaTheme="majorEastAsia" w:hAnsi="Times New Roman" w:cstheme="majorBidi"/>
      <w:i/>
      <w:color w:val="000000" w:themeColor="text1"/>
      <w:kern w:val="0"/>
      <w:szCs w:val="24"/>
      <w:u w:val="single"/>
      <w14:ligatures w14:val="none"/>
    </w:rPr>
  </w:style>
  <w:style w:type="paragraph" w:styleId="Header">
    <w:name w:val="header"/>
    <w:basedOn w:val="Normal"/>
    <w:link w:val="HeaderChar"/>
    <w:uiPriority w:val="99"/>
    <w:unhideWhenUsed/>
    <w:rsid w:val="00E52F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52F63"/>
    <w:rPr>
      <w:rFonts w:ascii="Times New Roman" w:hAnsi="Times New Roman"/>
      <w:color w:val="000000" w:themeColor="text1"/>
      <w:sz w:val="24"/>
      <w:szCs w:val="22"/>
      <w:lang w:val="en-IN" w:bidi="ar-SA"/>
    </w:rPr>
  </w:style>
  <w:style w:type="paragraph" w:styleId="Footer">
    <w:name w:val="footer"/>
    <w:basedOn w:val="Normal"/>
    <w:link w:val="FooterChar"/>
    <w:uiPriority w:val="99"/>
    <w:unhideWhenUsed/>
    <w:rsid w:val="00E52F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52F63"/>
    <w:rPr>
      <w:rFonts w:ascii="Times New Roman" w:hAnsi="Times New Roman"/>
      <w:color w:val="000000" w:themeColor="text1"/>
      <w:sz w:val="24"/>
      <w:szCs w:val="22"/>
      <w:lang w:val="en-IN" w:bidi="ar-SA"/>
    </w:rPr>
  </w:style>
  <w:style w:type="paragraph" w:styleId="NormalWeb">
    <w:name w:val="Normal (Web)"/>
    <w:basedOn w:val="Normal"/>
    <w:uiPriority w:val="99"/>
    <w:semiHidden/>
    <w:unhideWhenUsed/>
    <w:rsid w:val="00565248"/>
    <w:pPr>
      <w:spacing w:before="100" w:beforeAutospacing="1" w:after="100" w:afterAutospacing="1" w:line="240" w:lineRule="auto"/>
      <w:jc w:val="left"/>
    </w:pPr>
    <w:rPr>
      <w:rFonts w:eastAsia="Times New Roman" w:cs="Times New Roman"/>
      <w:color w:val="auto"/>
      <w:kern w:val="0"/>
      <w:szCs w:val="24"/>
      <w:lang w:val="en-US"/>
      <w14:ligatures w14:val="none"/>
    </w:rPr>
  </w:style>
  <w:style w:type="paragraph" w:styleId="z-TopofForm">
    <w:name w:val="HTML Top of Form"/>
    <w:basedOn w:val="Normal"/>
    <w:next w:val="Normal"/>
    <w:link w:val="z-TopofFormChar"/>
    <w:hidden/>
    <w:uiPriority w:val="99"/>
    <w:semiHidden/>
    <w:unhideWhenUsed/>
    <w:rsid w:val="00565248"/>
    <w:pPr>
      <w:pBdr>
        <w:bottom w:val="single" w:sz="6" w:space="1" w:color="auto"/>
      </w:pBdr>
      <w:spacing w:after="0" w:line="240" w:lineRule="auto"/>
      <w:jc w:val="center"/>
    </w:pPr>
    <w:rPr>
      <w:rFonts w:ascii="Arial" w:eastAsia="Times New Roman" w:hAnsi="Arial" w:cs="Arial"/>
      <w:vanish/>
      <w:color w:val="auto"/>
      <w:kern w:val="0"/>
      <w:sz w:val="16"/>
      <w:szCs w:val="16"/>
      <w:lang w:val="en-US"/>
      <w14:ligatures w14:val="none"/>
    </w:rPr>
  </w:style>
  <w:style w:type="character" w:customStyle="1" w:styleId="z-TopofFormChar">
    <w:name w:val="z-Top of Form Char"/>
    <w:basedOn w:val="DefaultParagraphFont"/>
    <w:link w:val="z-TopofForm"/>
    <w:uiPriority w:val="99"/>
    <w:semiHidden/>
    <w:rsid w:val="00565248"/>
    <w:rPr>
      <w:rFonts w:ascii="Arial" w:eastAsia="Times New Roman" w:hAnsi="Arial" w:cs="Arial"/>
      <w:vanish/>
      <w:kern w:val="0"/>
      <w:sz w:val="16"/>
      <w:szCs w:val="16"/>
      <w:lang w:bidi="ar-SA"/>
      <w14:ligatures w14:val="none"/>
    </w:rPr>
  </w:style>
  <w:style w:type="table" w:styleId="ListTable7Colorful-Accent6">
    <w:name w:val="List Table 7 Colorful Accent 6"/>
    <w:basedOn w:val="TableNormal"/>
    <w:uiPriority w:val="52"/>
    <w:rsid w:val="00B007F0"/>
    <w:pPr>
      <w:spacing w:after="0" w:line="240" w:lineRule="auto"/>
    </w:pPr>
    <w:rPr>
      <w:rFonts w:eastAsia="Calibri"/>
      <w:color w:val="538135" w:themeColor="accent6" w:themeShade="BF"/>
      <w:kern w:val="0"/>
      <w:szCs w:val="22"/>
      <w:lang w:bidi="ar-SA"/>
      <w14:ligatures w14:val="none"/>
    </w:rPr>
    <w:tblPr>
      <w:tblStyleRowBandSize w:val="1"/>
      <w:tblStyleColBandSize w:val="1"/>
    </w:tblPr>
    <w:tblStylePr w:type="firstRow">
      <w:rPr>
        <w:rFonts w:asciiTheme="majorHAnsi" w:eastAsiaTheme="majorEastAsia" w:hAnsiTheme="majorHAnsi" w:cstheme="majorBidi" w:hint="default"/>
        <w:i/>
        <w:iCs/>
        <w:sz w:val="26"/>
        <w:szCs w:val="26"/>
      </w:rPr>
      <w:tblPr/>
      <w:tcPr>
        <w:tcBorders>
          <w:bottom w:val="single" w:sz="4" w:space="0" w:color="70AD47" w:themeColor="accent6"/>
        </w:tcBorders>
        <w:shd w:val="clear" w:color="auto" w:fill="FFFFFF" w:themeFill="background1"/>
      </w:tcPr>
    </w:tblStylePr>
    <w:tblStylePr w:type="lastRow">
      <w:rPr>
        <w:rFonts w:asciiTheme="majorHAnsi" w:eastAsiaTheme="majorEastAsia" w:hAnsiTheme="majorHAnsi" w:cstheme="majorBidi" w:hint="default"/>
        <w:i/>
        <w:iCs/>
        <w:sz w:val="26"/>
        <w:szCs w:val="26"/>
      </w:rPr>
      <w:tblPr/>
      <w:tcPr>
        <w:tcBorders>
          <w:top w:val="single" w:sz="4" w:space="0" w:color="70AD47" w:themeColor="accent6"/>
        </w:tcBorders>
        <w:shd w:val="clear" w:color="auto" w:fill="FFFFFF" w:themeFill="background1"/>
      </w:tcPr>
    </w:tblStylePr>
    <w:tblStylePr w:type="firstCol">
      <w:pPr>
        <w:jc w:val="right"/>
      </w:pPr>
      <w:rPr>
        <w:rFonts w:asciiTheme="majorHAnsi" w:eastAsiaTheme="majorEastAsia" w:hAnsiTheme="majorHAnsi" w:cstheme="majorBidi" w:hint="default"/>
        <w:i/>
        <w:iCs/>
        <w:sz w:val="26"/>
        <w:szCs w:val="26"/>
      </w:rPr>
      <w:tblPr/>
      <w:tcPr>
        <w:tcBorders>
          <w:right w:val="single" w:sz="4" w:space="0" w:color="70AD47" w:themeColor="accent6"/>
        </w:tcBorders>
        <w:shd w:val="clear" w:color="auto" w:fill="FFFFFF" w:themeFill="background1"/>
      </w:tcPr>
    </w:tblStylePr>
    <w:tblStylePr w:type="lastCol">
      <w:rPr>
        <w:rFonts w:asciiTheme="majorHAnsi" w:eastAsiaTheme="majorEastAsia" w:hAnsiTheme="majorHAnsi" w:cstheme="majorBidi" w:hint="default"/>
        <w:i/>
        <w:iCs/>
        <w:sz w:val="26"/>
        <w:szCs w:val="26"/>
      </w:rPr>
      <w:tblPr/>
      <w:tcPr>
        <w:tcBorders>
          <w:left w:val="single" w:sz="4" w:space="0" w:color="70AD47" w:themeColor="accent6"/>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leGrid">
    <w:name w:val="Table Grid"/>
    <w:basedOn w:val="TableNormal"/>
    <w:uiPriority w:val="39"/>
    <w:rsid w:val="00195AB4"/>
    <w:pPr>
      <w:spacing w:after="0" w:line="240" w:lineRule="auto"/>
    </w:pPr>
    <w:rPr>
      <w:rFonts w:eastAsia="Calibri"/>
      <w:kern w:val="0"/>
      <w:szCs w:val="22"/>
      <w:lang w:bidi="ar-SA"/>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1C442E"/>
  </w:style>
  <w:style w:type="character" w:styleId="Hyperlink">
    <w:name w:val="Hyperlink"/>
    <w:basedOn w:val="DefaultParagraphFont"/>
    <w:uiPriority w:val="99"/>
    <w:unhideWhenUsed/>
    <w:rsid w:val="001C442E"/>
    <w:rPr>
      <w:color w:val="0563C1" w:themeColor="hyperlink"/>
      <w:u w:val="single"/>
    </w:rPr>
  </w:style>
  <w:style w:type="character" w:styleId="UnresolvedMention">
    <w:name w:val="Unresolved Mention"/>
    <w:basedOn w:val="DefaultParagraphFont"/>
    <w:uiPriority w:val="99"/>
    <w:semiHidden/>
    <w:unhideWhenUsed/>
    <w:rsid w:val="001C442E"/>
    <w:rPr>
      <w:color w:val="605E5C"/>
      <w:shd w:val="clear" w:color="auto" w:fill="E1DFDD"/>
    </w:rPr>
  </w:style>
  <w:style w:type="paragraph" w:styleId="TOCHeading">
    <w:name w:val="TOC Heading"/>
    <w:basedOn w:val="Heading1"/>
    <w:next w:val="Normal"/>
    <w:uiPriority w:val="39"/>
    <w:unhideWhenUsed/>
    <w:qFormat/>
    <w:rsid w:val="005229E7"/>
    <w:pPr>
      <w:spacing w:before="240" w:line="259" w:lineRule="auto"/>
      <w:jc w:val="left"/>
      <w:outlineLvl w:val="9"/>
    </w:pPr>
    <w:rPr>
      <w:rFonts w:asciiTheme="majorHAnsi" w:hAnsiTheme="majorHAnsi"/>
      <w:b w:val="0"/>
      <w:bCs w:val="0"/>
      <w:color w:val="2F5496" w:themeColor="accent1" w:themeShade="BF"/>
      <w:kern w:val="0"/>
      <w:sz w:val="32"/>
      <w:szCs w:val="32"/>
      <w:lang w:val="en-US" w:bidi="ar-SA"/>
      <w14:ligatures w14:val="none"/>
    </w:rPr>
  </w:style>
  <w:style w:type="paragraph" w:styleId="TOC1">
    <w:name w:val="toc 1"/>
    <w:basedOn w:val="Normal"/>
    <w:next w:val="Normal"/>
    <w:autoRedefine/>
    <w:uiPriority w:val="39"/>
    <w:unhideWhenUsed/>
    <w:rsid w:val="005229E7"/>
    <w:pPr>
      <w:spacing w:after="100"/>
    </w:pPr>
  </w:style>
  <w:style w:type="paragraph" w:styleId="TOC2">
    <w:name w:val="toc 2"/>
    <w:basedOn w:val="Normal"/>
    <w:next w:val="Normal"/>
    <w:autoRedefine/>
    <w:uiPriority w:val="39"/>
    <w:unhideWhenUsed/>
    <w:rsid w:val="005229E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3394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acc2224</b:Tag>
    <b:SourceType>InternetSite</b:SourceType>
    <b:Guid>{D6F91C54-9FB9-43DE-BC42-99E12E3D00EF}</b:Guid>
    <b:Author>
      <b:Author>
        <b:Corporate>accountingtools</b:Corporate>
      </b:Author>
    </b:Author>
    <b:Title>Inventory turnover definition</b:Title>
    <b:Year>2022</b:Year>
    <b:URL>https://www.accountingtools.com/articles/what-is-inventory-turnover.html#:~:text=By%20using%20the%20days%20sales,multiply%20the%20result%20by%20365.</b:URL>
    <b:YearAccessed>2023</b:YearAccessed>
    <b:MonthAccessed>November</b:MonthAccessed>
    <b:DayAccessed>20</b:DayAccessed>
    <b:RefOrder>1</b:RefOrder>
  </b:Source>
  <b:Source>
    <b:Tag>cor20</b:Tag>
    <b:SourceType>InternetSite</b:SourceType>
    <b:Guid>{D33D1470-A9A5-4F1E-BD70-833220B2FFF1}</b:Guid>
    <b:Author>
      <b:Author>
        <b:Corporate>corporatefinanceinstitute</b:Corporate>
      </b:Author>
    </b:Author>
    <b:Title>Gearing</b:Title>
    <b:Year>2022</b:Year>
    <b:URL>https://corporatefinanceinstitute.com/resources/knowledge/finance/gearing/</b:URL>
    <b:YearAccessed>2023</b:YearAccessed>
    <b:MonthAccessed>November</b:MonthAccessed>
    <b:DayAccessed>20'</b:DayAccessed>
    <b:RefOrder>2</b:RefOrder>
  </b:Source>
  <b:Source>
    <b:Tag>BBC2214</b:Tag>
    <b:SourceType>InternetSite</b:SourceType>
    <b:Guid>{CC2C2CFA-B926-4852-B226-AFCBF39DEB04}</b:Guid>
    <b:Author>
      <b:Author>
        <b:Corporate>BBC</b:Corporate>
      </b:Author>
    </b:Author>
    <b:Title>Revenue, cost and profit</b:Title>
    <b:Year>2022</b:Year>
    <b:URL>https://www.bbc.co.uk/bitesize/guides/zxq2hyc/revision/2</b:URL>
    <b:YearAccessed>2023</b:YearAccessed>
    <b:MonthAccessed>November</b:MonthAccessed>
    <b:DayAccessed>21</b:DayAccessed>
    <b:RefOrder>3</b:RefOrder>
  </b:Source>
  <b:Source>
    <b:Tag>cor224</b:Tag>
    <b:SourceType>InternetSite</b:SourceType>
    <b:Guid>{5A1AC1F5-75F3-48B6-82B1-2A91C5F55F92}</b:Guid>
    <b:Author>
      <b:Author>
        <b:Corporate>corporatefinanceinstitute</b:Corporate>
      </b:Author>
    </b:Author>
    <b:Title>Interest Coverage Ratio</b:Title>
    <b:Year>2022</b:Year>
    <b:URL>https://corporatefinanceinstitute.com/resources/knowledge/finance/interest-coverage-ratio/</b:URL>
    <b:YearAccessed>2023</b:YearAccessed>
    <b:MonthAccessed>November</b:MonthAccessed>
    <b:DayAccessed>20</b:DayAccessed>
    <b:RefOrder>4</b:RefOrder>
  </b:Source>
  <b:Source>
    <b:Tag>cor223</b:Tag>
    <b:SourceType>InternetSite</b:SourceType>
    <b:Guid>{12E35491-42F8-4C8B-B7DE-0E1E5A9EE64D}</b:Guid>
    <b:Author>
      <b:Author>
        <b:Corporate>corporatefinanceinstitute</b:Corporate>
      </b:Author>
    </b:Author>
    <b:Title>Current Ratio Formula</b:Title>
    <b:Year>2022</b:Year>
    <b:URL>https://corporatefinanceinstitute.com/resources/knowledge/finance/current-ratio-formula/</b:URL>
    <b:RefOrder>5</b:RefOrder>
  </b:Source>
  <b:Source xmlns:b="http://schemas.openxmlformats.org/officeDocument/2006/bibliography">
    <b:Tag>BBC2212</b:Tag>
    <b:SourceType>InternetSite</b:SourceType>
    <b:Guid>{1B738C68-D1F0-48DE-B623-3EE42022075E}</b:Guid>
    <b:Author>
      <b:Author>
        <b:Corporate>BBC</b:Corporate>
      </b:Author>
    </b:Author>
    <b:Title>Financial records</b:Title>
    <b:Year>2022</b:Year>
    <b:URL>https://www.bbc.co.uk/bitesize/guides/zhm6sbk/revision/2</b:URL>
    <b:YearAccessed>2023</b:YearAccessed>
    <b:MonthAccessed>November</b:MonthAccessed>
    <b:DayAccessed>21</b:DayAccessed>
    <b:RefOrder>6</b:RefOrder>
  </b:Source>
</b:Sources>
</file>

<file path=customXml/itemProps1.xml><?xml version="1.0" encoding="utf-8"?>
<ds:datastoreItem xmlns:ds="http://schemas.openxmlformats.org/officeDocument/2006/customXml" ds:itemID="{8468F4B8-7678-473B-B9B7-95AF6D5962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3529</Words>
  <Characters>20116</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2023-12-20T10:23:00Z</dcterms:created>
  <dcterms:modified xsi:type="dcterms:W3CDTF">2023-12-20T10:50:00Z</dcterms:modified>
</cp:coreProperties>
</file>