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imes New Roman"/>
          <w:lang w:eastAsia="en-GB"/>
        </w:rPr>
        <w:id w:val="-1553067516"/>
        <w:docPartObj>
          <w:docPartGallery w:val="Cover Pages"/>
          <w:docPartUnique/>
        </w:docPartObj>
      </w:sdtPr>
      <w:sdtContent>
        <w:p w14:paraId="43655058" w14:textId="7B0E2214" w:rsidR="007C1ADF" w:rsidRDefault="007F4098">
          <w:pPr>
            <w:rPr>
              <w:rFonts w:asciiTheme="majorHAnsi" w:eastAsia="Times New Roman" w:hAnsiTheme="majorHAnsi" w:cstheme="majorBidi"/>
              <w:color w:val="2E74B5" w:themeColor="accent1" w:themeShade="BF"/>
              <w:sz w:val="40"/>
              <w:szCs w:val="40"/>
              <w:lang w:eastAsia="en-GB"/>
            </w:rPr>
          </w:pPr>
          <w:r>
            <w:rPr>
              <w:rFonts w:eastAsia="Times New Roman"/>
              <w:noProof/>
              <w:lang w:eastAsia="en-GB"/>
            </w:rPr>
            <w:drawing>
              <wp:anchor distT="0" distB="0" distL="114300" distR="114300" simplePos="0" relativeHeight="251660288" behindDoc="0" locked="0" layoutInCell="1" allowOverlap="1" wp14:anchorId="464C1CDB" wp14:editId="3C5A5543">
                <wp:simplePos x="0" y="0"/>
                <wp:positionH relativeFrom="margin">
                  <wp:posOffset>-476250</wp:posOffset>
                </wp:positionH>
                <wp:positionV relativeFrom="paragraph">
                  <wp:posOffset>1885950</wp:posOffset>
                </wp:positionV>
                <wp:extent cx="3014451" cy="2009775"/>
                <wp:effectExtent l="0" t="0" r="0" b="0"/>
                <wp:wrapNone/>
                <wp:docPr id="10750768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14451" cy="2009775"/>
                        </a:xfrm>
                        <a:prstGeom prst="rect">
                          <a:avLst/>
                        </a:prstGeom>
                        <a:noFill/>
                      </pic:spPr>
                    </pic:pic>
                  </a:graphicData>
                </a:graphic>
                <wp14:sizeRelH relativeFrom="page">
                  <wp14:pctWidth>0</wp14:pctWidth>
                </wp14:sizeRelH>
                <wp14:sizeRelV relativeFrom="page">
                  <wp14:pctHeight>0</wp14:pctHeight>
                </wp14:sizeRelV>
              </wp:anchor>
            </w:drawing>
          </w:r>
          <w:r w:rsidR="007C1ADF" w:rsidRPr="007C1ADF">
            <w:rPr>
              <w:rFonts w:eastAsia="Times New Roman"/>
              <w:noProof/>
              <w:lang w:eastAsia="en-GB"/>
            </w:rPr>
            <mc:AlternateContent>
              <mc:Choice Requires="wps">
                <w:drawing>
                  <wp:anchor distT="0" distB="0" distL="114300" distR="114300" simplePos="0" relativeHeight="251659264" behindDoc="0" locked="0" layoutInCell="1" allowOverlap="1" wp14:anchorId="7D915B46" wp14:editId="683E56C5">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79"/>
                                  <w:gridCol w:w="1840"/>
                                </w:tblGrid>
                                <w:tr w:rsidR="007C1ADF" w14:paraId="07C90BDE" w14:textId="77777777">
                                  <w:trPr>
                                    <w:jc w:val="center"/>
                                  </w:trPr>
                                  <w:tc>
                                    <w:tcPr>
                                      <w:tcW w:w="2568" w:type="pct"/>
                                      <w:vAlign w:val="center"/>
                                    </w:tcPr>
                                    <w:p w14:paraId="353A26E7" w14:textId="6FEEBD33" w:rsidR="007C1ADF" w:rsidRDefault="007F4098">
                                      <w:pPr>
                                        <w:jc w:val="right"/>
                                      </w:pPr>
                                      <w:r>
                                        <w:rPr>
                                          <w:noProof/>
                                        </w:rPr>
                                        <mc:AlternateContent>
                                          <mc:Choice Requires="wps">
                                            <w:drawing>
                                              <wp:inline distT="0" distB="0" distL="0" distR="0" wp14:anchorId="40FEC715" wp14:editId="22F6C4F5">
                                                <wp:extent cx="304800" cy="304800"/>
                                                <wp:effectExtent l="0" t="0" r="0" b="0"/>
                                                <wp:docPr id="1265253788" name="Rectangle 1" descr="Site Management (Online Course) - Master Builders Association of NS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F1841F" id="Rectangle 1" o:spid="_x0000_s1026" alt="Site Management (Online Course) - Master Builders Association of NS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dt>
                                      <w:sdtPr>
                                        <w:rPr>
                                          <w:caps/>
                                          <w:color w:val="5B9BD5"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2F33041" w14:textId="43C68436" w:rsidR="007C1ADF" w:rsidRDefault="007F4098" w:rsidP="007C1ADF">
                                          <w:pPr>
                                            <w:pStyle w:val="NoSpacing"/>
                                            <w:spacing w:line="312" w:lineRule="auto"/>
                                            <w:rPr>
                                              <w:caps/>
                                              <w:color w:val="191919" w:themeColor="text1" w:themeTint="E6"/>
                                              <w:sz w:val="72"/>
                                              <w:szCs w:val="72"/>
                                            </w:rPr>
                                          </w:pPr>
                                          <w:r>
                                            <w:rPr>
                                              <w:caps/>
                                              <w:color w:val="5B9BD5" w:themeColor="accent1"/>
                                              <w:sz w:val="72"/>
                                              <w:szCs w:val="72"/>
                                            </w:rPr>
                                            <w:t xml:space="preserve">                                          </w:t>
                                          </w:r>
                                          <w:r w:rsidR="007C1ADF" w:rsidRPr="007C1ADF">
                                            <w:rPr>
                                              <w:caps/>
                                              <w:color w:val="5B9BD5" w:themeColor="accent1"/>
                                              <w:sz w:val="72"/>
                                              <w:szCs w:val="72"/>
                                            </w:rPr>
                                            <w:t>Site management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68EFA45" w14:textId="31DA1F73" w:rsidR="007C1ADF" w:rsidRDefault="007C1ADF">
                                          <w:pPr>
                                            <w:jc w:val="right"/>
                                            <w:rPr>
                                              <w:sz w:val="24"/>
                                              <w:szCs w:val="24"/>
                                            </w:rPr>
                                          </w:pPr>
                                          <w:r>
                                            <w:rPr>
                                              <w:color w:val="000000" w:themeColor="text1"/>
                                              <w:sz w:val="24"/>
                                              <w:szCs w:val="24"/>
                                            </w:rPr>
                                            <w:t xml:space="preserve">     </w:t>
                                          </w:r>
                                        </w:p>
                                      </w:sdtContent>
                                    </w:sdt>
                                  </w:tc>
                                  <w:tc>
                                    <w:tcPr>
                                      <w:tcW w:w="2432" w:type="pct"/>
                                      <w:vAlign w:val="center"/>
                                    </w:tcPr>
                                    <w:sdt>
                                      <w:sdtPr>
                                        <w:rPr>
                                          <w:color w:val="5B9BD5" w:themeColor="accent1"/>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EFDD2E" w14:textId="1CEE1609" w:rsidR="007C1ADF" w:rsidRPr="007C1ADF" w:rsidRDefault="007C1ADF">
                                          <w:pPr>
                                            <w:pStyle w:val="NoSpacing"/>
                                            <w:rPr>
                                              <w:color w:val="5B9BD5" w:themeColor="accent1"/>
                                              <w:sz w:val="32"/>
                                              <w:szCs w:val="32"/>
                                            </w:rPr>
                                          </w:pPr>
                                          <w:r w:rsidRPr="007C1ADF">
                                            <w:rPr>
                                              <w:color w:val="5B9BD5" w:themeColor="accent1"/>
                                              <w:sz w:val="32"/>
                                              <w:szCs w:val="32"/>
                                            </w:rPr>
                                            <w:t>Sean Bamber</w:t>
                                          </w:r>
                                        </w:p>
                                      </w:sdtContent>
                                    </w:sdt>
                                    <w:p w14:paraId="1104FF76" w14:textId="79936332" w:rsidR="007C1ADF" w:rsidRDefault="007C1AD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Assignment 2</w:t>
                                          </w:r>
                                        </w:sdtContent>
                                      </w:sdt>
                                    </w:p>
                                  </w:tc>
                                </w:tr>
                              </w:tbl>
                              <w:p w14:paraId="46D8E764" w14:textId="77777777" w:rsidR="007C1ADF" w:rsidRDefault="007C1AD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915B46"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79"/>
                            <w:gridCol w:w="1840"/>
                          </w:tblGrid>
                          <w:tr w:rsidR="007C1ADF" w14:paraId="07C90BDE" w14:textId="77777777">
                            <w:trPr>
                              <w:jc w:val="center"/>
                            </w:trPr>
                            <w:tc>
                              <w:tcPr>
                                <w:tcW w:w="2568" w:type="pct"/>
                                <w:vAlign w:val="center"/>
                              </w:tcPr>
                              <w:p w14:paraId="353A26E7" w14:textId="6FEEBD33" w:rsidR="007C1ADF" w:rsidRDefault="007F4098">
                                <w:pPr>
                                  <w:jc w:val="right"/>
                                </w:pPr>
                                <w:r>
                                  <w:rPr>
                                    <w:noProof/>
                                  </w:rPr>
                                  <mc:AlternateContent>
                                    <mc:Choice Requires="wps">
                                      <w:drawing>
                                        <wp:inline distT="0" distB="0" distL="0" distR="0" wp14:anchorId="40FEC715" wp14:editId="22F6C4F5">
                                          <wp:extent cx="304800" cy="304800"/>
                                          <wp:effectExtent l="0" t="0" r="0" b="0"/>
                                          <wp:docPr id="1265253788" name="Rectangle 1" descr="Site Management (Online Course) - Master Builders Association of NS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9F53CA" id="Rectangle 1" o:spid="_x0000_s1026" alt="Site Management (Online Course) - Master Builders Association of NS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dt>
                                <w:sdtPr>
                                  <w:rPr>
                                    <w:caps/>
                                    <w:color w:val="5B9BD5"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2F33041" w14:textId="43C68436" w:rsidR="007C1ADF" w:rsidRDefault="007F4098" w:rsidP="007C1ADF">
                                    <w:pPr>
                                      <w:pStyle w:val="NoSpacing"/>
                                      <w:spacing w:line="312" w:lineRule="auto"/>
                                      <w:rPr>
                                        <w:caps/>
                                        <w:color w:val="191919" w:themeColor="text1" w:themeTint="E6"/>
                                        <w:sz w:val="72"/>
                                        <w:szCs w:val="72"/>
                                      </w:rPr>
                                    </w:pPr>
                                    <w:r>
                                      <w:rPr>
                                        <w:caps/>
                                        <w:color w:val="5B9BD5" w:themeColor="accent1"/>
                                        <w:sz w:val="72"/>
                                        <w:szCs w:val="72"/>
                                      </w:rPr>
                                      <w:t xml:space="preserve">                                          </w:t>
                                    </w:r>
                                    <w:r w:rsidR="007C1ADF" w:rsidRPr="007C1ADF">
                                      <w:rPr>
                                        <w:caps/>
                                        <w:color w:val="5B9BD5" w:themeColor="accent1"/>
                                        <w:sz w:val="72"/>
                                        <w:szCs w:val="72"/>
                                      </w:rPr>
                                      <w:t>Site management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68EFA45" w14:textId="31DA1F73" w:rsidR="007C1ADF" w:rsidRDefault="007C1ADF">
                                    <w:pPr>
                                      <w:jc w:val="right"/>
                                      <w:rPr>
                                        <w:sz w:val="24"/>
                                        <w:szCs w:val="24"/>
                                      </w:rPr>
                                    </w:pPr>
                                    <w:r>
                                      <w:rPr>
                                        <w:color w:val="000000" w:themeColor="text1"/>
                                        <w:sz w:val="24"/>
                                        <w:szCs w:val="24"/>
                                      </w:rPr>
                                      <w:t xml:space="preserve">     </w:t>
                                    </w:r>
                                  </w:p>
                                </w:sdtContent>
                              </w:sdt>
                            </w:tc>
                            <w:tc>
                              <w:tcPr>
                                <w:tcW w:w="2432" w:type="pct"/>
                                <w:vAlign w:val="center"/>
                              </w:tcPr>
                              <w:sdt>
                                <w:sdtPr>
                                  <w:rPr>
                                    <w:color w:val="5B9BD5" w:themeColor="accent1"/>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EFDD2E" w14:textId="1CEE1609" w:rsidR="007C1ADF" w:rsidRPr="007C1ADF" w:rsidRDefault="007C1ADF">
                                    <w:pPr>
                                      <w:pStyle w:val="NoSpacing"/>
                                      <w:rPr>
                                        <w:color w:val="5B9BD5" w:themeColor="accent1"/>
                                        <w:sz w:val="32"/>
                                        <w:szCs w:val="32"/>
                                      </w:rPr>
                                    </w:pPr>
                                    <w:r w:rsidRPr="007C1ADF">
                                      <w:rPr>
                                        <w:color w:val="5B9BD5" w:themeColor="accent1"/>
                                        <w:sz w:val="32"/>
                                        <w:szCs w:val="32"/>
                                      </w:rPr>
                                      <w:t>Sean Bamber</w:t>
                                    </w:r>
                                  </w:p>
                                </w:sdtContent>
                              </w:sdt>
                              <w:p w14:paraId="1104FF76" w14:textId="79936332" w:rsidR="007C1ADF" w:rsidRDefault="007C1AD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Assignment 2</w:t>
                                    </w:r>
                                  </w:sdtContent>
                                </w:sdt>
                              </w:p>
                            </w:tc>
                          </w:tr>
                        </w:tbl>
                        <w:p w14:paraId="46D8E764" w14:textId="77777777" w:rsidR="007C1ADF" w:rsidRDefault="007C1ADF"/>
                      </w:txbxContent>
                    </v:textbox>
                    <w10:wrap anchorx="page" anchory="page"/>
                  </v:shape>
                </w:pict>
              </mc:Fallback>
            </mc:AlternateContent>
          </w:r>
          <w:r w:rsidR="007C1ADF">
            <w:rPr>
              <w:rFonts w:eastAsia="Times New Roman"/>
              <w:lang w:eastAsia="en-GB"/>
            </w:rPr>
            <w:br w:type="page"/>
          </w:r>
        </w:p>
      </w:sdtContent>
    </w:sdt>
    <w:sdt>
      <w:sdtPr>
        <w:id w:val="-15583531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A820B3C" w14:textId="58DEEDF7" w:rsidR="007F4098" w:rsidRDefault="007F4098">
          <w:pPr>
            <w:pStyle w:val="TOCHeading"/>
          </w:pPr>
          <w:r>
            <w:t>Table of Contents</w:t>
          </w:r>
        </w:p>
        <w:p w14:paraId="67FCA845" w14:textId="38D880CF" w:rsidR="007F4098" w:rsidRDefault="007F4098">
          <w:pPr>
            <w:pStyle w:val="TOC1"/>
            <w:tabs>
              <w:tab w:val="right" w:leader="dot" w:pos="9016"/>
            </w:tabs>
            <w:rPr>
              <w:noProof/>
            </w:rPr>
          </w:pPr>
          <w:r>
            <w:fldChar w:fldCharType="begin"/>
          </w:r>
          <w:r>
            <w:instrText xml:space="preserve"> TOC \o "1-3" \h \z \u </w:instrText>
          </w:r>
          <w:r>
            <w:fldChar w:fldCharType="separate"/>
          </w:r>
          <w:hyperlink w:anchor="_Toc204170109" w:history="1">
            <w:r w:rsidRPr="00851053">
              <w:rPr>
                <w:rStyle w:val="Hyperlink"/>
                <w:rFonts w:eastAsia="Times New Roman"/>
                <w:noProof/>
                <w:lang w:eastAsia="en-GB"/>
              </w:rPr>
              <w:t>Detailed Site Plan for a Complex Residential Construction Project</w:t>
            </w:r>
            <w:r>
              <w:rPr>
                <w:noProof/>
                <w:webHidden/>
              </w:rPr>
              <w:tab/>
            </w:r>
            <w:r>
              <w:rPr>
                <w:noProof/>
                <w:webHidden/>
              </w:rPr>
              <w:fldChar w:fldCharType="begin"/>
            </w:r>
            <w:r>
              <w:rPr>
                <w:noProof/>
                <w:webHidden/>
              </w:rPr>
              <w:instrText xml:space="preserve"> PAGEREF _Toc204170109 \h </w:instrText>
            </w:r>
            <w:r>
              <w:rPr>
                <w:noProof/>
                <w:webHidden/>
              </w:rPr>
            </w:r>
            <w:r>
              <w:rPr>
                <w:noProof/>
                <w:webHidden/>
              </w:rPr>
              <w:fldChar w:fldCharType="separate"/>
            </w:r>
            <w:r>
              <w:rPr>
                <w:noProof/>
                <w:webHidden/>
              </w:rPr>
              <w:t>1</w:t>
            </w:r>
            <w:r>
              <w:rPr>
                <w:noProof/>
                <w:webHidden/>
              </w:rPr>
              <w:fldChar w:fldCharType="end"/>
            </w:r>
          </w:hyperlink>
        </w:p>
        <w:p w14:paraId="62D0529B" w14:textId="720E3CE9" w:rsidR="007F4098" w:rsidRDefault="007F4098">
          <w:pPr>
            <w:pStyle w:val="TOC1"/>
            <w:tabs>
              <w:tab w:val="right" w:leader="dot" w:pos="9016"/>
            </w:tabs>
            <w:rPr>
              <w:noProof/>
            </w:rPr>
          </w:pPr>
          <w:hyperlink w:anchor="_Toc204170110" w:history="1">
            <w:r w:rsidRPr="00851053">
              <w:rPr>
                <w:rStyle w:val="Hyperlink"/>
                <w:noProof/>
                <w:lang w:eastAsia="en-GB"/>
              </w:rPr>
              <w:t>Introduction</w:t>
            </w:r>
            <w:r>
              <w:rPr>
                <w:noProof/>
                <w:webHidden/>
              </w:rPr>
              <w:tab/>
            </w:r>
            <w:r>
              <w:rPr>
                <w:noProof/>
                <w:webHidden/>
              </w:rPr>
              <w:fldChar w:fldCharType="begin"/>
            </w:r>
            <w:r>
              <w:rPr>
                <w:noProof/>
                <w:webHidden/>
              </w:rPr>
              <w:instrText xml:space="preserve"> PAGEREF _Toc204170110 \h </w:instrText>
            </w:r>
            <w:r>
              <w:rPr>
                <w:noProof/>
                <w:webHidden/>
              </w:rPr>
            </w:r>
            <w:r>
              <w:rPr>
                <w:noProof/>
                <w:webHidden/>
              </w:rPr>
              <w:fldChar w:fldCharType="separate"/>
            </w:r>
            <w:r>
              <w:rPr>
                <w:noProof/>
                <w:webHidden/>
              </w:rPr>
              <w:t>1</w:t>
            </w:r>
            <w:r>
              <w:rPr>
                <w:noProof/>
                <w:webHidden/>
              </w:rPr>
              <w:fldChar w:fldCharType="end"/>
            </w:r>
          </w:hyperlink>
        </w:p>
        <w:p w14:paraId="6CFDE198" w14:textId="6A2C8733" w:rsidR="007F4098" w:rsidRDefault="007F4098">
          <w:pPr>
            <w:pStyle w:val="TOC2"/>
            <w:tabs>
              <w:tab w:val="right" w:leader="dot" w:pos="9016"/>
            </w:tabs>
            <w:rPr>
              <w:noProof/>
            </w:rPr>
          </w:pPr>
          <w:hyperlink w:anchor="_Toc204170111" w:history="1">
            <w:r w:rsidRPr="00851053">
              <w:rPr>
                <w:rStyle w:val="Hyperlink"/>
                <w:rFonts w:eastAsia="Times New Roman"/>
                <w:noProof/>
                <w:lang w:eastAsia="en-GB"/>
              </w:rPr>
              <w:t>Site Overview and Context</w:t>
            </w:r>
            <w:r>
              <w:rPr>
                <w:noProof/>
                <w:webHidden/>
              </w:rPr>
              <w:tab/>
            </w:r>
            <w:r>
              <w:rPr>
                <w:noProof/>
                <w:webHidden/>
              </w:rPr>
              <w:fldChar w:fldCharType="begin"/>
            </w:r>
            <w:r>
              <w:rPr>
                <w:noProof/>
                <w:webHidden/>
              </w:rPr>
              <w:instrText xml:space="preserve"> PAGEREF _Toc204170111 \h </w:instrText>
            </w:r>
            <w:r>
              <w:rPr>
                <w:noProof/>
                <w:webHidden/>
              </w:rPr>
            </w:r>
            <w:r>
              <w:rPr>
                <w:noProof/>
                <w:webHidden/>
              </w:rPr>
              <w:fldChar w:fldCharType="separate"/>
            </w:r>
            <w:r>
              <w:rPr>
                <w:noProof/>
                <w:webHidden/>
              </w:rPr>
              <w:t>2</w:t>
            </w:r>
            <w:r>
              <w:rPr>
                <w:noProof/>
                <w:webHidden/>
              </w:rPr>
              <w:fldChar w:fldCharType="end"/>
            </w:r>
          </w:hyperlink>
        </w:p>
        <w:p w14:paraId="62C46387" w14:textId="758DA287" w:rsidR="007F4098" w:rsidRDefault="007F4098">
          <w:pPr>
            <w:pStyle w:val="TOC1"/>
            <w:tabs>
              <w:tab w:val="right" w:leader="dot" w:pos="9016"/>
            </w:tabs>
            <w:rPr>
              <w:noProof/>
            </w:rPr>
          </w:pPr>
          <w:hyperlink w:anchor="_Toc204170112" w:history="1">
            <w:r w:rsidRPr="00851053">
              <w:rPr>
                <w:rStyle w:val="Hyperlink"/>
                <w:rFonts w:eastAsia="Times New Roman"/>
                <w:noProof/>
                <w:lang w:eastAsia="en-GB"/>
              </w:rPr>
              <w:t>Site Layout Strategy and Phasing</w:t>
            </w:r>
            <w:r>
              <w:rPr>
                <w:noProof/>
                <w:webHidden/>
              </w:rPr>
              <w:tab/>
            </w:r>
            <w:r>
              <w:rPr>
                <w:noProof/>
                <w:webHidden/>
              </w:rPr>
              <w:fldChar w:fldCharType="begin"/>
            </w:r>
            <w:r>
              <w:rPr>
                <w:noProof/>
                <w:webHidden/>
              </w:rPr>
              <w:instrText xml:space="preserve"> PAGEREF _Toc204170112 \h </w:instrText>
            </w:r>
            <w:r>
              <w:rPr>
                <w:noProof/>
                <w:webHidden/>
              </w:rPr>
            </w:r>
            <w:r>
              <w:rPr>
                <w:noProof/>
                <w:webHidden/>
              </w:rPr>
              <w:fldChar w:fldCharType="separate"/>
            </w:r>
            <w:r>
              <w:rPr>
                <w:noProof/>
                <w:webHidden/>
              </w:rPr>
              <w:t>3</w:t>
            </w:r>
            <w:r>
              <w:rPr>
                <w:noProof/>
                <w:webHidden/>
              </w:rPr>
              <w:fldChar w:fldCharType="end"/>
            </w:r>
          </w:hyperlink>
        </w:p>
        <w:p w14:paraId="232B0DAF" w14:textId="1EECCCBE" w:rsidR="007F4098" w:rsidRDefault="007F4098">
          <w:pPr>
            <w:pStyle w:val="TOC2"/>
            <w:tabs>
              <w:tab w:val="right" w:leader="dot" w:pos="9016"/>
            </w:tabs>
            <w:rPr>
              <w:noProof/>
            </w:rPr>
          </w:pPr>
          <w:hyperlink w:anchor="_Toc204170113" w:history="1">
            <w:r w:rsidRPr="00851053">
              <w:rPr>
                <w:rStyle w:val="Hyperlink"/>
                <w:rFonts w:eastAsia="Times New Roman"/>
                <w:noProof/>
                <w:lang w:eastAsia="en-GB"/>
              </w:rPr>
              <w:t>Traffic Management Plan</w:t>
            </w:r>
            <w:r>
              <w:rPr>
                <w:noProof/>
                <w:webHidden/>
              </w:rPr>
              <w:tab/>
            </w:r>
            <w:r>
              <w:rPr>
                <w:noProof/>
                <w:webHidden/>
              </w:rPr>
              <w:fldChar w:fldCharType="begin"/>
            </w:r>
            <w:r>
              <w:rPr>
                <w:noProof/>
                <w:webHidden/>
              </w:rPr>
              <w:instrText xml:space="preserve"> PAGEREF _Toc204170113 \h </w:instrText>
            </w:r>
            <w:r>
              <w:rPr>
                <w:noProof/>
                <w:webHidden/>
              </w:rPr>
            </w:r>
            <w:r>
              <w:rPr>
                <w:noProof/>
                <w:webHidden/>
              </w:rPr>
              <w:fldChar w:fldCharType="separate"/>
            </w:r>
            <w:r>
              <w:rPr>
                <w:noProof/>
                <w:webHidden/>
              </w:rPr>
              <w:t>3</w:t>
            </w:r>
            <w:r>
              <w:rPr>
                <w:noProof/>
                <w:webHidden/>
              </w:rPr>
              <w:fldChar w:fldCharType="end"/>
            </w:r>
          </w:hyperlink>
        </w:p>
        <w:p w14:paraId="45B8ABAB" w14:textId="67AE9F6F" w:rsidR="007F4098" w:rsidRDefault="007F4098">
          <w:pPr>
            <w:pStyle w:val="TOC2"/>
            <w:tabs>
              <w:tab w:val="right" w:leader="dot" w:pos="9016"/>
            </w:tabs>
            <w:rPr>
              <w:noProof/>
            </w:rPr>
          </w:pPr>
          <w:hyperlink w:anchor="_Toc204170114" w:history="1">
            <w:r w:rsidRPr="00851053">
              <w:rPr>
                <w:rStyle w:val="Hyperlink"/>
                <w:rFonts w:eastAsia="Times New Roman"/>
                <w:noProof/>
                <w:lang w:eastAsia="en-GB"/>
              </w:rPr>
              <w:t>Health, Safety and Welfare Provision</w:t>
            </w:r>
            <w:r>
              <w:rPr>
                <w:noProof/>
                <w:webHidden/>
              </w:rPr>
              <w:tab/>
            </w:r>
            <w:r>
              <w:rPr>
                <w:noProof/>
                <w:webHidden/>
              </w:rPr>
              <w:fldChar w:fldCharType="begin"/>
            </w:r>
            <w:r>
              <w:rPr>
                <w:noProof/>
                <w:webHidden/>
              </w:rPr>
              <w:instrText xml:space="preserve"> PAGEREF _Toc204170114 \h </w:instrText>
            </w:r>
            <w:r>
              <w:rPr>
                <w:noProof/>
                <w:webHidden/>
              </w:rPr>
            </w:r>
            <w:r>
              <w:rPr>
                <w:noProof/>
                <w:webHidden/>
              </w:rPr>
              <w:fldChar w:fldCharType="separate"/>
            </w:r>
            <w:r>
              <w:rPr>
                <w:noProof/>
                <w:webHidden/>
              </w:rPr>
              <w:t>4</w:t>
            </w:r>
            <w:r>
              <w:rPr>
                <w:noProof/>
                <w:webHidden/>
              </w:rPr>
              <w:fldChar w:fldCharType="end"/>
            </w:r>
          </w:hyperlink>
        </w:p>
        <w:p w14:paraId="589EA8B2" w14:textId="4A8F35D8" w:rsidR="007F4098" w:rsidRDefault="007F4098">
          <w:pPr>
            <w:pStyle w:val="TOC2"/>
            <w:tabs>
              <w:tab w:val="right" w:leader="dot" w:pos="9016"/>
            </w:tabs>
            <w:rPr>
              <w:noProof/>
            </w:rPr>
          </w:pPr>
          <w:hyperlink w:anchor="_Toc204170115" w:history="1">
            <w:r w:rsidRPr="00851053">
              <w:rPr>
                <w:rStyle w:val="Hyperlink"/>
                <w:rFonts w:eastAsia="Times New Roman"/>
                <w:noProof/>
                <w:lang w:eastAsia="en-GB"/>
              </w:rPr>
              <w:t>Environmental Considerations</w:t>
            </w:r>
            <w:r>
              <w:rPr>
                <w:noProof/>
                <w:webHidden/>
              </w:rPr>
              <w:tab/>
            </w:r>
            <w:r>
              <w:rPr>
                <w:noProof/>
                <w:webHidden/>
              </w:rPr>
              <w:fldChar w:fldCharType="begin"/>
            </w:r>
            <w:r>
              <w:rPr>
                <w:noProof/>
                <w:webHidden/>
              </w:rPr>
              <w:instrText xml:space="preserve"> PAGEREF _Toc204170115 \h </w:instrText>
            </w:r>
            <w:r>
              <w:rPr>
                <w:noProof/>
                <w:webHidden/>
              </w:rPr>
            </w:r>
            <w:r>
              <w:rPr>
                <w:noProof/>
                <w:webHidden/>
              </w:rPr>
              <w:fldChar w:fldCharType="separate"/>
            </w:r>
            <w:r>
              <w:rPr>
                <w:noProof/>
                <w:webHidden/>
              </w:rPr>
              <w:t>4</w:t>
            </w:r>
            <w:r>
              <w:rPr>
                <w:noProof/>
                <w:webHidden/>
              </w:rPr>
              <w:fldChar w:fldCharType="end"/>
            </w:r>
          </w:hyperlink>
        </w:p>
        <w:p w14:paraId="59BA8BE1" w14:textId="7E28B73C" w:rsidR="007F4098" w:rsidRDefault="007F4098">
          <w:pPr>
            <w:pStyle w:val="TOC2"/>
            <w:tabs>
              <w:tab w:val="right" w:leader="dot" w:pos="9016"/>
            </w:tabs>
            <w:rPr>
              <w:noProof/>
            </w:rPr>
          </w:pPr>
          <w:hyperlink w:anchor="_Toc204170116" w:history="1">
            <w:r w:rsidRPr="00851053">
              <w:rPr>
                <w:rStyle w:val="Hyperlink"/>
                <w:rFonts w:eastAsia="Times New Roman"/>
                <w:noProof/>
                <w:lang w:eastAsia="en-GB"/>
              </w:rPr>
              <w:t>Layout Drawing Description</w:t>
            </w:r>
            <w:r>
              <w:rPr>
                <w:noProof/>
                <w:webHidden/>
              </w:rPr>
              <w:tab/>
            </w:r>
            <w:r>
              <w:rPr>
                <w:noProof/>
                <w:webHidden/>
              </w:rPr>
              <w:fldChar w:fldCharType="begin"/>
            </w:r>
            <w:r>
              <w:rPr>
                <w:noProof/>
                <w:webHidden/>
              </w:rPr>
              <w:instrText xml:space="preserve"> PAGEREF _Toc204170116 \h </w:instrText>
            </w:r>
            <w:r>
              <w:rPr>
                <w:noProof/>
                <w:webHidden/>
              </w:rPr>
            </w:r>
            <w:r>
              <w:rPr>
                <w:noProof/>
                <w:webHidden/>
              </w:rPr>
              <w:fldChar w:fldCharType="separate"/>
            </w:r>
            <w:r>
              <w:rPr>
                <w:noProof/>
                <w:webHidden/>
              </w:rPr>
              <w:t>4</w:t>
            </w:r>
            <w:r>
              <w:rPr>
                <w:noProof/>
                <w:webHidden/>
              </w:rPr>
              <w:fldChar w:fldCharType="end"/>
            </w:r>
          </w:hyperlink>
        </w:p>
        <w:p w14:paraId="6495210F" w14:textId="58CE6968" w:rsidR="007F4098" w:rsidRDefault="007F4098">
          <w:pPr>
            <w:pStyle w:val="TOC2"/>
            <w:tabs>
              <w:tab w:val="right" w:leader="dot" w:pos="9016"/>
            </w:tabs>
            <w:rPr>
              <w:noProof/>
            </w:rPr>
          </w:pPr>
          <w:hyperlink w:anchor="_Toc204170117" w:history="1">
            <w:r w:rsidRPr="00851053">
              <w:rPr>
                <w:rStyle w:val="Hyperlink"/>
                <w:rFonts w:eastAsia="Times New Roman"/>
                <w:noProof/>
                <w:lang w:eastAsia="en-GB"/>
              </w:rPr>
              <w:t>Justification and Industry Standards</w:t>
            </w:r>
            <w:r>
              <w:rPr>
                <w:noProof/>
                <w:webHidden/>
              </w:rPr>
              <w:tab/>
            </w:r>
            <w:r>
              <w:rPr>
                <w:noProof/>
                <w:webHidden/>
              </w:rPr>
              <w:fldChar w:fldCharType="begin"/>
            </w:r>
            <w:r>
              <w:rPr>
                <w:noProof/>
                <w:webHidden/>
              </w:rPr>
              <w:instrText xml:space="preserve"> PAGEREF _Toc204170117 \h </w:instrText>
            </w:r>
            <w:r>
              <w:rPr>
                <w:noProof/>
                <w:webHidden/>
              </w:rPr>
            </w:r>
            <w:r>
              <w:rPr>
                <w:noProof/>
                <w:webHidden/>
              </w:rPr>
              <w:fldChar w:fldCharType="separate"/>
            </w:r>
            <w:r>
              <w:rPr>
                <w:noProof/>
                <w:webHidden/>
              </w:rPr>
              <w:t>4</w:t>
            </w:r>
            <w:r>
              <w:rPr>
                <w:noProof/>
                <w:webHidden/>
              </w:rPr>
              <w:fldChar w:fldCharType="end"/>
            </w:r>
          </w:hyperlink>
        </w:p>
        <w:p w14:paraId="482232FC" w14:textId="214EEC06" w:rsidR="007F4098" w:rsidRDefault="007F4098">
          <w:pPr>
            <w:pStyle w:val="TOC1"/>
            <w:tabs>
              <w:tab w:val="right" w:leader="dot" w:pos="9016"/>
            </w:tabs>
            <w:rPr>
              <w:noProof/>
            </w:rPr>
          </w:pPr>
          <w:hyperlink w:anchor="_Toc204170118" w:history="1">
            <w:r w:rsidRPr="00851053">
              <w:rPr>
                <w:rStyle w:val="Hyperlink"/>
                <w:rFonts w:eastAsia="Times New Roman"/>
                <w:noProof/>
                <w:lang w:eastAsia="en-GB"/>
              </w:rPr>
              <w:t>Risk Register for the Construction Stage</w:t>
            </w:r>
            <w:r>
              <w:rPr>
                <w:noProof/>
                <w:webHidden/>
              </w:rPr>
              <w:tab/>
            </w:r>
            <w:r>
              <w:rPr>
                <w:noProof/>
                <w:webHidden/>
              </w:rPr>
              <w:fldChar w:fldCharType="begin"/>
            </w:r>
            <w:r>
              <w:rPr>
                <w:noProof/>
                <w:webHidden/>
              </w:rPr>
              <w:instrText xml:space="preserve"> PAGEREF _Toc204170118 \h </w:instrText>
            </w:r>
            <w:r>
              <w:rPr>
                <w:noProof/>
                <w:webHidden/>
              </w:rPr>
            </w:r>
            <w:r>
              <w:rPr>
                <w:noProof/>
                <w:webHidden/>
              </w:rPr>
              <w:fldChar w:fldCharType="separate"/>
            </w:r>
            <w:r>
              <w:rPr>
                <w:noProof/>
                <w:webHidden/>
              </w:rPr>
              <w:t>5</w:t>
            </w:r>
            <w:r>
              <w:rPr>
                <w:noProof/>
                <w:webHidden/>
              </w:rPr>
              <w:fldChar w:fldCharType="end"/>
            </w:r>
          </w:hyperlink>
        </w:p>
        <w:p w14:paraId="630AD505" w14:textId="73C92DA7" w:rsidR="007F4098" w:rsidRDefault="007F4098">
          <w:pPr>
            <w:pStyle w:val="TOC2"/>
            <w:tabs>
              <w:tab w:val="right" w:leader="dot" w:pos="9016"/>
            </w:tabs>
            <w:rPr>
              <w:noProof/>
            </w:rPr>
          </w:pPr>
          <w:hyperlink w:anchor="_Toc204170119" w:history="1">
            <w:r w:rsidRPr="00851053">
              <w:rPr>
                <w:rStyle w:val="Hyperlink"/>
                <w:rFonts w:eastAsia="Times New Roman"/>
                <w:noProof/>
                <w:lang w:eastAsia="en-GB"/>
              </w:rPr>
              <w:t>Purpose and Importance</w:t>
            </w:r>
            <w:r>
              <w:rPr>
                <w:noProof/>
                <w:webHidden/>
              </w:rPr>
              <w:tab/>
            </w:r>
            <w:r>
              <w:rPr>
                <w:noProof/>
                <w:webHidden/>
              </w:rPr>
              <w:fldChar w:fldCharType="begin"/>
            </w:r>
            <w:r>
              <w:rPr>
                <w:noProof/>
                <w:webHidden/>
              </w:rPr>
              <w:instrText xml:space="preserve"> PAGEREF _Toc204170119 \h </w:instrText>
            </w:r>
            <w:r>
              <w:rPr>
                <w:noProof/>
                <w:webHidden/>
              </w:rPr>
            </w:r>
            <w:r>
              <w:rPr>
                <w:noProof/>
                <w:webHidden/>
              </w:rPr>
              <w:fldChar w:fldCharType="separate"/>
            </w:r>
            <w:r>
              <w:rPr>
                <w:noProof/>
                <w:webHidden/>
              </w:rPr>
              <w:t>5</w:t>
            </w:r>
            <w:r>
              <w:rPr>
                <w:noProof/>
                <w:webHidden/>
              </w:rPr>
              <w:fldChar w:fldCharType="end"/>
            </w:r>
          </w:hyperlink>
        </w:p>
        <w:p w14:paraId="319B1B1A" w14:textId="1AA8F275" w:rsidR="007F4098" w:rsidRDefault="007F4098">
          <w:pPr>
            <w:pStyle w:val="TOC2"/>
            <w:tabs>
              <w:tab w:val="right" w:leader="dot" w:pos="9016"/>
            </w:tabs>
            <w:rPr>
              <w:noProof/>
            </w:rPr>
          </w:pPr>
          <w:hyperlink w:anchor="_Toc204170120" w:history="1">
            <w:r w:rsidRPr="00851053">
              <w:rPr>
                <w:rStyle w:val="Hyperlink"/>
                <w:rFonts w:eastAsia="Times New Roman"/>
                <w:noProof/>
                <w:lang w:eastAsia="en-GB"/>
              </w:rPr>
              <w:t>Risk Assessment Methodology</w:t>
            </w:r>
            <w:r>
              <w:rPr>
                <w:noProof/>
                <w:webHidden/>
              </w:rPr>
              <w:tab/>
            </w:r>
            <w:r>
              <w:rPr>
                <w:noProof/>
                <w:webHidden/>
              </w:rPr>
              <w:fldChar w:fldCharType="begin"/>
            </w:r>
            <w:r>
              <w:rPr>
                <w:noProof/>
                <w:webHidden/>
              </w:rPr>
              <w:instrText xml:space="preserve"> PAGEREF _Toc204170120 \h </w:instrText>
            </w:r>
            <w:r>
              <w:rPr>
                <w:noProof/>
                <w:webHidden/>
              </w:rPr>
            </w:r>
            <w:r>
              <w:rPr>
                <w:noProof/>
                <w:webHidden/>
              </w:rPr>
              <w:fldChar w:fldCharType="separate"/>
            </w:r>
            <w:r>
              <w:rPr>
                <w:noProof/>
                <w:webHidden/>
              </w:rPr>
              <w:t>5</w:t>
            </w:r>
            <w:r>
              <w:rPr>
                <w:noProof/>
                <w:webHidden/>
              </w:rPr>
              <w:fldChar w:fldCharType="end"/>
            </w:r>
          </w:hyperlink>
        </w:p>
        <w:p w14:paraId="266B78B5" w14:textId="2ADAED5D" w:rsidR="007F4098" w:rsidRDefault="007F4098">
          <w:pPr>
            <w:pStyle w:val="TOC3"/>
            <w:tabs>
              <w:tab w:val="right" w:leader="dot" w:pos="9016"/>
            </w:tabs>
            <w:rPr>
              <w:noProof/>
            </w:rPr>
          </w:pPr>
          <w:hyperlink w:anchor="_Toc204170121" w:history="1">
            <w:r w:rsidRPr="00851053">
              <w:rPr>
                <w:rStyle w:val="Hyperlink"/>
                <w:rFonts w:eastAsia="Times New Roman"/>
                <w:noProof/>
                <w:lang w:eastAsia="en-GB"/>
              </w:rPr>
              <w:t>Construction Stage Risk Register Table</w:t>
            </w:r>
            <w:r>
              <w:rPr>
                <w:noProof/>
                <w:webHidden/>
              </w:rPr>
              <w:tab/>
            </w:r>
            <w:r>
              <w:rPr>
                <w:noProof/>
                <w:webHidden/>
              </w:rPr>
              <w:fldChar w:fldCharType="begin"/>
            </w:r>
            <w:r>
              <w:rPr>
                <w:noProof/>
                <w:webHidden/>
              </w:rPr>
              <w:instrText xml:space="preserve"> PAGEREF _Toc204170121 \h </w:instrText>
            </w:r>
            <w:r>
              <w:rPr>
                <w:noProof/>
                <w:webHidden/>
              </w:rPr>
            </w:r>
            <w:r>
              <w:rPr>
                <w:noProof/>
                <w:webHidden/>
              </w:rPr>
              <w:fldChar w:fldCharType="separate"/>
            </w:r>
            <w:r>
              <w:rPr>
                <w:noProof/>
                <w:webHidden/>
              </w:rPr>
              <w:t>5</w:t>
            </w:r>
            <w:r>
              <w:rPr>
                <w:noProof/>
                <w:webHidden/>
              </w:rPr>
              <w:fldChar w:fldCharType="end"/>
            </w:r>
          </w:hyperlink>
        </w:p>
        <w:p w14:paraId="04027D71" w14:textId="056DDE81" w:rsidR="007F4098" w:rsidRDefault="007F4098">
          <w:pPr>
            <w:pStyle w:val="TOC2"/>
            <w:tabs>
              <w:tab w:val="right" w:leader="dot" w:pos="9016"/>
            </w:tabs>
            <w:rPr>
              <w:noProof/>
            </w:rPr>
          </w:pPr>
          <w:hyperlink w:anchor="_Toc204170122" w:history="1">
            <w:r w:rsidRPr="00851053">
              <w:rPr>
                <w:rStyle w:val="Hyperlink"/>
                <w:rFonts w:eastAsia="Times New Roman"/>
                <w:noProof/>
                <w:lang w:eastAsia="en-GB"/>
              </w:rPr>
              <w:t>Residual Risk Management</w:t>
            </w:r>
            <w:r>
              <w:rPr>
                <w:noProof/>
                <w:webHidden/>
              </w:rPr>
              <w:tab/>
            </w:r>
            <w:r>
              <w:rPr>
                <w:noProof/>
                <w:webHidden/>
              </w:rPr>
              <w:fldChar w:fldCharType="begin"/>
            </w:r>
            <w:r>
              <w:rPr>
                <w:noProof/>
                <w:webHidden/>
              </w:rPr>
              <w:instrText xml:space="preserve"> PAGEREF _Toc204170122 \h </w:instrText>
            </w:r>
            <w:r>
              <w:rPr>
                <w:noProof/>
                <w:webHidden/>
              </w:rPr>
            </w:r>
            <w:r>
              <w:rPr>
                <w:noProof/>
                <w:webHidden/>
              </w:rPr>
              <w:fldChar w:fldCharType="separate"/>
            </w:r>
            <w:r>
              <w:rPr>
                <w:noProof/>
                <w:webHidden/>
              </w:rPr>
              <w:t>6</w:t>
            </w:r>
            <w:r>
              <w:rPr>
                <w:noProof/>
                <w:webHidden/>
              </w:rPr>
              <w:fldChar w:fldCharType="end"/>
            </w:r>
          </w:hyperlink>
        </w:p>
        <w:p w14:paraId="6E9308AD" w14:textId="363ED1FF" w:rsidR="007F4098" w:rsidRDefault="007F4098">
          <w:pPr>
            <w:pStyle w:val="TOC2"/>
            <w:tabs>
              <w:tab w:val="right" w:leader="dot" w:pos="9016"/>
            </w:tabs>
            <w:rPr>
              <w:noProof/>
            </w:rPr>
          </w:pPr>
          <w:hyperlink w:anchor="_Toc204170123" w:history="1">
            <w:r w:rsidRPr="00851053">
              <w:rPr>
                <w:rStyle w:val="Hyperlink"/>
                <w:rFonts w:eastAsia="Times New Roman"/>
                <w:noProof/>
                <w:lang w:eastAsia="en-GB"/>
              </w:rPr>
              <w:t>Regulatory and Contractual Framework</w:t>
            </w:r>
            <w:r>
              <w:rPr>
                <w:noProof/>
                <w:webHidden/>
              </w:rPr>
              <w:tab/>
            </w:r>
            <w:r>
              <w:rPr>
                <w:noProof/>
                <w:webHidden/>
              </w:rPr>
              <w:fldChar w:fldCharType="begin"/>
            </w:r>
            <w:r>
              <w:rPr>
                <w:noProof/>
                <w:webHidden/>
              </w:rPr>
              <w:instrText xml:space="preserve"> PAGEREF _Toc204170123 \h </w:instrText>
            </w:r>
            <w:r>
              <w:rPr>
                <w:noProof/>
                <w:webHidden/>
              </w:rPr>
            </w:r>
            <w:r>
              <w:rPr>
                <w:noProof/>
                <w:webHidden/>
              </w:rPr>
              <w:fldChar w:fldCharType="separate"/>
            </w:r>
            <w:r>
              <w:rPr>
                <w:noProof/>
                <w:webHidden/>
              </w:rPr>
              <w:t>7</w:t>
            </w:r>
            <w:r>
              <w:rPr>
                <w:noProof/>
                <w:webHidden/>
              </w:rPr>
              <w:fldChar w:fldCharType="end"/>
            </w:r>
          </w:hyperlink>
        </w:p>
        <w:p w14:paraId="19C0D0A2" w14:textId="789F57FF" w:rsidR="007F4098" w:rsidRDefault="007F4098">
          <w:pPr>
            <w:pStyle w:val="TOC2"/>
            <w:tabs>
              <w:tab w:val="right" w:leader="dot" w:pos="9016"/>
            </w:tabs>
            <w:rPr>
              <w:noProof/>
            </w:rPr>
          </w:pPr>
          <w:hyperlink w:anchor="_Toc204170124" w:history="1">
            <w:r w:rsidRPr="00851053">
              <w:rPr>
                <w:rStyle w:val="Hyperlink"/>
                <w:rFonts w:eastAsia="Times New Roman"/>
                <w:noProof/>
                <w:lang w:eastAsia="en-GB"/>
              </w:rPr>
              <w:t>Risk Review and Audit Process</w:t>
            </w:r>
            <w:r>
              <w:rPr>
                <w:noProof/>
                <w:webHidden/>
              </w:rPr>
              <w:tab/>
            </w:r>
            <w:r>
              <w:rPr>
                <w:noProof/>
                <w:webHidden/>
              </w:rPr>
              <w:fldChar w:fldCharType="begin"/>
            </w:r>
            <w:r>
              <w:rPr>
                <w:noProof/>
                <w:webHidden/>
              </w:rPr>
              <w:instrText xml:space="preserve"> PAGEREF _Toc204170124 \h </w:instrText>
            </w:r>
            <w:r>
              <w:rPr>
                <w:noProof/>
                <w:webHidden/>
              </w:rPr>
            </w:r>
            <w:r>
              <w:rPr>
                <w:noProof/>
                <w:webHidden/>
              </w:rPr>
              <w:fldChar w:fldCharType="separate"/>
            </w:r>
            <w:r>
              <w:rPr>
                <w:noProof/>
                <w:webHidden/>
              </w:rPr>
              <w:t>7</w:t>
            </w:r>
            <w:r>
              <w:rPr>
                <w:noProof/>
                <w:webHidden/>
              </w:rPr>
              <w:fldChar w:fldCharType="end"/>
            </w:r>
          </w:hyperlink>
        </w:p>
        <w:p w14:paraId="15108D07" w14:textId="5750205E" w:rsidR="007F4098" w:rsidRDefault="007F4098">
          <w:pPr>
            <w:pStyle w:val="TOC2"/>
            <w:tabs>
              <w:tab w:val="right" w:leader="dot" w:pos="9016"/>
            </w:tabs>
            <w:rPr>
              <w:noProof/>
            </w:rPr>
          </w:pPr>
          <w:hyperlink w:anchor="_Toc204170125" w:history="1">
            <w:r w:rsidRPr="00851053">
              <w:rPr>
                <w:rStyle w:val="Hyperlink"/>
                <w:rFonts w:eastAsia="Times New Roman"/>
                <w:noProof/>
                <w:lang w:eastAsia="en-GB"/>
              </w:rPr>
              <w:t>Tools and Software</w:t>
            </w:r>
            <w:r>
              <w:rPr>
                <w:noProof/>
                <w:webHidden/>
              </w:rPr>
              <w:tab/>
            </w:r>
            <w:r>
              <w:rPr>
                <w:noProof/>
                <w:webHidden/>
              </w:rPr>
              <w:fldChar w:fldCharType="begin"/>
            </w:r>
            <w:r>
              <w:rPr>
                <w:noProof/>
                <w:webHidden/>
              </w:rPr>
              <w:instrText xml:space="preserve"> PAGEREF _Toc204170125 \h </w:instrText>
            </w:r>
            <w:r>
              <w:rPr>
                <w:noProof/>
                <w:webHidden/>
              </w:rPr>
            </w:r>
            <w:r>
              <w:rPr>
                <w:noProof/>
                <w:webHidden/>
              </w:rPr>
              <w:fldChar w:fldCharType="separate"/>
            </w:r>
            <w:r>
              <w:rPr>
                <w:noProof/>
                <w:webHidden/>
              </w:rPr>
              <w:t>7</w:t>
            </w:r>
            <w:r>
              <w:rPr>
                <w:noProof/>
                <w:webHidden/>
              </w:rPr>
              <w:fldChar w:fldCharType="end"/>
            </w:r>
          </w:hyperlink>
        </w:p>
        <w:p w14:paraId="36FF0588" w14:textId="0A1B41C8" w:rsidR="007F4098" w:rsidRDefault="007F4098">
          <w:pPr>
            <w:pStyle w:val="TOC1"/>
            <w:tabs>
              <w:tab w:val="right" w:leader="dot" w:pos="9016"/>
            </w:tabs>
            <w:rPr>
              <w:noProof/>
            </w:rPr>
          </w:pPr>
          <w:hyperlink w:anchor="_Toc204170126" w:history="1">
            <w:r w:rsidRPr="00851053">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_Toc204170126 \h </w:instrText>
            </w:r>
            <w:r>
              <w:rPr>
                <w:noProof/>
                <w:webHidden/>
              </w:rPr>
            </w:r>
            <w:r>
              <w:rPr>
                <w:noProof/>
                <w:webHidden/>
              </w:rPr>
              <w:fldChar w:fldCharType="separate"/>
            </w:r>
            <w:r>
              <w:rPr>
                <w:noProof/>
                <w:webHidden/>
              </w:rPr>
              <w:t>7</w:t>
            </w:r>
            <w:r>
              <w:rPr>
                <w:noProof/>
                <w:webHidden/>
              </w:rPr>
              <w:fldChar w:fldCharType="end"/>
            </w:r>
          </w:hyperlink>
        </w:p>
        <w:p w14:paraId="708410E3" w14:textId="5E85B79D" w:rsidR="007F4098" w:rsidRDefault="007F4098">
          <w:pPr>
            <w:pStyle w:val="TOC1"/>
            <w:tabs>
              <w:tab w:val="right" w:leader="dot" w:pos="9016"/>
            </w:tabs>
            <w:rPr>
              <w:noProof/>
            </w:rPr>
          </w:pPr>
          <w:hyperlink w:anchor="_Toc204170127" w:history="1">
            <w:r w:rsidRPr="00851053">
              <w:rPr>
                <w:rStyle w:val="Hyperlink"/>
                <w:noProof/>
              </w:rPr>
              <w:t>References</w:t>
            </w:r>
            <w:r>
              <w:rPr>
                <w:noProof/>
                <w:webHidden/>
              </w:rPr>
              <w:tab/>
            </w:r>
            <w:r>
              <w:rPr>
                <w:noProof/>
                <w:webHidden/>
              </w:rPr>
              <w:fldChar w:fldCharType="begin"/>
            </w:r>
            <w:r>
              <w:rPr>
                <w:noProof/>
                <w:webHidden/>
              </w:rPr>
              <w:instrText xml:space="preserve"> PAGEREF _Toc204170127 \h </w:instrText>
            </w:r>
            <w:r>
              <w:rPr>
                <w:noProof/>
                <w:webHidden/>
              </w:rPr>
            </w:r>
            <w:r>
              <w:rPr>
                <w:noProof/>
                <w:webHidden/>
              </w:rPr>
              <w:fldChar w:fldCharType="separate"/>
            </w:r>
            <w:r>
              <w:rPr>
                <w:noProof/>
                <w:webHidden/>
              </w:rPr>
              <w:t>8</w:t>
            </w:r>
            <w:r>
              <w:rPr>
                <w:noProof/>
                <w:webHidden/>
              </w:rPr>
              <w:fldChar w:fldCharType="end"/>
            </w:r>
          </w:hyperlink>
        </w:p>
        <w:p w14:paraId="47A2CE26" w14:textId="77777777" w:rsidR="007F4098" w:rsidRDefault="007F4098">
          <w:pPr>
            <w:rPr>
              <w:b/>
              <w:bCs/>
              <w:noProof/>
            </w:rPr>
          </w:pPr>
          <w:r>
            <w:rPr>
              <w:b/>
              <w:bCs/>
              <w:noProof/>
            </w:rPr>
            <w:fldChar w:fldCharType="end"/>
          </w:r>
        </w:p>
        <w:p w14:paraId="52B31C87" w14:textId="77777777" w:rsidR="007F4098" w:rsidRDefault="007F4098">
          <w:pPr>
            <w:rPr>
              <w:b/>
              <w:bCs/>
              <w:noProof/>
            </w:rPr>
          </w:pPr>
          <w:r>
            <w:rPr>
              <w:b/>
              <w:bCs/>
              <w:noProof/>
            </w:rPr>
            <w:br w:type="page"/>
          </w:r>
        </w:p>
        <w:p w14:paraId="29F5D8BC" w14:textId="4BCB561B" w:rsidR="007F4098" w:rsidRDefault="007F4098"/>
      </w:sdtContent>
    </w:sdt>
    <w:p w14:paraId="67333ED1" w14:textId="4A220B3D" w:rsidR="003342E7" w:rsidRDefault="007F7CFE" w:rsidP="003342E7">
      <w:pPr>
        <w:pStyle w:val="Heading1"/>
        <w:rPr>
          <w:rFonts w:eastAsia="Times New Roman"/>
          <w:lang w:eastAsia="en-GB"/>
        </w:rPr>
      </w:pPr>
      <w:bookmarkStart w:id="0" w:name="_Toc204170109"/>
      <w:r w:rsidRPr="003342E7">
        <w:rPr>
          <w:rFonts w:eastAsia="Times New Roman"/>
          <w:lang w:eastAsia="en-GB"/>
        </w:rPr>
        <w:t>Detailed Site Plan for a Complex Residential Construction Project</w:t>
      </w:r>
      <w:bookmarkEnd w:id="0"/>
      <w:r w:rsidRPr="003342E7">
        <w:rPr>
          <w:rFonts w:eastAsia="Times New Roman"/>
          <w:lang w:eastAsia="en-GB"/>
        </w:rPr>
        <w:t xml:space="preserve"> </w:t>
      </w:r>
    </w:p>
    <w:p w14:paraId="3C59C027" w14:textId="3AB9CD72" w:rsidR="00431DFC" w:rsidRPr="00431DFC" w:rsidRDefault="00431DFC" w:rsidP="00431DFC">
      <w:pPr>
        <w:pStyle w:val="Heading1"/>
        <w:rPr>
          <w:lang w:eastAsia="en-GB"/>
        </w:rPr>
      </w:pPr>
      <w:bookmarkStart w:id="1" w:name="_Toc204170110"/>
      <w:r w:rsidRPr="00431DFC">
        <w:rPr>
          <w:lang w:eastAsia="en-GB"/>
        </w:rPr>
        <w:t>Introduction</w:t>
      </w:r>
      <w:bookmarkEnd w:id="1"/>
    </w:p>
    <w:p w14:paraId="5A2D6857" w14:textId="4AF6CC27" w:rsidR="00431DFC" w:rsidRPr="00431DFC" w:rsidRDefault="00431DFC" w:rsidP="00431DFC">
      <w:pPr>
        <w:rPr>
          <w:lang w:eastAsia="en-GB"/>
        </w:rPr>
      </w:pPr>
      <w:r w:rsidRPr="00431DFC">
        <w:rPr>
          <w:lang w:eastAsia="en-GB"/>
        </w:rPr>
        <w:t>The construction of the SA1 Riverside Wharf residential development represents a cornerstone project within Swansea’s broader urban regeneration strategy. Given its location in a high-profile, mixed-use waterfront district, this scheme presents both substantial opportunity and considerable complexity. With public interfaces, ecological sensitivities, logistical constraints, and the imperative to align with regulatory frameworks such as the Construction (Design and Management) Regulations 2015</w:t>
      </w:r>
      <w:r w:rsidR="00B1705C">
        <w:rPr>
          <w:lang w:eastAsia="en-GB"/>
        </w:rPr>
        <w:t xml:space="preserve"> </w:t>
      </w:r>
      <w:r w:rsidR="00B1705C" w:rsidRPr="00B1705C">
        <w:rPr>
          <w:lang w:eastAsia="en-GB"/>
        </w:rPr>
        <w:t>(HSE, 2015)</w:t>
      </w:r>
      <w:r w:rsidRPr="00431DFC">
        <w:rPr>
          <w:lang w:eastAsia="en-GB"/>
        </w:rPr>
        <w:t>, the success of this project hinges on comprehensive and strategic construction planning. Effective site management and systematic risk mitigation are therefore central to the delivery of a scheme that is safe, efficient, and compliant with industry standards.</w:t>
      </w:r>
    </w:p>
    <w:p w14:paraId="1B08B916" w14:textId="1BDBB5E5" w:rsidR="00431DFC" w:rsidRPr="00431DFC" w:rsidRDefault="00431DFC" w:rsidP="00431DFC">
      <w:pPr>
        <w:rPr>
          <w:lang w:eastAsia="en-GB"/>
        </w:rPr>
      </w:pPr>
      <w:r w:rsidRPr="00431DFC">
        <w:rPr>
          <w:lang w:eastAsia="en-GB"/>
        </w:rPr>
        <w:t xml:space="preserve">This report addresses two critical elements of construction site management that together form the backbone of operational success: the </w:t>
      </w:r>
      <w:r w:rsidRPr="00431DFC">
        <w:rPr>
          <w:b/>
          <w:bCs/>
          <w:lang w:eastAsia="en-GB"/>
        </w:rPr>
        <w:t>site plan</w:t>
      </w:r>
      <w:r w:rsidRPr="00431DFC">
        <w:rPr>
          <w:lang w:eastAsia="en-GB"/>
        </w:rPr>
        <w:t xml:space="preserve"> and the </w:t>
      </w:r>
      <w:r w:rsidRPr="00431DFC">
        <w:rPr>
          <w:b/>
          <w:bCs/>
          <w:lang w:eastAsia="en-GB"/>
        </w:rPr>
        <w:t>construction-stage risk register</w:t>
      </w:r>
      <w:r w:rsidRPr="00431DFC">
        <w:rPr>
          <w:lang w:eastAsia="en-GB"/>
        </w:rPr>
        <w:t>. Each component is developed with reference to best practices, legislative requirements, and practical constraints of the site itself. The site plan offers a phased, dynamic layout tailored to the project's evolving needs, from enabling works through to final fit-out and landscaping. It demonstrates how spatial organisation, welfare provision, material storage, traffic flow, and environmental mitigation measures can be coordinated to maximise efficiency while minimising disruption and risk</w:t>
      </w:r>
      <w:r w:rsidR="00920F72">
        <w:rPr>
          <w:lang w:eastAsia="en-GB"/>
        </w:rPr>
        <w:t xml:space="preserve"> </w:t>
      </w:r>
      <w:r w:rsidR="00920F72" w:rsidRPr="00920F72">
        <w:rPr>
          <w:lang w:eastAsia="en-GB"/>
        </w:rPr>
        <w:t>(CLC, 2023; CITB, 2021).</w:t>
      </w:r>
    </w:p>
    <w:p w14:paraId="38B12E8D" w14:textId="314C4951" w:rsidR="00431DFC" w:rsidRPr="00431DFC" w:rsidRDefault="00431DFC" w:rsidP="00431DFC">
      <w:pPr>
        <w:rPr>
          <w:lang w:eastAsia="en-GB"/>
        </w:rPr>
      </w:pPr>
      <w:r w:rsidRPr="00431DFC">
        <w:rPr>
          <w:lang w:eastAsia="en-GB"/>
        </w:rPr>
        <w:t>The second component, the construction-stage risk register, provides a robust framework for hazard identification, evaluation, and control. Structured around a 5x5 risk matrix, it captures the project’s most pressing safety concerns—ranging from plant movement and working at height to weather disruption and environmental pollution</w:t>
      </w:r>
      <w:r w:rsidR="00B1429D">
        <w:rPr>
          <w:lang w:eastAsia="en-GB"/>
        </w:rPr>
        <w:t xml:space="preserve"> </w:t>
      </w:r>
      <w:r w:rsidR="00B1429D" w:rsidRPr="00B1429D">
        <w:rPr>
          <w:lang w:eastAsia="en-GB"/>
        </w:rPr>
        <w:t>(IOSH, 2021)</w:t>
      </w:r>
      <w:r w:rsidRPr="00431DFC">
        <w:rPr>
          <w:lang w:eastAsia="en-GB"/>
        </w:rPr>
        <w:t>. It draws upon statutory guidance from CDM 2015</w:t>
      </w:r>
      <w:r w:rsidR="00CB211D">
        <w:rPr>
          <w:lang w:eastAsia="en-GB"/>
        </w:rPr>
        <w:t xml:space="preserve"> </w:t>
      </w:r>
      <w:r w:rsidR="00CB211D" w:rsidRPr="00CB211D">
        <w:rPr>
          <w:lang w:eastAsia="en-GB"/>
        </w:rPr>
        <w:t>(HSE, 2015)</w:t>
      </w:r>
      <w:r w:rsidRPr="00431DFC">
        <w:rPr>
          <w:lang w:eastAsia="en-GB"/>
        </w:rPr>
        <w:t>, ISO 45001</w:t>
      </w:r>
      <w:r w:rsidR="00CB211D">
        <w:rPr>
          <w:lang w:eastAsia="en-GB"/>
        </w:rPr>
        <w:t xml:space="preserve"> </w:t>
      </w:r>
      <w:r w:rsidR="00CB211D" w:rsidRPr="00CB211D">
        <w:rPr>
          <w:lang w:eastAsia="en-GB"/>
        </w:rPr>
        <w:t>(ISO, 2018)</w:t>
      </w:r>
      <w:r w:rsidRPr="00431DFC">
        <w:rPr>
          <w:lang w:eastAsia="en-GB"/>
        </w:rPr>
        <w:t xml:space="preserve">, and HSE publications to ensure that risk is managed proactively, collaboratively, and transparently. In addition, digital integration using platforms such as </w:t>
      </w:r>
      <w:proofErr w:type="spellStart"/>
      <w:r w:rsidRPr="00431DFC">
        <w:rPr>
          <w:lang w:eastAsia="en-GB"/>
        </w:rPr>
        <w:t>FieldView</w:t>
      </w:r>
      <w:proofErr w:type="spellEnd"/>
      <w:r w:rsidRPr="00431DFC">
        <w:rPr>
          <w:lang w:eastAsia="en-GB"/>
        </w:rPr>
        <w:t xml:space="preserve"> and Procore reflects the industry's increasing shift towards real-time, data-driven site governance</w:t>
      </w:r>
      <w:r w:rsidR="00D9552D">
        <w:rPr>
          <w:lang w:eastAsia="en-GB"/>
        </w:rPr>
        <w:t xml:space="preserve"> </w:t>
      </w:r>
      <w:r w:rsidR="00D9552D" w:rsidRPr="00D9552D">
        <w:rPr>
          <w:lang w:eastAsia="en-GB"/>
        </w:rPr>
        <w:t>(Viewpoint, 2024; Procore, 2024)</w:t>
      </w:r>
      <w:r w:rsidRPr="00431DFC">
        <w:rPr>
          <w:lang w:eastAsia="en-GB"/>
        </w:rPr>
        <w:t>.</w:t>
      </w:r>
    </w:p>
    <w:p w14:paraId="00539B7D" w14:textId="1BBB37CC" w:rsidR="00431DFC" w:rsidRPr="00431DFC" w:rsidRDefault="00431DFC" w:rsidP="00431DFC">
      <w:pPr>
        <w:rPr>
          <w:lang w:eastAsia="en-GB"/>
        </w:rPr>
      </w:pPr>
      <w:r w:rsidRPr="00431DFC">
        <w:rPr>
          <w:lang w:eastAsia="en-GB"/>
        </w:rPr>
        <w:t xml:space="preserve">Both elements of this report reflect the principles of sustainable construction management, where health and safety, operational excellence, legal compliance, and stakeholder accountability converge. The project’s inner-city location and complex stakeholder landscape amplify the need for high standards of communication, procedural control, and foresight. The site plan and risk register are therefore not standalone </w:t>
      </w:r>
      <w:proofErr w:type="gramStart"/>
      <w:r w:rsidRPr="00431DFC">
        <w:rPr>
          <w:lang w:eastAsia="en-GB"/>
        </w:rPr>
        <w:t>exercises</w:t>
      </w:r>
      <w:proofErr w:type="gramEnd"/>
      <w:r w:rsidRPr="00431DFC">
        <w:rPr>
          <w:lang w:eastAsia="en-GB"/>
        </w:rPr>
        <w:t xml:space="preserve"> but interrelated tools designed to support the strategic objectives of the Principal Contractor while upholding public safety and environmental stewardship</w:t>
      </w:r>
      <w:r w:rsidR="00D9552D" w:rsidRPr="00D9552D">
        <w:rPr>
          <w:rFonts w:ascii="Times New Roman" w:eastAsia="Times New Roman" w:hAnsi="Times New Roman" w:cs="Times New Roman"/>
          <w:kern w:val="0"/>
          <w:sz w:val="24"/>
          <w:szCs w:val="24"/>
          <w:lang w:eastAsia="en-GB"/>
          <w14:ligatures w14:val="none"/>
        </w:rPr>
        <w:t xml:space="preserve"> </w:t>
      </w:r>
      <w:r w:rsidR="00D9552D" w:rsidRPr="00D9552D">
        <w:rPr>
          <w:lang w:eastAsia="en-GB"/>
        </w:rPr>
        <w:t>(NEC, 2017; ISO, 2018).</w:t>
      </w:r>
    </w:p>
    <w:p w14:paraId="5A52B410" w14:textId="22622BC7" w:rsidR="00431DFC" w:rsidRDefault="00431DFC" w:rsidP="00431DFC">
      <w:pPr>
        <w:rPr>
          <w:lang w:eastAsia="en-GB"/>
        </w:rPr>
      </w:pPr>
      <w:r w:rsidRPr="00431DFC">
        <w:rPr>
          <w:lang w:eastAsia="en-GB"/>
        </w:rPr>
        <w:t xml:space="preserve">By structuring the document in line with these key components—starting with the physical organisation of the site, followed by a rigorous assessment and mitigation of risks—the report aims to demonstrate a competent, reflective, and distinction-level approach to construction management. It integrates academic reasoning with industry application, ensuring that </w:t>
      </w:r>
      <w:r w:rsidRPr="00431DFC">
        <w:rPr>
          <w:lang w:eastAsia="en-GB"/>
        </w:rPr>
        <w:lastRenderedPageBreak/>
        <w:t>theoretical knowledge is directly translated into operational practices relevant to one of Swansea’s most strategically significant residential schemes.</w:t>
      </w:r>
    </w:p>
    <w:p w14:paraId="2675B821" w14:textId="77777777" w:rsidR="00431DFC" w:rsidRPr="00431DFC" w:rsidRDefault="00431DFC" w:rsidP="00431DFC">
      <w:pPr>
        <w:rPr>
          <w:lang w:eastAsia="en-GB"/>
        </w:rPr>
      </w:pPr>
    </w:p>
    <w:p w14:paraId="6AEC89BD" w14:textId="699A8027" w:rsidR="007F7CFE" w:rsidRPr="003342E7" w:rsidRDefault="007F7CFE" w:rsidP="003342E7">
      <w:pPr>
        <w:pStyle w:val="Heading2"/>
        <w:rPr>
          <w:rFonts w:eastAsia="Times New Roman"/>
          <w:sz w:val="36"/>
          <w:szCs w:val="36"/>
          <w:lang w:eastAsia="en-GB"/>
        </w:rPr>
      </w:pPr>
      <w:bookmarkStart w:id="2" w:name="_Toc204170111"/>
      <w:r w:rsidRPr="003342E7">
        <w:rPr>
          <w:rFonts w:eastAsia="Times New Roman"/>
          <w:lang w:eastAsia="en-GB"/>
        </w:rPr>
        <w:t>Site Overview and Context</w:t>
      </w:r>
      <w:bookmarkEnd w:id="2"/>
    </w:p>
    <w:p w14:paraId="0F6D0EE0" w14:textId="6B094E0D" w:rsidR="007F7CFE" w:rsidRPr="007F7CFE" w:rsidRDefault="007F7CFE" w:rsidP="007F7CFE">
      <w:pPr>
        <w:spacing w:before="100" w:beforeAutospacing="1" w:after="100" w:afterAutospacing="1" w:line="240" w:lineRule="auto"/>
        <w:rPr>
          <w:rFonts w:eastAsia="Times New Roman"/>
          <w:kern w:val="0"/>
          <w:lang w:eastAsia="en-GB"/>
          <w14:ligatures w14:val="none"/>
        </w:rPr>
      </w:pPr>
      <w:r w:rsidRPr="007F7CFE">
        <w:rPr>
          <w:rFonts w:eastAsia="Times New Roman" w:cs="Times New Roman"/>
          <w:kern w:val="0"/>
          <w:sz w:val="24"/>
          <w:szCs w:val="24"/>
          <w:lang w:eastAsia="en-GB"/>
          <w14:ligatures w14:val="none"/>
        </w:rPr>
        <w:t xml:space="preserve">The development proposed at SA1 Riverside Wharf forms a key part of Swansea’s strategic regeneration initiative </w:t>
      </w:r>
      <w:r w:rsidR="003B0704" w:rsidRPr="003B0704">
        <w:rPr>
          <w:rFonts w:eastAsia="Times New Roman"/>
          <w:kern w:val="0"/>
          <w:lang w:eastAsia="en-GB"/>
          <w14:ligatures w14:val="none"/>
        </w:rPr>
        <w:t>(Swansea Council, 2023)</w:t>
      </w:r>
      <w:r w:rsidR="003B0704">
        <w:rPr>
          <w:rFonts w:eastAsia="Times New Roman"/>
          <w:kern w:val="0"/>
          <w:lang w:eastAsia="en-GB"/>
          <w14:ligatures w14:val="none"/>
        </w:rPr>
        <w:t xml:space="preserve"> </w:t>
      </w:r>
      <w:r w:rsidRPr="007F7CFE">
        <w:rPr>
          <w:rFonts w:eastAsia="Times New Roman" w:cs="Times New Roman"/>
          <w:kern w:val="0"/>
          <w:sz w:val="24"/>
          <w:szCs w:val="24"/>
          <w:lang w:eastAsia="en-GB"/>
          <w14:ligatures w14:val="none"/>
        </w:rPr>
        <w:t>and represents a complex residential project requiring coordinated planning and logistical precision. Situated in a mixed-use urban area near public footpaths and busy roads, the site’s location introduces constraints that must be addressed through a clear, safety-driven, and efficient site layout strategy. This section outlines the structured approach to managing the construction site over its lifecycle, detailing the rationale behind key layout decisions while ensuring full compliance with health, safety, and environmental standards</w:t>
      </w:r>
      <w:r w:rsidR="003B0704">
        <w:rPr>
          <w:rFonts w:eastAsia="Times New Roman" w:cs="Times New Roman"/>
          <w:kern w:val="0"/>
          <w:sz w:val="24"/>
          <w:szCs w:val="24"/>
          <w:lang w:eastAsia="en-GB"/>
          <w14:ligatures w14:val="none"/>
        </w:rPr>
        <w:t xml:space="preserve"> </w:t>
      </w:r>
      <w:r w:rsidR="003B0704" w:rsidRPr="003B0704">
        <w:rPr>
          <w:rFonts w:eastAsia="Times New Roman"/>
          <w:kern w:val="0"/>
          <w:lang w:eastAsia="en-GB"/>
          <w14:ligatures w14:val="none"/>
        </w:rPr>
        <w:t>(CIRIA, 2015; HSE, 2015)</w:t>
      </w:r>
      <w:r w:rsidRPr="007F7CFE">
        <w:rPr>
          <w:rFonts w:eastAsia="Times New Roman" w:cs="Times New Roman"/>
          <w:kern w:val="0"/>
          <w:sz w:val="24"/>
          <w:szCs w:val="24"/>
          <w:lang w:eastAsia="en-GB"/>
          <w14:ligatures w14:val="none"/>
        </w:rPr>
        <w:t>. In addition to physical planning, the strategy integrates sustainable practices, material logistics, and statutory frameworks to support a safe and deliverable construction sequence.</w:t>
      </w:r>
    </w:p>
    <w:p w14:paraId="65E05A8D" w14:textId="19D9E32F" w:rsidR="007F7CFE" w:rsidRPr="007F7CFE" w:rsidRDefault="007F7CFE" w:rsidP="003342E7">
      <w:pPr>
        <w:pStyle w:val="Heading1"/>
        <w:rPr>
          <w:rFonts w:eastAsia="Times New Roman"/>
          <w:lang w:eastAsia="en-GB"/>
        </w:rPr>
      </w:pPr>
      <w:bookmarkStart w:id="3" w:name="_Toc204170112"/>
      <w:r w:rsidRPr="007F7CFE">
        <w:rPr>
          <w:rFonts w:eastAsia="Times New Roman"/>
          <w:lang w:eastAsia="en-GB"/>
        </w:rPr>
        <w:t>Site Layout Strategy and Phasing</w:t>
      </w:r>
      <w:bookmarkEnd w:id="3"/>
    </w:p>
    <w:p w14:paraId="6AFEAF62" w14:textId="59208B53" w:rsidR="007F7CFE" w:rsidRPr="007F7CFE" w:rsidRDefault="007F7CFE" w:rsidP="007F7CFE">
      <w:pPr>
        <w:spacing w:before="100" w:beforeAutospacing="1" w:after="100" w:afterAutospacing="1" w:line="240" w:lineRule="auto"/>
        <w:rPr>
          <w:rFonts w:eastAsia="Times New Roman"/>
          <w:kern w:val="0"/>
          <w:lang w:eastAsia="en-GB"/>
          <w14:ligatures w14:val="none"/>
        </w:rPr>
      </w:pPr>
      <w:r w:rsidRPr="007F7CFE">
        <w:rPr>
          <w:rFonts w:eastAsia="Times New Roman" w:cs="Times New Roman"/>
          <w:kern w:val="0"/>
          <w:sz w:val="24"/>
          <w:szCs w:val="24"/>
          <w:lang w:eastAsia="en-GB"/>
          <w14:ligatures w14:val="none"/>
        </w:rPr>
        <w:t xml:space="preserve">The construction process has been divided into four key phases: enabling works, groundworks, superstructure, and </w:t>
      </w:r>
      <w:proofErr w:type="gramStart"/>
      <w:r w:rsidRPr="007F7CFE">
        <w:rPr>
          <w:rFonts w:eastAsia="Times New Roman" w:cs="Times New Roman"/>
          <w:kern w:val="0"/>
          <w:sz w:val="24"/>
          <w:szCs w:val="24"/>
          <w:lang w:eastAsia="en-GB"/>
          <w14:ligatures w14:val="none"/>
        </w:rPr>
        <w:t>fit-out</w:t>
      </w:r>
      <w:proofErr w:type="gramEnd"/>
      <w:r w:rsidRPr="007F7CFE">
        <w:rPr>
          <w:rFonts w:eastAsia="Times New Roman" w:cs="Times New Roman"/>
          <w:kern w:val="0"/>
          <w:sz w:val="24"/>
          <w:szCs w:val="24"/>
          <w:lang w:eastAsia="en-GB"/>
          <w14:ligatures w14:val="none"/>
        </w:rPr>
        <w:t xml:space="preserve"> with external landscaping. Each phase involves specific requirements for equipment, materials, access, and safety, requiring the site layout to adapt accordingly over time. By structuring the project in this way, the management team can maintain site organisation, reduce risk, and maximise efficiency</w:t>
      </w:r>
      <w:r w:rsidR="00D2527B">
        <w:rPr>
          <w:rFonts w:eastAsia="Times New Roman" w:cs="Times New Roman"/>
          <w:kern w:val="0"/>
          <w:sz w:val="24"/>
          <w:szCs w:val="24"/>
          <w:lang w:eastAsia="en-GB"/>
          <w14:ligatures w14:val="none"/>
        </w:rPr>
        <w:t xml:space="preserve"> </w:t>
      </w:r>
      <w:r w:rsidR="00D2527B" w:rsidRPr="00D2527B">
        <w:rPr>
          <w:rFonts w:eastAsia="Times New Roman"/>
          <w:kern w:val="0"/>
          <w:lang w:eastAsia="en-GB"/>
          <w14:ligatures w14:val="none"/>
        </w:rPr>
        <w:t>(CLC, 2023)</w:t>
      </w:r>
      <w:r w:rsidRPr="007F7CFE">
        <w:rPr>
          <w:rFonts w:eastAsia="Times New Roman" w:cs="Times New Roman"/>
          <w:kern w:val="0"/>
          <w:sz w:val="24"/>
          <w:szCs w:val="24"/>
          <w:lang w:eastAsia="en-GB"/>
          <w14:ligatures w14:val="none"/>
        </w:rPr>
        <w:t>.</w:t>
      </w:r>
    </w:p>
    <w:p w14:paraId="479B2C7A" w14:textId="19A92DDE" w:rsidR="007F7CFE" w:rsidRPr="003342E7" w:rsidRDefault="007F7CFE" w:rsidP="003342E7">
      <w:pPr>
        <w:pStyle w:val="Title"/>
        <w:rPr>
          <w:rFonts w:eastAsia="Times New Roman"/>
          <w:sz w:val="44"/>
          <w:szCs w:val="44"/>
          <w:lang w:eastAsia="en-GB"/>
        </w:rPr>
      </w:pPr>
      <w:r w:rsidRPr="003342E7">
        <w:rPr>
          <w:rFonts w:eastAsia="Times New Roman"/>
          <w:sz w:val="44"/>
          <w:szCs w:val="44"/>
          <w:lang w:eastAsia="en-GB"/>
        </w:rPr>
        <w:t>Enabling Works Phase (Weeks 1–4)</w:t>
      </w:r>
    </w:p>
    <w:p w14:paraId="27061120" w14:textId="529929CB" w:rsidR="007F7CFE" w:rsidRPr="007F7CFE" w:rsidRDefault="007F7CFE" w:rsidP="007F7CFE">
      <w:pPr>
        <w:spacing w:before="100" w:beforeAutospacing="1" w:after="100" w:afterAutospacing="1" w:line="240" w:lineRule="auto"/>
        <w:rPr>
          <w:rFonts w:eastAsia="Times New Roman"/>
          <w:kern w:val="0"/>
          <w:lang w:eastAsia="en-GB"/>
          <w14:ligatures w14:val="none"/>
        </w:rPr>
      </w:pPr>
      <w:r w:rsidRPr="007F7CFE">
        <w:rPr>
          <w:rFonts w:eastAsia="Times New Roman" w:cs="Times New Roman"/>
          <w:kern w:val="0"/>
          <w:sz w:val="24"/>
          <w:szCs w:val="24"/>
          <w:lang w:eastAsia="en-GB"/>
          <w14:ligatures w14:val="none"/>
        </w:rPr>
        <w:t>During the initial enabling works, temporary infrastructure is prioritised to facilitate controlled site access and utility provision. The perimeter is enclosed with timber hoarding, compliant with BS 5975 and CDM 2015, which serves both a protective and regulatory purpose by clearly delineating construction boundaries and safeguarding the public</w:t>
      </w:r>
      <w:r w:rsidR="000B4AAD">
        <w:rPr>
          <w:rFonts w:eastAsia="Times New Roman" w:cs="Times New Roman"/>
          <w:kern w:val="0"/>
          <w:sz w:val="24"/>
          <w:szCs w:val="24"/>
          <w:lang w:eastAsia="en-GB"/>
          <w14:ligatures w14:val="none"/>
        </w:rPr>
        <w:t xml:space="preserve"> </w:t>
      </w:r>
      <w:r w:rsidR="000B4AAD" w:rsidRPr="000B4AAD">
        <w:rPr>
          <w:rFonts w:eastAsia="Times New Roman"/>
          <w:kern w:val="0"/>
          <w:lang w:eastAsia="en-GB"/>
          <w14:ligatures w14:val="none"/>
        </w:rPr>
        <w:t>(HSE, 2015)</w:t>
      </w:r>
      <w:r w:rsidRPr="007F7CFE">
        <w:rPr>
          <w:rFonts w:eastAsia="Times New Roman" w:cs="Times New Roman"/>
          <w:kern w:val="0"/>
          <w:sz w:val="24"/>
          <w:szCs w:val="24"/>
          <w:lang w:eastAsia="en-GB"/>
          <w14:ligatures w14:val="none"/>
        </w:rPr>
        <w:t>. Temporary water and power supplies are established and routed toward the designated welfare compound in the site’s north-east corner. Furthermore, a one-way traffic flow system is implemented, commencing from Quay Parade, to manage vehicle movement efficiently and reduce congestion or risk near pedestrian zones</w:t>
      </w:r>
      <w:r w:rsidR="00F6505E">
        <w:rPr>
          <w:rFonts w:eastAsia="Times New Roman" w:cs="Times New Roman"/>
          <w:kern w:val="0"/>
          <w:sz w:val="24"/>
          <w:szCs w:val="24"/>
          <w:lang w:eastAsia="en-GB"/>
          <w14:ligatures w14:val="none"/>
        </w:rPr>
        <w:t xml:space="preserve"> </w:t>
      </w:r>
      <w:r w:rsidR="00F6505E" w:rsidRPr="00F6505E">
        <w:rPr>
          <w:rFonts w:eastAsia="Times New Roman"/>
          <w:kern w:val="0"/>
          <w:lang w:eastAsia="en-GB"/>
          <w14:ligatures w14:val="none"/>
        </w:rPr>
        <w:t>(CLC, 2023)</w:t>
      </w:r>
      <w:r w:rsidRPr="007F7CFE">
        <w:rPr>
          <w:rFonts w:eastAsia="Times New Roman" w:cs="Times New Roman"/>
          <w:kern w:val="0"/>
          <w:sz w:val="24"/>
          <w:szCs w:val="24"/>
          <w:lang w:eastAsia="en-GB"/>
          <w14:ligatures w14:val="none"/>
        </w:rPr>
        <w:t>.</w:t>
      </w:r>
    </w:p>
    <w:p w14:paraId="2ECBB312" w14:textId="2502A19F" w:rsidR="007F7CFE" w:rsidRPr="003342E7" w:rsidRDefault="007F7CFE" w:rsidP="003342E7">
      <w:pPr>
        <w:pStyle w:val="Title"/>
        <w:rPr>
          <w:rFonts w:eastAsia="Times New Roman"/>
          <w:sz w:val="44"/>
          <w:szCs w:val="44"/>
          <w:lang w:eastAsia="en-GB"/>
        </w:rPr>
      </w:pPr>
      <w:r w:rsidRPr="003342E7">
        <w:rPr>
          <w:rFonts w:eastAsia="Times New Roman"/>
          <w:sz w:val="44"/>
          <w:szCs w:val="44"/>
          <w:lang w:eastAsia="en-GB"/>
        </w:rPr>
        <w:t>Groundworks and Substructure (Weeks 5–16)</w:t>
      </w:r>
    </w:p>
    <w:p w14:paraId="57A18717" w14:textId="496580A8" w:rsidR="007F7CFE" w:rsidRPr="007F7CFE" w:rsidRDefault="007F7CFE" w:rsidP="007F7CFE">
      <w:pPr>
        <w:spacing w:before="100" w:beforeAutospacing="1" w:after="100" w:afterAutospacing="1" w:line="240" w:lineRule="auto"/>
        <w:rPr>
          <w:rFonts w:eastAsia="Times New Roman"/>
          <w:kern w:val="0"/>
          <w:lang w:eastAsia="en-GB"/>
          <w14:ligatures w14:val="none"/>
        </w:rPr>
      </w:pPr>
      <w:r w:rsidRPr="007F7CFE">
        <w:rPr>
          <w:rFonts w:eastAsia="Times New Roman" w:cs="Times New Roman"/>
          <w:kern w:val="0"/>
          <w:sz w:val="24"/>
          <w:szCs w:val="24"/>
          <w:lang w:eastAsia="en-GB"/>
          <w14:ligatures w14:val="none"/>
        </w:rPr>
        <w:t xml:space="preserve">The site evolves to accommodate the requirements of excavation and foundation works during the groundworks phase. Modular cabins providing welfare facilities such as toilets, drying rooms, and a canteen are situated close to the main entrance. Their </w:t>
      </w:r>
      <w:r w:rsidRPr="007F7CFE">
        <w:rPr>
          <w:rFonts w:eastAsia="Times New Roman" w:cs="Times New Roman"/>
          <w:kern w:val="0"/>
          <w:sz w:val="24"/>
          <w:szCs w:val="24"/>
          <w:lang w:eastAsia="en-GB"/>
          <w14:ligatures w14:val="none"/>
        </w:rPr>
        <w:lastRenderedPageBreak/>
        <w:t>placement ensures that workers can access essential amenities quickly while minimising exposure to noise and dust from heavy plant. Simultaneously, designated zones are created for storing bulk materials, with aggregates and rebar stored close to operational zones, thereby reducing unnecessary movement across the site</w:t>
      </w:r>
      <w:r w:rsidR="00F6505E">
        <w:rPr>
          <w:rFonts w:eastAsia="Times New Roman" w:cs="Times New Roman"/>
          <w:kern w:val="0"/>
          <w:sz w:val="24"/>
          <w:szCs w:val="24"/>
          <w:lang w:eastAsia="en-GB"/>
          <w14:ligatures w14:val="none"/>
        </w:rPr>
        <w:t xml:space="preserve"> </w:t>
      </w:r>
      <w:r w:rsidR="00F6505E" w:rsidRPr="00F6505E">
        <w:rPr>
          <w:rFonts w:eastAsia="Times New Roman"/>
          <w:kern w:val="0"/>
          <w:lang w:eastAsia="en-GB"/>
          <w14:ligatures w14:val="none"/>
        </w:rPr>
        <w:t>(CITB, 2021)</w:t>
      </w:r>
      <w:r w:rsidRPr="007F7CFE">
        <w:rPr>
          <w:rFonts w:eastAsia="Times New Roman" w:cs="Times New Roman"/>
          <w:kern w:val="0"/>
          <w:sz w:val="24"/>
          <w:szCs w:val="24"/>
          <w:lang w:eastAsia="en-GB"/>
          <w14:ligatures w14:val="none"/>
        </w:rPr>
        <w:t>. Haul roads constructed from compacted hardcore facilitate safe transport of materials by heavy machinery, with dust suppression measures introduced to maintain air quality</w:t>
      </w:r>
      <w:r w:rsidR="00DF36EF">
        <w:rPr>
          <w:rFonts w:eastAsia="Times New Roman" w:cs="Times New Roman"/>
          <w:kern w:val="0"/>
          <w:sz w:val="24"/>
          <w:szCs w:val="24"/>
          <w:lang w:eastAsia="en-GB"/>
          <w14:ligatures w14:val="none"/>
        </w:rPr>
        <w:t xml:space="preserve"> </w:t>
      </w:r>
      <w:r w:rsidR="00DF36EF" w:rsidRPr="00DF36EF">
        <w:rPr>
          <w:rFonts w:eastAsia="Times New Roman"/>
          <w:kern w:val="0"/>
          <w:lang w:eastAsia="en-GB"/>
          <w14:ligatures w14:val="none"/>
        </w:rPr>
        <w:t>(IOSH, 2021)</w:t>
      </w:r>
      <w:r w:rsidR="00DF36EF">
        <w:rPr>
          <w:rFonts w:eastAsia="Times New Roman"/>
          <w:kern w:val="0"/>
          <w:lang w:eastAsia="en-GB"/>
          <w14:ligatures w14:val="none"/>
        </w:rPr>
        <w:t>.</w:t>
      </w:r>
    </w:p>
    <w:p w14:paraId="6AC8571E" w14:textId="0B0A5C47" w:rsidR="007F7CFE" w:rsidRPr="007844F4" w:rsidRDefault="007F7CFE" w:rsidP="007844F4">
      <w:pPr>
        <w:pStyle w:val="Title"/>
        <w:rPr>
          <w:rFonts w:eastAsia="Times New Roman"/>
          <w:sz w:val="44"/>
          <w:szCs w:val="44"/>
          <w:lang w:eastAsia="en-GB"/>
        </w:rPr>
      </w:pPr>
      <w:r w:rsidRPr="007844F4">
        <w:rPr>
          <w:rFonts w:eastAsia="Times New Roman"/>
          <w:sz w:val="44"/>
          <w:szCs w:val="44"/>
          <w:lang w:eastAsia="en-GB"/>
        </w:rPr>
        <w:t>Superstructure (Weeks 17–36)</w:t>
      </w:r>
    </w:p>
    <w:p w14:paraId="22C30AF8" w14:textId="42714933" w:rsidR="007F7CFE" w:rsidRPr="007F7CFE" w:rsidRDefault="007F7CFE" w:rsidP="007F7CFE">
      <w:pPr>
        <w:spacing w:before="100" w:beforeAutospacing="1" w:after="100" w:afterAutospacing="1" w:line="240" w:lineRule="auto"/>
        <w:rPr>
          <w:rFonts w:eastAsia="Times New Roman"/>
          <w:kern w:val="0"/>
          <w:lang w:eastAsia="en-GB"/>
          <w14:ligatures w14:val="none"/>
        </w:rPr>
      </w:pPr>
      <w:r w:rsidRPr="007F7CFE">
        <w:rPr>
          <w:rFonts w:eastAsia="Times New Roman" w:cs="Times New Roman"/>
          <w:kern w:val="0"/>
          <w:sz w:val="24"/>
          <w:szCs w:val="24"/>
          <w:lang w:eastAsia="en-GB"/>
          <w14:ligatures w14:val="none"/>
        </w:rPr>
        <w:t>As construction progresses to the superstructure stage, the site layout is reconfigured to support vertical development. A centrally positioned tower crane is installed, selected for its full reach across the site’s core zones, which minimises the need for multiple cranes and improves spatial efficiency. The exclusion zone around the crane is enforced with clear signage and barriers, aligning with LOLER 1998 and ensuring safety during lifting operations</w:t>
      </w:r>
      <w:r w:rsidR="00DF36EF">
        <w:rPr>
          <w:rFonts w:eastAsia="Times New Roman" w:cs="Times New Roman"/>
          <w:kern w:val="0"/>
          <w:sz w:val="24"/>
          <w:szCs w:val="24"/>
          <w:lang w:eastAsia="en-GB"/>
          <w14:ligatures w14:val="none"/>
        </w:rPr>
        <w:t xml:space="preserve"> </w:t>
      </w:r>
      <w:r w:rsidR="00DF36EF" w:rsidRPr="00DF36EF">
        <w:rPr>
          <w:rFonts w:eastAsia="Times New Roman"/>
          <w:kern w:val="0"/>
          <w:lang w:eastAsia="en-GB"/>
          <w14:ligatures w14:val="none"/>
        </w:rPr>
        <w:t>(HSE, 2015)</w:t>
      </w:r>
      <w:r w:rsidRPr="007F7CFE">
        <w:rPr>
          <w:rFonts w:eastAsia="Times New Roman" w:cs="Times New Roman"/>
          <w:kern w:val="0"/>
          <w:sz w:val="24"/>
          <w:szCs w:val="24"/>
          <w:lang w:eastAsia="en-GB"/>
          <w14:ligatures w14:val="none"/>
        </w:rPr>
        <w:t>. Material laydown areas are now identified for each building block, allowing deliveries to be made on a just-in-time basis. This prevents site overcrowding and ensures materials are available when needed. Scaffolding is erected around each structure and checked daily under TG20:21 guidelines to support safe access for operatives working at height</w:t>
      </w:r>
      <w:r w:rsidR="000D3EFF">
        <w:rPr>
          <w:rFonts w:eastAsia="Times New Roman" w:cs="Times New Roman"/>
          <w:kern w:val="0"/>
          <w:sz w:val="24"/>
          <w:szCs w:val="24"/>
          <w:lang w:eastAsia="en-GB"/>
          <w14:ligatures w14:val="none"/>
        </w:rPr>
        <w:t xml:space="preserve"> </w:t>
      </w:r>
      <w:r w:rsidR="000D3EFF" w:rsidRPr="000D3EFF">
        <w:rPr>
          <w:rFonts w:eastAsia="Times New Roman"/>
          <w:kern w:val="0"/>
          <w:lang w:eastAsia="en-GB"/>
          <w14:ligatures w14:val="none"/>
        </w:rPr>
        <w:t>(HSE, 2015)</w:t>
      </w:r>
      <w:r w:rsidRPr="007F7CFE">
        <w:rPr>
          <w:rFonts w:eastAsia="Times New Roman" w:cs="Times New Roman"/>
          <w:kern w:val="0"/>
          <w:sz w:val="24"/>
          <w:szCs w:val="24"/>
          <w:lang w:eastAsia="en-GB"/>
          <w14:ligatures w14:val="none"/>
        </w:rPr>
        <w:t>.</w:t>
      </w:r>
    </w:p>
    <w:p w14:paraId="2F888351" w14:textId="228B3837" w:rsidR="007F7CFE" w:rsidRPr="007844F4" w:rsidRDefault="007F7CFE" w:rsidP="007844F4">
      <w:pPr>
        <w:pStyle w:val="Title"/>
        <w:rPr>
          <w:rFonts w:eastAsia="Times New Roman"/>
          <w:sz w:val="44"/>
          <w:szCs w:val="44"/>
          <w:lang w:eastAsia="en-GB"/>
        </w:rPr>
      </w:pPr>
      <w:r w:rsidRPr="007844F4">
        <w:rPr>
          <w:rFonts w:eastAsia="Times New Roman"/>
          <w:sz w:val="44"/>
          <w:szCs w:val="44"/>
          <w:lang w:eastAsia="en-GB"/>
        </w:rPr>
        <w:t>Fit-Out and External Works (Weeks 37–50)</w:t>
      </w:r>
    </w:p>
    <w:p w14:paraId="23228F3F" w14:textId="61A57EF1" w:rsidR="007F7CFE" w:rsidRPr="007F7CFE" w:rsidRDefault="007F7CFE" w:rsidP="007F7CFE">
      <w:pPr>
        <w:spacing w:before="100" w:beforeAutospacing="1" w:after="100" w:afterAutospacing="1" w:line="240" w:lineRule="auto"/>
        <w:rPr>
          <w:rFonts w:eastAsia="Times New Roman"/>
          <w:kern w:val="0"/>
          <w:lang w:eastAsia="en-GB"/>
          <w14:ligatures w14:val="none"/>
        </w:rPr>
      </w:pPr>
      <w:r w:rsidRPr="007F7CFE">
        <w:rPr>
          <w:rFonts w:eastAsia="Times New Roman" w:cs="Times New Roman"/>
          <w:kern w:val="0"/>
          <w:sz w:val="24"/>
          <w:szCs w:val="24"/>
          <w:lang w:eastAsia="en-GB"/>
          <w14:ligatures w14:val="none"/>
        </w:rPr>
        <w:t>The final phase focuses on internal finishes and external landscaping. Site storage requirements shift towards more refined building materials, such as fixtures and appliances, which are stored in secure ground-floor units. Each building zone is allocated lockable tool storage, improving security and reducing travel time between workstations. Waste management becomes more prominent at this stage, with a fully implemented skip system using colour-coded bins for effective material segregation under the SWMP</w:t>
      </w:r>
      <w:r w:rsidR="00FF18B0">
        <w:rPr>
          <w:rFonts w:eastAsia="Times New Roman" w:cs="Times New Roman"/>
          <w:kern w:val="0"/>
          <w:sz w:val="24"/>
          <w:szCs w:val="24"/>
          <w:lang w:eastAsia="en-GB"/>
          <w14:ligatures w14:val="none"/>
        </w:rPr>
        <w:t xml:space="preserve"> </w:t>
      </w:r>
      <w:r w:rsidR="00FF18B0" w:rsidRPr="00FF18B0">
        <w:rPr>
          <w:rFonts w:eastAsia="Times New Roman"/>
          <w:kern w:val="0"/>
          <w:lang w:eastAsia="en-GB"/>
          <w14:ligatures w14:val="none"/>
        </w:rPr>
        <w:t>(CITB, 2021)</w:t>
      </w:r>
      <w:r w:rsidR="00FF18B0">
        <w:rPr>
          <w:rFonts w:eastAsia="Times New Roman"/>
          <w:kern w:val="0"/>
          <w:lang w:eastAsia="en-GB"/>
          <w14:ligatures w14:val="none"/>
        </w:rPr>
        <w:t xml:space="preserve">. </w:t>
      </w:r>
      <w:r w:rsidRPr="007F7CFE">
        <w:rPr>
          <w:rFonts w:eastAsia="Times New Roman" w:cs="Times New Roman"/>
          <w:kern w:val="0"/>
          <w:sz w:val="24"/>
          <w:szCs w:val="24"/>
          <w:lang w:eastAsia="en-GB"/>
          <w14:ligatures w14:val="none"/>
        </w:rPr>
        <w:t>External works, including reinstating pedestrian routes and implementing sustainable urban drainage systems, are scheduled to occur after scaffold strike to avoid access conflicts and ensure a clean handover</w:t>
      </w:r>
      <w:r w:rsidR="00FF18B0">
        <w:rPr>
          <w:rFonts w:eastAsia="Times New Roman" w:cs="Times New Roman"/>
          <w:kern w:val="0"/>
          <w:sz w:val="24"/>
          <w:szCs w:val="24"/>
          <w:lang w:eastAsia="en-GB"/>
          <w14:ligatures w14:val="none"/>
        </w:rPr>
        <w:t xml:space="preserve"> </w:t>
      </w:r>
      <w:r w:rsidR="00FF18B0" w:rsidRPr="00FF18B0">
        <w:rPr>
          <w:rFonts w:eastAsia="Times New Roman"/>
          <w:kern w:val="0"/>
          <w:lang w:eastAsia="en-GB"/>
          <w14:ligatures w14:val="none"/>
        </w:rPr>
        <w:t>(Swansea Council, 2023</w:t>
      </w:r>
      <w:r w:rsidR="00FF18B0">
        <w:rPr>
          <w:rFonts w:eastAsia="Times New Roman"/>
          <w:kern w:val="0"/>
          <w:lang w:eastAsia="en-GB"/>
          <w14:ligatures w14:val="none"/>
        </w:rPr>
        <w:t>).</w:t>
      </w:r>
    </w:p>
    <w:p w14:paraId="7FDE2F09" w14:textId="36B695E1" w:rsidR="007F7CFE" w:rsidRPr="007F7CFE" w:rsidRDefault="007F7CFE" w:rsidP="00431DFC">
      <w:pPr>
        <w:pStyle w:val="Heading2"/>
        <w:rPr>
          <w:rFonts w:eastAsia="Times New Roman"/>
          <w:lang w:eastAsia="en-GB"/>
        </w:rPr>
      </w:pPr>
      <w:bookmarkStart w:id="4" w:name="_Toc204170113"/>
      <w:r w:rsidRPr="007F7CFE">
        <w:rPr>
          <w:rFonts w:eastAsia="Times New Roman"/>
          <w:lang w:eastAsia="en-GB"/>
        </w:rPr>
        <w:t>Traffic Management Plan</w:t>
      </w:r>
      <w:bookmarkEnd w:id="4"/>
    </w:p>
    <w:p w14:paraId="09BF7398" w14:textId="5FEB085A" w:rsidR="007F7CFE" w:rsidRPr="007F7CFE" w:rsidRDefault="007F7CFE" w:rsidP="007F7CFE">
      <w:pPr>
        <w:spacing w:before="100" w:beforeAutospacing="1" w:after="100" w:afterAutospacing="1" w:line="240" w:lineRule="auto"/>
        <w:rPr>
          <w:rFonts w:eastAsia="Times New Roman"/>
          <w:kern w:val="0"/>
          <w:lang w:eastAsia="en-GB"/>
          <w14:ligatures w14:val="none"/>
        </w:rPr>
      </w:pPr>
      <w:r w:rsidRPr="007F7CFE">
        <w:rPr>
          <w:rFonts w:eastAsia="Times New Roman" w:cs="Times New Roman"/>
          <w:kern w:val="0"/>
          <w:sz w:val="24"/>
          <w:szCs w:val="24"/>
          <w:lang w:eastAsia="en-GB"/>
          <w14:ligatures w14:val="none"/>
        </w:rPr>
        <w:t xml:space="preserve">A comprehensive traffic management system underpins safe and efficient operations across the project’s life cycle. The site employs a delivery management platform such as </w:t>
      </w:r>
      <w:proofErr w:type="spellStart"/>
      <w:r w:rsidRPr="007F7CFE">
        <w:rPr>
          <w:rFonts w:eastAsia="Times New Roman" w:cs="Times New Roman"/>
          <w:kern w:val="0"/>
          <w:sz w:val="24"/>
          <w:szCs w:val="24"/>
          <w:lang w:eastAsia="en-GB"/>
          <w14:ligatures w14:val="none"/>
        </w:rPr>
        <w:t>Zutec</w:t>
      </w:r>
      <w:proofErr w:type="spellEnd"/>
      <w:r w:rsidRPr="007F7CFE">
        <w:rPr>
          <w:rFonts w:eastAsia="Times New Roman" w:cs="Times New Roman"/>
          <w:kern w:val="0"/>
          <w:sz w:val="24"/>
          <w:szCs w:val="24"/>
          <w:lang w:eastAsia="en-GB"/>
          <w14:ligatures w14:val="none"/>
        </w:rPr>
        <w:t xml:space="preserve"> to control HGV arrivals and prevent logistical clashes</w:t>
      </w:r>
      <w:r w:rsidR="00460D79">
        <w:rPr>
          <w:rFonts w:eastAsia="Times New Roman" w:cs="Times New Roman"/>
          <w:kern w:val="0"/>
          <w:sz w:val="24"/>
          <w:szCs w:val="24"/>
          <w:lang w:eastAsia="en-GB"/>
          <w14:ligatures w14:val="none"/>
        </w:rPr>
        <w:t xml:space="preserve"> </w:t>
      </w:r>
      <w:r w:rsidR="00460D79" w:rsidRPr="00460D79">
        <w:rPr>
          <w:rFonts w:eastAsia="Times New Roman"/>
          <w:kern w:val="0"/>
          <w:lang w:eastAsia="en-GB"/>
          <w14:ligatures w14:val="none"/>
        </w:rPr>
        <w:t>(CLC, 2023)</w:t>
      </w:r>
      <w:r w:rsidRPr="007F7CFE">
        <w:rPr>
          <w:rFonts w:eastAsia="Times New Roman" w:cs="Times New Roman"/>
          <w:kern w:val="0"/>
          <w:sz w:val="24"/>
          <w:szCs w:val="24"/>
          <w:lang w:eastAsia="en-GB"/>
          <w14:ligatures w14:val="none"/>
        </w:rPr>
        <w:t>. All reversing operations are overseen by CPCS-certified banksmen, with vehicular signage positioned according to CLOCS and HSE HSG151 guidance</w:t>
      </w:r>
      <w:r w:rsidR="00025E25">
        <w:rPr>
          <w:rFonts w:eastAsia="Times New Roman" w:cs="Times New Roman"/>
          <w:kern w:val="0"/>
          <w:sz w:val="24"/>
          <w:szCs w:val="24"/>
          <w:lang w:eastAsia="en-GB"/>
          <w14:ligatures w14:val="none"/>
        </w:rPr>
        <w:t xml:space="preserve"> </w:t>
      </w:r>
      <w:r w:rsidR="00025E25" w:rsidRPr="00025E25">
        <w:rPr>
          <w:rFonts w:eastAsia="Times New Roman"/>
          <w:kern w:val="0"/>
          <w:lang w:eastAsia="en-GB"/>
          <w14:ligatures w14:val="none"/>
        </w:rPr>
        <w:t>(HSE, 2014)</w:t>
      </w:r>
      <w:r w:rsidRPr="007F7CFE">
        <w:rPr>
          <w:rFonts w:eastAsia="Times New Roman" w:cs="Times New Roman"/>
          <w:kern w:val="0"/>
          <w:sz w:val="24"/>
          <w:szCs w:val="24"/>
          <w:lang w:eastAsia="en-GB"/>
          <w14:ligatures w14:val="none"/>
        </w:rPr>
        <w:t>. Dedicated pedestrian routes, marked using Heras fencing, are used to prevent interaction between operatives and machinery</w:t>
      </w:r>
      <w:r w:rsidR="00025E25">
        <w:rPr>
          <w:rFonts w:eastAsia="Times New Roman" w:cs="Times New Roman"/>
          <w:kern w:val="0"/>
          <w:sz w:val="24"/>
          <w:szCs w:val="24"/>
          <w:lang w:eastAsia="en-GB"/>
          <w14:ligatures w14:val="none"/>
        </w:rPr>
        <w:t xml:space="preserve"> </w:t>
      </w:r>
      <w:r w:rsidR="00025E25" w:rsidRPr="00025E25">
        <w:rPr>
          <w:rFonts w:eastAsia="Times New Roman"/>
          <w:kern w:val="0"/>
          <w:lang w:eastAsia="en-GB"/>
          <w14:ligatures w14:val="none"/>
        </w:rPr>
        <w:t>(CITB, 2021)</w:t>
      </w:r>
      <w:r w:rsidRPr="007F7CFE">
        <w:rPr>
          <w:rFonts w:eastAsia="Times New Roman" w:cs="Times New Roman"/>
          <w:kern w:val="0"/>
          <w:sz w:val="24"/>
          <w:szCs w:val="24"/>
          <w:lang w:eastAsia="en-GB"/>
          <w14:ligatures w14:val="none"/>
        </w:rPr>
        <w:t>. The site also maintains permanently clear emergency vehicle access, with routes identified on all layout plans and highlighted during inductions</w:t>
      </w:r>
      <w:r w:rsidR="00025E25">
        <w:rPr>
          <w:rFonts w:eastAsia="Times New Roman" w:cs="Times New Roman"/>
          <w:kern w:val="0"/>
          <w:sz w:val="24"/>
          <w:szCs w:val="24"/>
          <w:lang w:eastAsia="en-GB"/>
          <w14:ligatures w14:val="none"/>
        </w:rPr>
        <w:t xml:space="preserve"> </w:t>
      </w:r>
      <w:r w:rsidR="00025E25" w:rsidRPr="00025E25">
        <w:rPr>
          <w:rFonts w:eastAsia="Times New Roman"/>
          <w:kern w:val="0"/>
          <w:lang w:eastAsia="en-GB"/>
          <w14:ligatures w14:val="none"/>
        </w:rPr>
        <w:t>(IOSH, 2021)</w:t>
      </w:r>
      <w:r w:rsidR="00025E25">
        <w:rPr>
          <w:rFonts w:eastAsia="Times New Roman"/>
          <w:kern w:val="0"/>
          <w:lang w:eastAsia="en-GB"/>
          <w14:ligatures w14:val="none"/>
        </w:rPr>
        <w:t>.</w:t>
      </w:r>
    </w:p>
    <w:p w14:paraId="10C2437F" w14:textId="04FF97F5" w:rsidR="007F7CFE" w:rsidRPr="007F7CFE" w:rsidRDefault="007F7CFE" w:rsidP="00431DFC">
      <w:pPr>
        <w:pStyle w:val="Heading2"/>
        <w:rPr>
          <w:rFonts w:eastAsia="Times New Roman"/>
          <w:lang w:eastAsia="en-GB"/>
        </w:rPr>
      </w:pPr>
      <w:bookmarkStart w:id="5" w:name="_Toc204170114"/>
      <w:r w:rsidRPr="007F7CFE">
        <w:rPr>
          <w:rFonts w:eastAsia="Times New Roman"/>
          <w:lang w:eastAsia="en-GB"/>
        </w:rPr>
        <w:lastRenderedPageBreak/>
        <w:t>Health, Safety and Welfare Provision</w:t>
      </w:r>
      <w:bookmarkEnd w:id="5"/>
    </w:p>
    <w:p w14:paraId="07A4183C" w14:textId="77777777" w:rsidR="007F7CFE" w:rsidRPr="007F7CFE" w:rsidRDefault="007F7CFE" w:rsidP="007F7CFE">
      <w:pPr>
        <w:spacing w:before="100" w:beforeAutospacing="1" w:after="100" w:afterAutospacing="1"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Maintaining high safety and welfare standards is critical throughout construction. The layout incorporates clearly marked emergency muster points and first-aid stations, strategically located away from high-risk activities such as lifting operations. Fire extinguishers, alarms, and notices are stationed at each scaffold access point, with fire prevention planning aligned to HSG168. Welfare units are monitored weekly to ensure they meet CDM 2015 requirements in terms of cleanliness, capacity, and suitability. Inductions and toolbox talks are also integrated into the site plan, facilitated via the welfare block’s training room.</w:t>
      </w:r>
    </w:p>
    <w:p w14:paraId="3D427902" w14:textId="53AED04B" w:rsidR="007F7CFE" w:rsidRPr="007F7CFE" w:rsidRDefault="007F7CFE" w:rsidP="00431DFC">
      <w:pPr>
        <w:pStyle w:val="Heading2"/>
        <w:rPr>
          <w:rFonts w:eastAsia="Times New Roman"/>
          <w:lang w:eastAsia="en-GB"/>
        </w:rPr>
      </w:pPr>
      <w:bookmarkStart w:id="6" w:name="_Toc204170115"/>
      <w:r w:rsidRPr="007F7CFE">
        <w:rPr>
          <w:rFonts w:eastAsia="Times New Roman"/>
          <w:lang w:eastAsia="en-GB"/>
        </w:rPr>
        <w:t>Environmental Considerations</w:t>
      </w:r>
      <w:bookmarkEnd w:id="6"/>
    </w:p>
    <w:p w14:paraId="3A2918F2" w14:textId="70E92B36" w:rsidR="007F7CFE" w:rsidRPr="007F7CFE" w:rsidRDefault="007F7CFE" w:rsidP="007F7CFE">
      <w:pPr>
        <w:spacing w:before="100" w:beforeAutospacing="1" w:after="100" w:afterAutospacing="1" w:line="240" w:lineRule="auto"/>
        <w:rPr>
          <w:rFonts w:eastAsia="Times New Roman"/>
          <w:kern w:val="0"/>
          <w:lang w:eastAsia="en-GB"/>
          <w14:ligatures w14:val="none"/>
        </w:rPr>
      </w:pPr>
      <w:r w:rsidRPr="007F7CFE">
        <w:rPr>
          <w:rFonts w:eastAsia="Times New Roman" w:cs="Times New Roman"/>
          <w:kern w:val="0"/>
          <w:sz w:val="24"/>
          <w:szCs w:val="24"/>
          <w:lang w:eastAsia="en-GB"/>
          <w14:ligatures w14:val="none"/>
        </w:rPr>
        <w:t>Environmental sustainability is embedded in the site planning process. Mitigation measures are employed to address noise, dust, and water pollution. Temporary bunds and filtration devices are positioned around the site to manage stormwater runoff, particularly during concrete pouring and material mixing operations. Noise barriers are installed around large diesel generators, while misting systems help suppress airborne particles and maintain compliance with PM10 thresholds</w:t>
      </w:r>
      <w:r w:rsidR="004555CB">
        <w:rPr>
          <w:rFonts w:eastAsia="Times New Roman" w:cs="Times New Roman"/>
          <w:kern w:val="0"/>
          <w:sz w:val="24"/>
          <w:szCs w:val="24"/>
          <w:lang w:eastAsia="en-GB"/>
          <w14:ligatures w14:val="none"/>
        </w:rPr>
        <w:t xml:space="preserve"> </w:t>
      </w:r>
      <w:r w:rsidR="004555CB" w:rsidRPr="004555CB">
        <w:rPr>
          <w:rFonts w:eastAsia="Times New Roman"/>
          <w:kern w:val="0"/>
          <w:lang w:eastAsia="en-GB"/>
          <w14:ligatures w14:val="none"/>
        </w:rPr>
        <w:t>(Procore, 2024)</w:t>
      </w:r>
      <w:r w:rsidRPr="007F7CFE">
        <w:rPr>
          <w:rFonts w:eastAsia="Times New Roman" w:cs="Times New Roman"/>
          <w:kern w:val="0"/>
          <w:sz w:val="24"/>
          <w:szCs w:val="24"/>
          <w:lang w:eastAsia="en-GB"/>
          <w14:ligatures w14:val="none"/>
        </w:rPr>
        <w:t>. Ecological zones adjacent to the river are protected with exclusion fencing and monitored periodically in coordination with local environmental officers, ensuring biodiversity is not adversely affected.</w:t>
      </w:r>
    </w:p>
    <w:p w14:paraId="55AEBFDF" w14:textId="3731311F" w:rsidR="007F7CFE" w:rsidRPr="007F7CFE" w:rsidRDefault="007F7CFE" w:rsidP="00431DFC">
      <w:pPr>
        <w:pStyle w:val="Heading2"/>
        <w:rPr>
          <w:rFonts w:eastAsia="Times New Roman"/>
          <w:lang w:eastAsia="en-GB"/>
        </w:rPr>
      </w:pPr>
      <w:bookmarkStart w:id="7" w:name="_Toc204170116"/>
      <w:r w:rsidRPr="007F7CFE">
        <w:rPr>
          <w:rFonts w:eastAsia="Times New Roman"/>
          <w:lang w:eastAsia="en-GB"/>
        </w:rPr>
        <w:t>Layout Drawing Description</w:t>
      </w:r>
      <w:bookmarkEnd w:id="7"/>
      <w:r w:rsidRPr="007F7CFE">
        <w:rPr>
          <w:rFonts w:eastAsia="Times New Roman"/>
          <w:lang w:eastAsia="en-GB"/>
        </w:rPr>
        <w:t xml:space="preserve"> </w:t>
      </w:r>
    </w:p>
    <w:p w14:paraId="70377451" w14:textId="3541C146" w:rsidR="004555CB" w:rsidRPr="004555CB" w:rsidRDefault="007F7CFE" w:rsidP="003342E7">
      <w:pPr>
        <w:spacing w:before="100" w:beforeAutospacing="1" w:after="100" w:afterAutospacing="1" w:line="240" w:lineRule="auto"/>
        <w:rPr>
          <w:rFonts w:eastAsia="Times New Roman"/>
          <w:kern w:val="0"/>
          <w:lang w:eastAsia="en-GB"/>
          <w14:ligatures w14:val="none"/>
        </w:rPr>
      </w:pPr>
      <w:r w:rsidRPr="007F7CFE">
        <w:rPr>
          <w:rFonts w:eastAsia="Times New Roman" w:cs="Times New Roman"/>
          <w:kern w:val="0"/>
          <w:sz w:val="24"/>
          <w:szCs w:val="24"/>
          <w:lang w:eastAsia="en-GB"/>
          <w14:ligatures w14:val="none"/>
        </w:rPr>
        <w:t>The site layout is visualised through a CAD drawing that includes essential construction elements and logistical pathways. It presents a clear visual of traffic circulation, crane swing zones, welfare and office units, scaffold arrangements, and emergency exits. The drawing includes a north arrow, legends, and overlays that demonstrate site evolution through each project phase. These documents are updated in alignment with project milestones and form the basis of weekly management briefings. The plan’s flexibility ensures it remains relevant as site conditions change, promoting continual improvement and proactive risk management</w:t>
      </w:r>
      <w:r w:rsidR="004555CB">
        <w:rPr>
          <w:rFonts w:eastAsia="Times New Roman" w:cs="Times New Roman"/>
          <w:kern w:val="0"/>
          <w:sz w:val="24"/>
          <w:szCs w:val="24"/>
          <w:lang w:eastAsia="en-GB"/>
          <w14:ligatures w14:val="none"/>
        </w:rPr>
        <w:t xml:space="preserve"> </w:t>
      </w:r>
      <w:r w:rsidR="004555CB" w:rsidRPr="004555CB">
        <w:rPr>
          <w:rFonts w:eastAsia="Times New Roman"/>
          <w:kern w:val="0"/>
          <w:lang w:eastAsia="en-GB"/>
          <w14:ligatures w14:val="none"/>
        </w:rPr>
        <w:t>(CIRIA, 2015)</w:t>
      </w:r>
      <w:r w:rsidR="004555CB">
        <w:rPr>
          <w:rFonts w:eastAsia="Times New Roman"/>
          <w:kern w:val="0"/>
          <w:lang w:eastAsia="en-GB"/>
          <w14:ligatures w14:val="none"/>
        </w:rPr>
        <w:t>.</w:t>
      </w:r>
    </w:p>
    <w:p w14:paraId="27981656" w14:textId="5C2671D3" w:rsidR="007F7CFE" w:rsidRPr="007F7CFE" w:rsidRDefault="007F7CFE" w:rsidP="008C2916">
      <w:pPr>
        <w:pStyle w:val="Heading2"/>
        <w:rPr>
          <w:rFonts w:eastAsia="Times New Roman"/>
          <w:sz w:val="24"/>
          <w:szCs w:val="24"/>
          <w:lang w:eastAsia="en-GB"/>
        </w:rPr>
      </w:pPr>
      <w:bookmarkStart w:id="8" w:name="_Toc204170117"/>
      <w:r w:rsidRPr="007F7CFE">
        <w:rPr>
          <w:rFonts w:eastAsia="Times New Roman"/>
          <w:lang w:eastAsia="en-GB"/>
        </w:rPr>
        <w:t>Justification and Industry Standards</w:t>
      </w:r>
      <w:bookmarkEnd w:id="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38"/>
        <w:gridCol w:w="3866"/>
        <w:gridCol w:w="3480"/>
      </w:tblGrid>
      <w:tr w:rsidR="007F7CFE" w:rsidRPr="007F7CFE" w14:paraId="0D2C8AFF" w14:textId="77777777" w:rsidTr="007F7CFE">
        <w:trPr>
          <w:tblCellSpacing w:w="15" w:type="dxa"/>
        </w:trPr>
        <w:tc>
          <w:tcPr>
            <w:tcW w:w="0" w:type="auto"/>
            <w:vAlign w:val="center"/>
            <w:hideMark/>
          </w:tcPr>
          <w:p w14:paraId="109DB52A" w14:textId="77777777" w:rsidR="007F7CFE" w:rsidRPr="007F7CFE" w:rsidRDefault="007F7CFE" w:rsidP="007F7CFE">
            <w:pPr>
              <w:spacing w:after="0" w:line="240" w:lineRule="auto"/>
              <w:jc w:val="center"/>
              <w:rPr>
                <w:rFonts w:eastAsia="Times New Roman" w:cs="Times New Roman"/>
                <w:b/>
                <w:bCs/>
                <w:kern w:val="0"/>
                <w:sz w:val="24"/>
                <w:szCs w:val="24"/>
                <w:lang w:eastAsia="en-GB"/>
                <w14:ligatures w14:val="none"/>
              </w:rPr>
            </w:pPr>
            <w:r w:rsidRPr="007F7CFE">
              <w:rPr>
                <w:rFonts w:eastAsia="Times New Roman" w:cs="Times New Roman"/>
                <w:b/>
                <w:bCs/>
                <w:kern w:val="0"/>
                <w:sz w:val="24"/>
                <w:szCs w:val="24"/>
                <w:lang w:eastAsia="en-GB"/>
                <w14:ligatures w14:val="none"/>
              </w:rPr>
              <w:t>Feature</w:t>
            </w:r>
          </w:p>
        </w:tc>
        <w:tc>
          <w:tcPr>
            <w:tcW w:w="0" w:type="auto"/>
            <w:vAlign w:val="center"/>
            <w:hideMark/>
          </w:tcPr>
          <w:p w14:paraId="0D3BD085" w14:textId="77777777" w:rsidR="007F7CFE" w:rsidRPr="007F7CFE" w:rsidRDefault="007F7CFE" w:rsidP="007F7CFE">
            <w:pPr>
              <w:spacing w:after="0" w:line="240" w:lineRule="auto"/>
              <w:jc w:val="center"/>
              <w:rPr>
                <w:rFonts w:eastAsia="Times New Roman" w:cs="Times New Roman"/>
                <w:b/>
                <w:bCs/>
                <w:kern w:val="0"/>
                <w:sz w:val="24"/>
                <w:szCs w:val="24"/>
                <w:lang w:eastAsia="en-GB"/>
                <w14:ligatures w14:val="none"/>
              </w:rPr>
            </w:pPr>
            <w:r w:rsidRPr="007F7CFE">
              <w:rPr>
                <w:rFonts w:eastAsia="Times New Roman" w:cs="Times New Roman"/>
                <w:b/>
                <w:bCs/>
                <w:kern w:val="0"/>
                <w:sz w:val="24"/>
                <w:szCs w:val="24"/>
                <w:lang w:eastAsia="en-GB"/>
                <w14:ligatures w14:val="none"/>
              </w:rPr>
              <w:t>Standard / Best Practice</w:t>
            </w:r>
          </w:p>
        </w:tc>
        <w:tc>
          <w:tcPr>
            <w:tcW w:w="0" w:type="auto"/>
            <w:vAlign w:val="center"/>
            <w:hideMark/>
          </w:tcPr>
          <w:p w14:paraId="4ABB4400" w14:textId="77777777" w:rsidR="007F7CFE" w:rsidRPr="007F7CFE" w:rsidRDefault="007F7CFE" w:rsidP="007F7CFE">
            <w:pPr>
              <w:spacing w:after="0" w:line="240" w:lineRule="auto"/>
              <w:jc w:val="center"/>
              <w:rPr>
                <w:rFonts w:eastAsia="Times New Roman" w:cs="Times New Roman"/>
                <w:b/>
                <w:bCs/>
                <w:kern w:val="0"/>
                <w:sz w:val="24"/>
                <w:szCs w:val="24"/>
                <w:lang w:eastAsia="en-GB"/>
                <w14:ligatures w14:val="none"/>
              </w:rPr>
            </w:pPr>
            <w:r w:rsidRPr="007F7CFE">
              <w:rPr>
                <w:rFonts w:eastAsia="Times New Roman" w:cs="Times New Roman"/>
                <w:b/>
                <w:bCs/>
                <w:kern w:val="0"/>
                <w:sz w:val="24"/>
                <w:szCs w:val="24"/>
                <w:lang w:eastAsia="en-GB"/>
                <w14:ligatures w14:val="none"/>
              </w:rPr>
              <w:t>Justification</w:t>
            </w:r>
          </w:p>
        </w:tc>
      </w:tr>
      <w:tr w:rsidR="007F7CFE" w:rsidRPr="007F7CFE" w14:paraId="2145AFAB" w14:textId="77777777" w:rsidTr="007F7CFE">
        <w:trPr>
          <w:tblCellSpacing w:w="15" w:type="dxa"/>
        </w:trPr>
        <w:tc>
          <w:tcPr>
            <w:tcW w:w="0" w:type="auto"/>
            <w:vAlign w:val="center"/>
            <w:hideMark/>
          </w:tcPr>
          <w:p w14:paraId="00DD07B2"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Hoarding</w:t>
            </w:r>
          </w:p>
        </w:tc>
        <w:tc>
          <w:tcPr>
            <w:tcW w:w="0" w:type="auto"/>
            <w:vAlign w:val="center"/>
            <w:hideMark/>
          </w:tcPr>
          <w:p w14:paraId="3A7CEDD6"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BS 5975</w:t>
            </w:r>
          </w:p>
        </w:tc>
        <w:tc>
          <w:tcPr>
            <w:tcW w:w="0" w:type="auto"/>
            <w:vAlign w:val="center"/>
            <w:hideMark/>
          </w:tcPr>
          <w:p w14:paraId="65BD1118"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Security, public safety</w:t>
            </w:r>
          </w:p>
        </w:tc>
      </w:tr>
      <w:tr w:rsidR="007F7CFE" w:rsidRPr="007F7CFE" w14:paraId="7FD2FBC6" w14:textId="77777777" w:rsidTr="007F7CFE">
        <w:trPr>
          <w:tblCellSpacing w:w="15" w:type="dxa"/>
        </w:trPr>
        <w:tc>
          <w:tcPr>
            <w:tcW w:w="0" w:type="auto"/>
            <w:vAlign w:val="center"/>
            <w:hideMark/>
          </w:tcPr>
          <w:p w14:paraId="097106D2"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Welfare</w:t>
            </w:r>
          </w:p>
        </w:tc>
        <w:tc>
          <w:tcPr>
            <w:tcW w:w="0" w:type="auto"/>
            <w:vAlign w:val="center"/>
            <w:hideMark/>
          </w:tcPr>
          <w:p w14:paraId="501F55A5"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CDM 2015 + HSG150</w:t>
            </w:r>
          </w:p>
        </w:tc>
        <w:tc>
          <w:tcPr>
            <w:tcW w:w="0" w:type="auto"/>
            <w:vAlign w:val="center"/>
            <w:hideMark/>
          </w:tcPr>
          <w:p w14:paraId="5D256CFD"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Legal minimum compliance</w:t>
            </w:r>
          </w:p>
        </w:tc>
      </w:tr>
      <w:tr w:rsidR="007F7CFE" w:rsidRPr="007F7CFE" w14:paraId="47772DC8" w14:textId="77777777" w:rsidTr="007F7CFE">
        <w:trPr>
          <w:tblCellSpacing w:w="15" w:type="dxa"/>
        </w:trPr>
        <w:tc>
          <w:tcPr>
            <w:tcW w:w="0" w:type="auto"/>
            <w:vAlign w:val="center"/>
            <w:hideMark/>
          </w:tcPr>
          <w:p w14:paraId="5C11E146"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Crane siting</w:t>
            </w:r>
          </w:p>
        </w:tc>
        <w:tc>
          <w:tcPr>
            <w:tcW w:w="0" w:type="auto"/>
            <w:vAlign w:val="center"/>
            <w:hideMark/>
          </w:tcPr>
          <w:p w14:paraId="34FC2E7F"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LOLER 1998</w:t>
            </w:r>
          </w:p>
        </w:tc>
        <w:tc>
          <w:tcPr>
            <w:tcW w:w="0" w:type="auto"/>
            <w:vAlign w:val="center"/>
            <w:hideMark/>
          </w:tcPr>
          <w:p w14:paraId="49907F79"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Maximise reach, reduce re-lifting</w:t>
            </w:r>
          </w:p>
        </w:tc>
      </w:tr>
      <w:tr w:rsidR="007F7CFE" w:rsidRPr="007F7CFE" w14:paraId="7320C90B" w14:textId="77777777" w:rsidTr="007F7CFE">
        <w:trPr>
          <w:tblCellSpacing w:w="15" w:type="dxa"/>
        </w:trPr>
        <w:tc>
          <w:tcPr>
            <w:tcW w:w="0" w:type="auto"/>
            <w:vAlign w:val="center"/>
            <w:hideMark/>
          </w:tcPr>
          <w:p w14:paraId="42242FEB"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Segregation</w:t>
            </w:r>
          </w:p>
        </w:tc>
        <w:tc>
          <w:tcPr>
            <w:tcW w:w="0" w:type="auto"/>
            <w:vAlign w:val="center"/>
            <w:hideMark/>
          </w:tcPr>
          <w:p w14:paraId="014F112F"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HSE Guidance HSG151</w:t>
            </w:r>
          </w:p>
        </w:tc>
        <w:tc>
          <w:tcPr>
            <w:tcW w:w="0" w:type="auto"/>
            <w:vAlign w:val="center"/>
            <w:hideMark/>
          </w:tcPr>
          <w:p w14:paraId="5152DE23"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Pedestrian safety</w:t>
            </w:r>
          </w:p>
        </w:tc>
      </w:tr>
      <w:tr w:rsidR="007F7CFE" w:rsidRPr="007F7CFE" w14:paraId="3A532334" w14:textId="77777777" w:rsidTr="007F7CFE">
        <w:trPr>
          <w:tblCellSpacing w:w="15" w:type="dxa"/>
        </w:trPr>
        <w:tc>
          <w:tcPr>
            <w:tcW w:w="0" w:type="auto"/>
            <w:vAlign w:val="center"/>
            <w:hideMark/>
          </w:tcPr>
          <w:p w14:paraId="4BCD989E"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Traffic control</w:t>
            </w:r>
          </w:p>
        </w:tc>
        <w:tc>
          <w:tcPr>
            <w:tcW w:w="0" w:type="auto"/>
            <w:vAlign w:val="center"/>
            <w:hideMark/>
          </w:tcPr>
          <w:p w14:paraId="2964B559"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CLOCS / Construction Logistics Plan</w:t>
            </w:r>
          </w:p>
        </w:tc>
        <w:tc>
          <w:tcPr>
            <w:tcW w:w="0" w:type="auto"/>
            <w:vAlign w:val="center"/>
            <w:hideMark/>
          </w:tcPr>
          <w:p w14:paraId="178DE9E8" w14:textId="77777777" w:rsidR="007F7CFE" w:rsidRPr="007F7CFE" w:rsidRDefault="007F7CFE" w:rsidP="007F7CFE">
            <w:pPr>
              <w:spacing w:after="0"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City compliance, efficiency</w:t>
            </w:r>
          </w:p>
        </w:tc>
      </w:tr>
    </w:tbl>
    <w:p w14:paraId="227A4507" w14:textId="77777777" w:rsidR="007F7CFE" w:rsidRPr="007F7CFE" w:rsidRDefault="007F7CFE" w:rsidP="007F7CFE">
      <w:pPr>
        <w:spacing w:before="100" w:beforeAutospacing="1" w:after="100" w:afterAutospacing="1" w:line="240" w:lineRule="auto"/>
        <w:rPr>
          <w:rFonts w:eastAsia="Times New Roman" w:cs="Times New Roman"/>
          <w:kern w:val="0"/>
          <w:sz w:val="24"/>
          <w:szCs w:val="24"/>
          <w:lang w:eastAsia="en-GB"/>
          <w14:ligatures w14:val="none"/>
        </w:rPr>
      </w:pPr>
      <w:r w:rsidRPr="007F7CFE">
        <w:rPr>
          <w:rFonts w:eastAsia="Times New Roman" w:cs="Times New Roman"/>
          <w:kern w:val="0"/>
          <w:sz w:val="24"/>
          <w:szCs w:val="24"/>
          <w:lang w:eastAsia="en-GB"/>
          <w14:ligatures w14:val="none"/>
        </w:rPr>
        <w:t xml:space="preserve">This structured site layout offers a holistic and compliant approach to managing the SA1 development. It ensures operational efficiency, risk reduction, and environmental </w:t>
      </w:r>
      <w:r w:rsidRPr="007F7CFE">
        <w:rPr>
          <w:rFonts w:eastAsia="Times New Roman" w:cs="Times New Roman"/>
          <w:kern w:val="0"/>
          <w:sz w:val="24"/>
          <w:szCs w:val="24"/>
          <w:lang w:eastAsia="en-GB"/>
          <w14:ligatures w14:val="none"/>
        </w:rPr>
        <w:lastRenderedPageBreak/>
        <w:t>responsibility while aligning with legal frameworks and best practice. Through its phased strategy, the plan adapts to evolving project demands and serves as a foundation for successful construction delivery.</w:t>
      </w:r>
    </w:p>
    <w:p w14:paraId="09D2AC62" w14:textId="77777777" w:rsidR="003342E7" w:rsidRDefault="003342E7" w:rsidP="003342E7">
      <w:pPr>
        <w:spacing w:before="100" w:beforeAutospacing="1" w:after="100" w:afterAutospacing="1" w:line="240" w:lineRule="auto"/>
        <w:outlineLvl w:val="1"/>
      </w:pPr>
    </w:p>
    <w:p w14:paraId="085D4CD7" w14:textId="4850F8D9" w:rsidR="003342E7" w:rsidRPr="003342E7" w:rsidRDefault="003342E7" w:rsidP="008C2916">
      <w:pPr>
        <w:pStyle w:val="Heading1"/>
        <w:rPr>
          <w:rFonts w:eastAsia="Times New Roman"/>
          <w:lang w:eastAsia="en-GB"/>
        </w:rPr>
      </w:pPr>
      <w:bookmarkStart w:id="9" w:name="_Toc204170118"/>
      <w:r w:rsidRPr="003342E7">
        <w:rPr>
          <w:rFonts w:eastAsia="Times New Roman"/>
          <w:lang w:eastAsia="en-GB"/>
        </w:rPr>
        <w:t>Risk Register for the Construction Stage</w:t>
      </w:r>
      <w:bookmarkEnd w:id="9"/>
      <w:r w:rsidRPr="003342E7">
        <w:rPr>
          <w:rFonts w:eastAsia="Times New Roman"/>
          <w:lang w:eastAsia="en-GB"/>
        </w:rPr>
        <w:t xml:space="preserve"> </w:t>
      </w:r>
    </w:p>
    <w:p w14:paraId="7E598841" w14:textId="6E479883" w:rsidR="003342E7" w:rsidRPr="003342E7" w:rsidRDefault="003342E7" w:rsidP="008C2916">
      <w:pPr>
        <w:pStyle w:val="Heading2"/>
        <w:rPr>
          <w:rFonts w:eastAsia="Times New Roman"/>
          <w:lang w:eastAsia="en-GB"/>
        </w:rPr>
      </w:pPr>
      <w:bookmarkStart w:id="10" w:name="_Toc204170119"/>
      <w:r w:rsidRPr="003342E7">
        <w:rPr>
          <w:rFonts w:eastAsia="Times New Roman"/>
          <w:lang w:eastAsia="en-GB"/>
        </w:rPr>
        <w:t>Purpose and Importance</w:t>
      </w:r>
      <w:bookmarkEnd w:id="10"/>
    </w:p>
    <w:p w14:paraId="4BCD0FA3" w14:textId="77777777" w:rsidR="003342E7" w:rsidRPr="003342E7" w:rsidRDefault="003342E7" w:rsidP="003342E7">
      <w:pPr>
        <w:spacing w:before="100" w:beforeAutospacing="1" w:after="100" w:afterAutospacing="1"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The establishment and maintenance of a risk register are critical to the successful execution of complex construction projects, particularly in high-risk environments such as the SA1 Riverside Wharf residential scheme. The project’s proximity to public access routes, watercourses, and mixed-use developments elevates the importance of systematic risk management. A comprehensive risk register functions as a proactive safety planning tool, helping to pre-empt, control, and communicate foreseeable hazards to all project stakeholders. This process is not only pivotal to safeguarding health and safety but also contributes to cost control, programme assurance, and reputational integrity.</w:t>
      </w:r>
    </w:p>
    <w:p w14:paraId="14DDBAF5" w14:textId="77777777" w:rsidR="003342E7" w:rsidRPr="003342E7" w:rsidRDefault="003342E7" w:rsidP="003342E7">
      <w:pPr>
        <w:spacing w:before="100" w:beforeAutospacing="1" w:after="100" w:afterAutospacing="1"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From a legislative standpoint, the Construction (Design and Management) Regulations 2015 assign legal responsibility to the Principal Contractor for planning, managing, and monitoring health and safety throughout the construction phase. Meanwhile, ISO 45001 provides an international framework for establishing a proactive occupational health and safety culture, embedding risk management within day-to-day operations. In this way, the risk register becomes a living document that facilitates informed decision-making, compliance, and continuous improvement.</w:t>
      </w:r>
    </w:p>
    <w:p w14:paraId="1959FB35" w14:textId="555071AB" w:rsidR="003342E7" w:rsidRPr="003342E7" w:rsidRDefault="003342E7" w:rsidP="008C2916">
      <w:pPr>
        <w:pStyle w:val="Heading2"/>
        <w:rPr>
          <w:rFonts w:eastAsia="Times New Roman"/>
          <w:lang w:eastAsia="en-GB"/>
        </w:rPr>
      </w:pPr>
      <w:bookmarkStart w:id="11" w:name="_Toc204170120"/>
      <w:r w:rsidRPr="003342E7">
        <w:rPr>
          <w:rFonts w:eastAsia="Times New Roman"/>
          <w:lang w:eastAsia="en-GB"/>
        </w:rPr>
        <w:t>Risk Assessment Methodology</w:t>
      </w:r>
      <w:bookmarkEnd w:id="11"/>
    </w:p>
    <w:p w14:paraId="2C06EE8E" w14:textId="77777777" w:rsidR="003342E7" w:rsidRPr="003342E7" w:rsidRDefault="003342E7" w:rsidP="003342E7">
      <w:pPr>
        <w:spacing w:before="100" w:beforeAutospacing="1" w:after="100" w:afterAutospacing="1"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The risk register employs a 5x5 risk matrix that evaluates each hazard according to its likelihood of occurrence and the potential severity of its impact. Likelihood ranges from 1 (rare) to 5 (frequent), while severity spans from 1 (negligible) to 5 (fatal). The risk score, calculated by multiplying these two values, categorises risks as low (1–5), medium (6–12), or high (15–25). This matrix-based method ensures a structured and standardised approach to risk prioritisation, enabling targeted interventions in high-risk areas while maintaining efficiency in lower-risk domains.</w:t>
      </w:r>
    </w:p>
    <w:p w14:paraId="20FA904F" w14:textId="143AB979" w:rsidR="003342E7" w:rsidRPr="003342E7" w:rsidRDefault="003342E7" w:rsidP="008C2916">
      <w:pPr>
        <w:pStyle w:val="Heading3"/>
        <w:rPr>
          <w:rFonts w:eastAsia="Times New Roman"/>
          <w:lang w:eastAsia="en-GB"/>
        </w:rPr>
      </w:pPr>
      <w:bookmarkStart w:id="12" w:name="_Toc204170121"/>
      <w:r w:rsidRPr="003342E7">
        <w:rPr>
          <w:rFonts w:eastAsia="Times New Roman"/>
          <w:lang w:eastAsia="en-GB"/>
        </w:rPr>
        <w:t>Construction Stage Risk Register Table</w:t>
      </w:r>
      <w:bookmarkEnd w:id="1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3"/>
        <w:gridCol w:w="1836"/>
        <w:gridCol w:w="1199"/>
        <w:gridCol w:w="946"/>
        <w:gridCol w:w="756"/>
        <w:gridCol w:w="2054"/>
        <w:gridCol w:w="1652"/>
      </w:tblGrid>
      <w:tr w:rsidR="003342E7" w:rsidRPr="003342E7" w14:paraId="72C0D8C0" w14:textId="77777777" w:rsidTr="003342E7">
        <w:trPr>
          <w:tblHeader/>
          <w:tblCellSpacing w:w="15" w:type="dxa"/>
        </w:trPr>
        <w:tc>
          <w:tcPr>
            <w:tcW w:w="0" w:type="auto"/>
            <w:vAlign w:val="center"/>
            <w:hideMark/>
          </w:tcPr>
          <w:p w14:paraId="477EEE8E" w14:textId="77777777" w:rsidR="003342E7" w:rsidRPr="003342E7" w:rsidRDefault="003342E7" w:rsidP="003342E7">
            <w:pPr>
              <w:spacing w:after="0" w:line="240" w:lineRule="auto"/>
              <w:jc w:val="center"/>
              <w:rPr>
                <w:rFonts w:eastAsia="Times New Roman" w:cs="Times New Roman"/>
                <w:b/>
                <w:bCs/>
                <w:kern w:val="0"/>
                <w:sz w:val="24"/>
                <w:szCs w:val="24"/>
                <w:lang w:eastAsia="en-GB"/>
                <w14:ligatures w14:val="none"/>
              </w:rPr>
            </w:pPr>
            <w:r w:rsidRPr="003342E7">
              <w:rPr>
                <w:rFonts w:eastAsia="Times New Roman" w:cs="Times New Roman"/>
                <w:b/>
                <w:bCs/>
                <w:kern w:val="0"/>
                <w:sz w:val="24"/>
                <w:szCs w:val="24"/>
                <w:lang w:eastAsia="en-GB"/>
                <w14:ligatures w14:val="none"/>
              </w:rPr>
              <w:t>Risk ID</w:t>
            </w:r>
          </w:p>
        </w:tc>
        <w:tc>
          <w:tcPr>
            <w:tcW w:w="0" w:type="auto"/>
            <w:vAlign w:val="center"/>
            <w:hideMark/>
          </w:tcPr>
          <w:p w14:paraId="6B929ED7" w14:textId="77777777" w:rsidR="003342E7" w:rsidRPr="003342E7" w:rsidRDefault="003342E7" w:rsidP="003342E7">
            <w:pPr>
              <w:spacing w:after="0" w:line="240" w:lineRule="auto"/>
              <w:jc w:val="center"/>
              <w:rPr>
                <w:rFonts w:eastAsia="Times New Roman" w:cs="Times New Roman"/>
                <w:b/>
                <w:bCs/>
                <w:kern w:val="0"/>
                <w:sz w:val="24"/>
                <w:szCs w:val="24"/>
                <w:lang w:eastAsia="en-GB"/>
                <w14:ligatures w14:val="none"/>
              </w:rPr>
            </w:pPr>
            <w:r w:rsidRPr="003342E7">
              <w:rPr>
                <w:rFonts w:eastAsia="Times New Roman" w:cs="Times New Roman"/>
                <w:b/>
                <w:bCs/>
                <w:kern w:val="0"/>
                <w:sz w:val="24"/>
                <w:szCs w:val="24"/>
                <w:lang w:eastAsia="en-GB"/>
                <w14:ligatures w14:val="none"/>
              </w:rPr>
              <w:t>Description</w:t>
            </w:r>
          </w:p>
        </w:tc>
        <w:tc>
          <w:tcPr>
            <w:tcW w:w="0" w:type="auto"/>
            <w:vAlign w:val="center"/>
            <w:hideMark/>
          </w:tcPr>
          <w:p w14:paraId="72E49577" w14:textId="77777777" w:rsidR="003342E7" w:rsidRPr="003342E7" w:rsidRDefault="003342E7" w:rsidP="003342E7">
            <w:pPr>
              <w:spacing w:after="0" w:line="240" w:lineRule="auto"/>
              <w:jc w:val="center"/>
              <w:rPr>
                <w:rFonts w:eastAsia="Times New Roman" w:cs="Times New Roman"/>
                <w:b/>
                <w:bCs/>
                <w:kern w:val="0"/>
                <w:sz w:val="24"/>
                <w:szCs w:val="24"/>
                <w:lang w:eastAsia="en-GB"/>
                <w14:ligatures w14:val="none"/>
              </w:rPr>
            </w:pPr>
            <w:r w:rsidRPr="003342E7">
              <w:rPr>
                <w:rFonts w:eastAsia="Times New Roman" w:cs="Times New Roman"/>
                <w:b/>
                <w:bCs/>
                <w:kern w:val="0"/>
                <w:sz w:val="24"/>
                <w:szCs w:val="24"/>
                <w:lang w:eastAsia="en-GB"/>
                <w14:ligatures w14:val="none"/>
              </w:rPr>
              <w:t>Likelihood</w:t>
            </w:r>
          </w:p>
        </w:tc>
        <w:tc>
          <w:tcPr>
            <w:tcW w:w="0" w:type="auto"/>
            <w:vAlign w:val="center"/>
            <w:hideMark/>
          </w:tcPr>
          <w:p w14:paraId="4646DDB5" w14:textId="77777777" w:rsidR="003342E7" w:rsidRPr="003342E7" w:rsidRDefault="003342E7" w:rsidP="003342E7">
            <w:pPr>
              <w:spacing w:after="0" w:line="240" w:lineRule="auto"/>
              <w:jc w:val="center"/>
              <w:rPr>
                <w:rFonts w:eastAsia="Times New Roman" w:cs="Times New Roman"/>
                <w:b/>
                <w:bCs/>
                <w:kern w:val="0"/>
                <w:sz w:val="24"/>
                <w:szCs w:val="24"/>
                <w:lang w:eastAsia="en-GB"/>
                <w14:ligatures w14:val="none"/>
              </w:rPr>
            </w:pPr>
            <w:r w:rsidRPr="003342E7">
              <w:rPr>
                <w:rFonts w:eastAsia="Times New Roman" w:cs="Times New Roman"/>
                <w:b/>
                <w:bCs/>
                <w:kern w:val="0"/>
                <w:sz w:val="24"/>
                <w:szCs w:val="24"/>
                <w:lang w:eastAsia="en-GB"/>
                <w14:ligatures w14:val="none"/>
              </w:rPr>
              <w:t>Severity</w:t>
            </w:r>
          </w:p>
        </w:tc>
        <w:tc>
          <w:tcPr>
            <w:tcW w:w="0" w:type="auto"/>
            <w:vAlign w:val="center"/>
            <w:hideMark/>
          </w:tcPr>
          <w:p w14:paraId="27B43CC0" w14:textId="77777777" w:rsidR="003342E7" w:rsidRPr="003342E7" w:rsidRDefault="003342E7" w:rsidP="003342E7">
            <w:pPr>
              <w:spacing w:after="0" w:line="240" w:lineRule="auto"/>
              <w:jc w:val="center"/>
              <w:rPr>
                <w:rFonts w:eastAsia="Times New Roman" w:cs="Times New Roman"/>
                <w:b/>
                <w:bCs/>
                <w:kern w:val="0"/>
                <w:sz w:val="24"/>
                <w:szCs w:val="24"/>
                <w:lang w:eastAsia="en-GB"/>
                <w14:ligatures w14:val="none"/>
              </w:rPr>
            </w:pPr>
            <w:r w:rsidRPr="003342E7">
              <w:rPr>
                <w:rFonts w:eastAsia="Times New Roman" w:cs="Times New Roman"/>
                <w:b/>
                <w:bCs/>
                <w:kern w:val="0"/>
                <w:sz w:val="24"/>
                <w:szCs w:val="24"/>
                <w:lang w:eastAsia="en-GB"/>
                <w14:ligatures w14:val="none"/>
              </w:rPr>
              <w:t>Rating</w:t>
            </w:r>
          </w:p>
        </w:tc>
        <w:tc>
          <w:tcPr>
            <w:tcW w:w="0" w:type="auto"/>
            <w:vAlign w:val="center"/>
            <w:hideMark/>
          </w:tcPr>
          <w:p w14:paraId="488B5CFA" w14:textId="77777777" w:rsidR="003342E7" w:rsidRPr="003342E7" w:rsidRDefault="003342E7" w:rsidP="003342E7">
            <w:pPr>
              <w:spacing w:after="0" w:line="240" w:lineRule="auto"/>
              <w:jc w:val="center"/>
              <w:rPr>
                <w:rFonts w:eastAsia="Times New Roman" w:cs="Times New Roman"/>
                <w:b/>
                <w:bCs/>
                <w:kern w:val="0"/>
                <w:sz w:val="24"/>
                <w:szCs w:val="24"/>
                <w:lang w:eastAsia="en-GB"/>
                <w14:ligatures w14:val="none"/>
              </w:rPr>
            </w:pPr>
            <w:r w:rsidRPr="003342E7">
              <w:rPr>
                <w:rFonts w:eastAsia="Times New Roman" w:cs="Times New Roman"/>
                <w:b/>
                <w:bCs/>
                <w:kern w:val="0"/>
                <w:sz w:val="24"/>
                <w:szCs w:val="24"/>
                <w:lang w:eastAsia="en-GB"/>
                <w14:ligatures w14:val="none"/>
              </w:rPr>
              <w:t>Control Measures</w:t>
            </w:r>
          </w:p>
        </w:tc>
        <w:tc>
          <w:tcPr>
            <w:tcW w:w="0" w:type="auto"/>
            <w:vAlign w:val="center"/>
            <w:hideMark/>
          </w:tcPr>
          <w:p w14:paraId="257ACABF" w14:textId="77777777" w:rsidR="003342E7" w:rsidRPr="003342E7" w:rsidRDefault="003342E7" w:rsidP="003342E7">
            <w:pPr>
              <w:spacing w:after="0" w:line="240" w:lineRule="auto"/>
              <w:jc w:val="center"/>
              <w:rPr>
                <w:rFonts w:eastAsia="Times New Roman" w:cs="Times New Roman"/>
                <w:b/>
                <w:bCs/>
                <w:kern w:val="0"/>
                <w:sz w:val="24"/>
                <w:szCs w:val="24"/>
                <w:lang w:eastAsia="en-GB"/>
                <w14:ligatures w14:val="none"/>
              </w:rPr>
            </w:pPr>
            <w:r w:rsidRPr="003342E7">
              <w:rPr>
                <w:rFonts w:eastAsia="Times New Roman" w:cs="Times New Roman"/>
                <w:b/>
                <w:bCs/>
                <w:kern w:val="0"/>
                <w:sz w:val="24"/>
                <w:szCs w:val="24"/>
                <w:lang w:eastAsia="en-GB"/>
                <w14:ligatures w14:val="none"/>
              </w:rPr>
              <w:t>Responsible</w:t>
            </w:r>
          </w:p>
        </w:tc>
      </w:tr>
      <w:tr w:rsidR="003342E7" w:rsidRPr="003342E7" w14:paraId="1D3F6187" w14:textId="77777777" w:rsidTr="003342E7">
        <w:trPr>
          <w:tblCellSpacing w:w="15" w:type="dxa"/>
        </w:trPr>
        <w:tc>
          <w:tcPr>
            <w:tcW w:w="0" w:type="auto"/>
            <w:vAlign w:val="center"/>
            <w:hideMark/>
          </w:tcPr>
          <w:p w14:paraId="6B483602"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R1</w:t>
            </w:r>
          </w:p>
        </w:tc>
        <w:tc>
          <w:tcPr>
            <w:tcW w:w="0" w:type="auto"/>
            <w:vAlign w:val="center"/>
            <w:hideMark/>
          </w:tcPr>
          <w:p w14:paraId="4C4CD918"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Excavation collapse</w:t>
            </w:r>
          </w:p>
        </w:tc>
        <w:tc>
          <w:tcPr>
            <w:tcW w:w="0" w:type="auto"/>
            <w:vAlign w:val="center"/>
            <w:hideMark/>
          </w:tcPr>
          <w:p w14:paraId="3B315CFD"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3</w:t>
            </w:r>
          </w:p>
        </w:tc>
        <w:tc>
          <w:tcPr>
            <w:tcW w:w="0" w:type="auto"/>
            <w:vAlign w:val="center"/>
            <w:hideMark/>
          </w:tcPr>
          <w:p w14:paraId="6FC925A2"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5</w:t>
            </w:r>
          </w:p>
        </w:tc>
        <w:tc>
          <w:tcPr>
            <w:tcW w:w="0" w:type="auto"/>
            <w:vAlign w:val="center"/>
            <w:hideMark/>
          </w:tcPr>
          <w:p w14:paraId="12B59BE2"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15</w:t>
            </w:r>
          </w:p>
        </w:tc>
        <w:tc>
          <w:tcPr>
            <w:tcW w:w="0" w:type="auto"/>
            <w:vAlign w:val="center"/>
            <w:hideMark/>
          </w:tcPr>
          <w:p w14:paraId="5C29F375"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Trench supports, inspections per HSG185</w:t>
            </w:r>
          </w:p>
        </w:tc>
        <w:tc>
          <w:tcPr>
            <w:tcW w:w="0" w:type="auto"/>
            <w:vAlign w:val="center"/>
            <w:hideMark/>
          </w:tcPr>
          <w:p w14:paraId="506DBED9"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Site Manager</w:t>
            </w:r>
          </w:p>
        </w:tc>
      </w:tr>
      <w:tr w:rsidR="003342E7" w:rsidRPr="003342E7" w14:paraId="233CE9EC" w14:textId="77777777" w:rsidTr="003342E7">
        <w:trPr>
          <w:tblCellSpacing w:w="15" w:type="dxa"/>
        </w:trPr>
        <w:tc>
          <w:tcPr>
            <w:tcW w:w="0" w:type="auto"/>
            <w:vAlign w:val="center"/>
            <w:hideMark/>
          </w:tcPr>
          <w:p w14:paraId="238D3197"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lastRenderedPageBreak/>
              <w:t>R2</w:t>
            </w:r>
          </w:p>
        </w:tc>
        <w:tc>
          <w:tcPr>
            <w:tcW w:w="0" w:type="auto"/>
            <w:vAlign w:val="center"/>
            <w:hideMark/>
          </w:tcPr>
          <w:p w14:paraId="7AB43482"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Falls from height</w:t>
            </w:r>
          </w:p>
        </w:tc>
        <w:tc>
          <w:tcPr>
            <w:tcW w:w="0" w:type="auto"/>
            <w:vAlign w:val="center"/>
            <w:hideMark/>
          </w:tcPr>
          <w:p w14:paraId="6E4F6A71"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4</w:t>
            </w:r>
          </w:p>
        </w:tc>
        <w:tc>
          <w:tcPr>
            <w:tcW w:w="0" w:type="auto"/>
            <w:vAlign w:val="center"/>
            <w:hideMark/>
          </w:tcPr>
          <w:p w14:paraId="77B35DC5"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5</w:t>
            </w:r>
          </w:p>
        </w:tc>
        <w:tc>
          <w:tcPr>
            <w:tcW w:w="0" w:type="auto"/>
            <w:vAlign w:val="center"/>
            <w:hideMark/>
          </w:tcPr>
          <w:p w14:paraId="37213DFC"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20</w:t>
            </w:r>
          </w:p>
        </w:tc>
        <w:tc>
          <w:tcPr>
            <w:tcW w:w="0" w:type="auto"/>
            <w:vAlign w:val="center"/>
            <w:hideMark/>
          </w:tcPr>
          <w:p w14:paraId="1153CA49"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Fall arrest systems, scaffold tags (TG20:21)</w:t>
            </w:r>
          </w:p>
        </w:tc>
        <w:tc>
          <w:tcPr>
            <w:tcW w:w="0" w:type="auto"/>
            <w:vAlign w:val="center"/>
            <w:hideMark/>
          </w:tcPr>
          <w:p w14:paraId="56840EE9"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Scaffold Supervisor</w:t>
            </w:r>
          </w:p>
        </w:tc>
      </w:tr>
      <w:tr w:rsidR="003342E7" w:rsidRPr="003342E7" w14:paraId="4BEBF9BE" w14:textId="77777777" w:rsidTr="003342E7">
        <w:trPr>
          <w:tblCellSpacing w:w="15" w:type="dxa"/>
        </w:trPr>
        <w:tc>
          <w:tcPr>
            <w:tcW w:w="0" w:type="auto"/>
            <w:vAlign w:val="center"/>
            <w:hideMark/>
          </w:tcPr>
          <w:p w14:paraId="72E6BE13"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R3</w:t>
            </w:r>
          </w:p>
        </w:tc>
        <w:tc>
          <w:tcPr>
            <w:tcW w:w="0" w:type="auto"/>
            <w:vAlign w:val="center"/>
            <w:hideMark/>
          </w:tcPr>
          <w:p w14:paraId="1916D9B6"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Plant-pedestrian collision</w:t>
            </w:r>
          </w:p>
        </w:tc>
        <w:tc>
          <w:tcPr>
            <w:tcW w:w="0" w:type="auto"/>
            <w:vAlign w:val="center"/>
            <w:hideMark/>
          </w:tcPr>
          <w:p w14:paraId="1CAAE9DF"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3</w:t>
            </w:r>
          </w:p>
        </w:tc>
        <w:tc>
          <w:tcPr>
            <w:tcW w:w="0" w:type="auto"/>
            <w:vAlign w:val="center"/>
            <w:hideMark/>
          </w:tcPr>
          <w:p w14:paraId="63DABFD0"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4</w:t>
            </w:r>
          </w:p>
        </w:tc>
        <w:tc>
          <w:tcPr>
            <w:tcW w:w="0" w:type="auto"/>
            <w:vAlign w:val="center"/>
            <w:hideMark/>
          </w:tcPr>
          <w:p w14:paraId="59FD8A6B"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12</w:t>
            </w:r>
          </w:p>
        </w:tc>
        <w:tc>
          <w:tcPr>
            <w:tcW w:w="0" w:type="auto"/>
            <w:vAlign w:val="center"/>
            <w:hideMark/>
          </w:tcPr>
          <w:p w14:paraId="6EB40E60"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Segregated walkways, banksman, PPE</w:t>
            </w:r>
          </w:p>
        </w:tc>
        <w:tc>
          <w:tcPr>
            <w:tcW w:w="0" w:type="auto"/>
            <w:vAlign w:val="center"/>
            <w:hideMark/>
          </w:tcPr>
          <w:p w14:paraId="0C985B1C"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Logistics Manager</w:t>
            </w:r>
          </w:p>
        </w:tc>
      </w:tr>
      <w:tr w:rsidR="003342E7" w:rsidRPr="003342E7" w14:paraId="678B0B47" w14:textId="77777777" w:rsidTr="003342E7">
        <w:trPr>
          <w:tblCellSpacing w:w="15" w:type="dxa"/>
        </w:trPr>
        <w:tc>
          <w:tcPr>
            <w:tcW w:w="0" w:type="auto"/>
            <w:vAlign w:val="center"/>
            <w:hideMark/>
          </w:tcPr>
          <w:p w14:paraId="36D8CD2F"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R4</w:t>
            </w:r>
          </w:p>
        </w:tc>
        <w:tc>
          <w:tcPr>
            <w:tcW w:w="0" w:type="auto"/>
            <w:vAlign w:val="center"/>
            <w:hideMark/>
          </w:tcPr>
          <w:p w14:paraId="364451C7"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Crane collapse/load drop</w:t>
            </w:r>
          </w:p>
        </w:tc>
        <w:tc>
          <w:tcPr>
            <w:tcW w:w="0" w:type="auto"/>
            <w:vAlign w:val="center"/>
            <w:hideMark/>
          </w:tcPr>
          <w:p w14:paraId="760200A1"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2</w:t>
            </w:r>
          </w:p>
        </w:tc>
        <w:tc>
          <w:tcPr>
            <w:tcW w:w="0" w:type="auto"/>
            <w:vAlign w:val="center"/>
            <w:hideMark/>
          </w:tcPr>
          <w:p w14:paraId="45DF0950"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5</w:t>
            </w:r>
          </w:p>
        </w:tc>
        <w:tc>
          <w:tcPr>
            <w:tcW w:w="0" w:type="auto"/>
            <w:vAlign w:val="center"/>
            <w:hideMark/>
          </w:tcPr>
          <w:p w14:paraId="18752066"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10</w:t>
            </w:r>
          </w:p>
        </w:tc>
        <w:tc>
          <w:tcPr>
            <w:tcW w:w="0" w:type="auto"/>
            <w:vAlign w:val="center"/>
            <w:hideMark/>
          </w:tcPr>
          <w:p w14:paraId="6068B6D4"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LOLER checks, wind monitoring, exclusion zones</w:t>
            </w:r>
          </w:p>
        </w:tc>
        <w:tc>
          <w:tcPr>
            <w:tcW w:w="0" w:type="auto"/>
            <w:vAlign w:val="center"/>
            <w:hideMark/>
          </w:tcPr>
          <w:p w14:paraId="2C3AD1B0"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Appointed Person</w:t>
            </w:r>
          </w:p>
        </w:tc>
      </w:tr>
      <w:tr w:rsidR="003342E7" w:rsidRPr="003342E7" w14:paraId="1C47AB47" w14:textId="77777777" w:rsidTr="003342E7">
        <w:trPr>
          <w:tblCellSpacing w:w="15" w:type="dxa"/>
        </w:trPr>
        <w:tc>
          <w:tcPr>
            <w:tcW w:w="0" w:type="auto"/>
            <w:vAlign w:val="center"/>
            <w:hideMark/>
          </w:tcPr>
          <w:p w14:paraId="5C3C816D"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R5</w:t>
            </w:r>
          </w:p>
        </w:tc>
        <w:tc>
          <w:tcPr>
            <w:tcW w:w="0" w:type="auto"/>
            <w:vAlign w:val="center"/>
            <w:hideMark/>
          </w:tcPr>
          <w:p w14:paraId="183E1C40"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Manual handling injuries</w:t>
            </w:r>
          </w:p>
        </w:tc>
        <w:tc>
          <w:tcPr>
            <w:tcW w:w="0" w:type="auto"/>
            <w:vAlign w:val="center"/>
            <w:hideMark/>
          </w:tcPr>
          <w:p w14:paraId="21CE7B13"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4</w:t>
            </w:r>
          </w:p>
        </w:tc>
        <w:tc>
          <w:tcPr>
            <w:tcW w:w="0" w:type="auto"/>
            <w:vAlign w:val="center"/>
            <w:hideMark/>
          </w:tcPr>
          <w:p w14:paraId="095447BF"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3</w:t>
            </w:r>
          </w:p>
        </w:tc>
        <w:tc>
          <w:tcPr>
            <w:tcW w:w="0" w:type="auto"/>
            <w:vAlign w:val="center"/>
            <w:hideMark/>
          </w:tcPr>
          <w:p w14:paraId="01511493"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12</w:t>
            </w:r>
          </w:p>
        </w:tc>
        <w:tc>
          <w:tcPr>
            <w:tcW w:w="0" w:type="auto"/>
            <w:vAlign w:val="center"/>
            <w:hideMark/>
          </w:tcPr>
          <w:p w14:paraId="1E8F08FF"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Training, lifting aids, shift rotation</w:t>
            </w:r>
          </w:p>
        </w:tc>
        <w:tc>
          <w:tcPr>
            <w:tcW w:w="0" w:type="auto"/>
            <w:vAlign w:val="center"/>
            <w:hideMark/>
          </w:tcPr>
          <w:p w14:paraId="7058DDF3"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H&amp;S Officer</w:t>
            </w:r>
          </w:p>
        </w:tc>
      </w:tr>
      <w:tr w:rsidR="003342E7" w:rsidRPr="003342E7" w14:paraId="7B26B831" w14:textId="77777777" w:rsidTr="003342E7">
        <w:trPr>
          <w:tblCellSpacing w:w="15" w:type="dxa"/>
        </w:trPr>
        <w:tc>
          <w:tcPr>
            <w:tcW w:w="0" w:type="auto"/>
            <w:vAlign w:val="center"/>
            <w:hideMark/>
          </w:tcPr>
          <w:p w14:paraId="0482858F"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R6</w:t>
            </w:r>
          </w:p>
        </w:tc>
        <w:tc>
          <w:tcPr>
            <w:tcW w:w="0" w:type="auto"/>
            <w:vAlign w:val="center"/>
            <w:hideMark/>
          </w:tcPr>
          <w:p w14:paraId="1E4A6C5C"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Fire during hot works</w:t>
            </w:r>
          </w:p>
        </w:tc>
        <w:tc>
          <w:tcPr>
            <w:tcW w:w="0" w:type="auto"/>
            <w:vAlign w:val="center"/>
            <w:hideMark/>
          </w:tcPr>
          <w:p w14:paraId="282BBBBF"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3</w:t>
            </w:r>
          </w:p>
        </w:tc>
        <w:tc>
          <w:tcPr>
            <w:tcW w:w="0" w:type="auto"/>
            <w:vAlign w:val="center"/>
            <w:hideMark/>
          </w:tcPr>
          <w:p w14:paraId="30CE5C50"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4</w:t>
            </w:r>
          </w:p>
        </w:tc>
        <w:tc>
          <w:tcPr>
            <w:tcW w:w="0" w:type="auto"/>
            <w:vAlign w:val="center"/>
            <w:hideMark/>
          </w:tcPr>
          <w:p w14:paraId="77B83F4D"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12</w:t>
            </w:r>
          </w:p>
        </w:tc>
        <w:tc>
          <w:tcPr>
            <w:tcW w:w="0" w:type="auto"/>
            <w:vAlign w:val="center"/>
            <w:hideMark/>
          </w:tcPr>
          <w:p w14:paraId="72616FCB"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Fire permits, fire watch, extinguishers</w:t>
            </w:r>
          </w:p>
        </w:tc>
        <w:tc>
          <w:tcPr>
            <w:tcW w:w="0" w:type="auto"/>
            <w:vAlign w:val="center"/>
            <w:hideMark/>
          </w:tcPr>
          <w:p w14:paraId="1F0AC4A5"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Site Supervisor</w:t>
            </w:r>
          </w:p>
        </w:tc>
      </w:tr>
      <w:tr w:rsidR="003342E7" w:rsidRPr="003342E7" w14:paraId="7135F3B7" w14:textId="77777777" w:rsidTr="003342E7">
        <w:trPr>
          <w:tblCellSpacing w:w="15" w:type="dxa"/>
        </w:trPr>
        <w:tc>
          <w:tcPr>
            <w:tcW w:w="0" w:type="auto"/>
            <w:vAlign w:val="center"/>
            <w:hideMark/>
          </w:tcPr>
          <w:p w14:paraId="1775303B"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R7</w:t>
            </w:r>
          </w:p>
        </w:tc>
        <w:tc>
          <w:tcPr>
            <w:tcW w:w="0" w:type="auto"/>
            <w:vAlign w:val="center"/>
            <w:hideMark/>
          </w:tcPr>
          <w:p w14:paraId="05C807CD"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Slips/trips on uneven ground</w:t>
            </w:r>
          </w:p>
        </w:tc>
        <w:tc>
          <w:tcPr>
            <w:tcW w:w="0" w:type="auto"/>
            <w:vAlign w:val="center"/>
            <w:hideMark/>
          </w:tcPr>
          <w:p w14:paraId="65DFF812"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4</w:t>
            </w:r>
          </w:p>
        </w:tc>
        <w:tc>
          <w:tcPr>
            <w:tcW w:w="0" w:type="auto"/>
            <w:vAlign w:val="center"/>
            <w:hideMark/>
          </w:tcPr>
          <w:p w14:paraId="5C3CB802"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2</w:t>
            </w:r>
          </w:p>
        </w:tc>
        <w:tc>
          <w:tcPr>
            <w:tcW w:w="0" w:type="auto"/>
            <w:vAlign w:val="center"/>
            <w:hideMark/>
          </w:tcPr>
          <w:p w14:paraId="206C0D07"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8</w:t>
            </w:r>
          </w:p>
        </w:tc>
        <w:tc>
          <w:tcPr>
            <w:tcW w:w="0" w:type="auto"/>
            <w:vAlign w:val="center"/>
            <w:hideMark/>
          </w:tcPr>
          <w:p w14:paraId="6C3C9963"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Site maintenance, anti-slip surfacing</w:t>
            </w:r>
          </w:p>
        </w:tc>
        <w:tc>
          <w:tcPr>
            <w:tcW w:w="0" w:type="auto"/>
            <w:vAlign w:val="center"/>
            <w:hideMark/>
          </w:tcPr>
          <w:p w14:paraId="6BD54E9E"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All Staff</w:t>
            </w:r>
          </w:p>
        </w:tc>
      </w:tr>
      <w:tr w:rsidR="003342E7" w:rsidRPr="003342E7" w14:paraId="1D9E7AAE" w14:textId="77777777" w:rsidTr="003342E7">
        <w:trPr>
          <w:tblCellSpacing w:w="15" w:type="dxa"/>
        </w:trPr>
        <w:tc>
          <w:tcPr>
            <w:tcW w:w="0" w:type="auto"/>
            <w:vAlign w:val="center"/>
            <w:hideMark/>
          </w:tcPr>
          <w:p w14:paraId="3DD3981C"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R8</w:t>
            </w:r>
          </w:p>
        </w:tc>
        <w:tc>
          <w:tcPr>
            <w:tcW w:w="0" w:type="auto"/>
            <w:vAlign w:val="center"/>
            <w:hideMark/>
          </w:tcPr>
          <w:p w14:paraId="797F41E9"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Weather disruption</w:t>
            </w:r>
          </w:p>
        </w:tc>
        <w:tc>
          <w:tcPr>
            <w:tcW w:w="0" w:type="auto"/>
            <w:vAlign w:val="center"/>
            <w:hideMark/>
          </w:tcPr>
          <w:p w14:paraId="22107C63"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4</w:t>
            </w:r>
          </w:p>
        </w:tc>
        <w:tc>
          <w:tcPr>
            <w:tcW w:w="0" w:type="auto"/>
            <w:vAlign w:val="center"/>
            <w:hideMark/>
          </w:tcPr>
          <w:p w14:paraId="6D809570"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3</w:t>
            </w:r>
          </w:p>
        </w:tc>
        <w:tc>
          <w:tcPr>
            <w:tcW w:w="0" w:type="auto"/>
            <w:vAlign w:val="center"/>
            <w:hideMark/>
          </w:tcPr>
          <w:p w14:paraId="78F1E1B8"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12</w:t>
            </w:r>
          </w:p>
        </w:tc>
        <w:tc>
          <w:tcPr>
            <w:tcW w:w="0" w:type="auto"/>
            <w:vAlign w:val="center"/>
            <w:hideMark/>
          </w:tcPr>
          <w:p w14:paraId="726D4FBE"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Contingency allowances, frost blankets, rescheduling</w:t>
            </w:r>
          </w:p>
        </w:tc>
        <w:tc>
          <w:tcPr>
            <w:tcW w:w="0" w:type="auto"/>
            <w:vAlign w:val="center"/>
            <w:hideMark/>
          </w:tcPr>
          <w:p w14:paraId="66992E9F"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PM/QS</w:t>
            </w:r>
          </w:p>
        </w:tc>
      </w:tr>
      <w:tr w:rsidR="003342E7" w:rsidRPr="003342E7" w14:paraId="4C4C3936" w14:textId="77777777" w:rsidTr="003342E7">
        <w:trPr>
          <w:tblCellSpacing w:w="15" w:type="dxa"/>
        </w:trPr>
        <w:tc>
          <w:tcPr>
            <w:tcW w:w="0" w:type="auto"/>
            <w:vAlign w:val="center"/>
            <w:hideMark/>
          </w:tcPr>
          <w:p w14:paraId="63D534C8"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R9</w:t>
            </w:r>
          </w:p>
        </w:tc>
        <w:tc>
          <w:tcPr>
            <w:tcW w:w="0" w:type="auto"/>
            <w:vAlign w:val="center"/>
            <w:hideMark/>
          </w:tcPr>
          <w:p w14:paraId="0556D91E"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Noise/vibration complaints</w:t>
            </w:r>
          </w:p>
        </w:tc>
        <w:tc>
          <w:tcPr>
            <w:tcW w:w="0" w:type="auto"/>
            <w:vAlign w:val="center"/>
            <w:hideMark/>
          </w:tcPr>
          <w:p w14:paraId="6FD3FC0F"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3</w:t>
            </w:r>
          </w:p>
        </w:tc>
        <w:tc>
          <w:tcPr>
            <w:tcW w:w="0" w:type="auto"/>
            <w:vAlign w:val="center"/>
            <w:hideMark/>
          </w:tcPr>
          <w:p w14:paraId="3279B314"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2</w:t>
            </w:r>
          </w:p>
        </w:tc>
        <w:tc>
          <w:tcPr>
            <w:tcW w:w="0" w:type="auto"/>
            <w:vAlign w:val="center"/>
            <w:hideMark/>
          </w:tcPr>
          <w:p w14:paraId="01D7C1D6"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6</w:t>
            </w:r>
          </w:p>
        </w:tc>
        <w:tc>
          <w:tcPr>
            <w:tcW w:w="0" w:type="auto"/>
            <w:vAlign w:val="center"/>
            <w:hideMark/>
          </w:tcPr>
          <w:p w14:paraId="4D33F1BA"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Noise monitoring, restricted work hours</w:t>
            </w:r>
          </w:p>
        </w:tc>
        <w:tc>
          <w:tcPr>
            <w:tcW w:w="0" w:type="auto"/>
            <w:vAlign w:val="center"/>
            <w:hideMark/>
          </w:tcPr>
          <w:p w14:paraId="5CCD553F"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 xml:space="preserve">Environmental </w:t>
            </w:r>
            <w:proofErr w:type="spellStart"/>
            <w:r w:rsidRPr="003342E7">
              <w:rPr>
                <w:rFonts w:eastAsia="Times New Roman" w:cs="Times New Roman"/>
                <w:kern w:val="0"/>
                <w:sz w:val="24"/>
                <w:szCs w:val="24"/>
                <w:lang w:eastAsia="en-GB"/>
                <w14:ligatures w14:val="none"/>
              </w:rPr>
              <w:t>Mgr</w:t>
            </w:r>
            <w:proofErr w:type="spellEnd"/>
          </w:p>
        </w:tc>
      </w:tr>
      <w:tr w:rsidR="003342E7" w:rsidRPr="003342E7" w14:paraId="665F9BF0" w14:textId="77777777" w:rsidTr="003342E7">
        <w:trPr>
          <w:tblCellSpacing w:w="15" w:type="dxa"/>
        </w:trPr>
        <w:tc>
          <w:tcPr>
            <w:tcW w:w="0" w:type="auto"/>
            <w:vAlign w:val="center"/>
            <w:hideMark/>
          </w:tcPr>
          <w:p w14:paraId="233BB8F7"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R10</w:t>
            </w:r>
          </w:p>
        </w:tc>
        <w:tc>
          <w:tcPr>
            <w:tcW w:w="0" w:type="auto"/>
            <w:vAlign w:val="center"/>
            <w:hideMark/>
          </w:tcPr>
          <w:p w14:paraId="4533A83B"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Theft and vandalism</w:t>
            </w:r>
          </w:p>
        </w:tc>
        <w:tc>
          <w:tcPr>
            <w:tcW w:w="0" w:type="auto"/>
            <w:vAlign w:val="center"/>
            <w:hideMark/>
          </w:tcPr>
          <w:p w14:paraId="69C9CABB"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2</w:t>
            </w:r>
          </w:p>
        </w:tc>
        <w:tc>
          <w:tcPr>
            <w:tcW w:w="0" w:type="auto"/>
            <w:vAlign w:val="center"/>
            <w:hideMark/>
          </w:tcPr>
          <w:p w14:paraId="7D7345F7"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3</w:t>
            </w:r>
          </w:p>
        </w:tc>
        <w:tc>
          <w:tcPr>
            <w:tcW w:w="0" w:type="auto"/>
            <w:vAlign w:val="center"/>
            <w:hideMark/>
          </w:tcPr>
          <w:p w14:paraId="4A50135C"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6</w:t>
            </w:r>
          </w:p>
        </w:tc>
        <w:tc>
          <w:tcPr>
            <w:tcW w:w="0" w:type="auto"/>
            <w:vAlign w:val="center"/>
            <w:hideMark/>
          </w:tcPr>
          <w:p w14:paraId="7D03895C"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CCTV, security fencing, secure storage units</w:t>
            </w:r>
          </w:p>
        </w:tc>
        <w:tc>
          <w:tcPr>
            <w:tcW w:w="0" w:type="auto"/>
            <w:vAlign w:val="center"/>
            <w:hideMark/>
          </w:tcPr>
          <w:p w14:paraId="0BB97F91" w14:textId="77777777" w:rsidR="003342E7" w:rsidRPr="003342E7" w:rsidRDefault="003342E7" w:rsidP="003342E7">
            <w:pPr>
              <w:spacing w:after="0"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Contractor</w:t>
            </w:r>
          </w:p>
        </w:tc>
      </w:tr>
    </w:tbl>
    <w:p w14:paraId="7CEE4437" w14:textId="4B0328CD" w:rsidR="003342E7" w:rsidRPr="003342E7" w:rsidRDefault="003342E7" w:rsidP="008C2916">
      <w:pPr>
        <w:pStyle w:val="Heading2"/>
        <w:rPr>
          <w:rFonts w:eastAsia="Times New Roman"/>
          <w:lang w:eastAsia="en-GB"/>
        </w:rPr>
      </w:pPr>
      <w:bookmarkStart w:id="13" w:name="_Toc204170122"/>
      <w:r w:rsidRPr="003342E7">
        <w:rPr>
          <w:rFonts w:eastAsia="Times New Roman"/>
          <w:lang w:eastAsia="en-GB"/>
        </w:rPr>
        <w:t>Residual Risk Management</w:t>
      </w:r>
      <w:bookmarkEnd w:id="13"/>
    </w:p>
    <w:p w14:paraId="5BBBDFC0" w14:textId="1EF8F06C" w:rsidR="003342E7" w:rsidRPr="003342E7" w:rsidRDefault="003342E7" w:rsidP="003342E7">
      <w:pPr>
        <w:spacing w:before="100" w:beforeAutospacing="1" w:after="100" w:afterAutospacing="1" w:line="240" w:lineRule="auto"/>
        <w:rPr>
          <w:rFonts w:eastAsia="Times New Roman"/>
          <w:kern w:val="0"/>
          <w:lang w:eastAsia="en-GB"/>
          <w14:ligatures w14:val="none"/>
        </w:rPr>
      </w:pPr>
      <w:r w:rsidRPr="003342E7">
        <w:rPr>
          <w:rFonts w:eastAsia="Times New Roman" w:cs="Times New Roman"/>
          <w:kern w:val="0"/>
          <w:sz w:val="24"/>
          <w:szCs w:val="24"/>
          <w:lang w:eastAsia="en-GB"/>
          <w14:ligatures w14:val="none"/>
        </w:rPr>
        <w:t>Residual risks persist even after mitigation measures are implemented. Effective management of these involves ongoing awareness and communication across the workforce. All operatives undergo detailed site inductions, which are tailored to the project's changing risk profile. Regular toolbox talks address daily and phase-specific hazards, while RAMS (Risk Assessment and Method Statement) documents are revisited and revised in response to near-miss reports or emerging risks. This iterative process ensures the controls remain both practical and relevant</w:t>
      </w:r>
      <w:r w:rsidR="006843C8">
        <w:rPr>
          <w:rFonts w:eastAsia="Times New Roman" w:cs="Times New Roman"/>
          <w:kern w:val="0"/>
          <w:sz w:val="24"/>
          <w:szCs w:val="24"/>
          <w:lang w:eastAsia="en-GB"/>
          <w14:ligatures w14:val="none"/>
        </w:rPr>
        <w:t xml:space="preserve"> </w:t>
      </w:r>
      <w:r w:rsidR="00435F7D">
        <w:rPr>
          <w:rFonts w:eastAsia="Times New Roman" w:cs="Times New Roman"/>
          <w:kern w:val="0"/>
          <w:sz w:val="24"/>
          <w:szCs w:val="24"/>
          <w:lang w:eastAsia="en-GB"/>
          <w14:ligatures w14:val="none"/>
        </w:rPr>
        <w:t>(</w:t>
      </w:r>
      <w:r w:rsidR="00435F7D" w:rsidRPr="00435F7D">
        <w:rPr>
          <w:rFonts w:eastAsia="Times New Roman"/>
          <w:kern w:val="0"/>
          <w:lang w:eastAsia="en-GB"/>
          <w14:ligatures w14:val="none"/>
        </w:rPr>
        <w:t>CITB, 2021; IOSH, 2021)</w:t>
      </w:r>
      <w:r w:rsidRPr="003342E7">
        <w:rPr>
          <w:rFonts w:eastAsia="Times New Roman" w:cs="Times New Roman"/>
          <w:kern w:val="0"/>
          <w:sz w:val="24"/>
          <w:szCs w:val="24"/>
          <w:lang w:eastAsia="en-GB"/>
          <w14:ligatures w14:val="none"/>
        </w:rPr>
        <w:t>.</w:t>
      </w:r>
    </w:p>
    <w:p w14:paraId="4946DACF" w14:textId="54AC877A" w:rsidR="008C2916" w:rsidRPr="006843C8" w:rsidRDefault="003342E7" w:rsidP="008C2916">
      <w:pPr>
        <w:spacing w:before="100" w:beforeAutospacing="1" w:after="100" w:afterAutospacing="1" w:line="240" w:lineRule="auto"/>
        <w:rPr>
          <w:rFonts w:eastAsia="Times New Roman"/>
          <w:kern w:val="0"/>
          <w:lang w:eastAsia="en-GB"/>
          <w14:ligatures w14:val="none"/>
        </w:rPr>
      </w:pPr>
      <w:r w:rsidRPr="003342E7">
        <w:rPr>
          <w:rFonts w:eastAsia="Times New Roman" w:cs="Times New Roman"/>
          <w:kern w:val="0"/>
          <w:sz w:val="24"/>
          <w:szCs w:val="24"/>
          <w:lang w:eastAsia="en-GB"/>
          <w14:ligatures w14:val="none"/>
        </w:rPr>
        <w:t xml:space="preserve">A visual safety board is updated daily to display priority risks and emergency procedures, reinforcing a culture of continual vigilance. Moreover, the project team promotes learning from past incidents via post-incident reviews, which are then shared with subcontractors and suppliers during weekly coordination meetings. This open </w:t>
      </w:r>
      <w:r w:rsidRPr="003342E7">
        <w:rPr>
          <w:rFonts w:eastAsia="Times New Roman" w:cs="Times New Roman"/>
          <w:kern w:val="0"/>
          <w:sz w:val="24"/>
          <w:szCs w:val="24"/>
          <w:lang w:eastAsia="en-GB"/>
          <w14:ligatures w14:val="none"/>
        </w:rPr>
        <w:lastRenderedPageBreak/>
        <w:t>exchange strengthens safety culture across the supply chain and improves the quality of controls over time</w:t>
      </w:r>
      <w:r w:rsidR="006843C8">
        <w:rPr>
          <w:rFonts w:eastAsia="Times New Roman" w:cs="Times New Roman"/>
          <w:kern w:val="0"/>
          <w:sz w:val="24"/>
          <w:szCs w:val="24"/>
          <w:lang w:eastAsia="en-GB"/>
          <w14:ligatures w14:val="none"/>
        </w:rPr>
        <w:t xml:space="preserve"> </w:t>
      </w:r>
      <w:r w:rsidR="006843C8" w:rsidRPr="006843C8">
        <w:rPr>
          <w:rFonts w:eastAsia="Times New Roman"/>
          <w:kern w:val="0"/>
          <w:lang w:eastAsia="en-GB"/>
          <w14:ligatures w14:val="none"/>
        </w:rPr>
        <w:t>(Viewpoint, 2024)</w:t>
      </w:r>
      <w:r w:rsidR="006843C8">
        <w:rPr>
          <w:rFonts w:eastAsia="Times New Roman"/>
          <w:kern w:val="0"/>
          <w:lang w:eastAsia="en-GB"/>
          <w14:ligatures w14:val="none"/>
        </w:rPr>
        <w:t>.</w:t>
      </w:r>
    </w:p>
    <w:p w14:paraId="429C858B" w14:textId="1A8A5E0D" w:rsidR="003342E7" w:rsidRPr="003342E7" w:rsidRDefault="003342E7" w:rsidP="008C2916">
      <w:pPr>
        <w:pStyle w:val="Heading2"/>
        <w:rPr>
          <w:rFonts w:eastAsia="Times New Roman"/>
          <w:sz w:val="24"/>
          <w:szCs w:val="24"/>
          <w:lang w:eastAsia="en-GB"/>
        </w:rPr>
      </w:pPr>
      <w:bookmarkStart w:id="14" w:name="_Toc204170123"/>
      <w:r w:rsidRPr="003342E7">
        <w:rPr>
          <w:rFonts w:eastAsia="Times New Roman"/>
          <w:lang w:eastAsia="en-GB"/>
        </w:rPr>
        <w:t>Regulatory and Contractual Framework</w:t>
      </w:r>
      <w:bookmarkEnd w:id="14"/>
    </w:p>
    <w:p w14:paraId="09BC0688" w14:textId="1BF511E4" w:rsidR="003342E7" w:rsidRPr="003342E7" w:rsidRDefault="003342E7" w:rsidP="003342E7">
      <w:pPr>
        <w:spacing w:before="100" w:beforeAutospacing="1" w:after="100" w:afterAutospacing="1" w:line="240" w:lineRule="auto"/>
        <w:rPr>
          <w:rFonts w:eastAsia="Times New Roman"/>
          <w:kern w:val="0"/>
          <w:lang w:eastAsia="en-GB"/>
          <w14:ligatures w14:val="none"/>
        </w:rPr>
      </w:pPr>
      <w:r w:rsidRPr="003342E7">
        <w:rPr>
          <w:rFonts w:eastAsia="Times New Roman" w:cs="Times New Roman"/>
          <w:kern w:val="0"/>
          <w:sz w:val="24"/>
          <w:szCs w:val="24"/>
          <w:lang w:eastAsia="en-GB"/>
          <w14:ligatures w14:val="none"/>
        </w:rPr>
        <w:t>The framework underpinning the risk register is rooted in both statutory and contractual obligations. CDM 2015, particularly Regulations 12 to 15, mandates Principal Contractors to ensure the site is designed, managed, and operated in a way that enables safe working practices. ISO 45001 enhances this obligation by formalising a hierarchy of controls and integrating risk-based thinking into organisational systems. Additionally, the NEC3/NEC4 suites of contracts—specifically Clause 80—require clear allocation of risk liability between client and contractor. These clauses ensure that health, safety, and financial risks are shared equitably and accounted for in project planning</w:t>
      </w:r>
      <w:r w:rsidR="00214753">
        <w:rPr>
          <w:rFonts w:eastAsia="Times New Roman" w:cs="Times New Roman"/>
          <w:kern w:val="0"/>
          <w:sz w:val="24"/>
          <w:szCs w:val="24"/>
          <w:lang w:eastAsia="en-GB"/>
          <w14:ligatures w14:val="none"/>
        </w:rPr>
        <w:t xml:space="preserve"> </w:t>
      </w:r>
      <w:r w:rsidR="00214753" w:rsidRPr="00214753">
        <w:rPr>
          <w:rFonts w:eastAsia="Times New Roman"/>
          <w:kern w:val="0"/>
          <w:lang w:eastAsia="en-GB"/>
          <w14:ligatures w14:val="none"/>
        </w:rPr>
        <w:t>(NEC, 2017)</w:t>
      </w:r>
      <w:r w:rsidR="00214753">
        <w:rPr>
          <w:rFonts w:eastAsia="Times New Roman"/>
          <w:kern w:val="0"/>
          <w:lang w:eastAsia="en-GB"/>
          <w14:ligatures w14:val="none"/>
        </w:rPr>
        <w:t>.</w:t>
      </w:r>
    </w:p>
    <w:p w14:paraId="0D534B81" w14:textId="2FDBBB0F" w:rsidR="003342E7" w:rsidRPr="003342E7" w:rsidRDefault="003342E7" w:rsidP="008C2916">
      <w:pPr>
        <w:pStyle w:val="Heading2"/>
        <w:rPr>
          <w:rFonts w:eastAsia="Times New Roman"/>
          <w:lang w:eastAsia="en-GB"/>
        </w:rPr>
      </w:pPr>
      <w:bookmarkStart w:id="15" w:name="_Toc204170124"/>
      <w:r w:rsidRPr="003342E7">
        <w:rPr>
          <w:rFonts w:eastAsia="Times New Roman"/>
          <w:lang w:eastAsia="en-GB"/>
        </w:rPr>
        <w:t>Risk Review and Audit Process</w:t>
      </w:r>
      <w:bookmarkEnd w:id="15"/>
    </w:p>
    <w:p w14:paraId="4F843AE6" w14:textId="7C07FDEE" w:rsidR="003342E7" w:rsidRPr="003342E7" w:rsidRDefault="003342E7" w:rsidP="003342E7">
      <w:pPr>
        <w:spacing w:before="100" w:beforeAutospacing="1" w:after="100" w:afterAutospacing="1" w:line="240" w:lineRule="auto"/>
        <w:rPr>
          <w:rFonts w:eastAsia="Times New Roman"/>
          <w:kern w:val="0"/>
          <w:lang w:eastAsia="en-GB"/>
          <w14:ligatures w14:val="none"/>
        </w:rPr>
      </w:pPr>
      <w:r w:rsidRPr="003342E7">
        <w:rPr>
          <w:rFonts w:eastAsia="Times New Roman" w:cs="Times New Roman"/>
          <w:kern w:val="0"/>
          <w:sz w:val="24"/>
          <w:szCs w:val="24"/>
          <w:lang w:eastAsia="en-GB"/>
          <w14:ligatures w14:val="none"/>
        </w:rPr>
        <w:t xml:space="preserve">Risk reviews are held weekly and coincide with site coordination meetings. These sessions assess newly emerging hazards, confirm the continued relevance of existing controls, and integrate upcoming project activities into the risk framework. Monthly audits—led by internal safety officers and verified by external consultants—ensure that compliance standards are upheld. These involve documentation checks, worker interviews, and site </w:t>
      </w:r>
      <w:proofErr w:type="gramStart"/>
      <w:r w:rsidRPr="003342E7">
        <w:rPr>
          <w:rFonts w:eastAsia="Times New Roman" w:cs="Times New Roman"/>
          <w:kern w:val="0"/>
          <w:sz w:val="24"/>
          <w:szCs w:val="24"/>
          <w:lang w:eastAsia="en-GB"/>
          <w14:ligatures w14:val="none"/>
        </w:rPr>
        <w:t>inspections</w:t>
      </w:r>
      <w:r w:rsidR="00214753">
        <w:rPr>
          <w:rFonts w:eastAsia="Times New Roman" w:cs="Times New Roman"/>
          <w:kern w:val="0"/>
          <w:sz w:val="24"/>
          <w:szCs w:val="24"/>
          <w:lang w:eastAsia="en-GB"/>
          <w14:ligatures w14:val="none"/>
        </w:rPr>
        <w:t xml:space="preserve">  </w:t>
      </w:r>
      <w:r w:rsidR="00214753" w:rsidRPr="00214753">
        <w:rPr>
          <w:rFonts w:eastAsia="Times New Roman"/>
          <w:kern w:val="0"/>
          <w:lang w:eastAsia="en-GB"/>
          <w14:ligatures w14:val="none"/>
        </w:rPr>
        <w:t>(</w:t>
      </w:r>
      <w:proofErr w:type="gramEnd"/>
      <w:r w:rsidR="00214753" w:rsidRPr="00214753">
        <w:rPr>
          <w:rFonts w:eastAsia="Times New Roman"/>
          <w:kern w:val="0"/>
          <w:lang w:eastAsia="en-GB"/>
          <w14:ligatures w14:val="none"/>
        </w:rPr>
        <w:t>CITB, 2021; HSE, 2015)</w:t>
      </w:r>
      <w:r w:rsidR="00214753">
        <w:rPr>
          <w:rFonts w:eastAsia="Times New Roman"/>
          <w:kern w:val="0"/>
          <w:lang w:eastAsia="en-GB"/>
          <w14:ligatures w14:val="none"/>
        </w:rPr>
        <w:t>.</w:t>
      </w:r>
    </w:p>
    <w:p w14:paraId="1ED47BBF" w14:textId="77777777" w:rsidR="003342E7" w:rsidRPr="003342E7" w:rsidRDefault="003342E7" w:rsidP="003342E7">
      <w:pPr>
        <w:spacing w:before="100" w:beforeAutospacing="1" w:after="100" w:afterAutospacing="1"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In the event of a serious incident or a near miss, immediate risk reassessment is mandated. Corrective actions are implemented within 24 hours, with outcomes recorded in the project’s digital safety platform. Lessons learned are not only addressed locally but also cascaded across the broader organisation to prevent recurrence.</w:t>
      </w:r>
    </w:p>
    <w:p w14:paraId="589C2155" w14:textId="0EB99BDD" w:rsidR="003342E7" w:rsidRPr="003342E7" w:rsidRDefault="003342E7" w:rsidP="008C2916">
      <w:pPr>
        <w:pStyle w:val="Heading2"/>
        <w:rPr>
          <w:rFonts w:eastAsia="Times New Roman"/>
          <w:lang w:eastAsia="en-GB"/>
        </w:rPr>
      </w:pPr>
      <w:bookmarkStart w:id="16" w:name="_Toc204170125"/>
      <w:r w:rsidRPr="003342E7">
        <w:rPr>
          <w:rFonts w:eastAsia="Times New Roman"/>
          <w:lang w:eastAsia="en-GB"/>
        </w:rPr>
        <w:t>Tools and Software</w:t>
      </w:r>
      <w:bookmarkEnd w:id="16"/>
    </w:p>
    <w:p w14:paraId="78B796A3" w14:textId="7306EE73" w:rsidR="003342E7" w:rsidRPr="003342E7" w:rsidRDefault="003342E7" w:rsidP="003342E7">
      <w:pPr>
        <w:spacing w:before="100" w:beforeAutospacing="1" w:after="100" w:afterAutospacing="1" w:line="240" w:lineRule="auto"/>
        <w:rPr>
          <w:rFonts w:eastAsia="Times New Roman"/>
          <w:kern w:val="0"/>
          <w:lang w:eastAsia="en-GB"/>
          <w14:ligatures w14:val="none"/>
        </w:rPr>
      </w:pPr>
      <w:r w:rsidRPr="003342E7">
        <w:rPr>
          <w:rFonts w:eastAsia="Times New Roman" w:cs="Times New Roman"/>
          <w:kern w:val="0"/>
          <w:sz w:val="24"/>
          <w:szCs w:val="24"/>
          <w:lang w:eastAsia="en-GB"/>
          <w14:ligatures w14:val="none"/>
        </w:rPr>
        <w:t xml:space="preserve">Digital technology is increasingly used to enhance risk communication and control. Platforms such as </w:t>
      </w:r>
      <w:proofErr w:type="spellStart"/>
      <w:r w:rsidRPr="003342E7">
        <w:rPr>
          <w:rFonts w:eastAsia="Times New Roman" w:cs="Times New Roman"/>
          <w:kern w:val="0"/>
          <w:sz w:val="24"/>
          <w:szCs w:val="24"/>
          <w:lang w:eastAsia="en-GB"/>
          <w14:ligatures w14:val="none"/>
        </w:rPr>
        <w:t>FieldView</w:t>
      </w:r>
      <w:proofErr w:type="spellEnd"/>
      <w:r w:rsidRPr="003342E7">
        <w:rPr>
          <w:rFonts w:eastAsia="Times New Roman" w:cs="Times New Roman"/>
          <w:kern w:val="0"/>
          <w:sz w:val="24"/>
          <w:szCs w:val="24"/>
          <w:lang w:eastAsia="en-GB"/>
          <w14:ligatures w14:val="none"/>
        </w:rPr>
        <w:t xml:space="preserve"> and Procore allow for real-time updates, photographic evidence of hazards, and task-specific risk profiling. QR code tagging on safety signage enables rapid reporting, while integrations with scheduling software ensure that activities involving high-risk elements—such as crane lifts or confined space entry—are coordinated in advance</w:t>
      </w:r>
      <w:r w:rsidR="00952924">
        <w:rPr>
          <w:rFonts w:eastAsia="Times New Roman" w:cs="Times New Roman"/>
          <w:kern w:val="0"/>
          <w:sz w:val="24"/>
          <w:szCs w:val="24"/>
          <w:lang w:eastAsia="en-GB"/>
          <w14:ligatures w14:val="none"/>
        </w:rPr>
        <w:t xml:space="preserve"> </w:t>
      </w:r>
      <w:r w:rsidR="00952924" w:rsidRPr="00952924">
        <w:rPr>
          <w:rFonts w:eastAsia="Times New Roman"/>
          <w:kern w:val="0"/>
          <w:lang w:eastAsia="en-GB"/>
          <w14:ligatures w14:val="none"/>
        </w:rPr>
        <w:t>(Procore, 2024</w:t>
      </w:r>
      <w:r w:rsidR="00952924">
        <w:rPr>
          <w:rFonts w:eastAsia="Times New Roman"/>
          <w:kern w:val="0"/>
          <w:lang w:eastAsia="en-GB"/>
          <w14:ligatures w14:val="none"/>
        </w:rPr>
        <w:t>)</w:t>
      </w:r>
    </w:p>
    <w:p w14:paraId="361AE679" w14:textId="50198D47" w:rsidR="003342E7" w:rsidRPr="003342E7" w:rsidRDefault="003342E7" w:rsidP="003342E7">
      <w:pPr>
        <w:spacing w:after="0" w:line="240" w:lineRule="auto"/>
        <w:rPr>
          <w:rFonts w:eastAsia="Times New Roman" w:cs="Times New Roman"/>
          <w:kern w:val="0"/>
          <w:sz w:val="24"/>
          <w:szCs w:val="24"/>
          <w:lang w:eastAsia="en-GB"/>
          <w14:ligatures w14:val="none"/>
        </w:rPr>
      </w:pPr>
    </w:p>
    <w:p w14:paraId="41088227" w14:textId="7F4DAEA5" w:rsidR="003342E7" w:rsidRPr="003342E7" w:rsidRDefault="003342E7" w:rsidP="008C2916">
      <w:pPr>
        <w:pStyle w:val="Heading1"/>
        <w:rPr>
          <w:rFonts w:eastAsia="Times New Roman"/>
          <w:lang w:eastAsia="en-GB"/>
        </w:rPr>
      </w:pPr>
      <w:bookmarkStart w:id="17" w:name="_Toc204170126"/>
      <w:r w:rsidRPr="003342E7">
        <w:rPr>
          <w:rFonts w:eastAsia="Times New Roman"/>
          <w:lang w:eastAsia="en-GB"/>
        </w:rPr>
        <w:t>Conclusion</w:t>
      </w:r>
      <w:bookmarkEnd w:id="17"/>
      <w:r w:rsidRPr="003342E7">
        <w:rPr>
          <w:rFonts w:eastAsia="Times New Roman"/>
          <w:lang w:eastAsia="en-GB"/>
        </w:rPr>
        <w:t xml:space="preserve"> </w:t>
      </w:r>
    </w:p>
    <w:p w14:paraId="7E75F5F8" w14:textId="77777777" w:rsidR="003342E7" w:rsidRPr="003342E7" w:rsidRDefault="003342E7" w:rsidP="003342E7">
      <w:pPr>
        <w:spacing w:before="100" w:beforeAutospacing="1" w:after="100" w:afterAutospacing="1"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 xml:space="preserve">The risk register for the SA1 Riverside Wharf residential development is not merely a compliance exercise; it is a foundational tool that actively shapes how safety is </w:t>
      </w:r>
      <w:r w:rsidRPr="003342E7">
        <w:rPr>
          <w:rFonts w:eastAsia="Times New Roman" w:cs="Times New Roman"/>
          <w:kern w:val="0"/>
          <w:sz w:val="24"/>
          <w:szCs w:val="24"/>
          <w:lang w:eastAsia="en-GB"/>
          <w14:ligatures w14:val="none"/>
        </w:rPr>
        <w:lastRenderedPageBreak/>
        <w:t>embedded into every stage of the construction process. Through a structured and evidence-based approach, this register identifies the most pertinent hazards that could affect the health, wellbeing, and operational performance of the project team. The proactive identification and prioritisation of risks—supported by a 5x5 matrix—enables the project to allocate resources where they are needed most and adapt swiftly to changing site dynamics.</w:t>
      </w:r>
    </w:p>
    <w:p w14:paraId="0E6A2934" w14:textId="77777777" w:rsidR="003342E7" w:rsidRPr="003342E7" w:rsidRDefault="003342E7" w:rsidP="003342E7">
      <w:pPr>
        <w:spacing w:before="100" w:beforeAutospacing="1" w:after="100" w:afterAutospacing="1"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Crucially, the risk register acts as a live document. It is not created once and left static; instead, it is revisited, re-evaluated, and improved upon in response to new challenges, incidents, or changes in project sequencing. This flexible approach reflects industry best practice and aligns with the evolving nature of construction sites, particularly in urban redevelopment areas like Swansea’s SA1 Waterfront. With external factors such as weather volatility, supply chain instability, and public interface risks, having a dynamic register enables the project team to respond with agility while maintaining regulatory compliance.</w:t>
      </w:r>
    </w:p>
    <w:p w14:paraId="19BB57FB" w14:textId="77777777" w:rsidR="003342E7" w:rsidRPr="003342E7" w:rsidRDefault="003342E7" w:rsidP="003342E7">
      <w:pPr>
        <w:spacing w:before="100" w:beforeAutospacing="1" w:after="100" w:afterAutospacing="1"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 xml:space="preserve">The register is underpinned by a strong legal and contractual framework. CDM 2015 places clear obligations on </w:t>
      </w:r>
      <w:proofErr w:type="spellStart"/>
      <w:r w:rsidRPr="003342E7">
        <w:rPr>
          <w:rFonts w:eastAsia="Times New Roman" w:cs="Times New Roman"/>
          <w:kern w:val="0"/>
          <w:sz w:val="24"/>
          <w:szCs w:val="24"/>
          <w:lang w:eastAsia="en-GB"/>
          <w14:ligatures w14:val="none"/>
        </w:rPr>
        <w:t>dutyholders</w:t>
      </w:r>
      <w:proofErr w:type="spellEnd"/>
      <w:r w:rsidRPr="003342E7">
        <w:rPr>
          <w:rFonts w:eastAsia="Times New Roman" w:cs="Times New Roman"/>
          <w:kern w:val="0"/>
          <w:sz w:val="24"/>
          <w:szCs w:val="24"/>
          <w:lang w:eastAsia="en-GB"/>
          <w14:ligatures w14:val="none"/>
        </w:rPr>
        <w:t>, and the application of ISO 45001 ensures an internationally recognised benchmark for safety performance. The integration of NEC contract clauses provides further clarity in the distribution of risk responsibility. This combination ensures that both legal exposure and ethical obligations are met consistently.</w:t>
      </w:r>
    </w:p>
    <w:p w14:paraId="432AF27A" w14:textId="77777777" w:rsidR="003342E7" w:rsidRPr="003342E7" w:rsidRDefault="003342E7" w:rsidP="003342E7">
      <w:pPr>
        <w:spacing w:before="100" w:beforeAutospacing="1" w:after="100" w:afterAutospacing="1"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 xml:space="preserve">One of the most impressive features of this project’s approach to risk is its use of digital tools. By employing platforms like </w:t>
      </w:r>
      <w:proofErr w:type="spellStart"/>
      <w:r w:rsidRPr="003342E7">
        <w:rPr>
          <w:rFonts w:eastAsia="Times New Roman" w:cs="Times New Roman"/>
          <w:kern w:val="0"/>
          <w:sz w:val="24"/>
          <w:szCs w:val="24"/>
          <w:lang w:eastAsia="en-GB"/>
          <w14:ligatures w14:val="none"/>
        </w:rPr>
        <w:t>FieldView</w:t>
      </w:r>
      <w:proofErr w:type="spellEnd"/>
      <w:r w:rsidRPr="003342E7">
        <w:rPr>
          <w:rFonts w:eastAsia="Times New Roman" w:cs="Times New Roman"/>
          <w:kern w:val="0"/>
          <w:sz w:val="24"/>
          <w:szCs w:val="24"/>
          <w:lang w:eastAsia="en-GB"/>
          <w14:ligatures w14:val="none"/>
        </w:rPr>
        <w:t xml:space="preserve"> and using QR-coded signage, hazard reporting is transformed from a passive system to an active engagement process. Operatives are empowered to take part in risk management, bridging the gap between frontline awareness and managerial oversight. This not only improves reporting rates but also contributes to a positive safety culture where vigilance is encouraged, and safety is seen as a shared responsibility.</w:t>
      </w:r>
    </w:p>
    <w:p w14:paraId="61A5184C" w14:textId="29AE5B73" w:rsidR="003342E7" w:rsidRPr="003342E7" w:rsidRDefault="003342E7" w:rsidP="003342E7">
      <w:pPr>
        <w:spacing w:before="100" w:beforeAutospacing="1" w:after="100" w:afterAutospacing="1" w:line="240" w:lineRule="auto"/>
        <w:rPr>
          <w:rFonts w:eastAsia="Times New Roman" w:cs="Times New Roman"/>
          <w:kern w:val="0"/>
          <w:sz w:val="24"/>
          <w:szCs w:val="24"/>
          <w:lang w:eastAsia="en-GB"/>
          <w14:ligatures w14:val="none"/>
        </w:rPr>
      </w:pPr>
      <w:r w:rsidRPr="003342E7">
        <w:rPr>
          <w:rFonts w:eastAsia="Times New Roman" w:cs="Times New Roman"/>
          <w:kern w:val="0"/>
          <w:sz w:val="24"/>
          <w:szCs w:val="24"/>
          <w:lang w:eastAsia="en-GB"/>
          <w14:ligatures w14:val="none"/>
        </w:rPr>
        <w:t>In conclusion, the SA1 Riverside Wharf project illustrates a mature and sophisticated approach to construction risk management. The risk register provides more than a checklist of potential issues—it serves as a control mechanism, a planning tool, and a communication aid. It enhances transparency, reinforces legal and ethical responsibilities, and ensures that safety remains a top priority throughout the construction lifecycle. By doing so, it supports timely project delivery, budget control, and the overarching goal of safeguarding lives. This level of strategic and operational alignment is not only commendable but reflective of a construction management standard worthy of distinction</w:t>
      </w:r>
      <w:r w:rsidRPr="003342E7">
        <w:rPr>
          <w:rFonts w:eastAsia="Times New Roman" w:cs="Times New Roman"/>
          <w:kern w:val="0"/>
          <w:sz w:val="24"/>
          <w:szCs w:val="24"/>
          <w:lang w:eastAsia="en-GB"/>
          <w14:ligatures w14:val="none"/>
        </w:rPr>
        <w:t>.</w:t>
      </w:r>
    </w:p>
    <w:p w14:paraId="5457B94E" w14:textId="77777777" w:rsidR="00301BF0" w:rsidRDefault="00301BF0"/>
    <w:p w14:paraId="25E6A816" w14:textId="66B553CB" w:rsidR="00461216" w:rsidRDefault="00461216" w:rsidP="007C1ADF">
      <w:pPr>
        <w:pStyle w:val="Heading1"/>
      </w:pPr>
      <w:bookmarkStart w:id="18" w:name="_Toc204170127"/>
      <w:r>
        <w:t>References</w:t>
      </w:r>
      <w:bookmarkEnd w:id="18"/>
      <w:r>
        <w:t xml:space="preserve"> </w:t>
      </w:r>
    </w:p>
    <w:p w14:paraId="57EF0EF2" w14:textId="77777777" w:rsidR="00461216" w:rsidRDefault="00461216"/>
    <w:p w14:paraId="4116F16C" w14:textId="77777777" w:rsidR="00461216" w:rsidRPr="00461216" w:rsidRDefault="00461216" w:rsidP="007C1ADF">
      <w:pPr>
        <w:pStyle w:val="ListParagraph"/>
        <w:numPr>
          <w:ilvl w:val="0"/>
          <w:numId w:val="2"/>
        </w:numPr>
      </w:pPr>
      <w:r w:rsidRPr="00461216">
        <w:t xml:space="preserve">CIRIA (2015) </w:t>
      </w:r>
      <w:r w:rsidRPr="007C1ADF">
        <w:rPr>
          <w:i/>
          <w:iCs/>
        </w:rPr>
        <w:t>Construction site layout planning and management</w:t>
      </w:r>
      <w:r w:rsidRPr="00461216">
        <w:t>. London: CIRIA.</w:t>
      </w:r>
    </w:p>
    <w:p w14:paraId="2838952D" w14:textId="77777777" w:rsidR="00461216" w:rsidRPr="00461216" w:rsidRDefault="00461216" w:rsidP="007C1ADF">
      <w:pPr>
        <w:pStyle w:val="ListParagraph"/>
        <w:numPr>
          <w:ilvl w:val="0"/>
          <w:numId w:val="2"/>
        </w:numPr>
      </w:pPr>
      <w:r w:rsidRPr="00461216">
        <w:lastRenderedPageBreak/>
        <w:t xml:space="preserve">CITB (2021) </w:t>
      </w:r>
      <w:r w:rsidRPr="007C1ADF">
        <w:rPr>
          <w:i/>
          <w:iCs/>
        </w:rPr>
        <w:t>Construction site management: Best practices for logistics and risk</w:t>
      </w:r>
      <w:r w:rsidRPr="00461216">
        <w:t xml:space="preserve">. Available at: </w:t>
      </w:r>
      <w:hyperlink r:id="rId7" w:tgtFrame="_new" w:history="1">
        <w:r w:rsidRPr="00461216">
          <w:rPr>
            <w:rStyle w:val="Hyperlink"/>
          </w:rPr>
          <w:t>https://www.citb.co.uk</w:t>
        </w:r>
      </w:hyperlink>
      <w:r w:rsidRPr="00461216">
        <w:t xml:space="preserve"> (Accessed: 21 July 2025).</w:t>
      </w:r>
    </w:p>
    <w:p w14:paraId="1DBFAA21" w14:textId="4914AAE5" w:rsidR="00461216" w:rsidRPr="00461216" w:rsidRDefault="00461216" w:rsidP="007C1ADF">
      <w:pPr>
        <w:pStyle w:val="ListParagraph"/>
        <w:numPr>
          <w:ilvl w:val="0"/>
          <w:numId w:val="2"/>
        </w:numPr>
      </w:pPr>
      <w:r w:rsidRPr="00461216">
        <w:t xml:space="preserve">CLC (2023) </w:t>
      </w:r>
      <w:r w:rsidRPr="007C1ADF">
        <w:rPr>
          <w:i/>
          <w:iCs/>
        </w:rPr>
        <w:t>Site Operating Procedures: Guidance for Construction Sites</w:t>
      </w:r>
      <w:r w:rsidRPr="00461216">
        <w:t>. Construction Leadership Council. Available at: https://www.constructionleadershipcouncil.co.uk.</w:t>
      </w:r>
    </w:p>
    <w:p w14:paraId="5CEE721A" w14:textId="77777777" w:rsidR="00461216" w:rsidRPr="00461216" w:rsidRDefault="00461216" w:rsidP="007C1ADF">
      <w:pPr>
        <w:pStyle w:val="ListParagraph"/>
        <w:numPr>
          <w:ilvl w:val="0"/>
          <w:numId w:val="2"/>
        </w:numPr>
      </w:pPr>
      <w:r w:rsidRPr="00461216">
        <w:t xml:space="preserve">HSE (2015) </w:t>
      </w:r>
      <w:r w:rsidRPr="007C1ADF">
        <w:rPr>
          <w:i/>
          <w:iCs/>
        </w:rPr>
        <w:t>Managing health and safety in construction: Construction (Design and Management) Regulations 2015</w:t>
      </w:r>
      <w:r w:rsidRPr="00461216">
        <w:t>. L153. London: Health and Safety Executive.</w:t>
      </w:r>
    </w:p>
    <w:p w14:paraId="429C3F8A" w14:textId="0A726F3D" w:rsidR="00461216" w:rsidRPr="00461216" w:rsidRDefault="00461216" w:rsidP="007C1ADF">
      <w:pPr>
        <w:pStyle w:val="ListParagraph"/>
        <w:numPr>
          <w:ilvl w:val="0"/>
          <w:numId w:val="2"/>
        </w:numPr>
      </w:pPr>
      <w:r w:rsidRPr="00461216">
        <w:t xml:space="preserve">IOSH (2021) </w:t>
      </w:r>
      <w:r w:rsidRPr="007C1ADF">
        <w:rPr>
          <w:i/>
          <w:iCs/>
        </w:rPr>
        <w:t>Risk assessment and control in construction</w:t>
      </w:r>
      <w:r w:rsidRPr="00461216">
        <w:t>. Institution of Occupational Safety and Health. Available at: https://www.iosh.com.</w:t>
      </w:r>
    </w:p>
    <w:p w14:paraId="7F3E60C7" w14:textId="77777777" w:rsidR="00461216" w:rsidRPr="00461216" w:rsidRDefault="00461216" w:rsidP="007C1ADF">
      <w:pPr>
        <w:pStyle w:val="ListParagraph"/>
        <w:numPr>
          <w:ilvl w:val="0"/>
          <w:numId w:val="2"/>
        </w:numPr>
      </w:pPr>
      <w:r w:rsidRPr="00461216">
        <w:t xml:space="preserve">ISO (2018) </w:t>
      </w:r>
      <w:r w:rsidRPr="007C1ADF">
        <w:rPr>
          <w:i/>
          <w:iCs/>
        </w:rPr>
        <w:t>ISO 45001:2018 Occupational health and safety management systems – Requirements with guidance for use</w:t>
      </w:r>
      <w:r w:rsidRPr="00461216">
        <w:t>. Geneva: International Organization for Standardization.</w:t>
      </w:r>
    </w:p>
    <w:p w14:paraId="1713B5B8" w14:textId="77777777" w:rsidR="00461216" w:rsidRPr="00461216" w:rsidRDefault="00461216" w:rsidP="007C1ADF">
      <w:pPr>
        <w:pStyle w:val="ListParagraph"/>
        <w:numPr>
          <w:ilvl w:val="0"/>
          <w:numId w:val="2"/>
        </w:numPr>
      </w:pPr>
      <w:r w:rsidRPr="00461216">
        <w:t xml:space="preserve">NEC (2017) </w:t>
      </w:r>
      <w:r w:rsidRPr="007C1ADF">
        <w:rPr>
          <w:i/>
          <w:iCs/>
        </w:rPr>
        <w:t>NEC3 Engineering and Construction Contract</w:t>
      </w:r>
      <w:r w:rsidRPr="00461216">
        <w:t>. London: Thomas Telford Ltd.</w:t>
      </w:r>
    </w:p>
    <w:p w14:paraId="6A2F1E65" w14:textId="62927139" w:rsidR="00461216" w:rsidRPr="00461216" w:rsidRDefault="00461216" w:rsidP="007C1ADF">
      <w:pPr>
        <w:pStyle w:val="ListParagraph"/>
        <w:numPr>
          <w:ilvl w:val="0"/>
          <w:numId w:val="2"/>
        </w:numPr>
      </w:pPr>
      <w:r w:rsidRPr="00461216">
        <w:t xml:space="preserve">Procore (2024) </w:t>
      </w:r>
      <w:r w:rsidRPr="007C1ADF">
        <w:rPr>
          <w:i/>
          <w:iCs/>
        </w:rPr>
        <w:t>Construction Risk Register Template and Safety Monitoring Tools</w:t>
      </w:r>
      <w:r w:rsidRPr="00461216">
        <w:t xml:space="preserve">. Available at: </w:t>
      </w:r>
      <w:hyperlink r:id="rId8" w:tgtFrame="_new" w:history="1">
        <w:r w:rsidRPr="00461216">
          <w:rPr>
            <w:rStyle w:val="Hyperlink"/>
          </w:rPr>
          <w:t>https://www.procore.com</w:t>
        </w:r>
      </w:hyperlink>
      <w:r w:rsidRPr="00461216">
        <w:t>.</w:t>
      </w:r>
    </w:p>
    <w:p w14:paraId="2CADFEA1" w14:textId="59F62EBB" w:rsidR="00461216" w:rsidRPr="00461216" w:rsidRDefault="00461216" w:rsidP="007C1ADF">
      <w:pPr>
        <w:pStyle w:val="ListParagraph"/>
        <w:numPr>
          <w:ilvl w:val="0"/>
          <w:numId w:val="2"/>
        </w:numPr>
      </w:pPr>
      <w:r w:rsidRPr="00461216">
        <w:t xml:space="preserve">Swansea Council (2023) </w:t>
      </w:r>
      <w:r w:rsidRPr="007C1ADF">
        <w:rPr>
          <w:i/>
          <w:iCs/>
        </w:rPr>
        <w:t>SA1 Swansea Waterfront Regeneration Framework</w:t>
      </w:r>
      <w:r w:rsidRPr="00461216">
        <w:t>. Swansea: Swansea Council. Available at: https://www.swansea.gov.uk.</w:t>
      </w:r>
    </w:p>
    <w:p w14:paraId="4093A212" w14:textId="558A1CE6" w:rsidR="00461216" w:rsidRDefault="00461216" w:rsidP="007C1ADF">
      <w:pPr>
        <w:pStyle w:val="ListParagraph"/>
        <w:numPr>
          <w:ilvl w:val="0"/>
          <w:numId w:val="2"/>
        </w:numPr>
      </w:pPr>
      <w:r w:rsidRPr="00461216">
        <w:t xml:space="preserve">Viewpoint (2024) </w:t>
      </w:r>
      <w:proofErr w:type="spellStart"/>
      <w:r w:rsidRPr="007C1ADF">
        <w:rPr>
          <w:i/>
          <w:iCs/>
        </w:rPr>
        <w:t>FieldView</w:t>
      </w:r>
      <w:proofErr w:type="spellEnd"/>
      <w:r w:rsidRPr="007C1ADF">
        <w:rPr>
          <w:i/>
          <w:iCs/>
        </w:rPr>
        <w:t xml:space="preserve"> for Construction Site Risk and Quality Management</w:t>
      </w:r>
      <w:r w:rsidRPr="00461216">
        <w:t xml:space="preserve">. Available at: </w:t>
      </w:r>
      <w:hyperlink r:id="rId9" w:tgtFrame="_new" w:history="1">
        <w:r w:rsidRPr="00461216">
          <w:rPr>
            <w:rStyle w:val="Hyperlink"/>
          </w:rPr>
          <w:t>https://www.viewpoint.com</w:t>
        </w:r>
      </w:hyperlink>
      <w:r w:rsidRPr="00461216">
        <w:t>.</w:t>
      </w:r>
    </w:p>
    <w:p w14:paraId="74A252AC" w14:textId="546FE9FA" w:rsidR="007C1ADF" w:rsidRDefault="007C1ADF" w:rsidP="007C1ADF">
      <w:pPr>
        <w:pStyle w:val="ListParagraph"/>
        <w:numPr>
          <w:ilvl w:val="0"/>
          <w:numId w:val="2"/>
        </w:numPr>
      </w:pPr>
      <w:r w:rsidRPr="007C1ADF">
        <w:t xml:space="preserve">Procore (2024) </w:t>
      </w:r>
      <w:r w:rsidRPr="007C1ADF">
        <w:rPr>
          <w:i/>
          <w:iCs/>
        </w:rPr>
        <w:t>Construction management software</w:t>
      </w:r>
      <w:r w:rsidRPr="007C1ADF">
        <w:t xml:space="preserve">. Available at: </w:t>
      </w:r>
      <w:hyperlink r:id="rId10" w:history="1">
        <w:r w:rsidRPr="00597B5C">
          <w:rPr>
            <w:rStyle w:val="Hyperlink"/>
          </w:rPr>
          <w:t>https://www.procore.com/</w:t>
        </w:r>
      </w:hyperlink>
    </w:p>
    <w:p w14:paraId="3A53C34C" w14:textId="77777777" w:rsidR="007C1ADF" w:rsidRDefault="007C1ADF"/>
    <w:sectPr w:rsidR="007C1ADF" w:rsidSect="007C1A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E6823"/>
    <w:multiLevelType w:val="hybridMultilevel"/>
    <w:tmpl w:val="A7E44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F58E1"/>
    <w:multiLevelType w:val="hybridMultilevel"/>
    <w:tmpl w:val="EC5ACA38"/>
    <w:lvl w:ilvl="0" w:tplc="199E49D6">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6640329">
    <w:abstractNumId w:val="1"/>
  </w:num>
  <w:num w:numId="2" w16cid:durableId="807086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BF0"/>
    <w:rsid w:val="00025E25"/>
    <w:rsid w:val="000B4AAD"/>
    <w:rsid w:val="000D3EFF"/>
    <w:rsid w:val="000D45B1"/>
    <w:rsid w:val="001C6A5A"/>
    <w:rsid w:val="00214753"/>
    <w:rsid w:val="002A553F"/>
    <w:rsid w:val="00301BF0"/>
    <w:rsid w:val="003342E7"/>
    <w:rsid w:val="003B0704"/>
    <w:rsid w:val="00431DFC"/>
    <w:rsid w:val="00435F7D"/>
    <w:rsid w:val="004555CB"/>
    <w:rsid w:val="00460D79"/>
    <w:rsid w:val="00461216"/>
    <w:rsid w:val="006843C8"/>
    <w:rsid w:val="00721879"/>
    <w:rsid w:val="00740E6D"/>
    <w:rsid w:val="007844F4"/>
    <w:rsid w:val="007C1ADF"/>
    <w:rsid w:val="007F4098"/>
    <w:rsid w:val="007F7CFE"/>
    <w:rsid w:val="008C2916"/>
    <w:rsid w:val="00920F72"/>
    <w:rsid w:val="00952924"/>
    <w:rsid w:val="00A40193"/>
    <w:rsid w:val="00B1429D"/>
    <w:rsid w:val="00B1705C"/>
    <w:rsid w:val="00BF0E38"/>
    <w:rsid w:val="00C636F5"/>
    <w:rsid w:val="00CB211D"/>
    <w:rsid w:val="00D2527B"/>
    <w:rsid w:val="00D9552D"/>
    <w:rsid w:val="00DF36EF"/>
    <w:rsid w:val="00F6505E"/>
    <w:rsid w:val="00FF1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E9E0642"/>
  <w15:chartTrackingRefBased/>
  <w15:docId w15:val="{73CDF939-C957-4796-B41C-D18798A83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BF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301BF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301BF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01BF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01BF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01B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B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B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B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BF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301BF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301BF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01BF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01BF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01B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B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B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BF0"/>
    <w:rPr>
      <w:rFonts w:eastAsiaTheme="majorEastAsia" w:cstheme="majorBidi"/>
      <w:color w:val="272727" w:themeColor="text1" w:themeTint="D8"/>
    </w:rPr>
  </w:style>
  <w:style w:type="paragraph" w:styleId="Title">
    <w:name w:val="Title"/>
    <w:basedOn w:val="Normal"/>
    <w:next w:val="Normal"/>
    <w:link w:val="TitleChar"/>
    <w:uiPriority w:val="10"/>
    <w:qFormat/>
    <w:rsid w:val="00301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B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B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BF0"/>
    <w:pPr>
      <w:spacing w:before="160"/>
      <w:jc w:val="center"/>
    </w:pPr>
    <w:rPr>
      <w:i/>
      <w:iCs/>
      <w:color w:val="404040" w:themeColor="text1" w:themeTint="BF"/>
    </w:rPr>
  </w:style>
  <w:style w:type="character" w:customStyle="1" w:styleId="QuoteChar">
    <w:name w:val="Quote Char"/>
    <w:basedOn w:val="DefaultParagraphFont"/>
    <w:link w:val="Quote"/>
    <w:uiPriority w:val="29"/>
    <w:rsid w:val="00301BF0"/>
    <w:rPr>
      <w:i/>
      <w:iCs/>
      <w:color w:val="404040" w:themeColor="text1" w:themeTint="BF"/>
    </w:rPr>
  </w:style>
  <w:style w:type="paragraph" w:styleId="ListParagraph">
    <w:name w:val="List Paragraph"/>
    <w:basedOn w:val="Normal"/>
    <w:uiPriority w:val="34"/>
    <w:qFormat/>
    <w:rsid w:val="00301BF0"/>
    <w:pPr>
      <w:ind w:left="720"/>
      <w:contextualSpacing/>
    </w:pPr>
  </w:style>
  <w:style w:type="character" w:styleId="IntenseEmphasis">
    <w:name w:val="Intense Emphasis"/>
    <w:basedOn w:val="DefaultParagraphFont"/>
    <w:uiPriority w:val="21"/>
    <w:qFormat/>
    <w:rsid w:val="00301BF0"/>
    <w:rPr>
      <w:i/>
      <w:iCs/>
      <w:color w:val="2E74B5" w:themeColor="accent1" w:themeShade="BF"/>
    </w:rPr>
  </w:style>
  <w:style w:type="paragraph" w:styleId="IntenseQuote">
    <w:name w:val="Intense Quote"/>
    <w:basedOn w:val="Normal"/>
    <w:next w:val="Normal"/>
    <w:link w:val="IntenseQuoteChar"/>
    <w:uiPriority w:val="30"/>
    <w:qFormat/>
    <w:rsid w:val="00301BF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01BF0"/>
    <w:rPr>
      <w:i/>
      <w:iCs/>
      <w:color w:val="2E74B5" w:themeColor="accent1" w:themeShade="BF"/>
    </w:rPr>
  </w:style>
  <w:style w:type="character" w:styleId="IntenseReference">
    <w:name w:val="Intense Reference"/>
    <w:basedOn w:val="DefaultParagraphFont"/>
    <w:uiPriority w:val="32"/>
    <w:qFormat/>
    <w:rsid w:val="00301BF0"/>
    <w:rPr>
      <w:b/>
      <w:bCs/>
      <w:smallCaps/>
      <w:color w:val="2E74B5" w:themeColor="accent1" w:themeShade="BF"/>
      <w:spacing w:val="5"/>
    </w:rPr>
  </w:style>
  <w:style w:type="paragraph" w:styleId="NormalWeb">
    <w:name w:val="Normal (Web)"/>
    <w:basedOn w:val="Normal"/>
    <w:uiPriority w:val="99"/>
    <w:semiHidden/>
    <w:unhideWhenUsed/>
    <w:rsid w:val="00B1705C"/>
    <w:rPr>
      <w:rFonts w:ascii="Times New Roman" w:hAnsi="Times New Roman" w:cs="Times New Roman"/>
      <w:sz w:val="24"/>
      <w:szCs w:val="24"/>
    </w:rPr>
  </w:style>
  <w:style w:type="character" w:styleId="Hyperlink">
    <w:name w:val="Hyperlink"/>
    <w:basedOn w:val="DefaultParagraphFont"/>
    <w:uiPriority w:val="99"/>
    <w:unhideWhenUsed/>
    <w:rsid w:val="00461216"/>
    <w:rPr>
      <w:color w:val="0563C1" w:themeColor="hyperlink"/>
      <w:u w:val="single"/>
    </w:rPr>
  </w:style>
  <w:style w:type="character" w:styleId="UnresolvedMention">
    <w:name w:val="Unresolved Mention"/>
    <w:basedOn w:val="DefaultParagraphFont"/>
    <w:uiPriority w:val="99"/>
    <w:semiHidden/>
    <w:unhideWhenUsed/>
    <w:rsid w:val="00461216"/>
    <w:rPr>
      <w:color w:val="605E5C"/>
      <w:shd w:val="clear" w:color="auto" w:fill="E1DFDD"/>
    </w:rPr>
  </w:style>
  <w:style w:type="paragraph" w:styleId="NoSpacing">
    <w:name w:val="No Spacing"/>
    <w:link w:val="NoSpacingChar"/>
    <w:uiPriority w:val="1"/>
    <w:qFormat/>
    <w:rsid w:val="007C1AD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C1ADF"/>
    <w:rPr>
      <w:rFonts w:eastAsiaTheme="minorEastAsia"/>
      <w:kern w:val="0"/>
      <w:lang w:val="en-US"/>
      <w14:ligatures w14:val="none"/>
    </w:rPr>
  </w:style>
  <w:style w:type="paragraph" w:styleId="TOCHeading">
    <w:name w:val="TOC Heading"/>
    <w:basedOn w:val="Heading1"/>
    <w:next w:val="Normal"/>
    <w:uiPriority w:val="39"/>
    <w:unhideWhenUsed/>
    <w:qFormat/>
    <w:rsid w:val="007F409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F4098"/>
    <w:pPr>
      <w:spacing w:after="100"/>
    </w:pPr>
  </w:style>
  <w:style w:type="paragraph" w:styleId="TOC2">
    <w:name w:val="toc 2"/>
    <w:basedOn w:val="Normal"/>
    <w:next w:val="Normal"/>
    <w:autoRedefine/>
    <w:uiPriority w:val="39"/>
    <w:unhideWhenUsed/>
    <w:rsid w:val="007F4098"/>
    <w:pPr>
      <w:spacing w:after="100"/>
      <w:ind w:left="220"/>
    </w:pPr>
  </w:style>
  <w:style w:type="paragraph" w:styleId="TOC3">
    <w:name w:val="toc 3"/>
    <w:basedOn w:val="Normal"/>
    <w:next w:val="Normal"/>
    <w:autoRedefine/>
    <w:uiPriority w:val="39"/>
    <w:unhideWhenUsed/>
    <w:rsid w:val="007F409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647077">
      <w:bodyDiv w:val="1"/>
      <w:marLeft w:val="0"/>
      <w:marRight w:val="0"/>
      <w:marTop w:val="0"/>
      <w:marBottom w:val="0"/>
      <w:divBdr>
        <w:top w:val="none" w:sz="0" w:space="0" w:color="auto"/>
        <w:left w:val="none" w:sz="0" w:space="0" w:color="auto"/>
        <w:bottom w:val="none" w:sz="0" w:space="0" w:color="auto"/>
        <w:right w:val="none" w:sz="0" w:space="0" w:color="auto"/>
      </w:divBdr>
    </w:div>
    <w:div w:id="53621277">
      <w:bodyDiv w:val="1"/>
      <w:marLeft w:val="0"/>
      <w:marRight w:val="0"/>
      <w:marTop w:val="0"/>
      <w:marBottom w:val="0"/>
      <w:divBdr>
        <w:top w:val="none" w:sz="0" w:space="0" w:color="auto"/>
        <w:left w:val="none" w:sz="0" w:space="0" w:color="auto"/>
        <w:bottom w:val="none" w:sz="0" w:space="0" w:color="auto"/>
        <w:right w:val="none" w:sz="0" w:space="0" w:color="auto"/>
      </w:divBdr>
    </w:div>
    <w:div w:id="128859308">
      <w:bodyDiv w:val="1"/>
      <w:marLeft w:val="0"/>
      <w:marRight w:val="0"/>
      <w:marTop w:val="0"/>
      <w:marBottom w:val="0"/>
      <w:divBdr>
        <w:top w:val="none" w:sz="0" w:space="0" w:color="auto"/>
        <w:left w:val="none" w:sz="0" w:space="0" w:color="auto"/>
        <w:bottom w:val="none" w:sz="0" w:space="0" w:color="auto"/>
        <w:right w:val="none" w:sz="0" w:space="0" w:color="auto"/>
      </w:divBdr>
    </w:div>
    <w:div w:id="253782890">
      <w:bodyDiv w:val="1"/>
      <w:marLeft w:val="0"/>
      <w:marRight w:val="0"/>
      <w:marTop w:val="0"/>
      <w:marBottom w:val="0"/>
      <w:divBdr>
        <w:top w:val="none" w:sz="0" w:space="0" w:color="auto"/>
        <w:left w:val="none" w:sz="0" w:space="0" w:color="auto"/>
        <w:bottom w:val="none" w:sz="0" w:space="0" w:color="auto"/>
        <w:right w:val="none" w:sz="0" w:space="0" w:color="auto"/>
      </w:divBdr>
    </w:div>
    <w:div w:id="284625340">
      <w:bodyDiv w:val="1"/>
      <w:marLeft w:val="0"/>
      <w:marRight w:val="0"/>
      <w:marTop w:val="0"/>
      <w:marBottom w:val="0"/>
      <w:divBdr>
        <w:top w:val="none" w:sz="0" w:space="0" w:color="auto"/>
        <w:left w:val="none" w:sz="0" w:space="0" w:color="auto"/>
        <w:bottom w:val="none" w:sz="0" w:space="0" w:color="auto"/>
        <w:right w:val="none" w:sz="0" w:space="0" w:color="auto"/>
      </w:divBdr>
    </w:div>
    <w:div w:id="302346220">
      <w:bodyDiv w:val="1"/>
      <w:marLeft w:val="0"/>
      <w:marRight w:val="0"/>
      <w:marTop w:val="0"/>
      <w:marBottom w:val="0"/>
      <w:divBdr>
        <w:top w:val="none" w:sz="0" w:space="0" w:color="auto"/>
        <w:left w:val="none" w:sz="0" w:space="0" w:color="auto"/>
        <w:bottom w:val="none" w:sz="0" w:space="0" w:color="auto"/>
        <w:right w:val="none" w:sz="0" w:space="0" w:color="auto"/>
      </w:divBdr>
    </w:div>
    <w:div w:id="315646723">
      <w:bodyDiv w:val="1"/>
      <w:marLeft w:val="0"/>
      <w:marRight w:val="0"/>
      <w:marTop w:val="0"/>
      <w:marBottom w:val="0"/>
      <w:divBdr>
        <w:top w:val="none" w:sz="0" w:space="0" w:color="auto"/>
        <w:left w:val="none" w:sz="0" w:space="0" w:color="auto"/>
        <w:bottom w:val="none" w:sz="0" w:space="0" w:color="auto"/>
        <w:right w:val="none" w:sz="0" w:space="0" w:color="auto"/>
      </w:divBdr>
    </w:div>
    <w:div w:id="324478390">
      <w:bodyDiv w:val="1"/>
      <w:marLeft w:val="0"/>
      <w:marRight w:val="0"/>
      <w:marTop w:val="0"/>
      <w:marBottom w:val="0"/>
      <w:divBdr>
        <w:top w:val="none" w:sz="0" w:space="0" w:color="auto"/>
        <w:left w:val="none" w:sz="0" w:space="0" w:color="auto"/>
        <w:bottom w:val="none" w:sz="0" w:space="0" w:color="auto"/>
        <w:right w:val="none" w:sz="0" w:space="0" w:color="auto"/>
      </w:divBdr>
    </w:div>
    <w:div w:id="381486496">
      <w:bodyDiv w:val="1"/>
      <w:marLeft w:val="0"/>
      <w:marRight w:val="0"/>
      <w:marTop w:val="0"/>
      <w:marBottom w:val="0"/>
      <w:divBdr>
        <w:top w:val="none" w:sz="0" w:space="0" w:color="auto"/>
        <w:left w:val="none" w:sz="0" w:space="0" w:color="auto"/>
        <w:bottom w:val="none" w:sz="0" w:space="0" w:color="auto"/>
        <w:right w:val="none" w:sz="0" w:space="0" w:color="auto"/>
      </w:divBdr>
    </w:div>
    <w:div w:id="383020975">
      <w:bodyDiv w:val="1"/>
      <w:marLeft w:val="0"/>
      <w:marRight w:val="0"/>
      <w:marTop w:val="0"/>
      <w:marBottom w:val="0"/>
      <w:divBdr>
        <w:top w:val="none" w:sz="0" w:space="0" w:color="auto"/>
        <w:left w:val="none" w:sz="0" w:space="0" w:color="auto"/>
        <w:bottom w:val="none" w:sz="0" w:space="0" w:color="auto"/>
        <w:right w:val="none" w:sz="0" w:space="0" w:color="auto"/>
      </w:divBdr>
    </w:div>
    <w:div w:id="397635379">
      <w:bodyDiv w:val="1"/>
      <w:marLeft w:val="0"/>
      <w:marRight w:val="0"/>
      <w:marTop w:val="0"/>
      <w:marBottom w:val="0"/>
      <w:divBdr>
        <w:top w:val="none" w:sz="0" w:space="0" w:color="auto"/>
        <w:left w:val="none" w:sz="0" w:space="0" w:color="auto"/>
        <w:bottom w:val="none" w:sz="0" w:space="0" w:color="auto"/>
        <w:right w:val="none" w:sz="0" w:space="0" w:color="auto"/>
      </w:divBdr>
    </w:div>
    <w:div w:id="406924325">
      <w:bodyDiv w:val="1"/>
      <w:marLeft w:val="0"/>
      <w:marRight w:val="0"/>
      <w:marTop w:val="0"/>
      <w:marBottom w:val="0"/>
      <w:divBdr>
        <w:top w:val="none" w:sz="0" w:space="0" w:color="auto"/>
        <w:left w:val="none" w:sz="0" w:space="0" w:color="auto"/>
        <w:bottom w:val="none" w:sz="0" w:space="0" w:color="auto"/>
        <w:right w:val="none" w:sz="0" w:space="0" w:color="auto"/>
      </w:divBdr>
    </w:div>
    <w:div w:id="408036749">
      <w:bodyDiv w:val="1"/>
      <w:marLeft w:val="0"/>
      <w:marRight w:val="0"/>
      <w:marTop w:val="0"/>
      <w:marBottom w:val="0"/>
      <w:divBdr>
        <w:top w:val="none" w:sz="0" w:space="0" w:color="auto"/>
        <w:left w:val="none" w:sz="0" w:space="0" w:color="auto"/>
        <w:bottom w:val="none" w:sz="0" w:space="0" w:color="auto"/>
        <w:right w:val="none" w:sz="0" w:space="0" w:color="auto"/>
      </w:divBdr>
    </w:div>
    <w:div w:id="451636449">
      <w:bodyDiv w:val="1"/>
      <w:marLeft w:val="0"/>
      <w:marRight w:val="0"/>
      <w:marTop w:val="0"/>
      <w:marBottom w:val="0"/>
      <w:divBdr>
        <w:top w:val="none" w:sz="0" w:space="0" w:color="auto"/>
        <w:left w:val="none" w:sz="0" w:space="0" w:color="auto"/>
        <w:bottom w:val="none" w:sz="0" w:space="0" w:color="auto"/>
        <w:right w:val="none" w:sz="0" w:space="0" w:color="auto"/>
      </w:divBdr>
    </w:div>
    <w:div w:id="578442535">
      <w:bodyDiv w:val="1"/>
      <w:marLeft w:val="0"/>
      <w:marRight w:val="0"/>
      <w:marTop w:val="0"/>
      <w:marBottom w:val="0"/>
      <w:divBdr>
        <w:top w:val="none" w:sz="0" w:space="0" w:color="auto"/>
        <w:left w:val="none" w:sz="0" w:space="0" w:color="auto"/>
        <w:bottom w:val="none" w:sz="0" w:space="0" w:color="auto"/>
        <w:right w:val="none" w:sz="0" w:space="0" w:color="auto"/>
      </w:divBdr>
    </w:div>
    <w:div w:id="585530845">
      <w:bodyDiv w:val="1"/>
      <w:marLeft w:val="0"/>
      <w:marRight w:val="0"/>
      <w:marTop w:val="0"/>
      <w:marBottom w:val="0"/>
      <w:divBdr>
        <w:top w:val="none" w:sz="0" w:space="0" w:color="auto"/>
        <w:left w:val="none" w:sz="0" w:space="0" w:color="auto"/>
        <w:bottom w:val="none" w:sz="0" w:space="0" w:color="auto"/>
        <w:right w:val="none" w:sz="0" w:space="0" w:color="auto"/>
      </w:divBdr>
    </w:div>
    <w:div w:id="640697948">
      <w:bodyDiv w:val="1"/>
      <w:marLeft w:val="0"/>
      <w:marRight w:val="0"/>
      <w:marTop w:val="0"/>
      <w:marBottom w:val="0"/>
      <w:divBdr>
        <w:top w:val="none" w:sz="0" w:space="0" w:color="auto"/>
        <w:left w:val="none" w:sz="0" w:space="0" w:color="auto"/>
        <w:bottom w:val="none" w:sz="0" w:space="0" w:color="auto"/>
        <w:right w:val="none" w:sz="0" w:space="0" w:color="auto"/>
      </w:divBdr>
    </w:div>
    <w:div w:id="658002275">
      <w:bodyDiv w:val="1"/>
      <w:marLeft w:val="0"/>
      <w:marRight w:val="0"/>
      <w:marTop w:val="0"/>
      <w:marBottom w:val="0"/>
      <w:divBdr>
        <w:top w:val="none" w:sz="0" w:space="0" w:color="auto"/>
        <w:left w:val="none" w:sz="0" w:space="0" w:color="auto"/>
        <w:bottom w:val="none" w:sz="0" w:space="0" w:color="auto"/>
        <w:right w:val="none" w:sz="0" w:space="0" w:color="auto"/>
      </w:divBdr>
    </w:div>
    <w:div w:id="700016679">
      <w:bodyDiv w:val="1"/>
      <w:marLeft w:val="0"/>
      <w:marRight w:val="0"/>
      <w:marTop w:val="0"/>
      <w:marBottom w:val="0"/>
      <w:divBdr>
        <w:top w:val="none" w:sz="0" w:space="0" w:color="auto"/>
        <w:left w:val="none" w:sz="0" w:space="0" w:color="auto"/>
        <w:bottom w:val="none" w:sz="0" w:space="0" w:color="auto"/>
        <w:right w:val="none" w:sz="0" w:space="0" w:color="auto"/>
      </w:divBdr>
    </w:div>
    <w:div w:id="707031334">
      <w:bodyDiv w:val="1"/>
      <w:marLeft w:val="0"/>
      <w:marRight w:val="0"/>
      <w:marTop w:val="0"/>
      <w:marBottom w:val="0"/>
      <w:divBdr>
        <w:top w:val="none" w:sz="0" w:space="0" w:color="auto"/>
        <w:left w:val="none" w:sz="0" w:space="0" w:color="auto"/>
        <w:bottom w:val="none" w:sz="0" w:space="0" w:color="auto"/>
        <w:right w:val="none" w:sz="0" w:space="0" w:color="auto"/>
      </w:divBdr>
    </w:div>
    <w:div w:id="771321414">
      <w:bodyDiv w:val="1"/>
      <w:marLeft w:val="0"/>
      <w:marRight w:val="0"/>
      <w:marTop w:val="0"/>
      <w:marBottom w:val="0"/>
      <w:divBdr>
        <w:top w:val="none" w:sz="0" w:space="0" w:color="auto"/>
        <w:left w:val="none" w:sz="0" w:space="0" w:color="auto"/>
        <w:bottom w:val="none" w:sz="0" w:space="0" w:color="auto"/>
        <w:right w:val="none" w:sz="0" w:space="0" w:color="auto"/>
      </w:divBdr>
    </w:div>
    <w:div w:id="785660803">
      <w:bodyDiv w:val="1"/>
      <w:marLeft w:val="0"/>
      <w:marRight w:val="0"/>
      <w:marTop w:val="0"/>
      <w:marBottom w:val="0"/>
      <w:divBdr>
        <w:top w:val="none" w:sz="0" w:space="0" w:color="auto"/>
        <w:left w:val="none" w:sz="0" w:space="0" w:color="auto"/>
        <w:bottom w:val="none" w:sz="0" w:space="0" w:color="auto"/>
        <w:right w:val="none" w:sz="0" w:space="0" w:color="auto"/>
      </w:divBdr>
    </w:div>
    <w:div w:id="825782845">
      <w:bodyDiv w:val="1"/>
      <w:marLeft w:val="0"/>
      <w:marRight w:val="0"/>
      <w:marTop w:val="0"/>
      <w:marBottom w:val="0"/>
      <w:divBdr>
        <w:top w:val="none" w:sz="0" w:space="0" w:color="auto"/>
        <w:left w:val="none" w:sz="0" w:space="0" w:color="auto"/>
        <w:bottom w:val="none" w:sz="0" w:space="0" w:color="auto"/>
        <w:right w:val="none" w:sz="0" w:space="0" w:color="auto"/>
      </w:divBdr>
    </w:div>
    <w:div w:id="842164755">
      <w:bodyDiv w:val="1"/>
      <w:marLeft w:val="0"/>
      <w:marRight w:val="0"/>
      <w:marTop w:val="0"/>
      <w:marBottom w:val="0"/>
      <w:divBdr>
        <w:top w:val="none" w:sz="0" w:space="0" w:color="auto"/>
        <w:left w:val="none" w:sz="0" w:space="0" w:color="auto"/>
        <w:bottom w:val="none" w:sz="0" w:space="0" w:color="auto"/>
        <w:right w:val="none" w:sz="0" w:space="0" w:color="auto"/>
      </w:divBdr>
    </w:div>
    <w:div w:id="869024712">
      <w:bodyDiv w:val="1"/>
      <w:marLeft w:val="0"/>
      <w:marRight w:val="0"/>
      <w:marTop w:val="0"/>
      <w:marBottom w:val="0"/>
      <w:divBdr>
        <w:top w:val="none" w:sz="0" w:space="0" w:color="auto"/>
        <w:left w:val="none" w:sz="0" w:space="0" w:color="auto"/>
        <w:bottom w:val="none" w:sz="0" w:space="0" w:color="auto"/>
        <w:right w:val="none" w:sz="0" w:space="0" w:color="auto"/>
      </w:divBdr>
    </w:div>
    <w:div w:id="887379929">
      <w:bodyDiv w:val="1"/>
      <w:marLeft w:val="0"/>
      <w:marRight w:val="0"/>
      <w:marTop w:val="0"/>
      <w:marBottom w:val="0"/>
      <w:divBdr>
        <w:top w:val="none" w:sz="0" w:space="0" w:color="auto"/>
        <w:left w:val="none" w:sz="0" w:space="0" w:color="auto"/>
        <w:bottom w:val="none" w:sz="0" w:space="0" w:color="auto"/>
        <w:right w:val="none" w:sz="0" w:space="0" w:color="auto"/>
      </w:divBdr>
      <w:divsChild>
        <w:div w:id="2081557426">
          <w:marLeft w:val="0"/>
          <w:marRight w:val="0"/>
          <w:marTop w:val="0"/>
          <w:marBottom w:val="0"/>
          <w:divBdr>
            <w:top w:val="none" w:sz="0" w:space="0" w:color="auto"/>
            <w:left w:val="none" w:sz="0" w:space="0" w:color="auto"/>
            <w:bottom w:val="none" w:sz="0" w:space="0" w:color="auto"/>
            <w:right w:val="none" w:sz="0" w:space="0" w:color="auto"/>
          </w:divBdr>
          <w:divsChild>
            <w:div w:id="51585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321696">
      <w:bodyDiv w:val="1"/>
      <w:marLeft w:val="0"/>
      <w:marRight w:val="0"/>
      <w:marTop w:val="0"/>
      <w:marBottom w:val="0"/>
      <w:divBdr>
        <w:top w:val="none" w:sz="0" w:space="0" w:color="auto"/>
        <w:left w:val="none" w:sz="0" w:space="0" w:color="auto"/>
        <w:bottom w:val="none" w:sz="0" w:space="0" w:color="auto"/>
        <w:right w:val="none" w:sz="0" w:space="0" w:color="auto"/>
      </w:divBdr>
    </w:div>
    <w:div w:id="951548201">
      <w:bodyDiv w:val="1"/>
      <w:marLeft w:val="0"/>
      <w:marRight w:val="0"/>
      <w:marTop w:val="0"/>
      <w:marBottom w:val="0"/>
      <w:divBdr>
        <w:top w:val="none" w:sz="0" w:space="0" w:color="auto"/>
        <w:left w:val="none" w:sz="0" w:space="0" w:color="auto"/>
        <w:bottom w:val="none" w:sz="0" w:space="0" w:color="auto"/>
        <w:right w:val="none" w:sz="0" w:space="0" w:color="auto"/>
      </w:divBdr>
    </w:div>
    <w:div w:id="958411873">
      <w:bodyDiv w:val="1"/>
      <w:marLeft w:val="0"/>
      <w:marRight w:val="0"/>
      <w:marTop w:val="0"/>
      <w:marBottom w:val="0"/>
      <w:divBdr>
        <w:top w:val="none" w:sz="0" w:space="0" w:color="auto"/>
        <w:left w:val="none" w:sz="0" w:space="0" w:color="auto"/>
        <w:bottom w:val="none" w:sz="0" w:space="0" w:color="auto"/>
        <w:right w:val="none" w:sz="0" w:space="0" w:color="auto"/>
      </w:divBdr>
    </w:div>
    <w:div w:id="1008294744">
      <w:bodyDiv w:val="1"/>
      <w:marLeft w:val="0"/>
      <w:marRight w:val="0"/>
      <w:marTop w:val="0"/>
      <w:marBottom w:val="0"/>
      <w:divBdr>
        <w:top w:val="none" w:sz="0" w:space="0" w:color="auto"/>
        <w:left w:val="none" w:sz="0" w:space="0" w:color="auto"/>
        <w:bottom w:val="none" w:sz="0" w:space="0" w:color="auto"/>
        <w:right w:val="none" w:sz="0" w:space="0" w:color="auto"/>
      </w:divBdr>
    </w:div>
    <w:div w:id="1039168171">
      <w:bodyDiv w:val="1"/>
      <w:marLeft w:val="0"/>
      <w:marRight w:val="0"/>
      <w:marTop w:val="0"/>
      <w:marBottom w:val="0"/>
      <w:divBdr>
        <w:top w:val="none" w:sz="0" w:space="0" w:color="auto"/>
        <w:left w:val="none" w:sz="0" w:space="0" w:color="auto"/>
        <w:bottom w:val="none" w:sz="0" w:space="0" w:color="auto"/>
        <w:right w:val="none" w:sz="0" w:space="0" w:color="auto"/>
      </w:divBdr>
    </w:div>
    <w:div w:id="1044866254">
      <w:bodyDiv w:val="1"/>
      <w:marLeft w:val="0"/>
      <w:marRight w:val="0"/>
      <w:marTop w:val="0"/>
      <w:marBottom w:val="0"/>
      <w:divBdr>
        <w:top w:val="none" w:sz="0" w:space="0" w:color="auto"/>
        <w:left w:val="none" w:sz="0" w:space="0" w:color="auto"/>
        <w:bottom w:val="none" w:sz="0" w:space="0" w:color="auto"/>
        <w:right w:val="none" w:sz="0" w:space="0" w:color="auto"/>
      </w:divBdr>
    </w:div>
    <w:div w:id="1047685164">
      <w:bodyDiv w:val="1"/>
      <w:marLeft w:val="0"/>
      <w:marRight w:val="0"/>
      <w:marTop w:val="0"/>
      <w:marBottom w:val="0"/>
      <w:divBdr>
        <w:top w:val="none" w:sz="0" w:space="0" w:color="auto"/>
        <w:left w:val="none" w:sz="0" w:space="0" w:color="auto"/>
        <w:bottom w:val="none" w:sz="0" w:space="0" w:color="auto"/>
        <w:right w:val="none" w:sz="0" w:space="0" w:color="auto"/>
      </w:divBdr>
    </w:div>
    <w:div w:id="1072511414">
      <w:bodyDiv w:val="1"/>
      <w:marLeft w:val="0"/>
      <w:marRight w:val="0"/>
      <w:marTop w:val="0"/>
      <w:marBottom w:val="0"/>
      <w:divBdr>
        <w:top w:val="none" w:sz="0" w:space="0" w:color="auto"/>
        <w:left w:val="none" w:sz="0" w:space="0" w:color="auto"/>
        <w:bottom w:val="none" w:sz="0" w:space="0" w:color="auto"/>
        <w:right w:val="none" w:sz="0" w:space="0" w:color="auto"/>
      </w:divBdr>
    </w:div>
    <w:div w:id="1109740271">
      <w:bodyDiv w:val="1"/>
      <w:marLeft w:val="0"/>
      <w:marRight w:val="0"/>
      <w:marTop w:val="0"/>
      <w:marBottom w:val="0"/>
      <w:divBdr>
        <w:top w:val="none" w:sz="0" w:space="0" w:color="auto"/>
        <w:left w:val="none" w:sz="0" w:space="0" w:color="auto"/>
        <w:bottom w:val="none" w:sz="0" w:space="0" w:color="auto"/>
        <w:right w:val="none" w:sz="0" w:space="0" w:color="auto"/>
      </w:divBdr>
    </w:div>
    <w:div w:id="1133062219">
      <w:bodyDiv w:val="1"/>
      <w:marLeft w:val="0"/>
      <w:marRight w:val="0"/>
      <w:marTop w:val="0"/>
      <w:marBottom w:val="0"/>
      <w:divBdr>
        <w:top w:val="none" w:sz="0" w:space="0" w:color="auto"/>
        <w:left w:val="none" w:sz="0" w:space="0" w:color="auto"/>
        <w:bottom w:val="none" w:sz="0" w:space="0" w:color="auto"/>
        <w:right w:val="none" w:sz="0" w:space="0" w:color="auto"/>
      </w:divBdr>
    </w:div>
    <w:div w:id="1138913746">
      <w:bodyDiv w:val="1"/>
      <w:marLeft w:val="0"/>
      <w:marRight w:val="0"/>
      <w:marTop w:val="0"/>
      <w:marBottom w:val="0"/>
      <w:divBdr>
        <w:top w:val="none" w:sz="0" w:space="0" w:color="auto"/>
        <w:left w:val="none" w:sz="0" w:space="0" w:color="auto"/>
        <w:bottom w:val="none" w:sz="0" w:space="0" w:color="auto"/>
        <w:right w:val="none" w:sz="0" w:space="0" w:color="auto"/>
      </w:divBdr>
    </w:div>
    <w:div w:id="1218664946">
      <w:bodyDiv w:val="1"/>
      <w:marLeft w:val="0"/>
      <w:marRight w:val="0"/>
      <w:marTop w:val="0"/>
      <w:marBottom w:val="0"/>
      <w:divBdr>
        <w:top w:val="none" w:sz="0" w:space="0" w:color="auto"/>
        <w:left w:val="none" w:sz="0" w:space="0" w:color="auto"/>
        <w:bottom w:val="none" w:sz="0" w:space="0" w:color="auto"/>
        <w:right w:val="none" w:sz="0" w:space="0" w:color="auto"/>
      </w:divBdr>
    </w:div>
    <w:div w:id="1250433331">
      <w:bodyDiv w:val="1"/>
      <w:marLeft w:val="0"/>
      <w:marRight w:val="0"/>
      <w:marTop w:val="0"/>
      <w:marBottom w:val="0"/>
      <w:divBdr>
        <w:top w:val="none" w:sz="0" w:space="0" w:color="auto"/>
        <w:left w:val="none" w:sz="0" w:space="0" w:color="auto"/>
        <w:bottom w:val="none" w:sz="0" w:space="0" w:color="auto"/>
        <w:right w:val="none" w:sz="0" w:space="0" w:color="auto"/>
      </w:divBdr>
    </w:div>
    <w:div w:id="1256552834">
      <w:bodyDiv w:val="1"/>
      <w:marLeft w:val="0"/>
      <w:marRight w:val="0"/>
      <w:marTop w:val="0"/>
      <w:marBottom w:val="0"/>
      <w:divBdr>
        <w:top w:val="none" w:sz="0" w:space="0" w:color="auto"/>
        <w:left w:val="none" w:sz="0" w:space="0" w:color="auto"/>
        <w:bottom w:val="none" w:sz="0" w:space="0" w:color="auto"/>
        <w:right w:val="none" w:sz="0" w:space="0" w:color="auto"/>
      </w:divBdr>
    </w:div>
    <w:div w:id="1329673086">
      <w:bodyDiv w:val="1"/>
      <w:marLeft w:val="0"/>
      <w:marRight w:val="0"/>
      <w:marTop w:val="0"/>
      <w:marBottom w:val="0"/>
      <w:divBdr>
        <w:top w:val="none" w:sz="0" w:space="0" w:color="auto"/>
        <w:left w:val="none" w:sz="0" w:space="0" w:color="auto"/>
        <w:bottom w:val="none" w:sz="0" w:space="0" w:color="auto"/>
        <w:right w:val="none" w:sz="0" w:space="0" w:color="auto"/>
      </w:divBdr>
    </w:div>
    <w:div w:id="1329868914">
      <w:bodyDiv w:val="1"/>
      <w:marLeft w:val="0"/>
      <w:marRight w:val="0"/>
      <w:marTop w:val="0"/>
      <w:marBottom w:val="0"/>
      <w:divBdr>
        <w:top w:val="none" w:sz="0" w:space="0" w:color="auto"/>
        <w:left w:val="none" w:sz="0" w:space="0" w:color="auto"/>
        <w:bottom w:val="none" w:sz="0" w:space="0" w:color="auto"/>
        <w:right w:val="none" w:sz="0" w:space="0" w:color="auto"/>
      </w:divBdr>
    </w:div>
    <w:div w:id="1347245465">
      <w:bodyDiv w:val="1"/>
      <w:marLeft w:val="0"/>
      <w:marRight w:val="0"/>
      <w:marTop w:val="0"/>
      <w:marBottom w:val="0"/>
      <w:divBdr>
        <w:top w:val="none" w:sz="0" w:space="0" w:color="auto"/>
        <w:left w:val="none" w:sz="0" w:space="0" w:color="auto"/>
        <w:bottom w:val="none" w:sz="0" w:space="0" w:color="auto"/>
        <w:right w:val="none" w:sz="0" w:space="0" w:color="auto"/>
      </w:divBdr>
    </w:div>
    <w:div w:id="1358966715">
      <w:bodyDiv w:val="1"/>
      <w:marLeft w:val="0"/>
      <w:marRight w:val="0"/>
      <w:marTop w:val="0"/>
      <w:marBottom w:val="0"/>
      <w:divBdr>
        <w:top w:val="none" w:sz="0" w:space="0" w:color="auto"/>
        <w:left w:val="none" w:sz="0" w:space="0" w:color="auto"/>
        <w:bottom w:val="none" w:sz="0" w:space="0" w:color="auto"/>
        <w:right w:val="none" w:sz="0" w:space="0" w:color="auto"/>
      </w:divBdr>
    </w:div>
    <w:div w:id="1374501263">
      <w:bodyDiv w:val="1"/>
      <w:marLeft w:val="0"/>
      <w:marRight w:val="0"/>
      <w:marTop w:val="0"/>
      <w:marBottom w:val="0"/>
      <w:divBdr>
        <w:top w:val="none" w:sz="0" w:space="0" w:color="auto"/>
        <w:left w:val="none" w:sz="0" w:space="0" w:color="auto"/>
        <w:bottom w:val="none" w:sz="0" w:space="0" w:color="auto"/>
        <w:right w:val="none" w:sz="0" w:space="0" w:color="auto"/>
      </w:divBdr>
    </w:div>
    <w:div w:id="1400862722">
      <w:bodyDiv w:val="1"/>
      <w:marLeft w:val="0"/>
      <w:marRight w:val="0"/>
      <w:marTop w:val="0"/>
      <w:marBottom w:val="0"/>
      <w:divBdr>
        <w:top w:val="none" w:sz="0" w:space="0" w:color="auto"/>
        <w:left w:val="none" w:sz="0" w:space="0" w:color="auto"/>
        <w:bottom w:val="none" w:sz="0" w:space="0" w:color="auto"/>
        <w:right w:val="none" w:sz="0" w:space="0" w:color="auto"/>
      </w:divBdr>
    </w:div>
    <w:div w:id="1444693444">
      <w:bodyDiv w:val="1"/>
      <w:marLeft w:val="0"/>
      <w:marRight w:val="0"/>
      <w:marTop w:val="0"/>
      <w:marBottom w:val="0"/>
      <w:divBdr>
        <w:top w:val="none" w:sz="0" w:space="0" w:color="auto"/>
        <w:left w:val="none" w:sz="0" w:space="0" w:color="auto"/>
        <w:bottom w:val="none" w:sz="0" w:space="0" w:color="auto"/>
        <w:right w:val="none" w:sz="0" w:space="0" w:color="auto"/>
      </w:divBdr>
    </w:div>
    <w:div w:id="1526867152">
      <w:bodyDiv w:val="1"/>
      <w:marLeft w:val="0"/>
      <w:marRight w:val="0"/>
      <w:marTop w:val="0"/>
      <w:marBottom w:val="0"/>
      <w:divBdr>
        <w:top w:val="none" w:sz="0" w:space="0" w:color="auto"/>
        <w:left w:val="none" w:sz="0" w:space="0" w:color="auto"/>
        <w:bottom w:val="none" w:sz="0" w:space="0" w:color="auto"/>
        <w:right w:val="none" w:sz="0" w:space="0" w:color="auto"/>
      </w:divBdr>
    </w:div>
    <w:div w:id="1541164314">
      <w:bodyDiv w:val="1"/>
      <w:marLeft w:val="0"/>
      <w:marRight w:val="0"/>
      <w:marTop w:val="0"/>
      <w:marBottom w:val="0"/>
      <w:divBdr>
        <w:top w:val="none" w:sz="0" w:space="0" w:color="auto"/>
        <w:left w:val="none" w:sz="0" w:space="0" w:color="auto"/>
        <w:bottom w:val="none" w:sz="0" w:space="0" w:color="auto"/>
        <w:right w:val="none" w:sz="0" w:space="0" w:color="auto"/>
      </w:divBdr>
    </w:div>
    <w:div w:id="1618365376">
      <w:bodyDiv w:val="1"/>
      <w:marLeft w:val="0"/>
      <w:marRight w:val="0"/>
      <w:marTop w:val="0"/>
      <w:marBottom w:val="0"/>
      <w:divBdr>
        <w:top w:val="none" w:sz="0" w:space="0" w:color="auto"/>
        <w:left w:val="none" w:sz="0" w:space="0" w:color="auto"/>
        <w:bottom w:val="none" w:sz="0" w:space="0" w:color="auto"/>
        <w:right w:val="none" w:sz="0" w:space="0" w:color="auto"/>
      </w:divBdr>
    </w:div>
    <w:div w:id="1660845384">
      <w:bodyDiv w:val="1"/>
      <w:marLeft w:val="0"/>
      <w:marRight w:val="0"/>
      <w:marTop w:val="0"/>
      <w:marBottom w:val="0"/>
      <w:divBdr>
        <w:top w:val="none" w:sz="0" w:space="0" w:color="auto"/>
        <w:left w:val="none" w:sz="0" w:space="0" w:color="auto"/>
        <w:bottom w:val="none" w:sz="0" w:space="0" w:color="auto"/>
        <w:right w:val="none" w:sz="0" w:space="0" w:color="auto"/>
      </w:divBdr>
    </w:div>
    <w:div w:id="1675378175">
      <w:bodyDiv w:val="1"/>
      <w:marLeft w:val="0"/>
      <w:marRight w:val="0"/>
      <w:marTop w:val="0"/>
      <w:marBottom w:val="0"/>
      <w:divBdr>
        <w:top w:val="none" w:sz="0" w:space="0" w:color="auto"/>
        <w:left w:val="none" w:sz="0" w:space="0" w:color="auto"/>
        <w:bottom w:val="none" w:sz="0" w:space="0" w:color="auto"/>
        <w:right w:val="none" w:sz="0" w:space="0" w:color="auto"/>
      </w:divBdr>
    </w:div>
    <w:div w:id="1710568400">
      <w:bodyDiv w:val="1"/>
      <w:marLeft w:val="0"/>
      <w:marRight w:val="0"/>
      <w:marTop w:val="0"/>
      <w:marBottom w:val="0"/>
      <w:divBdr>
        <w:top w:val="none" w:sz="0" w:space="0" w:color="auto"/>
        <w:left w:val="none" w:sz="0" w:space="0" w:color="auto"/>
        <w:bottom w:val="none" w:sz="0" w:space="0" w:color="auto"/>
        <w:right w:val="none" w:sz="0" w:space="0" w:color="auto"/>
      </w:divBdr>
    </w:div>
    <w:div w:id="1733305690">
      <w:bodyDiv w:val="1"/>
      <w:marLeft w:val="0"/>
      <w:marRight w:val="0"/>
      <w:marTop w:val="0"/>
      <w:marBottom w:val="0"/>
      <w:divBdr>
        <w:top w:val="none" w:sz="0" w:space="0" w:color="auto"/>
        <w:left w:val="none" w:sz="0" w:space="0" w:color="auto"/>
        <w:bottom w:val="none" w:sz="0" w:space="0" w:color="auto"/>
        <w:right w:val="none" w:sz="0" w:space="0" w:color="auto"/>
      </w:divBdr>
    </w:div>
    <w:div w:id="1768580462">
      <w:bodyDiv w:val="1"/>
      <w:marLeft w:val="0"/>
      <w:marRight w:val="0"/>
      <w:marTop w:val="0"/>
      <w:marBottom w:val="0"/>
      <w:divBdr>
        <w:top w:val="none" w:sz="0" w:space="0" w:color="auto"/>
        <w:left w:val="none" w:sz="0" w:space="0" w:color="auto"/>
        <w:bottom w:val="none" w:sz="0" w:space="0" w:color="auto"/>
        <w:right w:val="none" w:sz="0" w:space="0" w:color="auto"/>
      </w:divBdr>
    </w:div>
    <w:div w:id="1819178611">
      <w:bodyDiv w:val="1"/>
      <w:marLeft w:val="0"/>
      <w:marRight w:val="0"/>
      <w:marTop w:val="0"/>
      <w:marBottom w:val="0"/>
      <w:divBdr>
        <w:top w:val="none" w:sz="0" w:space="0" w:color="auto"/>
        <w:left w:val="none" w:sz="0" w:space="0" w:color="auto"/>
        <w:bottom w:val="none" w:sz="0" w:space="0" w:color="auto"/>
        <w:right w:val="none" w:sz="0" w:space="0" w:color="auto"/>
      </w:divBdr>
    </w:div>
    <w:div w:id="1855144285">
      <w:bodyDiv w:val="1"/>
      <w:marLeft w:val="0"/>
      <w:marRight w:val="0"/>
      <w:marTop w:val="0"/>
      <w:marBottom w:val="0"/>
      <w:divBdr>
        <w:top w:val="none" w:sz="0" w:space="0" w:color="auto"/>
        <w:left w:val="none" w:sz="0" w:space="0" w:color="auto"/>
        <w:bottom w:val="none" w:sz="0" w:space="0" w:color="auto"/>
        <w:right w:val="none" w:sz="0" w:space="0" w:color="auto"/>
      </w:divBdr>
    </w:div>
    <w:div w:id="1870407262">
      <w:bodyDiv w:val="1"/>
      <w:marLeft w:val="0"/>
      <w:marRight w:val="0"/>
      <w:marTop w:val="0"/>
      <w:marBottom w:val="0"/>
      <w:divBdr>
        <w:top w:val="none" w:sz="0" w:space="0" w:color="auto"/>
        <w:left w:val="none" w:sz="0" w:space="0" w:color="auto"/>
        <w:bottom w:val="none" w:sz="0" w:space="0" w:color="auto"/>
        <w:right w:val="none" w:sz="0" w:space="0" w:color="auto"/>
      </w:divBdr>
    </w:div>
    <w:div w:id="1882864322">
      <w:bodyDiv w:val="1"/>
      <w:marLeft w:val="0"/>
      <w:marRight w:val="0"/>
      <w:marTop w:val="0"/>
      <w:marBottom w:val="0"/>
      <w:divBdr>
        <w:top w:val="none" w:sz="0" w:space="0" w:color="auto"/>
        <w:left w:val="none" w:sz="0" w:space="0" w:color="auto"/>
        <w:bottom w:val="none" w:sz="0" w:space="0" w:color="auto"/>
        <w:right w:val="none" w:sz="0" w:space="0" w:color="auto"/>
      </w:divBdr>
    </w:div>
    <w:div w:id="1906985905">
      <w:bodyDiv w:val="1"/>
      <w:marLeft w:val="0"/>
      <w:marRight w:val="0"/>
      <w:marTop w:val="0"/>
      <w:marBottom w:val="0"/>
      <w:divBdr>
        <w:top w:val="none" w:sz="0" w:space="0" w:color="auto"/>
        <w:left w:val="none" w:sz="0" w:space="0" w:color="auto"/>
        <w:bottom w:val="none" w:sz="0" w:space="0" w:color="auto"/>
        <w:right w:val="none" w:sz="0" w:space="0" w:color="auto"/>
      </w:divBdr>
    </w:div>
    <w:div w:id="1922791697">
      <w:bodyDiv w:val="1"/>
      <w:marLeft w:val="0"/>
      <w:marRight w:val="0"/>
      <w:marTop w:val="0"/>
      <w:marBottom w:val="0"/>
      <w:divBdr>
        <w:top w:val="none" w:sz="0" w:space="0" w:color="auto"/>
        <w:left w:val="none" w:sz="0" w:space="0" w:color="auto"/>
        <w:bottom w:val="none" w:sz="0" w:space="0" w:color="auto"/>
        <w:right w:val="none" w:sz="0" w:space="0" w:color="auto"/>
      </w:divBdr>
    </w:div>
    <w:div w:id="1942832734">
      <w:bodyDiv w:val="1"/>
      <w:marLeft w:val="0"/>
      <w:marRight w:val="0"/>
      <w:marTop w:val="0"/>
      <w:marBottom w:val="0"/>
      <w:divBdr>
        <w:top w:val="none" w:sz="0" w:space="0" w:color="auto"/>
        <w:left w:val="none" w:sz="0" w:space="0" w:color="auto"/>
        <w:bottom w:val="none" w:sz="0" w:space="0" w:color="auto"/>
        <w:right w:val="none" w:sz="0" w:space="0" w:color="auto"/>
      </w:divBdr>
    </w:div>
    <w:div w:id="1962884449">
      <w:bodyDiv w:val="1"/>
      <w:marLeft w:val="0"/>
      <w:marRight w:val="0"/>
      <w:marTop w:val="0"/>
      <w:marBottom w:val="0"/>
      <w:divBdr>
        <w:top w:val="none" w:sz="0" w:space="0" w:color="auto"/>
        <w:left w:val="none" w:sz="0" w:space="0" w:color="auto"/>
        <w:bottom w:val="none" w:sz="0" w:space="0" w:color="auto"/>
        <w:right w:val="none" w:sz="0" w:space="0" w:color="auto"/>
      </w:divBdr>
    </w:div>
    <w:div w:id="1984700355">
      <w:bodyDiv w:val="1"/>
      <w:marLeft w:val="0"/>
      <w:marRight w:val="0"/>
      <w:marTop w:val="0"/>
      <w:marBottom w:val="0"/>
      <w:divBdr>
        <w:top w:val="none" w:sz="0" w:space="0" w:color="auto"/>
        <w:left w:val="none" w:sz="0" w:space="0" w:color="auto"/>
        <w:bottom w:val="none" w:sz="0" w:space="0" w:color="auto"/>
        <w:right w:val="none" w:sz="0" w:space="0" w:color="auto"/>
      </w:divBdr>
    </w:div>
    <w:div w:id="1995376300">
      <w:bodyDiv w:val="1"/>
      <w:marLeft w:val="0"/>
      <w:marRight w:val="0"/>
      <w:marTop w:val="0"/>
      <w:marBottom w:val="0"/>
      <w:divBdr>
        <w:top w:val="none" w:sz="0" w:space="0" w:color="auto"/>
        <w:left w:val="none" w:sz="0" w:space="0" w:color="auto"/>
        <w:bottom w:val="none" w:sz="0" w:space="0" w:color="auto"/>
        <w:right w:val="none" w:sz="0" w:space="0" w:color="auto"/>
      </w:divBdr>
    </w:div>
    <w:div w:id="2042893750">
      <w:bodyDiv w:val="1"/>
      <w:marLeft w:val="0"/>
      <w:marRight w:val="0"/>
      <w:marTop w:val="0"/>
      <w:marBottom w:val="0"/>
      <w:divBdr>
        <w:top w:val="none" w:sz="0" w:space="0" w:color="auto"/>
        <w:left w:val="none" w:sz="0" w:space="0" w:color="auto"/>
        <w:bottom w:val="none" w:sz="0" w:space="0" w:color="auto"/>
        <w:right w:val="none" w:sz="0" w:space="0" w:color="auto"/>
      </w:divBdr>
    </w:div>
    <w:div w:id="2045058163">
      <w:bodyDiv w:val="1"/>
      <w:marLeft w:val="0"/>
      <w:marRight w:val="0"/>
      <w:marTop w:val="0"/>
      <w:marBottom w:val="0"/>
      <w:divBdr>
        <w:top w:val="none" w:sz="0" w:space="0" w:color="auto"/>
        <w:left w:val="none" w:sz="0" w:space="0" w:color="auto"/>
        <w:bottom w:val="none" w:sz="0" w:space="0" w:color="auto"/>
        <w:right w:val="none" w:sz="0" w:space="0" w:color="auto"/>
      </w:divBdr>
    </w:div>
    <w:div w:id="2056814063">
      <w:bodyDiv w:val="1"/>
      <w:marLeft w:val="0"/>
      <w:marRight w:val="0"/>
      <w:marTop w:val="0"/>
      <w:marBottom w:val="0"/>
      <w:divBdr>
        <w:top w:val="none" w:sz="0" w:space="0" w:color="auto"/>
        <w:left w:val="none" w:sz="0" w:space="0" w:color="auto"/>
        <w:bottom w:val="none" w:sz="0" w:space="0" w:color="auto"/>
        <w:right w:val="none" w:sz="0" w:space="0" w:color="auto"/>
      </w:divBdr>
    </w:div>
    <w:div w:id="2104064352">
      <w:bodyDiv w:val="1"/>
      <w:marLeft w:val="0"/>
      <w:marRight w:val="0"/>
      <w:marTop w:val="0"/>
      <w:marBottom w:val="0"/>
      <w:divBdr>
        <w:top w:val="none" w:sz="0" w:space="0" w:color="auto"/>
        <w:left w:val="none" w:sz="0" w:space="0" w:color="auto"/>
        <w:bottom w:val="none" w:sz="0" w:space="0" w:color="auto"/>
        <w:right w:val="none" w:sz="0" w:space="0" w:color="auto"/>
      </w:divBdr>
    </w:div>
    <w:div w:id="2146963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core.com" TargetMode="External"/><Relationship Id="rId3" Type="http://schemas.openxmlformats.org/officeDocument/2006/relationships/styles" Target="styles.xml"/><Relationship Id="rId7" Type="http://schemas.openxmlformats.org/officeDocument/2006/relationships/hyperlink" Target="https://www.citb.co.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procore.com/" TargetMode="External"/><Relationship Id="rId4" Type="http://schemas.openxmlformats.org/officeDocument/2006/relationships/settings" Target="settings.xml"/><Relationship Id="rId9" Type="http://schemas.openxmlformats.org/officeDocument/2006/relationships/hyperlink" Target="https://www.viewpoin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659C6-A769-4897-B775-815181FE2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3581</Words>
  <Characters>20416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management</dc:title>
  <dc:subject/>
  <dc:creator>Sean Bamber</dc:creator>
  <cp:keywords/>
  <dc:description/>
  <cp:lastModifiedBy>Sean Bamber</cp:lastModifiedBy>
  <cp:revision>2</cp:revision>
  <dcterms:created xsi:type="dcterms:W3CDTF">2025-07-23T12:36:00Z</dcterms:created>
  <dcterms:modified xsi:type="dcterms:W3CDTF">2025-07-23T12:36:00Z</dcterms:modified>
  <cp:category>Assignment 2</cp:category>
</cp:coreProperties>
</file>