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D7F67" w14:textId="298CCE80" w:rsidR="00071050" w:rsidRDefault="00A34001" w:rsidP="001101D9">
      <w:pPr>
        <w:jc w:val="both"/>
        <w:rPr>
          <w:b/>
          <w:bCs/>
          <w:u w:val="single"/>
        </w:rPr>
      </w:pPr>
      <w:r w:rsidRPr="00A34001">
        <w:rPr>
          <w:b/>
          <w:bCs/>
          <w:u w:val="single"/>
        </w:rPr>
        <w:t>Assignment 1</w:t>
      </w:r>
    </w:p>
    <w:p w14:paraId="19DAC89D" w14:textId="794EE6C7" w:rsidR="00A34001" w:rsidRDefault="00A34001" w:rsidP="001101D9">
      <w:pPr>
        <w:jc w:val="both"/>
        <w:rPr>
          <w:b/>
          <w:bCs/>
          <w:u w:val="single"/>
        </w:rPr>
      </w:pPr>
    </w:p>
    <w:p w14:paraId="62F865E3" w14:textId="76628B7C" w:rsidR="00A34001" w:rsidRDefault="002A2C2E" w:rsidP="001101D9">
      <w:pPr>
        <w:jc w:val="both"/>
        <w:rPr>
          <w:u w:val="single"/>
        </w:rPr>
      </w:pPr>
      <w:r>
        <w:rPr>
          <w:u w:val="single"/>
        </w:rPr>
        <w:t xml:space="preserve">Essay 1 - </w:t>
      </w:r>
      <w:r w:rsidR="00A34001">
        <w:rPr>
          <w:u w:val="single"/>
        </w:rPr>
        <w:t>How have the different values and cultural norms within diverse communities impacted upon policing?</w:t>
      </w:r>
    </w:p>
    <w:p w14:paraId="5D96B530" w14:textId="79B1CADA" w:rsidR="00A34001" w:rsidRDefault="00A34001" w:rsidP="001101D9">
      <w:pPr>
        <w:jc w:val="both"/>
        <w:rPr>
          <w:u w:val="single"/>
        </w:rPr>
      </w:pPr>
    </w:p>
    <w:p w14:paraId="369F857F" w14:textId="77777777" w:rsidR="00A34001" w:rsidRPr="00A34001" w:rsidRDefault="00A34001" w:rsidP="001101D9">
      <w:pPr>
        <w:jc w:val="both"/>
      </w:pPr>
      <w:r w:rsidRPr="00A34001">
        <w:t>“The UK is full of diversity, and its multicultural nature makes it an exciting and welcoming place to live” (Academic Families, 2023).</w:t>
      </w:r>
    </w:p>
    <w:p w14:paraId="20D11A67" w14:textId="4F1B4C32" w:rsidR="00A34001" w:rsidRPr="00A34001" w:rsidRDefault="00A34001" w:rsidP="001101D9">
      <w:pPr>
        <w:jc w:val="both"/>
      </w:pPr>
      <w:r w:rsidRPr="00A34001">
        <w:t xml:space="preserve">Since the creation of the first full-time, professional and centrally organised police force in England and Wales in 1829, there have been many factors that </w:t>
      </w:r>
      <w:r w:rsidR="001101D9" w:rsidRPr="00A34001">
        <w:t>affect</w:t>
      </w:r>
      <w:r w:rsidRPr="00A34001">
        <w:t xml:space="preserve"> the way in which communities are policed. Today’s world presents challenges such as “technological change, climate change and increased inequality” College of Policing (2020), which will all have an impact on how communities are policed. However, more traditionally, and perhaps more widely recognised, is how multi-culturalism plays and important role in professional policies and standards in policing. “Since the Second World War the United Kingdom has seen an influx of immigration that has radically altered its nature. The population has changed from one that was overwhelmingly white, ethnically British and Christian, to one constituted by creeds, cultures and communities drawn from all over the globe” Ashcroft, R.T. (2017).</w:t>
      </w:r>
    </w:p>
    <w:p w14:paraId="10EE9CEA" w14:textId="77777777" w:rsidR="00A34001" w:rsidRPr="00A34001" w:rsidRDefault="00A34001" w:rsidP="001101D9">
      <w:pPr>
        <w:jc w:val="both"/>
      </w:pPr>
      <w:r w:rsidRPr="00A34001">
        <w:t xml:space="preserve">It has been highlighted by some commentators that Britain has found it difficult to adapt to multi-culturalism, especially in policing. Lord Scarman suggested that Britain had failed “to come to terms with inner city decay and ethnic minorities” Cook, S. (2021). This report was commissioned following the Brixton riots of 1981 which were as a result of tensions between ethnic minority communities and police where it was believed that police were abusing their powers and disproportionately using their “Stop/Search” powers against black members of the community. The aim of the Scarman report was “to create better relations between the police and the community” Cook, S. (2021).  </w:t>
      </w:r>
    </w:p>
    <w:p w14:paraId="2D067907" w14:textId="77777777" w:rsidR="00A34001" w:rsidRPr="00A34001" w:rsidRDefault="00A34001" w:rsidP="001101D9">
      <w:pPr>
        <w:jc w:val="both"/>
      </w:pPr>
      <w:r w:rsidRPr="00A34001">
        <w:t>The Brixton Riots was just one of a number of cases which highlighted unacceptable police behaviour and was a contributing factor to the introduction of the Police and Criminal Evidence Act (PACE) 1984. Not only was unacceptable police behaviour highlighted, but many cases “revealed the existence of serious miscarriages of justice” Law Teacher (2019). Such cases included the IRA terrorist which involved the suspects providing questionable admissions made under unlawful police interrogation.</w:t>
      </w:r>
    </w:p>
    <w:p w14:paraId="6C5DC7F9" w14:textId="77777777" w:rsidR="00A34001" w:rsidRPr="00A34001" w:rsidRDefault="00A34001" w:rsidP="001101D9">
      <w:pPr>
        <w:jc w:val="both"/>
      </w:pPr>
      <w:r w:rsidRPr="00A34001">
        <w:t xml:space="preserve">The PACE Act 1984 is the bedrock of policing and governs “the major part of police powers of investigation including, arrest, detention, interrogation, entry and search of premises, personal search and the taking of samples” In Brief (No date). </w:t>
      </w:r>
    </w:p>
    <w:p w14:paraId="64CD91C4" w14:textId="77777777" w:rsidR="00A34001" w:rsidRPr="00A34001" w:rsidRDefault="00A34001" w:rsidP="001101D9">
      <w:pPr>
        <w:jc w:val="both"/>
      </w:pPr>
      <w:r w:rsidRPr="00A34001">
        <w:t>The governing of the personal search is just one aspect of PACE 1984 which addresses the concerns raised by the public and seeks to eradicate the abuse of power displayed by police in the lead up to the Brixton Riots. Under PACE 1984, police now require a reasonable and justifiable suspicion in order to conduct a Stop/Search whereas prior to PACE 1984, police officers were using general suspicions based on personal factors and appearance.</w:t>
      </w:r>
    </w:p>
    <w:p w14:paraId="3D5E0536" w14:textId="77777777" w:rsidR="00A34001" w:rsidRPr="00A34001" w:rsidRDefault="00A34001" w:rsidP="001101D9">
      <w:pPr>
        <w:jc w:val="both"/>
      </w:pPr>
      <w:r w:rsidRPr="00A34001">
        <w:t xml:space="preserve">PACE 1984 was developed with the hope that relations and public confidence in the police would improve. Under PACE 1984, Codes of Practice have been developed, Codes A – H and these codes outline a police officer’s duties whilst conducting an investigation. Even though failure to adhere to these codes of practice does not make a police officer liable for criminal proceeding against them, it </w:t>
      </w:r>
      <w:r w:rsidRPr="00A34001">
        <w:lastRenderedPageBreak/>
        <w:t>would seriously undermine any investigation and any evidence obtained whilst not adhering to the PACE 1984 Codes of Practice, may be deemed inadmissible in court.</w:t>
      </w:r>
    </w:p>
    <w:p w14:paraId="5AFACFDE" w14:textId="014E4E57" w:rsidR="00A34001" w:rsidRPr="00A34001" w:rsidRDefault="00A34001" w:rsidP="001101D9">
      <w:pPr>
        <w:jc w:val="both"/>
      </w:pPr>
      <w:r w:rsidRPr="00A34001">
        <w:t xml:space="preserve">In addition to PACE 1984 being introduced due to the impact of multi-culturalism in Great Britain, another professional </w:t>
      </w:r>
      <w:r w:rsidR="001101D9" w:rsidRPr="00A34001">
        <w:t>policy</w:t>
      </w:r>
      <w:r w:rsidRPr="00A34001">
        <w:t xml:space="preserve"> ha</w:t>
      </w:r>
      <w:r w:rsidR="001101D9">
        <w:t>s</w:t>
      </w:r>
      <w:r w:rsidRPr="00A34001">
        <w:t xml:space="preserve"> been introduced, such as the Code of Ethics.</w:t>
      </w:r>
    </w:p>
    <w:p w14:paraId="63055D06" w14:textId="77777777" w:rsidR="00A34001" w:rsidRPr="00A34001" w:rsidRDefault="00A34001" w:rsidP="001101D9">
      <w:pPr>
        <w:jc w:val="both"/>
      </w:pPr>
      <w:r w:rsidRPr="00A34001">
        <w:t>The Code of Ethics was introduced in 2014 and “it sets out the standards of behaviour that the public can expect from officers and staff at every role and at every level and will help guide decision making” GOV.CO.UK (2014).</w:t>
      </w:r>
    </w:p>
    <w:p w14:paraId="5FCEA62A" w14:textId="77777777" w:rsidR="00A34001" w:rsidRPr="00A34001" w:rsidRDefault="00A34001" w:rsidP="001101D9">
      <w:pPr>
        <w:jc w:val="both"/>
      </w:pPr>
      <w:r w:rsidRPr="00A34001">
        <w:t>The Code of Ethics was introduced it was reported that “a series of events have shaken public confidence in the police, including the renewed inquiries into the Hillsborough disaster” Sky News (2013).</w:t>
      </w:r>
    </w:p>
    <w:p w14:paraId="15C9842F" w14:textId="77777777" w:rsidR="00A34001" w:rsidRPr="00A34001" w:rsidRDefault="00A34001" w:rsidP="001101D9">
      <w:pPr>
        <w:jc w:val="both"/>
      </w:pPr>
      <w:r w:rsidRPr="00A34001">
        <w:t>Actions carried out by officers in the aftermath of the Hillsborough disaster, such as the alleged amendments to the officer’s accounts, allegations that misleading information was passed to the media by police and allegations that family members of the deceased were subject to surveillance by police to name but a few seriously affected the public’s confidence in policing.</w:t>
      </w:r>
    </w:p>
    <w:p w14:paraId="6EE0BA44" w14:textId="77777777" w:rsidR="00A34001" w:rsidRPr="00A34001" w:rsidRDefault="00A34001" w:rsidP="001101D9">
      <w:pPr>
        <w:jc w:val="both"/>
      </w:pPr>
      <w:r w:rsidRPr="00A34001">
        <w:t>Another example of a major incident which has affected public confidence in policing is the murder and the subsequent investigation into the murder of Stephen Lawrence.</w:t>
      </w:r>
    </w:p>
    <w:p w14:paraId="3E56AF93" w14:textId="77777777" w:rsidR="00A34001" w:rsidRPr="00A34001" w:rsidRDefault="00A34001" w:rsidP="001101D9">
      <w:pPr>
        <w:jc w:val="both"/>
      </w:pPr>
      <w:r w:rsidRPr="00A34001">
        <w:t>Stephen Lawrence was murdered by a racist gang in Eltham in April 1991. However, it was not until 2012 that anyone was brought to justice and convicted of his murder.</w:t>
      </w:r>
    </w:p>
    <w:p w14:paraId="1E9A7165" w14:textId="77777777" w:rsidR="00A34001" w:rsidRPr="00A34001" w:rsidRDefault="00A34001" w:rsidP="001101D9">
      <w:pPr>
        <w:jc w:val="both"/>
      </w:pPr>
      <w:r w:rsidRPr="00A34001">
        <w:t>An enquiry into the investigation resulted in the publication of the MacPherson Report in 1999, which states that they “found initial attempts to catch Mr Lawrence's killers were hampered by incompetence and "institutional racism" in the Metropolitan Police” BBC News (2020)</w:t>
      </w:r>
    </w:p>
    <w:p w14:paraId="25FD051D" w14:textId="77777777" w:rsidR="00A34001" w:rsidRPr="00A34001" w:rsidRDefault="00A34001" w:rsidP="001101D9">
      <w:pPr>
        <w:jc w:val="both"/>
      </w:pPr>
      <w:r w:rsidRPr="00A34001">
        <w:t>There was a further inquiry conducted in 2014, investigating whether one of the officers dealing with the initial investigation had “acted corruptly” BBC News (2020). It was alleged that the officer had been "improperly influenced or motivated to protect at least one of the suspects during the original murder investigation" BBC News (2020). Although this allegation was unfounded.</w:t>
      </w:r>
    </w:p>
    <w:p w14:paraId="76B9DFB5" w14:textId="77777777" w:rsidR="00A34001" w:rsidRPr="00A34001" w:rsidRDefault="00A34001" w:rsidP="001101D9">
      <w:pPr>
        <w:jc w:val="both"/>
      </w:pPr>
      <w:r w:rsidRPr="00A34001">
        <w:t>However, during the inquiry, it was suggested that four officers “may have committed the offence of misconduct in public office in relation to their actions and omissions prior to the arrests of the five key suspects" BBC News (2020).</w:t>
      </w:r>
    </w:p>
    <w:p w14:paraId="53C8091B" w14:textId="77777777" w:rsidR="00A34001" w:rsidRPr="00A34001" w:rsidRDefault="00A34001" w:rsidP="001101D9">
      <w:pPr>
        <w:jc w:val="both"/>
      </w:pPr>
    </w:p>
    <w:p w14:paraId="3C122F72" w14:textId="77777777" w:rsidR="00A34001" w:rsidRPr="00A34001" w:rsidRDefault="00A34001" w:rsidP="001101D9">
      <w:pPr>
        <w:jc w:val="both"/>
      </w:pPr>
      <w:r w:rsidRPr="00A34001">
        <w:t>The resulting Code of Ethics compromises of 9 policing principles and 10 standards of policing which include, honesty, integrity, equality and diversity, respect and challenging and reporting improper conduct.</w:t>
      </w:r>
    </w:p>
    <w:p w14:paraId="20B2EBB4" w14:textId="77777777" w:rsidR="00A34001" w:rsidRPr="00A34001" w:rsidRDefault="00A34001" w:rsidP="001101D9">
      <w:pPr>
        <w:jc w:val="both"/>
      </w:pPr>
    </w:p>
    <w:p w14:paraId="34BFF3EC" w14:textId="3D8E14ED" w:rsidR="00A34001" w:rsidRDefault="00A34001" w:rsidP="001101D9">
      <w:pPr>
        <w:jc w:val="both"/>
      </w:pPr>
      <w:r w:rsidRPr="00A34001">
        <w:t>Multi-culturalism has also impacted policing practices whereby Neighbourhood Policing has become an effective way to tackle the challenges in the lack public confidence and trust in the police as a result of some of the incidents that have previously been discussed. Neighbourhood policing “must ensure it is built on effective engagement and consultation with communities” College of Policing (2021). The college of policing sets out essential elements of neighbourhood policing which includes, “regular formal and informal contact with communities, engagement that is tailored to the needs and preferences of different communities and a clearly defined and transparent purpose for engagement activities.</w:t>
      </w:r>
    </w:p>
    <w:p w14:paraId="0EC58BC3" w14:textId="61CA963D" w:rsidR="002A2C2E" w:rsidRDefault="002A2C2E" w:rsidP="001101D9">
      <w:pPr>
        <w:jc w:val="both"/>
        <w:rPr>
          <w:u w:val="single"/>
        </w:rPr>
      </w:pPr>
      <w:r w:rsidRPr="002A2C2E">
        <w:rPr>
          <w:u w:val="single"/>
        </w:rPr>
        <w:lastRenderedPageBreak/>
        <w:t>Essay 2 – What makes vulnerable young people and adults more at risk of exploitation by criminal gangs?</w:t>
      </w:r>
    </w:p>
    <w:p w14:paraId="33F29181" w14:textId="7BC4D88D" w:rsidR="002A2C2E" w:rsidRDefault="002A2C2E" w:rsidP="001101D9">
      <w:pPr>
        <w:jc w:val="both"/>
        <w:rPr>
          <w:u w:val="single"/>
        </w:rPr>
      </w:pPr>
    </w:p>
    <w:p w14:paraId="6F4D4105" w14:textId="77777777" w:rsidR="002A2C2E" w:rsidRPr="00F77505" w:rsidRDefault="002A2C2E" w:rsidP="001101D9">
      <w:pPr>
        <w:jc w:val="both"/>
        <w:rPr>
          <w:rFonts w:cstheme="minorHAnsi"/>
          <w:shd w:val="clear" w:color="auto" w:fill="FFFFFF"/>
        </w:rPr>
      </w:pPr>
      <w:r w:rsidRPr="00F77505">
        <w:rPr>
          <w:rFonts w:cstheme="minorHAnsi"/>
          <w:shd w:val="clear" w:color="auto" w:fill="FFFFFF"/>
        </w:rPr>
        <w:t>“Preventing gangs from forming and eliminating established gangs altogether seems impossible when they are rooted in the cracks of our society” Howell, J.C (2018).</w:t>
      </w:r>
    </w:p>
    <w:p w14:paraId="01C44BF0" w14:textId="77777777" w:rsidR="002A2C2E" w:rsidRPr="00F77505" w:rsidRDefault="002A2C2E" w:rsidP="001101D9">
      <w:pPr>
        <w:jc w:val="both"/>
        <w:rPr>
          <w:rFonts w:cstheme="minorHAnsi"/>
          <w:shd w:val="clear" w:color="auto" w:fill="FFFFFF"/>
        </w:rPr>
      </w:pPr>
    </w:p>
    <w:p w14:paraId="62A1F80C" w14:textId="77777777" w:rsidR="002A2C2E" w:rsidRPr="00F77505" w:rsidRDefault="002A2C2E" w:rsidP="001101D9">
      <w:pPr>
        <w:jc w:val="both"/>
        <w:rPr>
          <w:rFonts w:cstheme="minorHAnsi"/>
          <w:shd w:val="clear" w:color="auto" w:fill="FFFFFF"/>
        </w:rPr>
      </w:pPr>
      <w:r w:rsidRPr="00F77505">
        <w:rPr>
          <w:rFonts w:cstheme="minorHAnsi"/>
          <w:shd w:val="clear" w:color="auto" w:fill="FFFFFF"/>
        </w:rPr>
        <w:t>It is important to note that there are many factors that can influence the risk of exploitation by criminal gangs that vulnerable young people and adults face. It cannot be solely due to the person’s psychological make up or conversely, solely down to a person’s socio-economic situation.</w:t>
      </w:r>
    </w:p>
    <w:p w14:paraId="7AB5D799" w14:textId="77777777" w:rsidR="002A2C2E" w:rsidRPr="00F77505" w:rsidRDefault="002A2C2E" w:rsidP="001101D9">
      <w:pPr>
        <w:jc w:val="both"/>
        <w:rPr>
          <w:rFonts w:cstheme="minorHAnsi"/>
          <w:shd w:val="clear" w:color="auto" w:fill="FFFFFF"/>
        </w:rPr>
      </w:pPr>
    </w:p>
    <w:p w14:paraId="2D1D075D" w14:textId="77777777" w:rsidR="002A2C2E" w:rsidRPr="00F77505" w:rsidRDefault="002A2C2E" w:rsidP="001101D9">
      <w:pPr>
        <w:jc w:val="both"/>
        <w:rPr>
          <w:rFonts w:cstheme="minorHAnsi"/>
          <w:b/>
          <w:bCs/>
          <w:u w:val="single"/>
        </w:rPr>
      </w:pPr>
      <w:r w:rsidRPr="00F77505">
        <w:rPr>
          <w:rFonts w:cstheme="minorHAnsi"/>
          <w:shd w:val="clear" w:color="auto" w:fill="FFFFFF"/>
        </w:rPr>
        <w:t>What is alarming however, is the stark increase in young people being convicted of drug related offences in recent years.</w:t>
      </w:r>
    </w:p>
    <w:p w14:paraId="4DB03B26" w14:textId="77777777" w:rsidR="002A2C2E" w:rsidRPr="00F77505" w:rsidRDefault="002A2C2E" w:rsidP="001101D9">
      <w:pPr>
        <w:jc w:val="both"/>
        <w:rPr>
          <w:rFonts w:cstheme="minorHAnsi"/>
          <w:b/>
          <w:bCs/>
          <w:u w:val="single"/>
        </w:rPr>
      </w:pPr>
    </w:p>
    <w:p w14:paraId="7CD9FBC4" w14:textId="77777777" w:rsidR="002A2C2E" w:rsidRPr="00F77505" w:rsidRDefault="002A2C2E" w:rsidP="001101D9">
      <w:pPr>
        <w:jc w:val="both"/>
        <w:rPr>
          <w:rFonts w:cstheme="minorHAnsi"/>
        </w:rPr>
      </w:pPr>
      <w:r w:rsidRPr="00F77505">
        <w:rPr>
          <w:rFonts w:cstheme="minorHAnsi"/>
        </w:rPr>
        <w:t>“Convictions of young people aged 10- 17s for Class A (e.g., heroin and crack cocaine) drug production and possession with intent to supply have increased by 77 per cent between 2012 and 2016; three times the equivalent increase among adult offenders” Robinson, G et al. (2019).</w:t>
      </w:r>
    </w:p>
    <w:p w14:paraId="519C7BAC" w14:textId="77777777" w:rsidR="002A2C2E" w:rsidRPr="00F77505" w:rsidRDefault="002A2C2E" w:rsidP="001101D9">
      <w:pPr>
        <w:jc w:val="both"/>
        <w:rPr>
          <w:rFonts w:cstheme="minorHAnsi"/>
        </w:rPr>
      </w:pPr>
    </w:p>
    <w:p w14:paraId="7B415DDB" w14:textId="77777777" w:rsidR="002A2C2E" w:rsidRPr="00F77505" w:rsidRDefault="002A2C2E" w:rsidP="001101D9">
      <w:pPr>
        <w:jc w:val="both"/>
        <w:rPr>
          <w:rFonts w:cstheme="minorHAnsi"/>
        </w:rPr>
      </w:pPr>
      <w:r w:rsidRPr="00F77505">
        <w:rPr>
          <w:rFonts w:cstheme="minorHAnsi"/>
        </w:rPr>
        <w:t>Gang culture has been an issue in the United Kingdom for many years, however, in recent years, gangs have widened their network of criminality and drug dealing by using what we now know as ‘County Lines.’</w:t>
      </w:r>
    </w:p>
    <w:p w14:paraId="15BA9BBD" w14:textId="77777777" w:rsidR="002A2C2E" w:rsidRPr="00F77505" w:rsidRDefault="002A2C2E" w:rsidP="001101D9">
      <w:pPr>
        <w:jc w:val="both"/>
        <w:rPr>
          <w:rFonts w:cstheme="minorHAnsi"/>
        </w:rPr>
      </w:pPr>
    </w:p>
    <w:p w14:paraId="32F55AD5" w14:textId="77777777" w:rsidR="002A2C2E" w:rsidRPr="00F77505" w:rsidRDefault="002A2C2E" w:rsidP="001101D9">
      <w:pPr>
        <w:jc w:val="both"/>
        <w:rPr>
          <w:rFonts w:cstheme="minorHAnsi"/>
        </w:rPr>
      </w:pPr>
      <w:r w:rsidRPr="00F77505">
        <w:rPr>
          <w:rFonts w:cstheme="minorHAnsi"/>
          <w:shd w:val="clear" w:color="auto" w:fill="FFFFFF"/>
        </w:rPr>
        <w:t>“County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Home Office, (2020).</w:t>
      </w:r>
    </w:p>
    <w:p w14:paraId="09AA6790" w14:textId="77777777" w:rsidR="002A2C2E" w:rsidRPr="00F77505" w:rsidRDefault="002A2C2E" w:rsidP="001101D9">
      <w:pPr>
        <w:jc w:val="both"/>
        <w:rPr>
          <w:rFonts w:cstheme="minorHAnsi"/>
        </w:rPr>
      </w:pPr>
    </w:p>
    <w:p w14:paraId="6953AC0B" w14:textId="77777777" w:rsidR="002A2C2E" w:rsidRPr="00F77505" w:rsidRDefault="002A2C2E" w:rsidP="001101D9">
      <w:pPr>
        <w:jc w:val="both"/>
        <w:rPr>
          <w:rFonts w:cstheme="minorHAnsi"/>
          <w:shd w:val="clear" w:color="auto" w:fill="FFFFFF"/>
        </w:rPr>
      </w:pPr>
      <w:r w:rsidRPr="00F77505">
        <w:rPr>
          <w:rFonts w:cstheme="minorHAnsi"/>
        </w:rPr>
        <w:t>Numerous studies have identified that a</w:t>
      </w:r>
      <w:r w:rsidRPr="00F77505">
        <w:rPr>
          <w:rFonts w:cstheme="minorHAnsi"/>
          <w:shd w:val="clear" w:color="auto" w:fill="FFFFFF"/>
        </w:rPr>
        <w:t xml:space="preserve"> “key risk factor for youth involvement in gangs and related activities, particularly those that involved generating income for the young person” Annan, L.G. et al. (2021), is community deprivation. Young people can view their involvement in a gang as acceptance and a sense of belonging within a community. Rewards are offered, often rewards that are motivators for the young person to continue their involvement in gangs.</w:t>
      </w:r>
    </w:p>
    <w:p w14:paraId="49FC0CB2" w14:textId="77777777" w:rsidR="002A2C2E" w:rsidRPr="00F77505" w:rsidRDefault="002A2C2E" w:rsidP="001101D9">
      <w:pPr>
        <w:jc w:val="both"/>
        <w:rPr>
          <w:rFonts w:cstheme="minorHAnsi"/>
          <w:shd w:val="clear" w:color="auto" w:fill="FFFFFF"/>
        </w:rPr>
      </w:pPr>
      <w:r w:rsidRPr="00F77505">
        <w:rPr>
          <w:rFonts w:cstheme="minorHAnsi"/>
        </w:rPr>
        <w:t>Gang members are extremely clever when it comes to identifying vulnerability in other people. Feeling isolated or a lack of a support network is a common vulnerability characteristic and research has shown that, “</w:t>
      </w:r>
      <w:r w:rsidRPr="00F77505">
        <w:rPr>
          <w:rFonts w:cstheme="minorHAnsi"/>
          <w:shd w:val="clear" w:color="auto" w:fill="FFFFFF"/>
        </w:rPr>
        <w:t>youth street gang involvement appears related to the available support networks rather than the individual” Annan, L.G. et al. (2021).</w:t>
      </w:r>
    </w:p>
    <w:p w14:paraId="657FD550" w14:textId="77777777" w:rsidR="002A2C2E" w:rsidRPr="00F77505" w:rsidRDefault="002A2C2E" w:rsidP="001101D9">
      <w:pPr>
        <w:jc w:val="both"/>
        <w:rPr>
          <w:rFonts w:cstheme="minorHAnsi"/>
        </w:rPr>
      </w:pPr>
      <w:r w:rsidRPr="00F77505">
        <w:rPr>
          <w:rFonts w:cstheme="minorHAnsi"/>
        </w:rPr>
        <w:t xml:space="preserve">As previously mentioned, gangs offer their victims all kinds of rewards in return for working for them such as alcohol, drugs, and money. Additionally, “in many cases, affection and significance are </w:t>
      </w:r>
      <w:r w:rsidRPr="00F77505">
        <w:rPr>
          <w:rFonts w:cstheme="minorHAnsi"/>
        </w:rPr>
        <w:lastRenderedPageBreak/>
        <w:t xml:space="preserve">sufficient to keep many aspiring children enticed into the gang lifestyle because it provides the familiarity of family structure” </w:t>
      </w:r>
      <w:proofErr w:type="spellStart"/>
      <w:r w:rsidRPr="00F77505">
        <w:rPr>
          <w:rFonts w:cstheme="minorHAnsi"/>
        </w:rPr>
        <w:t>Scholarone</w:t>
      </w:r>
      <w:proofErr w:type="spellEnd"/>
      <w:r w:rsidRPr="00F77505">
        <w:rPr>
          <w:rFonts w:cstheme="minorHAnsi"/>
        </w:rPr>
        <w:t xml:space="preserve"> Manuscripts, (No date).</w:t>
      </w:r>
    </w:p>
    <w:p w14:paraId="7427574B" w14:textId="3DC0EA49" w:rsidR="002A2C2E" w:rsidRPr="00F77505" w:rsidRDefault="002A2C2E" w:rsidP="001101D9">
      <w:pPr>
        <w:jc w:val="both"/>
        <w:rPr>
          <w:rFonts w:cstheme="minorHAnsi"/>
        </w:rPr>
      </w:pPr>
      <w:r w:rsidRPr="00F77505">
        <w:rPr>
          <w:rFonts w:cstheme="minorHAnsi"/>
          <w:shd w:val="clear" w:color="auto" w:fill="FFFFFF"/>
        </w:rPr>
        <w:t xml:space="preserve">This research </w:t>
      </w:r>
      <w:r w:rsidR="001101D9" w:rsidRPr="00F77505">
        <w:rPr>
          <w:rFonts w:cstheme="minorHAnsi"/>
          <w:shd w:val="clear" w:color="auto" w:fill="FFFFFF"/>
        </w:rPr>
        <w:t>evidence</w:t>
      </w:r>
      <w:r w:rsidRPr="00F77505">
        <w:rPr>
          <w:rFonts w:cstheme="minorHAnsi"/>
          <w:shd w:val="clear" w:color="auto" w:fill="FFFFFF"/>
        </w:rPr>
        <w:t xml:space="preserve"> that a person’s socio-economic situation plays a vital role in whether they are more at risk of exploitation in comparison to a person from a stable home, or from a more affluent area. This is not to say that young people from these kinds of backgrounds are not susceptible to exploitation, only research has identified that a higher percentage of young people exploited by gangs originate from poorer, more deprived areas.</w:t>
      </w:r>
    </w:p>
    <w:p w14:paraId="244CD467" w14:textId="77777777" w:rsidR="002A2C2E" w:rsidRPr="00F77505" w:rsidRDefault="002A2C2E" w:rsidP="001101D9">
      <w:pPr>
        <w:jc w:val="both"/>
        <w:rPr>
          <w:rFonts w:cstheme="minorHAnsi"/>
        </w:rPr>
      </w:pPr>
    </w:p>
    <w:p w14:paraId="327D4C82" w14:textId="77777777" w:rsidR="002A2C2E" w:rsidRPr="00F77505" w:rsidRDefault="002A2C2E" w:rsidP="001101D9">
      <w:pPr>
        <w:jc w:val="both"/>
        <w:rPr>
          <w:rFonts w:cstheme="minorHAnsi"/>
        </w:rPr>
      </w:pPr>
      <w:r w:rsidRPr="00F77505">
        <w:rPr>
          <w:rFonts w:cstheme="minorHAnsi"/>
        </w:rPr>
        <w:t xml:space="preserve">As well as vulnerable young people being exploited by gangs, vulnerable adults also face the same risks. Drug users are at particularly substantial risk due to their addictions. “Vulnerable drug users find themselves in an impossible situation. Their addiction to drugs makes it easy for criminal gangs to exert power and control” </w:t>
      </w:r>
      <w:proofErr w:type="spellStart"/>
      <w:r w:rsidRPr="00F77505">
        <w:rPr>
          <w:rFonts w:cstheme="minorHAnsi"/>
        </w:rPr>
        <w:t>Scholarone</w:t>
      </w:r>
      <w:proofErr w:type="spellEnd"/>
      <w:r w:rsidRPr="00F77505">
        <w:rPr>
          <w:rFonts w:cstheme="minorHAnsi"/>
        </w:rPr>
        <w:t xml:space="preserve"> Manuscripts, (No date). Often, dealers will provide vulnerable drug users with drugs and in the first instance, provide them without any payment up front. However, “dealers utilise debt as a form of coerced recruitment into the trade” </w:t>
      </w:r>
      <w:proofErr w:type="spellStart"/>
      <w:r w:rsidRPr="00F77505">
        <w:rPr>
          <w:rFonts w:cstheme="minorHAnsi"/>
        </w:rPr>
        <w:t>Scholarone</w:t>
      </w:r>
      <w:proofErr w:type="spellEnd"/>
      <w:r w:rsidRPr="00F77505">
        <w:rPr>
          <w:rFonts w:cstheme="minorHAnsi"/>
        </w:rPr>
        <w:t xml:space="preserve"> Manuscripts, (No date).</w:t>
      </w:r>
    </w:p>
    <w:p w14:paraId="0BECEFF2" w14:textId="77777777" w:rsidR="002A2C2E" w:rsidRPr="00F77505" w:rsidRDefault="002A2C2E" w:rsidP="001101D9">
      <w:pPr>
        <w:jc w:val="both"/>
        <w:rPr>
          <w:rFonts w:cstheme="minorHAnsi"/>
        </w:rPr>
      </w:pPr>
      <w:r w:rsidRPr="00F77505">
        <w:rPr>
          <w:rFonts w:cstheme="minorHAnsi"/>
        </w:rPr>
        <w:t xml:space="preserve">In addition to be coerced in to running ‘county lines,’ “vulnerable drug users can be held hostage in their own homes and, in some cases, forced into temporarily giving up their homes so that gangs can set up shop there” </w:t>
      </w:r>
      <w:proofErr w:type="spellStart"/>
      <w:r w:rsidRPr="00F77505">
        <w:rPr>
          <w:rFonts w:cstheme="minorHAnsi"/>
        </w:rPr>
        <w:t>Scholarone</w:t>
      </w:r>
      <w:proofErr w:type="spellEnd"/>
      <w:r w:rsidRPr="00F77505">
        <w:rPr>
          <w:rFonts w:cstheme="minorHAnsi"/>
        </w:rPr>
        <w:t xml:space="preserve"> Manuscripts, (No date).  This is known as ‘cuckooing,’ and again, those most vulnerable to the risks of ‘cuckooing’ are those who suffer from social isolation, insecure accommodation status and even having mental ill health or a learning or physical disability.</w:t>
      </w:r>
    </w:p>
    <w:p w14:paraId="1BBDCCCA" w14:textId="77777777" w:rsidR="002A2C2E" w:rsidRPr="00F77505" w:rsidRDefault="002A2C2E" w:rsidP="001101D9">
      <w:pPr>
        <w:jc w:val="both"/>
        <w:rPr>
          <w:rFonts w:cstheme="minorHAnsi"/>
        </w:rPr>
      </w:pPr>
    </w:p>
    <w:p w14:paraId="5B662BDC" w14:textId="77777777" w:rsidR="002A2C2E" w:rsidRPr="00F77505" w:rsidRDefault="002A2C2E" w:rsidP="001101D9">
      <w:pPr>
        <w:jc w:val="both"/>
        <w:rPr>
          <w:rFonts w:cstheme="minorHAnsi"/>
        </w:rPr>
      </w:pPr>
      <w:r w:rsidRPr="00F77505">
        <w:rPr>
          <w:rFonts w:cstheme="minorHAnsi"/>
        </w:rPr>
        <w:t>As already discussed, the socio-economic circumstance of a person can impact their risk to criminal exploitation. We must, therefore, also discuss how a person psychological make up, may put them at risk of criminal exploitation.</w:t>
      </w:r>
    </w:p>
    <w:p w14:paraId="79AD85E3" w14:textId="77777777" w:rsidR="002A2C2E" w:rsidRPr="00F77505" w:rsidRDefault="002A2C2E" w:rsidP="001101D9">
      <w:pPr>
        <w:jc w:val="both"/>
        <w:rPr>
          <w:rFonts w:cstheme="minorHAnsi"/>
        </w:rPr>
      </w:pPr>
      <w:r w:rsidRPr="00F77505">
        <w:rPr>
          <w:rFonts w:cstheme="minorHAnsi"/>
        </w:rPr>
        <w:t>Studies have been conducted to evaluate and examine the psychological characteristics of victims of exploitation and how these characteristics place them at higher risk.</w:t>
      </w:r>
    </w:p>
    <w:p w14:paraId="10F6560C" w14:textId="77777777" w:rsidR="002A2C2E" w:rsidRPr="00F77505" w:rsidRDefault="002A2C2E" w:rsidP="001101D9">
      <w:pPr>
        <w:jc w:val="both"/>
        <w:rPr>
          <w:rFonts w:cstheme="minorHAnsi"/>
        </w:rPr>
      </w:pPr>
    </w:p>
    <w:p w14:paraId="554FB225" w14:textId="77777777" w:rsidR="002A2C2E" w:rsidRPr="00F77505" w:rsidRDefault="002A2C2E" w:rsidP="001101D9">
      <w:pPr>
        <w:jc w:val="both"/>
        <w:rPr>
          <w:rFonts w:cstheme="minorHAnsi"/>
          <w:shd w:val="clear" w:color="auto" w:fill="FFFFFF"/>
        </w:rPr>
      </w:pPr>
      <w:r w:rsidRPr="00F77505">
        <w:rPr>
          <w:rFonts w:cstheme="minorHAnsi"/>
        </w:rPr>
        <w:t>In one particular study, “t</w:t>
      </w:r>
      <w:r w:rsidRPr="00F77505">
        <w:rPr>
          <w:rFonts w:cstheme="minorHAnsi"/>
          <w:shd w:val="clear" w:color="auto" w:fill="FFFFFF"/>
        </w:rPr>
        <w:t>he authors studied a sample of 798 UK-based high-school students, including gang-members, peripheral and non-gang youth, and found that higher levels of delinquency, lower levels of obedience, the value of social status, and responsibility are key factors underpinning gang membership” Annan, L.G. et al. (2021).</w:t>
      </w:r>
    </w:p>
    <w:p w14:paraId="6D722096" w14:textId="77777777" w:rsidR="002A2C2E" w:rsidRPr="00F77505" w:rsidRDefault="002A2C2E" w:rsidP="001101D9">
      <w:pPr>
        <w:jc w:val="both"/>
        <w:rPr>
          <w:rFonts w:cstheme="minorHAnsi"/>
          <w:shd w:val="clear" w:color="auto" w:fill="FFFFFF"/>
        </w:rPr>
      </w:pPr>
      <w:r w:rsidRPr="00F77505">
        <w:rPr>
          <w:rFonts w:cstheme="minorHAnsi"/>
          <w:shd w:val="clear" w:color="auto" w:fill="FFFFFF"/>
        </w:rPr>
        <w:t>Also, difficulties with attachment, relationships with parents and boredom can all be factors which contribute to a young person or adult being vulnerable to exploitation. They may be drawn to the lavish lifestyle that can be portrayed by gang member who appear to have large amounts of money, designer clothing and fancy cars. As previously mentioned, that sense of belonging and acceptance within a gang may draw a vulnerable person to a gang as these are the kinds of connection and relationships they may be lacking within their own family.</w:t>
      </w:r>
    </w:p>
    <w:p w14:paraId="4E5910F4" w14:textId="77777777" w:rsidR="002A2C2E" w:rsidRPr="00F77505" w:rsidRDefault="002A2C2E" w:rsidP="001101D9">
      <w:pPr>
        <w:jc w:val="both"/>
        <w:rPr>
          <w:rFonts w:cstheme="minorHAnsi"/>
          <w:shd w:val="clear" w:color="auto" w:fill="FFFFFF"/>
        </w:rPr>
      </w:pPr>
    </w:p>
    <w:p w14:paraId="49EC4139" w14:textId="77777777" w:rsidR="002A2C2E" w:rsidRPr="00F77505" w:rsidRDefault="002A2C2E" w:rsidP="001101D9">
      <w:pPr>
        <w:jc w:val="both"/>
        <w:rPr>
          <w:rFonts w:cstheme="minorHAnsi"/>
          <w:shd w:val="clear" w:color="auto" w:fill="FFFFFF"/>
        </w:rPr>
      </w:pPr>
      <w:r w:rsidRPr="00F77505">
        <w:rPr>
          <w:rFonts w:cstheme="minorHAnsi"/>
          <w:shd w:val="clear" w:color="auto" w:fill="FFFFFF"/>
        </w:rPr>
        <w:t xml:space="preserve">To conclude, it is evident that there are both psychological and socio-economic factors that place young people and adults into vulnerable situations where they are at higher risk of exploitation. The </w:t>
      </w:r>
      <w:r w:rsidRPr="00F77505">
        <w:rPr>
          <w:rFonts w:cstheme="minorHAnsi"/>
          <w:shd w:val="clear" w:color="auto" w:fill="FFFFFF"/>
        </w:rPr>
        <w:lastRenderedPageBreak/>
        <w:t>research I have explored appears to link more socio-economic difficulties with exploitation rather than psychological factors.</w:t>
      </w:r>
    </w:p>
    <w:p w14:paraId="49B49F7E" w14:textId="75AFAA40" w:rsidR="002A2C2E" w:rsidRDefault="002A2C2E" w:rsidP="001101D9">
      <w:pPr>
        <w:jc w:val="both"/>
        <w:rPr>
          <w:u w:val="single"/>
        </w:rPr>
      </w:pPr>
    </w:p>
    <w:p w14:paraId="6F234153" w14:textId="4311736A" w:rsidR="002A2C2E" w:rsidRDefault="002A2C2E" w:rsidP="001101D9">
      <w:pPr>
        <w:jc w:val="both"/>
        <w:rPr>
          <w:u w:val="single"/>
        </w:rPr>
      </w:pPr>
      <w:r>
        <w:rPr>
          <w:u w:val="single"/>
        </w:rPr>
        <w:t>Essay 3 – How effective is MAPPA as a means of managing offenders?</w:t>
      </w:r>
    </w:p>
    <w:p w14:paraId="0F858F0A" w14:textId="11CD2AD5" w:rsidR="002A2C2E" w:rsidRDefault="002A2C2E" w:rsidP="001101D9">
      <w:pPr>
        <w:jc w:val="both"/>
        <w:rPr>
          <w:u w:val="single"/>
        </w:rPr>
      </w:pPr>
    </w:p>
    <w:p w14:paraId="471B47E4" w14:textId="77777777" w:rsidR="002A2C2E" w:rsidRPr="00404038" w:rsidRDefault="002A2C2E" w:rsidP="001101D9">
      <w:pPr>
        <w:spacing w:after="0" w:line="276" w:lineRule="auto"/>
        <w:ind w:right="531"/>
        <w:jc w:val="both"/>
        <w:rPr>
          <w:rFonts w:eastAsiaTheme="minorEastAsia"/>
          <w:b/>
          <w:bCs/>
          <w:lang w:eastAsia="en-GB"/>
        </w:rPr>
      </w:pPr>
      <w:r w:rsidRPr="00404038">
        <w:rPr>
          <w:rFonts w:eastAsiaTheme="minorEastAsia"/>
          <w:lang w:eastAsia="en-GB"/>
        </w:rPr>
        <w:t>The introduction of MAPPA was accelerated by the tragic murder of schoolgirl Sarah Payne in 2000 and the subsequent media outrage around the circumstances of her murder. Media outlets campaigned for stricter laws to protect children from sex offenders, and this is where ‘Sarah’s Law’ was introduced in 2010, which is a scheme “that</w:t>
      </w:r>
      <w:r w:rsidRPr="00404038">
        <w:rPr>
          <w:rFonts w:ascii="Calibri" w:eastAsia="Calibri" w:hAnsi="Calibri" w:cs="Calibri"/>
        </w:rPr>
        <w:t xml:space="preserve"> allows anyone to formally ask the police if someone with access to a child has a record for child sexual offences” Taylor and </w:t>
      </w:r>
      <w:proofErr w:type="spellStart"/>
      <w:r w:rsidRPr="00404038">
        <w:rPr>
          <w:rFonts w:ascii="Calibri" w:eastAsia="Calibri" w:hAnsi="Calibri" w:cs="Calibri"/>
        </w:rPr>
        <w:t>Yakeley</w:t>
      </w:r>
      <w:proofErr w:type="spellEnd"/>
      <w:r w:rsidRPr="00404038">
        <w:rPr>
          <w:rFonts w:ascii="Calibri" w:eastAsia="Calibri" w:hAnsi="Calibri" w:cs="Calibri"/>
        </w:rPr>
        <w:t>. (2019).</w:t>
      </w:r>
    </w:p>
    <w:p w14:paraId="7CA1D8A8" w14:textId="77777777" w:rsidR="002A2C2E" w:rsidRPr="00404038" w:rsidRDefault="002A2C2E" w:rsidP="001101D9">
      <w:pPr>
        <w:spacing w:after="0" w:line="276" w:lineRule="auto"/>
        <w:ind w:right="531"/>
        <w:jc w:val="both"/>
        <w:rPr>
          <w:rFonts w:ascii="Calibri" w:eastAsia="Calibri" w:hAnsi="Calibri" w:cs="Calibri"/>
        </w:rPr>
      </w:pPr>
    </w:p>
    <w:p w14:paraId="68019546" w14:textId="77777777" w:rsidR="002A2C2E" w:rsidRPr="00404038" w:rsidRDefault="002A2C2E" w:rsidP="001101D9">
      <w:pPr>
        <w:jc w:val="both"/>
        <w:rPr>
          <w:rFonts w:ascii="Calibri" w:eastAsia="Calibri" w:hAnsi="Calibri" w:cs="Calibri"/>
        </w:rPr>
      </w:pPr>
      <w:r w:rsidRPr="00404038">
        <w:rPr>
          <w:rFonts w:ascii="Calibri" w:eastAsia="Calibri" w:hAnsi="Calibri" w:cs="Calibri"/>
        </w:rPr>
        <w:t>However, media outlets would often publish inaccurate information regarding alleged sex offenders putting them at risk of vigilantism and therefore, a more structured framework for perceived dangerous offenders has been implemented.</w:t>
      </w:r>
    </w:p>
    <w:p w14:paraId="1FC87C2B" w14:textId="77777777" w:rsidR="002A2C2E" w:rsidRPr="00404038" w:rsidRDefault="002A2C2E" w:rsidP="001101D9">
      <w:pPr>
        <w:spacing w:after="0" w:line="276" w:lineRule="auto"/>
        <w:ind w:right="531"/>
        <w:jc w:val="both"/>
        <w:rPr>
          <w:rFonts w:eastAsiaTheme="minorEastAsia"/>
          <w:lang w:eastAsia="en-GB"/>
        </w:rPr>
      </w:pPr>
    </w:p>
    <w:p w14:paraId="69503A03"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ascii="Calibri" w:eastAsia="Calibri" w:hAnsi="Calibri" w:cs="Calibri"/>
        </w:rPr>
      </w:pPr>
      <w:r w:rsidRPr="00404038">
        <w:rPr>
          <w:rFonts w:eastAsiaTheme="minorEastAsia"/>
          <w:lang w:eastAsia="en-GB"/>
        </w:rPr>
        <w:t>MAPPA (Multi-Agency Public Protection Arrangements) were developed in 2001 and their aim was to both improve muti-agency working and to assess and manage individuals who were identified as posing a higher risk of harm towards members of the public. Agencies involved in the implementation of MAPPA are Police, The Prison Service and Probation. In addition to these agencies, there are others who have a duty to cooperate with MAPPA, such as the NHS and Local Authorities to name but a few. The clause of a duty to cooperate with MAPPA was introduced under The Criminal Justice Act 2003.</w:t>
      </w:r>
    </w:p>
    <w:p w14:paraId="45CE6E5D"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p>
    <w:p w14:paraId="1B6CC77F" w14:textId="77777777" w:rsidR="002A2C2E" w:rsidRPr="00404038" w:rsidRDefault="002A2C2E" w:rsidP="001101D9">
      <w:pPr>
        <w:spacing w:after="0" w:line="276" w:lineRule="auto"/>
        <w:ind w:right="531"/>
        <w:jc w:val="both"/>
        <w:rPr>
          <w:rFonts w:eastAsiaTheme="minorEastAsia"/>
          <w:b/>
          <w:bCs/>
          <w:lang w:eastAsia="en-GB"/>
        </w:rPr>
      </w:pPr>
      <w:r w:rsidRPr="00404038">
        <w:rPr>
          <w:rFonts w:eastAsiaTheme="minorEastAsia"/>
          <w:lang w:eastAsia="en-GB"/>
        </w:rPr>
        <w:t>“</w:t>
      </w:r>
      <w:r w:rsidRPr="00404038">
        <w:rPr>
          <w:rFonts w:ascii="Calibri" w:eastAsia="Calibri" w:hAnsi="Calibri" w:cs="Calibri"/>
        </w:rPr>
        <w:t xml:space="preserve">This clause was intended to enhance multi-agency work by coordinating the involvement of these different agencies in assessing and managing risk, and to enable every agency with a legitimate interest to contribute as fully as its existing statutory role and functions require, in a way that complements the work of other agencies” Taylor and </w:t>
      </w:r>
      <w:proofErr w:type="spellStart"/>
      <w:r w:rsidRPr="00404038">
        <w:rPr>
          <w:rFonts w:ascii="Calibri" w:eastAsia="Calibri" w:hAnsi="Calibri" w:cs="Calibri"/>
        </w:rPr>
        <w:t>Yakeley</w:t>
      </w:r>
      <w:proofErr w:type="spellEnd"/>
      <w:r w:rsidRPr="00404038">
        <w:rPr>
          <w:rFonts w:ascii="Calibri" w:eastAsia="Calibri" w:hAnsi="Calibri" w:cs="Calibri"/>
        </w:rPr>
        <w:t>. (2019).</w:t>
      </w:r>
    </w:p>
    <w:p w14:paraId="372E0138" w14:textId="77777777" w:rsidR="002A2C2E" w:rsidRPr="00404038" w:rsidRDefault="002A2C2E" w:rsidP="001101D9">
      <w:pPr>
        <w:overflowPunct w:val="0"/>
        <w:autoSpaceDE w:val="0"/>
        <w:autoSpaceDN w:val="0"/>
        <w:adjustRightInd w:val="0"/>
        <w:spacing w:after="0" w:line="276" w:lineRule="auto"/>
        <w:ind w:right="531" w:firstLine="720"/>
        <w:jc w:val="both"/>
        <w:textAlignment w:val="baseline"/>
        <w:rPr>
          <w:rFonts w:ascii="Calibri" w:eastAsia="Calibri" w:hAnsi="Calibri" w:cs="Calibri"/>
        </w:rPr>
      </w:pPr>
    </w:p>
    <w:p w14:paraId="7AF19004"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p>
    <w:p w14:paraId="202EDF05"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r w:rsidRPr="00404038">
        <w:rPr>
          <w:rFonts w:eastAsiaTheme="minorEastAsia"/>
          <w:lang w:eastAsia="en-GB"/>
        </w:rPr>
        <w:t>The MAPPA service user is placed in one of three categories and are then managed at three different levels dependent on their level of risk.</w:t>
      </w:r>
    </w:p>
    <w:p w14:paraId="412E7624"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p>
    <w:p w14:paraId="2E772D2E"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r w:rsidRPr="00404038">
        <w:rPr>
          <w:rFonts w:eastAsiaTheme="minorEastAsia"/>
          <w:lang w:eastAsia="en-GB"/>
        </w:rPr>
        <w:t>Category 1 are those offenders who are on the Sex Offenders Register. Category 2 is for “violent offenders convicted of a specified violent offence and sentenced to at least 12 months custody or detained under a hospital order; or non-registered sexual offenders</w:t>
      </w:r>
      <w:r w:rsidRPr="00404038">
        <w:rPr>
          <w:rFonts w:eastAsiaTheme="minorEastAsia"/>
          <w:b/>
          <w:bCs/>
          <w:lang w:eastAsia="en-GB"/>
        </w:rPr>
        <w:t xml:space="preserve">” </w:t>
      </w:r>
      <w:r w:rsidRPr="001101D9">
        <w:rPr>
          <w:rFonts w:eastAsiaTheme="minorEastAsia"/>
          <w:lang w:eastAsia="en-GB"/>
        </w:rPr>
        <w:t>HM Inspectorate of Probation (2021) And finally, Category three is for “other dangerous offenders who require active multi-agency management” HM Inspectorate of Probation. (2021).</w:t>
      </w:r>
    </w:p>
    <w:p w14:paraId="2D0CF8FB"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p>
    <w:p w14:paraId="65B882A8" w14:textId="77777777" w:rsidR="002A2C2E" w:rsidRPr="00404038" w:rsidRDefault="002A2C2E" w:rsidP="001101D9">
      <w:pPr>
        <w:overflowPunct w:val="0"/>
        <w:autoSpaceDE w:val="0"/>
        <w:autoSpaceDN w:val="0"/>
        <w:adjustRightInd w:val="0"/>
        <w:spacing w:after="0" w:line="276" w:lineRule="auto"/>
        <w:ind w:right="531"/>
        <w:jc w:val="both"/>
        <w:textAlignment w:val="baseline"/>
        <w:rPr>
          <w:rFonts w:eastAsiaTheme="minorEastAsia"/>
          <w:lang w:eastAsia="en-GB"/>
        </w:rPr>
      </w:pPr>
      <w:r w:rsidRPr="00404038">
        <w:rPr>
          <w:rFonts w:eastAsiaTheme="minorEastAsia"/>
          <w:lang w:eastAsia="en-GB"/>
        </w:rPr>
        <w:t xml:space="preserve">As mentioned, offenders are managed at different levels depending on which category they are placed. They are either managed at Level one, which is single agency management, Level two, where there is involvement of more than one agency and finally, Level Three, which is the most </w:t>
      </w:r>
      <w:r w:rsidRPr="00404038">
        <w:rPr>
          <w:rFonts w:eastAsiaTheme="minorEastAsia"/>
          <w:lang w:eastAsia="en-GB"/>
        </w:rPr>
        <w:lastRenderedPageBreak/>
        <w:t xml:space="preserve">intense level of management where there is a “multi-agency senior management oversight of risk management” </w:t>
      </w:r>
      <w:r w:rsidRPr="001101D9">
        <w:rPr>
          <w:rFonts w:eastAsiaTheme="minorEastAsia"/>
          <w:lang w:eastAsia="en-GB"/>
        </w:rPr>
        <w:t>HM Inspectorate of Probation. (2021).</w:t>
      </w:r>
    </w:p>
    <w:p w14:paraId="72796030" w14:textId="77777777" w:rsidR="002A2C2E" w:rsidRPr="00404038" w:rsidRDefault="002A2C2E" w:rsidP="001101D9">
      <w:pPr>
        <w:spacing w:after="0" w:line="276" w:lineRule="auto"/>
        <w:ind w:right="531"/>
        <w:jc w:val="both"/>
        <w:rPr>
          <w:rFonts w:eastAsiaTheme="minorEastAsia"/>
          <w:b/>
          <w:bCs/>
          <w:lang w:eastAsia="en-GB"/>
        </w:rPr>
      </w:pPr>
    </w:p>
    <w:p w14:paraId="356C06A0" w14:textId="77777777" w:rsidR="002A2C2E" w:rsidRPr="00404038" w:rsidRDefault="002A2C2E" w:rsidP="001101D9">
      <w:pPr>
        <w:jc w:val="both"/>
        <w:rPr>
          <w:rFonts w:eastAsiaTheme="minorEastAsia"/>
          <w:b/>
          <w:bCs/>
          <w:lang w:eastAsia="en-GB"/>
        </w:rPr>
      </w:pPr>
      <w:r w:rsidRPr="00404038">
        <w:rPr>
          <w:rFonts w:eastAsiaTheme="minorEastAsia"/>
          <w:lang w:eastAsia="en-GB"/>
        </w:rPr>
        <w:t>There has been much research, study and monitoring of MAPPA since its introduction in 2001. The Ministry of Justice has published research on the re-offending analysis of MAPPA eligible offenders.</w:t>
      </w:r>
    </w:p>
    <w:p w14:paraId="0C470544" w14:textId="77777777" w:rsidR="002A2C2E" w:rsidRPr="00404038" w:rsidRDefault="002A2C2E" w:rsidP="001101D9">
      <w:pPr>
        <w:jc w:val="both"/>
        <w:rPr>
          <w:rFonts w:eastAsiaTheme="minorEastAsia"/>
          <w:lang w:eastAsia="en-GB"/>
        </w:rPr>
      </w:pPr>
    </w:p>
    <w:p w14:paraId="1BA1ACB7" w14:textId="77777777" w:rsidR="002A2C2E" w:rsidRPr="00404038" w:rsidRDefault="002A2C2E" w:rsidP="001101D9">
      <w:pPr>
        <w:jc w:val="both"/>
        <w:rPr>
          <w:rFonts w:ascii="Calibri" w:eastAsia="Calibri" w:hAnsi="Calibri" w:cs="Calibri"/>
        </w:rPr>
      </w:pPr>
      <w:r w:rsidRPr="00404038">
        <w:rPr>
          <w:rFonts w:eastAsiaTheme="minorEastAsia"/>
          <w:lang w:eastAsia="en-GB"/>
        </w:rPr>
        <w:t>Research indicates that there has been increase in the number of offenders under MAPPA since its introduction. The MOJ reports that “t</w:t>
      </w:r>
      <w:r w:rsidRPr="00404038">
        <w:rPr>
          <w:rFonts w:ascii="Calibri" w:eastAsia="Calibri" w:hAnsi="Calibri" w:cs="Calibri"/>
        </w:rPr>
        <w:t>he number of new MAPPA eligible offenders each year ranged from 10,616 in 2000 to a high of 16,401 in 2009” Ministry of Justice. (2015). This could illustrate that the police are getting better at identifying and bringing offenders eligible for MAPPA to justice. Or another reason for the increase in these figures may be down to a change in legislation where new eligible offences were introduced under the Criminal Justice Act 2003. “New offences included those captured in the Sexual Offences Act 2003, such as grooming offences, and a wider range of violent offences, such as making threats to kill” Ministry of Justice. (2015).  Therefore, this would provide an explanation for the increase in MAPPA eligible offenders from 2000 to 2009.</w:t>
      </w:r>
    </w:p>
    <w:p w14:paraId="246BA600" w14:textId="77777777" w:rsidR="002A2C2E" w:rsidRPr="00404038" w:rsidRDefault="002A2C2E" w:rsidP="001101D9">
      <w:pPr>
        <w:jc w:val="both"/>
        <w:rPr>
          <w:rFonts w:ascii="Calibri" w:eastAsia="Calibri" w:hAnsi="Calibri" w:cs="Calibri"/>
        </w:rPr>
      </w:pPr>
    </w:p>
    <w:p w14:paraId="50CC0658" w14:textId="4D371140" w:rsidR="002A2C2E" w:rsidRPr="00404038" w:rsidRDefault="002A2C2E" w:rsidP="001101D9">
      <w:pPr>
        <w:jc w:val="both"/>
        <w:rPr>
          <w:rFonts w:ascii="Calibri" w:eastAsia="Calibri" w:hAnsi="Calibri" w:cs="Calibri"/>
        </w:rPr>
      </w:pPr>
      <w:r w:rsidRPr="00404038">
        <w:rPr>
          <w:rFonts w:ascii="Calibri" w:eastAsia="Calibri" w:hAnsi="Calibri" w:cs="Calibri"/>
        </w:rPr>
        <w:t>Other types of research and analysis was carried out and one of note was Difference in Difference (</w:t>
      </w:r>
      <w:proofErr w:type="spellStart"/>
      <w:r w:rsidRPr="00404038">
        <w:rPr>
          <w:rFonts w:ascii="Calibri" w:eastAsia="Calibri" w:hAnsi="Calibri" w:cs="Calibri"/>
        </w:rPr>
        <w:t>DiD</w:t>
      </w:r>
      <w:proofErr w:type="spellEnd"/>
      <w:r w:rsidRPr="00404038">
        <w:rPr>
          <w:rFonts w:ascii="Calibri" w:eastAsia="Calibri" w:hAnsi="Calibri" w:cs="Calibri"/>
        </w:rPr>
        <w:t xml:space="preserve">) analysis. This analysis compared re-offending within the </w:t>
      </w:r>
      <w:r w:rsidR="001101D9" w:rsidRPr="00404038">
        <w:rPr>
          <w:rFonts w:ascii="Calibri" w:eastAsia="Calibri" w:hAnsi="Calibri" w:cs="Calibri"/>
        </w:rPr>
        <w:t>first year</w:t>
      </w:r>
      <w:r w:rsidRPr="00404038">
        <w:rPr>
          <w:rFonts w:ascii="Calibri" w:eastAsia="Calibri" w:hAnsi="Calibri" w:cs="Calibri"/>
        </w:rPr>
        <w:t xml:space="preserve"> of their disposal or release from prison, between MAPPA eligible offenders and offenders that did not receive any MAPPA supervision.</w:t>
      </w:r>
    </w:p>
    <w:p w14:paraId="3E1C4E96" w14:textId="33286826" w:rsidR="002A2C2E" w:rsidRPr="00404038" w:rsidRDefault="002A2C2E" w:rsidP="001101D9">
      <w:pPr>
        <w:jc w:val="both"/>
        <w:rPr>
          <w:rFonts w:ascii="Calibri" w:eastAsia="Calibri" w:hAnsi="Calibri" w:cs="Calibri"/>
        </w:rPr>
      </w:pPr>
      <w:r w:rsidRPr="00404038">
        <w:rPr>
          <w:rFonts w:ascii="Calibri" w:eastAsia="Calibri" w:hAnsi="Calibri" w:cs="Calibri"/>
        </w:rPr>
        <w:t xml:space="preserve">It must be noted that, although this analysis had its weaknesses i.e., there were limitations in data which “prevented formal testing of the ‘parallel trend’ assumption,” Ministry of Justice. (2015). </w:t>
      </w:r>
      <w:r>
        <w:rPr>
          <w:rFonts w:ascii="Calibri" w:eastAsia="Calibri" w:hAnsi="Calibri" w:cs="Calibri"/>
        </w:rPr>
        <w:t>F</w:t>
      </w:r>
      <w:r w:rsidRPr="00404038">
        <w:rPr>
          <w:rFonts w:ascii="Calibri" w:eastAsia="Calibri" w:hAnsi="Calibri" w:cs="Calibri"/>
        </w:rPr>
        <w:t>indings from this research identified that there was a 4% difference in re-offending, a 2% difference in serious re-offending between MAPPA supervised offenders and offenders that received no MAPPA input.</w:t>
      </w:r>
    </w:p>
    <w:p w14:paraId="5EFFAA8E" w14:textId="64D89D09" w:rsidR="002A2C2E" w:rsidRPr="00404038" w:rsidRDefault="002A2C2E" w:rsidP="001101D9">
      <w:pPr>
        <w:jc w:val="both"/>
        <w:rPr>
          <w:rFonts w:ascii="Calibri" w:eastAsia="Calibri" w:hAnsi="Calibri" w:cs="Calibri"/>
        </w:rPr>
      </w:pPr>
      <w:r w:rsidRPr="00404038">
        <w:rPr>
          <w:rFonts w:ascii="Calibri" w:eastAsia="Calibri" w:hAnsi="Calibri" w:cs="Calibri"/>
        </w:rPr>
        <w:t xml:space="preserve">The MOJ are not the only organisation to conduct studies </w:t>
      </w:r>
      <w:r w:rsidR="001101D9" w:rsidRPr="00404038">
        <w:rPr>
          <w:rFonts w:ascii="Calibri" w:eastAsia="Calibri" w:hAnsi="Calibri" w:cs="Calibri"/>
        </w:rPr>
        <w:t>into</w:t>
      </w:r>
      <w:r w:rsidRPr="00404038">
        <w:rPr>
          <w:rFonts w:ascii="Calibri" w:eastAsia="Calibri" w:hAnsi="Calibri" w:cs="Calibri"/>
        </w:rPr>
        <w:t xml:space="preserve"> the effectiveness of MAPPA. A joint initial inspection of MAPPA by HM Inspectorate of Probation and HM Inspectorate of Constabulary was carried out in 2011 and they have now subsequently published a follow up to that inspection in 2015. Their original report “asserted that MAPPA had undoubtedly improved the assessment and management of offenders” </w:t>
      </w:r>
      <w:bookmarkStart w:id="0" w:name="_Hlk126527921"/>
      <w:r w:rsidRPr="00404038">
        <w:rPr>
          <w:rFonts w:ascii="Calibri" w:eastAsia="Calibri" w:hAnsi="Calibri" w:cs="Calibri"/>
        </w:rPr>
        <w:t xml:space="preserve">HM Inspectorate of Probation. (2015).  </w:t>
      </w:r>
      <w:bookmarkEnd w:id="0"/>
      <w:r w:rsidRPr="00404038">
        <w:rPr>
          <w:rFonts w:ascii="Calibri" w:eastAsia="Calibri" w:hAnsi="Calibri" w:cs="Calibri"/>
        </w:rPr>
        <w:t>They also concluded that “While there remains scope for improvement, overall, we thought MAPPA was doing good work.”</w:t>
      </w:r>
    </w:p>
    <w:p w14:paraId="113EF02A" w14:textId="77777777" w:rsidR="002A2C2E" w:rsidRPr="00404038" w:rsidRDefault="002A2C2E" w:rsidP="001101D9">
      <w:pPr>
        <w:jc w:val="both"/>
        <w:rPr>
          <w:rFonts w:ascii="Calibri" w:eastAsia="Calibri" w:hAnsi="Calibri" w:cs="Calibri"/>
        </w:rPr>
      </w:pPr>
      <w:r w:rsidRPr="00404038">
        <w:rPr>
          <w:rFonts w:ascii="Calibri" w:eastAsia="Calibri" w:hAnsi="Calibri" w:cs="Calibri"/>
        </w:rPr>
        <w:t>Scope for improvement included, improving risk management plans and that “Responsible Authorities and Duty to Cooperate agencies were not always appropriately represented at level 2 and 3 meetings” HM Inspectorate of Probation. (2015).</w:t>
      </w:r>
    </w:p>
    <w:p w14:paraId="36904849" w14:textId="77777777" w:rsidR="002A2C2E" w:rsidRPr="00404038" w:rsidRDefault="002A2C2E" w:rsidP="001101D9">
      <w:pPr>
        <w:jc w:val="both"/>
        <w:rPr>
          <w:rFonts w:ascii="Calibri" w:eastAsia="Calibri" w:hAnsi="Calibri" w:cs="Calibri"/>
        </w:rPr>
      </w:pPr>
      <w:r w:rsidRPr="00404038">
        <w:rPr>
          <w:rFonts w:ascii="Calibri" w:eastAsia="Calibri" w:hAnsi="Calibri" w:cs="Calibri"/>
        </w:rPr>
        <w:t>There will be many pros and cons to the implementation of MAPPA, but for me, the many needs of the offender can be met by using this approach. Be that support with housing, finances, returning to work and rehabilitation. The multi-agency approach can support the offender manage the challenges of rebuilding their life within the community whilst managing the risk not only of re-offending, but the risk posed to them by the community in which they live.</w:t>
      </w:r>
    </w:p>
    <w:p w14:paraId="5831E7DE" w14:textId="77777777" w:rsidR="002A2C2E" w:rsidRPr="00404038" w:rsidRDefault="002A2C2E" w:rsidP="001101D9">
      <w:pPr>
        <w:jc w:val="both"/>
        <w:rPr>
          <w:rFonts w:ascii="Calibri" w:eastAsia="Calibri" w:hAnsi="Calibri" w:cs="Calibri"/>
        </w:rPr>
      </w:pPr>
      <w:r w:rsidRPr="00404038">
        <w:rPr>
          <w:rFonts w:ascii="Calibri" w:eastAsia="Calibri" w:hAnsi="Calibri" w:cs="Calibri"/>
        </w:rPr>
        <w:t>On the other, if often doesn’t matter how much support an offender receives, they simply cannot be rehabilitated and there can be as many risk assessments in place as possible to prevent re-offending, but ultimately, if they have an innate desire to re-offend, re-offend they will.</w:t>
      </w:r>
    </w:p>
    <w:p w14:paraId="0D991734" w14:textId="30304D47" w:rsidR="002A2C2E" w:rsidRDefault="002A2C2E" w:rsidP="001101D9">
      <w:pPr>
        <w:jc w:val="both"/>
        <w:rPr>
          <w:rFonts w:ascii="Calibri" w:eastAsia="Calibri" w:hAnsi="Calibri" w:cs="Calibri"/>
        </w:rPr>
      </w:pPr>
      <w:r w:rsidRPr="00404038">
        <w:rPr>
          <w:rFonts w:ascii="Calibri" w:eastAsia="Calibri" w:hAnsi="Calibri" w:cs="Calibri"/>
        </w:rPr>
        <w:lastRenderedPageBreak/>
        <w:t>Evidently, MAPPA is an effective way of managing high risk offenders and although improvements have been recommended, the research shows that the prevention of re-offending, which is one main reasons for the introduction of MAPPA, is improving and ultimately, the risk of harm coming to members of the public is becoming less.</w:t>
      </w:r>
    </w:p>
    <w:p w14:paraId="48115D9B" w14:textId="5D40E1B7" w:rsidR="002A2C2E" w:rsidRDefault="002A2C2E" w:rsidP="001101D9">
      <w:pPr>
        <w:jc w:val="both"/>
        <w:rPr>
          <w:rFonts w:ascii="Calibri" w:eastAsia="Calibri" w:hAnsi="Calibri" w:cs="Calibri"/>
        </w:rPr>
      </w:pPr>
    </w:p>
    <w:p w14:paraId="1D202497" w14:textId="402EB3CD" w:rsidR="002A2C2E" w:rsidRPr="002A2C2E" w:rsidRDefault="002A2C2E" w:rsidP="001101D9">
      <w:pPr>
        <w:jc w:val="both"/>
        <w:rPr>
          <w:rFonts w:ascii="Calibri" w:eastAsia="Calibri" w:hAnsi="Calibri" w:cs="Calibri"/>
          <w:u w:val="single"/>
        </w:rPr>
      </w:pPr>
      <w:r w:rsidRPr="002A2C2E">
        <w:rPr>
          <w:rFonts w:ascii="Calibri" w:eastAsia="Calibri" w:hAnsi="Calibri" w:cs="Calibri"/>
          <w:u w:val="single"/>
        </w:rPr>
        <w:t>Essay 4 – Why is it necessary for independent bodies (i.e., IOPC) to hold police officers accountable?</w:t>
      </w:r>
    </w:p>
    <w:p w14:paraId="06F0E9B3" w14:textId="7F6BD2A7" w:rsidR="002A2C2E" w:rsidRDefault="002A2C2E" w:rsidP="001101D9">
      <w:pPr>
        <w:jc w:val="both"/>
        <w:rPr>
          <w:u w:val="single"/>
        </w:rPr>
      </w:pPr>
    </w:p>
    <w:p w14:paraId="6F411C04" w14:textId="77777777" w:rsidR="002A2C2E" w:rsidRDefault="002A2C2E" w:rsidP="001101D9">
      <w:pPr>
        <w:jc w:val="both"/>
      </w:pPr>
      <w:r>
        <w:t>Recent high-profile misconduct involving a very small number of serving police officers have been headline news and highlight the devastating consequences of system failures. Their crimes have rocked public confidence in forces across the country resulting in public condemnation; from demonstrations to vigils, the British public have made clear their level of mistrust and anger towards the police service. The actions of officers responding to such events have also been publicly scrutinised by media outlets highlighting the fragility of the relationship between forces and the communities they serve. Gil Richards writes in a recent online article on police accountability that:</w:t>
      </w:r>
    </w:p>
    <w:p w14:paraId="2FDCBFBD" w14:textId="77777777" w:rsidR="002A2C2E" w:rsidRDefault="002A2C2E" w:rsidP="001101D9">
      <w:pPr>
        <w:jc w:val="both"/>
      </w:pPr>
      <w:r>
        <w:tab/>
      </w:r>
    </w:p>
    <w:p w14:paraId="42B479EC" w14:textId="3B798982" w:rsidR="002A2C2E" w:rsidRDefault="002A2C2E" w:rsidP="001101D9">
      <w:pPr>
        <w:jc w:val="both"/>
        <w:rPr>
          <w:i/>
          <w:iCs/>
        </w:rPr>
      </w:pPr>
      <w:r>
        <w:tab/>
      </w:r>
      <w:r>
        <w:rPr>
          <w:i/>
          <w:iCs/>
        </w:rPr>
        <w:t xml:space="preserve">“British policing is based on consent, meaning the ability of the police to carry out their </w:t>
      </w:r>
      <w:r w:rsidR="001101D9">
        <w:rPr>
          <w:i/>
          <w:iCs/>
        </w:rPr>
        <w:t>function’s</w:t>
      </w:r>
      <w:r>
        <w:rPr>
          <w:i/>
          <w:iCs/>
        </w:rPr>
        <w:t xml:space="preserve"> rests on ‘public approval of their existence, actions and behaviour’.”</w:t>
      </w:r>
    </w:p>
    <w:p w14:paraId="20B6186C" w14:textId="77777777" w:rsidR="002A2C2E" w:rsidRPr="00F608BB" w:rsidRDefault="002A2C2E" w:rsidP="001101D9">
      <w:pPr>
        <w:jc w:val="both"/>
      </w:pPr>
      <w:r>
        <w:rPr>
          <w:i/>
          <w:iCs/>
        </w:rPr>
        <w:t xml:space="preserve">                                                                                                     </w:t>
      </w:r>
      <w:r>
        <w:t>Richards, December 2022.</w:t>
      </w:r>
    </w:p>
    <w:p w14:paraId="04D397DE" w14:textId="77777777" w:rsidR="002A2C2E" w:rsidRDefault="002A2C2E" w:rsidP="001101D9">
      <w:pPr>
        <w:jc w:val="both"/>
      </w:pPr>
    </w:p>
    <w:p w14:paraId="4475CEB4" w14:textId="77777777" w:rsidR="002A2C2E" w:rsidRPr="007F5532" w:rsidRDefault="002A2C2E" w:rsidP="001101D9">
      <w:pPr>
        <w:jc w:val="both"/>
      </w:pPr>
      <w:r>
        <w:t xml:space="preserve">It is widely publicised that public approval has been negatively impacted by cases such as the horrific murder of Sarah Everard with </w:t>
      </w:r>
      <w:r>
        <w:rPr>
          <w:i/>
          <w:iCs/>
        </w:rPr>
        <w:t xml:space="preserve">“almost half of women” </w:t>
      </w:r>
      <w:r w:rsidRPr="00F427FD">
        <w:t>having</w:t>
      </w:r>
      <w:r>
        <w:rPr>
          <w:i/>
          <w:iCs/>
        </w:rPr>
        <w:t xml:space="preserve"> “less trust in police” </w:t>
      </w:r>
      <w:r>
        <w:t>(</w:t>
      </w:r>
      <w:hyperlink r:id="rId6" w:history="1">
        <w:r w:rsidRPr="003A33F7">
          <w:rPr>
            <w:rStyle w:val="Hyperlink"/>
            <w:i/>
            <w:iCs/>
          </w:rPr>
          <w:t>www.endviolenceagainstwomen.org</w:t>
        </w:r>
      </w:hyperlink>
      <w:r>
        <w:t xml:space="preserve"> November 2021) as a result of Sarah’s murder. Police officers involved in the unthinkable treatment of murdered sisters Nicole Smallman and </w:t>
      </w:r>
      <w:proofErr w:type="spellStart"/>
      <w:r>
        <w:t>Bibaa</w:t>
      </w:r>
      <w:proofErr w:type="spellEnd"/>
      <w:r>
        <w:t xml:space="preserve"> Henry fuelled a </w:t>
      </w:r>
      <w:r>
        <w:rPr>
          <w:i/>
          <w:iCs/>
        </w:rPr>
        <w:t>“national conversation about the institutional cultures that underpin and enable police perpetrators to abuse without consequence”</w:t>
      </w:r>
      <w:r w:rsidRPr="007F5532">
        <w:t xml:space="preserve"> (End Violence Against Women, November 2021).</w:t>
      </w:r>
    </w:p>
    <w:p w14:paraId="7687ABED" w14:textId="77777777" w:rsidR="002A2C2E" w:rsidRPr="007F5532" w:rsidRDefault="002A2C2E" w:rsidP="001101D9">
      <w:pPr>
        <w:jc w:val="both"/>
      </w:pPr>
    </w:p>
    <w:p w14:paraId="4DDB8973" w14:textId="77777777" w:rsidR="002A2C2E" w:rsidRDefault="002A2C2E" w:rsidP="001101D9">
      <w:pPr>
        <w:jc w:val="both"/>
      </w:pPr>
      <w:r>
        <w:t xml:space="preserve">With confidence in policing at a historical low, the service as well as devolved and national governments and, inclusive of bodies such as the Independent Office for Police Conduct (IOPC) must work collaboratively to formulate actions that address force failings. Lack of accountability and/or inadequate systems for addressing failings, leave police forces vulnerable to exploitation from officers who fail to adhere to the code of ethics. </w:t>
      </w:r>
    </w:p>
    <w:p w14:paraId="7A34DF69" w14:textId="77777777" w:rsidR="002A2C2E" w:rsidRDefault="002A2C2E" w:rsidP="001101D9">
      <w:pPr>
        <w:jc w:val="both"/>
      </w:pPr>
    </w:p>
    <w:p w14:paraId="596BA8CB" w14:textId="77777777" w:rsidR="002A2C2E" w:rsidRPr="00BA3053" w:rsidRDefault="002A2C2E" w:rsidP="001101D9">
      <w:pPr>
        <w:jc w:val="both"/>
      </w:pPr>
      <w:r>
        <w:t xml:space="preserve">Concerns around the systems, measures and procedures that ensure officers are held accountable for their actions dates back to 2009, where the HMICFRS report highlights failures in public safety as a result of </w:t>
      </w:r>
      <w:r>
        <w:rPr>
          <w:i/>
          <w:iCs/>
        </w:rPr>
        <w:t xml:space="preserve">“uncertainty over </w:t>
      </w:r>
      <w:r>
        <w:t xml:space="preserve">(the) </w:t>
      </w:r>
      <w:r>
        <w:rPr>
          <w:i/>
          <w:iCs/>
        </w:rPr>
        <w:t xml:space="preserve">accountability mechanisms” </w:t>
      </w:r>
      <w:r>
        <w:t>(Institute for Government Analysis, 2022).</w:t>
      </w:r>
    </w:p>
    <w:p w14:paraId="12375215" w14:textId="77777777" w:rsidR="002A2C2E" w:rsidRPr="003A33F7" w:rsidRDefault="002A2C2E" w:rsidP="001101D9">
      <w:pPr>
        <w:jc w:val="both"/>
        <w:rPr>
          <w:i/>
          <w:iCs/>
        </w:rPr>
      </w:pPr>
    </w:p>
    <w:p w14:paraId="6F54BD67" w14:textId="77777777" w:rsidR="002A2C2E" w:rsidRPr="008F2175" w:rsidRDefault="002A2C2E" w:rsidP="001101D9">
      <w:pPr>
        <w:jc w:val="both"/>
        <w:rPr>
          <w:color w:val="FF0000"/>
        </w:rPr>
      </w:pPr>
      <w:r>
        <w:t xml:space="preserve">Much has been documented around the mistrust in policing within minority ethnic groups. Sadiq Khan, Mayor of London writes about the </w:t>
      </w:r>
      <w:r w:rsidRPr="695DE4A5">
        <w:rPr>
          <w:i/>
          <w:iCs/>
        </w:rPr>
        <w:t xml:space="preserve">‘systematic racism that still exists in public institutions’ </w:t>
      </w:r>
      <w:r>
        <w:t xml:space="preserve">(Action Plan </w:t>
      </w:r>
      <w:r>
        <w:lastRenderedPageBreak/>
        <w:t>-Transparency, Accountability and Trust in Policing). Khan acknowledges the need to build trust between London communities and the Metropolitan Police. Where there has been racial tension and unrest between communities and the police trust has eroded and crime figures on the whole have increased, particularly knife and drug crime. In order to tackle crime, accountability must be visible to the public and in the public’s best interest.</w:t>
      </w:r>
    </w:p>
    <w:p w14:paraId="20F30717" w14:textId="77777777" w:rsidR="002A2C2E" w:rsidRDefault="002A2C2E" w:rsidP="001101D9">
      <w:pPr>
        <w:jc w:val="both"/>
      </w:pPr>
    </w:p>
    <w:p w14:paraId="2663BBC6" w14:textId="7FA70ED5" w:rsidR="002A2C2E" w:rsidRDefault="002A2C2E" w:rsidP="001101D9">
      <w:pPr>
        <w:jc w:val="both"/>
      </w:pPr>
      <w:r w:rsidRPr="695DE4A5">
        <w:t xml:space="preserve">The recent addition of the </w:t>
      </w:r>
      <w:r w:rsidR="001101D9" w:rsidRPr="695DE4A5">
        <w:t>bodycam</w:t>
      </w:r>
      <w:r w:rsidRPr="695DE4A5">
        <w:t xml:space="preserve"> within the last fifteen years has strengthened police accountability and you could argue it acts as a deterrent to police wrong-doing. There are arguments surrounding the use of the </w:t>
      </w:r>
      <w:r w:rsidR="001101D9" w:rsidRPr="695DE4A5">
        <w:t>bodycam</w:t>
      </w:r>
      <w:r w:rsidRPr="695DE4A5">
        <w:t xml:space="preserve"> as it can be switched off by an officer and it raises questions around the privacy of individuals. However, the use of the </w:t>
      </w:r>
      <w:r w:rsidR="001101D9" w:rsidRPr="695DE4A5">
        <w:t>bodycam</w:t>
      </w:r>
      <w:r w:rsidRPr="695DE4A5">
        <w:t xml:space="preserve"> holds an officer and their actions to account as well as providing vital evidence and data. </w:t>
      </w:r>
    </w:p>
    <w:p w14:paraId="5B275A2B" w14:textId="77777777" w:rsidR="002A2C2E" w:rsidRDefault="002A2C2E" w:rsidP="001101D9">
      <w:pPr>
        <w:jc w:val="both"/>
      </w:pPr>
    </w:p>
    <w:p w14:paraId="0FBB0927" w14:textId="77777777" w:rsidR="002A2C2E" w:rsidRDefault="002A2C2E" w:rsidP="001101D9">
      <w:pPr>
        <w:jc w:val="both"/>
      </w:pPr>
      <w:r>
        <w:t>Accountability systems and mechanisms ensure individual officers and forces are policed to the highest standards. It is well documented that officers attempting to uphold the law have ignited debates on civil liberties and human rights. One such example was the 2005 shooting on the London underground of Jean Charles de Menezes, a Brazilian national, mistakenly identified as a terrorist.</w:t>
      </w:r>
    </w:p>
    <w:p w14:paraId="155AD55E" w14:textId="77777777" w:rsidR="002A2C2E" w:rsidRDefault="002A2C2E" w:rsidP="001101D9">
      <w:pPr>
        <w:jc w:val="both"/>
      </w:pPr>
    </w:p>
    <w:p w14:paraId="58B83377" w14:textId="77777777" w:rsidR="002A2C2E" w:rsidRDefault="002A2C2E" w:rsidP="001101D9">
      <w:pPr>
        <w:jc w:val="both"/>
      </w:pPr>
      <w:r>
        <w:t>In addition to officers who break the code of ethics when attempting to uphold the law, there are those who actions are corrupt. Corruption for individual gain as well as violence and the violation of the law including perjury and evidence tampering are examples that justify the need for accountability. Without accountability we risk significant civil unrest; accountability is essential for maintaining peace and controlling crime. Public perception of the police is determined by the level of accountability it is held to and without the support of the public policing would cease to have any impact. Let us consider how much the police rely on intelligence from the general public; intelligence gathered this way requires positive relationships to have been established. Such relationships can only be formed through trust and trust can only be earned with transparency. A culture of Transparency relies on systems that hold those involved accountable for their actions at levels of the organisation.</w:t>
      </w:r>
    </w:p>
    <w:p w14:paraId="2D9B3E8A" w14:textId="77777777" w:rsidR="002A2C2E" w:rsidRDefault="002A2C2E" w:rsidP="001101D9">
      <w:pPr>
        <w:jc w:val="both"/>
      </w:pPr>
    </w:p>
    <w:p w14:paraId="37BAF399" w14:textId="4A821635" w:rsidR="002A2C2E" w:rsidRDefault="002A2C2E" w:rsidP="001101D9">
      <w:pPr>
        <w:jc w:val="both"/>
      </w:pPr>
      <w:r>
        <w:t xml:space="preserve">Systems of accountability instil confidence in those working within the police organisation. In the twenty-first century, accountability should be </w:t>
      </w:r>
      <w:r w:rsidR="001101D9">
        <w:t>robust,</w:t>
      </w:r>
      <w:r>
        <w:t xml:space="preserve"> and personnel should be able to report unethical behaviour of colleagues without the fear of retribution. There are recent cases within the media that suggest that although systems are in place officers have not come forward to report police misconduct until there have been a number of repeated offence and/or significant period of time between the allegation and reporting of it has lapsed.</w:t>
      </w:r>
    </w:p>
    <w:p w14:paraId="1A2008A7" w14:textId="77777777" w:rsidR="002A2C2E" w:rsidRDefault="002A2C2E" w:rsidP="001101D9">
      <w:pPr>
        <w:jc w:val="both"/>
      </w:pPr>
    </w:p>
    <w:p w14:paraId="59F8C0DD" w14:textId="77777777" w:rsidR="002A2C2E" w:rsidRDefault="002A2C2E" w:rsidP="001101D9">
      <w:pPr>
        <w:jc w:val="both"/>
      </w:pPr>
      <w:r>
        <w:t xml:space="preserve">Police officers have powers that can impact human rights and the misuse of such powers is a breach of those rights. The 2014 Home Office report on Improving police integrity writes that </w:t>
      </w:r>
      <w:r w:rsidRPr="695DE4A5">
        <w:rPr>
          <w:i/>
          <w:iCs/>
        </w:rPr>
        <w:t xml:space="preserve">“Trust will be eroded and ultimately undermined” </w:t>
      </w:r>
      <w:r>
        <w:t>if the conduct of officers falls short: the public expect police officers to use their power responsibly. Where conduct is in breach of the code of ethics the IOPC has a duty of care towards the public to ensure a transparent and robust complaints system is followed.</w:t>
      </w:r>
    </w:p>
    <w:p w14:paraId="667D4807" w14:textId="77777777" w:rsidR="002A2C2E" w:rsidRPr="002A2C2E" w:rsidRDefault="002A2C2E" w:rsidP="001101D9">
      <w:pPr>
        <w:jc w:val="both"/>
        <w:rPr>
          <w:u w:val="single"/>
        </w:rPr>
      </w:pPr>
    </w:p>
    <w:p w14:paraId="368B1FD2" w14:textId="263A160B" w:rsidR="002A2C2E" w:rsidRDefault="001101D9" w:rsidP="001101D9">
      <w:pPr>
        <w:jc w:val="both"/>
        <w:rPr>
          <w:b/>
          <w:bCs/>
          <w:u w:val="single"/>
        </w:rPr>
      </w:pPr>
      <w:r w:rsidRPr="001101D9">
        <w:rPr>
          <w:b/>
          <w:bCs/>
          <w:u w:val="single"/>
        </w:rPr>
        <w:lastRenderedPageBreak/>
        <w:t>Bibliography</w:t>
      </w:r>
    </w:p>
    <w:p w14:paraId="6AC66D4F" w14:textId="77777777" w:rsidR="001101D9" w:rsidRDefault="001101D9" w:rsidP="001101D9">
      <w:pPr>
        <w:jc w:val="both"/>
      </w:pPr>
      <w:r>
        <w:t xml:space="preserve">Academic Families (2023) </w:t>
      </w:r>
      <w:r>
        <w:rPr>
          <w:i/>
          <w:iCs/>
        </w:rPr>
        <w:t>What makes the UK Multicultural?</w:t>
      </w:r>
      <w:r>
        <w:t xml:space="preserve"> Available at</w:t>
      </w:r>
      <w:r w:rsidRPr="00A80C02">
        <w:t xml:space="preserve"> </w:t>
      </w:r>
      <w:r w:rsidRPr="008360DD">
        <w:t xml:space="preserve">https://academicfamilies.com/multiculturalism-in-the-uk/ </w:t>
      </w:r>
      <w:r>
        <w:t>- accessed 23</w:t>
      </w:r>
      <w:r w:rsidRPr="00AD0BC2">
        <w:rPr>
          <w:vertAlign w:val="superscript"/>
        </w:rPr>
        <w:t>rd</w:t>
      </w:r>
      <w:r>
        <w:t xml:space="preserve"> January 2023.</w:t>
      </w:r>
    </w:p>
    <w:p w14:paraId="595C5CCB" w14:textId="77777777" w:rsidR="001101D9" w:rsidRPr="00202CD2" w:rsidRDefault="001101D9" w:rsidP="001101D9">
      <w:pPr>
        <w:jc w:val="both"/>
        <w:rPr>
          <w:rFonts w:cstheme="minorHAnsi"/>
          <w:color w:val="212529"/>
          <w:shd w:val="clear" w:color="auto" w:fill="FFFFFF"/>
        </w:rPr>
      </w:pPr>
      <w:r w:rsidRPr="00202CD2">
        <w:rPr>
          <w:rFonts w:cstheme="minorHAnsi"/>
          <w:color w:val="212529"/>
          <w:shd w:val="clear" w:color="auto" w:fill="FFFFFF"/>
        </w:rPr>
        <w:t xml:space="preserve">All Answers ltd, 'Police and Criminal Evidence Act </w:t>
      </w:r>
      <w:r>
        <w:rPr>
          <w:rFonts w:cstheme="minorHAnsi"/>
          <w:color w:val="212529"/>
          <w:shd w:val="clear" w:color="auto" w:fill="FFFFFF"/>
        </w:rPr>
        <w:t xml:space="preserve">1984. Available at </w:t>
      </w:r>
      <w:hyperlink r:id="rId7" w:anchor=":~:text=The%20Police%20and%20Criminal%20Evidence%20Act%201984%20%28PACE%29,confidence%20in%20the%20English%20criminal%20justice%20system.%20" w:history="1">
        <w:r w:rsidRPr="00992453">
          <w:rPr>
            <w:rStyle w:val="Hyperlink"/>
            <w:rFonts w:cstheme="minorHAnsi"/>
            <w:shd w:val="clear" w:color="auto" w:fill="FFFFFF"/>
          </w:rPr>
          <w:t>https://www.lawteacher.net/acts/police-and-criminal-evidence-act.php#:~:text=The%20Police%20and%20Criminal%20Evidence%20Act%201984%20%28PACE%29,confidence%20in%20the%20English%20criminal%20justice%20system.%20</w:t>
        </w:r>
      </w:hyperlink>
      <w:r>
        <w:rPr>
          <w:rFonts w:cstheme="minorHAnsi"/>
          <w:color w:val="212529"/>
          <w:shd w:val="clear" w:color="auto" w:fill="FFFFFF"/>
        </w:rPr>
        <w:t xml:space="preserve"> </w:t>
      </w:r>
      <w:r w:rsidRPr="00202CD2">
        <w:rPr>
          <w:rFonts w:cstheme="minorHAnsi"/>
          <w:color w:val="212529"/>
          <w:shd w:val="clear" w:color="auto" w:fill="FFFFFF"/>
        </w:rPr>
        <w:t>– accessed 22</w:t>
      </w:r>
      <w:r w:rsidRPr="00202CD2">
        <w:rPr>
          <w:rFonts w:cstheme="minorHAnsi"/>
          <w:color w:val="212529"/>
          <w:shd w:val="clear" w:color="auto" w:fill="FFFFFF"/>
          <w:vertAlign w:val="superscript"/>
        </w:rPr>
        <w:t>nd</w:t>
      </w:r>
      <w:r w:rsidRPr="00202CD2">
        <w:rPr>
          <w:rFonts w:cstheme="minorHAnsi"/>
          <w:color w:val="212529"/>
          <w:shd w:val="clear" w:color="auto" w:fill="FFFFFF"/>
        </w:rPr>
        <w:t xml:space="preserve"> January 2023.</w:t>
      </w:r>
    </w:p>
    <w:p w14:paraId="4760C391" w14:textId="77777777" w:rsidR="001101D9" w:rsidRPr="0006462E" w:rsidRDefault="001101D9" w:rsidP="001101D9">
      <w:pPr>
        <w:jc w:val="both"/>
        <w:rPr>
          <w:lang w:eastAsia="en-GB"/>
        </w:rPr>
      </w:pPr>
      <w:r>
        <w:t xml:space="preserve">Annan, L.G. et al. (2021). What makes young people get involved with street gangs in London? A Study of the Perceived Risk Factors. </w:t>
      </w:r>
      <w:r>
        <w:rPr>
          <w:i/>
          <w:iCs/>
        </w:rPr>
        <w:t>Journal of Community Psychology.</w:t>
      </w:r>
      <w:r>
        <w:t xml:space="preserve"> Available at: </w:t>
      </w:r>
      <w:hyperlink r:id="rId8" w:history="1">
        <w:r w:rsidRPr="00935E0A">
          <w:rPr>
            <w:rStyle w:val="Hyperlink"/>
          </w:rPr>
          <w:t>https://onlinelibrary-wiley-com.ezproxy.uwtsd.ac.uk/doi/full/10.1002/jcop.22767</w:t>
        </w:r>
      </w:hyperlink>
      <w:r>
        <w:t xml:space="preserve"> - Accessed 25th January 2023.</w:t>
      </w:r>
    </w:p>
    <w:p w14:paraId="663B7A20" w14:textId="77777777" w:rsidR="001101D9" w:rsidRPr="00202CD2" w:rsidRDefault="001101D9" w:rsidP="001101D9">
      <w:pPr>
        <w:jc w:val="both"/>
        <w:rPr>
          <w:rFonts w:cstheme="minorHAnsi"/>
        </w:rPr>
      </w:pPr>
      <w:r w:rsidRPr="00B93025">
        <w:rPr>
          <w:rFonts w:cstheme="minorHAnsi"/>
        </w:rPr>
        <w:t>Ashcroft, R.T. (2017) ‘Multiculturalism in Contemporary Britain: policy, law and theory’</w:t>
      </w:r>
      <w:r w:rsidRPr="00B93025">
        <w:rPr>
          <w:rFonts w:cstheme="minorHAnsi"/>
          <w:i/>
          <w:iCs/>
        </w:rPr>
        <w:t>, Critical Review of International Social and Political Philosophy</w:t>
      </w:r>
      <w:r w:rsidRPr="00B93025">
        <w:rPr>
          <w:rFonts w:cstheme="minorHAnsi"/>
        </w:rPr>
        <w:t>, Volume 21 (Issue 1) Available at</w:t>
      </w:r>
      <w:r>
        <w:rPr>
          <w:rFonts w:cstheme="minorHAnsi"/>
        </w:rPr>
        <w:t xml:space="preserve"> </w:t>
      </w:r>
      <w:hyperlink r:id="rId9" w:history="1">
        <w:r w:rsidRPr="00992453">
          <w:rPr>
            <w:rStyle w:val="Hyperlink"/>
            <w:rFonts w:cstheme="minorHAnsi"/>
          </w:rPr>
          <w:t>https://www.tandfonline.com/doi/full/10.1080/13698230.2017.1398443</w:t>
        </w:r>
      </w:hyperlink>
      <w:r>
        <w:rPr>
          <w:rFonts w:cstheme="minorHAnsi"/>
        </w:rPr>
        <w:t xml:space="preserve"> </w:t>
      </w:r>
      <w:r w:rsidRPr="00202CD2">
        <w:rPr>
          <w:rFonts w:cstheme="minorHAnsi"/>
        </w:rPr>
        <w:t xml:space="preserve"> – accessed 22</w:t>
      </w:r>
      <w:r w:rsidRPr="00202CD2">
        <w:rPr>
          <w:rFonts w:cstheme="minorHAnsi"/>
          <w:vertAlign w:val="superscript"/>
        </w:rPr>
        <w:t>nd</w:t>
      </w:r>
      <w:r w:rsidRPr="00202CD2">
        <w:rPr>
          <w:rFonts w:cstheme="minorHAnsi"/>
        </w:rPr>
        <w:t xml:space="preserve"> January 2023.</w:t>
      </w:r>
    </w:p>
    <w:p w14:paraId="12C8FF69" w14:textId="77777777" w:rsidR="001101D9" w:rsidRDefault="001101D9" w:rsidP="001101D9">
      <w:pPr>
        <w:jc w:val="both"/>
      </w:pPr>
      <w:r w:rsidRPr="00202CD2">
        <w:rPr>
          <w:rFonts w:cstheme="minorHAnsi"/>
        </w:rPr>
        <w:t xml:space="preserve">BBC News, (2020). </w:t>
      </w:r>
      <w:r w:rsidRPr="00202CD2">
        <w:rPr>
          <w:rFonts w:cstheme="minorHAnsi"/>
          <w:i/>
          <w:iCs/>
        </w:rPr>
        <w:t xml:space="preserve">Stephen Lawrence Murder: Met Police officers Could Face Criminal Charges. </w:t>
      </w:r>
      <w:r w:rsidRPr="00202CD2">
        <w:rPr>
          <w:rFonts w:cstheme="minorHAnsi"/>
        </w:rPr>
        <w:t>Available at:</w:t>
      </w:r>
      <w:r>
        <w:rPr>
          <w:rFonts w:cstheme="minorHAnsi"/>
        </w:rPr>
        <w:t xml:space="preserve"> </w:t>
      </w:r>
      <w:hyperlink r:id="rId10" w:history="1">
        <w:r w:rsidRPr="00992453">
          <w:rPr>
            <w:rStyle w:val="Hyperlink"/>
            <w:rFonts w:cstheme="minorHAnsi"/>
          </w:rPr>
          <w:t>https://www.bbc.com/news/uk-england-london-54797993</w:t>
        </w:r>
      </w:hyperlink>
      <w:r>
        <w:rPr>
          <w:rFonts w:cstheme="minorHAnsi"/>
        </w:rPr>
        <w:t xml:space="preserve"> </w:t>
      </w:r>
      <w:r>
        <w:t>– accessed 23</w:t>
      </w:r>
      <w:r w:rsidRPr="00EF5DCD">
        <w:rPr>
          <w:vertAlign w:val="superscript"/>
        </w:rPr>
        <w:t>rd</w:t>
      </w:r>
      <w:r>
        <w:t xml:space="preserve"> January 2023.</w:t>
      </w:r>
    </w:p>
    <w:p w14:paraId="43FB1432" w14:textId="77777777" w:rsidR="001101D9" w:rsidRDefault="001101D9" w:rsidP="001101D9">
      <w:pPr>
        <w:jc w:val="both"/>
      </w:pPr>
      <w:r>
        <w:t>College of Policing, (2020).</w:t>
      </w:r>
      <w:r>
        <w:rPr>
          <w:i/>
          <w:iCs/>
        </w:rPr>
        <w:t xml:space="preserve"> Preparing Policing for Future Challenges and Demands. </w:t>
      </w:r>
      <w:r>
        <w:t xml:space="preserve">Available at: </w:t>
      </w:r>
      <w:hyperlink r:id="rId11" w:history="1">
        <w:r w:rsidRPr="00992453">
          <w:rPr>
            <w:rStyle w:val="Hyperlink"/>
          </w:rPr>
          <w:t>https://www.college.police.uk/article/preparing-policing-future-challenges-and-demands</w:t>
        </w:r>
      </w:hyperlink>
      <w:r>
        <w:t xml:space="preserve"> – accessed 22</w:t>
      </w:r>
      <w:r w:rsidRPr="00985B24">
        <w:rPr>
          <w:vertAlign w:val="superscript"/>
        </w:rPr>
        <w:t>nd</w:t>
      </w:r>
      <w:r>
        <w:t xml:space="preserve"> January 2023.</w:t>
      </w:r>
    </w:p>
    <w:p w14:paraId="12428CB9" w14:textId="77777777" w:rsidR="001101D9" w:rsidRDefault="001101D9" w:rsidP="001101D9">
      <w:pPr>
        <w:jc w:val="both"/>
      </w:pPr>
      <w:r>
        <w:t xml:space="preserve">College of Policing, (2021). </w:t>
      </w:r>
      <w:r>
        <w:rPr>
          <w:i/>
          <w:iCs/>
        </w:rPr>
        <w:t xml:space="preserve">Engaging Communities. </w:t>
      </w:r>
      <w:r>
        <w:t xml:space="preserve">Available at: </w:t>
      </w:r>
      <w:hyperlink r:id="rId12" w:history="1">
        <w:r w:rsidRPr="00992453">
          <w:rPr>
            <w:rStyle w:val="Hyperlink"/>
          </w:rPr>
          <w:t>https://www.college.police.uk/guidance/neighbourhood-policing/engaging-communities</w:t>
        </w:r>
      </w:hyperlink>
      <w:r>
        <w:t xml:space="preserve"> – accessed 23</w:t>
      </w:r>
      <w:r w:rsidRPr="0093795C">
        <w:rPr>
          <w:vertAlign w:val="superscript"/>
        </w:rPr>
        <w:t>rd</w:t>
      </w:r>
      <w:r>
        <w:t xml:space="preserve"> January 2023.</w:t>
      </w:r>
    </w:p>
    <w:p w14:paraId="1E1D3E6C" w14:textId="77777777" w:rsidR="001101D9" w:rsidRPr="00202CD2" w:rsidRDefault="001101D9" w:rsidP="001101D9">
      <w:pPr>
        <w:jc w:val="both"/>
        <w:rPr>
          <w:rFonts w:cstheme="minorHAnsi"/>
        </w:rPr>
      </w:pPr>
      <w:r w:rsidRPr="00202CD2">
        <w:rPr>
          <w:rFonts w:cstheme="minorHAnsi"/>
        </w:rPr>
        <w:t xml:space="preserve">Cook, S (2021) </w:t>
      </w:r>
      <w:r w:rsidRPr="00202CD2">
        <w:rPr>
          <w:rFonts w:cstheme="minorHAnsi"/>
          <w:i/>
          <w:iCs/>
        </w:rPr>
        <w:t xml:space="preserve">Scarman report into the Brixton Riots published – archive, 1981. </w:t>
      </w:r>
      <w:r w:rsidRPr="00202CD2">
        <w:rPr>
          <w:rFonts w:cstheme="minorHAnsi"/>
        </w:rPr>
        <w:t xml:space="preserve">Available at: </w:t>
      </w:r>
      <w:hyperlink r:id="rId13" w:history="1">
        <w:r w:rsidRPr="00992453">
          <w:rPr>
            <w:rStyle w:val="Hyperlink"/>
            <w:rFonts w:cstheme="minorHAnsi"/>
          </w:rPr>
          <w:t>https://www.theguardian.com/world/2021/nov/26/scarman-report-into-brixton-riots-published-archive-1981</w:t>
        </w:r>
      </w:hyperlink>
      <w:r>
        <w:rPr>
          <w:rFonts w:cstheme="minorHAnsi"/>
        </w:rPr>
        <w:t xml:space="preserve"> </w:t>
      </w:r>
      <w:r w:rsidRPr="00202CD2">
        <w:rPr>
          <w:rFonts w:cstheme="minorHAnsi"/>
        </w:rPr>
        <w:t>– accessed 22</w:t>
      </w:r>
      <w:r w:rsidRPr="00202CD2">
        <w:rPr>
          <w:rFonts w:cstheme="minorHAnsi"/>
          <w:vertAlign w:val="superscript"/>
        </w:rPr>
        <w:t>nd</w:t>
      </w:r>
      <w:r w:rsidRPr="00202CD2">
        <w:rPr>
          <w:rFonts w:cstheme="minorHAnsi"/>
        </w:rPr>
        <w:t xml:space="preserve"> January 2023.</w:t>
      </w:r>
    </w:p>
    <w:p w14:paraId="62F064F6" w14:textId="77777777" w:rsidR="001101D9" w:rsidRDefault="001101D9" w:rsidP="001101D9">
      <w:pPr>
        <w:jc w:val="both"/>
      </w:pPr>
      <w:r>
        <w:t xml:space="preserve">End Violence Against Women. (No Date) Available at: </w:t>
      </w:r>
      <w:hyperlink r:id="rId14" w:history="1">
        <w:r w:rsidRPr="007C6A83">
          <w:rPr>
            <w:rStyle w:val="Hyperlink"/>
          </w:rPr>
          <w:t>https://www.endviolenceagainstwomen.org.uk</w:t>
        </w:r>
      </w:hyperlink>
      <w:r>
        <w:t xml:space="preserve"> – Accessed 31</w:t>
      </w:r>
      <w:r w:rsidRPr="00441D43">
        <w:rPr>
          <w:vertAlign w:val="superscript"/>
        </w:rPr>
        <w:t>st</w:t>
      </w:r>
      <w:r>
        <w:t xml:space="preserve"> January 2023.</w:t>
      </w:r>
    </w:p>
    <w:p w14:paraId="3B5E2642" w14:textId="77777777" w:rsidR="001101D9" w:rsidRDefault="001101D9" w:rsidP="001101D9">
      <w:pPr>
        <w:spacing w:after="0" w:line="276" w:lineRule="auto"/>
        <w:ind w:right="531"/>
        <w:jc w:val="both"/>
        <w:rPr>
          <w:rFonts w:ascii="Calibri" w:eastAsia="Calibri" w:hAnsi="Calibri" w:cs="Calibri"/>
        </w:rPr>
      </w:pPr>
      <w:r w:rsidRPr="00404038">
        <w:rPr>
          <w:rFonts w:ascii="Calibri" w:eastAsia="Calibri" w:hAnsi="Calibri" w:cs="Calibri"/>
        </w:rPr>
        <w:t xml:space="preserve">HM Inspectorate of Probation. (2015). </w:t>
      </w:r>
      <w:r w:rsidRPr="00404038">
        <w:rPr>
          <w:rFonts w:ascii="Calibri" w:eastAsia="Calibri" w:hAnsi="Calibri" w:cs="Calibri"/>
          <w:i/>
          <w:iCs/>
        </w:rPr>
        <w:t>A Follow-Up Inspection of Multi-Agency Public Protection Arrangements.</w:t>
      </w:r>
      <w:r w:rsidRPr="00404038">
        <w:rPr>
          <w:rFonts w:ascii="Calibri" w:eastAsia="Calibri" w:hAnsi="Calibri" w:cs="Calibri"/>
        </w:rPr>
        <w:t xml:space="preserve"> Available at: </w:t>
      </w:r>
      <w:hyperlink r:id="rId15">
        <w:r w:rsidRPr="00404038">
          <w:rPr>
            <w:rStyle w:val="Hyperlink"/>
            <w:rFonts w:ascii="Calibri" w:eastAsia="Calibri" w:hAnsi="Calibri" w:cs="Calibri"/>
          </w:rPr>
          <w:t>MAPPA-follow-up-thematic-report.pdf</w:t>
        </w:r>
      </w:hyperlink>
      <w:r w:rsidRPr="00404038">
        <w:rPr>
          <w:rFonts w:ascii="Calibri" w:eastAsia="Calibri" w:hAnsi="Calibri" w:cs="Calibri"/>
        </w:rPr>
        <w:t xml:space="preserve"> - accessed 24</w:t>
      </w:r>
      <w:r w:rsidRPr="00404038">
        <w:rPr>
          <w:rFonts w:ascii="Calibri" w:eastAsia="Calibri" w:hAnsi="Calibri" w:cs="Calibri"/>
          <w:vertAlign w:val="superscript"/>
        </w:rPr>
        <w:t>th</w:t>
      </w:r>
      <w:r w:rsidRPr="00404038">
        <w:rPr>
          <w:rFonts w:ascii="Calibri" w:eastAsia="Calibri" w:hAnsi="Calibri" w:cs="Calibri"/>
        </w:rPr>
        <w:t xml:space="preserve"> January 2023.</w:t>
      </w:r>
    </w:p>
    <w:p w14:paraId="25EE733E" w14:textId="77777777" w:rsidR="001101D9" w:rsidRDefault="001101D9" w:rsidP="001101D9">
      <w:pPr>
        <w:overflowPunct w:val="0"/>
        <w:autoSpaceDE w:val="0"/>
        <w:autoSpaceDN w:val="0"/>
        <w:adjustRightInd w:val="0"/>
        <w:spacing w:after="0" w:line="276" w:lineRule="auto"/>
        <w:ind w:right="531"/>
        <w:jc w:val="both"/>
        <w:textAlignment w:val="baseline"/>
      </w:pPr>
      <w:r w:rsidRPr="00404038">
        <w:t xml:space="preserve">HM Inspectorate of Probation. (2021). </w:t>
      </w:r>
      <w:r w:rsidRPr="00404038">
        <w:rPr>
          <w:i/>
          <w:iCs/>
        </w:rPr>
        <w:t xml:space="preserve">Multi-Agency Public Protection Arrangements. </w:t>
      </w:r>
      <w:r w:rsidRPr="00404038">
        <w:t>Available at:https://www.justiceinspectorates.gov.uk/hmiprobation/research/the-evidence-base-probation/specific-types-of-delivery/mappa/ - accessed 24</w:t>
      </w:r>
      <w:r w:rsidRPr="00404038">
        <w:rPr>
          <w:vertAlign w:val="superscript"/>
        </w:rPr>
        <w:t>th</w:t>
      </w:r>
      <w:r w:rsidRPr="00404038">
        <w:t xml:space="preserve"> January 2023.</w:t>
      </w:r>
    </w:p>
    <w:p w14:paraId="47C7CD04" w14:textId="77777777" w:rsidR="001101D9" w:rsidRPr="00202CD2" w:rsidRDefault="001101D9" w:rsidP="001101D9">
      <w:pPr>
        <w:jc w:val="both"/>
        <w:rPr>
          <w:rFonts w:cstheme="minorHAnsi"/>
        </w:rPr>
      </w:pPr>
      <w:r w:rsidRPr="00202CD2">
        <w:rPr>
          <w:rFonts w:cstheme="minorHAnsi"/>
        </w:rPr>
        <w:t xml:space="preserve">Home Office, (2014). </w:t>
      </w:r>
      <w:r w:rsidRPr="00202CD2">
        <w:rPr>
          <w:rFonts w:cstheme="minorHAnsi"/>
          <w:i/>
          <w:iCs/>
        </w:rPr>
        <w:t xml:space="preserve">Code of Ethics Launched. </w:t>
      </w:r>
      <w:r w:rsidRPr="00202CD2">
        <w:rPr>
          <w:rFonts w:cstheme="minorHAnsi"/>
        </w:rPr>
        <w:t xml:space="preserve">Available at: </w:t>
      </w:r>
      <w:hyperlink r:id="rId16" w:history="1">
        <w:r w:rsidRPr="00992453">
          <w:rPr>
            <w:rStyle w:val="Hyperlink"/>
            <w:rFonts w:cstheme="minorHAnsi"/>
          </w:rPr>
          <w:t>https://www.gov.uk/government/news/code-of-ethics-launched</w:t>
        </w:r>
      </w:hyperlink>
      <w:r>
        <w:rPr>
          <w:rFonts w:cstheme="minorHAnsi"/>
        </w:rPr>
        <w:t xml:space="preserve"> </w:t>
      </w:r>
      <w:r w:rsidRPr="00202CD2">
        <w:rPr>
          <w:rFonts w:cstheme="minorHAnsi"/>
        </w:rPr>
        <w:t>– accessed 22</w:t>
      </w:r>
      <w:r w:rsidRPr="00202CD2">
        <w:rPr>
          <w:rFonts w:cstheme="minorHAnsi"/>
          <w:vertAlign w:val="superscript"/>
        </w:rPr>
        <w:t>nd</w:t>
      </w:r>
      <w:r w:rsidRPr="00202CD2">
        <w:rPr>
          <w:rFonts w:cstheme="minorHAnsi"/>
        </w:rPr>
        <w:t xml:space="preserve"> January 2023.</w:t>
      </w:r>
    </w:p>
    <w:p w14:paraId="5710F4D5" w14:textId="77777777" w:rsidR="001101D9" w:rsidRDefault="001101D9" w:rsidP="001101D9">
      <w:pPr>
        <w:jc w:val="both"/>
      </w:pPr>
      <w:r>
        <w:rPr>
          <w:lang w:eastAsia="en-GB"/>
        </w:rPr>
        <w:t xml:space="preserve">Home Office, (2020). </w:t>
      </w:r>
      <w:r>
        <w:rPr>
          <w:i/>
          <w:iCs/>
          <w:lang w:eastAsia="en-GB"/>
        </w:rPr>
        <w:t>Guidance for Working with Adults at Risk of Exploitation: Cuckooing.</w:t>
      </w:r>
      <w:r>
        <w:rPr>
          <w:lang w:eastAsia="en-GB"/>
        </w:rPr>
        <w:t xml:space="preserve"> Available at: </w:t>
      </w:r>
      <w:r w:rsidRPr="00ED0D00">
        <w:t>https://www.llradultsafeguarding.co.uk/guidance-for-working-with-adults-at-risk-of-exploitation-cuckooing/</w:t>
      </w:r>
      <w:r>
        <w:t xml:space="preserve"> - Accessed 25</w:t>
      </w:r>
      <w:r w:rsidRPr="00ED0D00">
        <w:rPr>
          <w:vertAlign w:val="superscript"/>
        </w:rPr>
        <w:t>th</w:t>
      </w:r>
      <w:r>
        <w:t xml:space="preserve"> January 2023.</w:t>
      </w:r>
    </w:p>
    <w:p w14:paraId="408D7C2D" w14:textId="77777777" w:rsidR="001101D9" w:rsidRDefault="001101D9" w:rsidP="001101D9">
      <w:pPr>
        <w:jc w:val="both"/>
      </w:pPr>
      <w:r>
        <w:lastRenderedPageBreak/>
        <w:t xml:space="preserve">Home Office. (2012) </w:t>
      </w:r>
      <w:r w:rsidRPr="00182EF1">
        <w:rPr>
          <w:i/>
          <w:iCs/>
        </w:rPr>
        <w:t>‘Definition of Policing by Consent.’</w:t>
      </w:r>
      <w:r>
        <w:t xml:space="preserve"> Available at: </w:t>
      </w:r>
      <w:hyperlink r:id="rId17" w:history="1">
        <w:r w:rsidRPr="007C6A83">
          <w:rPr>
            <w:rStyle w:val="Hyperlink"/>
          </w:rPr>
          <w:t>https://www.gov.uk/government/publications/policing-by-consent</w:t>
        </w:r>
      </w:hyperlink>
      <w:r>
        <w:t xml:space="preserve"> - Accessed 31st January 2023.</w:t>
      </w:r>
    </w:p>
    <w:p w14:paraId="0EE19A4D" w14:textId="77777777" w:rsidR="001101D9" w:rsidRPr="0025708B" w:rsidRDefault="001101D9" w:rsidP="001101D9">
      <w:pPr>
        <w:jc w:val="both"/>
      </w:pPr>
      <w:r w:rsidRPr="0025708B">
        <w:t>Howell, J.C. (2018). What Works With Gangs</w:t>
      </w:r>
      <w:r w:rsidRPr="0025708B">
        <w:rPr>
          <w:i/>
          <w:iCs/>
        </w:rPr>
        <w:t>. Criminology and Public Policy</w:t>
      </w:r>
      <w:r w:rsidRPr="0025708B">
        <w:t xml:space="preserve">, 17(4), pp. 991-999. Available at: </w:t>
      </w:r>
      <w:r w:rsidRPr="00846C58">
        <w:t>https://journals-sagepub-com.ezproxy.uwtsd.ac.uk/doi/full/10.1177/0306624X18806742</w:t>
      </w:r>
      <w:r w:rsidRPr="0025708B">
        <w:t xml:space="preserve"> - accessed 25th January 2023</w:t>
      </w:r>
    </w:p>
    <w:p w14:paraId="7FE9282D" w14:textId="77777777" w:rsidR="001101D9" w:rsidRDefault="001101D9" w:rsidP="001101D9">
      <w:pPr>
        <w:jc w:val="both"/>
      </w:pPr>
      <w:r>
        <w:t xml:space="preserve">London.gov. (2020) </w:t>
      </w:r>
      <w:r w:rsidRPr="00441D43">
        <w:rPr>
          <w:i/>
          <w:iCs/>
        </w:rPr>
        <w:t>‘Action Plan – Transparency, Accountability and Trust in Policing</w:t>
      </w:r>
      <w:r>
        <w:t xml:space="preserve">,’ Available at: </w:t>
      </w:r>
      <w:hyperlink r:id="rId18" w:history="1">
        <w:r w:rsidRPr="007C6A83">
          <w:rPr>
            <w:rStyle w:val="Hyperlink"/>
          </w:rPr>
          <w:t>https://www.london.gov.uk/mopac-publications/action-plan-transparency-accountability-and-trust-policing</w:t>
        </w:r>
      </w:hyperlink>
      <w:r>
        <w:t xml:space="preserve"> -</w:t>
      </w:r>
      <w:r w:rsidRPr="00441D43">
        <w:t xml:space="preserve"> </w:t>
      </w:r>
      <w:r>
        <w:t>accessed 31</w:t>
      </w:r>
      <w:r w:rsidRPr="00441D43">
        <w:rPr>
          <w:vertAlign w:val="superscript"/>
        </w:rPr>
        <w:t>st</w:t>
      </w:r>
      <w:r>
        <w:t xml:space="preserve"> January 2023.</w:t>
      </w:r>
    </w:p>
    <w:p w14:paraId="2EB74CFF" w14:textId="77777777" w:rsidR="001101D9" w:rsidRDefault="001101D9" w:rsidP="001101D9">
      <w:pPr>
        <w:spacing w:after="0" w:line="276" w:lineRule="auto"/>
        <w:ind w:right="531"/>
        <w:jc w:val="both"/>
        <w:rPr>
          <w:rFonts w:ascii="Calibri" w:eastAsia="Calibri" w:hAnsi="Calibri" w:cs="Calibri"/>
        </w:rPr>
      </w:pPr>
      <w:r w:rsidRPr="00404038">
        <w:rPr>
          <w:rFonts w:ascii="Calibri" w:eastAsia="Calibri" w:hAnsi="Calibri" w:cs="Calibri"/>
        </w:rPr>
        <w:t xml:space="preserve">Ministry of Justice. (2015). </w:t>
      </w:r>
      <w:r w:rsidRPr="00404038">
        <w:rPr>
          <w:rFonts w:ascii="Calibri" w:eastAsia="Calibri" w:hAnsi="Calibri" w:cs="Calibri"/>
          <w:i/>
          <w:iCs/>
        </w:rPr>
        <w:t>Reoffending Analysis of MAPPA Eligible Offenders.</w:t>
      </w:r>
      <w:r w:rsidRPr="00404038">
        <w:rPr>
          <w:rFonts w:ascii="Calibri" w:eastAsia="Calibri" w:hAnsi="Calibri" w:cs="Calibri"/>
        </w:rPr>
        <w:t xml:space="preserve"> Available at: reoffending-analysis-of-mappa-eligible-offenders.pdf - accessed 24</w:t>
      </w:r>
      <w:r w:rsidRPr="00404038">
        <w:rPr>
          <w:rFonts w:ascii="Calibri" w:eastAsia="Calibri" w:hAnsi="Calibri" w:cs="Calibri"/>
          <w:vertAlign w:val="superscript"/>
        </w:rPr>
        <w:t>th</w:t>
      </w:r>
      <w:r w:rsidRPr="00404038">
        <w:rPr>
          <w:rFonts w:ascii="Calibri" w:eastAsia="Calibri" w:hAnsi="Calibri" w:cs="Calibri"/>
        </w:rPr>
        <w:t xml:space="preserve"> January 2023.</w:t>
      </w:r>
    </w:p>
    <w:p w14:paraId="491195D9" w14:textId="77777777" w:rsidR="001101D9" w:rsidRDefault="001101D9" w:rsidP="001101D9">
      <w:pPr>
        <w:pStyle w:val="NoSpacing"/>
        <w:jc w:val="both"/>
      </w:pPr>
      <w:r>
        <w:t xml:space="preserve">Richards, G. (2022) </w:t>
      </w:r>
      <w:r w:rsidRPr="00182EF1">
        <w:rPr>
          <w:i/>
          <w:iCs/>
        </w:rPr>
        <w:t>‘Police Accountability.</w:t>
      </w:r>
      <w:r>
        <w:t xml:space="preserve">’ Available at: </w:t>
      </w:r>
      <w:hyperlink r:id="rId19" w:history="1">
        <w:r w:rsidRPr="000C2E15">
          <w:rPr>
            <w:rStyle w:val="Hyperlink"/>
          </w:rPr>
          <w:t>https://www.instituteforgovernment.org.uk/article/explainer/police-accountability</w:t>
        </w:r>
      </w:hyperlink>
      <w:r w:rsidRPr="000C2E15">
        <w:t xml:space="preserve"> - accessed 31st</w:t>
      </w:r>
      <w:r>
        <w:t xml:space="preserve"> January 2023.</w:t>
      </w:r>
    </w:p>
    <w:p w14:paraId="42AE7D0C" w14:textId="77777777" w:rsidR="001101D9" w:rsidRDefault="001101D9" w:rsidP="001101D9">
      <w:pPr>
        <w:jc w:val="both"/>
        <w:rPr>
          <w:lang w:eastAsia="en-GB"/>
        </w:rPr>
      </w:pPr>
      <w:r w:rsidRPr="0025708B">
        <w:t>Robinson, G et al. (2019). Working County Lines: Child Criminal Exploitation and Illicit Drug Dealing in Glasgow and Merseyside</w:t>
      </w:r>
      <w:r w:rsidRPr="0025708B">
        <w:rPr>
          <w:i/>
          <w:iCs/>
        </w:rPr>
        <w:t xml:space="preserve">. </w:t>
      </w:r>
      <w:r w:rsidRPr="0025708B">
        <w:rPr>
          <w:i/>
          <w:iCs/>
          <w:lang w:eastAsia="en-GB"/>
        </w:rPr>
        <w:t>International journal of offender therapy and comparative criminology</w:t>
      </w:r>
      <w:r w:rsidRPr="0025708B">
        <w:t xml:space="preserve">, 63(5), pp. 694-711. Available at: </w:t>
      </w:r>
      <w:hyperlink r:id="rId20" w:history="1">
        <w:r w:rsidRPr="008F0A54">
          <w:rPr>
            <w:rStyle w:val="Hyperlink"/>
            <w:lang w:eastAsia="en-GB"/>
          </w:rPr>
          <w:t>https://journals-sagepub-com.ezproxy.uwtsd.ac.uk/doi/full/10.1177/0306624X18806742</w:t>
        </w:r>
      </w:hyperlink>
    </w:p>
    <w:p w14:paraId="3B001FAF" w14:textId="77777777" w:rsidR="001101D9" w:rsidRDefault="001101D9" w:rsidP="001101D9">
      <w:pPr>
        <w:jc w:val="both"/>
        <w:rPr>
          <w:lang w:eastAsia="en-GB"/>
        </w:rPr>
      </w:pPr>
      <w:proofErr w:type="spellStart"/>
      <w:r>
        <w:rPr>
          <w:lang w:eastAsia="en-GB"/>
        </w:rPr>
        <w:t>Scholarone</w:t>
      </w:r>
      <w:proofErr w:type="spellEnd"/>
      <w:r>
        <w:rPr>
          <w:lang w:eastAsia="en-GB"/>
        </w:rPr>
        <w:t xml:space="preserve"> Manuscripts, (No date). </w:t>
      </w:r>
      <w:r>
        <w:rPr>
          <w:i/>
          <w:iCs/>
          <w:lang w:eastAsia="en-GB"/>
        </w:rPr>
        <w:t>International Journal of Offender Therapy and Comparative Criminology.</w:t>
      </w:r>
      <w:r>
        <w:rPr>
          <w:lang w:eastAsia="en-GB"/>
        </w:rPr>
        <w:t xml:space="preserve"> Available at: </w:t>
      </w:r>
      <w:hyperlink r:id="rId21" w:history="1">
        <w:r w:rsidRPr="00935E0A">
          <w:rPr>
            <w:rStyle w:val="Hyperlink"/>
            <w:lang w:eastAsia="en-GB"/>
          </w:rPr>
          <w:t>https://mc.manuscriptcentral.com/ijotcc</w:t>
        </w:r>
      </w:hyperlink>
      <w:r>
        <w:rPr>
          <w:lang w:eastAsia="en-GB"/>
        </w:rPr>
        <w:t xml:space="preserve"> - accessed 25th January 2023.</w:t>
      </w:r>
    </w:p>
    <w:p w14:paraId="0ECC4CC0" w14:textId="77777777" w:rsidR="001101D9" w:rsidRPr="00202CD2" w:rsidRDefault="001101D9" w:rsidP="001101D9">
      <w:pPr>
        <w:jc w:val="both"/>
        <w:rPr>
          <w:rFonts w:cstheme="minorHAnsi"/>
        </w:rPr>
      </w:pPr>
      <w:r w:rsidRPr="00202CD2">
        <w:rPr>
          <w:rFonts w:cstheme="minorHAnsi"/>
        </w:rPr>
        <w:t xml:space="preserve">Sky News, (2013). </w:t>
      </w:r>
      <w:r w:rsidRPr="00202CD2">
        <w:rPr>
          <w:rFonts w:cstheme="minorHAnsi"/>
          <w:i/>
          <w:iCs/>
        </w:rPr>
        <w:t>New Police Code of Ethics Must be Obeyed.</w:t>
      </w:r>
      <w:r w:rsidRPr="00202CD2">
        <w:rPr>
          <w:rFonts w:cstheme="minorHAnsi"/>
        </w:rPr>
        <w:t xml:space="preserve"> Available at:</w:t>
      </w:r>
      <w:r>
        <w:rPr>
          <w:rFonts w:cstheme="minorHAnsi"/>
        </w:rPr>
        <w:t xml:space="preserve"> </w:t>
      </w:r>
      <w:hyperlink r:id="rId22" w:history="1">
        <w:r w:rsidRPr="00992453">
          <w:rPr>
            <w:rStyle w:val="Hyperlink"/>
            <w:rFonts w:cstheme="minorHAnsi"/>
          </w:rPr>
          <w:t>https://news.sky.com/story/new-police-code-of-ethics-must-be-obeyed-10430469</w:t>
        </w:r>
      </w:hyperlink>
      <w:r>
        <w:rPr>
          <w:rFonts w:cstheme="minorHAnsi"/>
        </w:rPr>
        <w:t xml:space="preserve"> </w:t>
      </w:r>
      <w:r w:rsidRPr="00202CD2">
        <w:rPr>
          <w:rFonts w:cstheme="minorHAnsi"/>
        </w:rPr>
        <w:t>– accessed 22</w:t>
      </w:r>
      <w:r w:rsidRPr="00202CD2">
        <w:rPr>
          <w:rFonts w:cstheme="minorHAnsi"/>
          <w:vertAlign w:val="superscript"/>
        </w:rPr>
        <w:t>nd</w:t>
      </w:r>
      <w:r w:rsidRPr="00202CD2">
        <w:rPr>
          <w:rFonts w:cstheme="minorHAnsi"/>
        </w:rPr>
        <w:t xml:space="preserve"> January 2023.</w:t>
      </w:r>
    </w:p>
    <w:p w14:paraId="4EA922DD" w14:textId="77777777" w:rsidR="001101D9" w:rsidRPr="00404038" w:rsidRDefault="001101D9" w:rsidP="001101D9">
      <w:pPr>
        <w:overflowPunct w:val="0"/>
        <w:autoSpaceDE w:val="0"/>
        <w:autoSpaceDN w:val="0"/>
        <w:adjustRightInd w:val="0"/>
        <w:spacing w:after="0" w:line="276" w:lineRule="auto"/>
        <w:ind w:right="531"/>
        <w:jc w:val="both"/>
        <w:textAlignment w:val="baseline"/>
        <w:rPr>
          <w:rFonts w:eastAsiaTheme="minorEastAsia"/>
          <w:u w:val="single"/>
          <w:lang w:eastAsia="en-GB"/>
        </w:rPr>
      </w:pPr>
      <w:r w:rsidRPr="00404038">
        <w:t xml:space="preserve">Taylor and </w:t>
      </w:r>
      <w:proofErr w:type="spellStart"/>
      <w:r w:rsidRPr="00404038">
        <w:t>Yakeley</w:t>
      </w:r>
      <w:proofErr w:type="spellEnd"/>
      <w:r w:rsidRPr="00404038">
        <w:t xml:space="preserve">. (2019) </w:t>
      </w:r>
      <w:r w:rsidRPr="00404038">
        <w:rPr>
          <w:i/>
          <w:iCs/>
        </w:rPr>
        <w:t>‘Working with MAPPA: Ethics and Pragmatics.</w:t>
      </w:r>
      <w:r w:rsidRPr="00404038">
        <w:t xml:space="preserve"> Available at: </w:t>
      </w:r>
      <w:hyperlink r:id="rId23" w:history="1">
        <w:r w:rsidRPr="00404038">
          <w:rPr>
            <w:rStyle w:val="Hyperlink"/>
            <w:rFonts w:eastAsiaTheme="minorEastAsia"/>
            <w:lang w:eastAsia="en-GB"/>
          </w:rPr>
          <w:t>https://www.cambridge.org/core/services/aop-cambridge-core/content/view/FA1162204A4CA86802AD50E03B39744E/S2056467818000051a.pdf/div-class-title-working-with-mappa-ethics-and-pragmatics-div.pdf</w:t>
        </w:r>
      </w:hyperlink>
      <w:r w:rsidRPr="00404038">
        <w:rPr>
          <w:rFonts w:eastAsiaTheme="minorEastAsia"/>
          <w:lang w:eastAsia="en-GB"/>
        </w:rPr>
        <w:t xml:space="preserve"> - accessed 24</w:t>
      </w:r>
      <w:r w:rsidRPr="00404038">
        <w:rPr>
          <w:rFonts w:eastAsiaTheme="minorEastAsia"/>
          <w:vertAlign w:val="superscript"/>
          <w:lang w:eastAsia="en-GB"/>
        </w:rPr>
        <w:t>th</w:t>
      </w:r>
      <w:r w:rsidRPr="00404038">
        <w:rPr>
          <w:rFonts w:eastAsiaTheme="minorEastAsia"/>
          <w:lang w:eastAsia="en-GB"/>
        </w:rPr>
        <w:t xml:space="preserve"> January 2023.</w:t>
      </w:r>
    </w:p>
    <w:p w14:paraId="49AB4C34" w14:textId="77777777" w:rsidR="001101D9" w:rsidRDefault="001101D9" w:rsidP="001101D9">
      <w:pPr>
        <w:jc w:val="both"/>
        <w:rPr>
          <w:rFonts w:cstheme="minorHAnsi"/>
        </w:rPr>
      </w:pPr>
      <w:r w:rsidRPr="00202CD2">
        <w:rPr>
          <w:rFonts w:cstheme="minorHAnsi"/>
        </w:rPr>
        <w:t xml:space="preserve">Trevelyan, L (No Date), </w:t>
      </w:r>
      <w:r w:rsidRPr="00202CD2">
        <w:rPr>
          <w:rFonts w:cstheme="minorHAnsi"/>
          <w:i/>
          <w:iCs/>
        </w:rPr>
        <w:t xml:space="preserve">PACE: The Police and Criminal Evidence Act. </w:t>
      </w:r>
      <w:r w:rsidRPr="00202CD2">
        <w:rPr>
          <w:rFonts w:cstheme="minorHAnsi"/>
        </w:rPr>
        <w:t>Available at:</w:t>
      </w:r>
      <w:r>
        <w:rPr>
          <w:rFonts w:cstheme="minorHAnsi"/>
        </w:rPr>
        <w:t xml:space="preserve"> </w:t>
      </w:r>
      <w:hyperlink r:id="rId24" w:history="1">
        <w:r w:rsidRPr="00992453">
          <w:rPr>
            <w:rStyle w:val="Hyperlink"/>
            <w:rFonts w:cstheme="minorHAnsi"/>
          </w:rPr>
          <w:t>https://www.inbrief.co.uk/police/pace/</w:t>
        </w:r>
      </w:hyperlink>
      <w:r>
        <w:rPr>
          <w:rFonts w:cstheme="minorHAnsi"/>
        </w:rPr>
        <w:t xml:space="preserve"> </w:t>
      </w:r>
      <w:r w:rsidRPr="00202CD2">
        <w:rPr>
          <w:rFonts w:cstheme="minorHAnsi"/>
        </w:rPr>
        <w:t>– accessed 22</w:t>
      </w:r>
      <w:r w:rsidRPr="00202CD2">
        <w:rPr>
          <w:rFonts w:cstheme="minorHAnsi"/>
          <w:vertAlign w:val="superscript"/>
        </w:rPr>
        <w:t>nd</w:t>
      </w:r>
      <w:r w:rsidRPr="00202CD2">
        <w:rPr>
          <w:rFonts w:cstheme="minorHAnsi"/>
        </w:rPr>
        <w:t xml:space="preserve"> January 2023.</w:t>
      </w:r>
    </w:p>
    <w:p w14:paraId="25502F2C" w14:textId="77777777" w:rsidR="001101D9" w:rsidRPr="001101D9" w:rsidRDefault="001101D9" w:rsidP="00A34001">
      <w:pPr>
        <w:rPr>
          <w:b/>
          <w:bCs/>
          <w:u w:val="single"/>
        </w:rPr>
      </w:pPr>
    </w:p>
    <w:sectPr w:rsidR="001101D9" w:rsidRPr="001101D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6E7F0" w14:textId="77777777" w:rsidR="00D2556F" w:rsidRDefault="00D2556F" w:rsidP="00A34001">
      <w:pPr>
        <w:spacing w:after="0" w:line="240" w:lineRule="auto"/>
      </w:pPr>
      <w:r>
        <w:separator/>
      </w:r>
    </w:p>
  </w:endnote>
  <w:endnote w:type="continuationSeparator" w:id="0">
    <w:p w14:paraId="40B8A2A9" w14:textId="77777777" w:rsidR="00D2556F" w:rsidRDefault="00D2556F" w:rsidP="00A34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7757B" w14:textId="0BFD59AE" w:rsidR="00A34001" w:rsidRDefault="00A34001">
    <w:pPr>
      <w:pStyle w:val="Footer"/>
    </w:pPr>
    <w:r>
      <w:t xml:space="preserve">Module – Operational Police Practice 2           </w:t>
    </w:r>
    <w:r>
      <w:tab/>
      <w:t>Module Code – BMPP5002D</w:t>
    </w:r>
    <w:r>
      <w:ptab w:relativeTo="margin" w:alignment="right" w:leader="none"/>
    </w:r>
    <w:r>
      <w:t>Assignment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BD1B2" w14:textId="77777777" w:rsidR="00D2556F" w:rsidRDefault="00D2556F" w:rsidP="00A34001">
      <w:pPr>
        <w:spacing w:after="0" w:line="240" w:lineRule="auto"/>
      </w:pPr>
      <w:r>
        <w:separator/>
      </w:r>
    </w:p>
  </w:footnote>
  <w:footnote w:type="continuationSeparator" w:id="0">
    <w:p w14:paraId="448915F1" w14:textId="77777777" w:rsidR="00D2556F" w:rsidRDefault="00D2556F" w:rsidP="00A340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39383" w14:textId="175F9A8B" w:rsidR="00A34001" w:rsidRDefault="00A34001">
    <w:pPr>
      <w:pStyle w:val="Header"/>
    </w:pPr>
    <w:r>
      <w:t>Lewis Hodson</w:t>
    </w:r>
    <w:r>
      <w:ptab w:relativeTo="margin" w:alignment="right" w:leader="none"/>
    </w:r>
    <w:r>
      <w:t>Student Number - 2117777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01"/>
    <w:rsid w:val="001101D9"/>
    <w:rsid w:val="00157F00"/>
    <w:rsid w:val="002A2C2E"/>
    <w:rsid w:val="00806EEE"/>
    <w:rsid w:val="00A34001"/>
    <w:rsid w:val="00D2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648"/>
  <w15:chartTrackingRefBased/>
  <w15:docId w15:val="{547DFDB7-F96D-4B13-A00F-E9201868D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001"/>
  </w:style>
  <w:style w:type="paragraph" w:styleId="Footer">
    <w:name w:val="footer"/>
    <w:basedOn w:val="Normal"/>
    <w:link w:val="FooterChar"/>
    <w:uiPriority w:val="99"/>
    <w:unhideWhenUsed/>
    <w:rsid w:val="00A34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001"/>
  </w:style>
  <w:style w:type="character" w:styleId="Hyperlink">
    <w:name w:val="Hyperlink"/>
    <w:basedOn w:val="DefaultParagraphFont"/>
    <w:uiPriority w:val="99"/>
    <w:unhideWhenUsed/>
    <w:rsid w:val="002A2C2E"/>
    <w:rPr>
      <w:color w:val="0563C1" w:themeColor="hyperlink"/>
      <w:u w:val="single"/>
    </w:rPr>
  </w:style>
  <w:style w:type="paragraph" w:styleId="NoSpacing">
    <w:name w:val="No Spacing"/>
    <w:uiPriority w:val="1"/>
    <w:qFormat/>
    <w:rsid w:val="001101D9"/>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doi/full/10.1002/jcop.22767" TargetMode="External"/><Relationship Id="rId13" Type="http://schemas.openxmlformats.org/officeDocument/2006/relationships/hyperlink" Target="https://www.theguardian.com/world/2021/nov/26/scarman-report-into-brixton-riots-published-archive-1981" TargetMode="External"/><Relationship Id="rId18" Type="http://schemas.openxmlformats.org/officeDocument/2006/relationships/hyperlink" Target="https://www.london.gov.uk/mopac-publications/action-plan-transparency-accountability-and-trust-policing"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mc.manuscriptcentral.com/ijotcc" TargetMode="External"/><Relationship Id="rId7" Type="http://schemas.openxmlformats.org/officeDocument/2006/relationships/hyperlink" Target="https://www.lawteacher.net/acts/police-and-criminal-evidence-act.php" TargetMode="External"/><Relationship Id="rId12" Type="http://schemas.openxmlformats.org/officeDocument/2006/relationships/hyperlink" Target="https://www.college.police.uk/guidance/neighbourhood-policing/engaging-communities" TargetMode="External"/><Relationship Id="rId17" Type="http://schemas.openxmlformats.org/officeDocument/2006/relationships/hyperlink" Target="https://www.gov.uk/government/publications/policing-by-consent"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gov.uk/government/news/code-of-ethics-launched" TargetMode="External"/><Relationship Id="rId20" Type="http://schemas.openxmlformats.org/officeDocument/2006/relationships/hyperlink" Target="https://journals-sagepub-com.ezproxy.uwtsd.ac.uk/doi/full/10.1177/0306624X18806742" TargetMode="External"/><Relationship Id="rId1" Type="http://schemas.openxmlformats.org/officeDocument/2006/relationships/styles" Target="styles.xml"/><Relationship Id="rId6" Type="http://schemas.openxmlformats.org/officeDocument/2006/relationships/hyperlink" Target="http://www.endviolenceagainstwomen.org" TargetMode="External"/><Relationship Id="rId11" Type="http://schemas.openxmlformats.org/officeDocument/2006/relationships/hyperlink" Target="https://www.college.police.uk/article/preparing-policing-future-challenges-and-demands" TargetMode="External"/><Relationship Id="rId24" Type="http://schemas.openxmlformats.org/officeDocument/2006/relationships/hyperlink" Target="https://www.inbrief.co.uk/police/pace/" TargetMode="External"/><Relationship Id="rId5" Type="http://schemas.openxmlformats.org/officeDocument/2006/relationships/endnotes" Target="endnotes.xml"/><Relationship Id="rId15" Type="http://schemas.openxmlformats.org/officeDocument/2006/relationships/hyperlink" Target="file:///C:/Users/maxho/Downloads/MAPPA-follow-up-thematic-report.pdf" TargetMode="External"/><Relationship Id="rId23" Type="http://schemas.openxmlformats.org/officeDocument/2006/relationships/hyperlink" Target="https://www.cambridge.org/core/services/aop-cambridge-core/content/view/FA1162204A4CA86802AD50E03B39744E/S2056467818000051a.pdf/div-class-title-working-with-mappa-ethics-and-pragmatics-div.pdf" TargetMode="External"/><Relationship Id="rId28" Type="http://schemas.openxmlformats.org/officeDocument/2006/relationships/theme" Target="theme/theme1.xml"/><Relationship Id="rId10" Type="http://schemas.openxmlformats.org/officeDocument/2006/relationships/hyperlink" Target="https://www.bbc.com/news/uk-england-london-54797993" TargetMode="External"/><Relationship Id="rId19" Type="http://schemas.openxmlformats.org/officeDocument/2006/relationships/hyperlink" Target="https://www.instituteforgovernment.org.uk/article/explainer/police-accountability" TargetMode="External"/><Relationship Id="rId4" Type="http://schemas.openxmlformats.org/officeDocument/2006/relationships/footnotes" Target="footnotes.xml"/><Relationship Id="rId9" Type="http://schemas.openxmlformats.org/officeDocument/2006/relationships/hyperlink" Target="https://www.tandfonline.com/doi/full/10.1080/13698230.2017.1398443" TargetMode="External"/><Relationship Id="rId14" Type="http://schemas.openxmlformats.org/officeDocument/2006/relationships/hyperlink" Target="https://www.endviolenceagainstwomen.org.uk" TargetMode="External"/><Relationship Id="rId22" Type="http://schemas.openxmlformats.org/officeDocument/2006/relationships/hyperlink" Target="https://news.sky.com/story/new-police-code-of-ethics-must-be-obeyed-1043046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4748</Words>
  <Characters>27066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Hodson</dc:creator>
  <cp:keywords/>
  <dc:description/>
  <cp:lastModifiedBy>Lewis Hodson</cp:lastModifiedBy>
  <cp:revision>2</cp:revision>
  <dcterms:created xsi:type="dcterms:W3CDTF">2023-02-05T23:04:00Z</dcterms:created>
  <dcterms:modified xsi:type="dcterms:W3CDTF">2023-02-05T23:24:00Z</dcterms:modified>
</cp:coreProperties>
</file>