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center"/>
        <w:rPr>
          <w:rFonts w:ascii="Times New Roman" w:hAnsi="Times New Roman" w:cs="Times New Roman"/>
          <w:b/>
          <w:sz w:val="28"/>
          <w:szCs w:val="28"/>
        </w:rPr>
      </w:pPr>
      <w:bookmarkStart w:id="17" w:name="_GoBack"/>
      <w:r>
        <w:rPr>
          <w:rFonts w:ascii="Times New Roman" w:hAnsi="Times New Roman" w:cs="Times New Roman"/>
          <w:b/>
          <w:sz w:val="28"/>
          <w:szCs w:val="28"/>
        </w:rPr>
        <w:t>An Analysis of the Declining Profitability of Sports Direct: Causes, Challenges, and</w:t>
      </w:r>
      <w:r>
        <w:rPr>
          <w:rFonts w:hint="default" w:ascii="Times New Roman" w:hAnsi="Times New Roman" w:cs="Times New Roman"/>
          <w:b/>
          <w:sz w:val="28"/>
          <w:szCs w:val="28"/>
          <w:lang w:val="en-GB"/>
        </w:rPr>
        <w:t xml:space="preserve"> </w:t>
      </w:r>
      <w:r>
        <w:rPr>
          <w:rFonts w:ascii="Times New Roman" w:hAnsi="Times New Roman" w:cs="Times New Roman"/>
          <w:b/>
          <w:sz w:val="28"/>
          <w:szCs w:val="28"/>
        </w:rPr>
        <w:t>Recommendation</w:t>
      </w:r>
    </w:p>
    <w:bookmarkEnd w:id="17"/>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sdt>
      <w:sdtPr>
        <w:rPr>
          <w:rFonts w:asciiTheme="minorHAnsi" w:hAnsiTheme="minorHAnsi" w:eastAsiaTheme="minorHAnsi" w:cstheme="minorBidi"/>
          <w:b w:val="0"/>
          <w:bCs w:val="0"/>
          <w:color w:val="000000" w:themeColor="text1"/>
          <w:sz w:val="22"/>
          <w:szCs w:val="22"/>
          <w:lang w:eastAsia="en-US"/>
          <w14:textFill>
            <w14:solidFill>
              <w14:schemeClr w14:val="tx1"/>
            </w14:solidFill>
          </w14:textFill>
        </w:rPr>
        <w:id w:val="-1074887261"/>
        <w:docPartObj>
          <w:docPartGallery w:val="Table of Contents"/>
          <w:docPartUnique/>
        </w:docPartObj>
      </w:sdtPr>
      <w:sdtEndPr>
        <w:rPr>
          <w:rFonts w:asciiTheme="minorHAnsi" w:hAnsiTheme="minorHAnsi" w:eastAsiaTheme="minorEastAsia" w:cstheme="minorBidi"/>
          <w:b w:val="0"/>
          <w:bCs w:val="0"/>
          <w:color w:val="auto"/>
          <w:sz w:val="22"/>
          <w:szCs w:val="22"/>
          <w:lang w:eastAsia="en-US"/>
        </w:rPr>
      </w:sdtEndPr>
      <w:sdtContent>
        <w:p>
          <w:pPr>
            <w:pStyle w:val="13"/>
            <w:jc w:val="center"/>
            <w:rPr>
              <w:color w:val="000000" w:themeColor="text1"/>
              <w14:textFill>
                <w14:solidFill>
                  <w14:schemeClr w14:val="tx1"/>
                </w14:solidFill>
              </w14:textFill>
            </w:rPr>
          </w:pPr>
          <w:r>
            <w:rPr>
              <w:color w:val="000000" w:themeColor="text1"/>
              <w14:textFill>
                <w14:solidFill>
                  <w14:schemeClr w14:val="tx1"/>
                </w14:solidFill>
              </w14:textFill>
            </w:rPr>
            <w:t>Table of Contents</w:t>
          </w:r>
        </w:p>
        <w:p>
          <w:pPr>
            <w:pStyle w:val="7"/>
            <w:tabs>
              <w:tab w:val="left" w:pos="440"/>
              <w:tab w:val="right" w:leader="dot" w:pos="9016"/>
            </w:tabs>
          </w:pPr>
          <w:r>
            <w:fldChar w:fldCharType="begin"/>
          </w:r>
          <w:r>
            <w:instrText xml:space="preserve"> TOC \o "1-3" \h \z \u </w:instrText>
          </w:r>
          <w:r>
            <w:fldChar w:fldCharType="separate"/>
          </w:r>
          <w:r>
            <w:fldChar w:fldCharType="begin"/>
          </w:r>
          <w:r>
            <w:instrText xml:space="preserve"> HYPERLINK \l "_Toc7889681" </w:instrText>
          </w:r>
          <w:r>
            <w:fldChar w:fldCharType="separate"/>
          </w:r>
          <w:r>
            <w:rPr>
              <w:rStyle w:val="12"/>
              <w:rFonts w:ascii="Times New Roman" w:hAnsi="Times New Roman" w:cs="Times New Roman"/>
            </w:rPr>
            <w:t>1.</w:t>
          </w:r>
          <w:r>
            <w:tab/>
          </w:r>
          <w:r>
            <w:rPr>
              <w:rStyle w:val="12"/>
              <w:rFonts w:ascii="Times New Roman" w:hAnsi="Times New Roman" w:cs="Times New Roman"/>
            </w:rPr>
            <w:t>Executive Summary</w:t>
          </w:r>
          <w:r>
            <w:tab/>
          </w:r>
          <w:r>
            <w:fldChar w:fldCharType="begin"/>
          </w:r>
          <w:r>
            <w:instrText xml:space="preserve"> PAGEREF _Toc7889681 \h </w:instrText>
          </w:r>
          <w:r>
            <w:fldChar w:fldCharType="separate"/>
          </w:r>
          <w:r>
            <w:t>1</w:t>
          </w:r>
          <w:r>
            <w:fldChar w:fldCharType="end"/>
          </w:r>
          <w:r>
            <w:fldChar w:fldCharType="end"/>
          </w:r>
        </w:p>
        <w:p>
          <w:pPr>
            <w:pStyle w:val="7"/>
            <w:tabs>
              <w:tab w:val="left" w:pos="440"/>
              <w:tab w:val="right" w:leader="dot" w:pos="9016"/>
            </w:tabs>
          </w:pPr>
          <w:r>
            <w:fldChar w:fldCharType="begin"/>
          </w:r>
          <w:r>
            <w:instrText xml:space="preserve"> HYPERLINK \l "_Toc7889682" </w:instrText>
          </w:r>
          <w:r>
            <w:fldChar w:fldCharType="separate"/>
          </w:r>
          <w:r>
            <w:rPr>
              <w:rStyle w:val="12"/>
              <w:rFonts w:ascii="Times New Roman" w:hAnsi="Times New Roman" w:cs="Times New Roman"/>
            </w:rPr>
            <w:t>2.</w:t>
          </w:r>
          <w:r>
            <w:tab/>
          </w:r>
          <w:r>
            <w:rPr>
              <w:rStyle w:val="12"/>
              <w:rFonts w:ascii="Times New Roman" w:hAnsi="Times New Roman" w:cs="Times New Roman"/>
            </w:rPr>
            <w:t>Introduction</w:t>
          </w:r>
          <w:r>
            <w:tab/>
          </w:r>
          <w:r>
            <w:fldChar w:fldCharType="begin"/>
          </w:r>
          <w:r>
            <w:instrText xml:space="preserve"> PAGEREF _Toc7889682 \h </w:instrText>
          </w:r>
          <w:r>
            <w:fldChar w:fldCharType="separate"/>
          </w:r>
          <w:r>
            <w:t>1</w:t>
          </w:r>
          <w:r>
            <w:fldChar w:fldCharType="end"/>
          </w:r>
          <w:r>
            <w:fldChar w:fldCharType="end"/>
          </w:r>
        </w:p>
        <w:p>
          <w:pPr>
            <w:pStyle w:val="8"/>
            <w:tabs>
              <w:tab w:val="left" w:pos="880"/>
              <w:tab w:val="right" w:leader="dot" w:pos="9016"/>
            </w:tabs>
          </w:pPr>
          <w:r>
            <w:fldChar w:fldCharType="begin"/>
          </w:r>
          <w:r>
            <w:instrText xml:space="preserve"> HYPERLINK \l "_Toc7889683" </w:instrText>
          </w:r>
          <w:r>
            <w:fldChar w:fldCharType="separate"/>
          </w:r>
          <w:r>
            <w:rPr>
              <w:rStyle w:val="12"/>
              <w:rFonts w:ascii="Times New Roman" w:hAnsi="Times New Roman" w:cs="Times New Roman"/>
            </w:rPr>
            <w:t>2.1.</w:t>
          </w:r>
          <w:r>
            <w:tab/>
          </w:r>
          <w:r>
            <w:rPr>
              <w:rStyle w:val="12"/>
              <w:rFonts w:ascii="Times New Roman" w:hAnsi="Times New Roman" w:cs="Times New Roman"/>
            </w:rPr>
            <w:t>Rationale/Justification</w:t>
          </w:r>
          <w:r>
            <w:tab/>
          </w:r>
          <w:r>
            <w:fldChar w:fldCharType="begin"/>
          </w:r>
          <w:r>
            <w:instrText xml:space="preserve"> PAGEREF _Toc7889683 \h </w:instrText>
          </w:r>
          <w:r>
            <w:fldChar w:fldCharType="separate"/>
          </w:r>
          <w:r>
            <w:t>2</w:t>
          </w:r>
          <w:r>
            <w:fldChar w:fldCharType="end"/>
          </w:r>
          <w:r>
            <w:fldChar w:fldCharType="end"/>
          </w:r>
        </w:p>
        <w:p>
          <w:pPr>
            <w:pStyle w:val="8"/>
            <w:tabs>
              <w:tab w:val="left" w:pos="880"/>
              <w:tab w:val="right" w:leader="dot" w:pos="9016"/>
            </w:tabs>
          </w:pPr>
          <w:r>
            <w:fldChar w:fldCharType="begin"/>
          </w:r>
          <w:r>
            <w:instrText xml:space="preserve"> HYPERLINK \l "_Toc7889684" </w:instrText>
          </w:r>
          <w:r>
            <w:fldChar w:fldCharType="separate"/>
          </w:r>
          <w:r>
            <w:rPr>
              <w:rStyle w:val="12"/>
              <w:rFonts w:ascii="Times New Roman" w:hAnsi="Times New Roman" w:cs="Times New Roman"/>
            </w:rPr>
            <w:t>2.2.</w:t>
          </w:r>
          <w:r>
            <w:tab/>
          </w:r>
          <w:r>
            <w:rPr>
              <w:rStyle w:val="12"/>
              <w:rFonts w:ascii="Times New Roman" w:hAnsi="Times New Roman" w:cs="Times New Roman"/>
            </w:rPr>
            <w:t>Aims</w:t>
          </w:r>
          <w:r>
            <w:tab/>
          </w:r>
          <w:r>
            <w:fldChar w:fldCharType="begin"/>
          </w:r>
          <w:r>
            <w:instrText xml:space="preserve"> PAGEREF _Toc7889684 \h </w:instrText>
          </w:r>
          <w:r>
            <w:fldChar w:fldCharType="separate"/>
          </w:r>
          <w:r>
            <w:t>3</w:t>
          </w:r>
          <w:r>
            <w:fldChar w:fldCharType="end"/>
          </w:r>
          <w:r>
            <w:fldChar w:fldCharType="end"/>
          </w:r>
        </w:p>
        <w:p>
          <w:pPr>
            <w:pStyle w:val="8"/>
            <w:tabs>
              <w:tab w:val="left" w:pos="880"/>
              <w:tab w:val="right" w:leader="dot" w:pos="9016"/>
            </w:tabs>
          </w:pPr>
          <w:r>
            <w:fldChar w:fldCharType="begin"/>
          </w:r>
          <w:r>
            <w:instrText xml:space="preserve"> HYPERLINK \l "_Toc7889685" </w:instrText>
          </w:r>
          <w:r>
            <w:fldChar w:fldCharType="separate"/>
          </w:r>
          <w:r>
            <w:rPr>
              <w:rStyle w:val="12"/>
              <w:rFonts w:ascii="Times New Roman" w:hAnsi="Times New Roman" w:cs="Times New Roman"/>
            </w:rPr>
            <w:t>2.3.</w:t>
          </w:r>
          <w:r>
            <w:tab/>
          </w:r>
          <w:r>
            <w:rPr>
              <w:rStyle w:val="12"/>
              <w:rFonts w:ascii="Times New Roman" w:hAnsi="Times New Roman" w:cs="Times New Roman"/>
            </w:rPr>
            <w:t>Objectives</w:t>
          </w:r>
          <w:r>
            <w:tab/>
          </w:r>
          <w:r>
            <w:fldChar w:fldCharType="begin"/>
          </w:r>
          <w:r>
            <w:instrText xml:space="preserve"> PAGEREF _Toc7889685 \h </w:instrText>
          </w:r>
          <w:r>
            <w:fldChar w:fldCharType="separate"/>
          </w:r>
          <w:r>
            <w:t>3</w:t>
          </w:r>
          <w:r>
            <w:fldChar w:fldCharType="end"/>
          </w:r>
          <w:r>
            <w:fldChar w:fldCharType="end"/>
          </w:r>
        </w:p>
        <w:p>
          <w:pPr>
            <w:pStyle w:val="7"/>
            <w:tabs>
              <w:tab w:val="left" w:pos="440"/>
              <w:tab w:val="right" w:leader="dot" w:pos="9016"/>
            </w:tabs>
          </w:pPr>
          <w:r>
            <w:fldChar w:fldCharType="begin"/>
          </w:r>
          <w:r>
            <w:instrText xml:space="preserve"> HYPERLINK \l "_Toc7889686" </w:instrText>
          </w:r>
          <w:r>
            <w:fldChar w:fldCharType="separate"/>
          </w:r>
          <w:r>
            <w:rPr>
              <w:rStyle w:val="12"/>
              <w:rFonts w:ascii="Times New Roman" w:hAnsi="Times New Roman" w:cs="Times New Roman"/>
            </w:rPr>
            <w:t>3.</w:t>
          </w:r>
          <w:r>
            <w:tab/>
          </w:r>
          <w:r>
            <w:rPr>
              <w:rStyle w:val="12"/>
              <w:rFonts w:ascii="Times New Roman" w:hAnsi="Times New Roman" w:cs="Times New Roman"/>
            </w:rPr>
            <w:t>Research methodology</w:t>
          </w:r>
          <w:r>
            <w:tab/>
          </w:r>
          <w:r>
            <w:fldChar w:fldCharType="begin"/>
          </w:r>
          <w:r>
            <w:instrText xml:space="preserve"> PAGEREF _Toc7889686 \h </w:instrText>
          </w:r>
          <w:r>
            <w:fldChar w:fldCharType="separate"/>
          </w:r>
          <w:r>
            <w:t>4</w:t>
          </w:r>
          <w:r>
            <w:fldChar w:fldCharType="end"/>
          </w:r>
          <w:r>
            <w:fldChar w:fldCharType="end"/>
          </w:r>
        </w:p>
        <w:p>
          <w:pPr>
            <w:pStyle w:val="7"/>
            <w:tabs>
              <w:tab w:val="left" w:pos="440"/>
              <w:tab w:val="right" w:leader="dot" w:pos="9016"/>
            </w:tabs>
          </w:pPr>
          <w:r>
            <w:fldChar w:fldCharType="begin"/>
          </w:r>
          <w:r>
            <w:instrText xml:space="preserve"> HYPERLINK \l "_Toc7889687" </w:instrText>
          </w:r>
          <w:r>
            <w:fldChar w:fldCharType="separate"/>
          </w:r>
          <w:r>
            <w:rPr>
              <w:rStyle w:val="12"/>
              <w:rFonts w:ascii="Times New Roman" w:hAnsi="Times New Roman" w:cs="Times New Roman"/>
            </w:rPr>
            <w:t>4.</w:t>
          </w:r>
          <w:r>
            <w:tab/>
          </w:r>
          <w:r>
            <w:rPr>
              <w:rStyle w:val="12"/>
              <w:rFonts w:ascii="Times New Roman" w:hAnsi="Times New Roman" w:cs="Times New Roman"/>
            </w:rPr>
            <w:t>Findings and critical analysis</w:t>
          </w:r>
          <w:r>
            <w:tab/>
          </w:r>
          <w:r>
            <w:fldChar w:fldCharType="begin"/>
          </w:r>
          <w:r>
            <w:instrText xml:space="preserve"> PAGEREF _Toc7889687 \h </w:instrText>
          </w:r>
          <w:r>
            <w:fldChar w:fldCharType="separate"/>
          </w:r>
          <w:r>
            <w:t>4</w:t>
          </w:r>
          <w:r>
            <w:fldChar w:fldCharType="end"/>
          </w:r>
          <w:r>
            <w:fldChar w:fldCharType="end"/>
          </w:r>
        </w:p>
        <w:p>
          <w:pPr>
            <w:pStyle w:val="8"/>
            <w:tabs>
              <w:tab w:val="left" w:pos="880"/>
              <w:tab w:val="right" w:leader="dot" w:pos="9016"/>
            </w:tabs>
          </w:pPr>
          <w:r>
            <w:fldChar w:fldCharType="begin"/>
          </w:r>
          <w:r>
            <w:instrText xml:space="preserve"> HYPERLINK \l "_Toc7889688" </w:instrText>
          </w:r>
          <w:r>
            <w:fldChar w:fldCharType="separate"/>
          </w:r>
          <w:r>
            <w:rPr>
              <w:rStyle w:val="12"/>
              <w:rFonts w:ascii="Times New Roman" w:hAnsi="Times New Roman" w:cs="Times New Roman"/>
            </w:rPr>
            <w:t>4.1.</w:t>
          </w:r>
          <w:r>
            <w:tab/>
          </w:r>
          <w:r>
            <w:rPr>
              <w:rStyle w:val="12"/>
              <w:rFonts w:ascii="Times New Roman" w:hAnsi="Times New Roman" w:cs="Times New Roman"/>
            </w:rPr>
            <w:t>SWOT analysis</w:t>
          </w:r>
          <w:r>
            <w:tab/>
          </w:r>
          <w:r>
            <w:fldChar w:fldCharType="begin"/>
          </w:r>
          <w:r>
            <w:instrText xml:space="preserve"> PAGEREF _Toc7889688 \h </w:instrText>
          </w:r>
          <w:r>
            <w:fldChar w:fldCharType="separate"/>
          </w:r>
          <w:r>
            <w:t>4</w:t>
          </w:r>
          <w:r>
            <w:fldChar w:fldCharType="end"/>
          </w:r>
          <w:r>
            <w:fldChar w:fldCharType="end"/>
          </w:r>
        </w:p>
        <w:p>
          <w:pPr>
            <w:pStyle w:val="8"/>
            <w:tabs>
              <w:tab w:val="left" w:pos="880"/>
              <w:tab w:val="right" w:leader="dot" w:pos="9016"/>
            </w:tabs>
          </w:pPr>
          <w:r>
            <w:fldChar w:fldCharType="begin"/>
          </w:r>
          <w:r>
            <w:instrText xml:space="preserve"> HYPERLINK \l "_Toc7889689" </w:instrText>
          </w:r>
          <w:r>
            <w:fldChar w:fldCharType="separate"/>
          </w:r>
          <w:r>
            <w:rPr>
              <w:rStyle w:val="12"/>
              <w:rFonts w:ascii="Times New Roman" w:hAnsi="Times New Roman" w:cs="Times New Roman"/>
            </w:rPr>
            <w:t>4.2.</w:t>
          </w:r>
          <w:r>
            <w:tab/>
          </w:r>
          <w:r>
            <w:rPr>
              <w:rStyle w:val="12"/>
              <w:rFonts w:ascii="Times New Roman" w:hAnsi="Times New Roman" w:cs="Times New Roman"/>
            </w:rPr>
            <w:t>Competitor Analysis (Porter's five forces)</w:t>
          </w:r>
          <w:r>
            <w:tab/>
          </w:r>
          <w:r>
            <w:fldChar w:fldCharType="begin"/>
          </w:r>
          <w:r>
            <w:instrText xml:space="preserve"> PAGEREF _Toc7889689 \h </w:instrText>
          </w:r>
          <w:r>
            <w:fldChar w:fldCharType="separate"/>
          </w:r>
          <w:r>
            <w:t>6</w:t>
          </w:r>
          <w:r>
            <w:fldChar w:fldCharType="end"/>
          </w:r>
          <w:r>
            <w:fldChar w:fldCharType="end"/>
          </w:r>
        </w:p>
        <w:p>
          <w:pPr>
            <w:pStyle w:val="8"/>
            <w:tabs>
              <w:tab w:val="left" w:pos="880"/>
              <w:tab w:val="right" w:leader="dot" w:pos="9016"/>
            </w:tabs>
          </w:pPr>
          <w:r>
            <w:fldChar w:fldCharType="begin"/>
          </w:r>
          <w:r>
            <w:instrText xml:space="preserve"> HYPERLINK \l "_Toc7889690" </w:instrText>
          </w:r>
          <w:r>
            <w:fldChar w:fldCharType="separate"/>
          </w:r>
          <w:r>
            <w:rPr>
              <w:rStyle w:val="12"/>
              <w:rFonts w:ascii="Times New Roman" w:hAnsi="Times New Roman" w:cs="Times New Roman"/>
            </w:rPr>
            <w:t>4.3.</w:t>
          </w:r>
          <w:r>
            <w:tab/>
          </w:r>
          <w:r>
            <w:rPr>
              <w:rStyle w:val="12"/>
              <w:rFonts w:ascii="Times New Roman" w:hAnsi="Times New Roman" w:cs="Times New Roman"/>
            </w:rPr>
            <w:t>Analysis of key reason for declining profitability at Sports Direct</w:t>
          </w:r>
          <w:r>
            <w:tab/>
          </w:r>
          <w:r>
            <w:fldChar w:fldCharType="begin"/>
          </w:r>
          <w:r>
            <w:instrText xml:space="preserve"> PAGEREF _Toc7889690 \h </w:instrText>
          </w:r>
          <w:r>
            <w:fldChar w:fldCharType="separate"/>
          </w:r>
          <w:r>
            <w:t>7</w:t>
          </w:r>
          <w:r>
            <w:fldChar w:fldCharType="end"/>
          </w:r>
          <w:r>
            <w:fldChar w:fldCharType="end"/>
          </w:r>
        </w:p>
        <w:p>
          <w:pPr>
            <w:pStyle w:val="8"/>
            <w:tabs>
              <w:tab w:val="left" w:pos="880"/>
              <w:tab w:val="right" w:leader="dot" w:pos="9016"/>
            </w:tabs>
          </w:pPr>
          <w:r>
            <w:fldChar w:fldCharType="begin"/>
          </w:r>
          <w:r>
            <w:instrText xml:space="preserve"> HYPERLINK \l "_Toc7889691" </w:instrText>
          </w:r>
          <w:r>
            <w:fldChar w:fldCharType="separate"/>
          </w:r>
          <w:r>
            <w:rPr>
              <w:rStyle w:val="12"/>
              <w:rFonts w:ascii="Times New Roman" w:hAnsi="Times New Roman" w:cs="Times New Roman"/>
            </w:rPr>
            <w:t>4.4.</w:t>
          </w:r>
          <w:r>
            <w:tab/>
          </w:r>
          <w:r>
            <w:rPr>
              <w:rStyle w:val="12"/>
              <w:rFonts w:ascii="Times New Roman" w:hAnsi="Times New Roman" w:cs="Times New Roman"/>
            </w:rPr>
            <w:t>Sports Direct reputation: Survey on consumer’s perception</w:t>
          </w:r>
          <w:r>
            <w:tab/>
          </w:r>
          <w:r>
            <w:fldChar w:fldCharType="begin"/>
          </w:r>
          <w:r>
            <w:instrText xml:space="preserve"> PAGEREF _Toc7889691 \h </w:instrText>
          </w:r>
          <w:r>
            <w:fldChar w:fldCharType="separate"/>
          </w:r>
          <w:r>
            <w:t>8</w:t>
          </w:r>
          <w:r>
            <w:fldChar w:fldCharType="end"/>
          </w:r>
          <w:r>
            <w:fldChar w:fldCharType="end"/>
          </w:r>
        </w:p>
        <w:p>
          <w:pPr>
            <w:pStyle w:val="5"/>
            <w:tabs>
              <w:tab w:val="left" w:pos="1320"/>
              <w:tab w:val="right" w:leader="dot" w:pos="9016"/>
            </w:tabs>
          </w:pPr>
          <w:r>
            <w:fldChar w:fldCharType="begin"/>
          </w:r>
          <w:r>
            <w:instrText xml:space="preserve"> HYPERLINK \l "_Toc7889692" </w:instrText>
          </w:r>
          <w:r>
            <w:fldChar w:fldCharType="separate"/>
          </w:r>
          <w:r>
            <w:rPr>
              <w:rStyle w:val="12"/>
              <w:rFonts w:ascii="Times New Roman" w:hAnsi="Times New Roman" w:cs="Times New Roman"/>
            </w:rPr>
            <w:t>4.4.1.</w:t>
          </w:r>
          <w:r>
            <w:tab/>
          </w:r>
          <w:r>
            <w:rPr>
              <w:rStyle w:val="12"/>
              <w:rFonts w:ascii="Times New Roman" w:hAnsi="Times New Roman" w:cs="Times New Roman"/>
            </w:rPr>
            <w:t>Findings from survey responses</w:t>
          </w:r>
          <w:r>
            <w:tab/>
          </w:r>
          <w:r>
            <w:fldChar w:fldCharType="begin"/>
          </w:r>
          <w:r>
            <w:instrText xml:space="preserve"> PAGEREF _Toc7889692 \h </w:instrText>
          </w:r>
          <w:r>
            <w:fldChar w:fldCharType="separate"/>
          </w:r>
          <w:r>
            <w:t>8</w:t>
          </w:r>
          <w:r>
            <w:fldChar w:fldCharType="end"/>
          </w:r>
          <w:r>
            <w:fldChar w:fldCharType="end"/>
          </w:r>
        </w:p>
        <w:p>
          <w:pPr>
            <w:pStyle w:val="7"/>
            <w:tabs>
              <w:tab w:val="left" w:pos="440"/>
              <w:tab w:val="right" w:leader="dot" w:pos="9016"/>
            </w:tabs>
          </w:pPr>
          <w:r>
            <w:fldChar w:fldCharType="begin"/>
          </w:r>
          <w:r>
            <w:instrText xml:space="preserve"> HYPERLINK \l "_Toc7889693" </w:instrText>
          </w:r>
          <w:r>
            <w:fldChar w:fldCharType="separate"/>
          </w:r>
          <w:r>
            <w:rPr>
              <w:rStyle w:val="12"/>
              <w:rFonts w:ascii="Times New Roman" w:hAnsi="Times New Roman" w:cs="Times New Roman"/>
            </w:rPr>
            <w:t>5.</w:t>
          </w:r>
          <w:r>
            <w:tab/>
          </w:r>
          <w:r>
            <w:rPr>
              <w:rStyle w:val="12"/>
              <w:rFonts w:ascii="Times New Roman" w:hAnsi="Times New Roman" w:cs="Times New Roman"/>
            </w:rPr>
            <w:t>Conclusion</w:t>
          </w:r>
          <w:r>
            <w:tab/>
          </w:r>
          <w:r>
            <w:fldChar w:fldCharType="begin"/>
          </w:r>
          <w:r>
            <w:instrText xml:space="preserve"> PAGEREF _Toc7889693 \h </w:instrText>
          </w:r>
          <w:r>
            <w:fldChar w:fldCharType="separate"/>
          </w:r>
          <w:r>
            <w:t>12</w:t>
          </w:r>
          <w:r>
            <w:fldChar w:fldCharType="end"/>
          </w:r>
          <w:r>
            <w:fldChar w:fldCharType="end"/>
          </w:r>
        </w:p>
        <w:p>
          <w:pPr>
            <w:pStyle w:val="7"/>
            <w:tabs>
              <w:tab w:val="left" w:pos="440"/>
              <w:tab w:val="right" w:leader="dot" w:pos="9016"/>
            </w:tabs>
          </w:pPr>
          <w:r>
            <w:fldChar w:fldCharType="begin"/>
          </w:r>
          <w:r>
            <w:instrText xml:space="preserve"> HYPERLINK \l "_Toc7889694" </w:instrText>
          </w:r>
          <w:r>
            <w:fldChar w:fldCharType="separate"/>
          </w:r>
          <w:r>
            <w:rPr>
              <w:rStyle w:val="12"/>
              <w:rFonts w:ascii="Times New Roman" w:hAnsi="Times New Roman" w:cs="Times New Roman"/>
            </w:rPr>
            <w:t>6.</w:t>
          </w:r>
          <w:r>
            <w:tab/>
          </w:r>
          <w:r>
            <w:rPr>
              <w:rStyle w:val="12"/>
              <w:rFonts w:ascii="Times New Roman" w:hAnsi="Times New Roman" w:cs="Times New Roman"/>
            </w:rPr>
            <w:t>Recommendations</w:t>
          </w:r>
          <w:r>
            <w:tab/>
          </w:r>
          <w:r>
            <w:fldChar w:fldCharType="begin"/>
          </w:r>
          <w:r>
            <w:instrText xml:space="preserve"> PAGEREF _Toc7889694 \h </w:instrText>
          </w:r>
          <w:r>
            <w:fldChar w:fldCharType="separate"/>
          </w:r>
          <w:r>
            <w:t>12</w:t>
          </w:r>
          <w:r>
            <w:fldChar w:fldCharType="end"/>
          </w:r>
          <w:r>
            <w:fldChar w:fldCharType="end"/>
          </w:r>
        </w:p>
        <w:p>
          <w:pPr>
            <w:pStyle w:val="7"/>
            <w:tabs>
              <w:tab w:val="left" w:pos="440"/>
              <w:tab w:val="right" w:leader="dot" w:pos="9016"/>
            </w:tabs>
          </w:pPr>
          <w:r>
            <w:fldChar w:fldCharType="begin"/>
          </w:r>
          <w:r>
            <w:instrText xml:space="preserve"> HYPERLINK \l "_Toc7889695" </w:instrText>
          </w:r>
          <w:r>
            <w:fldChar w:fldCharType="separate"/>
          </w:r>
          <w:r>
            <w:rPr>
              <w:rStyle w:val="12"/>
              <w:rFonts w:ascii="Times New Roman" w:hAnsi="Times New Roman" w:cs="Times New Roman"/>
            </w:rPr>
            <w:t>7.</w:t>
          </w:r>
          <w:r>
            <w:tab/>
          </w:r>
          <w:r>
            <w:rPr>
              <w:rStyle w:val="12"/>
              <w:rFonts w:ascii="Times New Roman" w:hAnsi="Times New Roman" w:cs="Times New Roman"/>
            </w:rPr>
            <w:t>References</w:t>
          </w:r>
          <w:r>
            <w:tab/>
          </w:r>
          <w:r>
            <w:fldChar w:fldCharType="begin"/>
          </w:r>
          <w:r>
            <w:instrText xml:space="preserve"> PAGEREF _Toc7889695 \h </w:instrText>
          </w:r>
          <w:r>
            <w:fldChar w:fldCharType="separate"/>
          </w:r>
          <w:r>
            <w:t>14</w:t>
          </w:r>
          <w:r>
            <w:fldChar w:fldCharType="end"/>
          </w:r>
          <w:r>
            <w:fldChar w:fldCharType="end"/>
          </w:r>
        </w:p>
        <w:p>
          <w:pPr>
            <w:pStyle w:val="7"/>
            <w:tabs>
              <w:tab w:val="left" w:pos="440"/>
              <w:tab w:val="right" w:leader="dot" w:pos="9016"/>
            </w:tabs>
          </w:pPr>
          <w:r>
            <w:fldChar w:fldCharType="begin"/>
          </w:r>
          <w:r>
            <w:instrText xml:space="preserve"> HYPERLINK \l "_Toc7889696" </w:instrText>
          </w:r>
          <w:r>
            <w:fldChar w:fldCharType="separate"/>
          </w:r>
          <w:r>
            <w:rPr>
              <w:rStyle w:val="12"/>
              <w:rFonts w:ascii="Times New Roman" w:hAnsi="Times New Roman" w:cs="Times New Roman"/>
            </w:rPr>
            <w:t>8.</w:t>
          </w:r>
          <w:r>
            <w:tab/>
          </w:r>
          <w:r>
            <w:rPr>
              <w:rStyle w:val="12"/>
              <w:rFonts w:ascii="Times New Roman" w:hAnsi="Times New Roman" w:cs="Times New Roman"/>
            </w:rPr>
            <w:t>Appendix</w:t>
          </w:r>
          <w:r>
            <w:tab/>
          </w:r>
          <w:r>
            <w:fldChar w:fldCharType="begin"/>
          </w:r>
          <w:r>
            <w:instrText xml:space="preserve"> PAGEREF _Toc7889696 \h </w:instrText>
          </w:r>
          <w:r>
            <w:fldChar w:fldCharType="separate"/>
          </w:r>
          <w:r>
            <w:t>17</w:t>
          </w:r>
          <w:r>
            <w:fldChar w:fldCharType="end"/>
          </w:r>
          <w:r>
            <w:fldChar w:fldCharType="end"/>
          </w:r>
        </w:p>
        <w:p>
          <w:pPr>
            <w:pStyle w:val="8"/>
            <w:tabs>
              <w:tab w:val="left" w:pos="880"/>
              <w:tab w:val="right" w:leader="dot" w:pos="9016"/>
            </w:tabs>
          </w:pPr>
          <w:r>
            <w:fldChar w:fldCharType="begin"/>
          </w:r>
          <w:r>
            <w:instrText xml:space="preserve"> HYPERLINK \l "_Toc7889697" </w:instrText>
          </w:r>
          <w:r>
            <w:fldChar w:fldCharType="separate"/>
          </w:r>
          <w:r>
            <w:rPr>
              <w:rStyle w:val="12"/>
              <w:rFonts w:ascii="Times New Roman" w:hAnsi="Times New Roman" w:cs="Times New Roman"/>
            </w:rPr>
            <w:t>8.1.</w:t>
          </w:r>
          <w:r>
            <w:tab/>
          </w:r>
          <w:r>
            <w:rPr>
              <w:rStyle w:val="12"/>
              <w:rFonts w:ascii="Times New Roman" w:hAnsi="Times New Roman" w:cs="Times New Roman"/>
            </w:rPr>
            <w:t>Questionnaire</w:t>
          </w:r>
          <w:r>
            <w:tab/>
          </w:r>
          <w:r>
            <w:fldChar w:fldCharType="begin"/>
          </w:r>
          <w:r>
            <w:instrText xml:space="preserve"> PAGEREF _Toc7889697 \h </w:instrText>
          </w:r>
          <w:r>
            <w:fldChar w:fldCharType="separate"/>
          </w:r>
          <w:r>
            <w:t>17</w:t>
          </w:r>
          <w:r>
            <w:fldChar w:fldCharType="end"/>
          </w:r>
          <w:r>
            <w:fldChar w:fldCharType="end"/>
          </w:r>
        </w:p>
        <w:p>
          <w:r>
            <w:rPr>
              <w:b/>
              <w:bCs/>
            </w:rPr>
            <w:fldChar w:fldCharType="end"/>
          </w:r>
        </w:p>
      </w:sdtContent>
    </w:sdt>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pStyle w:val="2"/>
        <w:numPr>
          <w:ilvl w:val="0"/>
          <w:numId w:val="1"/>
        </w:numPr>
        <w:rPr>
          <w:rFonts w:ascii="Times New Roman" w:hAnsi="Times New Roman" w:cs="Times New Roman"/>
          <w:color w:val="auto"/>
          <w:sz w:val="24"/>
          <w:szCs w:val="24"/>
        </w:rPr>
        <w:sectPr>
          <w:pgSz w:w="11906" w:h="16838"/>
          <w:pgMar w:top="1440" w:right="1440" w:bottom="1440" w:left="1440" w:header="720" w:footer="720" w:gutter="0"/>
          <w:cols w:space="720" w:num="1"/>
          <w:docGrid w:linePitch="360" w:charSpace="0"/>
        </w:sectPr>
      </w:pPr>
      <w:bookmarkStart w:id="0" w:name="_Toc7889681"/>
    </w:p>
    <w:p>
      <w:pPr>
        <w:pStyle w:val="2"/>
        <w:numPr>
          <w:ilvl w:val="0"/>
          <w:numId w:val="1"/>
        </w:numPr>
        <w:rPr>
          <w:rFonts w:ascii="Times New Roman" w:hAnsi="Times New Roman" w:cs="Times New Roman"/>
          <w:color w:val="auto"/>
          <w:sz w:val="24"/>
          <w:szCs w:val="24"/>
        </w:rPr>
      </w:pPr>
      <w:r>
        <w:rPr>
          <w:rFonts w:ascii="Times New Roman" w:hAnsi="Times New Roman" w:cs="Times New Roman"/>
          <w:color w:val="auto"/>
          <w:sz w:val="24"/>
          <w:szCs w:val="24"/>
        </w:rPr>
        <w:t>Executive Summary</w:t>
      </w:r>
      <w:bookmarkEnd w:id="0"/>
      <w:r>
        <w:rPr>
          <w:rFonts w:ascii="Times New Roman" w:hAnsi="Times New Roman" w:cs="Times New Roman"/>
          <w:color w:val="auto"/>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aim of the consultancy report was to establish the reasons for the reduction in the profit margin reported by Sports Direct and recommend strategies that can be implemented by the company to enhance its performance. The report noted that Sports Direct has a low level of reputation which affects legitimacy as well as the willingness of employees to purchase their products. Data from secondary sources also revealed that Sports Direct management makes wrong decisions regarding the acquisition of other businesses such as Debenhams which has contributed to massive losses. Furthermore, Sports Direct has failed to innovate new products which can compete in the market. Challenges with poor work conditions as well as poor employee remuneration have also had a negative effect on the reputation of the company. The report recommends that a change of strategy is important at Sports Direct. The company should avoid acquisition of other companies which are highly risky such as Debenhams thereby affecting profits levels. In particular, the focus should be on using profits of Sports Direct to create innovative products without focusing on acquiring new businesses which do not add value to Sports Direct.</w:t>
      </w:r>
    </w:p>
    <w:p>
      <w:pPr>
        <w:pStyle w:val="2"/>
        <w:numPr>
          <w:ilvl w:val="0"/>
          <w:numId w:val="1"/>
        </w:numPr>
        <w:rPr>
          <w:rFonts w:ascii="Times New Roman" w:hAnsi="Times New Roman" w:cs="Times New Roman"/>
          <w:color w:val="auto"/>
          <w:sz w:val="24"/>
          <w:szCs w:val="24"/>
        </w:rPr>
      </w:pPr>
      <w:bookmarkStart w:id="1" w:name="_Toc7889682"/>
      <w:r>
        <w:rPr>
          <w:rFonts w:ascii="Times New Roman" w:hAnsi="Times New Roman" w:cs="Times New Roman"/>
          <w:color w:val="auto"/>
          <w:sz w:val="24"/>
          <w:szCs w:val="24"/>
        </w:rPr>
        <w:t>Introduction</w:t>
      </w:r>
      <w:bookmarkEnd w:id="1"/>
    </w:p>
    <w:p>
      <w:pPr>
        <w:spacing w:line="360" w:lineRule="auto"/>
        <w:jc w:val="both"/>
        <w:rPr>
          <w:rFonts w:ascii="Times New Roman" w:hAnsi="Times New Roman" w:cs="Times New Roman"/>
          <w:sz w:val="24"/>
          <w:szCs w:val="24"/>
        </w:rPr>
      </w:pPr>
      <w:r>
        <w:rPr>
          <w:rFonts w:ascii="Times New Roman" w:hAnsi="Times New Roman" w:cs="Times New Roman"/>
          <w:sz w:val="24"/>
          <w:szCs w:val="24"/>
        </w:rPr>
        <w:t>Sports Direct UK based global company dealing with the sale of a wide range of sportswear and related products. The company has reported a decline in its profits in the recent past and has reported the possibility of incurring more loses in the near future (</w:t>
      </w:r>
      <w:r>
        <w:rPr>
          <w:rFonts w:ascii="Times New Roman" w:hAnsi="Times New Roman" w:eastAsia="Times New Roman" w:cs="Times New Roman"/>
          <w:sz w:val="24"/>
          <w:szCs w:val="24"/>
        </w:rPr>
        <w:t>Key, 2018)</w:t>
      </w:r>
      <w:r>
        <w:rPr>
          <w:rFonts w:ascii="Times New Roman" w:hAnsi="Times New Roman" w:cs="Times New Roman"/>
          <w:sz w:val="24"/>
          <w:szCs w:val="24"/>
        </w:rPr>
        <w:t xml:space="preserve">. The company has also faced reputation issues that are linked to its operations management. Despite the low performance reported by the company, significant growth in the sports sectors is registered. Other players operating in the sports market have reported better performance indicating the existence of suitable opportunities that can assure an enhanced performance if there is proper management of the organization’s activities (Moore, 2016).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consultancy report focus on identifying and analyzing the probable reasons for the decline in the profitability of Sports Direct as reported in the recent past limiting the research to the company’s Swansea branch. The report will focus on analyzing any challenges encountered by the organization and identifying the most suitable approaches that can be implemented to overcome the challenged encountered to ensure that significant growth in profitability and the overall performance of Sports Direct is reported. </w:t>
      </w:r>
    </w:p>
    <w:p>
      <w:pPr>
        <w:pStyle w:val="3"/>
        <w:numPr>
          <w:ilvl w:val="1"/>
          <w:numId w:val="1"/>
        </w:numPr>
        <w:rPr>
          <w:rFonts w:ascii="Times New Roman" w:hAnsi="Times New Roman" w:cs="Times New Roman"/>
          <w:color w:val="auto"/>
          <w:sz w:val="24"/>
          <w:szCs w:val="24"/>
        </w:rPr>
      </w:pPr>
      <w:bookmarkStart w:id="2" w:name="_Toc7889683"/>
      <w:r>
        <w:rPr>
          <w:rFonts w:ascii="Times New Roman" w:hAnsi="Times New Roman" w:cs="Times New Roman"/>
          <w:color w:val="auto"/>
          <w:sz w:val="24"/>
          <w:szCs w:val="24"/>
        </w:rPr>
        <w:t>Rationale/Justification</w:t>
      </w:r>
      <w:bookmarkEnd w:id="2"/>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Sports Direct experiences a decline in profits while JD sports operating within the same market continues to experience an increased level of profits. According to </w:t>
      </w:r>
      <w:r>
        <w:rPr>
          <w:rFonts w:ascii="Times New Roman" w:hAnsi="Times New Roman" w:cs="Times New Roman"/>
          <w:sz w:val="24"/>
          <w:szCs w:val="24"/>
          <w:shd w:val="clear" w:color="auto" w:fill="FFFFFF"/>
        </w:rPr>
        <w:t>Grublješič and Jaklič (2015)</w:t>
      </w:r>
      <w:r>
        <w:rPr>
          <w:rFonts w:ascii="Times New Roman" w:hAnsi="Times New Roman" w:cs="Times New Roman"/>
          <w:sz w:val="24"/>
          <w:szCs w:val="24"/>
        </w:rPr>
        <w:t>, declining profitability can arise because of the increase in expenses such as costs of production and increased employee remuneration. Cutting costs have become part of the mitigation measures for declining profitability. Firms have tended to focus on production at the cheapest cost so that they benefit cost differentiation (</w:t>
      </w:r>
      <w:r>
        <w:rPr>
          <w:rFonts w:ascii="Times New Roman" w:hAnsi="Times New Roman" w:cs="Times New Roman"/>
          <w:sz w:val="24"/>
          <w:szCs w:val="24"/>
          <w:shd w:val="clear" w:color="auto" w:fill="FFFFFF"/>
        </w:rPr>
        <w:t>Zaridis &amp; Mousiolis, 2014)</w:t>
      </w:r>
      <w:r>
        <w:rPr>
          <w:rFonts w:ascii="Times New Roman" w:hAnsi="Times New Roman" w:cs="Times New Roman"/>
          <w:sz w:val="24"/>
          <w:szCs w:val="24"/>
        </w:rPr>
        <w:t xml:space="preserve">.   An understanding of the reasons that contribute to losses within Sports Direct is necessary so that they can adopt appropriate measures to achieve high levels of profitability. Therefore, this study is important in informing the management of Sports Direct on the measures they can implement to enhance the performance of the organization in terms of high profits and competitive advantage. Understanding the causes of the declining profitability at Sports Direct would assist the management to develop necessary measures to avoid further loss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issues such as increased expenses arise from internal factors, there are also external factors linked to declining profitability. </w:t>
      </w:r>
      <w:r>
        <w:rPr>
          <w:rFonts w:ascii="Times New Roman" w:hAnsi="Times New Roman" w:cs="Times New Roman"/>
          <w:sz w:val="24"/>
          <w:szCs w:val="24"/>
          <w:shd w:val="clear" w:color="auto" w:fill="FFFFFF"/>
        </w:rPr>
        <w:t>Nulkar (2014)</w:t>
      </w:r>
      <w:r>
        <w:rPr>
          <w:rFonts w:ascii="Times New Roman" w:hAnsi="Times New Roman" w:cs="Times New Roman"/>
          <w:sz w:val="24"/>
          <w:szCs w:val="24"/>
        </w:rPr>
        <w:t xml:space="preserve"> asserts that the external environment influences the performance of firms in terms of generating profits. For instance, political instability means that businesses cannot focus on profits because of constant political interference within businesses as well as uncertainties in the movement of goods from one point to another. Political uncertainties such as terrorism and regime changes in terms of trade tariffs and taxes are likely to affect the profitability of businesses. As such, it is imperative for the current consultancy report to assess whether political instability also influences the capability of Sports Direct to make profits.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Apart from political factors, there are economic factors which influence the external environment of a firm thereby affecting profitability. </w:t>
      </w:r>
      <w:r>
        <w:rPr>
          <w:rFonts w:ascii="Times New Roman" w:hAnsi="Times New Roman" w:cs="Times New Roman"/>
          <w:sz w:val="24"/>
          <w:szCs w:val="24"/>
          <w:shd w:val="clear" w:color="auto" w:fill="FFFFFF"/>
        </w:rPr>
        <w:t>Carroll and Buchholtz (2014)</w:t>
      </w:r>
      <w:r>
        <w:rPr>
          <w:rFonts w:ascii="Times New Roman" w:hAnsi="Times New Roman" w:cs="Times New Roman"/>
          <w:sz w:val="24"/>
          <w:szCs w:val="24"/>
        </w:rPr>
        <w:t xml:space="preserve"> argue that the disposable income of consumers, inflation, exchange rate, interest rates, and economic growth within the market are likely to affect profitability levels. Thus, it is imperative for the current study to assess economic factors which have contributed to the declining profitability at Sports Direct. Such factors would inform any decision to focus on markets with suitable economic factors.  Social factors also influence the productivity levels of a firm. </w:t>
      </w:r>
      <w:r>
        <w:rPr>
          <w:rFonts w:ascii="Times New Roman" w:hAnsi="Times New Roman" w:cs="Times New Roman"/>
          <w:sz w:val="24"/>
          <w:szCs w:val="24"/>
          <w:shd w:val="clear" w:color="auto" w:fill="FFFFFF"/>
        </w:rPr>
        <w:t xml:space="preserve">Hoogendoorn (2016) </w:t>
      </w:r>
      <w:r>
        <w:rPr>
          <w:rFonts w:ascii="Times New Roman" w:hAnsi="Times New Roman" w:cs="Times New Roman"/>
          <w:sz w:val="24"/>
          <w:szCs w:val="24"/>
        </w:rPr>
        <w:t xml:space="preserve">noted that population growth shared beliefs and attitudes, as well as health consciousness influence whether consumers will continue purchasing products in large volumes. In the case of Sports Direct, it is necessary for the management to assess consumer attitudes in terms of evaluating social factors that have contributed to a decline in profitability. These consumer attitudes will inform management decisions on the best possible course of action to be adopted at Sports Direct.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Technological factors also influence the profitability levels of a firm. </w:t>
      </w:r>
      <w:r>
        <w:rPr>
          <w:rFonts w:ascii="Times New Roman" w:hAnsi="Times New Roman" w:cs="Times New Roman"/>
          <w:sz w:val="24"/>
          <w:szCs w:val="24"/>
          <w:shd w:val="clear" w:color="auto" w:fill="FFFFFF"/>
        </w:rPr>
        <w:t>Thompson, Strickland, and Gamble (2015)</w:t>
      </w:r>
      <w:r>
        <w:rPr>
          <w:rFonts w:ascii="Times New Roman" w:hAnsi="Times New Roman" w:cs="Times New Roman"/>
          <w:sz w:val="24"/>
          <w:szCs w:val="24"/>
        </w:rPr>
        <w:t xml:space="preserve"> argue that technological changes impacts on the quality of products delivered to the customer. New ways of producing goods and services at cheaper costs while achieving sustainable development should be explored. In addition, new ways of distributing goods and services should be explored. </w:t>
      </w:r>
      <w:r>
        <w:rPr>
          <w:rFonts w:ascii="Times New Roman" w:hAnsi="Times New Roman" w:cs="Times New Roman"/>
          <w:sz w:val="24"/>
          <w:szCs w:val="24"/>
          <w:shd w:val="clear" w:color="auto" w:fill="FFFFFF"/>
        </w:rPr>
        <w:t>Kinyua (2014)</w:t>
      </w:r>
      <w:r>
        <w:rPr>
          <w:rFonts w:ascii="Times New Roman" w:hAnsi="Times New Roman" w:cs="Times New Roman"/>
          <w:sz w:val="24"/>
          <w:szCs w:val="24"/>
        </w:rPr>
        <w:t xml:space="preserve"> adds that technological factors also influence marketing strategies adopted in target markets. Therefore, Sports Direct can evaluate their ability to harness the use of technologies to enhance competitive advantage in the market. Sustainable development also forces businesses to consider environmental factors in terms of how limited natural resources can support current generations as well as future generations. As such, consumers are aware of the need for firms to be responsible towards the environment and society. Firms which negatively exploit the environment do not have the legitimacy to operate thereby contributing to losses. It is the intention of the current study to assess whether Sports Direct has lost legitimacy when operating in the United States in terms of sustainable development practices. </w:t>
      </w:r>
    </w:p>
    <w:p>
      <w:pPr>
        <w:pStyle w:val="3"/>
        <w:numPr>
          <w:ilvl w:val="1"/>
          <w:numId w:val="1"/>
        </w:numPr>
        <w:rPr>
          <w:rFonts w:ascii="Times New Roman" w:hAnsi="Times New Roman" w:cs="Times New Roman"/>
          <w:color w:val="auto"/>
          <w:sz w:val="24"/>
          <w:szCs w:val="24"/>
        </w:rPr>
      </w:pPr>
      <w:bookmarkStart w:id="3" w:name="_Toc7889684"/>
      <w:r>
        <w:rPr>
          <w:rFonts w:ascii="Times New Roman" w:hAnsi="Times New Roman" w:cs="Times New Roman"/>
          <w:color w:val="auto"/>
          <w:sz w:val="24"/>
          <w:szCs w:val="24"/>
        </w:rPr>
        <w:t>Aims</w:t>
      </w:r>
      <w:bookmarkEnd w:id="3"/>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aim of the proposed project is to</w:t>
      </w:r>
      <w:r>
        <w:rPr>
          <w:rFonts w:ascii="Times New Roman" w:hAnsi="Times New Roman" w:cs="Times New Roman"/>
          <w:b/>
          <w:sz w:val="24"/>
          <w:szCs w:val="24"/>
        </w:rPr>
        <w:t xml:space="preserve"> </w:t>
      </w:r>
      <w:r>
        <w:rPr>
          <w:rFonts w:ascii="Times New Roman" w:hAnsi="Times New Roman" w:cs="Times New Roman"/>
          <w:sz w:val="24"/>
          <w:szCs w:val="24"/>
        </w:rPr>
        <w:t>establish the reasons for the reduction in the profit margin reported by Sports Direct and recommend strategies that can be implemented by the company to enhance its performance</w:t>
      </w:r>
    </w:p>
    <w:p>
      <w:pPr>
        <w:pStyle w:val="3"/>
        <w:numPr>
          <w:ilvl w:val="1"/>
          <w:numId w:val="1"/>
        </w:numPr>
        <w:rPr>
          <w:rFonts w:ascii="Times New Roman" w:hAnsi="Times New Roman" w:cs="Times New Roman"/>
          <w:color w:val="auto"/>
          <w:sz w:val="24"/>
          <w:szCs w:val="24"/>
        </w:rPr>
      </w:pPr>
      <w:bookmarkStart w:id="4" w:name="_Toc7889685"/>
      <w:r>
        <w:rPr>
          <w:rFonts w:ascii="Times New Roman" w:hAnsi="Times New Roman" w:cs="Times New Roman"/>
          <w:color w:val="auto"/>
          <w:sz w:val="24"/>
          <w:szCs w:val="24"/>
        </w:rPr>
        <w:t>Objectives</w:t>
      </w:r>
      <w:bookmarkEnd w:id="4"/>
      <w:r>
        <w:rPr>
          <w:rFonts w:ascii="Times New Roman" w:hAnsi="Times New Roman" w:cs="Times New Roman"/>
          <w:color w:val="auto"/>
          <w:sz w:val="24"/>
          <w:szCs w:val="24"/>
        </w:rPr>
        <w:t xml:space="preserve">  </w:t>
      </w:r>
    </w:p>
    <w:p>
      <w:pPr>
        <w:pStyle w:val="14"/>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identify the amount of revenue and sales reported by the organization in the past 5 years </w:t>
      </w:r>
    </w:p>
    <w:p>
      <w:pPr>
        <w:pStyle w:val="14"/>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To determine the challenges encountered by their company in their operations and management of the business in the last 5 years of their operation in Swansea</w:t>
      </w:r>
    </w:p>
    <w:p>
      <w:pPr>
        <w:pStyle w:val="14"/>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To recommend strategies that can be adopted by the organization to improve its profits margin by at least 10% in the next financial year</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pStyle w:val="2"/>
        <w:numPr>
          <w:ilvl w:val="0"/>
          <w:numId w:val="1"/>
        </w:numPr>
        <w:rPr>
          <w:rFonts w:ascii="Times New Roman" w:hAnsi="Times New Roman" w:cs="Times New Roman"/>
          <w:color w:val="auto"/>
          <w:sz w:val="24"/>
          <w:szCs w:val="24"/>
        </w:rPr>
      </w:pPr>
      <w:bookmarkStart w:id="5" w:name="_Toc7889686"/>
      <w:r>
        <w:rPr>
          <w:rFonts w:ascii="Times New Roman" w:hAnsi="Times New Roman" w:cs="Times New Roman"/>
          <w:color w:val="auto"/>
          <w:sz w:val="24"/>
          <w:szCs w:val="24"/>
        </w:rPr>
        <w:t>Research methodology</w:t>
      </w:r>
      <w:bookmarkEnd w:id="5"/>
      <w:r>
        <w:rPr>
          <w:rFonts w:ascii="Times New Roman" w:hAnsi="Times New Roman" w:cs="Times New Roman"/>
          <w:color w:val="auto"/>
          <w:sz w:val="24"/>
          <w:szCs w:val="24"/>
        </w:rPr>
        <w:t xml:space="preserve"> </w:t>
      </w:r>
    </w:p>
    <w:p>
      <w:pPr>
        <w:tabs>
          <w:tab w:val="left" w:pos="2333"/>
        </w:tabs>
        <w:spacing w:line="360" w:lineRule="auto"/>
        <w:jc w:val="both"/>
        <w:rPr>
          <w:rFonts w:ascii="Times New Roman" w:hAnsi="Times New Roman" w:cs="Times New Roman"/>
          <w:sz w:val="24"/>
          <w:szCs w:val="24"/>
        </w:rPr>
      </w:pPr>
      <w:r>
        <w:rPr>
          <w:rFonts w:ascii="Times New Roman" w:hAnsi="Times New Roman" w:cs="Times New Roman"/>
          <w:sz w:val="24"/>
          <w:szCs w:val="24"/>
        </w:rPr>
        <w:t>A mixed research method was adopted in the consultancy project. This entails the use of both qualitative and quantitative data to achieve the research objectives (</w:t>
      </w:r>
      <w:r>
        <w:rPr>
          <w:rFonts w:ascii="Times New Roman" w:hAnsi="Times New Roman" w:cs="Times New Roman"/>
          <w:sz w:val="24"/>
          <w:szCs w:val="24"/>
          <w:shd w:val="clear" w:color="auto" w:fill="FFFFFF"/>
        </w:rPr>
        <w:t>Rahi, 2017)</w:t>
      </w:r>
      <w:r>
        <w:rPr>
          <w:rFonts w:ascii="Times New Roman" w:hAnsi="Times New Roman" w:cs="Times New Roman"/>
          <w:sz w:val="24"/>
          <w:szCs w:val="24"/>
        </w:rPr>
        <w:t>. The use of a mixed research approach will be effective in ensuring that both accurate and comprehensive information is obtained from the targeted research participants (</w:t>
      </w:r>
      <w:r>
        <w:rPr>
          <w:rFonts w:ascii="Times New Roman" w:hAnsi="Times New Roman" w:cs="Times New Roman"/>
          <w:sz w:val="24"/>
          <w:szCs w:val="24"/>
          <w:shd w:val="clear" w:color="auto" w:fill="FFFFFF"/>
        </w:rPr>
        <w:t>Mayer, 2015)</w:t>
      </w:r>
      <w:r>
        <w:rPr>
          <w:rFonts w:ascii="Times New Roman" w:hAnsi="Times New Roman" w:cs="Times New Roman"/>
          <w:sz w:val="24"/>
          <w:szCs w:val="24"/>
        </w:rPr>
        <w:t xml:space="preserve">. The study participants include employees and customers to the organization. Permission was sought from the management of the organization to engage the employees and relevant staff in the project. The researcher sought relevant financial reports and documents from the company to assist in the evaluation of the performance of the company in the recent past. </w:t>
      </w:r>
    </w:p>
    <w:p>
      <w:pPr>
        <w:tabs>
          <w:tab w:val="left" w:pos="2333"/>
        </w:tabs>
        <w:spacing w:line="360" w:lineRule="auto"/>
        <w:jc w:val="both"/>
        <w:rPr>
          <w:rFonts w:ascii="Times New Roman" w:hAnsi="Times New Roman" w:cs="Times New Roman"/>
          <w:sz w:val="24"/>
          <w:szCs w:val="24"/>
        </w:rPr>
      </w:pPr>
      <w:r>
        <w:rPr>
          <w:rFonts w:ascii="Times New Roman" w:hAnsi="Times New Roman" w:cs="Times New Roman"/>
          <w:sz w:val="24"/>
          <w:szCs w:val="24"/>
        </w:rPr>
        <w:t>Survey method of data collection, using questionnaires as the data collection tool was employed to get the needed data and information from the study participants. The Researcher surveyed 20 customers of Sports Direct in Wales. The use of questionnaire saves on cost and time since they do not demand the direct interaction between the researcher and the study participants (</w:t>
      </w:r>
      <w:r>
        <w:rPr>
          <w:rFonts w:ascii="Times New Roman" w:hAnsi="Times New Roman" w:cs="Times New Roman"/>
          <w:sz w:val="24"/>
          <w:szCs w:val="24"/>
          <w:shd w:val="clear" w:color="auto" w:fill="FFFFFF"/>
        </w:rPr>
        <w:t>Nardi, 2018)</w:t>
      </w:r>
      <w:r>
        <w:rPr>
          <w:rFonts w:ascii="Times New Roman" w:hAnsi="Times New Roman" w:cs="Times New Roman"/>
          <w:sz w:val="24"/>
          <w:szCs w:val="24"/>
        </w:rPr>
        <w:t xml:space="preserve">. The resulting data collected for the project is analyzed using Excel. Mean values and percentages will be used in the trend analysis of the financial performance of the company. Graphs will also be used to illustrate the changes in performance.  The views of the respondents on the challenges encountered will also be quantified using mean values and percentages. Content analysis method will be employed to analyze qualitative data drawn from secondary sources of data. </w:t>
      </w:r>
    </w:p>
    <w:p>
      <w:pPr>
        <w:pStyle w:val="2"/>
        <w:numPr>
          <w:ilvl w:val="0"/>
          <w:numId w:val="1"/>
        </w:numPr>
        <w:rPr>
          <w:rFonts w:ascii="Times New Roman" w:hAnsi="Times New Roman" w:cs="Times New Roman"/>
          <w:color w:val="auto"/>
          <w:sz w:val="24"/>
          <w:szCs w:val="24"/>
        </w:rPr>
      </w:pPr>
      <w:bookmarkStart w:id="6" w:name="_Toc7889687"/>
      <w:r>
        <w:rPr>
          <w:rFonts w:ascii="Times New Roman" w:hAnsi="Times New Roman" w:cs="Times New Roman"/>
          <w:color w:val="auto"/>
          <w:sz w:val="24"/>
          <w:szCs w:val="24"/>
        </w:rPr>
        <w:t>Findings and critical analysis</w:t>
      </w:r>
      <w:bookmarkEnd w:id="6"/>
    </w:p>
    <w:p>
      <w:pPr>
        <w:pStyle w:val="3"/>
        <w:numPr>
          <w:ilvl w:val="1"/>
          <w:numId w:val="1"/>
        </w:numPr>
        <w:rPr>
          <w:rFonts w:ascii="Times New Roman" w:hAnsi="Times New Roman" w:cs="Times New Roman"/>
          <w:color w:val="auto"/>
          <w:sz w:val="24"/>
          <w:szCs w:val="24"/>
        </w:rPr>
      </w:pPr>
      <w:bookmarkStart w:id="7" w:name="_Toc7889688"/>
      <w:r>
        <w:rPr>
          <w:rFonts w:ascii="Times New Roman" w:hAnsi="Times New Roman" w:cs="Times New Roman"/>
          <w:color w:val="auto"/>
          <w:sz w:val="24"/>
          <w:szCs w:val="24"/>
        </w:rPr>
        <w:t>SWOT analysis</w:t>
      </w:r>
      <w:bookmarkEnd w:id="7"/>
      <w:r>
        <w:rPr>
          <w:rFonts w:ascii="Times New Roman" w:hAnsi="Times New Roman" w:cs="Times New Roman"/>
          <w:color w:val="auto"/>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 SWOT analysis examined the internal and external environment of a firm. Within the internal environment, the focus is on a firm’s strengths and weaknesses that affect performance. In addition, the external environment of a firm is evaluated in terms of opportunities and threats in relation to the market, economic conditions, technological changes, and government regulations (</w:t>
      </w:r>
      <w:r>
        <w:rPr>
          <w:rFonts w:ascii="Times New Roman" w:hAnsi="Times New Roman" w:cs="Times New Roman"/>
          <w:sz w:val="24"/>
          <w:szCs w:val="24"/>
          <w:shd w:val="clear" w:color="auto" w:fill="FFFFFF"/>
        </w:rPr>
        <w:t>Pisano, 2017)</w:t>
      </w:r>
      <w:r>
        <w:rPr>
          <w:rFonts w:ascii="Times New Roman" w:hAnsi="Times New Roman" w:cs="Times New Roman"/>
          <w:sz w:val="24"/>
          <w:szCs w:val="24"/>
        </w:rPr>
        <w:t xml:space="preserve">. </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Strengths of Sports Direct </w:t>
      </w:r>
    </w:p>
    <w:p>
      <w:pPr>
        <w:pStyle w:val="14"/>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Sports Direct operates in more than 20 countries, with over 600 stores across the United Kingdom and the rest of the world. The company operates in major markets such as Europe, the United States, and Asia (Moore, 2016). </w:t>
      </w:r>
    </w:p>
    <w:p>
      <w:pPr>
        <w:pStyle w:val="14"/>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 26,500 employees work for Sports Direct contributing to the development of diversified product portfolios such as sports, fitness, fashion, and lifestyle brands. </w:t>
      </w:r>
    </w:p>
    <w:p>
      <w:pPr>
        <w:pStyle w:val="14"/>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Sports Direct markets its brands through online, mobile, and high street strategies. The multi-channel retail strategy enables the company to target customers in all segments. In addition, Sports Direct develops a consistent message to markets so that they attract the customer to purchase products (</w:t>
      </w:r>
      <w:r>
        <w:rPr>
          <w:rFonts w:ascii="Times New Roman" w:hAnsi="Times New Roman" w:eastAsia="Times New Roman" w:cs="Times New Roman"/>
          <w:sz w:val="24"/>
          <w:szCs w:val="24"/>
        </w:rPr>
        <w:t>Buttler, 2017)</w:t>
      </w:r>
      <w:r>
        <w:rPr>
          <w:rFonts w:ascii="Times New Roman" w:hAnsi="Times New Roman" w:cs="Times New Roman"/>
          <w:sz w:val="24"/>
          <w:szCs w:val="24"/>
        </w:rPr>
        <w:t xml:space="preserve">. </w:t>
      </w:r>
    </w:p>
    <w:p>
      <w:pPr>
        <w:pStyle w:val="14"/>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Sports Direct is listed within the London Stock exchange as a public company, as a result, the company engages in mergers and acquisitions. For example, Sports Direct acquired Dunlop, LA Gear, Voodoo Dolls, among other firms (Moore, 2016). </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Weaknesses </w:t>
      </w:r>
    </w:p>
    <w:p>
      <w:pPr>
        <w:pStyle w:val="14"/>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Sports Direct is affected by declining profitability which arises because of the lack of adequate resources to spur growth (</w:t>
      </w:r>
      <w:r>
        <w:rPr>
          <w:rFonts w:ascii="Times New Roman" w:hAnsi="Times New Roman" w:eastAsia="Times New Roman" w:cs="Times New Roman"/>
          <w:sz w:val="24"/>
          <w:szCs w:val="24"/>
        </w:rPr>
        <w:t>Key, 2018)</w:t>
      </w:r>
      <w:r>
        <w:rPr>
          <w:rFonts w:ascii="Times New Roman" w:hAnsi="Times New Roman" w:cs="Times New Roman"/>
          <w:sz w:val="24"/>
          <w:szCs w:val="24"/>
        </w:rPr>
        <w:t>.</w:t>
      </w:r>
    </w:p>
    <w:p>
      <w:pPr>
        <w:pStyle w:val="14"/>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Sports Direct does not pay employees the minimum wage requirements established by the UK government (</w:t>
      </w:r>
      <w:r>
        <w:rPr>
          <w:rFonts w:ascii="Times New Roman" w:hAnsi="Times New Roman" w:eastAsia="Times New Roman" w:cs="Times New Roman"/>
          <w:sz w:val="24"/>
          <w:szCs w:val="24"/>
        </w:rPr>
        <w:t>Key, 2018)</w:t>
      </w:r>
      <w:r>
        <w:rPr>
          <w:rFonts w:ascii="Times New Roman" w:hAnsi="Times New Roman" w:cs="Times New Roman"/>
          <w:sz w:val="24"/>
          <w:szCs w:val="24"/>
        </w:rPr>
        <w:t>.</w:t>
      </w:r>
    </w:p>
    <w:p>
      <w:pPr>
        <w:pStyle w:val="14"/>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Sports Direct is characterised by poor work conditions as well as poor work practices. For example, employees have complained of mistreatment such as penalties for taking a break to drink water as well as absenteeism when an employee is such. </w:t>
      </w:r>
      <w:r>
        <w:rPr>
          <w:rFonts w:ascii="Times New Roman" w:hAnsi="Times New Roman" w:eastAsia="Times New Roman" w:cs="Times New Roman"/>
          <w:sz w:val="24"/>
          <w:szCs w:val="24"/>
        </w:rPr>
        <w:t xml:space="preserve">Buttler (2017) reported that </w:t>
      </w:r>
      <w:r>
        <w:rPr>
          <w:rFonts w:ascii="Times New Roman" w:hAnsi="Times New Roman" w:cs="Times New Roman"/>
          <w:sz w:val="24"/>
          <w:szCs w:val="24"/>
        </w:rPr>
        <w:t xml:space="preserve">over 100 ambulances and paramedic cars were sent to Sports Direct Sherbrook warehouse to treat employees suffering from breathing problems, pregnancy complications, convulsions, and stroke. A case of a woman giving birth in the toilet at Sports Direct has subjected the firm to widespread condemnation. </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Threats </w:t>
      </w:r>
    </w:p>
    <w:p>
      <w:pPr>
        <w:pStyle w:val="14"/>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Sports Direct faces a major threat regarding increased competition from major sports brands such as Nike, Adidas, JD sports, Puma, Foot Locker, JJB sports, and Snow &amp; Rock Sports. </w:t>
      </w:r>
    </w:p>
    <w:p>
      <w:pPr>
        <w:pStyle w:val="14"/>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Rising costs of inputs such as raw materials which affect the revenues of Sports Direct based on the fact that the company operates on low-profit margins. </w:t>
      </w:r>
    </w:p>
    <w:p>
      <w:pPr>
        <w:pStyle w:val="14"/>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Uncertainties concerning Brexit and Eurozone tax changes crisis continues to affect the operations of Sports Direct across Europe. </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Opportunities </w:t>
      </w:r>
    </w:p>
    <w:p>
      <w:pPr>
        <w:pStyle w:val="14"/>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Opportunities exist in assessing alternative markets within the Middle East and Africa since current economic problems affect the Eurozone market</w:t>
      </w:r>
    </w:p>
    <w:p>
      <w:pPr>
        <w:pStyle w:val="14"/>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Sports Direct adopts an aggressive strategy of mergers and acquisitions of other brands to achieve an opportunity of reaching millions of customers across different segments (</w:t>
      </w:r>
      <w:r>
        <w:rPr>
          <w:rFonts w:ascii="Times New Roman" w:hAnsi="Times New Roman" w:eastAsia="Times New Roman" w:cs="Times New Roman"/>
          <w:sz w:val="24"/>
          <w:szCs w:val="24"/>
        </w:rPr>
        <w:t>Key, 2018)</w:t>
      </w:r>
      <w:r>
        <w:rPr>
          <w:rFonts w:ascii="Times New Roman" w:hAnsi="Times New Roman" w:cs="Times New Roman"/>
          <w:sz w:val="24"/>
          <w:szCs w:val="24"/>
        </w:rPr>
        <w:t xml:space="preserve">. </w:t>
      </w:r>
    </w:p>
    <w:p>
      <w:pPr>
        <w:spacing w:line="360" w:lineRule="auto"/>
        <w:jc w:val="both"/>
        <w:rPr>
          <w:rFonts w:ascii="Times New Roman" w:hAnsi="Times New Roman" w:cs="Times New Roman"/>
          <w:sz w:val="24"/>
          <w:szCs w:val="24"/>
        </w:rPr>
      </w:pPr>
    </w:p>
    <w:p>
      <w:pPr>
        <w:pStyle w:val="3"/>
        <w:numPr>
          <w:ilvl w:val="1"/>
          <w:numId w:val="1"/>
        </w:numPr>
        <w:rPr>
          <w:rFonts w:ascii="Times New Roman" w:hAnsi="Times New Roman" w:cs="Times New Roman"/>
          <w:color w:val="auto"/>
          <w:sz w:val="24"/>
          <w:szCs w:val="24"/>
        </w:rPr>
      </w:pPr>
      <w:bookmarkStart w:id="8" w:name="_Toc7889689"/>
      <w:r>
        <w:rPr>
          <w:rFonts w:ascii="Times New Roman" w:hAnsi="Times New Roman" w:cs="Times New Roman"/>
          <w:color w:val="auto"/>
          <w:sz w:val="24"/>
          <w:szCs w:val="24"/>
        </w:rPr>
        <w:t>Competitor Analysis (Porter's five forces)</w:t>
      </w:r>
      <w:bookmarkEnd w:id="8"/>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tbl>
      <w:tblPr>
        <w:tblStyle w:val="10"/>
        <w:tblW w:w="924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88"/>
        <w:gridCol w:w="715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88"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threat of New Entrants (high)</w:t>
            </w:r>
          </w:p>
        </w:tc>
        <w:tc>
          <w:tcPr>
            <w:tcW w:w="715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Sports retail has a high threat of new entrants. Currently, new businesses focus on introducing tracking technologies on sportswear of customers (Moore, 2016). In particular, new entrants focus on introducing innovations while putting pressure on Sports Direct. As a result, the firm can respond to the high threat of new entrants by lowering prices, reducing costs of operations, and introducing new value propositions to customers.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88"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Bargaining power of suppliers (high)</w:t>
            </w:r>
          </w:p>
        </w:tc>
        <w:tc>
          <w:tcPr>
            <w:tcW w:w="715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sports retail market has high levels of dominant suppliers. The powerful suppliers use their negotiating power to achieve high prices from companies such as Sports Direct thereby affecting the profit margins of the firm (McCarthy, 2017). Therefore, the firm can respond to the high bargaining power of suppliers by building an efficient supply chain with several suppliers, using different raw materials to produce products, and recruit dedicated suppliers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88"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Bargaining power of buyers (high)</w:t>
            </w:r>
          </w:p>
        </w:tc>
        <w:tc>
          <w:tcPr>
            <w:tcW w:w="715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Consumers have high bargaining power because they have high standards which should be met by sports retail firms such as Sports Direct. Consumers also seek discounts and offer from major competitors. Sports direct can respond by focusing on a large base of customers thereby streamlining sales and production (</w:t>
            </w:r>
            <w:r>
              <w:rPr>
                <w:rFonts w:ascii="Times New Roman" w:hAnsi="Times New Roman" w:cs="Times New Roman"/>
                <w:sz w:val="24"/>
                <w:szCs w:val="24"/>
                <w:shd w:val="clear" w:color="auto" w:fill="FFFFFF"/>
              </w:rPr>
              <w:t>Makottof, 2019)</w:t>
            </w:r>
            <w:r>
              <w:rPr>
                <w:rFonts w:ascii="Times New Roman" w:hAnsi="Times New Roman" w:cs="Times New Roman"/>
                <w:sz w:val="24"/>
                <w:szCs w:val="24"/>
              </w:rPr>
              <w:t>. The firm should also innovate new products which limit their bargaining power.  In addition, innovative products will reduce the need to switch to alternative brands in the market.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88"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threat of substitutes (high)</w:t>
            </w:r>
          </w:p>
        </w:tc>
        <w:tc>
          <w:tcPr>
            <w:tcW w:w="715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Several competitors exist in the market offering a value proposition that is different from the current offerings of Sports Direct. The company can focus on introducing new services without an exclusive focus on products only (MF Journalism, 2019). In addition, the focus should be on the need of the customer rather than on products.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88"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Competitive rivalry (high)</w:t>
            </w:r>
          </w:p>
        </w:tc>
        <w:tc>
          <w:tcPr>
            <w:tcW w:w="715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Sports Direct competes with brands such as Nike, Adidas, JD sports, Puma, Foot Locker, JJB sports, and Snow &amp; Rock Sports. The company can compete by focusing on product differentiation throu8gh innovation. In addition, consideration should be made to increase the scale of operations. </w:t>
            </w:r>
          </w:p>
        </w:tc>
      </w:tr>
    </w:tbl>
    <w:p>
      <w:pPr>
        <w:spacing w:line="360" w:lineRule="auto"/>
        <w:jc w:val="both"/>
        <w:rPr>
          <w:rFonts w:ascii="Times New Roman" w:hAnsi="Times New Roman" w:cs="Times New Roman"/>
          <w:sz w:val="24"/>
          <w:szCs w:val="24"/>
        </w:rPr>
      </w:pPr>
    </w:p>
    <w:p>
      <w:pPr>
        <w:pStyle w:val="3"/>
        <w:numPr>
          <w:ilvl w:val="1"/>
          <w:numId w:val="1"/>
        </w:numPr>
        <w:rPr>
          <w:rFonts w:ascii="Times New Roman" w:hAnsi="Times New Roman" w:cs="Times New Roman"/>
          <w:color w:val="auto"/>
          <w:sz w:val="24"/>
          <w:szCs w:val="24"/>
        </w:rPr>
      </w:pPr>
      <w:bookmarkStart w:id="9" w:name="_Toc7889690"/>
      <w:r>
        <w:rPr>
          <w:rFonts w:ascii="Times New Roman" w:hAnsi="Times New Roman" w:cs="Times New Roman"/>
          <w:color w:val="auto"/>
          <w:sz w:val="24"/>
          <w:szCs w:val="24"/>
        </w:rPr>
        <w:t>Analysis of key reason for declining profitability at Sports Direct</w:t>
      </w:r>
      <w:bookmarkEnd w:id="9"/>
      <w:r>
        <w:rPr>
          <w:rFonts w:ascii="Times New Roman" w:hAnsi="Times New Roman" w:cs="Times New Roman"/>
          <w:color w:val="auto"/>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revenues of Sports Direct for the year ended April 2018; increased by 3.5% to £3359 billion. In addition, profit before tax stood at £77 million, a decrease of 72% (Singh, 2018). The company attributed the decline in profits to £85 million impacts from Debenham strategic investment. Furthermore, earnings per share decreased by 88% to £4.6. Financial reports also revealed that the firm’s UK retail decreased by 2% to £2181 million, especially from the sale of USC Fascia. In addition, sales from European markets decreased by 0.1% to £637 million. (McCarthy, 2017) However, premium lifestyle segment recorded an increase in revenue by 42%. Further, revenues from wholesale and licensing division fell by 22% while revenues from the rest of the world retail reached £192 million in 2018 (Singh, 2018).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declining profitability levels at Sports Direct are linked to the acquisition of the Debenhams department store chain. Sports Direct owns a 30% stake on Debenhams; the company has lost over £85 million in 2017/2018 financial year because of decreasing share prices of Debenhams (BBC, 2018). The struggles of Debenhams based on profit warnings have had a negative effect on the profitability of Sports Direct. Mike Ashley, as the owner of Sports Direct also has 11% stakes in House of Fraser which also experiences major challenges. Based on the challenges affecting Debenhams and House of Fraser, a solution relies on Sports Direct reducing stakes in these companies so that they can focus on enhancing profit levels.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Declining profits at Sports Direct is also linked to the reputation of Mike Ashley as the CEO (McCarthy, 2017). Cases of employee mistreatment mean that Sports Direct is not part of the FTSE 100. The implication is that investors are not willing to invest in businesses which do not consider social and environmental sustainability issues. Kollewe and Butler (2018) assert that firms depend on legitimacy to achieve high levels of sales from consumers. When firms lack legitimacy, they fail to generate goodwill from consumers and investors for a continued relationship with the firm. Therefore, the reputation of Sports Direct regarding poor employment conditions has had a negative impact on financial performance. BBC (2018) noted that Sports Direct reputation score in the first quarter of 2016 was at the lowest level of 53 points out of 100. In 2017, reputation plunged to 42 points reflection a loss of 11 points. As a result, Sports Direct has become one of the worst thought of brands. Workplace scandals as well as spying on inspectors have contributed to negative perceptions on Sports Direct.</w:t>
      </w:r>
    </w:p>
    <w:p>
      <w:pPr>
        <w:pStyle w:val="3"/>
        <w:numPr>
          <w:ilvl w:val="1"/>
          <w:numId w:val="1"/>
        </w:numPr>
        <w:rPr>
          <w:rFonts w:ascii="Times New Roman" w:hAnsi="Times New Roman" w:cs="Times New Roman"/>
          <w:color w:val="auto"/>
          <w:sz w:val="24"/>
          <w:szCs w:val="24"/>
        </w:rPr>
      </w:pPr>
      <w:bookmarkStart w:id="10" w:name="_Toc7889691"/>
      <w:r>
        <w:rPr>
          <w:rFonts w:ascii="Times New Roman" w:hAnsi="Times New Roman" w:cs="Times New Roman"/>
          <w:color w:val="auto"/>
          <w:sz w:val="24"/>
          <w:szCs w:val="24"/>
        </w:rPr>
        <w:t>Sports Direct reputation: Survey on consumer’s perception</w:t>
      </w:r>
      <w:bookmarkEnd w:id="10"/>
    </w:p>
    <w:p>
      <w:pPr>
        <w:spacing w:line="360" w:lineRule="auto"/>
        <w:jc w:val="both"/>
        <w:rPr>
          <w:rFonts w:ascii="Times New Roman" w:hAnsi="Times New Roman" w:cs="Times New Roman"/>
          <w:sz w:val="24"/>
          <w:szCs w:val="24"/>
        </w:rPr>
      </w:pPr>
      <w:r>
        <w:rPr>
          <w:rFonts w:ascii="Times New Roman" w:hAnsi="Times New Roman" w:cs="Times New Roman"/>
          <w:sz w:val="24"/>
          <w:szCs w:val="24"/>
        </w:rPr>
        <w:t>Reports have emerged that temporary workers at Sports Direct, receive wages below the minimum wage requirements in the United Kingdom. In addition, warehouse employees who work overtime also do not receive payment (McCarthy, 2017). Furthermore, employees suffer harsh deduction from their wages for one-minute lateness on their shifts. Apart from the poor pay terms, the company is also affected by poor working conditions, especially within the Shirebrook warehouse in Derbyshire (Goodley &amp; Ashby, 2015). Most of the employees within the warehouse also work on zero hour’s contract.  Since employees, most parents do not take time off from Sports Direct, their school going children do not have time with their parents (McCarthy, 2017). The reputation challenges of Sports Direct are part of the reasons for declining profits since consumers and investors are willing to transact with the company. Therefore, it is the intention of this consultancy report to assess customer perceptions regarding the reputation of Sports Direct and whether they are likely to purchase their brands.</w:t>
      </w:r>
    </w:p>
    <w:p>
      <w:pPr>
        <w:pStyle w:val="4"/>
        <w:numPr>
          <w:ilvl w:val="2"/>
          <w:numId w:val="1"/>
        </w:numPr>
        <w:rPr>
          <w:rFonts w:ascii="Times New Roman" w:hAnsi="Times New Roman" w:cs="Times New Roman"/>
          <w:color w:val="auto"/>
          <w:sz w:val="24"/>
          <w:szCs w:val="24"/>
        </w:rPr>
      </w:pPr>
      <w:bookmarkStart w:id="11" w:name="_Toc7889692"/>
      <w:r>
        <w:rPr>
          <w:rFonts w:ascii="Times New Roman" w:hAnsi="Times New Roman" w:cs="Times New Roman"/>
          <w:color w:val="auto"/>
          <w:sz w:val="24"/>
          <w:szCs w:val="24"/>
        </w:rPr>
        <w:t>Findings from survey responses</w:t>
      </w:r>
      <w:bookmarkEnd w:id="11"/>
      <w:r>
        <w:rPr>
          <w:rFonts w:ascii="Times New Roman" w:hAnsi="Times New Roman" w:cs="Times New Roman"/>
          <w:color w:val="auto"/>
          <w:sz w:val="24"/>
          <w:szCs w:val="24"/>
        </w:rPr>
        <w:t xml:space="preserve"> </w:t>
      </w:r>
    </w:p>
    <w:p>
      <w:pPr>
        <w:autoSpaceDE w:val="0"/>
        <w:autoSpaceDN w:val="0"/>
        <w:adjustRightInd w:val="0"/>
        <w:spacing w:after="0" w:line="360" w:lineRule="auto"/>
        <w:jc w:val="both"/>
        <w:rPr>
          <w:rFonts w:ascii="Times New Roman" w:hAnsi="Times New Roman" w:cs="Times New Roman"/>
          <w:sz w:val="24"/>
          <w:szCs w:val="24"/>
          <w:lang w:val="en-GB"/>
        </w:rPr>
      </w:pPr>
    </w:p>
    <w:tbl>
      <w:tblPr>
        <w:tblStyle w:val="9"/>
        <w:tblW w:w="7947" w:type="dxa"/>
        <w:tblInd w:w="3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30" w:type="dxa"/>
          <w:bottom w:w="0" w:type="dxa"/>
          <w:right w:w="30" w:type="dxa"/>
        </w:tblCellMar>
      </w:tblPr>
      <w:tblGrid>
        <w:gridCol w:w="2402"/>
        <w:gridCol w:w="1000"/>
        <w:gridCol w:w="1051"/>
        <w:gridCol w:w="1082"/>
        <w:gridCol w:w="1000"/>
        <w:gridCol w:w="1412"/>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30" w:type="dxa"/>
            <w:bottom w:w="0" w:type="dxa"/>
            <w:right w:w="30" w:type="dxa"/>
          </w:tblCellMar>
        </w:tblPrEx>
        <w:trPr>
          <w:cantSplit/>
          <w:tblHeader/>
        </w:trPr>
        <w:tc>
          <w:tcPr>
            <w:tcW w:w="7947" w:type="dxa"/>
            <w:gridSpan w:val="6"/>
            <w:tcBorders>
              <w:top w:val="nil"/>
              <w:left w:val="nil"/>
              <w:bottom w:val="nil"/>
              <w:right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b/>
                <w:bCs/>
                <w:sz w:val="24"/>
                <w:szCs w:val="24"/>
                <w:lang w:val="en-GB"/>
              </w:rPr>
              <w:t>Descriptive Statistics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30" w:type="dxa"/>
            <w:bottom w:w="0" w:type="dxa"/>
            <w:right w:w="30" w:type="dxa"/>
          </w:tblCellMar>
        </w:tblPrEx>
        <w:trPr>
          <w:cantSplit/>
          <w:tblHeader/>
        </w:trPr>
        <w:tc>
          <w:tcPr>
            <w:tcW w:w="2402" w:type="dxa"/>
            <w:tcBorders>
              <w:top w:val="single" w:color="000000" w:sz="16" w:space="0"/>
              <w:left w:val="single" w:color="000000" w:sz="16" w:space="0"/>
              <w:bottom w:val="single" w:color="000000" w:sz="16" w:space="0"/>
              <w:right w:val="single" w:color="000000" w:sz="16" w:space="0"/>
            </w:tcBorders>
            <w:shd w:val="clear" w:color="auto" w:fill="FFFFFF"/>
            <w:tcMar>
              <w:top w:w="30" w:type="dxa"/>
              <w:left w:w="30" w:type="dxa"/>
              <w:bottom w:w="30" w:type="dxa"/>
              <w:right w:w="30" w:type="dxa"/>
            </w:tcMar>
          </w:tcPr>
          <w:p>
            <w:pPr>
              <w:autoSpaceDE w:val="0"/>
              <w:autoSpaceDN w:val="0"/>
              <w:adjustRightInd w:val="0"/>
              <w:spacing w:after="0" w:line="360" w:lineRule="auto"/>
              <w:jc w:val="both"/>
              <w:rPr>
                <w:rFonts w:ascii="Times New Roman" w:hAnsi="Times New Roman" w:cs="Times New Roman"/>
                <w:sz w:val="24"/>
                <w:szCs w:val="24"/>
                <w:lang w:val="en-GB"/>
              </w:rPr>
            </w:pPr>
          </w:p>
        </w:tc>
        <w:tc>
          <w:tcPr>
            <w:tcW w:w="1000" w:type="dxa"/>
            <w:tcBorders>
              <w:top w:val="single" w:color="000000" w:sz="16" w:space="0"/>
              <w:left w:val="single" w:color="000000" w:sz="16" w:space="0"/>
              <w:bottom w:val="single" w:color="000000" w:sz="16" w:space="0"/>
            </w:tcBorders>
            <w:shd w:val="clear" w:color="auto" w:fill="FFFFFF"/>
            <w:tcMar>
              <w:top w:w="30" w:type="dxa"/>
              <w:left w:w="30" w:type="dxa"/>
              <w:bottom w:w="30" w:type="dxa"/>
              <w:right w:w="30" w:type="dxa"/>
            </w:tcMar>
            <w:vAlign w:val="bottom"/>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N</w:t>
            </w:r>
          </w:p>
        </w:tc>
        <w:tc>
          <w:tcPr>
            <w:tcW w:w="1051" w:type="dxa"/>
            <w:tcBorders>
              <w:top w:val="single" w:color="000000" w:sz="16" w:space="0"/>
              <w:bottom w:val="single" w:color="000000" w:sz="16" w:space="0"/>
            </w:tcBorders>
            <w:shd w:val="clear" w:color="auto" w:fill="FFFFFF"/>
            <w:tcMar>
              <w:top w:w="30" w:type="dxa"/>
              <w:left w:w="30" w:type="dxa"/>
              <w:bottom w:w="30" w:type="dxa"/>
              <w:right w:w="30" w:type="dxa"/>
            </w:tcMar>
            <w:vAlign w:val="bottom"/>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Minimum</w:t>
            </w:r>
          </w:p>
        </w:tc>
        <w:tc>
          <w:tcPr>
            <w:tcW w:w="1082" w:type="dxa"/>
            <w:tcBorders>
              <w:top w:val="single" w:color="000000" w:sz="16" w:space="0"/>
              <w:bottom w:val="single" w:color="000000" w:sz="16" w:space="0"/>
            </w:tcBorders>
            <w:shd w:val="clear" w:color="auto" w:fill="FFFFFF"/>
            <w:tcMar>
              <w:top w:w="30" w:type="dxa"/>
              <w:left w:w="30" w:type="dxa"/>
              <w:bottom w:w="30" w:type="dxa"/>
              <w:right w:w="30" w:type="dxa"/>
            </w:tcMar>
            <w:vAlign w:val="bottom"/>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Maximum</w:t>
            </w:r>
          </w:p>
        </w:tc>
        <w:tc>
          <w:tcPr>
            <w:tcW w:w="1000" w:type="dxa"/>
            <w:tcBorders>
              <w:top w:val="single" w:color="000000" w:sz="16" w:space="0"/>
              <w:bottom w:val="single" w:color="000000" w:sz="16" w:space="0"/>
            </w:tcBorders>
            <w:shd w:val="clear" w:color="auto" w:fill="FFFFFF"/>
            <w:tcMar>
              <w:top w:w="30" w:type="dxa"/>
              <w:left w:w="30" w:type="dxa"/>
              <w:bottom w:w="30" w:type="dxa"/>
              <w:right w:w="30" w:type="dxa"/>
            </w:tcMar>
            <w:vAlign w:val="bottom"/>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Mean</w:t>
            </w:r>
          </w:p>
        </w:tc>
        <w:tc>
          <w:tcPr>
            <w:tcW w:w="1412" w:type="dxa"/>
            <w:tcBorders>
              <w:top w:val="single" w:color="000000" w:sz="16" w:space="0"/>
              <w:bottom w:val="single" w:color="000000" w:sz="16" w:space="0"/>
              <w:right w:val="single" w:color="000000" w:sz="16" w:space="0"/>
            </w:tcBorders>
            <w:shd w:val="clear" w:color="auto" w:fill="FFFFFF"/>
            <w:tcMar>
              <w:top w:w="30" w:type="dxa"/>
              <w:left w:w="30" w:type="dxa"/>
              <w:bottom w:w="30" w:type="dxa"/>
              <w:right w:w="30" w:type="dxa"/>
            </w:tcMar>
            <w:vAlign w:val="bottom"/>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Std. Deviation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30" w:type="dxa"/>
            <w:bottom w:w="0" w:type="dxa"/>
            <w:right w:w="30" w:type="dxa"/>
          </w:tblCellMar>
        </w:tblPrEx>
        <w:trPr>
          <w:cantSplit/>
          <w:tblHeader/>
        </w:trPr>
        <w:tc>
          <w:tcPr>
            <w:tcW w:w="2402" w:type="dxa"/>
            <w:tcBorders>
              <w:top w:val="single" w:color="000000" w:sz="16" w:space="0"/>
              <w:left w:val="single" w:color="000000" w:sz="16" w:space="0"/>
              <w:bottom w:val="nil"/>
              <w:right w:val="single" w:color="000000" w:sz="16" w:space="0"/>
            </w:tcBorders>
            <w:shd w:val="clear" w:color="auto" w:fill="FFFFFF"/>
            <w:tcMar>
              <w:top w:w="30" w:type="dxa"/>
              <w:left w:w="30" w:type="dxa"/>
              <w:bottom w:w="30" w:type="dxa"/>
              <w:right w:w="30" w:type="dxa"/>
            </w:tcMa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pays employees unfairly, will not purchase products</w:t>
            </w:r>
          </w:p>
        </w:tc>
        <w:tc>
          <w:tcPr>
            <w:tcW w:w="1000" w:type="dxa"/>
            <w:tcBorders>
              <w:top w:val="single" w:color="000000" w:sz="16" w:space="0"/>
              <w:left w:val="single" w:color="000000" w:sz="16" w:space="0"/>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20</w:t>
            </w:r>
          </w:p>
        </w:tc>
        <w:tc>
          <w:tcPr>
            <w:tcW w:w="1051" w:type="dxa"/>
            <w:tcBorders>
              <w:top w:val="single" w:color="000000" w:sz="16" w:space="0"/>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1.00</w:t>
            </w:r>
          </w:p>
        </w:tc>
        <w:tc>
          <w:tcPr>
            <w:tcW w:w="1082" w:type="dxa"/>
            <w:tcBorders>
              <w:top w:val="single" w:color="000000" w:sz="16" w:space="0"/>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5.00</w:t>
            </w:r>
          </w:p>
        </w:tc>
        <w:tc>
          <w:tcPr>
            <w:tcW w:w="1000" w:type="dxa"/>
            <w:tcBorders>
              <w:top w:val="single" w:color="000000" w:sz="16" w:space="0"/>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3.4000</w:t>
            </w:r>
          </w:p>
        </w:tc>
        <w:tc>
          <w:tcPr>
            <w:tcW w:w="1412" w:type="dxa"/>
            <w:tcBorders>
              <w:top w:val="single" w:color="000000" w:sz="16" w:space="0"/>
              <w:bottom w:val="nil"/>
              <w:right w:val="single" w:color="000000" w:sz="16" w:space="0"/>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1.84676</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30" w:type="dxa"/>
            <w:bottom w:w="0" w:type="dxa"/>
            <w:right w:w="30" w:type="dxa"/>
          </w:tblCellMar>
        </w:tblPrEx>
        <w:trPr>
          <w:cantSplit/>
          <w:tblHeader/>
        </w:trPr>
        <w:tc>
          <w:tcPr>
            <w:tcW w:w="2402" w:type="dxa"/>
            <w:tcBorders>
              <w:top w:val="nil"/>
              <w:left w:val="single" w:color="000000" w:sz="16" w:space="0"/>
              <w:bottom w:val="nil"/>
              <w:right w:val="single" w:color="000000" w:sz="16" w:space="0"/>
            </w:tcBorders>
            <w:shd w:val="clear" w:color="auto" w:fill="FFFFFF"/>
            <w:tcMar>
              <w:top w:w="30" w:type="dxa"/>
              <w:left w:w="30" w:type="dxa"/>
              <w:bottom w:w="30" w:type="dxa"/>
              <w:right w:w="30" w:type="dxa"/>
            </w:tcMa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Sports direct is unethical  </w:t>
            </w:r>
          </w:p>
        </w:tc>
        <w:tc>
          <w:tcPr>
            <w:tcW w:w="1000" w:type="dxa"/>
            <w:tcBorders>
              <w:top w:val="nil"/>
              <w:left w:val="single" w:color="000000" w:sz="16" w:space="0"/>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20</w:t>
            </w:r>
          </w:p>
        </w:tc>
        <w:tc>
          <w:tcPr>
            <w:tcW w:w="1051"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1.00</w:t>
            </w:r>
          </w:p>
        </w:tc>
        <w:tc>
          <w:tcPr>
            <w:tcW w:w="1082"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5.00</w:t>
            </w:r>
          </w:p>
        </w:tc>
        <w:tc>
          <w:tcPr>
            <w:tcW w:w="1000"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4.0500</w:t>
            </w:r>
          </w:p>
        </w:tc>
        <w:tc>
          <w:tcPr>
            <w:tcW w:w="1412" w:type="dxa"/>
            <w:tcBorders>
              <w:top w:val="nil"/>
              <w:bottom w:val="nil"/>
              <w:right w:val="single" w:color="000000" w:sz="16" w:space="0"/>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1.50350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30" w:type="dxa"/>
            <w:bottom w:w="0" w:type="dxa"/>
            <w:right w:w="30" w:type="dxa"/>
          </w:tblCellMar>
        </w:tblPrEx>
        <w:trPr>
          <w:cantSplit/>
          <w:tblHeader/>
        </w:trPr>
        <w:tc>
          <w:tcPr>
            <w:tcW w:w="2402" w:type="dxa"/>
            <w:tcBorders>
              <w:top w:val="nil"/>
              <w:left w:val="single" w:color="000000" w:sz="16" w:space="0"/>
              <w:bottom w:val="nil"/>
              <w:right w:val="single" w:color="000000" w:sz="16" w:space="0"/>
            </w:tcBorders>
            <w:shd w:val="clear" w:color="auto" w:fill="FFFFFF"/>
            <w:tcMar>
              <w:top w:w="30" w:type="dxa"/>
              <w:left w:w="30" w:type="dxa"/>
              <w:bottom w:w="30" w:type="dxa"/>
              <w:right w:w="30" w:type="dxa"/>
            </w:tcMa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Losses arise from poor reputation </w:t>
            </w:r>
          </w:p>
        </w:tc>
        <w:tc>
          <w:tcPr>
            <w:tcW w:w="1000" w:type="dxa"/>
            <w:tcBorders>
              <w:top w:val="nil"/>
              <w:left w:val="single" w:color="000000" w:sz="16" w:space="0"/>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20</w:t>
            </w:r>
          </w:p>
        </w:tc>
        <w:tc>
          <w:tcPr>
            <w:tcW w:w="1051"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1.00</w:t>
            </w:r>
          </w:p>
        </w:tc>
        <w:tc>
          <w:tcPr>
            <w:tcW w:w="1082"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5.00</w:t>
            </w:r>
          </w:p>
        </w:tc>
        <w:tc>
          <w:tcPr>
            <w:tcW w:w="1000"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2.5500</w:t>
            </w:r>
          </w:p>
        </w:tc>
        <w:tc>
          <w:tcPr>
            <w:tcW w:w="1412" w:type="dxa"/>
            <w:tcBorders>
              <w:top w:val="nil"/>
              <w:bottom w:val="nil"/>
              <w:right w:val="single" w:color="000000" w:sz="16" w:space="0"/>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1.60509</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30" w:type="dxa"/>
            <w:bottom w:w="0" w:type="dxa"/>
            <w:right w:w="30" w:type="dxa"/>
          </w:tblCellMar>
        </w:tblPrEx>
        <w:trPr>
          <w:cantSplit/>
          <w:tblHeader/>
        </w:trPr>
        <w:tc>
          <w:tcPr>
            <w:tcW w:w="2402" w:type="dxa"/>
            <w:tcBorders>
              <w:top w:val="nil"/>
              <w:left w:val="single" w:color="000000" w:sz="16" w:space="0"/>
              <w:bottom w:val="nil"/>
              <w:right w:val="single" w:color="000000" w:sz="16" w:space="0"/>
            </w:tcBorders>
            <w:shd w:val="clear" w:color="auto" w:fill="FFFFFF"/>
            <w:tcMar>
              <w:top w:w="30" w:type="dxa"/>
              <w:left w:w="30" w:type="dxa"/>
              <w:bottom w:w="30" w:type="dxa"/>
              <w:right w:w="30" w:type="dxa"/>
            </w:tcMa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products are not innovative</w:t>
            </w:r>
          </w:p>
        </w:tc>
        <w:tc>
          <w:tcPr>
            <w:tcW w:w="1000" w:type="dxa"/>
            <w:tcBorders>
              <w:top w:val="nil"/>
              <w:left w:val="single" w:color="000000" w:sz="16" w:space="0"/>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20</w:t>
            </w:r>
          </w:p>
        </w:tc>
        <w:tc>
          <w:tcPr>
            <w:tcW w:w="1051"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1.00</w:t>
            </w:r>
          </w:p>
        </w:tc>
        <w:tc>
          <w:tcPr>
            <w:tcW w:w="1082"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5.00</w:t>
            </w:r>
          </w:p>
        </w:tc>
        <w:tc>
          <w:tcPr>
            <w:tcW w:w="1000"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3.6500</w:t>
            </w:r>
          </w:p>
        </w:tc>
        <w:tc>
          <w:tcPr>
            <w:tcW w:w="1412" w:type="dxa"/>
            <w:tcBorders>
              <w:top w:val="nil"/>
              <w:bottom w:val="nil"/>
              <w:right w:val="single" w:color="000000" w:sz="16" w:space="0"/>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1.42441</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30" w:type="dxa"/>
            <w:bottom w:w="0" w:type="dxa"/>
            <w:right w:w="30" w:type="dxa"/>
          </w:tblCellMar>
        </w:tblPrEx>
        <w:trPr>
          <w:cantSplit/>
          <w:tblHeader/>
        </w:trPr>
        <w:tc>
          <w:tcPr>
            <w:tcW w:w="2402" w:type="dxa"/>
            <w:tcBorders>
              <w:top w:val="nil"/>
              <w:left w:val="single" w:color="000000" w:sz="16" w:space="0"/>
              <w:bottom w:val="nil"/>
              <w:right w:val="single" w:color="000000" w:sz="16" w:space="0"/>
            </w:tcBorders>
            <w:shd w:val="clear" w:color="auto" w:fill="FFFFFF"/>
            <w:tcMar>
              <w:top w:w="30" w:type="dxa"/>
              <w:left w:w="30" w:type="dxa"/>
              <w:bottom w:w="30" w:type="dxa"/>
              <w:right w:w="30" w:type="dxa"/>
            </w:tcMa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 have a negative attitude towards products from Sports Direct </w:t>
            </w:r>
          </w:p>
        </w:tc>
        <w:tc>
          <w:tcPr>
            <w:tcW w:w="1000" w:type="dxa"/>
            <w:tcBorders>
              <w:top w:val="nil"/>
              <w:left w:val="single" w:color="000000" w:sz="16" w:space="0"/>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20</w:t>
            </w:r>
          </w:p>
        </w:tc>
        <w:tc>
          <w:tcPr>
            <w:tcW w:w="1051"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1.00</w:t>
            </w:r>
          </w:p>
        </w:tc>
        <w:tc>
          <w:tcPr>
            <w:tcW w:w="1082"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5.00</w:t>
            </w:r>
          </w:p>
        </w:tc>
        <w:tc>
          <w:tcPr>
            <w:tcW w:w="1000"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4.1500</w:t>
            </w:r>
          </w:p>
        </w:tc>
        <w:tc>
          <w:tcPr>
            <w:tcW w:w="1412" w:type="dxa"/>
            <w:tcBorders>
              <w:top w:val="nil"/>
              <w:bottom w:val="nil"/>
              <w:right w:val="single" w:color="000000" w:sz="16" w:space="0"/>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1.18210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30" w:type="dxa"/>
            <w:bottom w:w="0" w:type="dxa"/>
            <w:right w:w="30" w:type="dxa"/>
          </w:tblCellMar>
        </w:tblPrEx>
        <w:trPr>
          <w:cantSplit/>
          <w:tblHeader/>
        </w:trPr>
        <w:tc>
          <w:tcPr>
            <w:tcW w:w="2402" w:type="dxa"/>
            <w:tcBorders>
              <w:top w:val="nil"/>
              <w:left w:val="single" w:color="000000" w:sz="16" w:space="0"/>
              <w:bottom w:val="nil"/>
              <w:right w:val="single" w:color="000000" w:sz="16" w:space="0"/>
            </w:tcBorders>
            <w:shd w:val="clear" w:color="auto" w:fill="FFFFFF"/>
            <w:tcMar>
              <w:top w:w="30" w:type="dxa"/>
              <w:left w:w="30" w:type="dxa"/>
              <w:bottom w:w="30" w:type="dxa"/>
              <w:right w:w="30" w:type="dxa"/>
            </w:tcMa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harsh work conditions influence my purchase decision </w:t>
            </w:r>
          </w:p>
        </w:tc>
        <w:tc>
          <w:tcPr>
            <w:tcW w:w="1000" w:type="dxa"/>
            <w:tcBorders>
              <w:top w:val="nil"/>
              <w:left w:val="single" w:color="000000" w:sz="16" w:space="0"/>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20</w:t>
            </w:r>
          </w:p>
        </w:tc>
        <w:tc>
          <w:tcPr>
            <w:tcW w:w="1051"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1.00</w:t>
            </w:r>
          </w:p>
        </w:tc>
        <w:tc>
          <w:tcPr>
            <w:tcW w:w="1082"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5.00</w:t>
            </w:r>
          </w:p>
        </w:tc>
        <w:tc>
          <w:tcPr>
            <w:tcW w:w="1000"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3.0000</w:t>
            </w:r>
          </w:p>
        </w:tc>
        <w:tc>
          <w:tcPr>
            <w:tcW w:w="1412" w:type="dxa"/>
            <w:tcBorders>
              <w:top w:val="nil"/>
              <w:bottom w:val="nil"/>
              <w:right w:val="single" w:color="000000" w:sz="16" w:space="0"/>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1.71679</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30" w:type="dxa"/>
            <w:bottom w:w="0" w:type="dxa"/>
            <w:right w:w="30" w:type="dxa"/>
          </w:tblCellMar>
        </w:tblPrEx>
        <w:trPr>
          <w:cantSplit/>
          <w:tblHeader/>
        </w:trPr>
        <w:tc>
          <w:tcPr>
            <w:tcW w:w="2402" w:type="dxa"/>
            <w:tcBorders>
              <w:top w:val="nil"/>
              <w:left w:val="single" w:color="000000" w:sz="16" w:space="0"/>
              <w:bottom w:val="nil"/>
              <w:right w:val="single" w:color="000000" w:sz="16" w:space="0"/>
            </w:tcBorders>
            <w:shd w:val="clear" w:color="auto" w:fill="FFFFFF"/>
            <w:tcMar>
              <w:top w:w="30" w:type="dxa"/>
              <w:left w:w="30" w:type="dxa"/>
              <w:bottom w:w="30" w:type="dxa"/>
              <w:right w:w="30" w:type="dxa"/>
            </w:tcMa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 have purchased their products</w:t>
            </w:r>
          </w:p>
        </w:tc>
        <w:tc>
          <w:tcPr>
            <w:tcW w:w="1000" w:type="dxa"/>
            <w:tcBorders>
              <w:top w:val="nil"/>
              <w:left w:val="single" w:color="000000" w:sz="16" w:space="0"/>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20</w:t>
            </w:r>
          </w:p>
        </w:tc>
        <w:tc>
          <w:tcPr>
            <w:tcW w:w="1051"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3.00</w:t>
            </w:r>
          </w:p>
        </w:tc>
        <w:tc>
          <w:tcPr>
            <w:tcW w:w="1082"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4.00</w:t>
            </w:r>
          </w:p>
        </w:tc>
        <w:tc>
          <w:tcPr>
            <w:tcW w:w="1000"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3.4500</w:t>
            </w:r>
          </w:p>
        </w:tc>
        <w:tc>
          <w:tcPr>
            <w:tcW w:w="1412" w:type="dxa"/>
            <w:tcBorders>
              <w:top w:val="nil"/>
              <w:bottom w:val="nil"/>
              <w:right w:val="single" w:color="000000" w:sz="16" w:space="0"/>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.51042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30" w:type="dxa"/>
            <w:bottom w:w="0" w:type="dxa"/>
            <w:right w:w="30" w:type="dxa"/>
          </w:tblCellMar>
        </w:tblPrEx>
        <w:trPr>
          <w:cantSplit/>
          <w:tblHeader/>
        </w:trPr>
        <w:tc>
          <w:tcPr>
            <w:tcW w:w="2402" w:type="dxa"/>
            <w:tcBorders>
              <w:top w:val="nil"/>
              <w:left w:val="single" w:color="000000" w:sz="16" w:space="0"/>
              <w:bottom w:val="nil"/>
              <w:right w:val="single" w:color="000000" w:sz="16" w:space="0"/>
            </w:tcBorders>
            <w:shd w:val="clear" w:color="auto" w:fill="FFFFFF"/>
            <w:tcMar>
              <w:top w:w="30" w:type="dxa"/>
              <w:left w:w="30" w:type="dxa"/>
              <w:bottom w:w="30" w:type="dxa"/>
              <w:right w:w="30" w:type="dxa"/>
            </w:tcMa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 will never purchase at Sports Direct</w:t>
            </w:r>
          </w:p>
        </w:tc>
        <w:tc>
          <w:tcPr>
            <w:tcW w:w="1000" w:type="dxa"/>
            <w:tcBorders>
              <w:top w:val="nil"/>
              <w:left w:val="single" w:color="000000" w:sz="16" w:space="0"/>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20</w:t>
            </w:r>
          </w:p>
        </w:tc>
        <w:tc>
          <w:tcPr>
            <w:tcW w:w="1051"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1.00</w:t>
            </w:r>
          </w:p>
        </w:tc>
        <w:tc>
          <w:tcPr>
            <w:tcW w:w="1082"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5.00</w:t>
            </w:r>
          </w:p>
        </w:tc>
        <w:tc>
          <w:tcPr>
            <w:tcW w:w="1000"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3.8000</w:t>
            </w:r>
          </w:p>
        </w:tc>
        <w:tc>
          <w:tcPr>
            <w:tcW w:w="1412" w:type="dxa"/>
            <w:tcBorders>
              <w:top w:val="nil"/>
              <w:bottom w:val="nil"/>
              <w:right w:val="single" w:color="000000" w:sz="16" w:space="0"/>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1.88065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30" w:type="dxa"/>
            <w:bottom w:w="0" w:type="dxa"/>
            <w:right w:w="30" w:type="dxa"/>
          </w:tblCellMar>
        </w:tblPrEx>
        <w:trPr>
          <w:cantSplit/>
          <w:tblHeader/>
        </w:trPr>
        <w:tc>
          <w:tcPr>
            <w:tcW w:w="2402" w:type="dxa"/>
            <w:tcBorders>
              <w:top w:val="nil"/>
              <w:left w:val="single" w:color="000000" w:sz="16" w:space="0"/>
              <w:bottom w:val="nil"/>
              <w:right w:val="single" w:color="000000" w:sz="16" w:space="0"/>
            </w:tcBorders>
            <w:shd w:val="clear" w:color="auto" w:fill="FFFFFF"/>
            <w:tcMar>
              <w:top w:w="30" w:type="dxa"/>
              <w:left w:w="30" w:type="dxa"/>
              <w:bottom w:w="30" w:type="dxa"/>
              <w:right w:w="30" w:type="dxa"/>
            </w:tcMa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Sports Direct is socially responsible </w:t>
            </w:r>
          </w:p>
        </w:tc>
        <w:tc>
          <w:tcPr>
            <w:tcW w:w="1000" w:type="dxa"/>
            <w:tcBorders>
              <w:top w:val="nil"/>
              <w:left w:val="single" w:color="000000" w:sz="16" w:space="0"/>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20</w:t>
            </w:r>
          </w:p>
        </w:tc>
        <w:tc>
          <w:tcPr>
            <w:tcW w:w="1051"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1.00</w:t>
            </w:r>
          </w:p>
        </w:tc>
        <w:tc>
          <w:tcPr>
            <w:tcW w:w="1082"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4.00</w:t>
            </w:r>
          </w:p>
        </w:tc>
        <w:tc>
          <w:tcPr>
            <w:tcW w:w="1000"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1.7500</w:t>
            </w:r>
          </w:p>
        </w:tc>
        <w:tc>
          <w:tcPr>
            <w:tcW w:w="1412" w:type="dxa"/>
            <w:tcBorders>
              <w:top w:val="nil"/>
              <w:bottom w:val="nil"/>
              <w:right w:val="single" w:color="000000" w:sz="16" w:space="0"/>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1.33278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30" w:type="dxa"/>
            <w:bottom w:w="0" w:type="dxa"/>
            <w:right w:w="30" w:type="dxa"/>
          </w:tblCellMar>
        </w:tblPrEx>
        <w:trPr>
          <w:cantSplit/>
          <w:tblHeader/>
        </w:trPr>
        <w:tc>
          <w:tcPr>
            <w:tcW w:w="2402" w:type="dxa"/>
            <w:tcBorders>
              <w:top w:val="nil"/>
              <w:left w:val="single" w:color="000000" w:sz="16" w:space="0"/>
              <w:bottom w:val="nil"/>
              <w:right w:val="single" w:color="000000" w:sz="16" w:space="0"/>
            </w:tcBorders>
            <w:shd w:val="clear" w:color="auto" w:fill="FFFFFF"/>
            <w:tcMar>
              <w:top w:w="30" w:type="dxa"/>
              <w:left w:w="30" w:type="dxa"/>
              <w:bottom w:w="30" w:type="dxa"/>
              <w:right w:w="30" w:type="dxa"/>
            </w:tcMa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AVERAGE</w:t>
            </w:r>
          </w:p>
        </w:tc>
        <w:tc>
          <w:tcPr>
            <w:tcW w:w="1000" w:type="dxa"/>
            <w:tcBorders>
              <w:top w:val="nil"/>
              <w:left w:val="single" w:color="000000" w:sz="16" w:space="0"/>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20</w:t>
            </w:r>
          </w:p>
        </w:tc>
        <w:tc>
          <w:tcPr>
            <w:tcW w:w="1051"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2.22</w:t>
            </w:r>
          </w:p>
        </w:tc>
        <w:tc>
          <w:tcPr>
            <w:tcW w:w="1082"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4.00</w:t>
            </w:r>
          </w:p>
        </w:tc>
        <w:tc>
          <w:tcPr>
            <w:tcW w:w="1000" w:type="dxa"/>
            <w:tcBorders>
              <w:top w:val="nil"/>
              <w:bottom w:val="nil"/>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3.3206</w:t>
            </w:r>
          </w:p>
        </w:tc>
        <w:tc>
          <w:tcPr>
            <w:tcW w:w="1412" w:type="dxa"/>
            <w:tcBorders>
              <w:top w:val="nil"/>
              <w:bottom w:val="nil"/>
              <w:right w:val="single" w:color="000000" w:sz="16" w:space="0"/>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.52424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30" w:type="dxa"/>
            <w:bottom w:w="0" w:type="dxa"/>
            <w:right w:w="30" w:type="dxa"/>
          </w:tblCellMar>
        </w:tblPrEx>
        <w:trPr>
          <w:cantSplit/>
        </w:trPr>
        <w:tc>
          <w:tcPr>
            <w:tcW w:w="2402" w:type="dxa"/>
            <w:tcBorders>
              <w:top w:val="nil"/>
              <w:left w:val="single" w:color="000000" w:sz="16" w:space="0"/>
              <w:bottom w:val="single" w:color="000000" w:sz="16" w:space="0"/>
              <w:right w:val="single" w:color="000000" w:sz="16" w:space="0"/>
            </w:tcBorders>
            <w:shd w:val="clear" w:color="auto" w:fill="FFFFFF"/>
            <w:tcMar>
              <w:top w:w="30" w:type="dxa"/>
              <w:left w:w="30" w:type="dxa"/>
              <w:bottom w:w="30" w:type="dxa"/>
              <w:right w:w="30" w:type="dxa"/>
            </w:tcMa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Valid N (listwise)</w:t>
            </w:r>
          </w:p>
        </w:tc>
        <w:tc>
          <w:tcPr>
            <w:tcW w:w="1000" w:type="dxa"/>
            <w:tcBorders>
              <w:top w:val="nil"/>
              <w:left w:val="single" w:color="000000" w:sz="16" w:space="0"/>
              <w:bottom w:val="single" w:color="000000" w:sz="16" w:space="0"/>
            </w:tcBorders>
            <w:shd w:val="clear" w:color="auto" w:fill="FFFFFF"/>
            <w:tcMar>
              <w:top w:w="30" w:type="dxa"/>
              <w:left w:w="30" w:type="dxa"/>
              <w:bottom w:w="30" w:type="dxa"/>
              <w:right w:w="30" w:type="dxa"/>
            </w:tcMar>
            <w:vAlign w:val="center"/>
          </w:tcPr>
          <w:p>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20</w:t>
            </w:r>
          </w:p>
        </w:tc>
        <w:tc>
          <w:tcPr>
            <w:tcW w:w="1051" w:type="dxa"/>
            <w:tcBorders>
              <w:top w:val="nil"/>
              <w:bottom w:val="single" w:color="000000" w:sz="16" w:space="0"/>
            </w:tcBorders>
            <w:shd w:val="clear" w:color="auto" w:fill="FFFFFF"/>
            <w:tcMar>
              <w:top w:w="30" w:type="dxa"/>
              <w:left w:w="30" w:type="dxa"/>
              <w:bottom w:w="30" w:type="dxa"/>
              <w:right w:w="30" w:type="dxa"/>
            </w:tcMar>
          </w:tcPr>
          <w:p>
            <w:pPr>
              <w:autoSpaceDE w:val="0"/>
              <w:autoSpaceDN w:val="0"/>
              <w:adjustRightInd w:val="0"/>
              <w:spacing w:after="0" w:line="360" w:lineRule="auto"/>
              <w:jc w:val="both"/>
              <w:rPr>
                <w:rFonts w:ascii="Times New Roman" w:hAnsi="Times New Roman" w:cs="Times New Roman"/>
                <w:sz w:val="24"/>
                <w:szCs w:val="24"/>
                <w:lang w:val="en-GB"/>
              </w:rPr>
            </w:pPr>
          </w:p>
        </w:tc>
        <w:tc>
          <w:tcPr>
            <w:tcW w:w="1082" w:type="dxa"/>
            <w:tcBorders>
              <w:top w:val="nil"/>
              <w:bottom w:val="single" w:color="000000" w:sz="16" w:space="0"/>
            </w:tcBorders>
            <w:shd w:val="clear" w:color="auto" w:fill="FFFFFF"/>
            <w:tcMar>
              <w:top w:w="30" w:type="dxa"/>
              <w:left w:w="30" w:type="dxa"/>
              <w:bottom w:w="30" w:type="dxa"/>
              <w:right w:w="30" w:type="dxa"/>
            </w:tcMar>
          </w:tcPr>
          <w:p>
            <w:pPr>
              <w:autoSpaceDE w:val="0"/>
              <w:autoSpaceDN w:val="0"/>
              <w:adjustRightInd w:val="0"/>
              <w:spacing w:after="0" w:line="360" w:lineRule="auto"/>
              <w:jc w:val="both"/>
              <w:rPr>
                <w:rFonts w:ascii="Times New Roman" w:hAnsi="Times New Roman" w:cs="Times New Roman"/>
                <w:sz w:val="24"/>
                <w:szCs w:val="24"/>
                <w:lang w:val="en-GB"/>
              </w:rPr>
            </w:pPr>
          </w:p>
        </w:tc>
        <w:tc>
          <w:tcPr>
            <w:tcW w:w="1000" w:type="dxa"/>
            <w:tcBorders>
              <w:top w:val="nil"/>
              <w:bottom w:val="single" w:color="000000" w:sz="16" w:space="0"/>
            </w:tcBorders>
            <w:shd w:val="clear" w:color="auto" w:fill="FFFFFF"/>
            <w:tcMar>
              <w:top w:w="30" w:type="dxa"/>
              <w:left w:w="30" w:type="dxa"/>
              <w:bottom w:w="30" w:type="dxa"/>
              <w:right w:w="30" w:type="dxa"/>
            </w:tcMar>
          </w:tcPr>
          <w:p>
            <w:pPr>
              <w:autoSpaceDE w:val="0"/>
              <w:autoSpaceDN w:val="0"/>
              <w:adjustRightInd w:val="0"/>
              <w:spacing w:after="0" w:line="360" w:lineRule="auto"/>
              <w:jc w:val="both"/>
              <w:rPr>
                <w:rFonts w:ascii="Times New Roman" w:hAnsi="Times New Roman" w:cs="Times New Roman"/>
                <w:sz w:val="24"/>
                <w:szCs w:val="24"/>
                <w:lang w:val="en-GB"/>
              </w:rPr>
            </w:pPr>
          </w:p>
        </w:tc>
        <w:tc>
          <w:tcPr>
            <w:tcW w:w="1412" w:type="dxa"/>
            <w:tcBorders>
              <w:top w:val="nil"/>
              <w:bottom w:val="single" w:color="000000" w:sz="16" w:space="0"/>
              <w:right w:val="single" w:color="000000" w:sz="16" w:space="0"/>
            </w:tcBorders>
            <w:shd w:val="clear" w:color="auto" w:fill="FFFFFF"/>
            <w:tcMar>
              <w:top w:w="30" w:type="dxa"/>
              <w:left w:w="30" w:type="dxa"/>
              <w:bottom w:w="30" w:type="dxa"/>
              <w:right w:w="30" w:type="dxa"/>
            </w:tcMar>
          </w:tcPr>
          <w:p>
            <w:pPr>
              <w:autoSpaceDE w:val="0"/>
              <w:autoSpaceDN w:val="0"/>
              <w:adjustRightInd w:val="0"/>
              <w:spacing w:after="0" w:line="360" w:lineRule="auto"/>
              <w:jc w:val="both"/>
              <w:rPr>
                <w:rFonts w:ascii="Times New Roman" w:hAnsi="Times New Roman" w:cs="Times New Roman"/>
                <w:sz w:val="24"/>
                <w:szCs w:val="24"/>
                <w:lang w:val="en-GB"/>
              </w:rPr>
            </w:pPr>
          </w:p>
        </w:tc>
      </w:tr>
    </w:tbl>
    <w:p>
      <w:pPr>
        <w:autoSpaceDE w:val="0"/>
        <w:autoSpaceDN w:val="0"/>
        <w:adjustRightInd w:val="0"/>
        <w:spacing w:after="0" w:line="360" w:lineRule="auto"/>
        <w:jc w:val="both"/>
        <w:rPr>
          <w:rFonts w:ascii="Times New Roman" w:hAnsi="Times New Roman" w:cs="Times New Roman"/>
          <w:sz w:val="24"/>
          <w:szCs w:val="24"/>
          <w:lang w:val="en-GB"/>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Customers agree (mean 3.4) that Sports Direct pays employees unfairly and they will not purchase their products. In addition, consumers agree that Sports Direct is unethical concerning how they relate to employees (4.0). In addition, customers disagree that losses arise from poor reputation (mean 2.5). This means that the company should focus on evaluating other key reasons that contribute to declining profitability. Consumers also assert that they have a negative attitude towards Sports Direct (mean 4.0). Furthermore, a mean of 3.0 means that employees believe that harsh work conditions influence their purchase decisions. These findings outline the need for Sports Direct to focus on how they relate the employees while ensuring that they become socially responsible. There are customers also assert that they will never purchase the products of Sports Direct. Averages mean score of 3.3 shows that Sports Direct is viewed negatively among consumers. </w:t>
      </w:r>
    </w:p>
    <w:p>
      <w:pPr>
        <w:spacing w:line="360" w:lineRule="auto"/>
        <w:jc w:val="both"/>
        <w:rPr>
          <w:rFonts w:ascii="Times New Roman" w:hAnsi="Times New Roman" w:cs="Times New Roman"/>
          <w:sz w:val="24"/>
          <w:szCs w:val="24"/>
        </w:rPr>
      </w:pPr>
      <w:r>
        <w:rPr>
          <w:rFonts w:ascii="Times New Roman" w:hAnsi="Times New Roman" w:cs="Times New Roman"/>
          <w:sz w:val="24"/>
          <w:szCs w:val="24"/>
          <w:lang w:eastAsia="zh-CN"/>
        </w:rPr>
        <w:drawing>
          <wp:inline distT="0" distB="0" distL="0" distR="0">
            <wp:extent cx="4724400" cy="1285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4724400" cy="1285875"/>
                    </a:xfrm>
                    <a:prstGeom prst="rect">
                      <a:avLst/>
                    </a:prstGeom>
                    <a:noFill/>
                    <a:ln>
                      <a:noFill/>
                    </a:ln>
                  </pic:spPr>
                </pic:pic>
              </a:graphicData>
            </a:graphic>
          </wp:inline>
        </w:drawing>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About 55% of respondents strongly agree that Sports Direct pays employees unfairly and they will not purchase their products. Therefore, the company needs to rethink its social responsibility towards employees.</w:t>
      </w:r>
    </w:p>
    <w:p>
      <w:pPr>
        <w:spacing w:line="360" w:lineRule="auto"/>
        <w:jc w:val="both"/>
        <w:rPr>
          <w:rFonts w:ascii="Times New Roman" w:hAnsi="Times New Roman" w:cs="Times New Roman"/>
          <w:sz w:val="24"/>
          <w:szCs w:val="24"/>
        </w:rPr>
      </w:pPr>
      <w:r>
        <w:rPr>
          <w:rFonts w:ascii="Times New Roman" w:hAnsi="Times New Roman" w:cs="Times New Roman"/>
          <w:sz w:val="24"/>
          <w:szCs w:val="24"/>
          <w:lang w:eastAsia="zh-CN"/>
        </w:rPr>
        <w:drawing>
          <wp:inline distT="0" distB="0" distL="0" distR="0">
            <wp:extent cx="4724400" cy="1466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4724400" cy="1466850"/>
                    </a:xfrm>
                    <a:prstGeom prst="rect">
                      <a:avLst/>
                    </a:prstGeom>
                    <a:noFill/>
                    <a:ln>
                      <a:noFill/>
                    </a:ln>
                  </pic:spPr>
                </pic:pic>
              </a:graphicData>
            </a:graphic>
          </wp:inline>
        </w:drawing>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Employees also strongly agree that Sports direct is unethical (65%). This is an indication of the challenges regarding the mistreatment of employees.</w:t>
      </w:r>
    </w:p>
    <w:p>
      <w:pPr>
        <w:spacing w:line="360" w:lineRule="auto"/>
        <w:jc w:val="both"/>
        <w:rPr>
          <w:rFonts w:ascii="Times New Roman" w:hAnsi="Times New Roman" w:cs="Times New Roman"/>
          <w:sz w:val="24"/>
          <w:szCs w:val="24"/>
        </w:rPr>
      </w:pPr>
      <w:r>
        <w:rPr>
          <w:rFonts w:ascii="Times New Roman" w:hAnsi="Times New Roman" w:cs="Times New Roman"/>
          <w:sz w:val="24"/>
          <w:szCs w:val="24"/>
          <w:lang w:eastAsia="zh-CN"/>
        </w:rPr>
        <w:drawing>
          <wp:inline distT="0" distB="0" distL="0" distR="0">
            <wp:extent cx="4724400" cy="12858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4724400" cy="1285875"/>
                    </a:xfrm>
                    <a:prstGeom prst="rect">
                      <a:avLst/>
                    </a:prstGeom>
                    <a:noFill/>
                    <a:ln>
                      <a:noFill/>
                    </a:ln>
                  </pic:spPr>
                </pic:pic>
              </a:graphicData>
            </a:graphic>
          </wp:inline>
        </w:drawing>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However, 50% strongly disagree that declining profitability is associated with the poor reputation of Sports Direct. Increasing costs of production, as well as poor decision making, contributes to losses at the firm.</w:t>
      </w:r>
    </w:p>
    <w:p>
      <w:pPr>
        <w:spacing w:line="360" w:lineRule="auto"/>
        <w:jc w:val="both"/>
        <w:rPr>
          <w:rFonts w:ascii="Times New Roman" w:hAnsi="Times New Roman" w:cs="Times New Roman"/>
          <w:sz w:val="24"/>
          <w:szCs w:val="24"/>
        </w:rPr>
      </w:pPr>
      <w:r>
        <w:rPr>
          <w:rFonts w:ascii="Times New Roman" w:hAnsi="Times New Roman" w:cs="Times New Roman"/>
          <w:sz w:val="24"/>
          <w:szCs w:val="24"/>
          <w:lang w:eastAsia="zh-CN"/>
        </w:rPr>
        <w:drawing>
          <wp:inline distT="0" distB="0" distL="0" distR="0">
            <wp:extent cx="4724400" cy="12858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4724400" cy="1285875"/>
                    </a:xfrm>
                    <a:prstGeom prst="rect">
                      <a:avLst/>
                    </a:prstGeom>
                    <a:noFill/>
                    <a:ln>
                      <a:noFill/>
                    </a:ln>
                  </pic:spPr>
                </pic:pic>
              </a:graphicData>
            </a:graphic>
          </wp:inline>
        </w:drawing>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Consumers (55%) also agree that Sports Direct Products are not innovative. Therefore, decisions should be made to continue innovating and creating value for the customer. </w:t>
      </w:r>
    </w:p>
    <w:p>
      <w:pPr>
        <w:spacing w:line="360" w:lineRule="auto"/>
        <w:jc w:val="both"/>
        <w:rPr>
          <w:rFonts w:ascii="Times New Roman" w:hAnsi="Times New Roman" w:cs="Times New Roman"/>
          <w:sz w:val="24"/>
          <w:szCs w:val="24"/>
        </w:rPr>
      </w:pPr>
      <w:r>
        <w:rPr>
          <w:rFonts w:ascii="Times New Roman" w:hAnsi="Times New Roman" w:cs="Times New Roman"/>
          <w:sz w:val="24"/>
          <w:szCs w:val="24"/>
          <w:lang w:eastAsia="zh-CN"/>
        </w:rPr>
        <w:drawing>
          <wp:inline distT="0" distB="0" distL="0" distR="0">
            <wp:extent cx="4724400" cy="12858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4724400" cy="1285875"/>
                    </a:xfrm>
                    <a:prstGeom prst="rect">
                      <a:avLst/>
                    </a:prstGeom>
                    <a:noFill/>
                    <a:ln>
                      <a:noFill/>
                    </a:ln>
                  </pic:spPr>
                </pic:pic>
              </a:graphicData>
            </a:graphic>
          </wp:inline>
        </w:drawing>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attitudes are examined, the majority of respondents (90%) agree that they have developed negative attitudes towards Sports Direct. </w:t>
      </w:r>
    </w:p>
    <w:p>
      <w:pPr>
        <w:spacing w:line="360" w:lineRule="auto"/>
        <w:jc w:val="both"/>
        <w:rPr>
          <w:rFonts w:ascii="Times New Roman" w:hAnsi="Times New Roman" w:cs="Times New Roman"/>
          <w:sz w:val="24"/>
          <w:szCs w:val="24"/>
        </w:rPr>
      </w:pPr>
      <w:r>
        <w:rPr>
          <w:rFonts w:ascii="Times New Roman" w:hAnsi="Times New Roman" w:cs="Times New Roman"/>
          <w:sz w:val="24"/>
          <w:szCs w:val="24"/>
          <w:lang w:eastAsia="zh-CN"/>
        </w:rPr>
        <w:drawing>
          <wp:inline distT="0" distB="0" distL="0" distR="0">
            <wp:extent cx="4724400" cy="12858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4724400" cy="1285875"/>
                    </a:xfrm>
                    <a:prstGeom prst="rect">
                      <a:avLst/>
                    </a:prstGeom>
                    <a:noFill/>
                    <a:ln>
                      <a:noFill/>
                    </a:ln>
                  </pic:spPr>
                </pic:pic>
              </a:graphicData>
            </a:graphic>
          </wp:inline>
        </w:drawing>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Subjecting employees to harsh work conditions do not seem to influence the purchase decision of customers (40%). They may focus on other factors such as innovativeness of products. Consumers may also not be aware of how their purchase is influenced by mistreatment of employees.</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lang w:eastAsia="zh-CN"/>
        </w:rPr>
        <w:drawing>
          <wp:inline distT="0" distB="0" distL="0" distR="0">
            <wp:extent cx="4724400" cy="11144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4724400" cy="1114425"/>
                    </a:xfrm>
                    <a:prstGeom prst="rect">
                      <a:avLst/>
                    </a:prstGeom>
                    <a:noFill/>
                    <a:ln>
                      <a:noFill/>
                    </a:ln>
                  </pic:spPr>
                </pic:pic>
              </a:graphicData>
            </a:graphic>
          </wp:inline>
        </w:drawing>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Finally, findings reveal that 75% strongly disagree that Sports Direct is socially responsible. This means that the firm has issues concerning unethical practices that affect the welfare of employees. Enhancing the social welfare of workers would contribute to legitimacy and goodwill which translates into increased purchase or sales thereby enhancing profits. However, poor decisions such as investing in mergers and acquisitions will continue to affect the profitability of Sports Direct. </w:t>
      </w:r>
    </w:p>
    <w:p>
      <w:pPr>
        <w:pStyle w:val="2"/>
        <w:numPr>
          <w:ilvl w:val="0"/>
          <w:numId w:val="1"/>
        </w:numPr>
        <w:rPr>
          <w:rFonts w:ascii="Times New Roman" w:hAnsi="Times New Roman" w:cs="Times New Roman"/>
          <w:color w:val="auto"/>
          <w:sz w:val="24"/>
          <w:szCs w:val="24"/>
        </w:rPr>
      </w:pPr>
      <w:bookmarkStart w:id="12" w:name="_Toc7889693"/>
      <w:r>
        <w:rPr>
          <w:rFonts w:ascii="Times New Roman" w:hAnsi="Times New Roman" w:cs="Times New Roman"/>
          <w:color w:val="auto"/>
          <w:sz w:val="24"/>
          <w:szCs w:val="24"/>
        </w:rPr>
        <w:t>Conclusion</w:t>
      </w:r>
      <w:bookmarkEnd w:id="12"/>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consultancy report focused on identifying the amount of revenue and sales reported by Sports Direct. Results indicated that the revenues of Sports Direct for the year ended April 2018; increased by 3.5% to £3359 billion. In addition, profit before tax stood at £77 million, a decrease of 72% (Singh, 2018). The company attributed the decline in profits to £85 million impacts from Debenham strategic investment. Furthermore, earnings per share decreased by 88% to £4.6. In addition, the researcher determined the challenges encountered by their company in their operations and management of the business in the last 5 years. Results from consumer survey indicate that Sports Direct has a low level of reputation which affects legitimacy as well as the willingness of employees to purchase their products. Data from secondary sources also revealed that Sports Direct management makes wrong decisions regarding the acquisition of other businesses such as Debenhams which has contributed to massive losses. Furthermore, Sports Direct has failed to innovate new products which can compete in the market. Challenges with poor work conditions as well as poor employee remuneration have also had a negative effect on the reputation of the company. </w:t>
      </w:r>
    </w:p>
    <w:p>
      <w:pPr>
        <w:pStyle w:val="2"/>
        <w:numPr>
          <w:ilvl w:val="0"/>
          <w:numId w:val="1"/>
        </w:numPr>
        <w:rPr>
          <w:rFonts w:ascii="Times New Roman" w:hAnsi="Times New Roman" w:cs="Times New Roman"/>
          <w:color w:val="auto"/>
          <w:sz w:val="24"/>
          <w:szCs w:val="24"/>
        </w:rPr>
      </w:pPr>
      <w:bookmarkStart w:id="13" w:name="_Toc7889694"/>
      <w:r>
        <w:rPr>
          <w:rFonts w:ascii="Times New Roman" w:hAnsi="Times New Roman" w:cs="Times New Roman"/>
          <w:color w:val="auto"/>
          <w:sz w:val="24"/>
          <w:szCs w:val="24"/>
        </w:rPr>
        <w:t>Recommendations</w:t>
      </w:r>
      <w:bookmarkEnd w:id="13"/>
    </w:p>
    <w:p>
      <w:pPr>
        <w:spacing w:line="360" w:lineRule="auto"/>
        <w:jc w:val="both"/>
        <w:rPr>
          <w:rFonts w:ascii="Times New Roman" w:hAnsi="Times New Roman" w:cs="Times New Roman"/>
          <w:sz w:val="24"/>
          <w:szCs w:val="24"/>
        </w:rPr>
      </w:pPr>
      <w:r>
        <w:rPr>
          <w:rFonts w:ascii="Times New Roman" w:hAnsi="Times New Roman" w:cs="Times New Roman"/>
          <w:sz w:val="24"/>
          <w:szCs w:val="24"/>
        </w:rPr>
        <w:t>A change of strategy is important at Sports Direct. The company should avoid acquisition of other companies which are highly risky such as Debenhams thereby affecting profits levels. In particular, the focus should be on using profits of Sports Direct to create innovative products without focusing on acquiring new businesses which do not add value to Sports Direct.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Sports Direct should focus on enhancing the welfare of employees while improving work conditions. Concern for the welfare of employee will influence negative consumer attitudes towards the firm thereby contributing to increased sales and profits. Social responsibility should be guaranteed by ensuring that employees receive the minimum wage while also paying for overtime work. The improvement of employee welfare will reduce the risk of employee poor productivity as well as leaving to pursue new opportunities.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Sports Direct should also introduce fair wages for employee compensation and remuneration in order to compete with larger firms. It is imperative to review the current remuneration of employees while developing new systems that will improve the financial position of Sports Direct.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Employees should also have the chance of achieving exceptions work-life balance. The inability of employees to interact with their family members is a major cause of loss of reputation and legitimacy. As a result, Sports Direct can only influence negative consumer attitudes when there is focus on the welfare of employees. </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pStyle w:val="2"/>
        <w:numPr>
          <w:ilvl w:val="0"/>
          <w:numId w:val="1"/>
        </w:numPr>
        <w:rPr>
          <w:rFonts w:ascii="Times New Roman" w:hAnsi="Times New Roman" w:cs="Times New Roman"/>
          <w:color w:val="auto"/>
          <w:sz w:val="24"/>
          <w:szCs w:val="24"/>
        </w:rPr>
      </w:pPr>
      <w:bookmarkStart w:id="14" w:name="_Toc7889695"/>
      <w:r>
        <w:rPr>
          <w:rFonts w:ascii="Times New Roman" w:hAnsi="Times New Roman" w:cs="Times New Roman"/>
          <w:color w:val="auto"/>
          <w:sz w:val="24"/>
          <w:szCs w:val="24"/>
        </w:rPr>
        <w:t>References</w:t>
      </w:r>
      <w:bookmarkEnd w:id="14"/>
      <w:r>
        <w:rPr>
          <w:rFonts w:ascii="Times New Roman" w:hAnsi="Times New Roman" w:cs="Times New Roman"/>
          <w:color w:val="auto"/>
          <w:sz w:val="24"/>
          <w:szCs w:val="24"/>
        </w:rPr>
        <w:t xml:space="preserve"> </w:t>
      </w:r>
    </w:p>
    <w:p>
      <w:pPr>
        <w:spacing w:line="360" w:lineRule="auto"/>
        <w:ind w:left="785" w:hanging="784" w:hangingChars="327"/>
        <w:jc w:val="both"/>
        <w:rPr>
          <w:rFonts w:ascii="Times New Roman" w:hAnsi="Times New Roman" w:cs="Times New Roman"/>
          <w:sz w:val="24"/>
          <w:szCs w:val="24"/>
        </w:rPr>
      </w:pPr>
      <w:r>
        <w:rPr>
          <w:rFonts w:ascii="Times New Roman" w:hAnsi="Times New Roman" w:cs="Times New Roman"/>
          <w:sz w:val="24"/>
          <w:szCs w:val="24"/>
        </w:rPr>
        <w:t xml:space="preserve">BBC (2018, July). Sports Direct profits fall after £85m hit on Debenhams stake. Available at: </w:t>
      </w:r>
      <w:r>
        <w:fldChar w:fldCharType="begin"/>
      </w:r>
      <w:r>
        <w:instrText xml:space="preserve"> HYPERLINK "https://www.bbc.com/news/business-44882971" </w:instrText>
      </w:r>
      <w:r>
        <w:fldChar w:fldCharType="separate"/>
      </w:r>
      <w:r>
        <w:rPr>
          <w:rStyle w:val="12"/>
          <w:rFonts w:ascii="Times New Roman" w:hAnsi="Times New Roman" w:cs="Times New Roman"/>
          <w:color w:val="auto"/>
          <w:sz w:val="24"/>
          <w:szCs w:val="24"/>
        </w:rPr>
        <w:t>https://www.bbc.com/news/business-44882971</w:t>
      </w:r>
      <w:r>
        <w:rPr>
          <w:rStyle w:val="12"/>
          <w:rFonts w:ascii="Times New Roman" w:hAnsi="Times New Roman" w:cs="Times New Roman"/>
          <w:color w:val="auto"/>
          <w:sz w:val="24"/>
          <w:szCs w:val="24"/>
        </w:rPr>
        <w:fldChar w:fldCharType="end"/>
      </w:r>
    </w:p>
    <w:p>
      <w:pPr>
        <w:spacing w:line="360" w:lineRule="auto"/>
        <w:ind w:left="567" w:hanging="567"/>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Buttler S, 2017, Sports Direct fails to meet 2016 pledge on working conditions, </w:t>
      </w:r>
      <w:r>
        <w:rPr>
          <w:rFonts w:ascii="Times New Roman" w:hAnsi="Times New Roman" w:eastAsia="Times New Roman" w:cs="Times New Roman"/>
          <w:i/>
          <w:sz w:val="24"/>
          <w:szCs w:val="24"/>
        </w:rPr>
        <w:t>The Guardian,</w:t>
      </w:r>
      <w:r>
        <w:rPr>
          <w:rFonts w:ascii="Times New Roman" w:hAnsi="Times New Roman" w:eastAsia="Times New Roman" w:cs="Times New Roman"/>
          <w:sz w:val="24"/>
          <w:szCs w:val="24"/>
        </w:rPr>
        <w:t xml:space="preserve"> Available at</w:t>
      </w:r>
      <w:r>
        <w:rPr>
          <w:rFonts w:ascii="Times New Roman" w:hAnsi="Times New Roman" w:cs="Times New Roman"/>
          <w:sz w:val="24"/>
          <w:szCs w:val="24"/>
        </w:rPr>
        <w:t xml:space="preserve"> </w:t>
      </w:r>
      <w:r>
        <w:rPr>
          <w:rFonts w:ascii="Times New Roman" w:hAnsi="Times New Roman" w:eastAsia="Times New Roman" w:cs="Times New Roman"/>
          <w:sz w:val="24"/>
          <w:szCs w:val="24"/>
        </w:rPr>
        <w:t>https://www.theguardian.com/business/2017/sep/05/sports-direct-fails-2016-pledge-zero-hours-shirebrook-mike-ashley</w:t>
      </w:r>
    </w:p>
    <w:p>
      <w:pPr>
        <w:spacing w:line="360" w:lineRule="auto"/>
        <w:ind w:left="785" w:hanging="784" w:hangingChars="32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Carroll, A. B., &amp; Buchholtz, A. K. (2014). </w:t>
      </w:r>
      <w:r>
        <w:rPr>
          <w:rFonts w:ascii="Times New Roman" w:hAnsi="Times New Roman" w:cs="Times New Roman"/>
          <w:i/>
          <w:iCs/>
          <w:sz w:val="24"/>
          <w:szCs w:val="24"/>
          <w:shd w:val="clear" w:color="auto" w:fill="FFFFFF"/>
        </w:rPr>
        <w:t>Business and Society: Ethics, sustainability, and stakeholder management</w:t>
      </w:r>
      <w:r>
        <w:rPr>
          <w:rFonts w:ascii="Times New Roman" w:hAnsi="Times New Roman" w:cs="Times New Roman"/>
          <w:sz w:val="24"/>
          <w:szCs w:val="24"/>
          <w:shd w:val="clear" w:color="auto" w:fill="FFFFFF"/>
        </w:rPr>
        <w:t>. Nelson Education.</w:t>
      </w:r>
    </w:p>
    <w:p>
      <w:pPr>
        <w:spacing w:line="360" w:lineRule="auto"/>
        <w:ind w:left="785" w:hanging="784" w:hangingChars="327"/>
        <w:jc w:val="both"/>
        <w:rPr>
          <w:rFonts w:ascii="Times New Roman" w:hAnsi="Times New Roman" w:cs="Times New Roman"/>
          <w:sz w:val="24"/>
          <w:szCs w:val="24"/>
        </w:rPr>
      </w:pPr>
      <w:r>
        <w:rPr>
          <w:rFonts w:ascii="Times New Roman" w:hAnsi="Times New Roman" w:cs="Times New Roman"/>
          <w:sz w:val="24"/>
          <w:szCs w:val="24"/>
        </w:rPr>
        <w:t xml:space="preserve">Goodley, S &amp; Ashby, J. (2015, December). How Sports Direct effectively pays below minimum wage. Available at; </w:t>
      </w:r>
      <w:r>
        <w:fldChar w:fldCharType="begin"/>
      </w:r>
      <w:r>
        <w:instrText xml:space="preserve"> HYPERLINK "https://www.theguardian.com/business/2015/dec/09/how-sports-direct-effectively-pays-below-minimum-wage-pay" </w:instrText>
      </w:r>
      <w:r>
        <w:fldChar w:fldCharType="separate"/>
      </w:r>
      <w:r>
        <w:rPr>
          <w:rStyle w:val="12"/>
          <w:rFonts w:ascii="Times New Roman" w:hAnsi="Times New Roman" w:cs="Times New Roman"/>
          <w:color w:val="auto"/>
          <w:sz w:val="24"/>
          <w:szCs w:val="24"/>
        </w:rPr>
        <w:t>https://www.theguardian.com/business/2015/dec/09/how-sports-direct-effectively-pays-below-minimum-wage-pay</w:t>
      </w:r>
      <w:r>
        <w:rPr>
          <w:rStyle w:val="12"/>
          <w:rFonts w:ascii="Times New Roman" w:hAnsi="Times New Roman" w:cs="Times New Roman"/>
          <w:color w:val="auto"/>
          <w:sz w:val="24"/>
          <w:szCs w:val="24"/>
        </w:rPr>
        <w:fldChar w:fldCharType="end"/>
      </w:r>
      <w:r>
        <w:rPr>
          <w:rFonts w:ascii="Times New Roman" w:hAnsi="Times New Roman" w:cs="Times New Roman"/>
          <w:sz w:val="24"/>
          <w:szCs w:val="24"/>
        </w:rPr>
        <w:t xml:space="preserve"> </w:t>
      </w:r>
    </w:p>
    <w:p>
      <w:pPr>
        <w:spacing w:line="360" w:lineRule="auto"/>
        <w:ind w:left="785" w:hanging="784" w:hangingChars="32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Grublješič, T., &amp; Jaklič, J. (2015). Business intelligence acceptance: The prominence of organizational factors. </w:t>
      </w:r>
      <w:r>
        <w:rPr>
          <w:rFonts w:ascii="Times New Roman" w:hAnsi="Times New Roman" w:cs="Times New Roman"/>
          <w:i/>
          <w:iCs/>
          <w:sz w:val="24"/>
          <w:szCs w:val="24"/>
          <w:shd w:val="clear" w:color="auto" w:fill="FFFFFF"/>
        </w:rPr>
        <w:t>Information Systems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32</w:t>
      </w:r>
      <w:r>
        <w:rPr>
          <w:rFonts w:ascii="Times New Roman" w:hAnsi="Times New Roman" w:cs="Times New Roman"/>
          <w:sz w:val="24"/>
          <w:szCs w:val="24"/>
          <w:shd w:val="clear" w:color="auto" w:fill="FFFFFF"/>
        </w:rPr>
        <w:t>(4), 299-315.</w:t>
      </w:r>
    </w:p>
    <w:p>
      <w:pPr>
        <w:spacing w:line="360" w:lineRule="auto"/>
        <w:ind w:left="785" w:hanging="784" w:hangingChars="32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Hoogendoorn, B. (2016). The prevalence and determinants of social entrepreneurship at the macro level. </w:t>
      </w:r>
      <w:r>
        <w:rPr>
          <w:rFonts w:ascii="Times New Roman" w:hAnsi="Times New Roman" w:cs="Times New Roman"/>
          <w:i/>
          <w:iCs/>
          <w:sz w:val="24"/>
          <w:szCs w:val="24"/>
          <w:shd w:val="clear" w:color="auto" w:fill="FFFFFF"/>
        </w:rPr>
        <w:t>Journal of Small Business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54</w:t>
      </w:r>
      <w:r>
        <w:rPr>
          <w:rFonts w:ascii="Times New Roman" w:hAnsi="Times New Roman" w:cs="Times New Roman"/>
          <w:sz w:val="24"/>
          <w:szCs w:val="24"/>
          <w:shd w:val="clear" w:color="auto" w:fill="FFFFFF"/>
        </w:rPr>
        <w:t>, 278-296.</w:t>
      </w:r>
    </w:p>
    <w:p>
      <w:pPr>
        <w:spacing w:line="360" w:lineRule="auto"/>
        <w:ind w:left="567" w:hanging="567"/>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Key, A. (2018), Sports Direct faces ‘significant challenges’ in House of Fraser turnaround, </w:t>
      </w:r>
      <w:r>
        <w:rPr>
          <w:rFonts w:ascii="Times New Roman" w:hAnsi="Times New Roman" w:eastAsia="Times New Roman" w:cs="Times New Roman"/>
          <w:i/>
          <w:sz w:val="24"/>
          <w:szCs w:val="24"/>
        </w:rPr>
        <w:t>Press Association</w:t>
      </w:r>
      <w:r>
        <w:rPr>
          <w:rFonts w:ascii="Times New Roman" w:hAnsi="Times New Roman" w:eastAsia="Times New Roman" w:cs="Times New Roman"/>
          <w:sz w:val="24"/>
          <w:szCs w:val="24"/>
        </w:rPr>
        <w:t>. Available at: https://www.independent.ie/world-news/sports-direct-faces-significant-challenges-in-house-of-fraser-turnaround-37622780.html</w:t>
      </w:r>
    </w:p>
    <w:p>
      <w:pPr>
        <w:spacing w:line="360" w:lineRule="auto"/>
        <w:ind w:left="785" w:hanging="784" w:hangingChars="32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Kinyua, A. N. (2014). Factors affecting the performance of Small and Medium Enterprises in the Jua Kali sector in Nakuru Town, Kenya. </w:t>
      </w:r>
      <w:r>
        <w:rPr>
          <w:rFonts w:ascii="Times New Roman" w:hAnsi="Times New Roman" w:cs="Times New Roman"/>
          <w:i/>
          <w:iCs/>
          <w:sz w:val="24"/>
          <w:szCs w:val="24"/>
          <w:shd w:val="clear" w:color="auto" w:fill="FFFFFF"/>
        </w:rPr>
        <w:t>Journal of Business and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6</w:t>
      </w:r>
      <w:r>
        <w:rPr>
          <w:rFonts w:ascii="Times New Roman" w:hAnsi="Times New Roman" w:cs="Times New Roman"/>
          <w:sz w:val="24"/>
          <w:szCs w:val="24"/>
          <w:shd w:val="clear" w:color="auto" w:fill="FFFFFF"/>
        </w:rPr>
        <w:t>(1), 5-10.</w:t>
      </w:r>
    </w:p>
    <w:p>
      <w:pPr>
        <w:spacing w:line="360" w:lineRule="auto"/>
        <w:ind w:left="785" w:hanging="784" w:hangingChars="327"/>
        <w:jc w:val="both"/>
        <w:rPr>
          <w:rFonts w:ascii="Times New Roman" w:hAnsi="Times New Roman" w:cs="Times New Roman"/>
          <w:sz w:val="24"/>
          <w:szCs w:val="24"/>
        </w:rPr>
      </w:pPr>
      <w:r>
        <w:rPr>
          <w:rFonts w:ascii="Times New Roman" w:hAnsi="Times New Roman" w:cs="Times New Roman"/>
          <w:sz w:val="24"/>
          <w:szCs w:val="24"/>
        </w:rPr>
        <w:t xml:space="preserve">Kollewe, J &amp; Butler, S. (2018, July). Sports Direct profits plunge by 72% after £ hit on the Debenhams stake. Available at: </w:t>
      </w:r>
      <w:r>
        <w:fldChar w:fldCharType="begin"/>
      </w:r>
      <w:r>
        <w:instrText xml:space="preserve"> HYPERLINK "https://www.theguardian.com/business/2018/jul/19/sports-direct-profits-nosedive-by-72" </w:instrText>
      </w:r>
      <w:r>
        <w:fldChar w:fldCharType="separate"/>
      </w:r>
      <w:r>
        <w:rPr>
          <w:rStyle w:val="12"/>
          <w:rFonts w:ascii="Times New Roman" w:hAnsi="Times New Roman" w:cs="Times New Roman"/>
          <w:color w:val="auto"/>
          <w:sz w:val="24"/>
          <w:szCs w:val="24"/>
        </w:rPr>
        <w:t>https://www.theguardian.com/business/2018/jul/19/sports-direct-profits-nosedive-by-72</w:t>
      </w:r>
      <w:r>
        <w:rPr>
          <w:rStyle w:val="12"/>
          <w:rFonts w:ascii="Times New Roman" w:hAnsi="Times New Roman" w:cs="Times New Roman"/>
          <w:color w:val="auto"/>
          <w:sz w:val="24"/>
          <w:szCs w:val="24"/>
        </w:rPr>
        <w:fldChar w:fldCharType="end"/>
      </w:r>
      <w:r>
        <w:rPr>
          <w:rFonts w:ascii="Times New Roman" w:hAnsi="Times New Roman" w:cs="Times New Roman"/>
          <w:sz w:val="24"/>
          <w:szCs w:val="24"/>
        </w:rPr>
        <w:t xml:space="preserve"> </w:t>
      </w:r>
    </w:p>
    <w:p>
      <w:pPr>
        <w:tabs>
          <w:tab w:val="left" w:pos="2333"/>
        </w:tabs>
        <w:spacing w:line="360" w:lineRule="auto"/>
        <w:ind w:left="567" w:hanging="567"/>
        <w:jc w:val="both"/>
        <w:rPr>
          <w:rFonts w:ascii="Times New Roman" w:hAnsi="Times New Roman" w:cs="Times New Roman"/>
          <w:sz w:val="24"/>
          <w:szCs w:val="24"/>
          <w:highlight w:val="white"/>
        </w:rPr>
      </w:pPr>
      <w:r>
        <w:rPr>
          <w:rFonts w:ascii="Times New Roman" w:hAnsi="Times New Roman" w:cs="Times New Roman"/>
          <w:sz w:val="24"/>
          <w:szCs w:val="24"/>
          <w:shd w:val="clear" w:color="auto" w:fill="FFFFFF"/>
        </w:rPr>
        <w:t xml:space="preserve">Makottoff, S. (2019). Sports Direct profits crash 73% as retailer takes hit from stake in struggling Debenhams, </w:t>
      </w:r>
      <w:r>
        <w:rPr>
          <w:rFonts w:ascii="Times New Roman" w:hAnsi="Times New Roman" w:cs="Times New Roman"/>
          <w:i/>
          <w:sz w:val="24"/>
          <w:szCs w:val="24"/>
          <w:shd w:val="clear" w:color="auto" w:fill="FFFFFF"/>
        </w:rPr>
        <w:t xml:space="preserve">Independent, </w:t>
      </w:r>
      <w:r>
        <w:rPr>
          <w:rFonts w:ascii="Times New Roman" w:hAnsi="Times New Roman" w:cs="Times New Roman"/>
          <w:sz w:val="24"/>
          <w:szCs w:val="24"/>
          <w:shd w:val="clear" w:color="auto" w:fill="FFFFFF"/>
        </w:rPr>
        <w:t>Available at:</w:t>
      </w:r>
      <w:r>
        <w:rPr>
          <w:rFonts w:ascii="Times New Roman" w:hAnsi="Times New Roman" w:cs="Times New Roman"/>
          <w:i/>
          <w:sz w:val="24"/>
          <w:szCs w:val="24"/>
          <w:shd w:val="clear" w:color="auto" w:fill="FFFFFF"/>
        </w:rPr>
        <w:t xml:space="preserve"> </w:t>
      </w:r>
      <w:r>
        <w:rPr>
          <w:rFonts w:ascii="Times New Roman" w:hAnsi="Times New Roman" w:cs="Times New Roman"/>
          <w:sz w:val="24"/>
          <w:szCs w:val="24"/>
          <w:shd w:val="clear" w:color="auto" w:fill="FFFFFF"/>
        </w:rPr>
        <w:t>https://www.independent.co.uk/news/business/news/sports-direct-profits-down-debenhams-mike-ashley-full-year-results-a8454111.html</w:t>
      </w:r>
    </w:p>
    <w:p>
      <w:pPr>
        <w:spacing w:line="360" w:lineRule="auto"/>
        <w:ind w:left="785" w:hanging="784" w:hangingChars="32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Mayer, I. (2015). Qualitative research with a focus on qualitative data analysis. </w:t>
      </w:r>
      <w:r>
        <w:rPr>
          <w:rFonts w:ascii="Times New Roman" w:hAnsi="Times New Roman" w:cs="Times New Roman"/>
          <w:i/>
          <w:iCs/>
          <w:sz w:val="24"/>
          <w:szCs w:val="24"/>
          <w:shd w:val="clear" w:color="auto" w:fill="FFFFFF"/>
        </w:rPr>
        <w:t>International Journal of Sales, Retailing &amp; Marketing</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w:t>
      </w:r>
      <w:r>
        <w:rPr>
          <w:rFonts w:ascii="Times New Roman" w:hAnsi="Times New Roman" w:cs="Times New Roman"/>
          <w:sz w:val="24"/>
          <w:szCs w:val="24"/>
          <w:shd w:val="clear" w:color="auto" w:fill="FFFFFF"/>
        </w:rPr>
        <w:t>(9), 53-67.</w:t>
      </w:r>
    </w:p>
    <w:p>
      <w:pPr>
        <w:spacing w:line="360" w:lineRule="auto"/>
        <w:ind w:left="785" w:hanging="784" w:hangingChars="327"/>
        <w:jc w:val="both"/>
        <w:rPr>
          <w:rFonts w:ascii="Times New Roman" w:hAnsi="Times New Roman" w:cs="Times New Roman"/>
          <w:sz w:val="24"/>
          <w:szCs w:val="24"/>
        </w:rPr>
      </w:pPr>
      <w:r>
        <w:rPr>
          <w:rFonts w:ascii="Times New Roman" w:hAnsi="Times New Roman" w:cs="Times New Roman"/>
          <w:sz w:val="24"/>
          <w:szCs w:val="24"/>
        </w:rPr>
        <w:t xml:space="preserve">McCarthy, J. (2017, July). Mike Ashley reputation hurts Sports Direct as profits plummet 60%, claims study. Available at: </w:t>
      </w:r>
      <w:r>
        <w:fldChar w:fldCharType="begin"/>
      </w:r>
      <w:r>
        <w:instrText xml:space="preserve"> HYPERLINK "https://www.thedrum.com/news/2017/07/20/mike-ashley-reputation-hurts-sports-direct-profits-plummet-60-claims-study" </w:instrText>
      </w:r>
      <w:r>
        <w:fldChar w:fldCharType="separate"/>
      </w:r>
      <w:r>
        <w:rPr>
          <w:rStyle w:val="12"/>
          <w:rFonts w:ascii="Times New Roman" w:hAnsi="Times New Roman" w:cs="Times New Roman"/>
          <w:color w:val="auto"/>
          <w:sz w:val="24"/>
          <w:szCs w:val="24"/>
        </w:rPr>
        <w:t>https://www.thedrum.com/news/2017/07/20/mike-ashley-reputation-hurts-sports-direct-profits-plummet-60-claims-study</w:t>
      </w:r>
      <w:r>
        <w:rPr>
          <w:rStyle w:val="12"/>
          <w:rFonts w:ascii="Times New Roman" w:hAnsi="Times New Roman" w:cs="Times New Roman"/>
          <w:color w:val="auto"/>
          <w:sz w:val="24"/>
          <w:szCs w:val="24"/>
        </w:rPr>
        <w:fldChar w:fldCharType="end"/>
      </w:r>
    </w:p>
    <w:p>
      <w:pPr>
        <w:spacing w:line="360" w:lineRule="auto"/>
        <w:ind w:left="785" w:hanging="784" w:hangingChars="327"/>
        <w:jc w:val="both"/>
        <w:rPr>
          <w:rFonts w:ascii="Times New Roman" w:hAnsi="Times New Roman" w:cs="Times New Roman"/>
          <w:sz w:val="24"/>
          <w:szCs w:val="24"/>
        </w:rPr>
      </w:pPr>
      <w:r>
        <w:rPr>
          <w:rFonts w:ascii="Times New Roman" w:hAnsi="Times New Roman" w:cs="Times New Roman"/>
          <w:sz w:val="24"/>
          <w:szCs w:val="24"/>
        </w:rPr>
        <w:t xml:space="preserve">MF Journalism (2019, May). Global Sports Equipment and Apparel Market 2019-2024-onset of advanced technologies to upsurge growth. Available at: </w:t>
      </w:r>
      <w:r>
        <w:fldChar w:fldCharType="begin"/>
      </w:r>
      <w:r>
        <w:instrText xml:space="preserve"> HYPERLINK "http://microfinancejournalism.com/2019/05/02/global-sports-equipment-and-apparel-market-2019-2024-onset-of-advanced-technologies-to-upsurge-the-growth/" </w:instrText>
      </w:r>
      <w:r>
        <w:fldChar w:fldCharType="separate"/>
      </w:r>
      <w:r>
        <w:rPr>
          <w:rStyle w:val="12"/>
          <w:rFonts w:ascii="Times New Roman" w:hAnsi="Times New Roman" w:cs="Times New Roman"/>
          <w:color w:val="auto"/>
          <w:sz w:val="24"/>
          <w:szCs w:val="24"/>
        </w:rPr>
        <w:t>http://microfinancejournalism.com/2019/05/02/global-sports-equipment-and-apparel-market-2019-2024-onset-of-advanced-technologies-to-upsurge-the-growth/</w:t>
      </w:r>
      <w:r>
        <w:rPr>
          <w:rStyle w:val="12"/>
          <w:rFonts w:ascii="Times New Roman" w:hAnsi="Times New Roman" w:cs="Times New Roman"/>
          <w:color w:val="auto"/>
          <w:sz w:val="24"/>
          <w:szCs w:val="24"/>
        </w:rPr>
        <w:fldChar w:fldCharType="end"/>
      </w:r>
    </w:p>
    <w:p>
      <w:pPr>
        <w:tabs>
          <w:tab w:val="left" w:pos="2333"/>
        </w:tabs>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Moore, J. (2016). JD Sports Fashion scores as Sports Direct stumbles, Independent, Available at: </w:t>
      </w:r>
      <w:r>
        <w:fldChar w:fldCharType="begin"/>
      </w:r>
      <w:r>
        <w:instrText xml:space="preserve"> HYPERLINK "https://www.independent.co.uk/news/business/comment/jd-sports-fashion-scores-as-sports-direct-stumbles-a7241036.html" </w:instrText>
      </w:r>
      <w:r>
        <w:fldChar w:fldCharType="separate"/>
      </w:r>
      <w:r>
        <w:rPr>
          <w:rStyle w:val="15"/>
          <w:rFonts w:ascii="Times New Roman" w:hAnsi="Times New Roman" w:cs="Times New Roman"/>
          <w:color w:val="auto"/>
          <w:sz w:val="24"/>
          <w:szCs w:val="24"/>
        </w:rPr>
        <w:t>https://www.independent.co.uk/news/business/comment/jd-sports-fashion-scores-as-sports-direct-stumbles-a7241036.html</w:t>
      </w:r>
      <w:r>
        <w:rPr>
          <w:rStyle w:val="15"/>
          <w:rFonts w:ascii="Times New Roman" w:hAnsi="Times New Roman" w:cs="Times New Roman"/>
          <w:color w:val="auto"/>
          <w:sz w:val="24"/>
          <w:szCs w:val="24"/>
        </w:rPr>
        <w:fldChar w:fldCharType="end"/>
      </w:r>
    </w:p>
    <w:p>
      <w:pPr>
        <w:tabs>
          <w:tab w:val="left" w:pos="2333"/>
        </w:tabs>
        <w:spacing w:line="360" w:lineRule="auto"/>
        <w:ind w:left="785" w:hanging="784" w:hangingChars="327"/>
        <w:jc w:val="both"/>
        <w:rPr>
          <w:rFonts w:ascii="Times New Roman" w:hAnsi="Times New Roman" w:cs="Times New Roman"/>
          <w:sz w:val="24"/>
          <w:szCs w:val="24"/>
          <w:highlight w:val="white"/>
        </w:rPr>
      </w:pPr>
      <w:r>
        <w:rPr>
          <w:rFonts w:ascii="Times New Roman" w:hAnsi="Times New Roman" w:cs="Times New Roman"/>
          <w:sz w:val="24"/>
          <w:szCs w:val="24"/>
          <w:shd w:val="clear" w:color="auto" w:fill="FFFFFF"/>
        </w:rPr>
        <w:t xml:space="preserve">Nardi, P. M. (2018). </w:t>
      </w:r>
      <w:r>
        <w:rPr>
          <w:rFonts w:ascii="Times New Roman" w:hAnsi="Times New Roman" w:cs="Times New Roman"/>
          <w:i/>
          <w:iCs/>
          <w:sz w:val="24"/>
          <w:szCs w:val="24"/>
          <w:shd w:val="clear" w:color="auto" w:fill="FFFFFF"/>
        </w:rPr>
        <w:t>Doing survey research: A guide to quantitative methods</w:t>
      </w:r>
      <w:r>
        <w:rPr>
          <w:rFonts w:ascii="Times New Roman" w:hAnsi="Times New Roman" w:cs="Times New Roman"/>
          <w:sz w:val="24"/>
          <w:szCs w:val="24"/>
          <w:shd w:val="clear" w:color="auto" w:fill="FFFFFF"/>
        </w:rPr>
        <w:t>. Routledge.</w:t>
      </w:r>
    </w:p>
    <w:p>
      <w:pPr>
        <w:spacing w:line="360" w:lineRule="auto"/>
        <w:ind w:left="785" w:hanging="784" w:hangingChars="32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Nulkar, G. (2014). SMEs and environmental performance–A framework for green business strategies. </w:t>
      </w:r>
      <w:r>
        <w:rPr>
          <w:rFonts w:ascii="Times New Roman" w:hAnsi="Times New Roman" w:cs="Times New Roman"/>
          <w:i/>
          <w:iCs/>
          <w:sz w:val="24"/>
          <w:szCs w:val="24"/>
          <w:shd w:val="clear" w:color="auto" w:fill="FFFFFF"/>
        </w:rPr>
        <w:t>Procedia-Social and Behavioral Sciences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133</w:t>
      </w:r>
      <w:r>
        <w:rPr>
          <w:rFonts w:ascii="Times New Roman" w:hAnsi="Times New Roman" w:cs="Times New Roman"/>
          <w:sz w:val="24"/>
          <w:szCs w:val="24"/>
          <w:shd w:val="clear" w:color="auto" w:fill="FFFFFF"/>
        </w:rPr>
        <w:t>, 130-140.</w:t>
      </w:r>
    </w:p>
    <w:p>
      <w:pPr>
        <w:spacing w:line="360" w:lineRule="auto"/>
        <w:ind w:left="785" w:hanging="784" w:hangingChars="327"/>
        <w:jc w:val="both"/>
        <w:rPr>
          <w:rFonts w:ascii="Times New Roman" w:hAnsi="Times New Roman" w:cs="Times New Roman"/>
          <w:b/>
          <w:sz w:val="24"/>
          <w:szCs w:val="24"/>
        </w:rPr>
      </w:pPr>
      <w:r>
        <w:rPr>
          <w:rFonts w:ascii="Times New Roman" w:hAnsi="Times New Roman" w:cs="Times New Roman"/>
          <w:sz w:val="24"/>
          <w:szCs w:val="24"/>
          <w:shd w:val="clear" w:color="auto" w:fill="FFFFFF"/>
        </w:rPr>
        <w:t>Pisano, G. P. (2017). Toward a prescriptive theory of dynamic capabilities: connecting strategic choice, learning, and competition. </w:t>
      </w:r>
      <w:r>
        <w:rPr>
          <w:rFonts w:ascii="Times New Roman" w:hAnsi="Times New Roman" w:cs="Times New Roman"/>
          <w:i/>
          <w:iCs/>
          <w:sz w:val="24"/>
          <w:szCs w:val="24"/>
          <w:shd w:val="clear" w:color="auto" w:fill="FFFFFF"/>
        </w:rPr>
        <w:t>Industrial and Corporate Change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26</w:t>
      </w:r>
      <w:r>
        <w:rPr>
          <w:rFonts w:ascii="Times New Roman" w:hAnsi="Times New Roman" w:cs="Times New Roman"/>
          <w:sz w:val="24"/>
          <w:szCs w:val="24"/>
          <w:shd w:val="clear" w:color="auto" w:fill="FFFFFF"/>
        </w:rPr>
        <w:t>(5), 747-762.</w:t>
      </w:r>
    </w:p>
    <w:p>
      <w:pPr>
        <w:spacing w:line="360" w:lineRule="auto"/>
        <w:ind w:left="785" w:hanging="784" w:hangingChars="32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Rahi, S. (2017). Research design and methods: A systematic review of research paradigms, sampling issues, and instruments development. </w:t>
      </w:r>
      <w:r>
        <w:rPr>
          <w:rFonts w:ascii="Times New Roman" w:hAnsi="Times New Roman" w:cs="Times New Roman"/>
          <w:i/>
          <w:iCs/>
          <w:sz w:val="24"/>
          <w:szCs w:val="24"/>
          <w:shd w:val="clear" w:color="auto" w:fill="FFFFFF"/>
        </w:rPr>
        <w:t>International Journal of Economics &amp; Management Sciences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6</w:t>
      </w:r>
      <w:r>
        <w:rPr>
          <w:rFonts w:ascii="Times New Roman" w:hAnsi="Times New Roman" w:cs="Times New Roman"/>
          <w:sz w:val="24"/>
          <w:szCs w:val="24"/>
          <w:shd w:val="clear" w:color="auto" w:fill="FFFFFF"/>
        </w:rPr>
        <w:t>(2), 1-5.</w:t>
      </w:r>
    </w:p>
    <w:p>
      <w:pPr>
        <w:spacing w:line="360" w:lineRule="auto"/>
        <w:ind w:left="785" w:hanging="784" w:hangingChars="327"/>
        <w:jc w:val="both"/>
        <w:rPr>
          <w:rFonts w:ascii="Times New Roman" w:hAnsi="Times New Roman" w:cs="Times New Roman"/>
          <w:sz w:val="24"/>
          <w:szCs w:val="24"/>
        </w:rPr>
      </w:pPr>
      <w:r>
        <w:rPr>
          <w:rFonts w:ascii="Times New Roman" w:hAnsi="Times New Roman" w:cs="Times New Roman"/>
          <w:sz w:val="24"/>
          <w:szCs w:val="24"/>
        </w:rPr>
        <w:t xml:space="preserve">Singh, P. (2018, July). Sports Direct reports 72 percent drop in annual profit. Fashion United. Available at: </w:t>
      </w:r>
      <w:r>
        <w:fldChar w:fldCharType="begin"/>
      </w:r>
      <w:r>
        <w:instrText xml:space="preserve"> HYPERLINK "https://fashionunited.uk/news/business/sports-direct-reports-72-5-percent-drop-in-annual-profit/2018071930838" </w:instrText>
      </w:r>
      <w:r>
        <w:fldChar w:fldCharType="separate"/>
      </w:r>
      <w:r>
        <w:rPr>
          <w:rStyle w:val="12"/>
          <w:rFonts w:ascii="Times New Roman" w:hAnsi="Times New Roman" w:cs="Times New Roman"/>
          <w:color w:val="auto"/>
          <w:sz w:val="24"/>
          <w:szCs w:val="24"/>
        </w:rPr>
        <w:t>https://fashionunited.uk/news/business/sports-direct-reports-72-5-percent-drop-in-annual-profit/2018071930838</w:t>
      </w:r>
      <w:r>
        <w:rPr>
          <w:rStyle w:val="12"/>
          <w:rFonts w:ascii="Times New Roman" w:hAnsi="Times New Roman" w:cs="Times New Roman"/>
          <w:color w:val="auto"/>
          <w:sz w:val="24"/>
          <w:szCs w:val="24"/>
        </w:rPr>
        <w:fldChar w:fldCharType="end"/>
      </w:r>
    </w:p>
    <w:p>
      <w:pPr>
        <w:spacing w:line="360" w:lineRule="auto"/>
        <w:ind w:left="785" w:hanging="784" w:hangingChars="32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Thompson, A., Strickland, A. J., &amp; Gamble, J. (2015). </w:t>
      </w:r>
      <w:r>
        <w:rPr>
          <w:rFonts w:ascii="Times New Roman" w:hAnsi="Times New Roman" w:cs="Times New Roman"/>
          <w:i/>
          <w:iCs/>
          <w:sz w:val="24"/>
          <w:szCs w:val="24"/>
          <w:shd w:val="clear" w:color="auto" w:fill="FFFFFF"/>
        </w:rPr>
        <w:t>Crafting and executing strategy: Concepts and readings</w:t>
      </w:r>
      <w:r>
        <w:rPr>
          <w:rFonts w:ascii="Times New Roman" w:hAnsi="Times New Roman" w:cs="Times New Roman"/>
          <w:sz w:val="24"/>
          <w:szCs w:val="24"/>
          <w:shd w:val="clear" w:color="auto" w:fill="FFFFFF"/>
        </w:rPr>
        <w:t>. McGraw-Hill Education.</w:t>
      </w:r>
    </w:p>
    <w:p>
      <w:pPr>
        <w:spacing w:line="360" w:lineRule="auto"/>
        <w:ind w:left="785" w:hanging="784" w:hangingChars="32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Zaridis, A. D., &amp; Mousiolis, D. T. (2014). Entrepreneurship and SME's organizational structure. Elements of a successful business. </w:t>
      </w:r>
      <w:r>
        <w:rPr>
          <w:rFonts w:ascii="Times New Roman" w:hAnsi="Times New Roman" w:cs="Times New Roman"/>
          <w:i/>
          <w:iCs/>
          <w:sz w:val="24"/>
          <w:szCs w:val="24"/>
          <w:shd w:val="clear" w:color="auto" w:fill="FFFFFF"/>
        </w:rPr>
        <w:t>Procedia-Social and Behavioral Sciences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148</w:t>
      </w:r>
      <w:r>
        <w:rPr>
          <w:rFonts w:ascii="Times New Roman" w:hAnsi="Times New Roman" w:cs="Times New Roman"/>
          <w:sz w:val="24"/>
          <w:szCs w:val="24"/>
          <w:shd w:val="clear" w:color="auto" w:fill="FFFFFF"/>
        </w:rPr>
        <w:t>, 463-467.</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pStyle w:val="2"/>
        <w:numPr>
          <w:ilvl w:val="0"/>
          <w:numId w:val="1"/>
        </w:numPr>
        <w:rPr>
          <w:rFonts w:ascii="Times New Roman" w:hAnsi="Times New Roman" w:cs="Times New Roman"/>
          <w:b/>
          <w:sz w:val="24"/>
          <w:szCs w:val="24"/>
        </w:rPr>
      </w:pPr>
      <w:bookmarkStart w:id="15" w:name="_Toc7889696"/>
      <w:r>
        <w:rPr>
          <w:rFonts w:ascii="Times New Roman" w:hAnsi="Times New Roman" w:cs="Times New Roman"/>
          <w:color w:val="auto"/>
          <w:sz w:val="24"/>
          <w:szCs w:val="24"/>
        </w:rPr>
        <w:t>Appendix</w:t>
      </w:r>
      <w:bookmarkEnd w:id="15"/>
      <w:r>
        <w:rPr>
          <w:rFonts w:ascii="Times New Roman" w:hAnsi="Times New Roman" w:cs="Times New Roman"/>
          <w:color w:val="auto"/>
          <w:sz w:val="24"/>
          <w:szCs w:val="24"/>
        </w:rPr>
        <w:t xml:space="preserve"> </w:t>
      </w:r>
    </w:p>
    <w:p>
      <w:pPr>
        <w:pStyle w:val="3"/>
        <w:numPr>
          <w:ilvl w:val="1"/>
          <w:numId w:val="1"/>
        </w:numPr>
        <w:rPr>
          <w:rFonts w:ascii="Times New Roman" w:hAnsi="Times New Roman" w:cs="Times New Roman"/>
          <w:color w:val="auto"/>
          <w:sz w:val="24"/>
          <w:szCs w:val="24"/>
        </w:rPr>
      </w:pPr>
      <w:bookmarkStart w:id="16" w:name="_Toc7889697"/>
      <w:r>
        <w:rPr>
          <w:rFonts w:ascii="Times New Roman" w:hAnsi="Times New Roman" w:cs="Times New Roman"/>
          <w:color w:val="auto"/>
          <w:sz w:val="24"/>
          <w:szCs w:val="24"/>
        </w:rPr>
        <w:t>Questionnaire</w:t>
      </w:r>
      <w:bookmarkEnd w:id="16"/>
      <w:r>
        <w:rPr>
          <w:rFonts w:ascii="Times New Roman" w:hAnsi="Times New Roman" w:cs="Times New Roman"/>
          <w:color w:val="auto"/>
          <w:sz w:val="24"/>
          <w:szCs w:val="24"/>
        </w:rPr>
        <w:t xml:space="preserve"> </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Please read the following statements carefully and indicate the response that reflects your opinion by selecting the most appropriate choice of opinion.</w:t>
      </w:r>
    </w:p>
    <w:p>
      <w:pPr>
        <w:spacing w:line="360" w:lineRule="auto"/>
        <w:jc w:val="both"/>
        <w:rPr>
          <w:rFonts w:ascii="Times New Roman" w:hAnsi="Times New Roman" w:cs="Times New Roman"/>
          <w:sz w:val="24"/>
          <w:szCs w:val="24"/>
        </w:rPr>
      </w:pPr>
    </w:p>
    <w:tbl>
      <w:tblPr>
        <w:tblStyle w:val="9"/>
        <w:tblW w:w="8476" w:type="dxa"/>
        <w:tblInd w:w="10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890"/>
        <w:gridCol w:w="1419"/>
        <w:gridCol w:w="1722"/>
        <w:gridCol w:w="1449"/>
        <w:gridCol w:w="19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9" w:hRule="atLeast"/>
        </w:trPr>
        <w:tc>
          <w:tcPr>
            <w:tcW w:w="1890" w:type="dxa"/>
          </w:tcPr>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1</w:t>
            </w:r>
          </w:p>
        </w:tc>
        <w:tc>
          <w:tcPr>
            <w:tcW w:w="1419" w:type="dxa"/>
          </w:tcPr>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2</w:t>
            </w:r>
          </w:p>
        </w:tc>
        <w:tc>
          <w:tcPr>
            <w:tcW w:w="1722" w:type="dxa"/>
          </w:tcPr>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3</w:t>
            </w:r>
          </w:p>
        </w:tc>
        <w:tc>
          <w:tcPr>
            <w:tcW w:w="1449" w:type="dxa"/>
          </w:tcPr>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4</w:t>
            </w:r>
          </w:p>
        </w:tc>
        <w:tc>
          <w:tcPr>
            <w:tcW w:w="1996" w:type="dxa"/>
          </w:tcPr>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05" w:hRule="atLeast"/>
        </w:trPr>
        <w:tc>
          <w:tcPr>
            <w:tcW w:w="1890" w:type="dxa"/>
          </w:tcPr>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Strongly disagree</w:t>
            </w:r>
          </w:p>
        </w:tc>
        <w:tc>
          <w:tcPr>
            <w:tcW w:w="1419" w:type="dxa"/>
          </w:tcPr>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Disagree</w:t>
            </w:r>
          </w:p>
        </w:tc>
        <w:tc>
          <w:tcPr>
            <w:tcW w:w="1722" w:type="dxa"/>
          </w:tcPr>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No Comment</w:t>
            </w:r>
          </w:p>
        </w:tc>
        <w:tc>
          <w:tcPr>
            <w:tcW w:w="1449" w:type="dxa"/>
          </w:tcPr>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Agree </w:t>
            </w:r>
          </w:p>
        </w:tc>
        <w:tc>
          <w:tcPr>
            <w:tcW w:w="1996" w:type="dxa"/>
          </w:tcPr>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Strongly Agree</w:t>
            </w:r>
          </w:p>
        </w:tc>
      </w:tr>
    </w:tbl>
    <w:p>
      <w:pPr>
        <w:spacing w:line="360" w:lineRule="auto"/>
        <w:jc w:val="both"/>
        <w:rPr>
          <w:rFonts w:ascii="Times New Roman" w:hAnsi="Times New Roman" w:cs="Times New Roman"/>
          <w:b/>
          <w:sz w:val="24"/>
          <w:szCs w:val="24"/>
        </w:rPr>
      </w:pPr>
    </w:p>
    <w:tbl>
      <w:tblPr>
        <w:tblStyle w:val="10"/>
        <w:tblW w:w="924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86"/>
        <w:gridCol w:w="1097"/>
        <w:gridCol w:w="1070"/>
        <w:gridCol w:w="1163"/>
        <w:gridCol w:w="829"/>
        <w:gridCol w:w="109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986" w:type="dxa"/>
          </w:tcPr>
          <w:p>
            <w:pPr>
              <w:spacing w:after="0" w:line="360" w:lineRule="auto"/>
              <w:jc w:val="both"/>
              <w:rPr>
                <w:rFonts w:ascii="Times New Roman" w:hAnsi="Times New Roman" w:eastAsia="Calibri" w:cs="Times New Roman"/>
                <w:b/>
                <w:sz w:val="24"/>
                <w:szCs w:val="24"/>
              </w:rPr>
            </w:pPr>
            <w:r>
              <w:rPr>
                <w:rFonts w:ascii="Times New Roman" w:hAnsi="Times New Roman" w:eastAsia="Calibri" w:cs="Times New Roman"/>
                <w:b/>
                <w:sz w:val="24"/>
                <w:szCs w:val="24"/>
              </w:rPr>
              <w:t xml:space="preserve">Customer PERCEPTIONS on declining profitability at Sports Direct </w:t>
            </w:r>
          </w:p>
        </w:tc>
        <w:tc>
          <w:tcPr>
            <w:tcW w:w="1097" w:type="dxa"/>
          </w:tcPr>
          <w:p>
            <w:pPr>
              <w:spacing w:after="0" w:line="360" w:lineRule="auto"/>
              <w:jc w:val="both"/>
              <w:rPr>
                <w:rFonts w:ascii="Times New Roman" w:hAnsi="Times New Roman" w:eastAsia="Calibri" w:cs="Times New Roman"/>
                <w:b/>
                <w:sz w:val="24"/>
                <w:szCs w:val="24"/>
              </w:rPr>
            </w:pPr>
            <w:r>
              <w:rPr>
                <w:rFonts w:ascii="Times New Roman" w:hAnsi="Times New Roman" w:eastAsia="Calibri" w:cs="Times New Roman"/>
                <w:b/>
                <w:sz w:val="24"/>
                <w:szCs w:val="24"/>
              </w:rPr>
              <w:t>Strongly disagree</w:t>
            </w:r>
          </w:p>
        </w:tc>
        <w:tc>
          <w:tcPr>
            <w:tcW w:w="1070" w:type="dxa"/>
          </w:tcPr>
          <w:p>
            <w:pPr>
              <w:spacing w:after="0" w:line="360" w:lineRule="auto"/>
              <w:jc w:val="both"/>
              <w:rPr>
                <w:rFonts w:ascii="Times New Roman" w:hAnsi="Times New Roman" w:eastAsia="Calibri" w:cs="Times New Roman"/>
                <w:b/>
                <w:sz w:val="24"/>
                <w:szCs w:val="24"/>
              </w:rPr>
            </w:pPr>
            <w:r>
              <w:rPr>
                <w:rFonts w:ascii="Times New Roman" w:hAnsi="Times New Roman" w:eastAsia="Calibri" w:cs="Times New Roman"/>
                <w:b/>
                <w:sz w:val="24"/>
                <w:szCs w:val="24"/>
              </w:rPr>
              <w:t>disagree</w:t>
            </w:r>
          </w:p>
        </w:tc>
        <w:tc>
          <w:tcPr>
            <w:tcW w:w="1163" w:type="dxa"/>
          </w:tcPr>
          <w:p>
            <w:pPr>
              <w:spacing w:after="0" w:line="360" w:lineRule="auto"/>
              <w:jc w:val="both"/>
              <w:rPr>
                <w:rFonts w:ascii="Times New Roman" w:hAnsi="Times New Roman" w:eastAsia="Calibri" w:cs="Times New Roman"/>
                <w:b/>
                <w:sz w:val="24"/>
                <w:szCs w:val="24"/>
              </w:rPr>
            </w:pPr>
            <w:r>
              <w:rPr>
                <w:rFonts w:ascii="Times New Roman" w:hAnsi="Times New Roman" w:eastAsia="Calibri" w:cs="Times New Roman"/>
                <w:b/>
                <w:sz w:val="24"/>
                <w:szCs w:val="24"/>
              </w:rPr>
              <w:t xml:space="preserve">No comment </w:t>
            </w:r>
          </w:p>
        </w:tc>
        <w:tc>
          <w:tcPr>
            <w:tcW w:w="829" w:type="dxa"/>
          </w:tcPr>
          <w:p>
            <w:pPr>
              <w:spacing w:after="0" w:line="360" w:lineRule="auto"/>
              <w:jc w:val="both"/>
              <w:rPr>
                <w:rFonts w:ascii="Times New Roman" w:hAnsi="Times New Roman" w:eastAsia="Calibri" w:cs="Times New Roman"/>
                <w:b/>
                <w:sz w:val="24"/>
                <w:szCs w:val="24"/>
              </w:rPr>
            </w:pPr>
            <w:r>
              <w:rPr>
                <w:rFonts w:ascii="Times New Roman" w:hAnsi="Times New Roman" w:eastAsia="Calibri" w:cs="Times New Roman"/>
                <w:b/>
                <w:sz w:val="24"/>
                <w:szCs w:val="24"/>
              </w:rPr>
              <w:t xml:space="preserve">Agree </w:t>
            </w:r>
          </w:p>
        </w:tc>
        <w:tc>
          <w:tcPr>
            <w:tcW w:w="1097" w:type="dxa"/>
          </w:tcPr>
          <w:p>
            <w:pPr>
              <w:spacing w:after="0" w:line="360" w:lineRule="auto"/>
              <w:jc w:val="both"/>
              <w:rPr>
                <w:rFonts w:ascii="Times New Roman" w:hAnsi="Times New Roman" w:eastAsia="Calibri" w:cs="Times New Roman"/>
                <w:b/>
                <w:sz w:val="24"/>
                <w:szCs w:val="24"/>
              </w:rPr>
            </w:pPr>
            <w:r>
              <w:rPr>
                <w:rFonts w:ascii="Times New Roman" w:hAnsi="Times New Roman" w:eastAsia="Calibri" w:cs="Times New Roman"/>
                <w:b/>
                <w:sz w:val="24"/>
                <w:szCs w:val="24"/>
              </w:rPr>
              <w:t xml:space="preserve">Strongly agree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986" w:type="dxa"/>
          </w:tcPr>
          <w:p>
            <w:pPr>
              <w:pStyle w:val="14"/>
              <w:numPr>
                <w:ilvl w:val="0"/>
                <w:numId w:val="7"/>
              </w:numPr>
              <w:spacing w:after="0"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 xml:space="preserve">I dislike Sports Direct because they pay employees unfairly </w:t>
            </w:r>
          </w:p>
        </w:tc>
        <w:tc>
          <w:tcPr>
            <w:tcW w:w="1097" w:type="dxa"/>
          </w:tcPr>
          <w:p>
            <w:pPr>
              <w:spacing w:after="0" w:line="360" w:lineRule="auto"/>
              <w:jc w:val="both"/>
              <w:rPr>
                <w:rFonts w:ascii="Times New Roman" w:hAnsi="Times New Roman" w:eastAsia="Calibri" w:cs="Times New Roman"/>
                <w:sz w:val="24"/>
                <w:szCs w:val="24"/>
              </w:rPr>
            </w:pPr>
          </w:p>
        </w:tc>
        <w:tc>
          <w:tcPr>
            <w:tcW w:w="1070" w:type="dxa"/>
          </w:tcPr>
          <w:p>
            <w:pPr>
              <w:spacing w:after="0" w:line="360" w:lineRule="auto"/>
              <w:jc w:val="both"/>
              <w:rPr>
                <w:rFonts w:ascii="Times New Roman" w:hAnsi="Times New Roman" w:eastAsia="Calibri" w:cs="Times New Roman"/>
                <w:sz w:val="24"/>
                <w:szCs w:val="24"/>
              </w:rPr>
            </w:pPr>
          </w:p>
        </w:tc>
        <w:tc>
          <w:tcPr>
            <w:tcW w:w="1163" w:type="dxa"/>
          </w:tcPr>
          <w:p>
            <w:pPr>
              <w:spacing w:after="0" w:line="360" w:lineRule="auto"/>
              <w:jc w:val="both"/>
              <w:rPr>
                <w:rFonts w:ascii="Times New Roman" w:hAnsi="Times New Roman" w:eastAsia="Calibri" w:cs="Times New Roman"/>
                <w:sz w:val="24"/>
                <w:szCs w:val="24"/>
              </w:rPr>
            </w:pPr>
          </w:p>
        </w:tc>
        <w:tc>
          <w:tcPr>
            <w:tcW w:w="829" w:type="dxa"/>
          </w:tcPr>
          <w:p>
            <w:pPr>
              <w:spacing w:after="0" w:line="360" w:lineRule="auto"/>
              <w:jc w:val="both"/>
              <w:rPr>
                <w:rFonts w:ascii="Times New Roman" w:hAnsi="Times New Roman" w:eastAsia="Calibri" w:cs="Times New Roman"/>
                <w:sz w:val="24"/>
                <w:szCs w:val="24"/>
              </w:rPr>
            </w:pPr>
          </w:p>
        </w:tc>
        <w:tc>
          <w:tcPr>
            <w:tcW w:w="1097" w:type="dxa"/>
          </w:tcPr>
          <w:p>
            <w:pPr>
              <w:spacing w:after="0" w:line="360" w:lineRule="auto"/>
              <w:jc w:val="both"/>
              <w:rPr>
                <w:rFonts w:ascii="Times New Roman" w:hAnsi="Times New Roman" w:eastAsia="Calibri"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986" w:type="dxa"/>
          </w:tcPr>
          <w:p>
            <w:pPr>
              <w:pStyle w:val="14"/>
              <w:numPr>
                <w:ilvl w:val="0"/>
                <w:numId w:val="7"/>
              </w:numPr>
              <w:spacing w:after="0"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 xml:space="preserve">Sports direct is unethical  </w:t>
            </w:r>
          </w:p>
        </w:tc>
        <w:tc>
          <w:tcPr>
            <w:tcW w:w="1097" w:type="dxa"/>
          </w:tcPr>
          <w:p>
            <w:pPr>
              <w:spacing w:after="0" w:line="360" w:lineRule="auto"/>
              <w:jc w:val="both"/>
              <w:rPr>
                <w:rFonts w:ascii="Times New Roman" w:hAnsi="Times New Roman" w:eastAsia="Calibri" w:cs="Times New Roman"/>
                <w:sz w:val="24"/>
                <w:szCs w:val="24"/>
              </w:rPr>
            </w:pPr>
          </w:p>
        </w:tc>
        <w:tc>
          <w:tcPr>
            <w:tcW w:w="1070" w:type="dxa"/>
          </w:tcPr>
          <w:p>
            <w:pPr>
              <w:spacing w:after="0" w:line="360" w:lineRule="auto"/>
              <w:jc w:val="both"/>
              <w:rPr>
                <w:rFonts w:ascii="Times New Roman" w:hAnsi="Times New Roman" w:eastAsia="Calibri" w:cs="Times New Roman"/>
                <w:sz w:val="24"/>
                <w:szCs w:val="24"/>
              </w:rPr>
            </w:pPr>
          </w:p>
        </w:tc>
        <w:tc>
          <w:tcPr>
            <w:tcW w:w="1163" w:type="dxa"/>
          </w:tcPr>
          <w:p>
            <w:pPr>
              <w:spacing w:after="0" w:line="360" w:lineRule="auto"/>
              <w:jc w:val="both"/>
              <w:rPr>
                <w:rFonts w:ascii="Times New Roman" w:hAnsi="Times New Roman" w:eastAsia="Calibri" w:cs="Times New Roman"/>
                <w:sz w:val="24"/>
                <w:szCs w:val="24"/>
              </w:rPr>
            </w:pPr>
          </w:p>
        </w:tc>
        <w:tc>
          <w:tcPr>
            <w:tcW w:w="829" w:type="dxa"/>
          </w:tcPr>
          <w:p>
            <w:pPr>
              <w:spacing w:after="0" w:line="360" w:lineRule="auto"/>
              <w:jc w:val="both"/>
              <w:rPr>
                <w:rFonts w:ascii="Times New Roman" w:hAnsi="Times New Roman" w:eastAsia="Calibri" w:cs="Times New Roman"/>
                <w:sz w:val="24"/>
                <w:szCs w:val="24"/>
              </w:rPr>
            </w:pPr>
          </w:p>
        </w:tc>
        <w:tc>
          <w:tcPr>
            <w:tcW w:w="1097" w:type="dxa"/>
          </w:tcPr>
          <w:p>
            <w:pPr>
              <w:spacing w:after="0" w:line="360" w:lineRule="auto"/>
              <w:jc w:val="both"/>
              <w:rPr>
                <w:rFonts w:ascii="Times New Roman" w:hAnsi="Times New Roman" w:eastAsia="Calibri"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986" w:type="dxa"/>
          </w:tcPr>
          <w:p>
            <w:pPr>
              <w:pStyle w:val="14"/>
              <w:numPr>
                <w:ilvl w:val="0"/>
                <w:numId w:val="7"/>
              </w:numPr>
              <w:spacing w:after="0"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 xml:space="preserve">Losses arising from the poor reputation of Sports Direct </w:t>
            </w:r>
          </w:p>
        </w:tc>
        <w:tc>
          <w:tcPr>
            <w:tcW w:w="1097" w:type="dxa"/>
          </w:tcPr>
          <w:p>
            <w:pPr>
              <w:spacing w:after="0" w:line="360" w:lineRule="auto"/>
              <w:jc w:val="both"/>
              <w:rPr>
                <w:rFonts w:ascii="Times New Roman" w:hAnsi="Times New Roman" w:eastAsia="Calibri" w:cs="Times New Roman"/>
                <w:sz w:val="24"/>
                <w:szCs w:val="24"/>
              </w:rPr>
            </w:pPr>
          </w:p>
        </w:tc>
        <w:tc>
          <w:tcPr>
            <w:tcW w:w="1070" w:type="dxa"/>
          </w:tcPr>
          <w:p>
            <w:pPr>
              <w:spacing w:after="0" w:line="360" w:lineRule="auto"/>
              <w:jc w:val="both"/>
              <w:rPr>
                <w:rFonts w:ascii="Times New Roman" w:hAnsi="Times New Roman" w:eastAsia="Calibri" w:cs="Times New Roman"/>
                <w:sz w:val="24"/>
                <w:szCs w:val="24"/>
              </w:rPr>
            </w:pPr>
          </w:p>
        </w:tc>
        <w:tc>
          <w:tcPr>
            <w:tcW w:w="1163" w:type="dxa"/>
          </w:tcPr>
          <w:p>
            <w:pPr>
              <w:spacing w:after="0" w:line="360" w:lineRule="auto"/>
              <w:jc w:val="both"/>
              <w:rPr>
                <w:rFonts w:ascii="Times New Roman" w:hAnsi="Times New Roman" w:eastAsia="Calibri" w:cs="Times New Roman"/>
                <w:sz w:val="24"/>
                <w:szCs w:val="24"/>
              </w:rPr>
            </w:pPr>
          </w:p>
        </w:tc>
        <w:tc>
          <w:tcPr>
            <w:tcW w:w="829" w:type="dxa"/>
          </w:tcPr>
          <w:p>
            <w:pPr>
              <w:spacing w:after="0" w:line="360" w:lineRule="auto"/>
              <w:jc w:val="both"/>
              <w:rPr>
                <w:rFonts w:ascii="Times New Roman" w:hAnsi="Times New Roman" w:eastAsia="Calibri" w:cs="Times New Roman"/>
                <w:sz w:val="24"/>
                <w:szCs w:val="24"/>
              </w:rPr>
            </w:pPr>
          </w:p>
        </w:tc>
        <w:tc>
          <w:tcPr>
            <w:tcW w:w="1097" w:type="dxa"/>
          </w:tcPr>
          <w:p>
            <w:pPr>
              <w:spacing w:after="0" w:line="360" w:lineRule="auto"/>
              <w:jc w:val="both"/>
              <w:rPr>
                <w:rFonts w:ascii="Times New Roman" w:hAnsi="Times New Roman" w:eastAsia="Calibri"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986" w:type="dxa"/>
          </w:tcPr>
          <w:p>
            <w:pPr>
              <w:pStyle w:val="14"/>
              <w:numPr>
                <w:ilvl w:val="0"/>
                <w:numId w:val="7"/>
              </w:numPr>
              <w:spacing w:after="0"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Products not innovative</w:t>
            </w:r>
          </w:p>
          <w:p>
            <w:pPr>
              <w:pStyle w:val="14"/>
              <w:spacing w:after="0" w:line="360" w:lineRule="auto"/>
              <w:jc w:val="both"/>
              <w:rPr>
                <w:rFonts w:ascii="Times New Roman" w:hAnsi="Times New Roman" w:eastAsia="Calibri" w:cs="Times New Roman"/>
                <w:sz w:val="24"/>
                <w:szCs w:val="24"/>
              </w:rPr>
            </w:pPr>
          </w:p>
        </w:tc>
        <w:tc>
          <w:tcPr>
            <w:tcW w:w="1097" w:type="dxa"/>
          </w:tcPr>
          <w:p>
            <w:pPr>
              <w:spacing w:after="0" w:line="360" w:lineRule="auto"/>
              <w:jc w:val="both"/>
              <w:rPr>
                <w:rFonts w:ascii="Times New Roman" w:hAnsi="Times New Roman" w:eastAsia="Calibri" w:cs="Times New Roman"/>
                <w:sz w:val="24"/>
                <w:szCs w:val="24"/>
              </w:rPr>
            </w:pPr>
          </w:p>
        </w:tc>
        <w:tc>
          <w:tcPr>
            <w:tcW w:w="1070" w:type="dxa"/>
          </w:tcPr>
          <w:p>
            <w:pPr>
              <w:spacing w:after="0" w:line="360" w:lineRule="auto"/>
              <w:jc w:val="both"/>
              <w:rPr>
                <w:rFonts w:ascii="Times New Roman" w:hAnsi="Times New Roman" w:eastAsia="Calibri" w:cs="Times New Roman"/>
                <w:sz w:val="24"/>
                <w:szCs w:val="24"/>
              </w:rPr>
            </w:pPr>
          </w:p>
        </w:tc>
        <w:tc>
          <w:tcPr>
            <w:tcW w:w="1163" w:type="dxa"/>
          </w:tcPr>
          <w:p>
            <w:pPr>
              <w:spacing w:after="0" w:line="360" w:lineRule="auto"/>
              <w:jc w:val="both"/>
              <w:rPr>
                <w:rFonts w:ascii="Times New Roman" w:hAnsi="Times New Roman" w:eastAsia="Calibri" w:cs="Times New Roman"/>
                <w:sz w:val="24"/>
                <w:szCs w:val="24"/>
              </w:rPr>
            </w:pPr>
          </w:p>
        </w:tc>
        <w:tc>
          <w:tcPr>
            <w:tcW w:w="829" w:type="dxa"/>
          </w:tcPr>
          <w:p>
            <w:pPr>
              <w:spacing w:after="0" w:line="360" w:lineRule="auto"/>
              <w:jc w:val="both"/>
              <w:rPr>
                <w:rFonts w:ascii="Times New Roman" w:hAnsi="Times New Roman" w:eastAsia="Calibri" w:cs="Times New Roman"/>
                <w:sz w:val="24"/>
                <w:szCs w:val="24"/>
              </w:rPr>
            </w:pPr>
          </w:p>
        </w:tc>
        <w:tc>
          <w:tcPr>
            <w:tcW w:w="1097" w:type="dxa"/>
          </w:tcPr>
          <w:p>
            <w:pPr>
              <w:spacing w:after="0" w:line="360" w:lineRule="auto"/>
              <w:jc w:val="both"/>
              <w:rPr>
                <w:rFonts w:ascii="Times New Roman" w:hAnsi="Times New Roman" w:eastAsia="Calibri"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986" w:type="dxa"/>
          </w:tcPr>
          <w:p>
            <w:pPr>
              <w:pStyle w:val="14"/>
              <w:numPr>
                <w:ilvl w:val="0"/>
                <w:numId w:val="7"/>
              </w:numPr>
              <w:spacing w:after="0"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 xml:space="preserve">I have a negative attitude towards products from Sports Direct </w:t>
            </w:r>
          </w:p>
        </w:tc>
        <w:tc>
          <w:tcPr>
            <w:tcW w:w="1097" w:type="dxa"/>
          </w:tcPr>
          <w:p>
            <w:pPr>
              <w:spacing w:after="0" w:line="360" w:lineRule="auto"/>
              <w:jc w:val="both"/>
              <w:rPr>
                <w:rFonts w:ascii="Times New Roman" w:hAnsi="Times New Roman" w:eastAsia="Calibri" w:cs="Times New Roman"/>
                <w:sz w:val="24"/>
                <w:szCs w:val="24"/>
              </w:rPr>
            </w:pPr>
          </w:p>
        </w:tc>
        <w:tc>
          <w:tcPr>
            <w:tcW w:w="1070" w:type="dxa"/>
          </w:tcPr>
          <w:p>
            <w:pPr>
              <w:spacing w:after="0" w:line="360" w:lineRule="auto"/>
              <w:jc w:val="both"/>
              <w:rPr>
                <w:rFonts w:ascii="Times New Roman" w:hAnsi="Times New Roman" w:eastAsia="Calibri" w:cs="Times New Roman"/>
                <w:sz w:val="24"/>
                <w:szCs w:val="24"/>
              </w:rPr>
            </w:pPr>
          </w:p>
        </w:tc>
        <w:tc>
          <w:tcPr>
            <w:tcW w:w="1163" w:type="dxa"/>
          </w:tcPr>
          <w:p>
            <w:pPr>
              <w:spacing w:after="0" w:line="360" w:lineRule="auto"/>
              <w:jc w:val="both"/>
              <w:rPr>
                <w:rFonts w:ascii="Times New Roman" w:hAnsi="Times New Roman" w:eastAsia="Calibri" w:cs="Times New Roman"/>
                <w:sz w:val="24"/>
                <w:szCs w:val="24"/>
              </w:rPr>
            </w:pPr>
          </w:p>
        </w:tc>
        <w:tc>
          <w:tcPr>
            <w:tcW w:w="829" w:type="dxa"/>
          </w:tcPr>
          <w:p>
            <w:pPr>
              <w:spacing w:after="0" w:line="360" w:lineRule="auto"/>
              <w:jc w:val="both"/>
              <w:rPr>
                <w:rFonts w:ascii="Times New Roman" w:hAnsi="Times New Roman" w:eastAsia="Calibri" w:cs="Times New Roman"/>
                <w:sz w:val="24"/>
                <w:szCs w:val="24"/>
              </w:rPr>
            </w:pPr>
          </w:p>
        </w:tc>
        <w:tc>
          <w:tcPr>
            <w:tcW w:w="1097" w:type="dxa"/>
          </w:tcPr>
          <w:p>
            <w:pPr>
              <w:spacing w:after="0" w:line="360" w:lineRule="auto"/>
              <w:jc w:val="both"/>
              <w:rPr>
                <w:rFonts w:ascii="Times New Roman" w:hAnsi="Times New Roman" w:eastAsia="Calibri"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986" w:type="dxa"/>
          </w:tcPr>
          <w:p>
            <w:pPr>
              <w:pStyle w:val="14"/>
              <w:numPr>
                <w:ilvl w:val="0"/>
                <w:numId w:val="7"/>
              </w:numPr>
              <w:spacing w:after="0"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 xml:space="preserve">I cannot purchase products from Sports direct because of harsh work conditions </w:t>
            </w:r>
          </w:p>
        </w:tc>
        <w:tc>
          <w:tcPr>
            <w:tcW w:w="1097" w:type="dxa"/>
          </w:tcPr>
          <w:p>
            <w:pPr>
              <w:spacing w:after="0" w:line="360" w:lineRule="auto"/>
              <w:jc w:val="both"/>
              <w:rPr>
                <w:rFonts w:ascii="Times New Roman" w:hAnsi="Times New Roman" w:eastAsia="Calibri" w:cs="Times New Roman"/>
                <w:sz w:val="24"/>
                <w:szCs w:val="24"/>
              </w:rPr>
            </w:pPr>
          </w:p>
        </w:tc>
        <w:tc>
          <w:tcPr>
            <w:tcW w:w="1070" w:type="dxa"/>
          </w:tcPr>
          <w:p>
            <w:pPr>
              <w:spacing w:after="0" w:line="360" w:lineRule="auto"/>
              <w:jc w:val="both"/>
              <w:rPr>
                <w:rFonts w:ascii="Times New Roman" w:hAnsi="Times New Roman" w:eastAsia="Calibri" w:cs="Times New Roman"/>
                <w:sz w:val="24"/>
                <w:szCs w:val="24"/>
              </w:rPr>
            </w:pPr>
          </w:p>
        </w:tc>
        <w:tc>
          <w:tcPr>
            <w:tcW w:w="1163" w:type="dxa"/>
          </w:tcPr>
          <w:p>
            <w:pPr>
              <w:spacing w:after="0" w:line="360" w:lineRule="auto"/>
              <w:jc w:val="both"/>
              <w:rPr>
                <w:rFonts w:ascii="Times New Roman" w:hAnsi="Times New Roman" w:eastAsia="Calibri" w:cs="Times New Roman"/>
                <w:sz w:val="24"/>
                <w:szCs w:val="24"/>
              </w:rPr>
            </w:pPr>
          </w:p>
        </w:tc>
        <w:tc>
          <w:tcPr>
            <w:tcW w:w="829" w:type="dxa"/>
          </w:tcPr>
          <w:p>
            <w:pPr>
              <w:spacing w:after="0" w:line="360" w:lineRule="auto"/>
              <w:jc w:val="both"/>
              <w:rPr>
                <w:rFonts w:ascii="Times New Roman" w:hAnsi="Times New Roman" w:eastAsia="Calibri" w:cs="Times New Roman"/>
                <w:sz w:val="24"/>
                <w:szCs w:val="24"/>
              </w:rPr>
            </w:pPr>
          </w:p>
        </w:tc>
        <w:tc>
          <w:tcPr>
            <w:tcW w:w="1097" w:type="dxa"/>
          </w:tcPr>
          <w:p>
            <w:pPr>
              <w:spacing w:after="0" w:line="360" w:lineRule="auto"/>
              <w:jc w:val="both"/>
              <w:rPr>
                <w:rFonts w:ascii="Times New Roman" w:hAnsi="Times New Roman" w:eastAsia="Calibri"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986" w:type="dxa"/>
          </w:tcPr>
          <w:p>
            <w:pPr>
              <w:pStyle w:val="14"/>
              <w:numPr>
                <w:ilvl w:val="0"/>
                <w:numId w:val="7"/>
              </w:numPr>
              <w:spacing w:after="0"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 xml:space="preserve">In the future, I will not transact with Sports Direct </w:t>
            </w:r>
          </w:p>
        </w:tc>
        <w:tc>
          <w:tcPr>
            <w:tcW w:w="1097" w:type="dxa"/>
          </w:tcPr>
          <w:p>
            <w:pPr>
              <w:spacing w:after="0" w:line="360" w:lineRule="auto"/>
              <w:jc w:val="both"/>
              <w:rPr>
                <w:rFonts w:ascii="Times New Roman" w:hAnsi="Times New Roman" w:eastAsia="Calibri" w:cs="Times New Roman"/>
                <w:sz w:val="24"/>
                <w:szCs w:val="24"/>
              </w:rPr>
            </w:pPr>
          </w:p>
        </w:tc>
        <w:tc>
          <w:tcPr>
            <w:tcW w:w="1070" w:type="dxa"/>
          </w:tcPr>
          <w:p>
            <w:pPr>
              <w:spacing w:after="0" w:line="360" w:lineRule="auto"/>
              <w:jc w:val="both"/>
              <w:rPr>
                <w:rFonts w:ascii="Times New Roman" w:hAnsi="Times New Roman" w:eastAsia="Calibri" w:cs="Times New Roman"/>
                <w:sz w:val="24"/>
                <w:szCs w:val="24"/>
              </w:rPr>
            </w:pPr>
          </w:p>
        </w:tc>
        <w:tc>
          <w:tcPr>
            <w:tcW w:w="1163" w:type="dxa"/>
          </w:tcPr>
          <w:p>
            <w:pPr>
              <w:spacing w:after="0" w:line="360" w:lineRule="auto"/>
              <w:jc w:val="both"/>
              <w:rPr>
                <w:rFonts w:ascii="Times New Roman" w:hAnsi="Times New Roman" w:eastAsia="Calibri" w:cs="Times New Roman"/>
                <w:sz w:val="24"/>
                <w:szCs w:val="24"/>
              </w:rPr>
            </w:pPr>
          </w:p>
        </w:tc>
        <w:tc>
          <w:tcPr>
            <w:tcW w:w="829" w:type="dxa"/>
          </w:tcPr>
          <w:p>
            <w:pPr>
              <w:spacing w:after="0" w:line="360" w:lineRule="auto"/>
              <w:jc w:val="both"/>
              <w:rPr>
                <w:rFonts w:ascii="Times New Roman" w:hAnsi="Times New Roman" w:eastAsia="Calibri" w:cs="Times New Roman"/>
                <w:sz w:val="24"/>
                <w:szCs w:val="24"/>
              </w:rPr>
            </w:pPr>
          </w:p>
        </w:tc>
        <w:tc>
          <w:tcPr>
            <w:tcW w:w="1097" w:type="dxa"/>
          </w:tcPr>
          <w:p>
            <w:pPr>
              <w:spacing w:after="0" w:line="360" w:lineRule="auto"/>
              <w:jc w:val="both"/>
              <w:rPr>
                <w:rFonts w:ascii="Times New Roman" w:hAnsi="Times New Roman" w:eastAsia="Calibri"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986" w:type="dxa"/>
          </w:tcPr>
          <w:p>
            <w:pPr>
              <w:pStyle w:val="14"/>
              <w:numPr>
                <w:ilvl w:val="0"/>
                <w:numId w:val="7"/>
              </w:numPr>
              <w:spacing w:after="0"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 xml:space="preserve">I understand the need for Sports Direct to be socially responsible </w:t>
            </w:r>
          </w:p>
        </w:tc>
        <w:tc>
          <w:tcPr>
            <w:tcW w:w="1097" w:type="dxa"/>
          </w:tcPr>
          <w:p>
            <w:pPr>
              <w:spacing w:after="0" w:line="360" w:lineRule="auto"/>
              <w:jc w:val="both"/>
              <w:rPr>
                <w:rFonts w:ascii="Times New Roman" w:hAnsi="Times New Roman" w:eastAsia="Calibri" w:cs="Times New Roman"/>
                <w:sz w:val="24"/>
                <w:szCs w:val="24"/>
              </w:rPr>
            </w:pPr>
          </w:p>
        </w:tc>
        <w:tc>
          <w:tcPr>
            <w:tcW w:w="1070" w:type="dxa"/>
          </w:tcPr>
          <w:p>
            <w:pPr>
              <w:spacing w:after="0" w:line="360" w:lineRule="auto"/>
              <w:jc w:val="both"/>
              <w:rPr>
                <w:rFonts w:ascii="Times New Roman" w:hAnsi="Times New Roman" w:eastAsia="Calibri" w:cs="Times New Roman"/>
                <w:sz w:val="24"/>
                <w:szCs w:val="24"/>
              </w:rPr>
            </w:pPr>
          </w:p>
        </w:tc>
        <w:tc>
          <w:tcPr>
            <w:tcW w:w="1163" w:type="dxa"/>
          </w:tcPr>
          <w:p>
            <w:pPr>
              <w:spacing w:after="0" w:line="360" w:lineRule="auto"/>
              <w:jc w:val="both"/>
              <w:rPr>
                <w:rFonts w:ascii="Times New Roman" w:hAnsi="Times New Roman" w:eastAsia="Calibri" w:cs="Times New Roman"/>
                <w:sz w:val="24"/>
                <w:szCs w:val="24"/>
              </w:rPr>
            </w:pPr>
          </w:p>
        </w:tc>
        <w:tc>
          <w:tcPr>
            <w:tcW w:w="829" w:type="dxa"/>
          </w:tcPr>
          <w:p>
            <w:pPr>
              <w:spacing w:after="0" w:line="360" w:lineRule="auto"/>
              <w:jc w:val="both"/>
              <w:rPr>
                <w:rFonts w:ascii="Times New Roman" w:hAnsi="Times New Roman" w:eastAsia="Calibri" w:cs="Times New Roman"/>
                <w:sz w:val="24"/>
                <w:szCs w:val="24"/>
              </w:rPr>
            </w:pPr>
          </w:p>
        </w:tc>
        <w:tc>
          <w:tcPr>
            <w:tcW w:w="1097" w:type="dxa"/>
          </w:tcPr>
          <w:p>
            <w:pPr>
              <w:spacing w:after="0" w:line="360" w:lineRule="auto"/>
              <w:jc w:val="both"/>
              <w:rPr>
                <w:rFonts w:ascii="Times New Roman" w:hAnsi="Times New Roman" w:eastAsia="Calibri" w:cs="Times New Roman"/>
                <w:sz w:val="24"/>
                <w:szCs w:val="24"/>
              </w:rPr>
            </w:pPr>
          </w:p>
        </w:tc>
      </w:tr>
    </w:tbl>
    <w:p/>
    <w:sectPr>
      <w:footerReference r:id="rId3" w:type="default"/>
      <w:pgSz w:w="11906" w:h="16838"/>
      <w:pgMar w:top="1440" w:right="1440" w:bottom="1440" w:left="1440" w:header="720" w:footer="720" w:gutter="0"/>
      <w:pgNumType w:fmt="decimal" w:start="1"/>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Calibri Light">
    <w:panose1 w:val="020F0302020204030204"/>
    <w:charset w:val="00"/>
    <w:family w:val="auto"/>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F12D42"/>
    <w:multiLevelType w:val="multilevel"/>
    <w:tmpl w:val="2AF12D42"/>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4CE231B5"/>
    <w:multiLevelType w:val="multilevel"/>
    <w:tmpl w:val="4CE231B5"/>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5B25650C"/>
    <w:multiLevelType w:val="multilevel"/>
    <w:tmpl w:val="5B25650C"/>
    <w:lvl w:ilvl="0" w:tentative="0">
      <w:start w:val="1"/>
      <w:numFmt w:val="decimal"/>
      <w:lvlText w:val="%1."/>
      <w:lvlJc w:val="left"/>
      <w:pPr>
        <w:ind w:left="360" w:hanging="360"/>
      </w:pPr>
    </w:lvl>
    <w:lvl w:ilvl="1" w:tentative="0">
      <w:start w:val="1"/>
      <w:numFmt w:val="decimal"/>
      <w:lvlText w:val="%1.%2."/>
      <w:lvlJc w:val="left"/>
      <w:pPr>
        <w:ind w:left="792" w:hanging="432"/>
      </w:pPr>
    </w:lvl>
    <w:lvl w:ilvl="2" w:tentative="0">
      <w:start w:val="1"/>
      <w:numFmt w:val="decimal"/>
      <w:lvlText w:val="%1.%2.%3."/>
      <w:lvlJc w:val="left"/>
      <w:pPr>
        <w:ind w:left="1224" w:hanging="504"/>
      </w:pPr>
    </w:lvl>
    <w:lvl w:ilvl="3" w:tentative="0">
      <w:start w:val="1"/>
      <w:numFmt w:val="decimal"/>
      <w:lvlText w:val="%1.%2.%3.%4."/>
      <w:lvlJc w:val="left"/>
      <w:pPr>
        <w:ind w:left="1728" w:hanging="648"/>
      </w:pPr>
    </w:lvl>
    <w:lvl w:ilvl="4" w:tentative="0">
      <w:start w:val="1"/>
      <w:numFmt w:val="decimal"/>
      <w:lvlText w:val="%1.%2.%3.%4.%5."/>
      <w:lvlJc w:val="left"/>
      <w:pPr>
        <w:ind w:left="2232" w:hanging="792"/>
      </w:pPr>
    </w:lvl>
    <w:lvl w:ilvl="5" w:tentative="0">
      <w:start w:val="1"/>
      <w:numFmt w:val="decimal"/>
      <w:lvlText w:val="%1.%2.%3.%4.%5.%6."/>
      <w:lvlJc w:val="left"/>
      <w:pPr>
        <w:ind w:left="2736" w:hanging="936"/>
      </w:pPr>
    </w:lvl>
    <w:lvl w:ilvl="6" w:tentative="0">
      <w:start w:val="1"/>
      <w:numFmt w:val="decimal"/>
      <w:lvlText w:val="%1.%2.%3.%4.%5.%6.%7."/>
      <w:lvlJc w:val="left"/>
      <w:pPr>
        <w:ind w:left="3240" w:hanging="1080"/>
      </w:pPr>
    </w:lvl>
    <w:lvl w:ilvl="7" w:tentative="0">
      <w:start w:val="1"/>
      <w:numFmt w:val="decimal"/>
      <w:lvlText w:val="%1.%2.%3.%4.%5.%6.%7.%8."/>
      <w:lvlJc w:val="left"/>
      <w:pPr>
        <w:ind w:left="3744" w:hanging="1224"/>
      </w:pPr>
    </w:lvl>
    <w:lvl w:ilvl="8" w:tentative="0">
      <w:start w:val="1"/>
      <w:numFmt w:val="decimal"/>
      <w:lvlText w:val="%1.%2.%3.%4.%5.%6.%7.%8.%9."/>
      <w:lvlJc w:val="left"/>
      <w:pPr>
        <w:ind w:left="4320" w:hanging="1440"/>
      </w:pPr>
    </w:lvl>
  </w:abstractNum>
  <w:abstractNum w:abstractNumId="3">
    <w:nsid w:val="6D687708"/>
    <w:multiLevelType w:val="multilevel"/>
    <w:tmpl w:val="6D687708"/>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75731067"/>
    <w:multiLevelType w:val="multilevel"/>
    <w:tmpl w:val="75731067"/>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7D225ACD"/>
    <w:multiLevelType w:val="multilevel"/>
    <w:tmpl w:val="7D225ACD"/>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6">
    <w:nsid w:val="7E4623A2"/>
    <w:multiLevelType w:val="multilevel"/>
    <w:tmpl w:val="7E4623A2"/>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6"/>
  </w:num>
  <w:num w:numId="4">
    <w:abstractNumId w:val="4"/>
  </w:num>
  <w:num w:numId="5">
    <w:abstractNumId w:val="3"/>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D6B5C4F"/>
    <w:rsid w:val="7D6B5C4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iPriority="39" w:semiHidden="0" w:name="toc 1"/>
    <w:lsdException w:uiPriority="39" w:semiHidden="0" w:name="toc 2"/>
    <w:lsdException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5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en-US" w:bidi="ar-SA"/>
    </w:rPr>
  </w:style>
  <w:style w:type="paragraph" w:styleId="2">
    <w:name w:val="heading 1"/>
    <w:basedOn w:val="1"/>
    <w:next w:val="1"/>
    <w:qFormat/>
    <w:uiPriority w:val="9"/>
    <w:pPr>
      <w:keepNext/>
      <w:keepLines/>
      <w:spacing w:before="480" w:after="0"/>
      <w:outlineLvl w:val="0"/>
    </w:pPr>
    <w:rPr>
      <w:rFonts w:asciiTheme="majorHAnsi" w:hAnsiTheme="majorHAnsi" w:eastAsiaTheme="majorEastAsia" w:cstheme="majorBidi"/>
      <w:b/>
      <w:bCs/>
      <w:color w:val="2E75B6" w:themeColor="accent1" w:themeShade="BF"/>
      <w:sz w:val="28"/>
      <w:szCs w:val="28"/>
    </w:rPr>
  </w:style>
  <w:style w:type="paragraph" w:styleId="3">
    <w:name w:val="heading 2"/>
    <w:basedOn w:val="1"/>
    <w:next w:val="1"/>
    <w:unhideWhenUsed/>
    <w:qFormat/>
    <w:uiPriority w:val="9"/>
    <w:pPr>
      <w:keepNext/>
      <w:keepLines/>
      <w:spacing w:before="200" w:after="0"/>
      <w:outlineLvl w:val="1"/>
    </w:pPr>
    <w:rPr>
      <w:rFonts w:asciiTheme="majorHAnsi" w:hAnsiTheme="majorHAnsi" w:eastAsiaTheme="majorEastAsia" w:cstheme="majorBidi"/>
      <w:b/>
      <w:bCs/>
      <w:color w:val="5B9BD5" w:themeColor="accent1"/>
      <w:sz w:val="26"/>
      <w:szCs w:val="26"/>
      <w14:textFill>
        <w14:solidFill>
          <w14:schemeClr w14:val="accent1"/>
        </w14:solidFill>
      </w14:textFill>
    </w:rPr>
  </w:style>
  <w:style w:type="paragraph" w:styleId="4">
    <w:name w:val="heading 3"/>
    <w:basedOn w:val="1"/>
    <w:next w:val="1"/>
    <w:unhideWhenUsed/>
    <w:qFormat/>
    <w:uiPriority w:val="9"/>
    <w:pPr>
      <w:keepNext/>
      <w:keepLines/>
      <w:spacing w:before="200" w:after="0"/>
      <w:outlineLvl w:val="2"/>
    </w:pPr>
    <w:rPr>
      <w:rFonts w:asciiTheme="majorHAnsi" w:hAnsiTheme="majorHAnsi" w:eastAsiaTheme="majorEastAsia" w:cstheme="majorBidi"/>
      <w:b/>
      <w:bCs/>
      <w:color w:val="5B9BD5" w:themeColor="accent1"/>
      <w14:textFill>
        <w14:solidFill>
          <w14:schemeClr w14:val="accent1"/>
        </w14:solidFill>
      </w14:textFill>
    </w:rPr>
  </w:style>
  <w:style w:type="character" w:default="1" w:styleId="11">
    <w:name w:val="Default Paragraph Font"/>
    <w:semiHidden/>
    <w:uiPriority w:val="0"/>
  </w:style>
  <w:style w:type="table" w:default="1" w:styleId="9">
    <w:name w:val="Normal Table"/>
    <w:semiHidden/>
    <w:uiPriority w:val="0"/>
    <w:tblPr>
      <w:tblLayout w:type="fixed"/>
      <w:tblCellMar>
        <w:top w:w="0" w:type="dxa"/>
        <w:left w:w="108" w:type="dxa"/>
        <w:bottom w:w="0" w:type="dxa"/>
        <w:right w:w="108" w:type="dxa"/>
      </w:tblCellMar>
    </w:tblPr>
  </w:style>
  <w:style w:type="paragraph" w:styleId="5">
    <w:name w:val="toc 3"/>
    <w:basedOn w:val="1"/>
    <w:next w:val="1"/>
    <w:unhideWhenUsed/>
    <w:uiPriority w:val="39"/>
    <w:pPr>
      <w:spacing w:after="100"/>
      <w:ind w:left="440"/>
    </w:pPr>
  </w:style>
  <w:style w:type="paragraph" w:styleId="6">
    <w:name w:val="footer"/>
    <w:basedOn w:val="1"/>
    <w:semiHidden/>
    <w:unhideWhenUsed/>
    <w:qFormat/>
    <w:uiPriority w:val="99"/>
    <w:pPr>
      <w:tabs>
        <w:tab w:val="center" w:pos="4153"/>
        <w:tab w:val="right" w:pos="8306"/>
      </w:tabs>
      <w:snapToGrid w:val="0"/>
      <w:jc w:val="left"/>
    </w:pPr>
    <w:rPr>
      <w:sz w:val="18"/>
    </w:rPr>
  </w:style>
  <w:style w:type="paragraph" w:styleId="7">
    <w:name w:val="toc 1"/>
    <w:basedOn w:val="1"/>
    <w:next w:val="1"/>
    <w:unhideWhenUsed/>
    <w:uiPriority w:val="39"/>
    <w:pPr>
      <w:spacing w:after="100"/>
    </w:pPr>
  </w:style>
  <w:style w:type="paragraph" w:styleId="8">
    <w:name w:val="toc 2"/>
    <w:basedOn w:val="1"/>
    <w:next w:val="1"/>
    <w:unhideWhenUsed/>
    <w:uiPriority w:val="39"/>
    <w:pPr>
      <w:spacing w:after="100"/>
      <w:ind w:left="220"/>
    </w:pPr>
  </w:style>
  <w:style w:type="table" w:styleId="10">
    <w:name w:val="Table Grid"/>
    <w:basedOn w:val="9"/>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style>
  <w:style w:type="character" w:styleId="12">
    <w:name w:val="Hyperlink"/>
    <w:basedOn w:val="11"/>
    <w:unhideWhenUsed/>
    <w:uiPriority w:val="99"/>
    <w:rPr>
      <w:color w:val="0000FF"/>
      <w:u w:val="single"/>
    </w:rPr>
  </w:style>
  <w:style w:type="paragraph" w:customStyle="1" w:styleId="13">
    <w:name w:val="TOC Heading"/>
    <w:basedOn w:val="2"/>
    <w:next w:val="1"/>
    <w:semiHidden/>
    <w:unhideWhenUsed/>
    <w:qFormat/>
    <w:uiPriority w:val="39"/>
    <w:pPr>
      <w:outlineLvl w:val="9"/>
    </w:pPr>
    <w:rPr>
      <w:lang w:eastAsia="ja-JP"/>
    </w:rPr>
  </w:style>
  <w:style w:type="paragraph" w:styleId="14">
    <w:name w:val="List Paragraph"/>
    <w:basedOn w:val="1"/>
    <w:qFormat/>
    <w:uiPriority w:val="34"/>
    <w:pPr>
      <w:ind w:left="720"/>
      <w:contextualSpacing/>
    </w:pPr>
    <w:rPr>
      <w:lang w:val="en-GB" w:eastAsia="en-GB"/>
    </w:rPr>
  </w:style>
  <w:style w:type="character" w:customStyle="1" w:styleId="15">
    <w:name w:val="Internet Link"/>
    <w:basedOn w:val="11"/>
    <w:qFormat/>
    <w:uiPriority w:val="99"/>
    <w:rPr>
      <w:color w:val="0563C1" w:themeColor="hyperlink"/>
      <w:u w:val="single"/>
      <w14:textFill>
        <w14:solidFill>
          <w14:schemeClr w14:val="hlink"/>
        </w14:solidFill>
      </w14:textFill>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Office_11.1.0.8612_F1E327BC-269C-435d-A152-05C5408002CA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2019-05-08T14:27:00Z</dcterms:created>
  <dc:creator>aahhe</dc:creator>
  <cp:lastModifiedBy>aahhe</cp:lastModifiedBy>
  <dcterms:modified xsi:type="dcterms:W3CDTF">2019-05-08T14:31:36Z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2052-11.1.0.8612</vt:lpwstr>
  </property>
</Properties>
</file>