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67AC3" w14:textId="77777777" w:rsidR="00E370CC" w:rsidRDefault="00E370CC" w:rsidP="00737833">
      <w:pPr>
        <w:spacing w:line="256" w:lineRule="auto"/>
        <w:jc w:val="center"/>
        <w:rPr>
          <w:b/>
        </w:rPr>
      </w:pPr>
    </w:p>
    <w:p w14:paraId="08805134" w14:textId="77777777" w:rsidR="00E370CC" w:rsidRDefault="00E370CC" w:rsidP="00737833">
      <w:pPr>
        <w:spacing w:line="256" w:lineRule="auto"/>
        <w:jc w:val="center"/>
        <w:rPr>
          <w:b/>
        </w:rPr>
      </w:pPr>
    </w:p>
    <w:p w14:paraId="3DB7DA82" w14:textId="77777777" w:rsidR="00E370CC" w:rsidRDefault="00E370CC" w:rsidP="00737833">
      <w:pPr>
        <w:spacing w:line="256" w:lineRule="auto"/>
        <w:jc w:val="center"/>
        <w:rPr>
          <w:b/>
        </w:rPr>
      </w:pPr>
    </w:p>
    <w:p w14:paraId="514683EB" w14:textId="77777777" w:rsidR="00E370CC" w:rsidRDefault="00E370CC" w:rsidP="00737833">
      <w:pPr>
        <w:spacing w:line="256" w:lineRule="auto"/>
        <w:jc w:val="center"/>
        <w:rPr>
          <w:b/>
        </w:rPr>
      </w:pPr>
    </w:p>
    <w:p w14:paraId="193FAE48" w14:textId="77777777" w:rsidR="00737833" w:rsidRDefault="003B38C9" w:rsidP="00737833">
      <w:pPr>
        <w:spacing w:line="256" w:lineRule="auto"/>
        <w:jc w:val="center"/>
        <w:rPr>
          <w:b/>
        </w:rPr>
      </w:pPr>
      <w:r w:rsidRPr="003B38C9">
        <w:rPr>
          <w:b/>
        </w:rPr>
        <w:t>BSc (Hons) Health and Social Care</w:t>
      </w:r>
    </w:p>
    <w:p w14:paraId="3B0DC6D0" w14:textId="77777777" w:rsidR="00737833" w:rsidRDefault="00737833" w:rsidP="00737833">
      <w:pPr>
        <w:spacing w:line="256" w:lineRule="auto"/>
        <w:jc w:val="center"/>
        <w:rPr>
          <w:b/>
        </w:rPr>
      </w:pPr>
      <w:r>
        <w:rPr>
          <w:b/>
        </w:rPr>
        <w:t xml:space="preserve">Title of Course: </w:t>
      </w:r>
      <w:r w:rsidR="003B38C9" w:rsidRPr="003B38C9">
        <w:rPr>
          <w:b/>
        </w:rPr>
        <w:t>Psychological Classifications and Provisions</w:t>
      </w:r>
    </w:p>
    <w:p w14:paraId="1A90FE6B" w14:textId="77777777" w:rsidR="00737833" w:rsidRDefault="00737833" w:rsidP="00737833">
      <w:pPr>
        <w:spacing w:line="256" w:lineRule="auto"/>
        <w:jc w:val="center"/>
        <w:rPr>
          <w:b/>
        </w:rPr>
      </w:pPr>
    </w:p>
    <w:p w14:paraId="477D1514" w14:textId="2B8668B2" w:rsidR="00737833" w:rsidRDefault="00737833" w:rsidP="00737833">
      <w:pPr>
        <w:spacing w:line="256" w:lineRule="auto"/>
        <w:jc w:val="center"/>
      </w:pPr>
      <w:r>
        <w:t>Student Name:</w:t>
      </w:r>
      <w:r w:rsidR="005E21CD">
        <w:t xml:space="preserve"> Maaria Kauser Mumtaz</w:t>
      </w:r>
    </w:p>
    <w:p w14:paraId="249E81AD" w14:textId="32DD6C31" w:rsidR="00737833" w:rsidRDefault="00737833" w:rsidP="00737833">
      <w:pPr>
        <w:spacing w:line="256" w:lineRule="auto"/>
        <w:jc w:val="center"/>
      </w:pPr>
      <w:r>
        <w:t xml:space="preserve">Student ID: </w:t>
      </w:r>
      <w:r w:rsidR="005E21CD">
        <w:t>2312089</w:t>
      </w:r>
    </w:p>
    <w:p w14:paraId="6FE1826A" w14:textId="00ADD3DD" w:rsidR="00737833" w:rsidRDefault="00737833" w:rsidP="00737833">
      <w:pPr>
        <w:spacing w:line="256" w:lineRule="auto"/>
        <w:jc w:val="center"/>
      </w:pPr>
      <w:r>
        <w:t xml:space="preserve">Module: </w:t>
      </w:r>
      <w:r w:rsidR="005E21CD">
        <w:t>BMPHP6029</w:t>
      </w:r>
    </w:p>
    <w:p w14:paraId="0C5254E4" w14:textId="77777777" w:rsidR="003B38C9" w:rsidRDefault="003B38C9" w:rsidP="00737833">
      <w:pPr>
        <w:spacing w:line="256" w:lineRule="auto"/>
        <w:jc w:val="center"/>
      </w:pPr>
    </w:p>
    <w:p w14:paraId="4D8F6E97" w14:textId="77777777" w:rsidR="00B1040B" w:rsidRDefault="003B38C9" w:rsidP="003B38C9">
      <w:pPr>
        <w:jc w:val="center"/>
        <w:rPr>
          <w:b/>
        </w:rPr>
      </w:pPr>
      <w:r w:rsidRPr="003B38C9">
        <w:rPr>
          <w:b/>
        </w:rPr>
        <w:t xml:space="preserve">Mental, </w:t>
      </w:r>
      <w:proofErr w:type="spellStart"/>
      <w:r w:rsidRPr="003B38C9">
        <w:rPr>
          <w:b/>
        </w:rPr>
        <w:t>Behavioural</w:t>
      </w:r>
      <w:proofErr w:type="spellEnd"/>
      <w:r w:rsidRPr="003B38C9">
        <w:rPr>
          <w:b/>
        </w:rPr>
        <w:t xml:space="preserve"> or Neurodevelopment</w:t>
      </w:r>
      <w:r>
        <w:rPr>
          <w:b/>
        </w:rPr>
        <w:t>al Disorders: Feeding o</w:t>
      </w:r>
      <w:r w:rsidRPr="003B38C9">
        <w:rPr>
          <w:b/>
        </w:rPr>
        <w:t xml:space="preserve">r </w:t>
      </w:r>
      <w:proofErr w:type="gramStart"/>
      <w:r w:rsidRPr="003B38C9">
        <w:rPr>
          <w:b/>
        </w:rPr>
        <w:t>Eating Disorders</w:t>
      </w:r>
      <w:proofErr w:type="gramEnd"/>
    </w:p>
    <w:p w14:paraId="129286CD" w14:textId="77777777" w:rsidR="00B50B99" w:rsidRDefault="00B50B99" w:rsidP="003B38C9">
      <w:pPr>
        <w:jc w:val="center"/>
        <w:rPr>
          <w:b/>
        </w:rPr>
      </w:pPr>
    </w:p>
    <w:p w14:paraId="1A4A2830" w14:textId="77777777" w:rsidR="00B50B99" w:rsidRDefault="00B50B99" w:rsidP="003B38C9">
      <w:pPr>
        <w:jc w:val="center"/>
        <w:rPr>
          <w:b/>
        </w:rPr>
      </w:pPr>
    </w:p>
    <w:p w14:paraId="29F47861" w14:textId="77777777" w:rsidR="00B50B99" w:rsidRDefault="00B50B99" w:rsidP="003B38C9">
      <w:pPr>
        <w:jc w:val="center"/>
        <w:rPr>
          <w:b/>
        </w:rPr>
      </w:pPr>
    </w:p>
    <w:p w14:paraId="22BAEAE5" w14:textId="77777777" w:rsidR="00B50B99" w:rsidRDefault="00B50B99" w:rsidP="003B38C9">
      <w:pPr>
        <w:jc w:val="center"/>
        <w:rPr>
          <w:b/>
        </w:rPr>
      </w:pPr>
    </w:p>
    <w:p w14:paraId="77D21BDE" w14:textId="77777777" w:rsidR="00B50B99" w:rsidRDefault="00B50B99" w:rsidP="003B38C9">
      <w:pPr>
        <w:jc w:val="center"/>
        <w:rPr>
          <w:b/>
        </w:rPr>
      </w:pPr>
    </w:p>
    <w:p w14:paraId="52841B31" w14:textId="77777777" w:rsidR="00B50B99" w:rsidRDefault="00B50B99" w:rsidP="003B38C9">
      <w:pPr>
        <w:jc w:val="center"/>
        <w:rPr>
          <w:b/>
        </w:rPr>
      </w:pPr>
    </w:p>
    <w:p w14:paraId="31141745" w14:textId="77777777" w:rsidR="00B50B99" w:rsidRDefault="00B50B99" w:rsidP="003B38C9">
      <w:pPr>
        <w:jc w:val="center"/>
        <w:rPr>
          <w:b/>
        </w:rPr>
      </w:pPr>
    </w:p>
    <w:p w14:paraId="6ACD7E31" w14:textId="77777777" w:rsidR="00663354" w:rsidRDefault="00663354" w:rsidP="003B38C9">
      <w:pPr>
        <w:jc w:val="center"/>
        <w:rPr>
          <w:b/>
        </w:rPr>
      </w:pPr>
    </w:p>
    <w:p w14:paraId="686F0C9E" w14:textId="77777777" w:rsidR="00663354" w:rsidRDefault="00663354" w:rsidP="003B38C9">
      <w:pPr>
        <w:jc w:val="center"/>
        <w:rPr>
          <w:b/>
        </w:rPr>
      </w:pPr>
    </w:p>
    <w:p w14:paraId="0743FC1E" w14:textId="77777777" w:rsidR="00663354" w:rsidRDefault="00663354" w:rsidP="003B38C9">
      <w:pPr>
        <w:jc w:val="center"/>
        <w:rPr>
          <w:b/>
        </w:rPr>
      </w:pPr>
    </w:p>
    <w:sdt>
      <w:sdtPr>
        <w:rPr>
          <w:rFonts w:ascii="Times New Roman" w:eastAsiaTheme="minorHAnsi" w:hAnsi="Times New Roman" w:cstheme="minorBidi"/>
          <w:color w:val="auto"/>
          <w:sz w:val="24"/>
          <w:szCs w:val="22"/>
        </w:rPr>
        <w:id w:val="390860051"/>
        <w:docPartObj>
          <w:docPartGallery w:val="Table of Contents"/>
          <w:docPartUnique/>
        </w:docPartObj>
      </w:sdtPr>
      <w:sdtEndPr>
        <w:rPr>
          <w:b/>
          <w:bCs/>
          <w:noProof/>
        </w:rPr>
      </w:sdtEndPr>
      <w:sdtContent>
        <w:p w14:paraId="562BC1E5" w14:textId="77777777" w:rsidR="00663354" w:rsidRPr="00663354" w:rsidRDefault="00663354" w:rsidP="00663354">
          <w:pPr>
            <w:pStyle w:val="TOCHeading"/>
            <w:jc w:val="center"/>
            <w:rPr>
              <w:rFonts w:ascii="Times New Roman" w:hAnsi="Times New Roman" w:cs="Times New Roman"/>
              <w:b/>
              <w:color w:val="000000" w:themeColor="text1"/>
              <w:sz w:val="24"/>
            </w:rPr>
          </w:pPr>
          <w:r w:rsidRPr="00663354">
            <w:rPr>
              <w:rFonts w:ascii="Times New Roman" w:hAnsi="Times New Roman" w:cs="Times New Roman"/>
              <w:b/>
              <w:color w:val="000000" w:themeColor="text1"/>
              <w:sz w:val="24"/>
            </w:rPr>
            <w:t>Table of Contents</w:t>
          </w:r>
        </w:p>
        <w:p w14:paraId="67BA5477" w14:textId="77777777" w:rsidR="00663354" w:rsidRDefault="00663354">
          <w:pPr>
            <w:pStyle w:val="TOC1"/>
            <w:tabs>
              <w:tab w:val="right" w:leader="dot" w:pos="9350"/>
            </w:tabs>
            <w:rPr>
              <w:noProof/>
            </w:rPr>
          </w:pPr>
          <w:r>
            <w:fldChar w:fldCharType="begin"/>
          </w:r>
          <w:r>
            <w:instrText xml:space="preserve"> TOC \o "1-3" \h \z \u </w:instrText>
          </w:r>
          <w:r>
            <w:fldChar w:fldCharType="separate"/>
          </w:r>
          <w:hyperlink w:anchor="_Toc211226763" w:history="1">
            <w:r w:rsidRPr="006951F9">
              <w:rPr>
                <w:rStyle w:val="Hyperlink"/>
                <w:noProof/>
              </w:rPr>
              <w:t>Introduction</w:t>
            </w:r>
            <w:r>
              <w:rPr>
                <w:noProof/>
                <w:webHidden/>
              </w:rPr>
              <w:tab/>
            </w:r>
            <w:r>
              <w:rPr>
                <w:noProof/>
                <w:webHidden/>
              </w:rPr>
              <w:fldChar w:fldCharType="begin"/>
            </w:r>
            <w:r>
              <w:rPr>
                <w:noProof/>
                <w:webHidden/>
              </w:rPr>
              <w:instrText xml:space="preserve"> PAGEREF _Toc211226763 \h </w:instrText>
            </w:r>
            <w:r>
              <w:rPr>
                <w:noProof/>
                <w:webHidden/>
              </w:rPr>
            </w:r>
            <w:r>
              <w:rPr>
                <w:noProof/>
                <w:webHidden/>
              </w:rPr>
              <w:fldChar w:fldCharType="separate"/>
            </w:r>
            <w:r>
              <w:rPr>
                <w:noProof/>
                <w:webHidden/>
              </w:rPr>
              <w:t>2</w:t>
            </w:r>
            <w:r>
              <w:rPr>
                <w:noProof/>
                <w:webHidden/>
              </w:rPr>
              <w:fldChar w:fldCharType="end"/>
            </w:r>
          </w:hyperlink>
        </w:p>
        <w:p w14:paraId="7247571B" w14:textId="77777777" w:rsidR="00663354" w:rsidRDefault="00663354">
          <w:pPr>
            <w:pStyle w:val="TOC1"/>
            <w:tabs>
              <w:tab w:val="right" w:leader="dot" w:pos="9350"/>
            </w:tabs>
            <w:rPr>
              <w:noProof/>
            </w:rPr>
          </w:pPr>
          <w:hyperlink w:anchor="_Toc211226764" w:history="1">
            <w:r w:rsidRPr="006951F9">
              <w:rPr>
                <w:rStyle w:val="Hyperlink"/>
                <w:noProof/>
              </w:rPr>
              <w:t>Classification and Diagnosis</w:t>
            </w:r>
            <w:r>
              <w:rPr>
                <w:noProof/>
                <w:webHidden/>
              </w:rPr>
              <w:tab/>
            </w:r>
            <w:r>
              <w:rPr>
                <w:noProof/>
                <w:webHidden/>
              </w:rPr>
              <w:fldChar w:fldCharType="begin"/>
            </w:r>
            <w:r>
              <w:rPr>
                <w:noProof/>
                <w:webHidden/>
              </w:rPr>
              <w:instrText xml:space="preserve"> PAGEREF _Toc211226764 \h </w:instrText>
            </w:r>
            <w:r>
              <w:rPr>
                <w:noProof/>
                <w:webHidden/>
              </w:rPr>
            </w:r>
            <w:r>
              <w:rPr>
                <w:noProof/>
                <w:webHidden/>
              </w:rPr>
              <w:fldChar w:fldCharType="separate"/>
            </w:r>
            <w:r>
              <w:rPr>
                <w:noProof/>
                <w:webHidden/>
              </w:rPr>
              <w:t>3</w:t>
            </w:r>
            <w:r>
              <w:rPr>
                <w:noProof/>
                <w:webHidden/>
              </w:rPr>
              <w:fldChar w:fldCharType="end"/>
            </w:r>
          </w:hyperlink>
        </w:p>
        <w:p w14:paraId="35E5AD02" w14:textId="77777777" w:rsidR="00663354" w:rsidRDefault="00663354">
          <w:pPr>
            <w:pStyle w:val="TOC1"/>
            <w:tabs>
              <w:tab w:val="right" w:leader="dot" w:pos="9350"/>
            </w:tabs>
            <w:rPr>
              <w:noProof/>
            </w:rPr>
          </w:pPr>
          <w:hyperlink w:anchor="_Toc211226765" w:history="1">
            <w:r w:rsidRPr="006951F9">
              <w:rPr>
                <w:rStyle w:val="Hyperlink"/>
                <w:noProof/>
              </w:rPr>
              <w:t>Treatment and Rehabilitation</w:t>
            </w:r>
            <w:r>
              <w:rPr>
                <w:noProof/>
                <w:webHidden/>
              </w:rPr>
              <w:tab/>
            </w:r>
            <w:r>
              <w:rPr>
                <w:noProof/>
                <w:webHidden/>
              </w:rPr>
              <w:fldChar w:fldCharType="begin"/>
            </w:r>
            <w:r>
              <w:rPr>
                <w:noProof/>
                <w:webHidden/>
              </w:rPr>
              <w:instrText xml:space="preserve"> PAGEREF _Toc211226765 \h </w:instrText>
            </w:r>
            <w:r>
              <w:rPr>
                <w:noProof/>
                <w:webHidden/>
              </w:rPr>
            </w:r>
            <w:r>
              <w:rPr>
                <w:noProof/>
                <w:webHidden/>
              </w:rPr>
              <w:fldChar w:fldCharType="separate"/>
            </w:r>
            <w:r>
              <w:rPr>
                <w:noProof/>
                <w:webHidden/>
              </w:rPr>
              <w:t>4</w:t>
            </w:r>
            <w:r>
              <w:rPr>
                <w:noProof/>
                <w:webHidden/>
              </w:rPr>
              <w:fldChar w:fldCharType="end"/>
            </w:r>
          </w:hyperlink>
        </w:p>
        <w:p w14:paraId="472AE57E" w14:textId="77777777" w:rsidR="00663354" w:rsidRDefault="00663354">
          <w:pPr>
            <w:pStyle w:val="TOC1"/>
            <w:tabs>
              <w:tab w:val="right" w:leader="dot" w:pos="9350"/>
            </w:tabs>
            <w:rPr>
              <w:noProof/>
            </w:rPr>
          </w:pPr>
          <w:hyperlink w:anchor="_Toc211226766" w:history="1">
            <w:r w:rsidRPr="006951F9">
              <w:rPr>
                <w:rStyle w:val="Hyperlink"/>
                <w:noProof/>
              </w:rPr>
              <w:t>Current Debates and Emerging Issues</w:t>
            </w:r>
            <w:r>
              <w:rPr>
                <w:noProof/>
                <w:webHidden/>
              </w:rPr>
              <w:tab/>
            </w:r>
            <w:r>
              <w:rPr>
                <w:noProof/>
                <w:webHidden/>
              </w:rPr>
              <w:fldChar w:fldCharType="begin"/>
            </w:r>
            <w:r>
              <w:rPr>
                <w:noProof/>
                <w:webHidden/>
              </w:rPr>
              <w:instrText xml:space="preserve"> PAGEREF _Toc211226766 \h </w:instrText>
            </w:r>
            <w:r>
              <w:rPr>
                <w:noProof/>
                <w:webHidden/>
              </w:rPr>
            </w:r>
            <w:r>
              <w:rPr>
                <w:noProof/>
                <w:webHidden/>
              </w:rPr>
              <w:fldChar w:fldCharType="separate"/>
            </w:r>
            <w:r>
              <w:rPr>
                <w:noProof/>
                <w:webHidden/>
              </w:rPr>
              <w:t>5</w:t>
            </w:r>
            <w:r>
              <w:rPr>
                <w:noProof/>
                <w:webHidden/>
              </w:rPr>
              <w:fldChar w:fldCharType="end"/>
            </w:r>
          </w:hyperlink>
        </w:p>
        <w:p w14:paraId="53B2DC5A" w14:textId="77777777" w:rsidR="00663354" w:rsidRDefault="00663354">
          <w:pPr>
            <w:pStyle w:val="TOC1"/>
            <w:tabs>
              <w:tab w:val="right" w:leader="dot" w:pos="9350"/>
            </w:tabs>
            <w:rPr>
              <w:noProof/>
            </w:rPr>
          </w:pPr>
          <w:hyperlink w:anchor="_Toc211226767" w:history="1">
            <w:r w:rsidRPr="006951F9">
              <w:rPr>
                <w:rStyle w:val="Hyperlink"/>
                <w:noProof/>
              </w:rPr>
              <w:t>Recommendation</w:t>
            </w:r>
            <w:r>
              <w:rPr>
                <w:noProof/>
                <w:webHidden/>
              </w:rPr>
              <w:tab/>
            </w:r>
            <w:r>
              <w:rPr>
                <w:noProof/>
                <w:webHidden/>
              </w:rPr>
              <w:fldChar w:fldCharType="begin"/>
            </w:r>
            <w:r>
              <w:rPr>
                <w:noProof/>
                <w:webHidden/>
              </w:rPr>
              <w:instrText xml:space="preserve"> PAGEREF _Toc211226767 \h </w:instrText>
            </w:r>
            <w:r>
              <w:rPr>
                <w:noProof/>
                <w:webHidden/>
              </w:rPr>
            </w:r>
            <w:r>
              <w:rPr>
                <w:noProof/>
                <w:webHidden/>
              </w:rPr>
              <w:fldChar w:fldCharType="separate"/>
            </w:r>
            <w:r>
              <w:rPr>
                <w:noProof/>
                <w:webHidden/>
              </w:rPr>
              <w:t>7</w:t>
            </w:r>
            <w:r>
              <w:rPr>
                <w:noProof/>
                <w:webHidden/>
              </w:rPr>
              <w:fldChar w:fldCharType="end"/>
            </w:r>
          </w:hyperlink>
        </w:p>
        <w:p w14:paraId="0FBC50C6" w14:textId="77777777" w:rsidR="00663354" w:rsidRDefault="00663354">
          <w:pPr>
            <w:pStyle w:val="TOC1"/>
            <w:tabs>
              <w:tab w:val="right" w:leader="dot" w:pos="9350"/>
            </w:tabs>
            <w:rPr>
              <w:noProof/>
            </w:rPr>
          </w:pPr>
          <w:hyperlink w:anchor="_Toc211226768" w:history="1">
            <w:r w:rsidRPr="006951F9">
              <w:rPr>
                <w:rStyle w:val="Hyperlink"/>
                <w:noProof/>
              </w:rPr>
              <w:t>Conclusion</w:t>
            </w:r>
            <w:r>
              <w:rPr>
                <w:noProof/>
                <w:webHidden/>
              </w:rPr>
              <w:tab/>
            </w:r>
            <w:r>
              <w:rPr>
                <w:noProof/>
                <w:webHidden/>
              </w:rPr>
              <w:fldChar w:fldCharType="begin"/>
            </w:r>
            <w:r>
              <w:rPr>
                <w:noProof/>
                <w:webHidden/>
              </w:rPr>
              <w:instrText xml:space="preserve"> PAGEREF _Toc211226768 \h </w:instrText>
            </w:r>
            <w:r>
              <w:rPr>
                <w:noProof/>
                <w:webHidden/>
              </w:rPr>
            </w:r>
            <w:r>
              <w:rPr>
                <w:noProof/>
                <w:webHidden/>
              </w:rPr>
              <w:fldChar w:fldCharType="separate"/>
            </w:r>
            <w:r>
              <w:rPr>
                <w:noProof/>
                <w:webHidden/>
              </w:rPr>
              <w:t>8</w:t>
            </w:r>
            <w:r>
              <w:rPr>
                <w:noProof/>
                <w:webHidden/>
              </w:rPr>
              <w:fldChar w:fldCharType="end"/>
            </w:r>
          </w:hyperlink>
        </w:p>
        <w:p w14:paraId="46737ADF" w14:textId="77777777" w:rsidR="00663354" w:rsidRDefault="00663354">
          <w:pPr>
            <w:pStyle w:val="TOC1"/>
            <w:tabs>
              <w:tab w:val="right" w:leader="dot" w:pos="9350"/>
            </w:tabs>
            <w:rPr>
              <w:noProof/>
            </w:rPr>
          </w:pPr>
          <w:hyperlink w:anchor="_Toc211226769" w:history="1">
            <w:r w:rsidRPr="006951F9">
              <w:rPr>
                <w:rStyle w:val="Hyperlink"/>
                <w:noProof/>
              </w:rPr>
              <w:t>References</w:t>
            </w:r>
            <w:r>
              <w:rPr>
                <w:noProof/>
                <w:webHidden/>
              </w:rPr>
              <w:tab/>
            </w:r>
            <w:r>
              <w:rPr>
                <w:noProof/>
                <w:webHidden/>
              </w:rPr>
              <w:fldChar w:fldCharType="begin"/>
            </w:r>
            <w:r>
              <w:rPr>
                <w:noProof/>
                <w:webHidden/>
              </w:rPr>
              <w:instrText xml:space="preserve"> PAGEREF _Toc211226769 \h </w:instrText>
            </w:r>
            <w:r>
              <w:rPr>
                <w:noProof/>
                <w:webHidden/>
              </w:rPr>
            </w:r>
            <w:r>
              <w:rPr>
                <w:noProof/>
                <w:webHidden/>
              </w:rPr>
              <w:fldChar w:fldCharType="separate"/>
            </w:r>
            <w:r>
              <w:rPr>
                <w:noProof/>
                <w:webHidden/>
              </w:rPr>
              <w:t>10</w:t>
            </w:r>
            <w:r>
              <w:rPr>
                <w:noProof/>
                <w:webHidden/>
              </w:rPr>
              <w:fldChar w:fldCharType="end"/>
            </w:r>
          </w:hyperlink>
        </w:p>
        <w:p w14:paraId="573D86AA" w14:textId="77777777" w:rsidR="00663354" w:rsidRDefault="00663354">
          <w:r>
            <w:rPr>
              <w:b/>
              <w:bCs/>
              <w:noProof/>
            </w:rPr>
            <w:fldChar w:fldCharType="end"/>
          </w:r>
        </w:p>
      </w:sdtContent>
    </w:sdt>
    <w:p w14:paraId="6E6416CD" w14:textId="77777777" w:rsidR="00663354" w:rsidRDefault="00663354" w:rsidP="003B38C9">
      <w:pPr>
        <w:jc w:val="center"/>
        <w:rPr>
          <w:b/>
        </w:rPr>
      </w:pPr>
    </w:p>
    <w:p w14:paraId="10CB97A8" w14:textId="77777777" w:rsidR="00B50B99" w:rsidRDefault="00B50B99" w:rsidP="003B38C9">
      <w:pPr>
        <w:jc w:val="center"/>
        <w:rPr>
          <w:b/>
        </w:rPr>
      </w:pPr>
    </w:p>
    <w:p w14:paraId="6D85D222" w14:textId="77777777" w:rsidR="00B50B99" w:rsidRDefault="00B50B99" w:rsidP="00E370CC">
      <w:pPr>
        <w:rPr>
          <w:b/>
        </w:rPr>
      </w:pPr>
    </w:p>
    <w:p w14:paraId="41DB54D8" w14:textId="77777777" w:rsidR="00B50B99" w:rsidRDefault="00B50B99" w:rsidP="003B38C9">
      <w:pPr>
        <w:jc w:val="center"/>
        <w:rPr>
          <w:b/>
        </w:rPr>
      </w:pPr>
    </w:p>
    <w:p w14:paraId="1652AAED" w14:textId="77777777" w:rsidR="00663354" w:rsidRDefault="00663354">
      <w:pPr>
        <w:spacing w:line="259" w:lineRule="auto"/>
        <w:jc w:val="left"/>
        <w:rPr>
          <w:rFonts w:eastAsiaTheme="majorEastAsia" w:cstheme="majorBidi"/>
          <w:b/>
          <w:color w:val="000000" w:themeColor="text1"/>
          <w:szCs w:val="32"/>
        </w:rPr>
      </w:pPr>
      <w:bookmarkStart w:id="0" w:name="_Toc211226763"/>
      <w:r>
        <w:br w:type="page"/>
      </w:r>
    </w:p>
    <w:p w14:paraId="7C74125F" w14:textId="77777777" w:rsidR="00B50B99" w:rsidRDefault="00B50B99" w:rsidP="003843EA">
      <w:pPr>
        <w:pStyle w:val="Heading1"/>
      </w:pPr>
      <w:r>
        <w:lastRenderedPageBreak/>
        <w:t>Introduction</w:t>
      </w:r>
      <w:bookmarkEnd w:id="0"/>
    </w:p>
    <w:p w14:paraId="0BF1C345" w14:textId="77777777" w:rsidR="00DB7DDC" w:rsidRDefault="00713630" w:rsidP="00DB7DDC">
      <w:pPr>
        <w:ind w:firstLine="720"/>
      </w:pPr>
      <w:r>
        <w:t xml:space="preserve">Pratap </w:t>
      </w:r>
      <w:r w:rsidR="00DB7DDC" w:rsidRPr="00DB7DDC">
        <w:t>(</w:t>
      </w:r>
      <w:r>
        <w:t>2021</w:t>
      </w:r>
      <w:r w:rsidR="00DB7DDC" w:rsidRPr="00DB7DDC">
        <w:t xml:space="preserve">) describes </w:t>
      </w:r>
      <w:r w:rsidR="00BF7EE2">
        <w:t>that</w:t>
      </w:r>
      <w:r w:rsidR="00B14114" w:rsidRPr="00DB7DDC">
        <w:t xml:space="preserve"> feeding and eating disorders are disparate conditions of deficiency, irregular eating habits, and vast depression or incompleteness with respect to consuming food, physique, along body image. ICD-11 is a wide-ranging classification and diagnostic code of these syndromes, initiated on recent progressions in clinical consideration, and imperfections of the earlier versions</w:t>
      </w:r>
      <w:r w:rsidR="00BF7EE2">
        <w:t>,</w:t>
      </w:r>
      <w:r w:rsidR="00B14114" w:rsidRPr="00DB7DDC">
        <w:t xml:space="preserve"> including the Global Classification of Diseases 10th </w:t>
      </w:r>
      <w:r w:rsidR="00BF7EE2">
        <w:t>Edition</w:t>
      </w:r>
      <w:r w:rsidR="00B14114" w:rsidRPr="00DB7DDC">
        <w:t xml:space="preserve"> (ICD-10), and aimed to </w:t>
      </w:r>
      <w:r w:rsidR="00BF7EE2">
        <w:t>address</w:t>
      </w:r>
      <w:r w:rsidR="00B14114" w:rsidRPr="00DB7DDC">
        <w:t xml:space="preserve"> them. The ICD-11 takes feeding and eating disorders, and the single term can be practical throughout the lifetime</w:t>
      </w:r>
      <w:r w:rsidR="00BF7EE2">
        <w:t>,</w:t>
      </w:r>
      <w:r w:rsidR="00B14114" w:rsidRPr="00DB7DDC">
        <w:t xml:space="preserve"> as well as atypical and distinctive disorders</w:t>
      </w:r>
      <w:r w:rsidR="00DB7DDC" w:rsidRPr="00DB7DDC">
        <w:t xml:space="preserve"> (</w:t>
      </w:r>
      <w:r>
        <w:t>ICD-11, 2024</w:t>
      </w:r>
      <w:r w:rsidR="00DB7DDC" w:rsidRPr="00DB7DDC">
        <w:t>)</w:t>
      </w:r>
      <w:r w:rsidR="00B14114" w:rsidRPr="00DB7DDC">
        <w:t xml:space="preserve">. The classification is done through positive diagnostic criteria that target behavioral </w:t>
      </w:r>
      <w:r w:rsidR="00BF7EE2">
        <w:t>characteristics</w:t>
      </w:r>
      <w:r w:rsidR="00B14114" w:rsidRPr="00DB7DDC">
        <w:t xml:space="preserve"> that are preventive eating, binge eating</w:t>
      </w:r>
      <w:r w:rsidR="00BF7EE2">
        <w:t>,</w:t>
      </w:r>
      <w:r w:rsidR="00B14114" w:rsidRPr="00DB7DDC">
        <w:t xml:space="preserve"> and </w:t>
      </w:r>
      <w:r w:rsidR="00BF7EE2">
        <w:t>compensating</w:t>
      </w:r>
      <w:r w:rsidR="00B14114" w:rsidRPr="00DB7DDC">
        <w:t xml:space="preserve"> behaviors</w:t>
      </w:r>
      <w:r w:rsidR="00BF7EE2">
        <w:t>,</w:t>
      </w:r>
      <w:r w:rsidR="00B14114" w:rsidRPr="00DB7DDC">
        <w:t xml:space="preserve"> as well as psychological and </w:t>
      </w:r>
      <w:r w:rsidR="008A3A0F" w:rsidRPr="00DB7DDC">
        <w:t>expressive</w:t>
      </w:r>
      <w:r w:rsidR="00B14114" w:rsidRPr="00DB7DDC">
        <w:t xml:space="preserve"> variables. </w:t>
      </w:r>
    </w:p>
    <w:p w14:paraId="54DCF22D" w14:textId="77777777" w:rsidR="003843EA" w:rsidRPr="00DB7DDC" w:rsidRDefault="00B14114" w:rsidP="00DB7DDC">
      <w:pPr>
        <w:ind w:firstLine="720"/>
      </w:pPr>
      <w:r w:rsidRPr="00DB7DDC">
        <w:t xml:space="preserve"> </w:t>
      </w:r>
      <w:r w:rsidR="00713630">
        <w:rPr>
          <w:rFonts w:cs="Times New Roman"/>
          <w:color w:val="222222"/>
          <w:szCs w:val="24"/>
          <w:shd w:val="clear" w:color="auto" w:fill="FFFFFF"/>
        </w:rPr>
        <w:t>Attard-Mallia (</w:t>
      </w:r>
      <w:r w:rsidR="00713630" w:rsidRPr="00713630">
        <w:rPr>
          <w:rFonts w:cs="Times New Roman"/>
          <w:color w:val="222222"/>
          <w:szCs w:val="24"/>
          <w:shd w:val="clear" w:color="auto" w:fill="FFFFFF"/>
        </w:rPr>
        <w:t>2023</w:t>
      </w:r>
      <w:r w:rsidR="00DB7DDC" w:rsidRPr="00DB7DDC">
        <w:t xml:space="preserve">) </w:t>
      </w:r>
      <w:r w:rsidR="00BF7EE2">
        <w:t>analyzes</w:t>
      </w:r>
      <w:r w:rsidR="00DB7DDC" w:rsidRPr="00DB7DDC">
        <w:t xml:space="preserve"> that t</w:t>
      </w:r>
      <w:r w:rsidRPr="00DB7DDC">
        <w:t xml:space="preserve">reatment and rehabilitation plans </w:t>
      </w:r>
      <w:r w:rsidR="00BF7EE2">
        <w:t>for</w:t>
      </w:r>
      <w:r w:rsidRPr="00DB7DDC">
        <w:t xml:space="preserve"> the feeding and eating disorder are </w:t>
      </w:r>
      <w:r w:rsidR="008A3A0F" w:rsidRPr="00DB7DDC">
        <w:t>complex</w:t>
      </w:r>
      <w:r w:rsidRPr="00DB7DDC">
        <w:t xml:space="preserve"> and contain psychological therapies, nutritional </w:t>
      </w:r>
      <w:r w:rsidR="008A3A0F" w:rsidRPr="00DB7DDC">
        <w:t>reintegration</w:t>
      </w:r>
      <w:r w:rsidR="00BF7EE2">
        <w:t>,</w:t>
      </w:r>
      <w:r w:rsidRPr="00DB7DDC">
        <w:t xml:space="preserve"> and medical </w:t>
      </w:r>
      <w:r w:rsidR="008A3A0F" w:rsidRPr="00DB7DDC">
        <w:t>involvement</w:t>
      </w:r>
      <w:r w:rsidRPr="00DB7DDC">
        <w:t xml:space="preserve"> of the troubles. Even the current standards do not eliminate </w:t>
      </w:r>
      <w:r w:rsidR="00BF7EE2">
        <w:t xml:space="preserve">the </w:t>
      </w:r>
      <w:r w:rsidRPr="00DB7DDC">
        <w:t xml:space="preserve">challenges of individual variability and long-term </w:t>
      </w:r>
      <w:r w:rsidR="008A3A0F" w:rsidRPr="00DB7DDC">
        <w:t>retrieval</w:t>
      </w:r>
      <w:r w:rsidR="003843EA" w:rsidRPr="00DB7DDC">
        <w:t xml:space="preserve">. Recent discussions are based on the inclusivity of the </w:t>
      </w:r>
      <w:r w:rsidR="008A3A0F" w:rsidRPr="00DB7DDC">
        <w:t>arrangement</w:t>
      </w:r>
      <w:r w:rsidR="003843EA" w:rsidRPr="00DB7DDC">
        <w:t xml:space="preserve">, the place of neurodivergence, and changing conceptions of the etiology of the disorders. The </w:t>
      </w:r>
      <w:r w:rsidR="008A3A0F" w:rsidRPr="00DB7DDC">
        <w:t>insinuations</w:t>
      </w:r>
      <w:r w:rsidR="003843EA" w:rsidRPr="00DB7DDC">
        <w:t xml:space="preserve"> of these </w:t>
      </w:r>
      <w:r w:rsidR="008A3A0F" w:rsidRPr="00DB7DDC">
        <w:t>conversations</w:t>
      </w:r>
      <w:r w:rsidR="003843EA" w:rsidRPr="00DB7DDC">
        <w:t xml:space="preserve"> in clinical </w:t>
      </w:r>
      <w:r w:rsidR="008A3A0F" w:rsidRPr="00DB7DDC">
        <w:t>preparation</w:t>
      </w:r>
      <w:r w:rsidR="003843EA" w:rsidRPr="00DB7DDC">
        <w:t>, policy</w:t>
      </w:r>
      <w:r w:rsidR="00BF7EE2">
        <w:t>,</w:t>
      </w:r>
      <w:r w:rsidR="003843EA" w:rsidRPr="00DB7DDC">
        <w:t xml:space="preserve"> and research are </w:t>
      </w:r>
      <w:r w:rsidR="008A3A0F" w:rsidRPr="00DB7DDC">
        <w:t>imperative</w:t>
      </w:r>
      <w:r w:rsidR="003843EA" w:rsidRPr="00DB7DDC">
        <w:t xml:space="preserve">. In this report, the classification and diagnostic procedures that constitute ICD-11 in regards to feeding and eating </w:t>
      </w:r>
      <w:r w:rsidR="00BF7EE2">
        <w:t>disorders</w:t>
      </w:r>
      <w:r w:rsidR="003843EA" w:rsidRPr="00DB7DDC">
        <w:t xml:space="preserve"> will be discussed in detail, the treatment and rehabilitation procedures will also be critically analyzed, the modern debates on the subject will also be examined, and some evidence-based recommendations will be suggested to improve care delivery and policy frameworks.</w:t>
      </w:r>
    </w:p>
    <w:p w14:paraId="3B438675" w14:textId="77777777" w:rsidR="00137C2E" w:rsidRPr="00DB7DDC" w:rsidRDefault="00137C2E" w:rsidP="00DB7DDC">
      <w:pPr>
        <w:pStyle w:val="Heading1"/>
      </w:pPr>
      <w:bookmarkStart w:id="1" w:name="_Toc211226764"/>
      <w:r w:rsidRPr="00DB7DDC">
        <w:t>Classification and Diagnosis</w:t>
      </w:r>
      <w:bookmarkEnd w:id="1"/>
    </w:p>
    <w:p w14:paraId="288A15BD" w14:textId="77777777" w:rsidR="00DB7DDC" w:rsidRDefault="00713630" w:rsidP="00DB7DDC">
      <w:pPr>
        <w:ind w:firstLine="720"/>
      </w:pPr>
      <w:r>
        <w:t xml:space="preserve">ICD-11 </w:t>
      </w:r>
      <w:r w:rsidR="00DB7DDC" w:rsidRPr="00DB7DDC">
        <w:t>(</w:t>
      </w:r>
      <w:r>
        <w:t>2024</w:t>
      </w:r>
      <w:r w:rsidR="00DB7DDC" w:rsidRPr="00DB7DDC">
        <w:t>) shows that t</w:t>
      </w:r>
      <w:r w:rsidR="008A3A0F" w:rsidRPr="00DB7DDC">
        <w:t xml:space="preserve">he </w:t>
      </w:r>
      <w:r w:rsidR="00BF7EE2">
        <w:t>International</w:t>
      </w:r>
      <w:r w:rsidR="008A3A0F" w:rsidRPr="00DB7DDC">
        <w:t xml:space="preserve"> Classification of Diseases Revision of </w:t>
      </w:r>
      <w:r w:rsidR="00BF7EE2">
        <w:t xml:space="preserve">the </w:t>
      </w:r>
      <w:r w:rsidR="008A3A0F" w:rsidRPr="00DB7DDC">
        <w:t xml:space="preserve">11th Edition </w:t>
      </w:r>
      <w:r w:rsidR="00137C2E" w:rsidRPr="00DB7DDC">
        <w:t xml:space="preserve">(ICD-11) </w:t>
      </w:r>
      <w:r w:rsidR="008A3A0F" w:rsidRPr="00DB7DDC">
        <w:t>proposes</w:t>
      </w:r>
      <w:r w:rsidR="00137C2E" w:rsidRPr="00DB7DDC">
        <w:t xml:space="preserve"> a better, more </w:t>
      </w:r>
      <w:r w:rsidR="008A3A0F" w:rsidRPr="00DB7DDC">
        <w:t>restructured</w:t>
      </w:r>
      <w:r w:rsidR="00137C2E" w:rsidRPr="00DB7DDC">
        <w:t xml:space="preserve"> </w:t>
      </w:r>
      <w:r w:rsidR="008A3A0F" w:rsidRPr="00DB7DDC">
        <w:t>context</w:t>
      </w:r>
      <w:r w:rsidR="00137C2E" w:rsidRPr="00DB7DDC">
        <w:t xml:space="preserve"> of feeding and eating disorders, which </w:t>
      </w:r>
      <w:r w:rsidR="008A3A0F" w:rsidRPr="00DB7DDC">
        <w:t>associates</w:t>
      </w:r>
      <w:r w:rsidR="00137C2E" w:rsidRPr="00DB7DDC">
        <w:t xml:space="preserve"> them into one </w:t>
      </w:r>
      <w:r w:rsidR="008A3A0F" w:rsidRPr="00DB7DDC">
        <w:t>class</w:t>
      </w:r>
      <w:r w:rsidR="00137C2E" w:rsidRPr="00DB7DDC">
        <w:t xml:space="preserve"> </w:t>
      </w:r>
      <w:r w:rsidR="00BF7EE2">
        <w:t>depending</w:t>
      </w:r>
      <w:r w:rsidR="008A3A0F" w:rsidRPr="00DB7DDC">
        <w:t xml:space="preserve"> on clinical features</w:t>
      </w:r>
      <w:r w:rsidR="00137C2E" w:rsidRPr="00DB7DDC">
        <w:t xml:space="preserve"> </w:t>
      </w:r>
      <w:r w:rsidR="008A3A0F" w:rsidRPr="00DB7DDC">
        <w:t>throughout</w:t>
      </w:r>
      <w:r w:rsidR="00137C2E" w:rsidRPr="00DB7DDC">
        <w:t xml:space="preserve"> the </w:t>
      </w:r>
      <w:r w:rsidR="008A3A0F" w:rsidRPr="00DB7DDC">
        <w:t>lifetime</w:t>
      </w:r>
      <w:r w:rsidR="00137C2E" w:rsidRPr="00DB7DDC">
        <w:t xml:space="preserve">. This is a major </w:t>
      </w:r>
      <w:r w:rsidR="008A3A0F" w:rsidRPr="00DB7DDC">
        <w:t>establishment</w:t>
      </w:r>
      <w:r w:rsidR="00137C2E" w:rsidRPr="00DB7DDC">
        <w:t xml:space="preserve"> </w:t>
      </w:r>
      <w:r w:rsidR="00BF7EE2">
        <w:t>compared</w:t>
      </w:r>
      <w:r w:rsidR="008A3A0F" w:rsidRPr="00DB7DDC">
        <w:t xml:space="preserve"> to</w:t>
      </w:r>
      <w:r w:rsidR="00137C2E" w:rsidRPr="00DB7DDC">
        <w:t xml:space="preserve"> ICD-10, which had </w:t>
      </w:r>
      <w:r w:rsidR="008A3A0F" w:rsidRPr="00DB7DDC">
        <w:t>distributed</w:t>
      </w:r>
      <w:r w:rsidR="00137C2E" w:rsidRPr="00DB7DDC">
        <w:t xml:space="preserve"> feeding disorders that are </w:t>
      </w:r>
      <w:r w:rsidR="008A3A0F" w:rsidRPr="00DB7DDC">
        <w:t xml:space="preserve">similar </w:t>
      </w:r>
      <w:r w:rsidR="00BF7EE2">
        <w:t>to</w:t>
      </w:r>
      <w:r w:rsidR="00137C2E" w:rsidRPr="00DB7DDC">
        <w:t xml:space="preserve"> </w:t>
      </w:r>
      <w:r w:rsidR="00BF7EE2">
        <w:t xml:space="preserve">those </w:t>
      </w:r>
      <w:r w:rsidR="00137C2E" w:rsidRPr="00DB7DDC">
        <w:t>in childhood</w:t>
      </w:r>
      <w:r w:rsidR="00BF7EE2">
        <w:t>,</w:t>
      </w:r>
      <w:r w:rsidR="00137C2E" w:rsidRPr="00DB7DDC">
        <w:t xml:space="preserve"> with eating disorders that are common in </w:t>
      </w:r>
      <w:r w:rsidR="008A3A0F" w:rsidRPr="00DB7DDC">
        <w:t>teenage years</w:t>
      </w:r>
      <w:r w:rsidR="00137C2E" w:rsidRPr="00DB7DDC">
        <w:t xml:space="preserve"> and adulthood. In ICD-11, the conditions are clustered into one chapter, as their development and phenomenological </w:t>
      </w:r>
      <w:r w:rsidR="00DB7DDC" w:rsidRPr="00DB7DDC">
        <w:t>range</w:t>
      </w:r>
      <w:r w:rsidR="00137C2E" w:rsidRPr="00DB7DDC">
        <w:t xml:space="preserve"> are acknowledged. The following major groups of disorders with specific </w:t>
      </w:r>
      <w:r w:rsidR="00137C2E" w:rsidRPr="00DB7DDC">
        <w:lastRenderedPageBreak/>
        <w:t>codes are included in the classification: Anorexia nervosa (6B80), Bulimia nervosa (6B81), Binge eating disorder (6B82), Avoidant/restrictive food intake disorder (ARFID) (6B83), Pica (6B84), Rumination-regurgitation disorder (6B85), and other specified or unspecified feeding or eating disorders (6B8Y and 6B8Z). The original inclusion of ARFID and Binge eating disorder as such provides the ICD-11 with the current state of psychiatric nosology</w:t>
      </w:r>
      <w:r w:rsidR="00BF7EE2">
        <w:t>,</w:t>
      </w:r>
      <w:r w:rsidR="00137C2E" w:rsidRPr="00DB7DDC">
        <w:t xml:space="preserve"> like DSM-5</w:t>
      </w:r>
      <w:r w:rsidR="00DB7DDC" w:rsidRPr="00DB7DDC">
        <w:t>,</w:t>
      </w:r>
      <w:r w:rsidR="00137C2E" w:rsidRPr="00DB7DDC">
        <w:t xml:space="preserve"> and demonstrates an improvement in clinical research</w:t>
      </w:r>
      <w:r w:rsidR="00DB7DDC" w:rsidRPr="00DB7DDC">
        <w:t xml:space="preserve"> (</w:t>
      </w:r>
      <w:r>
        <w:t xml:space="preserve">World Health </w:t>
      </w:r>
      <w:proofErr w:type="spellStart"/>
      <w:r>
        <w:t>Organisation</w:t>
      </w:r>
      <w:proofErr w:type="spellEnd"/>
      <w:r>
        <w:t>, 2024</w:t>
      </w:r>
      <w:r w:rsidR="00DB7DDC" w:rsidRPr="00DB7DDC">
        <w:t>)</w:t>
      </w:r>
      <w:r w:rsidR="00137C2E" w:rsidRPr="00DB7DDC">
        <w:t>.</w:t>
      </w:r>
    </w:p>
    <w:p w14:paraId="5470C854" w14:textId="77777777" w:rsidR="00DB7DDC" w:rsidRDefault="00137C2E" w:rsidP="00DB7DDC">
      <w:pPr>
        <w:ind w:firstLine="720"/>
      </w:pPr>
      <w:r w:rsidRPr="00DB7DDC">
        <w:t xml:space="preserve"> Diagnostic criteria put an emphasis on behavioral and psychological characteristics</w:t>
      </w:r>
      <w:r w:rsidR="00BF7EE2">
        <w:t>,</w:t>
      </w:r>
      <w:r w:rsidRPr="00DB7DDC">
        <w:t xml:space="preserve"> including the continued limitation of food intake, incidence of </w:t>
      </w:r>
      <w:r w:rsidR="00DB7DDC" w:rsidRPr="00DB7DDC">
        <w:t>overdo</w:t>
      </w:r>
      <w:r w:rsidRPr="00DB7DDC">
        <w:t xml:space="preserve"> consumption, compensatory measures, and cognitive apprehension of body weight and shape. Anorexia nervosa diagnosis in ICD-11 would eliminate the previous requirement of endocrine abnormalities and fat phobia in ICD-10, replacing it with a much lower body weight </w:t>
      </w:r>
      <w:r w:rsidR="00DB7DDC" w:rsidRPr="00DB7DDC">
        <w:t>(BMI threshold is now 18 kg/m 2</w:t>
      </w:r>
      <w:r w:rsidRPr="00DB7DDC">
        <w:t>) with clinical discretion where the BMI is inadequate</w:t>
      </w:r>
      <w:r w:rsidR="00DB7DDC">
        <w:t xml:space="preserve"> (</w:t>
      </w:r>
      <w:r w:rsidR="00713630">
        <w:t>ICD-11, 2024</w:t>
      </w:r>
      <w:r w:rsidR="00DB7DDC">
        <w:t>)</w:t>
      </w:r>
      <w:r w:rsidRPr="00DB7DDC">
        <w:t>. The subjective binge eating episode has been included in bulimia nervosa, and the broadened awareness of clinically relevant manifestations of bulimia nervosa. Binge eating disorder also entails re</w:t>
      </w:r>
      <w:r w:rsidR="00DB7DDC" w:rsidRPr="00DB7DDC">
        <w:t>peated episodes of binge eating</w:t>
      </w:r>
      <w:r w:rsidRPr="00DB7DDC">
        <w:t xml:space="preserve"> with no compensatory action, unlike Bulimia nervosa. </w:t>
      </w:r>
      <w:r w:rsidR="00DB7DDC" w:rsidRPr="00DB7DDC">
        <w:t xml:space="preserve">Avoidant </w:t>
      </w:r>
      <w:r w:rsidRPr="00DB7DDC">
        <w:t xml:space="preserve">food intake disorder involves the inadequate amount and/or types of food intake that </w:t>
      </w:r>
      <w:r w:rsidR="00BF7EE2">
        <w:t>lead</w:t>
      </w:r>
      <w:r w:rsidRPr="00DB7DDC">
        <w:t xml:space="preserve"> to health or functional disorders</w:t>
      </w:r>
      <w:r w:rsidR="00BF7EE2">
        <w:t>,</w:t>
      </w:r>
      <w:r w:rsidRPr="00DB7DDC">
        <w:t xml:space="preserve"> and no worries </w:t>
      </w:r>
      <w:r w:rsidR="00BF7EE2">
        <w:t>about</w:t>
      </w:r>
      <w:r w:rsidRPr="00DB7DDC">
        <w:t xml:space="preserve"> body image</w:t>
      </w:r>
      <w:r w:rsidR="00DB7DDC" w:rsidRPr="00DB7DDC">
        <w:t xml:space="preserve"> (</w:t>
      </w:r>
      <w:r w:rsidR="00713630">
        <w:t>Shan, 2021</w:t>
      </w:r>
      <w:r w:rsidR="00DB7DDC" w:rsidRPr="00DB7DDC">
        <w:t>)</w:t>
      </w:r>
      <w:r w:rsidRPr="00DB7DDC">
        <w:t xml:space="preserve">. </w:t>
      </w:r>
    </w:p>
    <w:p w14:paraId="05C22219" w14:textId="77777777" w:rsidR="00A73370" w:rsidRDefault="00137C2E" w:rsidP="00A73370">
      <w:pPr>
        <w:ind w:firstLine="720"/>
      </w:pPr>
      <w:r w:rsidRPr="00DB7DDC">
        <w:t xml:space="preserve">The disorder substitutes and extends ICD-10 categories of feeding disorder and </w:t>
      </w:r>
      <w:r w:rsidR="00BF7EE2">
        <w:t>can</w:t>
      </w:r>
      <w:r w:rsidRPr="00DB7DDC">
        <w:t xml:space="preserve"> accommodate any presentation by age and etiology. Language in ICD-11 always refers to these conditions as a disorder, with the importance of the terms being based on clinical and diagnostic relevance. The medical model of being disorderly states the use of the term, and it is meant to direct treatment as well as encourage a universal diagnosis. </w:t>
      </w:r>
      <w:r w:rsidR="00DB7DDC" w:rsidRPr="00DB7DDC">
        <w:t>(</w:t>
      </w:r>
      <w:r w:rsidR="00713630" w:rsidRPr="00713630">
        <w:rPr>
          <w:rFonts w:cs="Times New Roman"/>
          <w:color w:val="222222"/>
          <w:szCs w:val="24"/>
          <w:shd w:val="clear" w:color="auto" w:fill="FFFFFF"/>
        </w:rPr>
        <w:t xml:space="preserve">Gradl-Dietsch, </w:t>
      </w:r>
      <w:r w:rsidR="00713630">
        <w:rPr>
          <w:rFonts w:cs="Times New Roman"/>
          <w:color w:val="222222"/>
          <w:szCs w:val="24"/>
          <w:shd w:val="clear" w:color="auto" w:fill="FFFFFF"/>
        </w:rPr>
        <w:t>2024</w:t>
      </w:r>
      <w:r w:rsidR="00DB7DDC" w:rsidRPr="00DB7DDC">
        <w:t xml:space="preserve">), discussed that clinical clarity and </w:t>
      </w:r>
      <w:proofErr w:type="spellStart"/>
      <w:r w:rsidR="00DB7DDC" w:rsidRPr="00DB7DDC">
        <w:t>minimis</w:t>
      </w:r>
      <w:r w:rsidRPr="00DB7DDC">
        <w:t>ation</w:t>
      </w:r>
      <w:proofErr w:type="spellEnd"/>
      <w:r w:rsidRPr="00DB7DDC">
        <w:t xml:space="preserve"> of stigma by use of terminology also help in reducing the use of more ambiguous terms such as condition or illness. </w:t>
      </w:r>
    </w:p>
    <w:p w14:paraId="03A2DBEC" w14:textId="77777777" w:rsidR="00137C2E" w:rsidRPr="00DB7DDC" w:rsidRDefault="00137C2E" w:rsidP="00A73370">
      <w:pPr>
        <w:pStyle w:val="Heading1"/>
      </w:pPr>
      <w:bookmarkStart w:id="2" w:name="_Toc211226765"/>
      <w:r w:rsidRPr="00DB7DDC">
        <w:t>Treatment and Rehabilitation</w:t>
      </w:r>
      <w:bookmarkEnd w:id="2"/>
    </w:p>
    <w:p w14:paraId="19DBA11D" w14:textId="77777777" w:rsidR="00A73370" w:rsidRDefault="00D74F9F" w:rsidP="00A73370">
      <w:pPr>
        <w:ind w:firstLine="720"/>
      </w:pPr>
      <w:r w:rsidRPr="00A73370">
        <w:t>The usual methods used in the treatment of feeding and eating disorders (FEDs) are multifaceted, which is why they include psychological, nutritional</w:t>
      </w:r>
      <w:r w:rsidR="00BF7EE2">
        <w:t>,</w:t>
      </w:r>
      <w:r w:rsidRPr="00A73370">
        <w:t xml:space="preserve"> and medical treatment options and should depend on the subtype of the disorder and the needs of the given individuals. </w:t>
      </w:r>
      <w:r w:rsidR="00BF7EE2">
        <w:t>A study</w:t>
      </w:r>
      <w:r w:rsidR="00A73370">
        <w:t xml:space="preserve"> by </w:t>
      </w:r>
      <w:r w:rsidR="00713630">
        <w:t xml:space="preserve">Mantel </w:t>
      </w:r>
      <w:r w:rsidR="00A73370">
        <w:t>(</w:t>
      </w:r>
      <w:r w:rsidR="00713630">
        <w:t>2022</w:t>
      </w:r>
      <w:r w:rsidR="00A73370">
        <w:t xml:space="preserve">) shows that </w:t>
      </w:r>
      <w:r w:rsidRPr="00A73370">
        <w:t>CBT is the most common psychological intervention used by FEDs, particularly bulimia nervosa and binge eating disorder</w:t>
      </w:r>
      <w:r w:rsidR="00BF7EE2">
        <w:t>,</w:t>
      </w:r>
      <w:r w:rsidRPr="00A73370">
        <w:t xml:space="preserve"> as it has high-evidence levels of helping in </w:t>
      </w:r>
      <w:proofErr w:type="spellStart"/>
      <w:r w:rsidRPr="00A73370">
        <w:lastRenderedPageBreak/>
        <w:t>minimising</w:t>
      </w:r>
      <w:proofErr w:type="spellEnd"/>
      <w:r w:rsidRPr="00A73370">
        <w:t xml:space="preserve"> disordered eating </w:t>
      </w:r>
      <w:proofErr w:type="spellStart"/>
      <w:r w:rsidRPr="00A73370">
        <w:t>behaviours</w:t>
      </w:r>
      <w:proofErr w:type="spellEnd"/>
      <w:r w:rsidRPr="00A73370">
        <w:t xml:space="preserve"> and enhancing psychological symptoms. Family-based treatment (FBT) is a treatment that is mostly suggested in the case of adolescents with anorexia nervosa</w:t>
      </w:r>
      <w:r w:rsidR="00BF7EE2">
        <w:t>,</w:t>
      </w:r>
      <w:r w:rsidRPr="00A73370">
        <w:t xml:space="preserve"> with the focus on the inclusion of the parents in the process of rebuilding healthy eating habits. Other methods are the use of interpersonal psychotherapy, psychodynamic therapy, and diet counseling</w:t>
      </w:r>
      <w:r w:rsidR="00663354">
        <w:t xml:space="preserve"> (Bertelli, 2025)</w:t>
      </w:r>
      <w:r w:rsidRPr="00A73370">
        <w:t xml:space="preserve">. </w:t>
      </w:r>
    </w:p>
    <w:p w14:paraId="19C087BD" w14:textId="77777777" w:rsidR="00A73370" w:rsidRDefault="001361D0" w:rsidP="00A73370">
      <w:pPr>
        <w:ind w:firstLine="720"/>
      </w:pPr>
      <w:r w:rsidRPr="00A73370">
        <w:t xml:space="preserve">Nutritional rehabilitation and medical </w:t>
      </w:r>
      <w:r w:rsidR="00104A35" w:rsidRPr="00A73370">
        <w:t>investigation</w:t>
      </w:r>
      <w:r w:rsidRPr="00A73370">
        <w:t xml:space="preserve"> </w:t>
      </w:r>
      <w:r w:rsidR="00BF7EE2">
        <w:t>are</w:t>
      </w:r>
      <w:r w:rsidRPr="00A73370">
        <w:t xml:space="preserve"> </w:t>
      </w:r>
      <w:r w:rsidR="00104A35" w:rsidRPr="00A73370">
        <w:t>critical</w:t>
      </w:r>
      <w:r w:rsidRPr="00A73370">
        <w:t xml:space="preserve"> in </w:t>
      </w:r>
      <w:r w:rsidR="00BF7EE2">
        <w:t>overcoming</w:t>
      </w:r>
      <w:r w:rsidRPr="00A73370">
        <w:t xml:space="preserve"> the medical issues</w:t>
      </w:r>
      <w:r w:rsidR="00BF7EE2">
        <w:t>,</w:t>
      </w:r>
      <w:r w:rsidRPr="00A73370">
        <w:t xml:space="preserve"> </w:t>
      </w:r>
      <w:r w:rsidR="00104A35" w:rsidRPr="00A73370">
        <w:t>particularly</w:t>
      </w:r>
      <w:r w:rsidRPr="00A73370">
        <w:t xml:space="preserve"> in anorexia nervosa</w:t>
      </w:r>
      <w:r w:rsidR="00BF7EE2">
        <w:t>,</w:t>
      </w:r>
      <w:r w:rsidRPr="00A73370">
        <w:t xml:space="preserve"> where the malnutrition and organ dysfunction may be the </w:t>
      </w:r>
      <w:r w:rsidR="00104A35" w:rsidRPr="00A73370">
        <w:t>directive</w:t>
      </w:r>
      <w:r w:rsidRPr="00A73370">
        <w:t xml:space="preserve"> of the day</w:t>
      </w:r>
      <w:r w:rsidR="00663354">
        <w:t xml:space="preserve"> (</w:t>
      </w:r>
      <w:r w:rsidR="00663354" w:rsidRPr="00713630">
        <w:rPr>
          <w:rFonts w:cs="Times New Roman"/>
          <w:color w:val="222222"/>
          <w:szCs w:val="24"/>
          <w:shd w:val="clear" w:color="auto" w:fill="FFFFFF"/>
        </w:rPr>
        <w:t>Gradl-Dietsch</w:t>
      </w:r>
      <w:r w:rsidR="00663354">
        <w:rPr>
          <w:rFonts w:cs="Times New Roman"/>
          <w:color w:val="222222"/>
          <w:szCs w:val="24"/>
          <w:shd w:val="clear" w:color="auto" w:fill="FFFFFF"/>
        </w:rPr>
        <w:t>, 2022)</w:t>
      </w:r>
      <w:r w:rsidRPr="00A73370">
        <w:t xml:space="preserve">. The </w:t>
      </w:r>
      <w:r w:rsidR="00BF7EE2">
        <w:t>apprehension</w:t>
      </w:r>
      <w:r w:rsidRPr="00A73370">
        <w:t xml:space="preserve"> of such clinical </w:t>
      </w:r>
      <w:r w:rsidR="00104A35" w:rsidRPr="00A73370">
        <w:t>principles</w:t>
      </w:r>
      <w:r w:rsidRPr="00A73370">
        <w:t xml:space="preserve"> by ICD-11 is the </w:t>
      </w:r>
      <w:r w:rsidR="00104A35" w:rsidRPr="00A73370">
        <w:t>method</w:t>
      </w:r>
      <w:r w:rsidRPr="00A73370">
        <w:t xml:space="preserve"> that its diagnostic structure </w:t>
      </w:r>
      <w:r w:rsidR="00104A35" w:rsidRPr="00A73370">
        <w:t>extravagances</w:t>
      </w:r>
      <w:r w:rsidRPr="00A73370">
        <w:t xml:space="preserve"> the </w:t>
      </w:r>
      <w:r w:rsidR="00104A35" w:rsidRPr="00A73370">
        <w:t>complex needs of individuals.</w:t>
      </w:r>
      <w:r w:rsidRPr="00A73370">
        <w:t xml:space="preserve"> The rehabilitation </w:t>
      </w:r>
      <w:r w:rsidR="00104A35" w:rsidRPr="00A73370">
        <w:t>actions</w:t>
      </w:r>
      <w:r w:rsidRPr="00A73370">
        <w:t xml:space="preserve"> are multidisciplinary, </w:t>
      </w:r>
      <w:r w:rsidR="00104A35" w:rsidRPr="00A73370">
        <w:t>encompassing</w:t>
      </w:r>
      <w:r w:rsidRPr="00A73370">
        <w:t xml:space="preserve"> nutrition, psychological, and medical </w:t>
      </w:r>
      <w:r w:rsidR="00104A35" w:rsidRPr="00A73370">
        <w:t>performances</w:t>
      </w:r>
      <w:r w:rsidRPr="00A73370">
        <w:t xml:space="preserve"> based on the practice and </w:t>
      </w:r>
      <w:r w:rsidR="00104A35" w:rsidRPr="00A73370">
        <w:t>scientific</w:t>
      </w:r>
      <w:r w:rsidRPr="00A73370">
        <w:t xml:space="preserve"> guidelines</w:t>
      </w:r>
      <w:r w:rsidR="00713630">
        <w:t xml:space="preserve"> (</w:t>
      </w:r>
      <w:proofErr w:type="spellStart"/>
      <w:r w:rsidR="00713630" w:rsidRPr="00713630">
        <w:rPr>
          <w:rFonts w:cs="Times New Roman"/>
          <w:color w:val="222222"/>
          <w:szCs w:val="24"/>
          <w:shd w:val="clear" w:color="auto" w:fill="FFFFFF"/>
        </w:rPr>
        <w:t>Hualparuca</w:t>
      </w:r>
      <w:proofErr w:type="spellEnd"/>
      <w:r w:rsidR="00713630" w:rsidRPr="00713630">
        <w:rPr>
          <w:rFonts w:cs="Times New Roman"/>
          <w:color w:val="222222"/>
          <w:szCs w:val="24"/>
          <w:shd w:val="clear" w:color="auto" w:fill="FFFFFF"/>
        </w:rPr>
        <w:t>-Olivera</w:t>
      </w:r>
      <w:r w:rsidR="00713630">
        <w:rPr>
          <w:rFonts w:cs="Times New Roman"/>
          <w:color w:val="222222"/>
          <w:szCs w:val="24"/>
          <w:shd w:val="clear" w:color="auto" w:fill="FFFFFF"/>
        </w:rPr>
        <w:t xml:space="preserve"> et al., 2025)</w:t>
      </w:r>
      <w:r w:rsidR="00D74F9F" w:rsidRPr="00A73370">
        <w:t xml:space="preserve">. The effectiveness of these treatments has been substantiated by a large number of randomized controlled trials that show the effectiveness of CBT in the treatment of bulimia nervosa and binge eating disorder, as well as the effectiveness of FBT in the recovery of adolescent anorexia nervosa. </w:t>
      </w:r>
    </w:p>
    <w:p w14:paraId="0A242BF7" w14:textId="77777777" w:rsidR="00E47B19" w:rsidRPr="00A73370" w:rsidRDefault="00A73370" w:rsidP="00A73370">
      <w:pPr>
        <w:ind w:firstLine="720"/>
      </w:pPr>
      <w:r w:rsidRPr="00A73370">
        <w:t>However</w:t>
      </w:r>
      <w:r>
        <w:t xml:space="preserve">, as per </w:t>
      </w:r>
      <w:r w:rsidR="00713630">
        <w:t xml:space="preserve">Pratap </w:t>
      </w:r>
      <w:r>
        <w:t>(</w:t>
      </w:r>
      <w:r w:rsidR="00713630">
        <w:t>2021</w:t>
      </w:r>
      <w:r>
        <w:t xml:space="preserve">), the shortcomings </w:t>
      </w:r>
      <w:r w:rsidR="00BF7EE2">
        <w:t>exist,</w:t>
      </w:r>
      <w:r>
        <w:t xml:space="preserve"> such as</w:t>
      </w:r>
      <w:r w:rsidR="00D74F9F" w:rsidRPr="00A73370">
        <w:t xml:space="preserve"> the rates of recovery are different, and numerous patients have chronic or relapsing courses. Access to treatment, involvement of patients</w:t>
      </w:r>
      <w:r w:rsidR="00BF7EE2">
        <w:t>,</w:t>
      </w:r>
      <w:r w:rsidR="00D74F9F" w:rsidRPr="00A73370">
        <w:t xml:space="preserve"> and comorbidity complicate outcomes. In the case of avoidant/restrictive food intake disorder (ARFID), there is a dearth of evidence, and the interventions require a more personalized approach and research. </w:t>
      </w:r>
    </w:p>
    <w:p w14:paraId="28B74F17" w14:textId="77777777" w:rsidR="00C21EB1" w:rsidRPr="00A73370" w:rsidRDefault="00C21EB1" w:rsidP="00A73370">
      <w:pPr>
        <w:pStyle w:val="Heading1"/>
      </w:pPr>
      <w:bookmarkStart w:id="3" w:name="_Toc211226766"/>
      <w:r w:rsidRPr="00A73370">
        <w:t>Current Debates and Emerging Issues</w:t>
      </w:r>
      <w:bookmarkEnd w:id="3"/>
    </w:p>
    <w:p w14:paraId="1B61ED37" w14:textId="77777777" w:rsidR="00A73370" w:rsidRDefault="00C21EB1" w:rsidP="00A73370">
      <w:pPr>
        <w:ind w:firstLine="720"/>
      </w:pPr>
      <w:r w:rsidRPr="00A73370">
        <w:t>The current controversy of the classification and management of feeding and eating disorders (FEDs) is characterized by the limits of diagnosis, inclusion, terminology, and the development of knowledge on the underlying neurobiological and psychosocial factors.</w:t>
      </w:r>
      <w:r>
        <w:t xml:space="preserve"> </w:t>
      </w:r>
      <w:r w:rsidRPr="00A73370">
        <w:t xml:space="preserve">One of the critical discourses questions the </w:t>
      </w:r>
      <w:r w:rsidR="00BF7EE2">
        <w:t>sufficiency</w:t>
      </w:r>
      <w:r w:rsidRPr="00A73370">
        <w:t xml:space="preserve"> of the contemporary categorical classifications to represent the heterogeneity of FED presentation.</w:t>
      </w:r>
      <w:r>
        <w:t xml:space="preserve"> </w:t>
      </w:r>
      <w:r w:rsidRPr="00A73370">
        <w:t xml:space="preserve">As an illustration, when a diagnosis of Other </w:t>
      </w:r>
      <w:r w:rsidR="00BF7EE2">
        <w:t>Specific</w:t>
      </w:r>
      <w:r w:rsidRPr="00A73370">
        <w:t xml:space="preserve"> Feeding or Eating Disorder (OSFED) or unspecified categories of diagnosis are used, the diagnosis is useful in its flexibility of application by clinicians, but raises questions regarding the specificity of diagnosis and treatment, where numerous patients find themselves in these residual groups with significant symptomatology but less definite criteria.</w:t>
      </w:r>
      <w:r>
        <w:t xml:space="preserve"> </w:t>
      </w:r>
    </w:p>
    <w:p w14:paraId="16D611E0" w14:textId="77777777" w:rsidR="00A73370" w:rsidRDefault="00C21EB1" w:rsidP="00A73370">
      <w:pPr>
        <w:ind w:firstLine="720"/>
      </w:pPr>
      <w:r w:rsidRPr="00A73370">
        <w:lastRenderedPageBreak/>
        <w:t xml:space="preserve">Also, new diagnoses in the form of Avoidant/Restrictive Food Intake Disorder (ARFID) demonstrate that presentations that do not involve weight or shape concerns are acknowledged and are problematic to the </w:t>
      </w:r>
      <w:r w:rsidR="00104A35" w:rsidRPr="00A73370">
        <w:t>prevalence</w:t>
      </w:r>
      <w:r w:rsidRPr="00A73370">
        <w:t xml:space="preserve"> of appearance-oriented models.</w:t>
      </w:r>
      <w:r>
        <w:t xml:space="preserve">​ </w:t>
      </w:r>
      <w:r w:rsidR="00104A35" w:rsidRPr="00A73370">
        <w:t>The language used is also contentious</w:t>
      </w:r>
      <w:r w:rsidR="00BF7EE2">
        <w:t>,</w:t>
      </w:r>
      <w:r w:rsidR="00104A35" w:rsidRPr="00A73370">
        <w:t xml:space="preserve"> and </w:t>
      </w:r>
      <w:r w:rsidR="008017F7" w:rsidRPr="00A73370">
        <w:t xml:space="preserve">as per </w:t>
      </w:r>
      <w:proofErr w:type="spellStart"/>
      <w:r w:rsidR="00713630" w:rsidRPr="00713630">
        <w:rPr>
          <w:rFonts w:cs="Times New Roman"/>
          <w:color w:val="222222"/>
          <w:szCs w:val="24"/>
          <w:shd w:val="clear" w:color="auto" w:fill="FFFFFF"/>
        </w:rPr>
        <w:t>Hualparuca</w:t>
      </w:r>
      <w:proofErr w:type="spellEnd"/>
      <w:r w:rsidR="00713630" w:rsidRPr="00713630">
        <w:rPr>
          <w:rFonts w:cs="Times New Roman"/>
          <w:color w:val="222222"/>
          <w:szCs w:val="24"/>
          <w:shd w:val="clear" w:color="auto" w:fill="FFFFFF"/>
        </w:rPr>
        <w:t>-Olivera</w:t>
      </w:r>
      <w:r w:rsidR="00713630">
        <w:rPr>
          <w:rFonts w:cs="Times New Roman"/>
          <w:color w:val="222222"/>
          <w:szCs w:val="24"/>
          <w:shd w:val="clear" w:color="auto" w:fill="FFFFFF"/>
        </w:rPr>
        <w:t xml:space="preserve"> et al. </w:t>
      </w:r>
      <w:r w:rsidR="008017F7" w:rsidRPr="00A73370">
        <w:t>(</w:t>
      </w:r>
      <w:r w:rsidR="00713630">
        <w:t>2025</w:t>
      </w:r>
      <w:r w:rsidR="008017F7" w:rsidRPr="00A73370">
        <w:t>)</w:t>
      </w:r>
      <w:r w:rsidR="00BF7EE2">
        <w:t>,</w:t>
      </w:r>
      <w:r w:rsidR="00104A35" w:rsidRPr="00A73370">
        <w:t xml:space="preserve"> </w:t>
      </w:r>
      <w:r w:rsidR="00BF7EE2">
        <w:t xml:space="preserve">they </w:t>
      </w:r>
      <w:r w:rsidR="00104A35" w:rsidRPr="00A73370">
        <w:t xml:space="preserve">argued that less </w:t>
      </w:r>
      <w:proofErr w:type="spellStart"/>
      <w:r w:rsidR="00104A35" w:rsidRPr="00A73370">
        <w:t>stigmatising</w:t>
      </w:r>
      <w:proofErr w:type="spellEnd"/>
      <w:r w:rsidR="00104A35" w:rsidRPr="00A73370">
        <w:t xml:space="preserve"> words should be used</w:t>
      </w:r>
      <w:r w:rsidR="00BF7EE2">
        <w:t>,</w:t>
      </w:r>
      <w:r w:rsidR="00104A35" w:rsidRPr="00A73370">
        <w:t xml:space="preserve"> </w:t>
      </w:r>
      <w:r w:rsidR="008017F7" w:rsidRPr="00A73370">
        <w:t>like</w:t>
      </w:r>
      <w:r w:rsidR="00104A35" w:rsidRPr="00A73370">
        <w:t xml:space="preserve"> the use of word condition instead of </w:t>
      </w:r>
      <w:r w:rsidR="008017F7" w:rsidRPr="00A73370">
        <w:t>ailment</w:t>
      </w:r>
      <w:r w:rsidR="00104A35" w:rsidRPr="00A73370">
        <w:t xml:space="preserve"> and spectrum instead of </w:t>
      </w:r>
      <w:r w:rsidR="008017F7" w:rsidRPr="00A73370">
        <w:t>range</w:t>
      </w:r>
      <w:r w:rsidR="00104A35" w:rsidRPr="00A73370">
        <w:t xml:space="preserve">. Severe and Enduring Eating Disorder (SEED) </w:t>
      </w:r>
      <w:r w:rsidR="008017F7" w:rsidRPr="00A73370">
        <w:t xml:space="preserve">is the key </w:t>
      </w:r>
      <w:r w:rsidR="00BF7EE2">
        <w:t>term</w:t>
      </w:r>
      <w:r w:rsidR="008017F7" w:rsidRPr="00A73370">
        <w:t xml:space="preserve"> </w:t>
      </w:r>
      <w:r w:rsidR="00BF7EE2">
        <w:t xml:space="preserve">that </w:t>
      </w:r>
      <w:r w:rsidR="008017F7" w:rsidRPr="00A73370">
        <w:t xml:space="preserve">has been </w:t>
      </w:r>
      <w:proofErr w:type="spellStart"/>
      <w:r w:rsidR="008017F7" w:rsidRPr="00A73370">
        <w:t>criticised</w:t>
      </w:r>
      <w:proofErr w:type="spellEnd"/>
      <w:r w:rsidR="00104A35" w:rsidRPr="00A73370">
        <w:t xml:space="preserve"> as </w:t>
      </w:r>
      <w:r w:rsidR="00BF7EE2">
        <w:t xml:space="preserve">a </w:t>
      </w:r>
      <w:r w:rsidR="008017F7" w:rsidRPr="00A73370">
        <w:t>defense</w:t>
      </w:r>
      <w:r w:rsidR="00104A35" w:rsidRPr="00A73370">
        <w:t xml:space="preserve"> of chronic illness, and </w:t>
      </w:r>
      <w:r w:rsidR="008017F7" w:rsidRPr="00A73370">
        <w:t>hypothetically</w:t>
      </w:r>
      <w:r w:rsidR="00104A35" w:rsidRPr="00A73370">
        <w:t xml:space="preserve"> limiting care </w:t>
      </w:r>
      <w:r w:rsidR="008017F7" w:rsidRPr="00A73370">
        <w:t>admittance</w:t>
      </w:r>
      <w:r w:rsidR="00BF7EE2">
        <w:t>,</w:t>
      </w:r>
      <w:r w:rsidR="00104A35" w:rsidRPr="00A73370">
        <w:t xml:space="preserve"> in that it is very narrow in </w:t>
      </w:r>
      <w:r w:rsidR="008017F7" w:rsidRPr="00A73370">
        <w:t>classification</w:t>
      </w:r>
      <w:r w:rsidR="00104A35" w:rsidRPr="00A73370">
        <w:t xml:space="preserve">. These </w:t>
      </w:r>
      <w:r w:rsidR="008017F7" w:rsidRPr="00A73370">
        <w:t>influences</w:t>
      </w:r>
      <w:r w:rsidR="00104A35" w:rsidRPr="00A73370">
        <w:t xml:space="preserve"> point to the opposition between clinical </w:t>
      </w:r>
      <w:r w:rsidR="008017F7" w:rsidRPr="00A73370">
        <w:t>usefulness</w:t>
      </w:r>
      <w:r w:rsidR="00104A35" w:rsidRPr="00A73370">
        <w:t xml:space="preserve">, patient </w:t>
      </w:r>
      <w:r w:rsidR="008017F7" w:rsidRPr="00A73370">
        <w:t>individuality</w:t>
      </w:r>
      <w:r w:rsidR="00104A35" w:rsidRPr="00A73370">
        <w:t xml:space="preserve">, and system-level factors. </w:t>
      </w:r>
    </w:p>
    <w:p w14:paraId="2D788F60" w14:textId="77777777" w:rsidR="00A73370" w:rsidRDefault="00104A35" w:rsidP="00A73370">
      <w:pPr>
        <w:ind w:firstLine="720"/>
      </w:pPr>
      <w:r w:rsidRPr="00A73370">
        <w:t>ASD or ADHD individuals often exhibit deviant eating habits, sensory sensitivities</w:t>
      </w:r>
      <w:r w:rsidR="00BF7EE2">
        <w:t>,</w:t>
      </w:r>
      <w:r w:rsidRPr="00A73370">
        <w:t xml:space="preserve"> or cognitive </w:t>
      </w:r>
      <w:r w:rsidR="008017F7" w:rsidRPr="00A73370">
        <w:t>inflexibility</w:t>
      </w:r>
      <w:r w:rsidRPr="00A73370">
        <w:t xml:space="preserve"> that overlap and/or resemble FED </w:t>
      </w:r>
      <w:r w:rsidR="008017F7" w:rsidRPr="00A73370">
        <w:t>indications</w:t>
      </w:r>
      <w:r w:rsidRPr="00A73370">
        <w:t xml:space="preserve">. This is a recent but </w:t>
      </w:r>
      <w:r w:rsidR="008017F7" w:rsidRPr="00A73370">
        <w:t>significant</w:t>
      </w:r>
      <w:r w:rsidRPr="00A73370">
        <w:t xml:space="preserve"> new </w:t>
      </w:r>
      <w:r w:rsidR="008017F7" w:rsidRPr="00A73370">
        <w:t>incorporation</w:t>
      </w:r>
      <w:r w:rsidRPr="00A73370">
        <w:t xml:space="preserve"> with classification systems, which requires sensitive diagnostics to draw the line between feeding </w:t>
      </w:r>
      <w:r w:rsidR="008017F7" w:rsidRPr="00A73370">
        <w:t>problems</w:t>
      </w:r>
      <w:r w:rsidRPr="00A73370">
        <w:t xml:space="preserve"> in neurodevelopmental </w:t>
      </w:r>
      <w:r w:rsidR="00BF7EE2">
        <w:t>differences</w:t>
      </w:r>
      <w:r w:rsidRPr="00A73370">
        <w:t xml:space="preserve"> and typical FED psychopathology</w:t>
      </w:r>
      <w:r w:rsidR="00713630">
        <w:t xml:space="preserve"> (Olsen et al., 2023)</w:t>
      </w:r>
      <w:r w:rsidRPr="00A73370">
        <w:t xml:space="preserve">. It can be </w:t>
      </w:r>
      <w:r w:rsidR="008017F7" w:rsidRPr="00A73370">
        <w:t xml:space="preserve">applied </w:t>
      </w:r>
      <w:r w:rsidR="00BF7EE2">
        <w:t>to</w:t>
      </w:r>
      <w:r w:rsidR="008017F7" w:rsidRPr="00A73370">
        <w:t xml:space="preserve"> </w:t>
      </w:r>
      <w:proofErr w:type="spellStart"/>
      <w:r w:rsidR="008017F7" w:rsidRPr="00A73370">
        <w:t>individualis</w:t>
      </w:r>
      <w:r w:rsidRPr="00A73370">
        <w:t>ed</w:t>
      </w:r>
      <w:proofErr w:type="spellEnd"/>
      <w:r w:rsidRPr="00A73370">
        <w:t xml:space="preserve"> treatment as the traditional </w:t>
      </w:r>
      <w:r w:rsidR="008017F7" w:rsidRPr="00A73370">
        <w:t>methods</w:t>
      </w:r>
      <w:r w:rsidRPr="00A73370">
        <w:t xml:space="preserve"> may be unproductive and </w:t>
      </w:r>
      <w:r w:rsidR="008017F7" w:rsidRPr="00A73370">
        <w:t>unsuitable</w:t>
      </w:r>
      <w:r w:rsidRPr="00A73370">
        <w:t xml:space="preserve"> in neurodivergent populations. </w:t>
      </w:r>
    </w:p>
    <w:p w14:paraId="052116EB" w14:textId="77777777" w:rsidR="00C21EB1" w:rsidRPr="00A73370" w:rsidRDefault="00104A35" w:rsidP="00A73370">
      <w:pPr>
        <w:ind w:firstLine="720"/>
      </w:pPr>
      <w:r w:rsidRPr="00A73370">
        <w:t xml:space="preserve">These discussions impact on clinical practice since the </w:t>
      </w:r>
      <w:r w:rsidR="008017F7" w:rsidRPr="00A73370">
        <w:t>encouragement</w:t>
      </w:r>
      <w:r w:rsidRPr="00A73370">
        <w:t xml:space="preserve"> of such debates is geared towards the individual approach to treatment and multidisciplinary mode of care. Policy-wise, they pose the issue of whether to </w:t>
      </w:r>
      <w:r w:rsidR="008017F7" w:rsidRPr="00A73370">
        <w:t>contemplate</w:t>
      </w:r>
      <w:r w:rsidRPr="00A73370">
        <w:t xml:space="preserve"> the reevaluation of the </w:t>
      </w:r>
      <w:r w:rsidR="008017F7" w:rsidRPr="00A73370">
        <w:t>entitlement</w:t>
      </w:r>
      <w:r w:rsidRPr="00A73370">
        <w:t xml:space="preserve"> of the service, funding, and training to suit the needs of various patients, </w:t>
      </w:r>
      <w:r w:rsidR="00BF7EE2">
        <w:t>including</w:t>
      </w:r>
      <w:r w:rsidRPr="00A73370">
        <w:t xml:space="preserve"> those with overlapping neurodiverse conditions</w:t>
      </w:r>
      <w:r w:rsidR="00713630">
        <w:t xml:space="preserve"> (Gaebel, 2024)</w:t>
      </w:r>
      <w:r w:rsidRPr="00A73370">
        <w:t>.</w:t>
      </w:r>
      <w:r w:rsidR="00E47B19" w:rsidRPr="00A73370">
        <w:t xml:space="preserve"> </w:t>
      </w:r>
      <w:r w:rsidR="00C21EB1" w:rsidRPr="00A73370">
        <w:t>Agendas in research are shifting towards more longitudinal studies, subtyping</w:t>
      </w:r>
      <w:r w:rsidR="00BF7EE2">
        <w:t>,</w:t>
      </w:r>
      <w:r w:rsidR="00C21EB1" w:rsidRPr="00A73370">
        <w:t xml:space="preserve"> and mechanistic correlative research to better classify and better design interventions.</w:t>
      </w:r>
      <w:r w:rsidR="00C21EB1">
        <w:t xml:space="preserve"> </w:t>
      </w:r>
    </w:p>
    <w:tbl>
      <w:tblPr>
        <w:tblStyle w:val="PlainTable1"/>
        <w:tblW w:w="5000" w:type="pct"/>
        <w:tblLook w:val="04A0" w:firstRow="1" w:lastRow="0" w:firstColumn="1" w:lastColumn="0" w:noHBand="0" w:noVBand="1"/>
      </w:tblPr>
      <w:tblGrid>
        <w:gridCol w:w="2142"/>
        <w:gridCol w:w="2443"/>
        <w:gridCol w:w="2183"/>
        <w:gridCol w:w="2582"/>
      </w:tblGrid>
      <w:tr w:rsidR="00C21EB1" w:rsidRPr="00C21EB1" w14:paraId="454BE343" w14:textId="77777777" w:rsidTr="00A733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1" w:type="pct"/>
            <w:hideMark/>
          </w:tcPr>
          <w:p w14:paraId="6178DBF5" w14:textId="77777777" w:rsidR="00C21EB1" w:rsidRPr="00C21EB1" w:rsidRDefault="00C21EB1" w:rsidP="00A73370">
            <w:r w:rsidRPr="00C21EB1">
              <w:t>Population Group</w:t>
            </w:r>
          </w:p>
        </w:tc>
        <w:tc>
          <w:tcPr>
            <w:tcW w:w="1269" w:type="pct"/>
            <w:hideMark/>
          </w:tcPr>
          <w:p w14:paraId="749B34BF" w14:textId="77777777" w:rsidR="00C21EB1" w:rsidRPr="00C21EB1" w:rsidRDefault="00C21EB1" w:rsidP="00A73370">
            <w:pPr>
              <w:cnfStyle w:val="100000000000" w:firstRow="1" w:lastRow="0" w:firstColumn="0" w:lastColumn="0" w:oddVBand="0" w:evenVBand="0" w:oddHBand="0" w:evenHBand="0" w:firstRowFirstColumn="0" w:firstRowLastColumn="0" w:lastRowFirstColumn="0" w:lastRowLastColumn="0"/>
            </w:pPr>
            <w:r w:rsidRPr="00C21EB1">
              <w:t>Disorder Type</w:t>
            </w:r>
          </w:p>
        </w:tc>
        <w:tc>
          <w:tcPr>
            <w:tcW w:w="1150" w:type="pct"/>
            <w:hideMark/>
          </w:tcPr>
          <w:p w14:paraId="01436F10" w14:textId="77777777" w:rsidR="00C21EB1" w:rsidRPr="00C21EB1" w:rsidRDefault="00C21EB1" w:rsidP="00A73370">
            <w:pPr>
              <w:cnfStyle w:val="100000000000" w:firstRow="1" w:lastRow="0" w:firstColumn="0" w:lastColumn="0" w:oddVBand="0" w:evenVBand="0" w:oddHBand="0" w:evenHBand="0" w:firstRowFirstColumn="0" w:firstRowLastColumn="0" w:lastRowFirstColumn="0" w:lastRowLastColumn="0"/>
            </w:pPr>
            <w:r w:rsidRPr="00C21EB1">
              <w:t>Prevalence/Incidence</w:t>
            </w:r>
          </w:p>
        </w:tc>
        <w:tc>
          <w:tcPr>
            <w:tcW w:w="1512" w:type="pct"/>
            <w:hideMark/>
          </w:tcPr>
          <w:p w14:paraId="13086D0A" w14:textId="77777777" w:rsidR="00C21EB1" w:rsidRPr="00C21EB1" w:rsidRDefault="00C21EB1" w:rsidP="00A73370">
            <w:pPr>
              <w:cnfStyle w:val="100000000000" w:firstRow="1" w:lastRow="0" w:firstColumn="0" w:lastColumn="0" w:oddVBand="0" w:evenVBand="0" w:oddHBand="0" w:evenHBand="0" w:firstRowFirstColumn="0" w:firstRowLastColumn="0" w:lastRowFirstColumn="0" w:lastRowLastColumn="0"/>
            </w:pPr>
            <w:r w:rsidRPr="00C21EB1">
              <w:t>Key Impact Points</w:t>
            </w:r>
          </w:p>
        </w:tc>
      </w:tr>
      <w:tr w:rsidR="00BF7EE2" w:rsidRPr="00C21EB1" w14:paraId="23FA8843" w14:textId="77777777" w:rsidTr="00A7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1" w:type="pct"/>
            <w:hideMark/>
          </w:tcPr>
          <w:p w14:paraId="0B5A6363" w14:textId="77777777" w:rsidR="00C21EB1" w:rsidRPr="00C21EB1" w:rsidRDefault="00C21EB1" w:rsidP="00A73370">
            <w:r w:rsidRPr="00C21EB1">
              <w:t>Children and Adolescents</w:t>
            </w:r>
          </w:p>
        </w:tc>
        <w:tc>
          <w:tcPr>
            <w:tcW w:w="1269" w:type="pct"/>
            <w:hideMark/>
          </w:tcPr>
          <w:p w14:paraId="25A38743" w14:textId="77777777" w:rsidR="00C21EB1" w:rsidRPr="00C21EB1" w:rsidRDefault="00C21EB1" w:rsidP="00A73370">
            <w:pPr>
              <w:cnfStyle w:val="000000100000" w:firstRow="0" w:lastRow="0" w:firstColumn="0" w:lastColumn="0" w:oddVBand="0" w:evenVBand="0" w:oddHBand="1" w:evenHBand="0" w:firstRowFirstColumn="0" w:firstRowLastColumn="0" w:lastRowFirstColumn="0" w:lastRowLastColumn="0"/>
            </w:pPr>
            <w:r w:rsidRPr="00C21EB1">
              <w:t>Pica</w:t>
            </w:r>
          </w:p>
        </w:tc>
        <w:tc>
          <w:tcPr>
            <w:tcW w:w="1150" w:type="pct"/>
            <w:hideMark/>
          </w:tcPr>
          <w:p w14:paraId="0D88D4F5" w14:textId="77777777" w:rsidR="00C21EB1" w:rsidRPr="00C21EB1" w:rsidRDefault="00C21EB1" w:rsidP="00A73370">
            <w:pPr>
              <w:cnfStyle w:val="000000100000" w:firstRow="0" w:lastRow="0" w:firstColumn="0" w:lastColumn="0" w:oddVBand="0" w:evenVBand="0" w:oddHBand="1" w:evenHBand="0" w:firstRowFirstColumn="0" w:firstRowLastColumn="0" w:lastRowFirstColumn="0" w:lastRowLastColumn="0"/>
            </w:pPr>
            <w:r w:rsidRPr="00C21EB1">
              <w:t>2.1% globally (95% CI: 1–4.6)</w:t>
            </w:r>
          </w:p>
        </w:tc>
        <w:tc>
          <w:tcPr>
            <w:tcW w:w="1512" w:type="pct"/>
            <w:hideMark/>
          </w:tcPr>
          <w:p w14:paraId="555E76A5" w14:textId="77777777" w:rsidR="00C21EB1" w:rsidRPr="00C21EB1" w:rsidRDefault="00BF7EE2" w:rsidP="00A73370">
            <w:pPr>
              <w:cnfStyle w:val="000000100000" w:firstRow="0" w:lastRow="0" w:firstColumn="0" w:lastColumn="0" w:oddVBand="0" w:evenVBand="0" w:oddHBand="1" w:evenHBand="0" w:firstRowFirstColumn="0" w:firstRowLastColumn="0" w:lastRowFirstColumn="0" w:lastRowLastColumn="0"/>
            </w:pPr>
            <w:r>
              <w:t>The most</w:t>
            </w:r>
            <w:r w:rsidR="00C21EB1" w:rsidRPr="00C21EB1">
              <w:t xml:space="preserve"> common feeding disorder in children, risk of nutritional deficiencies and gastrointestinal damage.</w:t>
            </w:r>
          </w:p>
        </w:tc>
      </w:tr>
      <w:tr w:rsidR="00C21EB1" w:rsidRPr="00C21EB1" w14:paraId="0D8CAA19" w14:textId="77777777" w:rsidTr="00A73370">
        <w:tc>
          <w:tcPr>
            <w:cnfStyle w:val="001000000000" w:firstRow="0" w:lastRow="0" w:firstColumn="1" w:lastColumn="0" w:oddVBand="0" w:evenVBand="0" w:oddHBand="0" w:evenHBand="0" w:firstRowFirstColumn="0" w:firstRowLastColumn="0" w:lastRowFirstColumn="0" w:lastRowLastColumn="0"/>
            <w:tcW w:w="1001" w:type="pct"/>
            <w:hideMark/>
          </w:tcPr>
          <w:p w14:paraId="5D4A3087" w14:textId="77777777" w:rsidR="00C21EB1" w:rsidRPr="00C21EB1" w:rsidRDefault="00C21EB1" w:rsidP="00A73370"/>
        </w:tc>
        <w:tc>
          <w:tcPr>
            <w:tcW w:w="1269" w:type="pct"/>
            <w:hideMark/>
          </w:tcPr>
          <w:p w14:paraId="0234A21C" w14:textId="77777777" w:rsidR="00C21EB1" w:rsidRPr="00C21EB1" w:rsidRDefault="00C21EB1" w:rsidP="00A73370">
            <w:pPr>
              <w:cnfStyle w:val="000000000000" w:firstRow="0" w:lastRow="0" w:firstColumn="0" w:lastColumn="0" w:oddVBand="0" w:evenVBand="0" w:oddHBand="0" w:evenHBand="0" w:firstRowFirstColumn="0" w:firstRowLastColumn="0" w:lastRowFirstColumn="0" w:lastRowLastColumn="0"/>
            </w:pPr>
            <w:r w:rsidRPr="00C21EB1">
              <w:t>Binge Eating Disorder</w:t>
            </w:r>
          </w:p>
        </w:tc>
        <w:tc>
          <w:tcPr>
            <w:tcW w:w="1150" w:type="pct"/>
            <w:hideMark/>
          </w:tcPr>
          <w:p w14:paraId="383BB156" w14:textId="77777777" w:rsidR="00C21EB1" w:rsidRPr="00C21EB1" w:rsidRDefault="00C21EB1" w:rsidP="00A73370">
            <w:pPr>
              <w:cnfStyle w:val="000000000000" w:firstRow="0" w:lastRow="0" w:firstColumn="0" w:lastColumn="0" w:oddVBand="0" w:evenVBand="0" w:oddHBand="0" w:evenHBand="0" w:firstRowFirstColumn="0" w:firstRowLastColumn="0" w:lastRowFirstColumn="0" w:lastRowLastColumn="0"/>
            </w:pPr>
            <w:r w:rsidRPr="00C21EB1">
              <w:t>1.0% globally (95% CI: 0.6–1.8)</w:t>
            </w:r>
          </w:p>
        </w:tc>
        <w:tc>
          <w:tcPr>
            <w:tcW w:w="1512" w:type="pct"/>
            <w:hideMark/>
          </w:tcPr>
          <w:p w14:paraId="650F0DAE" w14:textId="77777777" w:rsidR="00C21EB1" w:rsidRPr="00C21EB1" w:rsidRDefault="00C21EB1" w:rsidP="00A73370">
            <w:pPr>
              <w:cnfStyle w:val="000000000000" w:firstRow="0" w:lastRow="0" w:firstColumn="0" w:lastColumn="0" w:oddVBand="0" w:evenVBand="0" w:oddHBand="0" w:evenHBand="0" w:firstRowFirstColumn="0" w:firstRowLastColumn="0" w:lastRowFirstColumn="0" w:lastRowLastColumn="0"/>
            </w:pPr>
            <w:r w:rsidRPr="00C21EB1">
              <w:t>Frequent episodes of excessive food intake disrupt normal growth and psychosocial development.</w:t>
            </w:r>
          </w:p>
        </w:tc>
      </w:tr>
      <w:tr w:rsidR="00BF7EE2" w:rsidRPr="00C21EB1" w14:paraId="21EB57FD" w14:textId="77777777" w:rsidTr="00A7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1" w:type="pct"/>
            <w:hideMark/>
          </w:tcPr>
          <w:p w14:paraId="68664B69" w14:textId="77777777" w:rsidR="00C21EB1" w:rsidRPr="00C21EB1" w:rsidRDefault="00C21EB1" w:rsidP="00A73370"/>
        </w:tc>
        <w:tc>
          <w:tcPr>
            <w:tcW w:w="1269" w:type="pct"/>
            <w:hideMark/>
          </w:tcPr>
          <w:p w14:paraId="3767DC2D" w14:textId="77777777" w:rsidR="00C21EB1" w:rsidRPr="00C21EB1" w:rsidRDefault="00C21EB1" w:rsidP="00A73370">
            <w:pPr>
              <w:cnfStyle w:val="000000100000" w:firstRow="0" w:lastRow="0" w:firstColumn="0" w:lastColumn="0" w:oddVBand="0" w:evenVBand="0" w:oddHBand="1" w:evenHBand="0" w:firstRowFirstColumn="0" w:firstRowLastColumn="0" w:lastRowFirstColumn="0" w:lastRowLastColumn="0"/>
            </w:pPr>
            <w:r w:rsidRPr="00C21EB1">
              <w:t>Anorexia Nervosa</w:t>
            </w:r>
          </w:p>
        </w:tc>
        <w:tc>
          <w:tcPr>
            <w:tcW w:w="1150" w:type="pct"/>
            <w:hideMark/>
          </w:tcPr>
          <w:p w14:paraId="26768CCE" w14:textId="77777777" w:rsidR="00C21EB1" w:rsidRPr="00C21EB1" w:rsidRDefault="00C21EB1" w:rsidP="00A73370">
            <w:pPr>
              <w:cnfStyle w:val="000000100000" w:firstRow="0" w:lastRow="0" w:firstColumn="0" w:lastColumn="0" w:oddVBand="0" w:evenVBand="0" w:oddHBand="1" w:evenHBand="0" w:firstRowFirstColumn="0" w:firstRowLastColumn="0" w:lastRowFirstColumn="0" w:lastRowLastColumn="0"/>
            </w:pPr>
            <w:r w:rsidRPr="00C21EB1">
              <w:t>0.6% globally (95% CI: 0.01–34.4)</w:t>
            </w:r>
          </w:p>
        </w:tc>
        <w:tc>
          <w:tcPr>
            <w:tcW w:w="1512" w:type="pct"/>
            <w:hideMark/>
          </w:tcPr>
          <w:p w14:paraId="2D04883D" w14:textId="77777777" w:rsidR="00C21EB1" w:rsidRPr="00C21EB1" w:rsidRDefault="00C21EB1" w:rsidP="00A73370">
            <w:pPr>
              <w:cnfStyle w:val="000000100000" w:firstRow="0" w:lastRow="0" w:firstColumn="0" w:lastColumn="0" w:oddVBand="0" w:evenVBand="0" w:oddHBand="1" w:evenHBand="0" w:firstRowFirstColumn="0" w:firstRowLastColumn="0" w:lastRowFirstColumn="0" w:lastRowLastColumn="0"/>
            </w:pPr>
            <w:r w:rsidRPr="00C21EB1">
              <w:t>Severe restriction of intake, high risk of growth delay, physical health issues, and mortality.</w:t>
            </w:r>
          </w:p>
        </w:tc>
      </w:tr>
      <w:tr w:rsidR="00C21EB1" w:rsidRPr="00C21EB1" w14:paraId="147E8381" w14:textId="77777777" w:rsidTr="00A73370">
        <w:tc>
          <w:tcPr>
            <w:cnfStyle w:val="001000000000" w:firstRow="0" w:lastRow="0" w:firstColumn="1" w:lastColumn="0" w:oddVBand="0" w:evenVBand="0" w:oddHBand="0" w:evenHBand="0" w:firstRowFirstColumn="0" w:firstRowLastColumn="0" w:lastRowFirstColumn="0" w:lastRowLastColumn="0"/>
            <w:tcW w:w="1001" w:type="pct"/>
            <w:hideMark/>
          </w:tcPr>
          <w:p w14:paraId="5C9B57DB" w14:textId="77777777" w:rsidR="00C21EB1" w:rsidRPr="00C21EB1" w:rsidRDefault="00C21EB1" w:rsidP="00A73370"/>
        </w:tc>
        <w:tc>
          <w:tcPr>
            <w:tcW w:w="1269" w:type="pct"/>
            <w:hideMark/>
          </w:tcPr>
          <w:p w14:paraId="4E864952" w14:textId="77777777" w:rsidR="00C21EB1" w:rsidRPr="00C21EB1" w:rsidRDefault="00C21EB1" w:rsidP="00A73370">
            <w:pPr>
              <w:cnfStyle w:val="000000000000" w:firstRow="0" w:lastRow="0" w:firstColumn="0" w:lastColumn="0" w:oddVBand="0" w:evenVBand="0" w:oddHBand="0" w:evenHBand="0" w:firstRowFirstColumn="0" w:firstRowLastColumn="0" w:lastRowFirstColumn="0" w:lastRowLastColumn="0"/>
            </w:pPr>
            <w:r w:rsidRPr="00C21EB1">
              <w:t>Bulimia Nervosa</w:t>
            </w:r>
          </w:p>
        </w:tc>
        <w:tc>
          <w:tcPr>
            <w:tcW w:w="1150" w:type="pct"/>
            <w:hideMark/>
          </w:tcPr>
          <w:p w14:paraId="10B7A3B0" w14:textId="77777777" w:rsidR="00C21EB1" w:rsidRPr="00C21EB1" w:rsidRDefault="00C21EB1" w:rsidP="00A73370">
            <w:pPr>
              <w:cnfStyle w:val="000000000000" w:firstRow="0" w:lastRow="0" w:firstColumn="0" w:lastColumn="0" w:oddVBand="0" w:evenVBand="0" w:oddHBand="0" w:evenHBand="0" w:firstRowFirstColumn="0" w:firstRowLastColumn="0" w:lastRowFirstColumn="0" w:lastRowLastColumn="0"/>
            </w:pPr>
            <w:r w:rsidRPr="00C21EB1">
              <w:t>0.1% globally (95% CI: 0–0.4)</w:t>
            </w:r>
          </w:p>
        </w:tc>
        <w:tc>
          <w:tcPr>
            <w:tcW w:w="1512" w:type="pct"/>
            <w:hideMark/>
          </w:tcPr>
          <w:p w14:paraId="700F42B1" w14:textId="77777777" w:rsidR="00C21EB1" w:rsidRPr="00C21EB1" w:rsidRDefault="00C21EB1" w:rsidP="00BF7EE2">
            <w:pPr>
              <w:cnfStyle w:val="000000000000" w:firstRow="0" w:lastRow="0" w:firstColumn="0" w:lastColumn="0" w:oddVBand="0" w:evenVBand="0" w:oddHBand="0" w:evenHBand="0" w:firstRowFirstColumn="0" w:firstRowLastColumn="0" w:lastRowFirstColumn="0" w:lastRowLastColumn="0"/>
            </w:pPr>
            <w:r w:rsidRPr="00C21EB1">
              <w:t>Recurrent bingeing and compensatory behaviors </w:t>
            </w:r>
            <w:r w:rsidR="00BF7EE2">
              <w:t>affect</w:t>
            </w:r>
            <w:r w:rsidRPr="00C21EB1">
              <w:t xml:space="preserve"> mental and physical health.</w:t>
            </w:r>
          </w:p>
        </w:tc>
      </w:tr>
      <w:tr w:rsidR="00BF7EE2" w:rsidRPr="00C21EB1" w14:paraId="2C23D401" w14:textId="77777777" w:rsidTr="00A7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1" w:type="pct"/>
            <w:hideMark/>
          </w:tcPr>
          <w:p w14:paraId="5487A170" w14:textId="77777777" w:rsidR="00C21EB1" w:rsidRPr="00C21EB1" w:rsidRDefault="00C21EB1" w:rsidP="00A73370">
            <w:r w:rsidRPr="00C21EB1">
              <w:t>Adults</w:t>
            </w:r>
          </w:p>
        </w:tc>
        <w:tc>
          <w:tcPr>
            <w:tcW w:w="1269" w:type="pct"/>
            <w:hideMark/>
          </w:tcPr>
          <w:p w14:paraId="72491AA7" w14:textId="77777777" w:rsidR="00C21EB1" w:rsidRPr="00C21EB1" w:rsidRDefault="00C21EB1" w:rsidP="00A73370">
            <w:pPr>
              <w:cnfStyle w:val="000000100000" w:firstRow="0" w:lastRow="0" w:firstColumn="0" w:lastColumn="0" w:oddVBand="0" w:evenVBand="0" w:oddHBand="1" w:evenHBand="0" w:firstRowFirstColumn="0" w:firstRowLastColumn="0" w:lastRowFirstColumn="0" w:lastRowLastColumn="0"/>
            </w:pPr>
            <w:r w:rsidRPr="00C21EB1">
              <w:t>General Eating Disorders</w:t>
            </w:r>
          </w:p>
        </w:tc>
        <w:tc>
          <w:tcPr>
            <w:tcW w:w="1150" w:type="pct"/>
            <w:hideMark/>
          </w:tcPr>
          <w:p w14:paraId="7990781E" w14:textId="77777777" w:rsidR="00C21EB1" w:rsidRPr="00C21EB1" w:rsidRDefault="00C21EB1" w:rsidP="00A73370">
            <w:pPr>
              <w:cnfStyle w:val="000000100000" w:firstRow="0" w:lastRow="0" w:firstColumn="0" w:lastColumn="0" w:oddVBand="0" w:evenVBand="0" w:oddHBand="1" w:evenHBand="0" w:firstRowFirstColumn="0" w:firstRowLastColumn="0" w:lastRowFirstColumn="0" w:lastRowLastColumn="0"/>
            </w:pPr>
            <w:r w:rsidRPr="00C21EB1">
              <w:t>Increased from 3.5% (2000) to 7.8% (2018)</w:t>
            </w:r>
          </w:p>
        </w:tc>
        <w:tc>
          <w:tcPr>
            <w:tcW w:w="1512" w:type="pct"/>
            <w:hideMark/>
          </w:tcPr>
          <w:p w14:paraId="365D160D" w14:textId="77777777" w:rsidR="00C21EB1" w:rsidRPr="00C21EB1" w:rsidRDefault="00C21EB1" w:rsidP="00BF7EE2">
            <w:pPr>
              <w:cnfStyle w:val="000000100000" w:firstRow="0" w:lastRow="0" w:firstColumn="0" w:lastColumn="0" w:oddVBand="0" w:evenVBand="0" w:oddHBand="1" w:evenHBand="0" w:firstRowFirstColumn="0" w:firstRowLastColumn="0" w:lastRowFirstColumn="0" w:lastRowLastColumn="0"/>
            </w:pPr>
            <w:r w:rsidRPr="00C21EB1">
              <w:t>Chronic conditions </w:t>
            </w:r>
            <w:r w:rsidR="00BF7EE2">
              <w:t>cause</w:t>
            </w:r>
            <w:r w:rsidRPr="00C21EB1">
              <w:t xml:space="preserve"> significant morbidity, psychological distress, and healthcare burden.</w:t>
            </w:r>
          </w:p>
        </w:tc>
      </w:tr>
      <w:tr w:rsidR="00C21EB1" w:rsidRPr="00C21EB1" w14:paraId="51BB9492" w14:textId="77777777" w:rsidTr="00A73370">
        <w:tc>
          <w:tcPr>
            <w:cnfStyle w:val="001000000000" w:firstRow="0" w:lastRow="0" w:firstColumn="1" w:lastColumn="0" w:oddVBand="0" w:evenVBand="0" w:oddHBand="0" w:evenHBand="0" w:firstRowFirstColumn="0" w:firstRowLastColumn="0" w:lastRowFirstColumn="0" w:lastRowLastColumn="0"/>
            <w:tcW w:w="1001" w:type="pct"/>
            <w:hideMark/>
          </w:tcPr>
          <w:p w14:paraId="7588F7B0" w14:textId="77777777" w:rsidR="00C21EB1" w:rsidRPr="00C21EB1" w:rsidRDefault="00C21EB1" w:rsidP="00A73370"/>
        </w:tc>
        <w:tc>
          <w:tcPr>
            <w:tcW w:w="1269" w:type="pct"/>
            <w:hideMark/>
          </w:tcPr>
          <w:p w14:paraId="22930629" w14:textId="77777777" w:rsidR="00C21EB1" w:rsidRPr="00C21EB1" w:rsidRDefault="00BF7EE2" w:rsidP="00BF7EE2">
            <w:pPr>
              <w:cnfStyle w:val="000000000000" w:firstRow="0" w:lastRow="0" w:firstColumn="0" w:lastColumn="0" w:oddVBand="0" w:evenVBand="0" w:oddHBand="0" w:evenHBand="0" w:firstRowFirstColumn="0" w:firstRowLastColumn="0" w:lastRowFirstColumn="0" w:lastRowLastColumn="0"/>
            </w:pPr>
            <w:r>
              <w:t>Feeding</w:t>
            </w:r>
            <w:r w:rsidR="00C21EB1" w:rsidRPr="00C21EB1">
              <w:t>/Eating Disorders in Mental Health Settings</w:t>
            </w:r>
          </w:p>
        </w:tc>
        <w:tc>
          <w:tcPr>
            <w:tcW w:w="1150" w:type="pct"/>
            <w:hideMark/>
          </w:tcPr>
          <w:p w14:paraId="7D602A08" w14:textId="77777777" w:rsidR="00C21EB1" w:rsidRPr="00C21EB1" w:rsidRDefault="00C21EB1" w:rsidP="00A73370">
            <w:pPr>
              <w:cnfStyle w:val="000000000000" w:firstRow="0" w:lastRow="0" w:firstColumn="0" w:lastColumn="0" w:oddVBand="0" w:evenVBand="0" w:oddHBand="0" w:evenHBand="0" w:firstRowFirstColumn="0" w:firstRowLastColumn="0" w:lastRowFirstColumn="0" w:lastRowLastColumn="0"/>
            </w:pPr>
            <w:r w:rsidRPr="00C21EB1">
              <w:t xml:space="preserve">Approx. 70 million people worldwide </w:t>
            </w:r>
            <w:r w:rsidR="00BF7EE2">
              <w:t xml:space="preserve">are </w:t>
            </w:r>
            <w:r w:rsidRPr="00C21EB1">
              <w:t>affected</w:t>
            </w:r>
          </w:p>
        </w:tc>
        <w:tc>
          <w:tcPr>
            <w:tcW w:w="1512" w:type="pct"/>
            <w:hideMark/>
          </w:tcPr>
          <w:p w14:paraId="6D397E9F" w14:textId="77777777" w:rsidR="00C21EB1" w:rsidRPr="00C21EB1" w:rsidRDefault="00C21EB1" w:rsidP="00A73370">
            <w:pPr>
              <w:cnfStyle w:val="000000000000" w:firstRow="0" w:lastRow="0" w:firstColumn="0" w:lastColumn="0" w:oddVBand="0" w:evenVBand="0" w:oddHBand="0" w:evenHBand="0" w:firstRowFirstColumn="0" w:firstRowLastColumn="0" w:lastRowFirstColumn="0" w:lastRowLastColumn="0"/>
            </w:pPr>
            <w:r w:rsidRPr="00C21EB1">
              <w:t>Includes diverse clinical presentations, requiring multidisciplinary treatment approaches.</w:t>
            </w:r>
          </w:p>
        </w:tc>
      </w:tr>
      <w:tr w:rsidR="00BF7EE2" w:rsidRPr="00C21EB1" w14:paraId="53DAE8C7" w14:textId="77777777" w:rsidTr="00A7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1" w:type="pct"/>
            <w:hideMark/>
          </w:tcPr>
          <w:p w14:paraId="243F73CA" w14:textId="77777777" w:rsidR="00C21EB1" w:rsidRPr="00C21EB1" w:rsidRDefault="00C21EB1" w:rsidP="00A73370">
            <w:r w:rsidRPr="00C21EB1">
              <w:t>Regional Differences</w:t>
            </w:r>
          </w:p>
        </w:tc>
        <w:tc>
          <w:tcPr>
            <w:tcW w:w="1269" w:type="pct"/>
            <w:hideMark/>
          </w:tcPr>
          <w:p w14:paraId="3149E28D" w14:textId="77777777" w:rsidR="00C21EB1" w:rsidRPr="00C21EB1" w:rsidRDefault="00C21EB1" w:rsidP="00A73370">
            <w:pPr>
              <w:cnfStyle w:val="000000100000" w:firstRow="0" w:lastRow="0" w:firstColumn="0" w:lastColumn="0" w:oddVBand="0" w:evenVBand="0" w:oddHBand="1" w:evenHBand="0" w:firstRowFirstColumn="0" w:firstRowLastColumn="0" w:lastRowFirstColumn="0" w:lastRowLastColumn="0"/>
            </w:pPr>
            <w:r w:rsidRPr="00C21EB1">
              <w:t>Europe</w:t>
            </w:r>
          </w:p>
        </w:tc>
        <w:tc>
          <w:tcPr>
            <w:tcW w:w="1150" w:type="pct"/>
            <w:hideMark/>
          </w:tcPr>
          <w:p w14:paraId="7A8510B6" w14:textId="77777777" w:rsidR="00C21EB1" w:rsidRPr="00C21EB1" w:rsidRDefault="00C21EB1" w:rsidP="00A73370">
            <w:pPr>
              <w:cnfStyle w:val="000000100000" w:firstRow="0" w:lastRow="0" w:firstColumn="0" w:lastColumn="0" w:oddVBand="0" w:evenVBand="0" w:oddHBand="1" w:evenHBand="0" w:firstRowFirstColumn="0" w:firstRowLastColumn="0" w:lastRowFirstColumn="0" w:lastRowLastColumn="0"/>
            </w:pPr>
            <w:r w:rsidRPr="00C21EB1">
              <w:t>2.0% prevalence in children</w:t>
            </w:r>
          </w:p>
        </w:tc>
        <w:tc>
          <w:tcPr>
            <w:tcW w:w="1512" w:type="pct"/>
            <w:hideMark/>
          </w:tcPr>
          <w:p w14:paraId="5DDF1FFC" w14:textId="77777777" w:rsidR="00C21EB1" w:rsidRPr="00C21EB1" w:rsidRDefault="00C21EB1" w:rsidP="00A73370">
            <w:pPr>
              <w:cnfStyle w:val="000000100000" w:firstRow="0" w:lastRow="0" w:firstColumn="0" w:lastColumn="0" w:oddVBand="0" w:evenVBand="0" w:oddHBand="1" w:evenHBand="0" w:firstRowFirstColumn="0" w:firstRowLastColumn="0" w:lastRowFirstColumn="0" w:lastRowLastColumn="0"/>
            </w:pPr>
            <w:r w:rsidRPr="00C21EB1">
              <w:t>One of the highest global rates reported, with rising incidence in school-aged populations.</w:t>
            </w:r>
          </w:p>
        </w:tc>
      </w:tr>
      <w:tr w:rsidR="00C21EB1" w:rsidRPr="00C21EB1" w14:paraId="0ECDAA42" w14:textId="77777777" w:rsidTr="00A73370">
        <w:tc>
          <w:tcPr>
            <w:cnfStyle w:val="001000000000" w:firstRow="0" w:lastRow="0" w:firstColumn="1" w:lastColumn="0" w:oddVBand="0" w:evenVBand="0" w:oddHBand="0" w:evenHBand="0" w:firstRowFirstColumn="0" w:firstRowLastColumn="0" w:lastRowFirstColumn="0" w:lastRowLastColumn="0"/>
            <w:tcW w:w="1001" w:type="pct"/>
            <w:hideMark/>
          </w:tcPr>
          <w:p w14:paraId="1020F928" w14:textId="77777777" w:rsidR="00C21EB1" w:rsidRPr="00C21EB1" w:rsidRDefault="00C21EB1" w:rsidP="00A73370"/>
        </w:tc>
        <w:tc>
          <w:tcPr>
            <w:tcW w:w="1269" w:type="pct"/>
            <w:hideMark/>
          </w:tcPr>
          <w:p w14:paraId="5C03255B" w14:textId="77777777" w:rsidR="00C21EB1" w:rsidRPr="00C21EB1" w:rsidRDefault="00C21EB1" w:rsidP="00A73370">
            <w:pPr>
              <w:cnfStyle w:val="000000000000" w:firstRow="0" w:lastRow="0" w:firstColumn="0" w:lastColumn="0" w:oddVBand="0" w:evenVBand="0" w:oddHBand="0" w:evenHBand="0" w:firstRowFirstColumn="0" w:firstRowLastColumn="0" w:lastRowFirstColumn="0" w:lastRowLastColumn="0"/>
            </w:pPr>
            <w:r w:rsidRPr="00C21EB1">
              <w:t>North America</w:t>
            </w:r>
          </w:p>
        </w:tc>
        <w:tc>
          <w:tcPr>
            <w:tcW w:w="1150" w:type="pct"/>
            <w:hideMark/>
          </w:tcPr>
          <w:p w14:paraId="7FBD0C3D" w14:textId="77777777" w:rsidR="00C21EB1" w:rsidRPr="00C21EB1" w:rsidRDefault="00C21EB1" w:rsidP="00A73370">
            <w:pPr>
              <w:cnfStyle w:val="000000000000" w:firstRow="0" w:lastRow="0" w:firstColumn="0" w:lastColumn="0" w:oddVBand="0" w:evenVBand="0" w:oddHBand="0" w:evenHBand="0" w:firstRowFirstColumn="0" w:firstRowLastColumn="0" w:lastRowFirstColumn="0" w:lastRowLastColumn="0"/>
            </w:pPr>
            <w:r w:rsidRPr="00C21EB1">
              <w:t>1.0% prevalence in children</w:t>
            </w:r>
          </w:p>
        </w:tc>
        <w:tc>
          <w:tcPr>
            <w:tcW w:w="1512" w:type="pct"/>
            <w:hideMark/>
          </w:tcPr>
          <w:p w14:paraId="128B8DDA" w14:textId="77777777" w:rsidR="00C21EB1" w:rsidRPr="00C21EB1" w:rsidRDefault="00C21EB1" w:rsidP="00A73370">
            <w:pPr>
              <w:cnfStyle w:val="000000000000" w:firstRow="0" w:lastRow="0" w:firstColumn="0" w:lastColumn="0" w:oddVBand="0" w:evenVBand="0" w:oddHBand="0" w:evenHBand="0" w:firstRowFirstColumn="0" w:firstRowLastColumn="0" w:lastRowFirstColumn="0" w:lastRowLastColumn="0"/>
            </w:pPr>
            <w:r w:rsidRPr="00C21EB1">
              <w:t>New healthcare visits for eating disorders in children under 17 doubled between 2018 and 2022.</w:t>
            </w:r>
          </w:p>
        </w:tc>
      </w:tr>
      <w:tr w:rsidR="00BF7EE2" w:rsidRPr="00C21EB1" w14:paraId="767EF855" w14:textId="77777777" w:rsidTr="00A7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1" w:type="pct"/>
            <w:hideMark/>
          </w:tcPr>
          <w:p w14:paraId="03095316" w14:textId="77777777" w:rsidR="00C21EB1" w:rsidRPr="00C21EB1" w:rsidRDefault="00C21EB1" w:rsidP="00A73370"/>
        </w:tc>
        <w:tc>
          <w:tcPr>
            <w:tcW w:w="1269" w:type="pct"/>
            <w:hideMark/>
          </w:tcPr>
          <w:p w14:paraId="17C533CF" w14:textId="77777777" w:rsidR="00C21EB1" w:rsidRPr="00C21EB1" w:rsidRDefault="00C21EB1" w:rsidP="00A73370">
            <w:pPr>
              <w:cnfStyle w:val="000000100000" w:firstRow="0" w:lastRow="0" w:firstColumn="0" w:lastColumn="0" w:oddVBand="0" w:evenVBand="0" w:oddHBand="1" w:evenHBand="0" w:firstRowFirstColumn="0" w:firstRowLastColumn="0" w:lastRowFirstColumn="0" w:lastRowLastColumn="0"/>
            </w:pPr>
            <w:r w:rsidRPr="00C21EB1">
              <w:t>Australia</w:t>
            </w:r>
          </w:p>
        </w:tc>
        <w:tc>
          <w:tcPr>
            <w:tcW w:w="1150" w:type="pct"/>
            <w:hideMark/>
          </w:tcPr>
          <w:p w14:paraId="03614440" w14:textId="77777777" w:rsidR="00C21EB1" w:rsidRPr="00C21EB1" w:rsidRDefault="00C21EB1" w:rsidP="00A73370">
            <w:pPr>
              <w:cnfStyle w:val="000000100000" w:firstRow="0" w:lastRow="0" w:firstColumn="0" w:lastColumn="0" w:oddVBand="0" w:evenVBand="0" w:oddHBand="1" w:evenHBand="0" w:firstRowFirstColumn="0" w:firstRowLastColumn="0" w:lastRowFirstColumn="0" w:lastRowLastColumn="0"/>
            </w:pPr>
            <w:r w:rsidRPr="00C21EB1">
              <w:t>5.2% prevalence in children (one study)</w:t>
            </w:r>
          </w:p>
        </w:tc>
        <w:tc>
          <w:tcPr>
            <w:tcW w:w="1512" w:type="pct"/>
            <w:hideMark/>
          </w:tcPr>
          <w:p w14:paraId="458410A2" w14:textId="77777777" w:rsidR="00C21EB1" w:rsidRPr="00C21EB1" w:rsidRDefault="00C21EB1" w:rsidP="00BF7EE2">
            <w:pPr>
              <w:cnfStyle w:val="000000100000" w:firstRow="0" w:lastRow="0" w:firstColumn="0" w:lastColumn="0" w:oddVBand="0" w:evenVBand="0" w:oddHBand="1" w:evenHBand="0" w:firstRowFirstColumn="0" w:firstRowLastColumn="0" w:lastRowFirstColumn="0" w:lastRowLastColumn="0"/>
            </w:pPr>
            <w:r w:rsidRPr="00C21EB1">
              <w:t>Highlighting regional variation</w:t>
            </w:r>
            <w:r w:rsidR="00BF7EE2">
              <w:t>,</w:t>
            </w:r>
            <w:r w:rsidRPr="00C21EB1">
              <w:t xml:space="preserve"> data </w:t>
            </w:r>
            <w:r w:rsidR="00BF7EE2">
              <w:t>show</w:t>
            </w:r>
            <w:r w:rsidRPr="00C21EB1">
              <w:t xml:space="preserve"> high prevalence in specific populations and contexts.</w:t>
            </w:r>
          </w:p>
        </w:tc>
      </w:tr>
    </w:tbl>
    <w:p w14:paraId="0009BAC9" w14:textId="77777777" w:rsidR="00C21EB1" w:rsidRPr="00A73370" w:rsidRDefault="00C21EB1" w:rsidP="00A73370"/>
    <w:p w14:paraId="104F65B3" w14:textId="77777777" w:rsidR="00137C2E" w:rsidRPr="00A73370" w:rsidRDefault="00C21EB1" w:rsidP="00A73370">
      <w:pPr>
        <w:pStyle w:val="Heading1"/>
      </w:pPr>
      <w:bookmarkStart w:id="4" w:name="_Toc211226767"/>
      <w:r w:rsidRPr="00A73370">
        <w:t>Recommendation</w:t>
      </w:r>
      <w:bookmarkEnd w:id="4"/>
    </w:p>
    <w:p w14:paraId="50FD2BBD" w14:textId="77777777" w:rsidR="00A73370" w:rsidRDefault="00C21EB1" w:rsidP="00A73370">
      <w:pPr>
        <w:ind w:firstLine="720"/>
      </w:pPr>
      <w:r w:rsidRPr="00A73370">
        <w:t>To improve the clinical management and population health contribution of feeding and eating disorders (FEDs), a number of rational suggestions can be based on the current ICD-11 developments, scientific findings, and the controversy. To begin with, the further refinement and distribution of the ICD-11 classification should be continued</w:t>
      </w:r>
      <w:r w:rsidR="00713630">
        <w:t xml:space="preserve"> (Grot et </w:t>
      </w:r>
      <w:proofErr w:type="spellStart"/>
      <w:r w:rsidR="00713630">
        <w:t>bal</w:t>
      </w:r>
      <w:proofErr w:type="spellEnd"/>
      <w:r w:rsidR="00713630">
        <w:t>, 2024)</w:t>
      </w:r>
      <w:r w:rsidRPr="00A73370">
        <w:t>. Although ICD-11 has enhanced diagnostic accuracy and clarity</w:t>
      </w:r>
      <w:r w:rsidR="00BF7EE2">
        <w:t>,</w:t>
      </w:r>
      <w:r w:rsidRPr="00A73370">
        <w:t xml:space="preserve"> as there were also disorders such as binge eating disorder and avoidant/restrictive food intake disorder, more validation in other cultural and clinical contexts is required to guarantee universa</w:t>
      </w:r>
      <w:r w:rsidR="00C71E76" w:rsidRPr="00A73370">
        <w:t xml:space="preserve">l applicability and </w:t>
      </w:r>
      <w:proofErr w:type="spellStart"/>
      <w:r w:rsidR="00C71E76" w:rsidRPr="00A73370">
        <w:t>minimis</w:t>
      </w:r>
      <w:r w:rsidRPr="00A73370">
        <w:t>e</w:t>
      </w:r>
      <w:proofErr w:type="spellEnd"/>
      <w:r w:rsidRPr="00A73370">
        <w:t xml:space="preserve"> unresolved diagnoses</w:t>
      </w:r>
      <w:r w:rsidR="00A73370">
        <w:t xml:space="preserve"> (</w:t>
      </w:r>
      <w:r w:rsidR="00713630">
        <w:t>Pike, 2024</w:t>
      </w:r>
      <w:r w:rsidR="00A73370">
        <w:t>)</w:t>
      </w:r>
      <w:r w:rsidRPr="00A73370">
        <w:t xml:space="preserve">. </w:t>
      </w:r>
      <w:r w:rsidR="008017F7" w:rsidRPr="00A73370">
        <w:t xml:space="preserve">With the </w:t>
      </w:r>
      <w:r w:rsidR="00C71E76" w:rsidRPr="00A73370">
        <w:t>evolution</w:t>
      </w:r>
      <w:r w:rsidR="008017F7" w:rsidRPr="00A73370">
        <w:t xml:space="preserve"> of the training of clinicians </w:t>
      </w:r>
      <w:r w:rsidR="00C71E76" w:rsidRPr="00A73370">
        <w:t>concerning</w:t>
      </w:r>
      <w:r w:rsidR="008017F7" w:rsidRPr="00A73370">
        <w:t xml:space="preserve"> the criteria of the ICD-11, the </w:t>
      </w:r>
      <w:r w:rsidR="00BF7EE2">
        <w:t>consistency</w:t>
      </w:r>
      <w:r w:rsidR="008017F7" w:rsidRPr="00A73370">
        <w:t xml:space="preserve"> and confidence of the diagnostics will be </w:t>
      </w:r>
      <w:r w:rsidR="00C71E76" w:rsidRPr="00A73370">
        <w:t>elevated</w:t>
      </w:r>
      <w:r w:rsidR="008017F7" w:rsidRPr="00A73370">
        <w:t xml:space="preserve">. Second, one should </w:t>
      </w:r>
      <w:r w:rsidR="00C71E76" w:rsidRPr="00A73370">
        <w:t>improve</w:t>
      </w:r>
      <w:r w:rsidR="008017F7" w:rsidRPr="00A73370">
        <w:t xml:space="preserve"> the processes of conducting diagnoses by including the considerations of neurodiversity. </w:t>
      </w:r>
    </w:p>
    <w:p w14:paraId="1B83E37F" w14:textId="77777777" w:rsidR="00C21EB1" w:rsidRPr="00A73370" w:rsidRDefault="008017F7" w:rsidP="00A73370">
      <w:pPr>
        <w:ind w:firstLine="720"/>
      </w:pPr>
      <w:r w:rsidRPr="00A73370">
        <w:t xml:space="preserve">There is an </w:t>
      </w:r>
      <w:r w:rsidR="00C71E76" w:rsidRPr="00A73370">
        <w:t>imperative</w:t>
      </w:r>
      <w:r w:rsidRPr="00A73370">
        <w:t xml:space="preserve"> </w:t>
      </w:r>
      <w:r w:rsidR="00C71E76" w:rsidRPr="00A73370">
        <w:t>requirement</w:t>
      </w:r>
      <w:r w:rsidRPr="00A73370">
        <w:t xml:space="preserve"> in terms of treatment and rehabilitation of </w:t>
      </w:r>
      <w:r w:rsidR="00C71E76" w:rsidRPr="00A73370">
        <w:t>study</w:t>
      </w:r>
      <w:r w:rsidRPr="00A73370">
        <w:t xml:space="preserve"> and clinical </w:t>
      </w:r>
      <w:r w:rsidR="00BF7EE2">
        <w:t>investigation</w:t>
      </w:r>
      <w:r w:rsidRPr="00A73370">
        <w:t xml:space="preserve"> that would target less-researched disorders, including ARFID, and adults with chronic anorexia nervosa. The availability of evidence-based multidisciplinary care, including psychological </w:t>
      </w:r>
      <w:r w:rsidR="00C71E76" w:rsidRPr="00A73370">
        <w:t>handling of disease</w:t>
      </w:r>
      <w:r w:rsidRPr="00A73370">
        <w:t>, nutritional support, and medical follow-up</w:t>
      </w:r>
      <w:r w:rsidR="00BF7EE2">
        <w:t>,</w:t>
      </w:r>
      <w:r w:rsidRPr="00A73370">
        <w:t xml:space="preserve"> should also be increased</w:t>
      </w:r>
      <w:r w:rsidR="00A73370">
        <w:t xml:space="preserve"> (</w:t>
      </w:r>
      <w:r w:rsidR="00713630">
        <w:t>Reed, 2023</w:t>
      </w:r>
      <w:r w:rsidR="00A73370">
        <w:t>)</w:t>
      </w:r>
      <w:r w:rsidRPr="00A73370">
        <w:t>. The emphasis on patient-</w:t>
      </w:r>
      <w:proofErr w:type="spellStart"/>
      <w:r w:rsidRPr="00A73370">
        <w:t>centred</w:t>
      </w:r>
      <w:proofErr w:type="spellEnd"/>
      <w:r w:rsidRPr="00A73370">
        <w:t xml:space="preserve"> approaches and preferences, as well as comorbidities, will improve the interaction and outcome. Policy recommendations include paying more attention to financing specialized feeding and eating disorder services, training the </w:t>
      </w:r>
      <w:r w:rsidRPr="00A73370">
        <w:lastRenderedPageBreak/>
        <w:t>working force on the new diagnostic models, including 11ICD, and conducting longitudinal research around the effectiveness of treatment and recovery curves. Better diagnosis coding can be used to enhance the situation of data collection to inform resource allocation and population health policies</w:t>
      </w:r>
      <w:r w:rsidR="00663354">
        <w:t xml:space="preserve"> (</w:t>
      </w:r>
      <w:r w:rsidR="00663354">
        <w:rPr>
          <w:rFonts w:cs="Times New Roman"/>
          <w:color w:val="222222"/>
          <w:szCs w:val="24"/>
          <w:shd w:val="clear" w:color="auto" w:fill="FFFFFF"/>
        </w:rPr>
        <w:t>Stevanovic, 2023)</w:t>
      </w:r>
      <w:r w:rsidRPr="00A73370">
        <w:t xml:space="preserve">. All in all, these suggestions should enable the creation of more precise and helpful FED classification and diagnosis, advance the comprehensive and individual approach to the treatment, and train policymakers </w:t>
      </w:r>
      <w:r w:rsidR="00BF7EE2">
        <w:t>who</w:t>
      </w:r>
      <w:r w:rsidRPr="00A73370">
        <w:t xml:space="preserve"> encourage the provision of care and sustained recovery. They would decrease the </w:t>
      </w:r>
      <w:proofErr w:type="spellStart"/>
      <w:r w:rsidR="00BF7EE2">
        <w:t>FEDs'</w:t>
      </w:r>
      <w:proofErr w:type="spellEnd"/>
      <w:r w:rsidRPr="00A73370">
        <w:t xml:space="preserve"> workload and improve health worldwide</w:t>
      </w:r>
      <w:r w:rsidR="00C21EB1" w:rsidRPr="00A73370">
        <w:t>.</w:t>
      </w:r>
    </w:p>
    <w:p w14:paraId="2DBB4DBD" w14:textId="77777777" w:rsidR="00CA1D51" w:rsidRPr="00A73370" w:rsidRDefault="00CA1D51" w:rsidP="00A73370">
      <w:pPr>
        <w:pStyle w:val="Heading1"/>
      </w:pPr>
      <w:bookmarkStart w:id="5" w:name="_Toc211226768"/>
      <w:r w:rsidRPr="00A73370">
        <w:t>Conclusion</w:t>
      </w:r>
      <w:bookmarkEnd w:id="5"/>
    </w:p>
    <w:p w14:paraId="05A213E5" w14:textId="77777777" w:rsidR="003843EA" w:rsidRPr="003843EA" w:rsidRDefault="00A73370" w:rsidP="00A73370">
      <w:pPr>
        <w:ind w:firstLine="720"/>
      </w:pPr>
      <w:r>
        <w:t xml:space="preserve">The </w:t>
      </w:r>
      <w:r w:rsidR="00CA1D51" w:rsidRPr="00A73370">
        <w:t xml:space="preserve">feeding and eating disorders (FEDs) are an emerging global health issue that causes serious physical, psychological, and social problems to millions of people of all ages and places. The ICD-11 has achieved significant progress in enhancing the nomenclature and diagnostic specificity of FEDs: feeding and eating disorders are consolidated, and such conditions as ARFID and binge eating disorder are included. Nevertheless, the current arguments involving the diagnostic accuracy, terminology, and the concept of neurodiversity necessitate further improvement and personalized treatment. Treatment and rehabilitation </w:t>
      </w:r>
      <w:r w:rsidR="00BF7EE2">
        <w:t>are</w:t>
      </w:r>
      <w:r w:rsidR="00CA1D51" w:rsidRPr="00A73370">
        <w:t xml:space="preserve"> still a complex issue that requires multidisciplinary care involving the psychological and medical needs</w:t>
      </w:r>
      <w:r w:rsidR="00BF7EE2">
        <w:t>,</w:t>
      </w:r>
      <w:r w:rsidR="00CA1D51" w:rsidRPr="00A73370">
        <w:t xml:space="preserve"> but </w:t>
      </w:r>
      <w:r w:rsidR="00BF7EE2">
        <w:t>issues such</w:t>
      </w:r>
      <w:r w:rsidR="00CA1D51" w:rsidRPr="00A73370">
        <w:t xml:space="preserve"> as chronicity, access</w:t>
      </w:r>
      <w:r w:rsidR="00BF7EE2">
        <w:t>,</w:t>
      </w:r>
      <w:r w:rsidR="00CA1D51" w:rsidRPr="00A73370">
        <w:t xml:space="preserve"> and different treatment </w:t>
      </w:r>
      <w:r w:rsidR="00BF7EE2">
        <w:t>responses</w:t>
      </w:r>
      <w:r w:rsidR="00CA1D51" w:rsidRPr="00A73370">
        <w:t xml:space="preserve"> continue to be a challenge. The policy and practice should be transformed to provide holistic stigma-sensitive services and training to </w:t>
      </w:r>
      <w:r w:rsidR="00BF7EE2">
        <w:t>meet various</w:t>
      </w:r>
      <w:r w:rsidR="00CA1D51" w:rsidRPr="00A73370">
        <w:t xml:space="preserve"> patient needs. Similar studies should focus on populations that are not well </w:t>
      </w:r>
      <w:r w:rsidR="007908CD">
        <w:t xml:space="preserve">studied in the future to </w:t>
      </w:r>
      <w:proofErr w:type="spellStart"/>
      <w:r w:rsidR="007908CD">
        <w:t>maximis</w:t>
      </w:r>
      <w:r w:rsidR="00CA1D51" w:rsidRPr="00A73370">
        <w:t>e</w:t>
      </w:r>
      <w:proofErr w:type="spellEnd"/>
      <w:r w:rsidR="00CA1D51" w:rsidRPr="00A73370">
        <w:t xml:space="preserve"> research and outcomes. </w:t>
      </w:r>
    </w:p>
    <w:p w14:paraId="35E1EF90" w14:textId="77777777" w:rsidR="00663354" w:rsidRDefault="00663354">
      <w:pPr>
        <w:spacing w:line="259" w:lineRule="auto"/>
        <w:jc w:val="left"/>
        <w:rPr>
          <w:rFonts w:eastAsiaTheme="majorEastAsia" w:cstheme="majorBidi"/>
          <w:b/>
          <w:color w:val="000000" w:themeColor="text1"/>
          <w:szCs w:val="32"/>
        </w:rPr>
      </w:pPr>
      <w:r>
        <w:br w:type="page"/>
      </w:r>
    </w:p>
    <w:p w14:paraId="37B04A12" w14:textId="77777777" w:rsidR="003B38C9" w:rsidRDefault="007908CD" w:rsidP="007908CD">
      <w:pPr>
        <w:pStyle w:val="Heading1"/>
      </w:pPr>
      <w:bookmarkStart w:id="6" w:name="_Toc211226769"/>
      <w:r>
        <w:lastRenderedPageBreak/>
        <w:t>References</w:t>
      </w:r>
      <w:bookmarkEnd w:id="6"/>
    </w:p>
    <w:p w14:paraId="01165774" w14:textId="77777777" w:rsidR="00663354" w:rsidRPr="00713630" w:rsidRDefault="00663354" w:rsidP="00663354">
      <w:pPr>
        <w:ind w:left="720" w:hanging="720"/>
        <w:rPr>
          <w:rFonts w:cs="Times New Roman"/>
          <w:color w:val="222222"/>
          <w:szCs w:val="24"/>
          <w:shd w:val="clear" w:color="auto" w:fill="FFFFFF"/>
        </w:rPr>
      </w:pPr>
      <w:r w:rsidRPr="00713630">
        <w:rPr>
          <w:rFonts w:cs="Times New Roman"/>
          <w:color w:val="222222"/>
          <w:szCs w:val="24"/>
          <w:shd w:val="clear" w:color="auto" w:fill="FFFFFF"/>
        </w:rPr>
        <w:t xml:space="preserve">Attard-Mallia, T., 2023. Delving into the ICD-11: a review of the chapter on mental, </w:t>
      </w:r>
      <w:proofErr w:type="spellStart"/>
      <w:r w:rsidRPr="00713630">
        <w:rPr>
          <w:rFonts w:cs="Times New Roman"/>
          <w:color w:val="222222"/>
          <w:szCs w:val="24"/>
          <w:shd w:val="clear" w:color="auto" w:fill="FFFFFF"/>
        </w:rPr>
        <w:t>behavioural</w:t>
      </w:r>
      <w:proofErr w:type="spellEnd"/>
      <w:r w:rsidRPr="00713630">
        <w:rPr>
          <w:rFonts w:cs="Times New Roman"/>
          <w:color w:val="222222"/>
          <w:szCs w:val="24"/>
          <w:shd w:val="clear" w:color="auto" w:fill="FFFFFF"/>
        </w:rPr>
        <w:t xml:space="preserve"> or neurodevelopmental disorders.</w:t>
      </w:r>
    </w:p>
    <w:p w14:paraId="5125B87C" w14:textId="77777777" w:rsidR="00663354" w:rsidRPr="00713630" w:rsidRDefault="00663354" w:rsidP="00663354">
      <w:pPr>
        <w:ind w:left="720" w:hanging="720"/>
        <w:rPr>
          <w:rFonts w:cs="Times New Roman"/>
          <w:color w:val="222222"/>
          <w:szCs w:val="24"/>
          <w:shd w:val="clear" w:color="auto" w:fill="FFFFFF"/>
        </w:rPr>
      </w:pPr>
      <w:r w:rsidRPr="00713630">
        <w:rPr>
          <w:rFonts w:cs="Times New Roman"/>
          <w:color w:val="222222"/>
          <w:szCs w:val="24"/>
          <w:shd w:val="clear" w:color="auto" w:fill="FFFFFF"/>
        </w:rPr>
        <w:t xml:space="preserve">Bertelli, M.O., </w:t>
      </w:r>
      <w:proofErr w:type="spellStart"/>
      <w:r w:rsidRPr="00713630">
        <w:rPr>
          <w:rFonts w:cs="Times New Roman"/>
          <w:color w:val="222222"/>
          <w:szCs w:val="24"/>
          <w:shd w:val="clear" w:color="auto" w:fill="FFFFFF"/>
        </w:rPr>
        <w:t>Paletti</w:t>
      </w:r>
      <w:proofErr w:type="spellEnd"/>
      <w:r w:rsidRPr="00713630">
        <w:rPr>
          <w:rFonts w:cs="Times New Roman"/>
          <w:color w:val="222222"/>
          <w:szCs w:val="24"/>
          <w:shd w:val="clear" w:color="auto" w:fill="FFFFFF"/>
        </w:rPr>
        <w:t xml:space="preserve">, F., Piva Merli, M., </w:t>
      </w:r>
      <w:proofErr w:type="spellStart"/>
      <w:r w:rsidRPr="00713630">
        <w:rPr>
          <w:rFonts w:cs="Times New Roman"/>
          <w:color w:val="222222"/>
          <w:szCs w:val="24"/>
          <w:shd w:val="clear" w:color="auto" w:fill="FFFFFF"/>
        </w:rPr>
        <w:t>Hassiotis</w:t>
      </w:r>
      <w:proofErr w:type="spellEnd"/>
      <w:r w:rsidRPr="00713630">
        <w:rPr>
          <w:rFonts w:cs="Times New Roman"/>
          <w:color w:val="222222"/>
          <w:szCs w:val="24"/>
          <w:shd w:val="clear" w:color="auto" w:fill="FFFFFF"/>
        </w:rPr>
        <w:t>, A., Bianco, A. and Lassi, S., 2025. Eating and feeding disorders in adults with intellectual developmental disorder with and without autism spectrum disorder. </w:t>
      </w:r>
      <w:r w:rsidRPr="00713630">
        <w:rPr>
          <w:rFonts w:cs="Times New Roman"/>
          <w:i/>
          <w:iCs/>
          <w:color w:val="222222"/>
          <w:szCs w:val="24"/>
          <w:shd w:val="clear" w:color="auto" w:fill="FFFFFF"/>
        </w:rPr>
        <w:t>Journal of Intellectual Disability Research</w:t>
      </w:r>
      <w:r w:rsidRPr="00713630">
        <w:rPr>
          <w:rFonts w:cs="Times New Roman"/>
          <w:color w:val="222222"/>
          <w:szCs w:val="24"/>
          <w:shd w:val="clear" w:color="auto" w:fill="FFFFFF"/>
        </w:rPr>
        <w:t>, </w:t>
      </w:r>
      <w:r w:rsidRPr="00713630">
        <w:rPr>
          <w:rFonts w:cs="Times New Roman"/>
          <w:i/>
          <w:iCs/>
          <w:color w:val="222222"/>
          <w:szCs w:val="24"/>
          <w:shd w:val="clear" w:color="auto" w:fill="FFFFFF"/>
        </w:rPr>
        <w:t>69</w:t>
      </w:r>
      <w:r w:rsidRPr="00713630">
        <w:rPr>
          <w:rFonts w:cs="Times New Roman"/>
          <w:color w:val="222222"/>
          <w:szCs w:val="24"/>
          <w:shd w:val="clear" w:color="auto" w:fill="FFFFFF"/>
        </w:rPr>
        <w:t>(2), pp.153-164.</w:t>
      </w:r>
    </w:p>
    <w:p w14:paraId="2F23417E" w14:textId="77777777" w:rsidR="00663354" w:rsidRPr="00713630" w:rsidRDefault="00663354" w:rsidP="00663354">
      <w:pPr>
        <w:ind w:left="720" w:hanging="720"/>
        <w:rPr>
          <w:rFonts w:cs="Times New Roman"/>
          <w:color w:val="222222"/>
          <w:szCs w:val="24"/>
          <w:shd w:val="clear" w:color="auto" w:fill="FFFFFF"/>
        </w:rPr>
      </w:pPr>
      <w:r w:rsidRPr="00713630">
        <w:rPr>
          <w:rFonts w:cs="Times New Roman"/>
          <w:color w:val="222222"/>
          <w:szCs w:val="24"/>
          <w:shd w:val="clear" w:color="auto" w:fill="FFFFFF"/>
        </w:rPr>
        <w:t xml:space="preserve">Gaebel, W., </w:t>
      </w:r>
      <w:proofErr w:type="spellStart"/>
      <w:r w:rsidRPr="00713630">
        <w:rPr>
          <w:rFonts w:cs="Times New Roman"/>
          <w:color w:val="222222"/>
          <w:szCs w:val="24"/>
          <w:shd w:val="clear" w:color="auto" w:fill="FFFFFF"/>
        </w:rPr>
        <w:t>Salveridou</w:t>
      </w:r>
      <w:proofErr w:type="spellEnd"/>
      <w:r w:rsidRPr="00713630">
        <w:rPr>
          <w:rFonts w:cs="Times New Roman"/>
          <w:color w:val="222222"/>
          <w:szCs w:val="24"/>
          <w:shd w:val="clear" w:color="auto" w:fill="FFFFFF"/>
        </w:rPr>
        <w:t>-Hof, E., Kresse, A., Kadakia, R.F.</w:t>
      </w:r>
      <w:r w:rsidR="00BF7EE2">
        <w:rPr>
          <w:rFonts w:cs="Times New Roman"/>
          <w:color w:val="222222"/>
          <w:szCs w:val="24"/>
          <w:shd w:val="clear" w:color="auto" w:fill="FFFFFF"/>
        </w:rPr>
        <w:t>,</w:t>
      </w:r>
      <w:r w:rsidRPr="00713630">
        <w:rPr>
          <w:rFonts w:cs="Times New Roman"/>
          <w:color w:val="222222"/>
          <w:szCs w:val="24"/>
          <w:shd w:val="clear" w:color="auto" w:fill="FFFFFF"/>
        </w:rPr>
        <w:t xml:space="preserve"> and Reed, G.M., 2024. Development and current status of ICD-11 mental, behavioral, or neurodevelopmental disorders. </w:t>
      </w:r>
      <w:r w:rsidRPr="00713630">
        <w:rPr>
          <w:rFonts w:cs="Times New Roman"/>
          <w:i/>
          <w:iCs/>
          <w:color w:val="222222"/>
          <w:szCs w:val="24"/>
          <w:shd w:val="clear" w:color="auto" w:fill="FFFFFF"/>
        </w:rPr>
        <w:t>Mental health research and practice: From evidence to experience</w:t>
      </w:r>
      <w:r w:rsidRPr="00713630">
        <w:rPr>
          <w:rFonts w:cs="Times New Roman"/>
          <w:color w:val="222222"/>
          <w:szCs w:val="24"/>
          <w:shd w:val="clear" w:color="auto" w:fill="FFFFFF"/>
        </w:rPr>
        <w:t>, pp.293-316.</w:t>
      </w:r>
    </w:p>
    <w:p w14:paraId="769458E9" w14:textId="77777777" w:rsidR="00663354" w:rsidRPr="00713630" w:rsidRDefault="00663354" w:rsidP="00663354">
      <w:pPr>
        <w:ind w:left="720" w:hanging="720"/>
        <w:rPr>
          <w:rFonts w:cs="Times New Roman"/>
          <w:color w:val="222222"/>
          <w:szCs w:val="24"/>
          <w:shd w:val="clear" w:color="auto" w:fill="FFFFFF"/>
        </w:rPr>
      </w:pPr>
      <w:r w:rsidRPr="00713630">
        <w:rPr>
          <w:rFonts w:cs="Times New Roman"/>
          <w:color w:val="222222"/>
          <w:szCs w:val="24"/>
          <w:shd w:val="clear" w:color="auto" w:fill="FFFFFF"/>
        </w:rPr>
        <w:t xml:space="preserve">Gradl-Dietsch, G., </w:t>
      </w:r>
      <w:proofErr w:type="spellStart"/>
      <w:r w:rsidRPr="00713630">
        <w:rPr>
          <w:rFonts w:cs="Times New Roman"/>
          <w:color w:val="222222"/>
          <w:szCs w:val="24"/>
          <w:shd w:val="clear" w:color="auto" w:fill="FFFFFF"/>
        </w:rPr>
        <w:t>Föcker</w:t>
      </w:r>
      <w:proofErr w:type="spellEnd"/>
      <w:r w:rsidRPr="00713630">
        <w:rPr>
          <w:rFonts w:cs="Times New Roman"/>
          <w:color w:val="222222"/>
          <w:szCs w:val="24"/>
          <w:shd w:val="clear" w:color="auto" w:fill="FFFFFF"/>
        </w:rPr>
        <w:t xml:space="preserve">, M. and Hebebrand, J., 2022. </w:t>
      </w:r>
      <w:proofErr w:type="spellStart"/>
      <w:r w:rsidRPr="00713630">
        <w:rPr>
          <w:rFonts w:cs="Times New Roman"/>
          <w:color w:val="222222"/>
          <w:szCs w:val="24"/>
          <w:shd w:val="clear" w:color="auto" w:fill="FFFFFF"/>
        </w:rPr>
        <w:t>Essstörungen</w:t>
      </w:r>
      <w:proofErr w:type="spellEnd"/>
      <w:r w:rsidRPr="00713630">
        <w:rPr>
          <w:rFonts w:cs="Times New Roman"/>
          <w:color w:val="222222"/>
          <w:szCs w:val="24"/>
          <w:shd w:val="clear" w:color="auto" w:fill="FFFFFF"/>
        </w:rPr>
        <w:t xml:space="preserve"> </w:t>
      </w:r>
      <w:proofErr w:type="spellStart"/>
      <w:r w:rsidRPr="00713630">
        <w:rPr>
          <w:rFonts w:cs="Times New Roman"/>
          <w:color w:val="222222"/>
          <w:szCs w:val="24"/>
          <w:shd w:val="clear" w:color="auto" w:fill="FFFFFF"/>
        </w:rPr>
        <w:t>im</w:t>
      </w:r>
      <w:proofErr w:type="spellEnd"/>
      <w:r w:rsidRPr="00713630">
        <w:rPr>
          <w:rFonts w:cs="Times New Roman"/>
          <w:color w:val="222222"/>
          <w:szCs w:val="24"/>
          <w:shd w:val="clear" w:color="auto" w:fill="FFFFFF"/>
        </w:rPr>
        <w:t xml:space="preserve"> ICD-11 und DSM-5. In </w:t>
      </w:r>
      <w:proofErr w:type="spellStart"/>
      <w:r w:rsidRPr="00713630">
        <w:rPr>
          <w:rFonts w:cs="Times New Roman"/>
          <w:i/>
          <w:iCs/>
          <w:color w:val="222222"/>
          <w:szCs w:val="24"/>
          <w:shd w:val="clear" w:color="auto" w:fill="FFFFFF"/>
        </w:rPr>
        <w:t>Handbuch</w:t>
      </w:r>
      <w:proofErr w:type="spellEnd"/>
      <w:r w:rsidRPr="00713630">
        <w:rPr>
          <w:rFonts w:cs="Times New Roman"/>
          <w:i/>
          <w:iCs/>
          <w:color w:val="222222"/>
          <w:szCs w:val="24"/>
          <w:shd w:val="clear" w:color="auto" w:fill="FFFFFF"/>
        </w:rPr>
        <w:t xml:space="preserve"> </w:t>
      </w:r>
      <w:proofErr w:type="spellStart"/>
      <w:r w:rsidRPr="00713630">
        <w:rPr>
          <w:rFonts w:cs="Times New Roman"/>
          <w:i/>
          <w:iCs/>
          <w:color w:val="222222"/>
          <w:szCs w:val="24"/>
          <w:shd w:val="clear" w:color="auto" w:fill="FFFFFF"/>
        </w:rPr>
        <w:t>Essstörungen</w:t>
      </w:r>
      <w:proofErr w:type="spellEnd"/>
      <w:r w:rsidRPr="00713630">
        <w:rPr>
          <w:rFonts w:cs="Times New Roman"/>
          <w:i/>
          <w:iCs/>
          <w:color w:val="222222"/>
          <w:szCs w:val="24"/>
          <w:shd w:val="clear" w:color="auto" w:fill="FFFFFF"/>
        </w:rPr>
        <w:t xml:space="preserve"> und </w:t>
      </w:r>
      <w:proofErr w:type="spellStart"/>
      <w:r w:rsidRPr="00713630">
        <w:rPr>
          <w:rFonts w:cs="Times New Roman"/>
          <w:i/>
          <w:iCs/>
          <w:color w:val="222222"/>
          <w:szCs w:val="24"/>
          <w:shd w:val="clear" w:color="auto" w:fill="FFFFFF"/>
        </w:rPr>
        <w:t>Adipositas</w:t>
      </w:r>
      <w:proofErr w:type="spellEnd"/>
      <w:r w:rsidRPr="00713630">
        <w:rPr>
          <w:rFonts w:cs="Times New Roman"/>
          <w:color w:val="222222"/>
          <w:szCs w:val="24"/>
          <w:shd w:val="clear" w:color="auto" w:fill="FFFFFF"/>
        </w:rPr>
        <w:t> (pp. 17-28). Berlin, Heidelberg: Springer Berlin Heidelberg.</w:t>
      </w:r>
    </w:p>
    <w:p w14:paraId="3423D031" w14:textId="77777777" w:rsidR="00663354" w:rsidRPr="00713630" w:rsidRDefault="00663354" w:rsidP="00663354">
      <w:pPr>
        <w:ind w:left="720" w:hanging="720"/>
        <w:rPr>
          <w:rFonts w:cs="Times New Roman"/>
          <w:color w:val="222222"/>
          <w:szCs w:val="24"/>
          <w:shd w:val="clear" w:color="auto" w:fill="FFFFFF"/>
        </w:rPr>
      </w:pPr>
      <w:r w:rsidRPr="00713630">
        <w:rPr>
          <w:rFonts w:cs="Times New Roman"/>
          <w:color w:val="222222"/>
          <w:szCs w:val="24"/>
          <w:shd w:val="clear" w:color="auto" w:fill="FFFFFF"/>
        </w:rPr>
        <w:t xml:space="preserve">Gradl-Dietsch, G., </w:t>
      </w:r>
      <w:proofErr w:type="spellStart"/>
      <w:r w:rsidRPr="00713630">
        <w:rPr>
          <w:rFonts w:cs="Times New Roman"/>
          <w:color w:val="222222"/>
          <w:szCs w:val="24"/>
          <w:shd w:val="clear" w:color="auto" w:fill="FFFFFF"/>
        </w:rPr>
        <w:t>Föcker</w:t>
      </w:r>
      <w:proofErr w:type="spellEnd"/>
      <w:r w:rsidRPr="00713630">
        <w:rPr>
          <w:rFonts w:cs="Times New Roman"/>
          <w:color w:val="222222"/>
          <w:szCs w:val="24"/>
          <w:shd w:val="clear" w:color="auto" w:fill="FFFFFF"/>
        </w:rPr>
        <w:t>, M.</w:t>
      </w:r>
      <w:r w:rsidR="00BF7EE2">
        <w:rPr>
          <w:rFonts w:cs="Times New Roman"/>
          <w:color w:val="222222"/>
          <w:szCs w:val="24"/>
          <w:shd w:val="clear" w:color="auto" w:fill="FFFFFF"/>
        </w:rPr>
        <w:t>,</w:t>
      </w:r>
      <w:r w:rsidRPr="00713630">
        <w:rPr>
          <w:rFonts w:cs="Times New Roman"/>
          <w:color w:val="222222"/>
          <w:szCs w:val="24"/>
          <w:shd w:val="clear" w:color="auto" w:fill="FFFFFF"/>
        </w:rPr>
        <w:t xml:space="preserve"> and Hebebrand, J., 2024. Eating Disorders in the ICD-11 and DSM-5. In </w:t>
      </w:r>
      <w:r w:rsidRPr="00713630">
        <w:rPr>
          <w:rFonts w:cs="Times New Roman"/>
          <w:i/>
          <w:iCs/>
          <w:color w:val="222222"/>
          <w:szCs w:val="24"/>
          <w:shd w:val="clear" w:color="auto" w:fill="FFFFFF"/>
        </w:rPr>
        <w:t>Handbook of Eating Disorders and Obesity</w:t>
      </w:r>
      <w:r w:rsidRPr="00713630">
        <w:rPr>
          <w:rFonts w:cs="Times New Roman"/>
          <w:color w:val="222222"/>
          <w:szCs w:val="24"/>
          <w:shd w:val="clear" w:color="auto" w:fill="FFFFFF"/>
        </w:rPr>
        <w:t> (pp. 15-25). Berlin, Heidelberg: Springer Berlin Heidelberg.</w:t>
      </w:r>
    </w:p>
    <w:p w14:paraId="5CF6B0DB" w14:textId="77777777" w:rsidR="00663354" w:rsidRPr="00713630" w:rsidRDefault="00663354" w:rsidP="00663354">
      <w:pPr>
        <w:ind w:left="720" w:hanging="720"/>
        <w:rPr>
          <w:rFonts w:cs="Times New Roman"/>
          <w:color w:val="222222"/>
          <w:szCs w:val="24"/>
          <w:shd w:val="clear" w:color="auto" w:fill="FFFFFF"/>
        </w:rPr>
      </w:pPr>
      <w:r w:rsidRPr="00713630">
        <w:rPr>
          <w:rFonts w:cs="Times New Roman"/>
          <w:color w:val="222222"/>
          <w:szCs w:val="24"/>
          <w:shd w:val="clear" w:color="auto" w:fill="FFFFFF"/>
        </w:rPr>
        <w:t xml:space="preserve">Grot, M., </w:t>
      </w:r>
      <w:proofErr w:type="spellStart"/>
      <w:r w:rsidRPr="00713630">
        <w:rPr>
          <w:rFonts w:cs="Times New Roman"/>
          <w:color w:val="222222"/>
          <w:szCs w:val="24"/>
          <w:shd w:val="clear" w:color="auto" w:fill="FFFFFF"/>
        </w:rPr>
        <w:t>Białek</w:t>
      </w:r>
      <w:proofErr w:type="spellEnd"/>
      <w:r w:rsidRPr="00713630">
        <w:rPr>
          <w:rFonts w:cs="Times New Roman"/>
          <w:color w:val="222222"/>
          <w:szCs w:val="24"/>
          <w:shd w:val="clear" w:color="auto" w:fill="FFFFFF"/>
        </w:rPr>
        <w:t>-Dratwa, A., Krupa-</w:t>
      </w:r>
      <w:proofErr w:type="spellStart"/>
      <w:r w:rsidRPr="00713630">
        <w:rPr>
          <w:rFonts w:cs="Times New Roman"/>
          <w:color w:val="222222"/>
          <w:szCs w:val="24"/>
          <w:shd w:val="clear" w:color="auto" w:fill="FFFFFF"/>
        </w:rPr>
        <w:t>Kotara</w:t>
      </w:r>
      <w:proofErr w:type="spellEnd"/>
      <w:r w:rsidRPr="00713630">
        <w:rPr>
          <w:rFonts w:cs="Times New Roman"/>
          <w:color w:val="222222"/>
          <w:szCs w:val="24"/>
          <w:shd w:val="clear" w:color="auto" w:fill="FFFFFF"/>
        </w:rPr>
        <w:t xml:space="preserve">, K., Grajek, M., </w:t>
      </w:r>
      <w:proofErr w:type="spellStart"/>
      <w:r w:rsidRPr="00713630">
        <w:rPr>
          <w:rFonts w:cs="Times New Roman"/>
          <w:color w:val="222222"/>
          <w:szCs w:val="24"/>
          <w:shd w:val="clear" w:color="auto" w:fill="FFFFFF"/>
        </w:rPr>
        <w:t>Nigowski</w:t>
      </w:r>
      <w:proofErr w:type="spellEnd"/>
      <w:r w:rsidRPr="00713630">
        <w:rPr>
          <w:rFonts w:cs="Times New Roman"/>
          <w:color w:val="222222"/>
          <w:szCs w:val="24"/>
          <w:shd w:val="clear" w:color="auto" w:fill="FFFFFF"/>
        </w:rPr>
        <w:t>, M., Szczepańska, E. and Kowalski, O., 2024. Feeding problems, eating disorders, and nutritional status of Polish children and adolescents with neurodevelopmental disorders–a cross-sectional pilot study. </w:t>
      </w:r>
      <w:proofErr w:type="spellStart"/>
      <w:r w:rsidRPr="00713630">
        <w:rPr>
          <w:rFonts w:cs="Times New Roman"/>
          <w:i/>
          <w:iCs/>
          <w:color w:val="222222"/>
          <w:szCs w:val="24"/>
          <w:shd w:val="clear" w:color="auto" w:fill="FFFFFF"/>
        </w:rPr>
        <w:t>Pediatria</w:t>
      </w:r>
      <w:proofErr w:type="spellEnd"/>
      <w:r w:rsidRPr="00713630">
        <w:rPr>
          <w:rFonts w:cs="Times New Roman"/>
          <w:i/>
          <w:iCs/>
          <w:color w:val="222222"/>
          <w:szCs w:val="24"/>
          <w:shd w:val="clear" w:color="auto" w:fill="FFFFFF"/>
        </w:rPr>
        <w:t xml:space="preserve"> Polska-Polish Journal of </w:t>
      </w:r>
      <w:proofErr w:type="spellStart"/>
      <w:r w:rsidRPr="00713630">
        <w:rPr>
          <w:rFonts w:cs="Times New Roman"/>
          <w:i/>
          <w:iCs/>
          <w:color w:val="222222"/>
          <w:szCs w:val="24"/>
          <w:shd w:val="clear" w:color="auto" w:fill="FFFFFF"/>
        </w:rPr>
        <w:t>Paediatrics</w:t>
      </w:r>
      <w:proofErr w:type="spellEnd"/>
      <w:r w:rsidRPr="00713630">
        <w:rPr>
          <w:rFonts w:cs="Times New Roman"/>
          <w:color w:val="222222"/>
          <w:szCs w:val="24"/>
          <w:shd w:val="clear" w:color="auto" w:fill="FFFFFF"/>
        </w:rPr>
        <w:t>, </w:t>
      </w:r>
      <w:r w:rsidRPr="00713630">
        <w:rPr>
          <w:rFonts w:cs="Times New Roman"/>
          <w:i/>
          <w:iCs/>
          <w:color w:val="222222"/>
          <w:szCs w:val="24"/>
          <w:shd w:val="clear" w:color="auto" w:fill="FFFFFF"/>
        </w:rPr>
        <w:t>99</w:t>
      </w:r>
      <w:r w:rsidRPr="00713630">
        <w:rPr>
          <w:rFonts w:cs="Times New Roman"/>
          <w:color w:val="222222"/>
          <w:szCs w:val="24"/>
          <w:shd w:val="clear" w:color="auto" w:fill="FFFFFF"/>
        </w:rPr>
        <w:t>(1), pp.37-45.</w:t>
      </w:r>
    </w:p>
    <w:p w14:paraId="7EEB9F37" w14:textId="77777777" w:rsidR="00663354" w:rsidRPr="00713630" w:rsidRDefault="00663354" w:rsidP="00663354">
      <w:pPr>
        <w:ind w:left="720" w:hanging="720"/>
        <w:rPr>
          <w:rFonts w:cs="Times New Roman"/>
          <w:color w:val="222222"/>
          <w:szCs w:val="24"/>
          <w:shd w:val="clear" w:color="auto" w:fill="FFFFFF"/>
        </w:rPr>
      </w:pPr>
      <w:proofErr w:type="spellStart"/>
      <w:r w:rsidRPr="00713630">
        <w:rPr>
          <w:rFonts w:cs="Times New Roman"/>
          <w:color w:val="222222"/>
          <w:szCs w:val="24"/>
          <w:shd w:val="clear" w:color="auto" w:fill="FFFFFF"/>
        </w:rPr>
        <w:t>Hualparuca</w:t>
      </w:r>
      <w:proofErr w:type="spellEnd"/>
      <w:r w:rsidRPr="00713630">
        <w:rPr>
          <w:rFonts w:cs="Times New Roman"/>
          <w:color w:val="222222"/>
          <w:szCs w:val="24"/>
          <w:shd w:val="clear" w:color="auto" w:fill="FFFFFF"/>
        </w:rPr>
        <w:t>-Olivera, L., Caycho-Rodríguez, T., Torales, J., Ramos-Vera, C., Vigo-</w:t>
      </w:r>
      <w:proofErr w:type="spellStart"/>
      <w:r w:rsidRPr="00713630">
        <w:rPr>
          <w:rFonts w:cs="Times New Roman"/>
          <w:color w:val="222222"/>
          <w:szCs w:val="24"/>
          <w:shd w:val="clear" w:color="auto" w:fill="FFFFFF"/>
        </w:rPr>
        <w:t>Ayasta</w:t>
      </w:r>
      <w:proofErr w:type="spellEnd"/>
      <w:r w:rsidRPr="00713630">
        <w:rPr>
          <w:rFonts w:cs="Times New Roman"/>
          <w:color w:val="222222"/>
          <w:szCs w:val="24"/>
          <w:shd w:val="clear" w:color="auto" w:fill="FFFFFF"/>
        </w:rPr>
        <w:t xml:space="preserve">, E. and </w:t>
      </w:r>
      <w:proofErr w:type="spellStart"/>
      <w:r w:rsidRPr="00713630">
        <w:rPr>
          <w:rFonts w:cs="Times New Roman"/>
          <w:color w:val="222222"/>
          <w:szCs w:val="24"/>
          <w:shd w:val="clear" w:color="auto" w:fill="FFFFFF"/>
        </w:rPr>
        <w:t>Ventriglio</w:t>
      </w:r>
      <w:proofErr w:type="spellEnd"/>
      <w:r w:rsidRPr="00713630">
        <w:rPr>
          <w:rFonts w:cs="Times New Roman"/>
          <w:color w:val="222222"/>
          <w:szCs w:val="24"/>
          <w:shd w:val="clear" w:color="auto" w:fill="FFFFFF"/>
        </w:rPr>
        <w:t>, A., 2025. Clinical Utility of ICD-11 Clinical Descriptions and Diagnostic Requirements for the Classification of Mental, Behavioral or Neurodevelopmental Disorders: A Systematic Review. </w:t>
      </w:r>
      <w:r w:rsidRPr="00713630">
        <w:rPr>
          <w:rFonts w:cs="Times New Roman"/>
          <w:i/>
          <w:iCs/>
          <w:color w:val="222222"/>
          <w:szCs w:val="24"/>
          <w:shd w:val="clear" w:color="auto" w:fill="FFFFFF"/>
        </w:rPr>
        <w:t>Psychological Reports</w:t>
      </w:r>
      <w:r w:rsidRPr="00713630">
        <w:rPr>
          <w:rFonts w:cs="Times New Roman"/>
          <w:color w:val="222222"/>
          <w:szCs w:val="24"/>
          <w:shd w:val="clear" w:color="auto" w:fill="FFFFFF"/>
        </w:rPr>
        <w:t>, p.00332941251335596.</w:t>
      </w:r>
    </w:p>
    <w:p w14:paraId="30480322" w14:textId="77777777" w:rsidR="00663354" w:rsidRPr="00713630" w:rsidRDefault="00663354" w:rsidP="00663354">
      <w:pPr>
        <w:ind w:left="720" w:hanging="720"/>
        <w:rPr>
          <w:rFonts w:cs="Times New Roman"/>
          <w:szCs w:val="24"/>
        </w:rPr>
      </w:pPr>
      <w:r w:rsidRPr="00713630">
        <w:rPr>
          <w:rFonts w:cs="Times New Roman"/>
          <w:szCs w:val="24"/>
        </w:rPr>
        <w:t xml:space="preserve">ICD-11 for Mortality and Morbidity Statistics. (2024). Icd.who.int. </w:t>
      </w:r>
      <w:hyperlink r:id="rId5" w:anchor="1412387537" w:history="1">
        <w:r w:rsidRPr="00713630">
          <w:rPr>
            <w:rStyle w:val="Hyperlink"/>
            <w:rFonts w:cs="Times New Roman"/>
            <w:szCs w:val="24"/>
          </w:rPr>
          <w:t>https://icd.who.int/browse/2024-01/mms/en#1412387537</w:t>
        </w:r>
      </w:hyperlink>
    </w:p>
    <w:p w14:paraId="55ACF675" w14:textId="77777777" w:rsidR="00663354" w:rsidRPr="00713630" w:rsidRDefault="00663354" w:rsidP="00663354">
      <w:pPr>
        <w:ind w:left="720" w:hanging="720"/>
        <w:rPr>
          <w:rFonts w:cs="Times New Roman"/>
          <w:color w:val="222222"/>
          <w:szCs w:val="24"/>
          <w:shd w:val="clear" w:color="auto" w:fill="FFFFFF"/>
        </w:rPr>
      </w:pPr>
      <w:r w:rsidRPr="00713630">
        <w:rPr>
          <w:rFonts w:cs="Times New Roman"/>
          <w:color w:val="222222"/>
          <w:szCs w:val="24"/>
          <w:shd w:val="clear" w:color="auto" w:fill="FFFFFF"/>
        </w:rPr>
        <w:t xml:space="preserve">Mantel, Ä., </w:t>
      </w:r>
      <w:proofErr w:type="spellStart"/>
      <w:r w:rsidRPr="00713630">
        <w:rPr>
          <w:rFonts w:cs="Times New Roman"/>
          <w:color w:val="222222"/>
          <w:szCs w:val="24"/>
          <w:shd w:val="clear" w:color="auto" w:fill="FFFFFF"/>
        </w:rPr>
        <w:t>Örtqvist</w:t>
      </w:r>
      <w:proofErr w:type="spellEnd"/>
      <w:r w:rsidRPr="00713630">
        <w:rPr>
          <w:rFonts w:cs="Times New Roman"/>
          <w:color w:val="222222"/>
          <w:szCs w:val="24"/>
          <w:shd w:val="clear" w:color="auto" w:fill="FFFFFF"/>
        </w:rPr>
        <w:t>, A.K., Hirschberg, A.L. and Stephansson, O., 2022. Analysis of neurodevelopmental disorders in offspring of mothers with eating disorders in Sweden. </w:t>
      </w:r>
      <w:r w:rsidRPr="00713630">
        <w:rPr>
          <w:rFonts w:cs="Times New Roman"/>
          <w:i/>
          <w:iCs/>
          <w:color w:val="222222"/>
          <w:szCs w:val="24"/>
          <w:shd w:val="clear" w:color="auto" w:fill="FFFFFF"/>
        </w:rPr>
        <w:t>JAMA network open</w:t>
      </w:r>
      <w:r w:rsidRPr="00713630">
        <w:rPr>
          <w:rFonts w:cs="Times New Roman"/>
          <w:color w:val="222222"/>
          <w:szCs w:val="24"/>
          <w:shd w:val="clear" w:color="auto" w:fill="FFFFFF"/>
        </w:rPr>
        <w:t>, </w:t>
      </w:r>
      <w:r w:rsidRPr="00713630">
        <w:rPr>
          <w:rFonts w:cs="Times New Roman"/>
          <w:i/>
          <w:iCs/>
          <w:color w:val="222222"/>
          <w:szCs w:val="24"/>
          <w:shd w:val="clear" w:color="auto" w:fill="FFFFFF"/>
        </w:rPr>
        <w:t>5</w:t>
      </w:r>
      <w:r w:rsidRPr="00713630">
        <w:rPr>
          <w:rFonts w:cs="Times New Roman"/>
          <w:color w:val="222222"/>
          <w:szCs w:val="24"/>
          <w:shd w:val="clear" w:color="auto" w:fill="FFFFFF"/>
        </w:rPr>
        <w:t>(1), pp</w:t>
      </w:r>
      <w:r w:rsidR="00BF7EE2">
        <w:rPr>
          <w:rFonts w:cs="Times New Roman"/>
          <w:color w:val="222222"/>
          <w:szCs w:val="24"/>
          <w:shd w:val="clear" w:color="auto" w:fill="FFFFFF"/>
        </w:rPr>
        <w:t xml:space="preserve"> </w:t>
      </w:r>
      <w:r w:rsidRPr="00713630">
        <w:rPr>
          <w:rFonts w:cs="Times New Roman"/>
          <w:color w:val="222222"/>
          <w:szCs w:val="24"/>
          <w:shd w:val="clear" w:color="auto" w:fill="FFFFFF"/>
        </w:rPr>
        <w:t>e2143947-e2143947.</w:t>
      </w:r>
    </w:p>
    <w:p w14:paraId="6777CECD" w14:textId="77777777" w:rsidR="00663354" w:rsidRPr="00713630" w:rsidRDefault="00663354" w:rsidP="00663354">
      <w:pPr>
        <w:ind w:left="720" w:hanging="720"/>
        <w:rPr>
          <w:rFonts w:cs="Times New Roman"/>
          <w:color w:val="222222"/>
          <w:szCs w:val="24"/>
          <w:shd w:val="clear" w:color="auto" w:fill="FFFFFF"/>
        </w:rPr>
      </w:pPr>
      <w:r w:rsidRPr="00713630">
        <w:rPr>
          <w:rFonts w:cs="Times New Roman"/>
          <w:color w:val="222222"/>
          <w:szCs w:val="24"/>
          <w:shd w:val="clear" w:color="auto" w:fill="FFFFFF"/>
        </w:rPr>
        <w:lastRenderedPageBreak/>
        <w:t>Olsen, E.M., Nilsson, K.K., Wright, C.M., Michaelsen, K.F. and Skovgaard, A.M., 2023. Infancy weight faltering and childhood neurodevelopmental disorders: a general population birth-cohort study. </w:t>
      </w:r>
      <w:r w:rsidRPr="00713630">
        <w:rPr>
          <w:rFonts w:cs="Times New Roman"/>
          <w:i/>
          <w:iCs/>
          <w:color w:val="222222"/>
          <w:szCs w:val="24"/>
          <w:shd w:val="clear" w:color="auto" w:fill="FFFFFF"/>
        </w:rPr>
        <w:t>European Child &amp; Adolescent Psychiatry</w:t>
      </w:r>
      <w:r w:rsidRPr="00713630">
        <w:rPr>
          <w:rFonts w:cs="Times New Roman"/>
          <w:color w:val="222222"/>
          <w:szCs w:val="24"/>
          <w:shd w:val="clear" w:color="auto" w:fill="FFFFFF"/>
        </w:rPr>
        <w:t>, </w:t>
      </w:r>
      <w:r w:rsidRPr="00713630">
        <w:rPr>
          <w:rFonts w:cs="Times New Roman"/>
          <w:i/>
          <w:iCs/>
          <w:color w:val="222222"/>
          <w:szCs w:val="24"/>
          <w:shd w:val="clear" w:color="auto" w:fill="FFFFFF"/>
        </w:rPr>
        <w:t>32</w:t>
      </w:r>
      <w:r w:rsidRPr="00713630">
        <w:rPr>
          <w:rFonts w:cs="Times New Roman"/>
          <w:color w:val="222222"/>
          <w:szCs w:val="24"/>
          <w:shd w:val="clear" w:color="auto" w:fill="FFFFFF"/>
        </w:rPr>
        <w:t>(7), pp.1179-1188.</w:t>
      </w:r>
    </w:p>
    <w:p w14:paraId="7A4588AD" w14:textId="77777777" w:rsidR="00663354" w:rsidRPr="00713630" w:rsidRDefault="00663354" w:rsidP="00663354">
      <w:pPr>
        <w:ind w:left="720" w:hanging="720"/>
        <w:rPr>
          <w:rFonts w:cs="Times New Roman"/>
          <w:color w:val="222222"/>
          <w:szCs w:val="24"/>
          <w:shd w:val="clear" w:color="auto" w:fill="FFFFFF"/>
        </w:rPr>
      </w:pPr>
      <w:r w:rsidRPr="00713630">
        <w:rPr>
          <w:rFonts w:cs="Times New Roman"/>
          <w:color w:val="222222"/>
          <w:szCs w:val="24"/>
          <w:shd w:val="clear" w:color="auto" w:fill="FFFFFF"/>
        </w:rPr>
        <w:t>Pike, K.M., Claudino, D.A.</w:t>
      </w:r>
      <w:r w:rsidR="00BF7EE2">
        <w:rPr>
          <w:rFonts w:cs="Times New Roman"/>
          <w:color w:val="222222"/>
          <w:szCs w:val="24"/>
          <w:shd w:val="clear" w:color="auto" w:fill="FFFFFF"/>
        </w:rPr>
        <w:t>,</w:t>
      </w:r>
      <w:r w:rsidRPr="00713630">
        <w:rPr>
          <w:rFonts w:cs="Times New Roman"/>
          <w:color w:val="222222"/>
          <w:szCs w:val="24"/>
          <w:shd w:val="clear" w:color="auto" w:fill="FFFFFF"/>
        </w:rPr>
        <w:t xml:space="preserve"> and Claudino, A.M., 2024. The Classification of Feeding or Eating Disorders in the ICD-11. In </w:t>
      </w:r>
      <w:r w:rsidRPr="00713630">
        <w:rPr>
          <w:rFonts w:cs="Times New Roman"/>
          <w:i/>
          <w:iCs/>
          <w:color w:val="222222"/>
          <w:szCs w:val="24"/>
          <w:shd w:val="clear" w:color="auto" w:fill="FFFFFF"/>
        </w:rPr>
        <w:t>Eating Disorders: An International Comprehensive View</w:t>
      </w:r>
      <w:r w:rsidRPr="00713630">
        <w:rPr>
          <w:rFonts w:cs="Times New Roman"/>
          <w:color w:val="222222"/>
          <w:szCs w:val="24"/>
          <w:shd w:val="clear" w:color="auto" w:fill="FFFFFF"/>
        </w:rPr>
        <w:t> (pp. 19-39). Cham: Springer Nature Switzerland.</w:t>
      </w:r>
    </w:p>
    <w:p w14:paraId="58995EDD" w14:textId="77777777" w:rsidR="00663354" w:rsidRPr="00713630" w:rsidRDefault="00663354" w:rsidP="00663354">
      <w:pPr>
        <w:ind w:left="720" w:hanging="720"/>
        <w:rPr>
          <w:rFonts w:cs="Times New Roman"/>
          <w:color w:val="222222"/>
          <w:szCs w:val="24"/>
          <w:shd w:val="clear" w:color="auto" w:fill="FFFFFF"/>
        </w:rPr>
      </w:pPr>
      <w:r w:rsidRPr="00713630">
        <w:rPr>
          <w:rFonts w:cs="Times New Roman"/>
          <w:color w:val="222222"/>
          <w:szCs w:val="24"/>
          <w:shd w:val="clear" w:color="auto" w:fill="FFFFFF"/>
        </w:rPr>
        <w:t>Pike, K.M., Sysko, R. and Bryant-Waugh, R., 2024. Feeding and eating disorders.</w:t>
      </w:r>
    </w:p>
    <w:p w14:paraId="0ED9349B" w14:textId="77777777" w:rsidR="00663354" w:rsidRPr="00713630" w:rsidRDefault="00663354" w:rsidP="00663354">
      <w:pPr>
        <w:ind w:left="720" w:hanging="720"/>
        <w:rPr>
          <w:rFonts w:cs="Times New Roman"/>
          <w:color w:val="222222"/>
          <w:szCs w:val="24"/>
          <w:shd w:val="clear" w:color="auto" w:fill="FFFFFF"/>
        </w:rPr>
      </w:pPr>
      <w:r w:rsidRPr="00713630">
        <w:rPr>
          <w:rFonts w:cs="Times New Roman"/>
          <w:color w:val="222222"/>
          <w:szCs w:val="24"/>
          <w:shd w:val="clear" w:color="auto" w:fill="FFFFFF"/>
        </w:rPr>
        <w:t xml:space="preserve">Pratap, S. and Gagan, H., 2021. Cultural issues related to ICD-11 mental, </w:t>
      </w:r>
      <w:proofErr w:type="spellStart"/>
      <w:r w:rsidRPr="00713630">
        <w:rPr>
          <w:rFonts w:cs="Times New Roman"/>
          <w:color w:val="222222"/>
          <w:szCs w:val="24"/>
          <w:shd w:val="clear" w:color="auto" w:fill="FFFFFF"/>
        </w:rPr>
        <w:t>behavioural</w:t>
      </w:r>
      <w:proofErr w:type="spellEnd"/>
      <w:r w:rsidR="00BF7EE2">
        <w:rPr>
          <w:rFonts w:cs="Times New Roman"/>
          <w:color w:val="222222"/>
          <w:szCs w:val="24"/>
          <w:shd w:val="clear" w:color="auto" w:fill="FFFFFF"/>
        </w:rPr>
        <w:t>,</w:t>
      </w:r>
      <w:r w:rsidRPr="00713630">
        <w:rPr>
          <w:rFonts w:cs="Times New Roman"/>
          <w:color w:val="222222"/>
          <w:szCs w:val="24"/>
          <w:shd w:val="clear" w:color="auto" w:fill="FFFFFF"/>
        </w:rPr>
        <w:t xml:space="preserve"> and neurodevelopmental disorders. </w:t>
      </w:r>
      <w:r w:rsidRPr="00713630">
        <w:rPr>
          <w:rFonts w:cs="Times New Roman"/>
          <w:i/>
          <w:iCs/>
          <w:color w:val="222222"/>
          <w:szCs w:val="24"/>
          <w:shd w:val="clear" w:color="auto" w:fill="FFFFFF"/>
        </w:rPr>
        <w:t xml:space="preserve">Consortium </w:t>
      </w:r>
      <w:proofErr w:type="spellStart"/>
      <w:r w:rsidRPr="00713630">
        <w:rPr>
          <w:rFonts w:cs="Times New Roman"/>
          <w:i/>
          <w:iCs/>
          <w:color w:val="222222"/>
          <w:szCs w:val="24"/>
          <w:shd w:val="clear" w:color="auto" w:fill="FFFFFF"/>
        </w:rPr>
        <w:t>Psychiatricum</w:t>
      </w:r>
      <w:proofErr w:type="spellEnd"/>
      <w:r w:rsidRPr="00713630">
        <w:rPr>
          <w:rFonts w:cs="Times New Roman"/>
          <w:color w:val="222222"/>
          <w:szCs w:val="24"/>
          <w:shd w:val="clear" w:color="auto" w:fill="FFFFFF"/>
        </w:rPr>
        <w:t>, </w:t>
      </w:r>
      <w:r w:rsidRPr="00713630">
        <w:rPr>
          <w:rFonts w:cs="Times New Roman"/>
          <w:i/>
          <w:iCs/>
          <w:color w:val="222222"/>
          <w:szCs w:val="24"/>
          <w:shd w:val="clear" w:color="auto" w:fill="FFFFFF"/>
        </w:rPr>
        <w:t>2</w:t>
      </w:r>
      <w:r w:rsidRPr="00713630">
        <w:rPr>
          <w:rFonts w:cs="Times New Roman"/>
          <w:color w:val="222222"/>
          <w:szCs w:val="24"/>
          <w:shd w:val="clear" w:color="auto" w:fill="FFFFFF"/>
        </w:rPr>
        <w:t>(2), pp.7-15.</w:t>
      </w:r>
    </w:p>
    <w:p w14:paraId="3DC3DC80" w14:textId="77777777" w:rsidR="00663354" w:rsidRPr="00713630" w:rsidRDefault="00663354" w:rsidP="00663354">
      <w:pPr>
        <w:ind w:left="720" w:hanging="720"/>
        <w:rPr>
          <w:rFonts w:cs="Times New Roman"/>
          <w:color w:val="222222"/>
          <w:szCs w:val="24"/>
          <w:shd w:val="clear" w:color="auto" w:fill="FFFFFF"/>
        </w:rPr>
      </w:pPr>
      <w:r w:rsidRPr="00713630">
        <w:rPr>
          <w:rFonts w:cs="Times New Roman"/>
          <w:color w:val="222222"/>
          <w:szCs w:val="24"/>
          <w:shd w:val="clear" w:color="auto" w:fill="FFFFFF"/>
        </w:rPr>
        <w:t xml:space="preserve">Reed, G.M., 2023. Development and innovation in the ICD-11 chapter on mental, </w:t>
      </w:r>
      <w:proofErr w:type="spellStart"/>
      <w:r w:rsidRPr="00713630">
        <w:rPr>
          <w:rFonts w:cs="Times New Roman"/>
          <w:color w:val="222222"/>
          <w:szCs w:val="24"/>
          <w:shd w:val="clear" w:color="auto" w:fill="FFFFFF"/>
        </w:rPr>
        <w:t>behavioural</w:t>
      </w:r>
      <w:proofErr w:type="spellEnd"/>
      <w:r w:rsidRPr="00713630">
        <w:rPr>
          <w:rFonts w:cs="Times New Roman"/>
          <w:color w:val="222222"/>
          <w:szCs w:val="24"/>
          <w:shd w:val="clear" w:color="auto" w:fill="FFFFFF"/>
        </w:rPr>
        <w:t xml:space="preserve"> and neurodevelopmental disorders. </w:t>
      </w:r>
      <w:r w:rsidRPr="00713630">
        <w:rPr>
          <w:rFonts w:cs="Times New Roman"/>
          <w:i/>
          <w:iCs/>
          <w:color w:val="222222"/>
          <w:szCs w:val="24"/>
          <w:shd w:val="clear" w:color="auto" w:fill="FFFFFF"/>
        </w:rPr>
        <w:t>Making sense of the ICD-11: For mental health professionals</w:t>
      </w:r>
      <w:r w:rsidRPr="00713630">
        <w:rPr>
          <w:rFonts w:cs="Times New Roman"/>
          <w:color w:val="222222"/>
          <w:szCs w:val="24"/>
          <w:shd w:val="clear" w:color="auto" w:fill="FFFFFF"/>
        </w:rPr>
        <w:t>, pp.5-16.</w:t>
      </w:r>
    </w:p>
    <w:p w14:paraId="1DEEEB33" w14:textId="77777777" w:rsidR="00663354" w:rsidRPr="00713630" w:rsidRDefault="00663354" w:rsidP="00663354">
      <w:pPr>
        <w:ind w:left="720" w:hanging="720"/>
        <w:rPr>
          <w:rFonts w:cs="Times New Roman"/>
          <w:color w:val="222222"/>
          <w:szCs w:val="24"/>
          <w:shd w:val="clear" w:color="auto" w:fill="FFFFFF"/>
        </w:rPr>
      </w:pPr>
      <w:r w:rsidRPr="00713630">
        <w:rPr>
          <w:rFonts w:cs="Times New Roman"/>
          <w:color w:val="222222"/>
          <w:szCs w:val="24"/>
          <w:shd w:val="clear" w:color="auto" w:fill="FFFFFF"/>
        </w:rPr>
        <w:t>Shan, H., Li, F., Zhang, J., Wang, H.</w:t>
      </w:r>
      <w:r w:rsidR="00BF7EE2">
        <w:rPr>
          <w:rFonts w:cs="Times New Roman"/>
          <w:color w:val="222222"/>
          <w:szCs w:val="24"/>
          <w:shd w:val="clear" w:color="auto" w:fill="FFFFFF"/>
        </w:rPr>
        <w:t>,</w:t>
      </w:r>
      <w:r w:rsidRPr="00713630">
        <w:rPr>
          <w:rFonts w:cs="Times New Roman"/>
          <w:color w:val="222222"/>
          <w:szCs w:val="24"/>
          <w:shd w:val="clear" w:color="auto" w:fill="FFFFFF"/>
        </w:rPr>
        <w:t xml:space="preserve"> and Li, J., 2021. Feeding and eating </w:t>
      </w:r>
      <w:r w:rsidR="00BF7EE2">
        <w:rPr>
          <w:rFonts w:cs="Times New Roman"/>
          <w:color w:val="222222"/>
          <w:szCs w:val="24"/>
          <w:shd w:val="clear" w:color="auto" w:fill="FFFFFF"/>
        </w:rPr>
        <w:t>disorders</w:t>
      </w:r>
      <w:r w:rsidRPr="00713630">
        <w:rPr>
          <w:rFonts w:cs="Times New Roman"/>
          <w:color w:val="222222"/>
          <w:szCs w:val="24"/>
          <w:shd w:val="clear" w:color="auto" w:fill="FFFFFF"/>
        </w:rPr>
        <w:t xml:space="preserve"> and risk of subsequent neurodevelopmental disorders: a population-based cohort study. </w:t>
      </w:r>
      <w:r w:rsidRPr="00713630">
        <w:rPr>
          <w:rFonts w:cs="Times New Roman"/>
          <w:i/>
          <w:iCs/>
          <w:color w:val="222222"/>
          <w:szCs w:val="24"/>
          <w:shd w:val="clear" w:color="auto" w:fill="FFFFFF"/>
        </w:rPr>
        <w:t>Frontiers in Pediatrics</w:t>
      </w:r>
      <w:r w:rsidRPr="00713630">
        <w:rPr>
          <w:rFonts w:cs="Times New Roman"/>
          <w:color w:val="222222"/>
          <w:szCs w:val="24"/>
          <w:shd w:val="clear" w:color="auto" w:fill="FFFFFF"/>
        </w:rPr>
        <w:t>, </w:t>
      </w:r>
      <w:r w:rsidRPr="00713630">
        <w:rPr>
          <w:rFonts w:cs="Times New Roman"/>
          <w:i/>
          <w:iCs/>
          <w:color w:val="222222"/>
          <w:szCs w:val="24"/>
          <w:shd w:val="clear" w:color="auto" w:fill="FFFFFF"/>
        </w:rPr>
        <w:t>9</w:t>
      </w:r>
      <w:r w:rsidRPr="00713630">
        <w:rPr>
          <w:rFonts w:cs="Times New Roman"/>
          <w:color w:val="222222"/>
          <w:szCs w:val="24"/>
          <w:shd w:val="clear" w:color="auto" w:fill="FFFFFF"/>
        </w:rPr>
        <w:t>, p.671631.</w:t>
      </w:r>
    </w:p>
    <w:p w14:paraId="71C1CF0D" w14:textId="77777777" w:rsidR="00663354" w:rsidRPr="00713630" w:rsidRDefault="00663354" w:rsidP="00663354">
      <w:pPr>
        <w:ind w:left="720" w:hanging="720"/>
        <w:rPr>
          <w:rFonts w:cs="Times New Roman"/>
          <w:color w:val="222222"/>
          <w:szCs w:val="24"/>
          <w:shd w:val="clear" w:color="auto" w:fill="FFFFFF"/>
        </w:rPr>
      </w:pPr>
      <w:r w:rsidRPr="00713630">
        <w:rPr>
          <w:rFonts w:cs="Times New Roman"/>
          <w:color w:val="222222"/>
          <w:szCs w:val="24"/>
          <w:shd w:val="clear" w:color="auto" w:fill="FFFFFF"/>
        </w:rPr>
        <w:t>Stevanovic, D., 2023. Diagnosing Neurodevelopmental, Behavioral, and Mental Disorders Associated with Fragile X Syndrome with the ICD-11. </w:t>
      </w:r>
      <w:r w:rsidRPr="00713630">
        <w:rPr>
          <w:rFonts w:cs="Times New Roman"/>
          <w:i/>
          <w:iCs/>
          <w:color w:val="222222"/>
          <w:szCs w:val="24"/>
          <w:shd w:val="clear" w:color="auto" w:fill="FFFFFF"/>
        </w:rPr>
        <w:t>Advances in Neurodevelopmental Disorders</w:t>
      </w:r>
      <w:r w:rsidRPr="00713630">
        <w:rPr>
          <w:rFonts w:cs="Times New Roman"/>
          <w:color w:val="222222"/>
          <w:szCs w:val="24"/>
          <w:shd w:val="clear" w:color="auto" w:fill="FFFFFF"/>
        </w:rPr>
        <w:t>, </w:t>
      </w:r>
      <w:r w:rsidRPr="00713630">
        <w:rPr>
          <w:rFonts w:cs="Times New Roman"/>
          <w:i/>
          <w:iCs/>
          <w:color w:val="222222"/>
          <w:szCs w:val="24"/>
          <w:shd w:val="clear" w:color="auto" w:fill="FFFFFF"/>
        </w:rPr>
        <w:t>7</w:t>
      </w:r>
      <w:r w:rsidRPr="00713630">
        <w:rPr>
          <w:rFonts w:cs="Times New Roman"/>
          <w:color w:val="222222"/>
          <w:szCs w:val="24"/>
          <w:shd w:val="clear" w:color="auto" w:fill="FFFFFF"/>
        </w:rPr>
        <w:t>(4), pp.629-631.</w:t>
      </w:r>
    </w:p>
    <w:p w14:paraId="33312986" w14:textId="77777777" w:rsidR="00663354" w:rsidRPr="00713630" w:rsidRDefault="00663354" w:rsidP="00663354">
      <w:pPr>
        <w:ind w:left="720" w:hanging="720"/>
        <w:rPr>
          <w:rFonts w:cs="Times New Roman"/>
          <w:color w:val="222222"/>
          <w:szCs w:val="24"/>
          <w:shd w:val="clear" w:color="auto" w:fill="FFFFFF"/>
        </w:rPr>
      </w:pPr>
      <w:r w:rsidRPr="00713630">
        <w:rPr>
          <w:rFonts w:cs="Times New Roman"/>
          <w:color w:val="222222"/>
          <w:szCs w:val="24"/>
          <w:shd w:val="clear" w:color="auto" w:fill="FFFFFF"/>
        </w:rPr>
        <w:t>World Health Organization, 2024. </w:t>
      </w:r>
      <w:r w:rsidRPr="00713630">
        <w:rPr>
          <w:rFonts w:cs="Times New Roman"/>
          <w:i/>
          <w:iCs/>
          <w:color w:val="222222"/>
          <w:szCs w:val="24"/>
          <w:shd w:val="clear" w:color="auto" w:fill="FFFFFF"/>
        </w:rPr>
        <w:t xml:space="preserve">Clinical descriptions and diagnostic requirements for ICD-11 mental, </w:t>
      </w:r>
      <w:proofErr w:type="spellStart"/>
      <w:r w:rsidRPr="00713630">
        <w:rPr>
          <w:rFonts w:cs="Times New Roman"/>
          <w:i/>
          <w:iCs/>
          <w:color w:val="222222"/>
          <w:szCs w:val="24"/>
          <w:shd w:val="clear" w:color="auto" w:fill="FFFFFF"/>
        </w:rPr>
        <w:t>behavioural</w:t>
      </w:r>
      <w:proofErr w:type="spellEnd"/>
      <w:r w:rsidRPr="00713630">
        <w:rPr>
          <w:rFonts w:cs="Times New Roman"/>
          <w:i/>
          <w:iCs/>
          <w:color w:val="222222"/>
          <w:szCs w:val="24"/>
          <w:shd w:val="clear" w:color="auto" w:fill="FFFFFF"/>
        </w:rPr>
        <w:t xml:space="preserve"> and neurodevelopmental disorders</w:t>
      </w:r>
      <w:r w:rsidRPr="00713630">
        <w:rPr>
          <w:rFonts w:cs="Times New Roman"/>
          <w:color w:val="222222"/>
          <w:szCs w:val="24"/>
          <w:shd w:val="clear" w:color="auto" w:fill="FFFFFF"/>
        </w:rPr>
        <w:t>. World Health Organization.</w:t>
      </w:r>
    </w:p>
    <w:p w14:paraId="0012C0A4" w14:textId="77777777" w:rsidR="00713630" w:rsidRDefault="00713630" w:rsidP="00A73370"/>
    <w:sectPr w:rsidR="007136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833"/>
    <w:rsid w:val="00003E58"/>
    <w:rsid w:val="00104A35"/>
    <w:rsid w:val="0011105D"/>
    <w:rsid w:val="001361D0"/>
    <w:rsid w:val="00137C2E"/>
    <w:rsid w:val="003843EA"/>
    <w:rsid w:val="003A3C91"/>
    <w:rsid w:val="003B38C9"/>
    <w:rsid w:val="00480B17"/>
    <w:rsid w:val="005E21CD"/>
    <w:rsid w:val="00663354"/>
    <w:rsid w:val="00713630"/>
    <w:rsid w:val="00737833"/>
    <w:rsid w:val="007908CD"/>
    <w:rsid w:val="008017F7"/>
    <w:rsid w:val="008A3A0F"/>
    <w:rsid w:val="00A73370"/>
    <w:rsid w:val="00AD19B5"/>
    <w:rsid w:val="00B1040B"/>
    <w:rsid w:val="00B14114"/>
    <w:rsid w:val="00B50B99"/>
    <w:rsid w:val="00BF7EE2"/>
    <w:rsid w:val="00C21EB1"/>
    <w:rsid w:val="00C71E76"/>
    <w:rsid w:val="00CA1D51"/>
    <w:rsid w:val="00D74F9F"/>
    <w:rsid w:val="00DB7DDC"/>
    <w:rsid w:val="00E370CC"/>
    <w:rsid w:val="00E47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2C76EE"/>
  <w15:chartTrackingRefBased/>
  <w15:docId w15:val="{C9FFDD72-107F-48B4-B161-20A0AE1AA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83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843EA"/>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3843EA"/>
    <w:pPr>
      <w:keepNext/>
      <w:keepLines/>
      <w:spacing w:before="40" w:after="0"/>
      <w:outlineLvl w:val="1"/>
    </w:pPr>
    <w:rPr>
      <w:rFonts w:eastAsiaTheme="majorEastAsia" w:cstheme="majorBidi"/>
      <w:b/>
      <w:i/>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43EA"/>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semiHidden/>
    <w:rsid w:val="003843EA"/>
    <w:rPr>
      <w:rFonts w:ascii="Times New Roman" w:eastAsiaTheme="majorEastAsia" w:hAnsi="Times New Roman" w:cstheme="majorBidi"/>
      <w:b/>
      <w:i/>
      <w:color w:val="000000" w:themeColor="text1"/>
      <w:sz w:val="24"/>
      <w:szCs w:val="26"/>
    </w:rPr>
  </w:style>
  <w:style w:type="table" w:styleId="PlainTable1">
    <w:name w:val="Plain Table 1"/>
    <w:basedOn w:val="TableNormal"/>
    <w:uiPriority w:val="41"/>
    <w:rsid w:val="00A7337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7908CD"/>
    <w:rPr>
      <w:color w:val="0563C1" w:themeColor="hyperlink"/>
      <w:u w:val="single"/>
    </w:rPr>
  </w:style>
  <w:style w:type="paragraph" w:styleId="TOCHeading">
    <w:name w:val="TOC Heading"/>
    <w:basedOn w:val="Heading1"/>
    <w:next w:val="Normal"/>
    <w:uiPriority w:val="39"/>
    <w:unhideWhenUsed/>
    <w:qFormat/>
    <w:rsid w:val="00663354"/>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66335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3351813">
      <w:bodyDiv w:val="1"/>
      <w:marLeft w:val="0"/>
      <w:marRight w:val="0"/>
      <w:marTop w:val="0"/>
      <w:marBottom w:val="0"/>
      <w:divBdr>
        <w:top w:val="none" w:sz="0" w:space="0" w:color="auto"/>
        <w:left w:val="none" w:sz="0" w:space="0" w:color="auto"/>
        <w:bottom w:val="none" w:sz="0" w:space="0" w:color="auto"/>
        <w:right w:val="none" w:sz="0" w:space="0" w:color="auto"/>
      </w:divBdr>
      <w:divsChild>
        <w:div w:id="1082988398">
          <w:marLeft w:val="0"/>
          <w:marRight w:val="0"/>
          <w:marTop w:val="0"/>
          <w:marBottom w:val="0"/>
          <w:divBdr>
            <w:top w:val="none" w:sz="0" w:space="0" w:color="auto"/>
            <w:left w:val="none" w:sz="0" w:space="0" w:color="auto"/>
            <w:bottom w:val="none" w:sz="0" w:space="0" w:color="auto"/>
            <w:right w:val="none" w:sz="0" w:space="0" w:color="auto"/>
          </w:divBdr>
        </w:div>
      </w:divsChild>
    </w:div>
    <w:div w:id="1995328394">
      <w:bodyDiv w:val="1"/>
      <w:marLeft w:val="0"/>
      <w:marRight w:val="0"/>
      <w:marTop w:val="0"/>
      <w:marBottom w:val="0"/>
      <w:divBdr>
        <w:top w:val="none" w:sz="0" w:space="0" w:color="auto"/>
        <w:left w:val="none" w:sz="0" w:space="0" w:color="auto"/>
        <w:bottom w:val="none" w:sz="0" w:space="0" w:color="auto"/>
        <w:right w:val="none" w:sz="0" w:space="0" w:color="auto"/>
      </w:divBdr>
    </w:div>
    <w:div w:id="2145192097">
      <w:bodyDiv w:val="1"/>
      <w:marLeft w:val="0"/>
      <w:marRight w:val="0"/>
      <w:marTop w:val="0"/>
      <w:marBottom w:val="0"/>
      <w:divBdr>
        <w:top w:val="none" w:sz="0" w:space="0" w:color="auto"/>
        <w:left w:val="none" w:sz="0" w:space="0" w:color="auto"/>
        <w:bottom w:val="none" w:sz="0" w:space="0" w:color="auto"/>
        <w:right w:val="none" w:sz="0" w:space="0" w:color="auto"/>
      </w:divBdr>
      <w:divsChild>
        <w:div w:id="20119023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icd.who.int/browse/2024-01/mms/e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74CA7-DB78-4AFB-895A-023E8ACE8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2543</Words>
  <Characters>16615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Netever</dc:creator>
  <cp:keywords/>
  <dc:description/>
  <cp:lastModifiedBy>Maaria Kauser</cp:lastModifiedBy>
  <cp:revision>2</cp:revision>
  <dcterms:created xsi:type="dcterms:W3CDTF">2025-11-16T21:02:00Z</dcterms:created>
  <dcterms:modified xsi:type="dcterms:W3CDTF">2025-11-16T21:02:00Z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c225bfaa-26fd-4c3f-8a7d-4bd55ed4bdc5</vt:lpwstr>
  </property>
</Properties>
</file>