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9EA5A0" w14:textId="77777777" w:rsidR="00CD56B3" w:rsidRPr="00835A40" w:rsidRDefault="00CD56B3" w:rsidP="00F44B98">
      <w:pPr>
        <w:jc w:val="center"/>
        <w:rPr>
          <w:rFonts w:ascii="Arial" w:hAnsi="Arial" w:cs="Arial"/>
          <w:b/>
          <w:bCs/>
          <w:color w:val="000000" w:themeColor="text1"/>
          <w:sz w:val="22"/>
        </w:rPr>
      </w:pPr>
    </w:p>
    <w:p w14:paraId="75A86294" w14:textId="77777777" w:rsidR="001A0F77" w:rsidRPr="00835A40" w:rsidRDefault="001A0F77" w:rsidP="00F44B98">
      <w:pPr>
        <w:jc w:val="center"/>
        <w:rPr>
          <w:rFonts w:ascii="Arial" w:hAnsi="Arial" w:cs="Arial"/>
          <w:b/>
          <w:bCs/>
          <w:color w:val="000000" w:themeColor="text1"/>
          <w:sz w:val="22"/>
        </w:rPr>
      </w:pPr>
    </w:p>
    <w:p w14:paraId="165C21D6" w14:textId="725107A1" w:rsidR="00CD56B3" w:rsidRPr="00835A40" w:rsidRDefault="00CD56B3" w:rsidP="00F44B98">
      <w:pPr>
        <w:jc w:val="center"/>
        <w:rPr>
          <w:rFonts w:ascii="Arial" w:hAnsi="Arial" w:cs="Arial"/>
          <w:b/>
          <w:bCs/>
          <w:color w:val="000000" w:themeColor="text1"/>
          <w:sz w:val="28"/>
          <w:szCs w:val="28"/>
        </w:rPr>
      </w:pPr>
      <w:r w:rsidRPr="00835A40">
        <w:rPr>
          <w:rFonts w:ascii="Arial" w:hAnsi="Arial" w:cs="Arial"/>
          <w:b/>
          <w:bCs/>
          <w:color w:val="000000" w:themeColor="text1"/>
          <w:sz w:val="28"/>
          <w:szCs w:val="28"/>
        </w:rPr>
        <w:t>An Evaluation of Person-Centred Care and Partnership Working in Integrated Community Health and Social Care Practice</w:t>
      </w:r>
    </w:p>
    <w:p w14:paraId="51F84671" w14:textId="77777777" w:rsidR="00CD56B3" w:rsidRPr="00835A40" w:rsidRDefault="00CD56B3" w:rsidP="00F44B98">
      <w:pPr>
        <w:jc w:val="center"/>
        <w:rPr>
          <w:rFonts w:ascii="Arial" w:hAnsi="Arial" w:cs="Arial"/>
          <w:i/>
          <w:iCs/>
          <w:color w:val="000000" w:themeColor="text1"/>
          <w:sz w:val="22"/>
          <w:u w:val="single"/>
        </w:rPr>
      </w:pPr>
      <w:r w:rsidRPr="00835A40">
        <w:rPr>
          <w:rFonts w:ascii="Arial" w:hAnsi="Arial" w:cs="Arial"/>
          <w:i/>
          <w:iCs/>
          <w:color w:val="000000" w:themeColor="text1"/>
          <w:sz w:val="22"/>
          <w:u w:val="single"/>
        </w:rPr>
        <w:t>Report</w:t>
      </w:r>
    </w:p>
    <w:p w14:paraId="46472CB8" w14:textId="77777777" w:rsidR="00CD56B3" w:rsidRPr="00835A40" w:rsidRDefault="00CD56B3" w:rsidP="00F44B98">
      <w:pPr>
        <w:rPr>
          <w:rFonts w:ascii="Arial" w:hAnsi="Arial" w:cs="Arial"/>
          <w:color w:val="000000" w:themeColor="text1"/>
          <w:sz w:val="22"/>
        </w:rPr>
      </w:pPr>
    </w:p>
    <w:p w14:paraId="360C59A1" w14:textId="744CAD0D" w:rsidR="00CD56B3" w:rsidRPr="00835A40" w:rsidRDefault="00CD56B3" w:rsidP="00F44B98">
      <w:pPr>
        <w:pStyle w:val="ListParagraph"/>
        <w:numPr>
          <w:ilvl w:val="0"/>
          <w:numId w:val="37"/>
        </w:numPr>
        <w:rPr>
          <w:rFonts w:ascii="Arial" w:hAnsi="Arial" w:cs="Arial"/>
          <w:color w:val="000000" w:themeColor="text1"/>
          <w:sz w:val="22"/>
          <w:lang w:val="en-US"/>
        </w:rPr>
      </w:pPr>
      <w:r w:rsidRPr="00835A40">
        <w:rPr>
          <w:rFonts w:ascii="Arial" w:hAnsi="Arial" w:cs="Arial"/>
          <w:color w:val="000000" w:themeColor="text1"/>
          <w:sz w:val="22"/>
          <w:lang w:val="en-US"/>
        </w:rPr>
        <w:t>BSc Health and Social Care</w:t>
      </w:r>
    </w:p>
    <w:p w14:paraId="12D7370E" w14:textId="77777777" w:rsidR="00CD56B3" w:rsidRPr="00835A40" w:rsidRDefault="00CD56B3" w:rsidP="00F44B98">
      <w:pPr>
        <w:pStyle w:val="ListParagraph"/>
        <w:numPr>
          <w:ilvl w:val="0"/>
          <w:numId w:val="37"/>
        </w:numPr>
        <w:rPr>
          <w:rFonts w:ascii="Arial" w:hAnsi="Arial" w:cs="Arial"/>
          <w:color w:val="000000" w:themeColor="text1"/>
          <w:sz w:val="22"/>
          <w:lang w:val="en-US"/>
        </w:rPr>
      </w:pPr>
      <w:r w:rsidRPr="00835A40">
        <w:rPr>
          <w:rFonts w:ascii="Arial" w:hAnsi="Arial" w:cs="Arial"/>
          <w:color w:val="000000" w:themeColor="text1"/>
          <w:sz w:val="22"/>
          <w:lang w:val="en-US"/>
        </w:rPr>
        <w:t>BMHP5016</w:t>
      </w:r>
    </w:p>
    <w:p w14:paraId="5900D540" w14:textId="6AF28106" w:rsidR="00CD56B3" w:rsidRPr="00835A40" w:rsidRDefault="00CD56B3" w:rsidP="00F44B98">
      <w:pPr>
        <w:pStyle w:val="ListParagraph"/>
        <w:numPr>
          <w:ilvl w:val="0"/>
          <w:numId w:val="37"/>
        </w:numPr>
        <w:rPr>
          <w:rFonts w:ascii="Arial" w:hAnsi="Arial" w:cs="Arial"/>
          <w:color w:val="000000" w:themeColor="text1"/>
          <w:sz w:val="22"/>
          <w:lang w:val="en-US"/>
        </w:rPr>
      </w:pPr>
      <w:r w:rsidRPr="00835A40">
        <w:rPr>
          <w:rFonts w:ascii="Arial" w:hAnsi="Arial" w:cs="Arial"/>
          <w:color w:val="000000" w:themeColor="text1"/>
          <w:sz w:val="22"/>
          <w:lang w:val="en-US"/>
        </w:rPr>
        <w:t>Principles of Health and Social Care</w:t>
      </w:r>
    </w:p>
    <w:p w14:paraId="1001E68C" w14:textId="77777777" w:rsidR="00CD56B3" w:rsidRPr="00835A40" w:rsidRDefault="00CD56B3" w:rsidP="00F44B98">
      <w:pPr>
        <w:pStyle w:val="ListParagraph"/>
        <w:numPr>
          <w:ilvl w:val="0"/>
          <w:numId w:val="37"/>
        </w:numPr>
        <w:rPr>
          <w:rFonts w:ascii="Arial" w:hAnsi="Arial" w:cs="Arial"/>
          <w:color w:val="000000" w:themeColor="text1"/>
          <w:sz w:val="22"/>
          <w:lang w:val="en-US"/>
        </w:rPr>
      </w:pPr>
      <w:r w:rsidRPr="00835A40">
        <w:rPr>
          <w:rFonts w:ascii="Arial" w:hAnsi="Arial" w:cs="Arial"/>
          <w:color w:val="000000" w:themeColor="text1"/>
          <w:sz w:val="22"/>
          <w:lang w:val="en-US"/>
        </w:rPr>
        <w:t>Student Number: 2407750</w:t>
      </w:r>
    </w:p>
    <w:p w14:paraId="0A9D6816" w14:textId="43569081" w:rsidR="00CD56B3" w:rsidRPr="00835A40" w:rsidRDefault="00CD56B3" w:rsidP="00F44B98">
      <w:pPr>
        <w:pStyle w:val="ListParagraph"/>
        <w:numPr>
          <w:ilvl w:val="0"/>
          <w:numId w:val="37"/>
        </w:numPr>
        <w:rPr>
          <w:rFonts w:ascii="Arial" w:hAnsi="Arial" w:cs="Arial"/>
          <w:color w:val="000000" w:themeColor="text1"/>
          <w:sz w:val="22"/>
          <w:lang w:val="en-US"/>
        </w:rPr>
      </w:pPr>
      <w:r w:rsidRPr="00835A40">
        <w:rPr>
          <w:rFonts w:ascii="Arial" w:hAnsi="Arial" w:cs="Arial"/>
          <w:color w:val="000000" w:themeColor="text1"/>
          <w:sz w:val="22"/>
          <w:lang w:val="en-US"/>
        </w:rPr>
        <w:t>Student Name: Mohammed Mobeen Ali</w:t>
      </w:r>
    </w:p>
    <w:p w14:paraId="53AED567" w14:textId="77777777" w:rsidR="00CD56B3" w:rsidRPr="00835A40" w:rsidRDefault="00CD56B3" w:rsidP="00F44B98">
      <w:pPr>
        <w:pStyle w:val="ListParagraph"/>
        <w:numPr>
          <w:ilvl w:val="0"/>
          <w:numId w:val="37"/>
        </w:numPr>
        <w:rPr>
          <w:rFonts w:ascii="Arial" w:hAnsi="Arial" w:cs="Arial"/>
          <w:color w:val="000000" w:themeColor="text1"/>
          <w:sz w:val="22"/>
          <w:lang w:val="en-US"/>
        </w:rPr>
      </w:pPr>
      <w:r w:rsidRPr="00835A40">
        <w:rPr>
          <w:rFonts w:ascii="Arial" w:hAnsi="Arial" w:cs="Arial"/>
          <w:color w:val="000000" w:themeColor="text1"/>
          <w:sz w:val="22"/>
          <w:lang w:val="en-US"/>
        </w:rPr>
        <w:t>Tutor Details: Farah Islam</w:t>
      </w:r>
    </w:p>
    <w:p w14:paraId="5D03B1C1" w14:textId="15965564" w:rsidR="00CD56B3" w:rsidRPr="00835A40" w:rsidRDefault="00CD56B3" w:rsidP="00F44B98">
      <w:pPr>
        <w:pStyle w:val="ListParagraph"/>
        <w:numPr>
          <w:ilvl w:val="0"/>
          <w:numId w:val="37"/>
        </w:numPr>
        <w:rPr>
          <w:rFonts w:ascii="Arial" w:hAnsi="Arial" w:cs="Arial"/>
          <w:color w:val="000000" w:themeColor="text1"/>
          <w:sz w:val="22"/>
          <w:lang w:val="en-US"/>
        </w:rPr>
      </w:pPr>
      <w:r w:rsidRPr="00835A40">
        <w:rPr>
          <w:rFonts w:ascii="Arial" w:hAnsi="Arial" w:cs="Arial"/>
          <w:color w:val="000000" w:themeColor="text1"/>
          <w:sz w:val="22"/>
          <w:lang w:val="en-US"/>
        </w:rPr>
        <w:t>Module Leader: Chloe Harries</w:t>
      </w:r>
    </w:p>
    <w:p w14:paraId="0025CA2D" w14:textId="5B7AEB00" w:rsidR="00CD56B3" w:rsidRPr="00835A40" w:rsidRDefault="00CD56B3" w:rsidP="00F44B98">
      <w:pPr>
        <w:pStyle w:val="ListParagraph"/>
        <w:numPr>
          <w:ilvl w:val="0"/>
          <w:numId w:val="37"/>
        </w:numPr>
        <w:rPr>
          <w:rFonts w:ascii="Arial" w:hAnsi="Arial" w:cs="Arial"/>
          <w:color w:val="000000" w:themeColor="text1"/>
          <w:sz w:val="22"/>
          <w:lang w:val="en-US"/>
        </w:rPr>
      </w:pPr>
      <w:r w:rsidRPr="00835A40">
        <w:rPr>
          <w:rFonts w:ascii="Arial" w:hAnsi="Arial" w:cs="Arial"/>
          <w:color w:val="000000" w:themeColor="text1"/>
          <w:sz w:val="22"/>
          <w:lang w:val="en-US"/>
        </w:rPr>
        <w:t>Written Assignment (Report)</w:t>
      </w:r>
    </w:p>
    <w:p w14:paraId="44C9C5BD" w14:textId="77777777" w:rsidR="00CD56B3" w:rsidRPr="00835A40" w:rsidRDefault="00CD56B3" w:rsidP="00F44B98">
      <w:pPr>
        <w:pStyle w:val="ListParagraph"/>
        <w:numPr>
          <w:ilvl w:val="0"/>
          <w:numId w:val="37"/>
        </w:numPr>
        <w:rPr>
          <w:rFonts w:ascii="Arial" w:hAnsi="Arial" w:cs="Arial"/>
          <w:color w:val="000000" w:themeColor="text1"/>
          <w:sz w:val="22"/>
          <w:lang w:val="en-US"/>
        </w:rPr>
      </w:pPr>
      <w:r w:rsidRPr="00835A40">
        <w:rPr>
          <w:rFonts w:ascii="Arial" w:hAnsi="Arial" w:cs="Arial"/>
          <w:color w:val="000000" w:themeColor="text1"/>
          <w:sz w:val="22"/>
          <w:lang w:val="en-US"/>
        </w:rPr>
        <w:t>Submission Date: 17th November 2025</w:t>
      </w:r>
    </w:p>
    <w:p w14:paraId="0B554C30" w14:textId="3CB3516A" w:rsidR="00E500AF" w:rsidRPr="00835A40" w:rsidRDefault="00E500AF" w:rsidP="00F44B98">
      <w:pPr>
        <w:rPr>
          <w:rFonts w:ascii="Arial" w:hAnsi="Arial" w:cs="Arial"/>
          <w:b/>
          <w:bCs/>
          <w:color w:val="000000" w:themeColor="text1"/>
          <w:sz w:val="22"/>
          <w:u w:val="single"/>
        </w:rPr>
      </w:pPr>
      <w:r w:rsidRPr="00835A40">
        <w:rPr>
          <w:rFonts w:ascii="Arial" w:hAnsi="Arial" w:cs="Arial"/>
          <w:color w:val="000000" w:themeColor="text1"/>
          <w:sz w:val="22"/>
        </w:rPr>
        <w:br w:type="page"/>
      </w:r>
    </w:p>
    <w:sdt>
      <w:sdtPr>
        <w:rPr>
          <w:rFonts w:ascii="Arial" w:eastAsiaTheme="minorHAnsi" w:hAnsi="Arial" w:cs="Arial"/>
          <w:color w:val="000000" w:themeColor="text1"/>
          <w:kern w:val="2"/>
          <w:sz w:val="22"/>
          <w:szCs w:val="22"/>
          <w:lang w:val="en-GB"/>
          <w14:ligatures w14:val="standardContextual"/>
        </w:rPr>
        <w:id w:val="2021742108"/>
        <w:docPartObj>
          <w:docPartGallery w:val="Table of Contents"/>
          <w:docPartUnique/>
        </w:docPartObj>
      </w:sdtPr>
      <w:sdtEndPr>
        <w:rPr>
          <w:b/>
          <w:bCs/>
          <w:noProof/>
        </w:rPr>
      </w:sdtEndPr>
      <w:sdtContent>
        <w:p w14:paraId="1F0A5996" w14:textId="4E0D38B1" w:rsidR="00E500AF" w:rsidRPr="00835A40" w:rsidRDefault="00E500AF" w:rsidP="002C3B97">
          <w:pPr>
            <w:pStyle w:val="TOCHeading"/>
            <w:spacing w:line="360" w:lineRule="auto"/>
            <w:jc w:val="center"/>
            <w:rPr>
              <w:rFonts w:ascii="Arial" w:hAnsi="Arial" w:cs="Arial"/>
              <w:b/>
              <w:bCs/>
              <w:color w:val="000000" w:themeColor="text1"/>
              <w:szCs w:val="28"/>
              <w:u w:val="single"/>
            </w:rPr>
          </w:pPr>
          <w:r w:rsidRPr="00835A40">
            <w:rPr>
              <w:rFonts w:ascii="Arial" w:hAnsi="Arial" w:cs="Arial"/>
              <w:b/>
              <w:bCs/>
              <w:color w:val="000000" w:themeColor="text1"/>
              <w:szCs w:val="28"/>
              <w:u w:val="single"/>
            </w:rPr>
            <w:t>Table of Contents</w:t>
          </w:r>
        </w:p>
        <w:p w14:paraId="61A0D26D" w14:textId="3DF8A588" w:rsidR="002C3B97" w:rsidRPr="00835A40" w:rsidRDefault="00E500AF" w:rsidP="002C3B97">
          <w:pPr>
            <w:pStyle w:val="TOC1"/>
            <w:tabs>
              <w:tab w:val="right" w:leader="dot" w:pos="9350"/>
            </w:tabs>
            <w:rPr>
              <w:rFonts w:ascii="Arial" w:eastAsiaTheme="minorEastAsia" w:hAnsi="Arial" w:cs="Arial"/>
              <w:noProof/>
              <w:color w:val="000000" w:themeColor="text1"/>
              <w:sz w:val="22"/>
              <w:lang w:val="en-US" w:bidi="bn-BD"/>
            </w:rPr>
          </w:pPr>
          <w:r w:rsidRPr="00835A40">
            <w:rPr>
              <w:rFonts w:ascii="Arial" w:hAnsi="Arial" w:cs="Arial"/>
              <w:color w:val="000000" w:themeColor="text1"/>
              <w:sz w:val="22"/>
            </w:rPr>
            <w:fldChar w:fldCharType="begin"/>
          </w:r>
          <w:r w:rsidRPr="00835A40">
            <w:rPr>
              <w:rFonts w:ascii="Arial" w:hAnsi="Arial" w:cs="Arial"/>
              <w:color w:val="000000" w:themeColor="text1"/>
              <w:sz w:val="22"/>
            </w:rPr>
            <w:instrText xml:space="preserve"> TOC \o "1-3" \h \z \u </w:instrText>
          </w:r>
          <w:r w:rsidRPr="00835A40">
            <w:rPr>
              <w:rFonts w:ascii="Arial" w:hAnsi="Arial" w:cs="Arial"/>
              <w:color w:val="000000" w:themeColor="text1"/>
              <w:sz w:val="22"/>
            </w:rPr>
            <w:fldChar w:fldCharType="separate"/>
          </w:r>
          <w:hyperlink w:anchor="_Toc210777052" w:history="1">
            <w:r w:rsidR="002C3B97" w:rsidRPr="00835A40">
              <w:rPr>
                <w:rStyle w:val="Hyperlink"/>
                <w:rFonts w:ascii="Arial" w:hAnsi="Arial" w:cs="Arial"/>
                <w:noProof/>
                <w:color w:val="000000" w:themeColor="text1"/>
                <w:sz w:val="22"/>
              </w:rPr>
              <w:t>1. Introduction</w:t>
            </w:r>
            <w:r w:rsidR="002C3B97" w:rsidRPr="00835A40">
              <w:rPr>
                <w:rFonts w:ascii="Arial" w:hAnsi="Arial" w:cs="Arial"/>
                <w:noProof/>
                <w:webHidden/>
                <w:color w:val="000000" w:themeColor="text1"/>
                <w:sz w:val="22"/>
              </w:rPr>
              <w:tab/>
            </w:r>
            <w:r w:rsidR="002C3B97" w:rsidRPr="00835A40">
              <w:rPr>
                <w:rFonts w:ascii="Arial" w:hAnsi="Arial" w:cs="Arial"/>
                <w:noProof/>
                <w:webHidden/>
                <w:color w:val="000000" w:themeColor="text1"/>
                <w:sz w:val="22"/>
              </w:rPr>
              <w:fldChar w:fldCharType="begin"/>
            </w:r>
            <w:r w:rsidR="002C3B97" w:rsidRPr="00835A40">
              <w:rPr>
                <w:rFonts w:ascii="Arial" w:hAnsi="Arial" w:cs="Arial"/>
                <w:noProof/>
                <w:webHidden/>
                <w:color w:val="000000" w:themeColor="text1"/>
                <w:sz w:val="22"/>
              </w:rPr>
              <w:instrText xml:space="preserve"> PAGEREF _Toc210777052 \h </w:instrText>
            </w:r>
            <w:r w:rsidR="002C3B97" w:rsidRPr="00835A40">
              <w:rPr>
                <w:rFonts w:ascii="Arial" w:hAnsi="Arial" w:cs="Arial"/>
                <w:noProof/>
                <w:webHidden/>
                <w:color w:val="000000" w:themeColor="text1"/>
                <w:sz w:val="22"/>
              </w:rPr>
            </w:r>
            <w:r w:rsidR="002C3B97" w:rsidRPr="00835A40">
              <w:rPr>
                <w:rFonts w:ascii="Arial" w:hAnsi="Arial" w:cs="Arial"/>
                <w:noProof/>
                <w:webHidden/>
                <w:color w:val="000000" w:themeColor="text1"/>
                <w:sz w:val="22"/>
              </w:rPr>
              <w:fldChar w:fldCharType="separate"/>
            </w:r>
            <w:r w:rsidR="002C3B97" w:rsidRPr="00835A40">
              <w:rPr>
                <w:rFonts w:ascii="Arial" w:hAnsi="Arial" w:cs="Arial"/>
                <w:noProof/>
                <w:webHidden/>
                <w:color w:val="000000" w:themeColor="text1"/>
                <w:sz w:val="22"/>
              </w:rPr>
              <w:t>4</w:t>
            </w:r>
            <w:r w:rsidR="002C3B97" w:rsidRPr="00835A40">
              <w:rPr>
                <w:rFonts w:ascii="Arial" w:hAnsi="Arial" w:cs="Arial"/>
                <w:noProof/>
                <w:webHidden/>
                <w:color w:val="000000" w:themeColor="text1"/>
                <w:sz w:val="22"/>
              </w:rPr>
              <w:fldChar w:fldCharType="end"/>
            </w:r>
          </w:hyperlink>
        </w:p>
        <w:p w14:paraId="71B59A41" w14:textId="3837B29B" w:rsidR="002C3B97" w:rsidRPr="00835A40" w:rsidRDefault="002C3B97" w:rsidP="002C3B97">
          <w:pPr>
            <w:pStyle w:val="TOC1"/>
            <w:tabs>
              <w:tab w:val="right" w:leader="dot" w:pos="9350"/>
            </w:tabs>
            <w:rPr>
              <w:rFonts w:ascii="Arial" w:eastAsiaTheme="minorEastAsia" w:hAnsi="Arial" w:cs="Arial"/>
              <w:noProof/>
              <w:color w:val="000000" w:themeColor="text1"/>
              <w:sz w:val="22"/>
              <w:lang w:val="en-US" w:bidi="bn-BD"/>
            </w:rPr>
          </w:pPr>
          <w:hyperlink w:anchor="_Toc210777053" w:history="1">
            <w:r w:rsidRPr="00835A40">
              <w:rPr>
                <w:rStyle w:val="Hyperlink"/>
                <w:rFonts w:ascii="Arial" w:hAnsi="Arial" w:cs="Arial"/>
                <w:noProof/>
                <w:color w:val="000000" w:themeColor="text1"/>
                <w:sz w:val="22"/>
              </w:rPr>
              <w:t>2. Definition and Evaluation of Person-Centred Care (PCC)</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_Toc210777053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5</w:t>
            </w:r>
            <w:r w:rsidRPr="00835A40">
              <w:rPr>
                <w:rFonts w:ascii="Arial" w:hAnsi="Arial" w:cs="Arial"/>
                <w:noProof/>
                <w:webHidden/>
                <w:color w:val="000000" w:themeColor="text1"/>
                <w:sz w:val="22"/>
              </w:rPr>
              <w:fldChar w:fldCharType="end"/>
            </w:r>
          </w:hyperlink>
        </w:p>
        <w:p w14:paraId="5EEB96B7" w14:textId="6036C166"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54" w:history="1">
            <w:r w:rsidRPr="00835A40">
              <w:rPr>
                <w:rStyle w:val="Hyperlink"/>
                <w:rFonts w:ascii="Arial" w:hAnsi="Arial" w:cs="Arial"/>
                <w:noProof/>
                <w:color w:val="000000" w:themeColor="text1"/>
                <w:sz w:val="22"/>
              </w:rPr>
              <w:t>2.1 Definition of Person-Centred Care</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_Toc210777054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5</w:t>
            </w:r>
            <w:r w:rsidRPr="00835A40">
              <w:rPr>
                <w:rFonts w:ascii="Arial" w:hAnsi="Arial" w:cs="Arial"/>
                <w:noProof/>
                <w:webHidden/>
                <w:color w:val="000000" w:themeColor="text1"/>
                <w:sz w:val="22"/>
              </w:rPr>
              <w:fldChar w:fldCharType="end"/>
            </w:r>
          </w:hyperlink>
        </w:p>
        <w:p w14:paraId="0F01C1ED" w14:textId="1CE1ACD5"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55" w:history="1">
            <w:r w:rsidRPr="00835A40">
              <w:rPr>
                <w:rStyle w:val="Hyperlink"/>
                <w:rFonts w:ascii="Arial" w:hAnsi="Arial" w:cs="Arial"/>
                <w:noProof/>
                <w:color w:val="000000" w:themeColor="text1"/>
                <w:sz w:val="22"/>
              </w:rPr>
              <w:t>2.2 Key Principles of PCC</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_Toc210777055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5</w:t>
            </w:r>
            <w:r w:rsidRPr="00835A40">
              <w:rPr>
                <w:rFonts w:ascii="Arial" w:hAnsi="Arial" w:cs="Arial"/>
                <w:noProof/>
                <w:webHidden/>
                <w:color w:val="000000" w:themeColor="text1"/>
                <w:sz w:val="22"/>
              </w:rPr>
              <w:fldChar w:fldCharType="end"/>
            </w:r>
          </w:hyperlink>
        </w:p>
        <w:p w14:paraId="51795399" w14:textId="3A8C8C7E"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56" w:history="1">
            <w:r w:rsidRPr="00835A40">
              <w:rPr>
                <w:rStyle w:val="Hyperlink"/>
                <w:rFonts w:ascii="Arial" w:hAnsi="Arial" w:cs="Arial"/>
                <w:noProof/>
                <w:color w:val="000000" w:themeColor="text1"/>
                <w:sz w:val="22"/>
              </w:rPr>
              <w:t>2.3 Benefits of PCC</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_Toc210777056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5</w:t>
            </w:r>
            <w:r w:rsidRPr="00835A40">
              <w:rPr>
                <w:rFonts w:ascii="Arial" w:hAnsi="Arial" w:cs="Arial"/>
                <w:noProof/>
                <w:webHidden/>
                <w:color w:val="000000" w:themeColor="text1"/>
                <w:sz w:val="22"/>
              </w:rPr>
              <w:fldChar w:fldCharType="end"/>
            </w:r>
          </w:hyperlink>
        </w:p>
        <w:p w14:paraId="3688FEC2" w14:textId="5C0089BF"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57" w:history="1">
            <w:r w:rsidRPr="00835A40">
              <w:rPr>
                <w:rStyle w:val="Hyperlink"/>
                <w:rFonts w:ascii="Arial" w:hAnsi="Arial" w:cs="Arial"/>
                <w:noProof/>
                <w:color w:val="000000" w:themeColor="text1"/>
                <w:sz w:val="22"/>
              </w:rPr>
              <w:t>2.4 Limitations of PCC</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_Toc210777057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5</w:t>
            </w:r>
            <w:r w:rsidRPr="00835A40">
              <w:rPr>
                <w:rFonts w:ascii="Arial" w:hAnsi="Arial" w:cs="Arial"/>
                <w:noProof/>
                <w:webHidden/>
                <w:color w:val="000000" w:themeColor="text1"/>
                <w:sz w:val="22"/>
              </w:rPr>
              <w:fldChar w:fldCharType="end"/>
            </w:r>
          </w:hyperlink>
        </w:p>
        <w:p w14:paraId="40A21AB7" w14:textId="7DCBF947" w:rsidR="002C3B97" w:rsidRPr="00835A40" w:rsidRDefault="002C3B97" w:rsidP="002C3B97">
          <w:pPr>
            <w:pStyle w:val="TOC1"/>
            <w:tabs>
              <w:tab w:val="right" w:leader="dot" w:pos="9350"/>
            </w:tabs>
            <w:rPr>
              <w:rFonts w:ascii="Arial" w:eastAsiaTheme="minorEastAsia" w:hAnsi="Arial" w:cs="Arial"/>
              <w:noProof/>
              <w:color w:val="000000" w:themeColor="text1"/>
              <w:sz w:val="22"/>
              <w:lang w:val="en-US" w:bidi="bn-BD"/>
            </w:rPr>
          </w:pPr>
          <w:hyperlink w:anchor="_Toc210777058" w:history="1">
            <w:r w:rsidRPr="00835A40">
              <w:rPr>
                <w:rStyle w:val="Hyperlink"/>
                <w:rFonts w:ascii="Arial" w:hAnsi="Arial" w:cs="Arial"/>
                <w:noProof/>
                <w:color w:val="000000" w:themeColor="text1"/>
                <w:sz w:val="22"/>
              </w:rPr>
              <w:t>3. PCC Theory/Model: Biopsychosocial Model</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_Toc210777058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7</w:t>
            </w:r>
            <w:r w:rsidRPr="00835A40">
              <w:rPr>
                <w:rFonts w:ascii="Arial" w:hAnsi="Arial" w:cs="Arial"/>
                <w:noProof/>
                <w:webHidden/>
                <w:color w:val="000000" w:themeColor="text1"/>
                <w:sz w:val="22"/>
              </w:rPr>
              <w:fldChar w:fldCharType="end"/>
            </w:r>
          </w:hyperlink>
        </w:p>
        <w:p w14:paraId="25E7A7D6" w14:textId="1575BD27"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59" w:history="1">
            <w:r w:rsidRPr="00835A40">
              <w:rPr>
                <w:rStyle w:val="Hyperlink"/>
                <w:rFonts w:ascii="Arial" w:hAnsi="Arial" w:cs="Arial"/>
                <w:noProof/>
                <w:color w:val="000000" w:themeColor="text1"/>
                <w:sz w:val="22"/>
              </w:rPr>
              <w:t>3.1 Description of the Biopsychosocial Model</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_Toc210777059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7</w:t>
            </w:r>
            <w:r w:rsidRPr="00835A40">
              <w:rPr>
                <w:rFonts w:ascii="Arial" w:hAnsi="Arial" w:cs="Arial"/>
                <w:noProof/>
                <w:webHidden/>
                <w:color w:val="000000" w:themeColor="text1"/>
                <w:sz w:val="22"/>
              </w:rPr>
              <w:fldChar w:fldCharType="end"/>
            </w:r>
          </w:hyperlink>
        </w:p>
        <w:p w14:paraId="431E8FEA" w14:textId="7A2B135C"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60" w:history="1">
            <w:r w:rsidRPr="00835A40">
              <w:rPr>
                <w:rStyle w:val="Hyperlink"/>
                <w:rFonts w:ascii="Arial" w:hAnsi="Arial" w:cs="Arial"/>
                <w:noProof/>
                <w:color w:val="000000" w:themeColor="text1"/>
                <w:sz w:val="22"/>
              </w:rPr>
              <w:t>3.2 Holistic View of Health</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_Toc210777060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7</w:t>
            </w:r>
            <w:r w:rsidRPr="00835A40">
              <w:rPr>
                <w:rFonts w:ascii="Arial" w:hAnsi="Arial" w:cs="Arial"/>
                <w:noProof/>
                <w:webHidden/>
                <w:color w:val="000000" w:themeColor="text1"/>
                <w:sz w:val="22"/>
              </w:rPr>
              <w:fldChar w:fldCharType="end"/>
            </w:r>
          </w:hyperlink>
        </w:p>
        <w:p w14:paraId="0683CF51" w14:textId="542714F1"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61" w:history="1">
            <w:r w:rsidRPr="00835A40">
              <w:rPr>
                <w:rStyle w:val="Hyperlink"/>
                <w:rFonts w:ascii="Arial" w:hAnsi="Arial" w:cs="Arial"/>
                <w:noProof/>
                <w:color w:val="000000" w:themeColor="text1"/>
                <w:sz w:val="22"/>
              </w:rPr>
              <w:t>3.3 Use in Community Care Settings</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_Toc210777061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7</w:t>
            </w:r>
            <w:r w:rsidRPr="00835A40">
              <w:rPr>
                <w:rFonts w:ascii="Arial" w:hAnsi="Arial" w:cs="Arial"/>
                <w:noProof/>
                <w:webHidden/>
                <w:color w:val="000000" w:themeColor="text1"/>
                <w:sz w:val="22"/>
              </w:rPr>
              <w:fldChar w:fldCharType="end"/>
            </w:r>
          </w:hyperlink>
        </w:p>
        <w:p w14:paraId="09B4F899" w14:textId="1AB44979"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62" w:history="1">
            <w:r w:rsidRPr="00835A40">
              <w:rPr>
                <w:rStyle w:val="Hyperlink"/>
                <w:rFonts w:ascii="Arial" w:hAnsi="Arial" w:cs="Arial"/>
                <w:noProof/>
                <w:color w:val="000000" w:themeColor="text1"/>
                <w:sz w:val="22"/>
              </w:rPr>
              <w:t>3.4 Strengths of the Model</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_Toc210777062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7</w:t>
            </w:r>
            <w:r w:rsidRPr="00835A40">
              <w:rPr>
                <w:rFonts w:ascii="Arial" w:hAnsi="Arial" w:cs="Arial"/>
                <w:noProof/>
                <w:webHidden/>
                <w:color w:val="000000" w:themeColor="text1"/>
                <w:sz w:val="22"/>
              </w:rPr>
              <w:fldChar w:fldCharType="end"/>
            </w:r>
          </w:hyperlink>
        </w:p>
        <w:p w14:paraId="7EB1B276" w14:textId="15CDB30B"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63" w:history="1">
            <w:r w:rsidRPr="00835A40">
              <w:rPr>
                <w:rStyle w:val="Hyperlink"/>
                <w:rFonts w:ascii="Arial" w:hAnsi="Arial" w:cs="Arial"/>
                <w:noProof/>
                <w:color w:val="000000" w:themeColor="text1"/>
                <w:sz w:val="22"/>
              </w:rPr>
              <w:t>3.5 Criticisms of the Model</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_Toc210777063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7</w:t>
            </w:r>
            <w:r w:rsidRPr="00835A40">
              <w:rPr>
                <w:rFonts w:ascii="Arial" w:hAnsi="Arial" w:cs="Arial"/>
                <w:noProof/>
                <w:webHidden/>
                <w:color w:val="000000" w:themeColor="text1"/>
                <w:sz w:val="22"/>
              </w:rPr>
              <w:fldChar w:fldCharType="end"/>
            </w:r>
          </w:hyperlink>
        </w:p>
        <w:p w14:paraId="02185181" w14:textId="1D0527A9"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64" w:history="1">
            <w:r w:rsidRPr="00835A40">
              <w:rPr>
                <w:rStyle w:val="Hyperlink"/>
                <w:rFonts w:ascii="Arial" w:hAnsi="Arial" w:cs="Arial"/>
                <w:noProof/>
                <w:color w:val="000000" w:themeColor="text1"/>
                <w:sz w:val="22"/>
              </w:rPr>
              <w:t>3.6 Link to Person-Centred Care</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_Toc210777064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7</w:t>
            </w:r>
            <w:r w:rsidRPr="00835A40">
              <w:rPr>
                <w:rFonts w:ascii="Arial" w:hAnsi="Arial" w:cs="Arial"/>
                <w:noProof/>
                <w:webHidden/>
                <w:color w:val="000000" w:themeColor="text1"/>
                <w:sz w:val="22"/>
              </w:rPr>
              <w:fldChar w:fldCharType="end"/>
            </w:r>
          </w:hyperlink>
        </w:p>
        <w:p w14:paraId="79FB866B" w14:textId="4F652AE7" w:rsidR="002C3B97" w:rsidRPr="00835A40" w:rsidRDefault="002C3B97" w:rsidP="002C3B97">
          <w:pPr>
            <w:pStyle w:val="TOC1"/>
            <w:tabs>
              <w:tab w:val="right" w:leader="dot" w:pos="9350"/>
            </w:tabs>
            <w:rPr>
              <w:rFonts w:ascii="Arial" w:eastAsiaTheme="minorEastAsia" w:hAnsi="Arial" w:cs="Arial"/>
              <w:noProof/>
              <w:color w:val="000000" w:themeColor="text1"/>
              <w:sz w:val="22"/>
              <w:lang w:val="en-US" w:bidi="bn-BD"/>
            </w:rPr>
          </w:pPr>
          <w:hyperlink w:anchor="_Toc210777065" w:history="1">
            <w:r w:rsidRPr="00835A40">
              <w:rPr>
                <w:rStyle w:val="Hyperlink"/>
                <w:rFonts w:ascii="Arial" w:hAnsi="Arial" w:cs="Arial"/>
                <w:noProof/>
                <w:color w:val="000000" w:themeColor="text1"/>
                <w:sz w:val="22"/>
              </w:rPr>
              <w:t>4. Ethical Fundamentals in Health and Social Care</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_Toc210777065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8</w:t>
            </w:r>
            <w:r w:rsidRPr="00835A40">
              <w:rPr>
                <w:rFonts w:ascii="Arial" w:hAnsi="Arial" w:cs="Arial"/>
                <w:noProof/>
                <w:webHidden/>
                <w:color w:val="000000" w:themeColor="text1"/>
                <w:sz w:val="22"/>
              </w:rPr>
              <w:fldChar w:fldCharType="end"/>
            </w:r>
          </w:hyperlink>
        </w:p>
        <w:p w14:paraId="4160BECB" w14:textId="65EEFD36"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66" w:history="1">
            <w:r w:rsidRPr="00835A40">
              <w:rPr>
                <w:rStyle w:val="Hyperlink"/>
                <w:rFonts w:ascii="Arial" w:hAnsi="Arial" w:cs="Arial"/>
                <w:noProof/>
                <w:color w:val="000000" w:themeColor="text1"/>
                <w:sz w:val="22"/>
              </w:rPr>
              <w:t>4.1 Main Ethical Principles</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_Toc210777066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8</w:t>
            </w:r>
            <w:r w:rsidRPr="00835A40">
              <w:rPr>
                <w:rFonts w:ascii="Arial" w:hAnsi="Arial" w:cs="Arial"/>
                <w:noProof/>
                <w:webHidden/>
                <w:color w:val="000000" w:themeColor="text1"/>
                <w:sz w:val="22"/>
              </w:rPr>
              <w:fldChar w:fldCharType="end"/>
            </w:r>
          </w:hyperlink>
        </w:p>
        <w:p w14:paraId="37844F55" w14:textId="4E76D7ED"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67" w:history="1">
            <w:r w:rsidRPr="00835A40">
              <w:rPr>
                <w:rStyle w:val="Hyperlink"/>
                <w:rFonts w:ascii="Arial" w:hAnsi="Arial" w:cs="Arial"/>
                <w:noProof/>
                <w:color w:val="000000" w:themeColor="text1"/>
                <w:sz w:val="22"/>
              </w:rPr>
              <w:t>4.2 Ethics in Community Practice</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_Toc210777067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8</w:t>
            </w:r>
            <w:r w:rsidRPr="00835A40">
              <w:rPr>
                <w:rFonts w:ascii="Arial" w:hAnsi="Arial" w:cs="Arial"/>
                <w:noProof/>
                <w:webHidden/>
                <w:color w:val="000000" w:themeColor="text1"/>
                <w:sz w:val="22"/>
              </w:rPr>
              <w:fldChar w:fldCharType="end"/>
            </w:r>
          </w:hyperlink>
        </w:p>
        <w:p w14:paraId="69E444B2" w14:textId="6DFE79CD"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68" w:history="1">
            <w:r w:rsidRPr="00835A40">
              <w:rPr>
                <w:rStyle w:val="Hyperlink"/>
                <w:rFonts w:ascii="Arial" w:hAnsi="Arial" w:cs="Arial"/>
                <w:noProof/>
                <w:color w:val="000000" w:themeColor="text1"/>
                <w:sz w:val="22"/>
              </w:rPr>
              <w:t>4.3 Ethical Challenges</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_Toc210777068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8</w:t>
            </w:r>
            <w:r w:rsidRPr="00835A40">
              <w:rPr>
                <w:rFonts w:ascii="Arial" w:hAnsi="Arial" w:cs="Arial"/>
                <w:noProof/>
                <w:webHidden/>
                <w:color w:val="000000" w:themeColor="text1"/>
                <w:sz w:val="22"/>
              </w:rPr>
              <w:fldChar w:fldCharType="end"/>
            </w:r>
          </w:hyperlink>
        </w:p>
        <w:p w14:paraId="752C522D" w14:textId="77DFB598"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69" w:history="1">
            <w:r w:rsidRPr="00835A40">
              <w:rPr>
                <w:rStyle w:val="Hyperlink"/>
                <w:rFonts w:ascii="Arial" w:hAnsi="Arial" w:cs="Arial"/>
                <w:noProof/>
                <w:color w:val="000000" w:themeColor="text1"/>
                <w:sz w:val="22"/>
              </w:rPr>
              <w:t>4.4 Professional Codes</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_Toc210777069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8</w:t>
            </w:r>
            <w:r w:rsidRPr="00835A40">
              <w:rPr>
                <w:rFonts w:ascii="Arial" w:hAnsi="Arial" w:cs="Arial"/>
                <w:noProof/>
                <w:webHidden/>
                <w:color w:val="000000" w:themeColor="text1"/>
                <w:sz w:val="22"/>
              </w:rPr>
              <w:fldChar w:fldCharType="end"/>
            </w:r>
          </w:hyperlink>
        </w:p>
        <w:p w14:paraId="40598FAB" w14:textId="197382FB" w:rsidR="002C3B97" w:rsidRPr="00835A40" w:rsidRDefault="002C3B97" w:rsidP="002C3B97">
          <w:pPr>
            <w:pStyle w:val="TOC1"/>
            <w:tabs>
              <w:tab w:val="right" w:leader="dot" w:pos="9350"/>
            </w:tabs>
            <w:rPr>
              <w:rFonts w:ascii="Arial" w:eastAsiaTheme="minorEastAsia" w:hAnsi="Arial" w:cs="Arial"/>
              <w:noProof/>
              <w:color w:val="000000" w:themeColor="text1"/>
              <w:sz w:val="22"/>
              <w:lang w:val="en-US" w:bidi="bn-BD"/>
            </w:rPr>
          </w:pPr>
          <w:hyperlink w:anchor="_Toc210777070" w:history="1">
            <w:r w:rsidRPr="00835A40">
              <w:rPr>
                <w:rStyle w:val="Hyperlink"/>
                <w:rFonts w:ascii="Arial" w:hAnsi="Arial" w:cs="Arial"/>
                <w:noProof/>
                <w:color w:val="000000" w:themeColor="text1"/>
                <w:sz w:val="22"/>
              </w:rPr>
              <w:t>5. Evaluation of Partnership Working (PW)</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_Toc210777070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9</w:t>
            </w:r>
            <w:r w:rsidRPr="00835A40">
              <w:rPr>
                <w:rFonts w:ascii="Arial" w:hAnsi="Arial" w:cs="Arial"/>
                <w:noProof/>
                <w:webHidden/>
                <w:color w:val="000000" w:themeColor="text1"/>
                <w:sz w:val="22"/>
              </w:rPr>
              <w:fldChar w:fldCharType="end"/>
            </w:r>
          </w:hyperlink>
        </w:p>
        <w:p w14:paraId="46E96EC2" w14:textId="36B5D306"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71" w:history="1">
            <w:r w:rsidRPr="00835A40">
              <w:rPr>
                <w:rStyle w:val="Hyperlink"/>
                <w:rFonts w:ascii="Arial" w:hAnsi="Arial" w:cs="Arial"/>
                <w:noProof/>
                <w:color w:val="000000" w:themeColor="text1"/>
                <w:sz w:val="22"/>
              </w:rPr>
              <w:t>5.1 Definition of Partnership Working</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_Toc210777071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9</w:t>
            </w:r>
            <w:r w:rsidRPr="00835A40">
              <w:rPr>
                <w:rFonts w:ascii="Arial" w:hAnsi="Arial" w:cs="Arial"/>
                <w:noProof/>
                <w:webHidden/>
                <w:color w:val="000000" w:themeColor="text1"/>
                <w:sz w:val="22"/>
              </w:rPr>
              <w:fldChar w:fldCharType="end"/>
            </w:r>
          </w:hyperlink>
        </w:p>
        <w:p w14:paraId="044AE7F0" w14:textId="144A6834"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72" w:history="1">
            <w:r w:rsidRPr="00835A40">
              <w:rPr>
                <w:rStyle w:val="Hyperlink"/>
                <w:rFonts w:ascii="Arial" w:hAnsi="Arial" w:cs="Arial"/>
                <w:noProof/>
                <w:color w:val="000000" w:themeColor="text1"/>
                <w:sz w:val="22"/>
              </w:rPr>
              <w:t>5.2 Importance of PW</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_Toc210777072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9</w:t>
            </w:r>
            <w:r w:rsidRPr="00835A40">
              <w:rPr>
                <w:rFonts w:ascii="Arial" w:hAnsi="Arial" w:cs="Arial"/>
                <w:noProof/>
                <w:webHidden/>
                <w:color w:val="000000" w:themeColor="text1"/>
                <w:sz w:val="22"/>
              </w:rPr>
              <w:fldChar w:fldCharType="end"/>
            </w:r>
          </w:hyperlink>
        </w:p>
        <w:p w14:paraId="48B0A566" w14:textId="73294229"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73" w:history="1">
            <w:r w:rsidRPr="00835A40">
              <w:rPr>
                <w:rStyle w:val="Hyperlink"/>
                <w:rFonts w:ascii="Arial" w:hAnsi="Arial" w:cs="Arial"/>
                <w:noProof/>
                <w:color w:val="000000" w:themeColor="text1"/>
                <w:sz w:val="22"/>
              </w:rPr>
              <w:t>5.3 Strengths of PW</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_Toc210777073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9</w:t>
            </w:r>
            <w:r w:rsidRPr="00835A40">
              <w:rPr>
                <w:rFonts w:ascii="Arial" w:hAnsi="Arial" w:cs="Arial"/>
                <w:noProof/>
                <w:webHidden/>
                <w:color w:val="000000" w:themeColor="text1"/>
                <w:sz w:val="22"/>
              </w:rPr>
              <w:fldChar w:fldCharType="end"/>
            </w:r>
          </w:hyperlink>
        </w:p>
        <w:p w14:paraId="3BC61146" w14:textId="65ADAA54"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74" w:history="1">
            <w:r w:rsidRPr="00835A40">
              <w:rPr>
                <w:rStyle w:val="Hyperlink"/>
                <w:rFonts w:ascii="Arial" w:hAnsi="Arial" w:cs="Arial"/>
                <w:noProof/>
                <w:color w:val="000000" w:themeColor="text1"/>
                <w:sz w:val="22"/>
              </w:rPr>
              <w:t>5.4 Challenges of PW</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_Toc210777074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9</w:t>
            </w:r>
            <w:r w:rsidRPr="00835A40">
              <w:rPr>
                <w:rFonts w:ascii="Arial" w:hAnsi="Arial" w:cs="Arial"/>
                <w:noProof/>
                <w:webHidden/>
                <w:color w:val="000000" w:themeColor="text1"/>
                <w:sz w:val="22"/>
              </w:rPr>
              <w:fldChar w:fldCharType="end"/>
            </w:r>
          </w:hyperlink>
        </w:p>
        <w:p w14:paraId="38916E64" w14:textId="20C845B3" w:rsidR="002C3B97" w:rsidRPr="00835A40" w:rsidRDefault="002C3B97" w:rsidP="002C3B97">
          <w:pPr>
            <w:pStyle w:val="TOC1"/>
            <w:tabs>
              <w:tab w:val="right" w:leader="dot" w:pos="9350"/>
            </w:tabs>
            <w:rPr>
              <w:rFonts w:ascii="Arial" w:eastAsiaTheme="minorEastAsia" w:hAnsi="Arial" w:cs="Arial"/>
              <w:noProof/>
              <w:color w:val="000000" w:themeColor="text1"/>
              <w:sz w:val="22"/>
              <w:lang w:val="en-US" w:bidi="bn-BD"/>
            </w:rPr>
          </w:pPr>
          <w:hyperlink w:anchor="_Toc210777075" w:history="1">
            <w:r w:rsidRPr="00835A40">
              <w:rPr>
                <w:rStyle w:val="Hyperlink"/>
                <w:rFonts w:ascii="Arial" w:hAnsi="Arial" w:cs="Arial"/>
                <w:noProof/>
                <w:color w:val="000000" w:themeColor="text1"/>
                <w:sz w:val="22"/>
              </w:rPr>
              <w:t>6. Application of PW in an Integrated Community Health and Social Care Team</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_Toc210777075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10</w:t>
            </w:r>
            <w:r w:rsidRPr="00835A40">
              <w:rPr>
                <w:rFonts w:ascii="Arial" w:hAnsi="Arial" w:cs="Arial"/>
                <w:noProof/>
                <w:webHidden/>
                <w:color w:val="000000" w:themeColor="text1"/>
                <w:sz w:val="22"/>
              </w:rPr>
              <w:fldChar w:fldCharType="end"/>
            </w:r>
          </w:hyperlink>
        </w:p>
        <w:p w14:paraId="3E44C280" w14:textId="6D1878CC"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76" w:history="1">
            <w:r w:rsidRPr="00835A40">
              <w:rPr>
                <w:rStyle w:val="Hyperlink"/>
                <w:rFonts w:ascii="Arial" w:hAnsi="Arial" w:cs="Arial"/>
                <w:noProof/>
                <w:color w:val="000000" w:themeColor="text1"/>
                <w:sz w:val="22"/>
              </w:rPr>
              <w:t>6.1 Description of the Setting</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_Toc210777076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10</w:t>
            </w:r>
            <w:r w:rsidRPr="00835A40">
              <w:rPr>
                <w:rFonts w:ascii="Arial" w:hAnsi="Arial" w:cs="Arial"/>
                <w:noProof/>
                <w:webHidden/>
                <w:color w:val="000000" w:themeColor="text1"/>
                <w:sz w:val="22"/>
              </w:rPr>
              <w:fldChar w:fldCharType="end"/>
            </w:r>
          </w:hyperlink>
        </w:p>
        <w:p w14:paraId="6EE68FF9" w14:textId="2D84A8FE"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77" w:history="1">
            <w:r w:rsidRPr="00835A40">
              <w:rPr>
                <w:rStyle w:val="Hyperlink"/>
                <w:rFonts w:ascii="Arial" w:hAnsi="Arial" w:cs="Arial"/>
                <w:noProof/>
                <w:color w:val="000000" w:themeColor="text1"/>
                <w:sz w:val="22"/>
              </w:rPr>
              <w:t>6.2 How They Collaborate to Deliver PCC</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_Toc210777077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10</w:t>
            </w:r>
            <w:r w:rsidRPr="00835A40">
              <w:rPr>
                <w:rFonts w:ascii="Arial" w:hAnsi="Arial" w:cs="Arial"/>
                <w:noProof/>
                <w:webHidden/>
                <w:color w:val="000000" w:themeColor="text1"/>
                <w:sz w:val="22"/>
              </w:rPr>
              <w:fldChar w:fldCharType="end"/>
            </w:r>
          </w:hyperlink>
        </w:p>
        <w:p w14:paraId="1E2E3DBE" w14:textId="0EDB46F6"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78" w:history="1">
            <w:r w:rsidRPr="00835A40">
              <w:rPr>
                <w:rStyle w:val="Hyperlink"/>
                <w:rFonts w:ascii="Arial" w:hAnsi="Arial" w:cs="Arial"/>
                <w:noProof/>
                <w:color w:val="000000" w:themeColor="text1"/>
                <w:sz w:val="22"/>
              </w:rPr>
              <w:t>6.3 Case Example</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_Toc210777078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10</w:t>
            </w:r>
            <w:r w:rsidRPr="00835A40">
              <w:rPr>
                <w:rFonts w:ascii="Arial" w:hAnsi="Arial" w:cs="Arial"/>
                <w:noProof/>
                <w:webHidden/>
                <w:color w:val="000000" w:themeColor="text1"/>
                <w:sz w:val="22"/>
              </w:rPr>
              <w:fldChar w:fldCharType="end"/>
            </w:r>
          </w:hyperlink>
        </w:p>
        <w:p w14:paraId="6F036648" w14:textId="21A530C5"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79" w:history="1">
            <w:r w:rsidRPr="00835A40">
              <w:rPr>
                <w:rStyle w:val="Hyperlink"/>
                <w:rFonts w:ascii="Arial" w:hAnsi="Arial" w:cs="Arial"/>
                <w:noProof/>
                <w:color w:val="000000" w:themeColor="text1"/>
                <w:sz w:val="22"/>
              </w:rPr>
              <w:t>6.4 Outcomes for Service Users</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_Toc210777079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10</w:t>
            </w:r>
            <w:r w:rsidRPr="00835A40">
              <w:rPr>
                <w:rFonts w:ascii="Arial" w:hAnsi="Arial" w:cs="Arial"/>
                <w:noProof/>
                <w:webHidden/>
                <w:color w:val="000000" w:themeColor="text1"/>
                <w:sz w:val="22"/>
              </w:rPr>
              <w:fldChar w:fldCharType="end"/>
            </w:r>
          </w:hyperlink>
        </w:p>
        <w:p w14:paraId="7077C433" w14:textId="6CAA806A" w:rsidR="002C3B97" w:rsidRPr="00835A40" w:rsidRDefault="002C3B97" w:rsidP="002C3B97">
          <w:pPr>
            <w:pStyle w:val="TOC2"/>
            <w:tabs>
              <w:tab w:val="right" w:leader="dot" w:pos="9350"/>
            </w:tabs>
            <w:rPr>
              <w:rFonts w:ascii="Arial" w:eastAsiaTheme="minorEastAsia" w:hAnsi="Arial" w:cs="Arial"/>
              <w:noProof/>
              <w:color w:val="000000" w:themeColor="text1"/>
              <w:sz w:val="22"/>
              <w:lang w:val="en-US" w:bidi="bn-BD"/>
            </w:rPr>
          </w:pPr>
          <w:hyperlink w:anchor="_Toc210777080" w:history="1">
            <w:r w:rsidRPr="00835A40">
              <w:rPr>
                <w:rStyle w:val="Hyperlink"/>
                <w:rFonts w:ascii="Arial" w:hAnsi="Arial" w:cs="Arial"/>
                <w:noProof/>
                <w:color w:val="000000" w:themeColor="text1"/>
                <w:sz w:val="22"/>
              </w:rPr>
              <w:t>6.5 Challenges in Real Practice</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_Toc210777080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10</w:t>
            </w:r>
            <w:r w:rsidRPr="00835A40">
              <w:rPr>
                <w:rFonts w:ascii="Arial" w:hAnsi="Arial" w:cs="Arial"/>
                <w:noProof/>
                <w:webHidden/>
                <w:color w:val="000000" w:themeColor="text1"/>
                <w:sz w:val="22"/>
              </w:rPr>
              <w:fldChar w:fldCharType="end"/>
            </w:r>
          </w:hyperlink>
        </w:p>
        <w:p w14:paraId="3DAED608" w14:textId="71290AEF" w:rsidR="002C3B97" w:rsidRPr="00835A40" w:rsidRDefault="002C3B97" w:rsidP="002C3B97">
          <w:pPr>
            <w:pStyle w:val="TOC1"/>
            <w:tabs>
              <w:tab w:val="right" w:leader="dot" w:pos="9350"/>
            </w:tabs>
            <w:rPr>
              <w:rFonts w:ascii="Arial" w:eastAsiaTheme="minorEastAsia" w:hAnsi="Arial" w:cs="Arial"/>
              <w:noProof/>
              <w:color w:val="000000" w:themeColor="text1"/>
              <w:sz w:val="22"/>
              <w:lang w:val="en-US" w:bidi="bn-BD"/>
            </w:rPr>
          </w:pPr>
          <w:hyperlink w:anchor="_Toc210777081" w:history="1">
            <w:r w:rsidRPr="00835A40">
              <w:rPr>
                <w:rStyle w:val="Hyperlink"/>
                <w:rFonts w:ascii="Arial" w:hAnsi="Arial" w:cs="Arial"/>
                <w:noProof/>
                <w:color w:val="000000" w:themeColor="text1"/>
                <w:sz w:val="22"/>
              </w:rPr>
              <w:t>7. Policy and Legislation Review</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_Toc210777081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10</w:t>
            </w:r>
            <w:r w:rsidRPr="00835A40">
              <w:rPr>
                <w:rFonts w:ascii="Arial" w:hAnsi="Arial" w:cs="Arial"/>
                <w:noProof/>
                <w:webHidden/>
                <w:color w:val="000000" w:themeColor="text1"/>
                <w:sz w:val="22"/>
              </w:rPr>
              <w:fldChar w:fldCharType="end"/>
            </w:r>
          </w:hyperlink>
        </w:p>
        <w:p w14:paraId="7755D455" w14:textId="525CF40D" w:rsidR="002C3B97" w:rsidRPr="00835A40" w:rsidRDefault="002C3B97" w:rsidP="002C3B97">
          <w:pPr>
            <w:pStyle w:val="TOC1"/>
            <w:tabs>
              <w:tab w:val="right" w:leader="dot" w:pos="9350"/>
            </w:tabs>
            <w:rPr>
              <w:rFonts w:ascii="Arial" w:eastAsiaTheme="minorEastAsia" w:hAnsi="Arial" w:cs="Arial"/>
              <w:noProof/>
              <w:color w:val="000000" w:themeColor="text1"/>
              <w:sz w:val="22"/>
              <w:lang w:val="en-US" w:bidi="bn-BD"/>
            </w:rPr>
          </w:pPr>
          <w:hyperlink w:anchor="_Toc210777082" w:history="1">
            <w:r w:rsidRPr="00835A40">
              <w:rPr>
                <w:rStyle w:val="Hyperlink"/>
                <w:rFonts w:ascii="Arial" w:hAnsi="Arial" w:cs="Arial"/>
                <w:noProof/>
                <w:color w:val="000000" w:themeColor="text1"/>
                <w:sz w:val="22"/>
              </w:rPr>
              <w:t>8. Recommendations for Future Practice</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_Toc210777082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12</w:t>
            </w:r>
            <w:r w:rsidRPr="00835A40">
              <w:rPr>
                <w:rFonts w:ascii="Arial" w:hAnsi="Arial" w:cs="Arial"/>
                <w:noProof/>
                <w:webHidden/>
                <w:color w:val="000000" w:themeColor="text1"/>
                <w:sz w:val="22"/>
              </w:rPr>
              <w:fldChar w:fldCharType="end"/>
            </w:r>
          </w:hyperlink>
        </w:p>
        <w:p w14:paraId="32BFC282" w14:textId="79AAAD51" w:rsidR="002C3B97" w:rsidRPr="00835A40" w:rsidRDefault="002C3B97" w:rsidP="002C3B97">
          <w:pPr>
            <w:pStyle w:val="TOC1"/>
            <w:tabs>
              <w:tab w:val="right" w:leader="dot" w:pos="9350"/>
            </w:tabs>
            <w:rPr>
              <w:rFonts w:ascii="Arial" w:eastAsiaTheme="minorEastAsia" w:hAnsi="Arial" w:cs="Arial"/>
              <w:noProof/>
              <w:color w:val="000000" w:themeColor="text1"/>
              <w:sz w:val="22"/>
              <w:lang w:val="en-US" w:bidi="bn-BD"/>
            </w:rPr>
          </w:pPr>
          <w:hyperlink w:anchor="_Toc210777083" w:history="1">
            <w:r w:rsidRPr="00835A40">
              <w:rPr>
                <w:rStyle w:val="Hyperlink"/>
                <w:rFonts w:ascii="Arial" w:hAnsi="Arial" w:cs="Arial"/>
                <w:noProof/>
                <w:color w:val="000000" w:themeColor="text1"/>
                <w:sz w:val="22"/>
              </w:rPr>
              <w:t>9. Conclusion</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_Toc210777083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13</w:t>
            </w:r>
            <w:r w:rsidRPr="00835A40">
              <w:rPr>
                <w:rFonts w:ascii="Arial" w:hAnsi="Arial" w:cs="Arial"/>
                <w:noProof/>
                <w:webHidden/>
                <w:color w:val="000000" w:themeColor="text1"/>
                <w:sz w:val="22"/>
              </w:rPr>
              <w:fldChar w:fldCharType="end"/>
            </w:r>
          </w:hyperlink>
        </w:p>
        <w:p w14:paraId="0195B1FF" w14:textId="48FFEBFF" w:rsidR="002C3B97" w:rsidRPr="00835A40" w:rsidRDefault="002C3B97" w:rsidP="002C3B97">
          <w:pPr>
            <w:pStyle w:val="TOC1"/>
            <w:tabs>
              <w:tab w:val="right" w:leader="dot" w:pos="9350"/>
            </w:tabs>
            <w:rPr>
              <w:rFonts w:ascii="Arial" w:eastAsiaTheme="minorEastAsia" w:hAnsi="Arial" w:cs="Arial"/>
              <w:noProof/>
              <w:color w:val="000000" w:themeColor="text1"/>
              <w:sz w:val="22"/>
              <w:lang w:val="en-US" w:bidi="bn-BD"/>
            </w:rPr>
          </w:pPr>
          <w:hyperlink w:anchor="_Toc210777084" w:history="1">
            <w:r w:rsidRPr="00835A40">
              <w:rPr>
                <w:rStyle w:val="Hyperlink"/>
                <w:rFonts w:ascii="Arial" w:hAnsi="Arial" w:cs="Arial"/>
                <w:noProof/>
                <w:color w:val="000000" w:themeColor="text1"/>
                <w:sz w:val="22"/>
              </w:rPr>
              <w:t>10. References</w:t>
            </w:r>
            <w:r w:rsidRPr="00835A40">
              <w:rPr>
                <w:rFonts w:ascii="Arial" w:hAnsi="Arial" w:cs="Arial"/>
                <w:noProof/>
                <w:webHidden/>
                <w:color w:val="000000" w:themeColor="text1"/>
                <w:sz w:val="22"/>
              </w:rPr>
              <w:tab/>
            </w:r>
            <w:r w:rsidRPr="00835A40">
              <w:rPr>
                <w:rFonts w:ascii="Arial" w:hAnsi="Arial" w:cs="Arial"/>
                <w:noProof/>
                <w:webHidden/>
                <w:color w:val="000000" w:themeColor="text1"/>
                <w:sz w:val="22"/>
              </w:rPr>
              <w:fldChar w:fldCharType="begin"/>
            </w:r>
            <w:r w:rsidRPr="00835A40">
              <w:rPr>
                <w:rFonts w:ascii="Arial" w:hAnsi="Arial" w:cs="Arial"/>
                <w:noProof/>
                <w:webHidden/>
                <w:color w:val="000000" w:themeColor="text1"/>
                <w:sz w:val="22"/>
              </w:rPr>
              <w:instrText xml:space="preserve"> PAGEREF _Toc210777084 \h </w:instrText>
            </w:r>
            <w:r w:rsidRPr="00835A40">
              <w:rPr>
                <w:rFonts w:ascii="Arial" w:hAnsi="Arial" w:cs="Arial"/>
                <w:noProof/>
                <w:webHidden/>
                <w:color w:val="000000" w:themeColor="text1"/>
                <w:sz w:val="22"/>
              </w:rPr>
            </w:r>
            <w:r w:rsidRPr="00835A40">
              <w:rPr>
                <w:rFonts w:ascii="Arial" w:hAnsi="Arial" w:cs="Arial"/>
                <w:noProof/>
                <w:webHidden/>
                <w:color w:val="000000" w:themeColor="text1"/>
                <w:sz w:val="22"/>
              </w:rPr>
              <w:fldChar w:fldCharType="separate"/>
            </w:r>
            <w:r w:rsidRPr="00835A40">
              <w:rPr>
                <w:rFonts w:ascii="Arial" w:hAnsi="Arial" w:cs="Arial"/>
                <w:noProof/>
                <w:webHidden/>
                <w:color w:val="000000" w:themeColor="text1"/>
                <w:sz w:val="22"/>
              </w:rPr>
              <w:t>14</w:t>
            </w:r>
            <w:r w:rsidRPr="00835A40">
              <w:rPr>
                <w:rFonts w:ascii="Arial" w:hAnsi="Arial" w:cs="Arial"/>
                <w:noProof/>
                <w:webHidden/>
                <w:color w:val="000000" w:themeColor="text1"/>
                <w:sz w:val="22"/>
              </w:rPr>
              <w:fldChar w:fldCharType="end"/>
            </w:r>
          </w:hyperlink>
        </w:p>
        <w:p w14:paraId="6B1B81FE" w14:textId="66DA4306" w:rsidR="00E500AF" w:rsidRPr="00835A40" w:rsidRDefault="00E500AF" w:rsidP="002C3B97">
          <w:pPr>
            <w:rPr>
              <w:rFonts w:ascii="Arial" w:hAnsi="Arial" w:cs="Arial"/>
              <w:color w:val="000000" w:themeColor="text1"/>
              <w:sz w:val="22"/>
            </w:rPr>
          </w:pPr>
          <w:r w:rsidRPr="00835A40">
            <w:rPr>
              <w:rFonts w:ascii="Arial" w:hAnsi="Arial" w:cs="Arial"/>
              <w:b/>
              <w:bCs/>
              <w:noProof/>
              <w:color w:val="000000" w:themeColor="text1"/>
              <w:sz w:val="22"/>
            </w:rPr>
            <w:fldChar w:fldCharType="end"/>
          </w:r>
        </w:p>
      </w:sdtContent>
    </w:sdt>
    <w:p w14:paraId="3645F260" w14:textId="77777777" w:rsidR="00E500AF" w:rsidRPr="00835A40" w:rsidRDefault="00E500AF" w:rsidP="00F44B98">
      <w:pPr>
        <w:jc w:val="left"/>
        <w:rPr>
          <w:rFonts w:ascii="Arial" w:hAnsi="Arial" w:cs="Arial"/>
          <w:b/>
          <w:bCs/>
          <w:color w:val="000000" w:themeColor="text1"/>
          <w:sz w:val="22"/>
          <w:u w:val="single"/>
        </w:rPr>
      </w:pPr>
      <w:r w:rsidRPr="00835A40">
        <w:rPr>
          <w:rFonts w:ascii="Arial" w:hAnsi="Arial" w:cs="Arial"/>
          <w:color w:val="000000" w:themeColor="text1"/>
          <w:sz w:val="22"/>
        </w:rPr>
        <w:br w:type="page"/>
      </w:r>
    </w:p>
    <w:p w14:paraId="16032216" w14:textId="6862EDB4" w:rsidR="007C2ADE" w:rsidRPr="00835A40" w:rsidRDefault="00D40680" w:rsidP="007B3C1E">
      <w:pPr>
        <w:pStyle w:val="Heading1"/>
        <w:rPr>
          <w:color w:val="000000" w:themeColor="text1"/>
        </w:rPr>
      </w:pPr>
      <w:bookmarkStart w:id="0" w:name="_Toc210777052"/>
      <w:r w:rsidRPr="00835A40">
        <w:rPr>
          <w:color w:val="000000" w:themeColor="text1"/>
        </w:rPr>
        <w:t>1</w:t>
      </w:r>
      <w:r w:rsidR="007C2ADE" w:rsidRPr="00835A40">
        <w:rPr>
          <w:color w:val="000000" w:themeColor="text1"/>
        </w:rPr>
        <w:t>. Introduction</w:t>
      </w:r>
      <w:bookmarkEnd w:id="0"/>
    </w:p>
    <w:p w14:paraId="113F6E14"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Person-centred care (PCC) is an approach that focuses on the individual’s needs, choices, and values in health and social care. It means the care is planned and delivered with the person, not just for the person (NICE, 2021). Partnership working (PW) means professionals from different organisations work together to give better care and support to people. It helps to combine knowledge, skills, and resources to meet the person’s needs (Glasby and Dickinson, 2014).</w:t>
      </w:r>
    </w:p>
    <w:p w14:paraId="496E9EB3" w14:textId="1B71AF01"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PCC and PW are very important in health and social care because they improve the quality of care, make people more involved in decisions, and support better health outcomes</w:t>
      </w:r>
      <w:r w:rsidR="00032D6D" w:rsidRPr="00835A40">
        <w:rPr>
          <w:rFonts w:ascii="Arial" w:hAnsi="Arial" w:cs="Arial"/>
          <w:color w:val="000000" w:themeColor="text1"/>
          <w:sz w:val="22"/>
        </w:rPr>
        <w:t xml:space="preserve"> (SCIE, 2020)</w:t>
      </w:r>
      <w:r w:rsidRPr="00835A40">
        <w:rPr>
          <w:rFonts w:ascii="Arial" w:hAnsi="Arial" w:cs="Arial"/>
          <w:color w:val="000000" w:themeColor="text1"/>
          <w:sz w:val="22"/>
        </w:rPr>
        <w:t>. When services work together and focus on the person, care becomes more effective and respectful.</w:t>
      </w:r>
    </w:p>
    <w:p w14:paraId="33CB2407"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This report will focus on how PCC and PW work together in the Integrated Community Health and Social Care Team. This setting includes health and social care professionals such as nurses, social workers, and therapists who support people in the community. The report will also use the Biopsychosocial Model by Engel (1977) as the theory that supports PCC. This model looks at biological, psychological, and social needs of the person. The report will discuss the definitions, benefits, limits, and future improvements for PCC and PW.</w:t>
      </w:r>
    </w:p>
    <w:p w14:paraId="1331E2B5" w14:textId="38F4EE50" w:rsidR="007C2ADE" w:rsidRPr="00835A40" w:rsidRDefault="007C2ADE" w:rsidP="00F44B98">
      <w:pPr>
        <w:rPr>
          <w:rFonts w:ascii="Arial" w:hAnsi="Arial" w:cs="Arial"/>
          <w:color w:val="000000" w:themeColor="text1"/>
          <w:sz w:val="22"/>
        </w:rPr>
      </w:pPr>
    </w:p>
    <w:p w14:paraId="01B29041" w14:textId="6F4CB3CA" w:rsidR="00D40680" w:rsidRPr="00835A40" w:rsidRDefault="00D40680" w:rsidP="00F44B98">
      <w:pPr>
        <w:jc w:val="left"/>
        <w:rPr>
          <w:rFonts w:ascii="Arial" w:hAnsi="Arial" w:cs="Arial"/>
          <w:b/>
          <w:bCs/>
          <w:color w:val="000000" w:themeColor="text1"/>
          <w:sz w:val="22"/>
        </w:rPr>
      </w:pPr>
      <w:r w:rsidRPr="00835A40">
        <w:rPr>
          <w:rFonts w:ascii="Arial" w:hAnsi="Arial" w:cs="Arial"/>
          <w:b/>
          <w:bCs/>
          <w:color w:val="000000" w:themeColor="text1"/>
          <w:sz w:val="22"/>
        </w:rPr>
        <w:br w:type="page"/>
      </w:r>
    </w:p>
    <w:p w14:paraId="0B785FD5" w14:textId="728235F7" w:rsidR="007C2ADE" w:rsidRPr="00835A40" w:rsidRDefault="00D40680" w:rsidP="007B3C1E">
      <w:pPr>
        <w:pStyle w:val="Heading1"/>
        <w:rPr>
          <w:color w:val="000000" w:themeColor="text1"/>
        </w:rPr>
      </w:pPr>
      <w:bookmarkStart w:id="1" w:name="_Toc210777053"/>
      <w:r w:rsidRPr="00835A40">
        <w:rPr>
          <w:color w:val="000000" w:themeColor="text1"/>
        </w:rPr>
        <w:t>2</w:t>
      </w:r>
      <w:r w:rsidR="007C2ADE" w:rsidRPr="00835A40">
        <w:rPr>
          <w:color w:val="000000" w:themeColor="text1"/>
        </w:rPr>
        <w:t>. Definition and Evaluation of Person-Centred Care (PCC)</w:t>
      </w:r>
      <w:bookmarkEnd w:id="1"/>
    </w:p>
    <w:p w14:paraId="24011917" w14:textId="78FD06AD" w:rsidR="007C2ADE" w:rsidRPr="00835A40" w:rsidRDefault="00D40680" w:rsidP="007B3C1E">
      <w:pPr>
        <w:pStyle w:val="Heading2"/>
        <w:rPr>
          <w:color w:val="000000" w:themeColor="text1"/>
        </w:rPr>
      </w:pPr>
      <w:bookmarkStart w:id="2" w:name="_Toc210777054"/>
      <w:r w:rsidRPr="00835A40">
        <w:rPr>
          <w:color w:val="000000" w:themeColor="text1"/>
        </w:rPr>
        <w:t xml:space="preserve">2.1 </w:t>
      </w:r>
      <w:r w:rsidR="007C2ADE" w:rsidRPr="00835A40">
        <w:rPr>
          <w:color w:val="000000" w:themeColor="text1"/>
        </w:rPr>
        <w:t>Definition of Person-Centred Care</w:t>
      </w:r>
      <w:bookmarkEnd w:id="2"/>
    </w:p>
    <w:p w14:paraId="592C4F5C" w14:textId="4AD8E668"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 xml:space="preserve">Person-centred care (PCC) is a way of giving care that focuses on the person’s needs, values, and wishes. It means that care is planned with the person, not just for the person. The care supports the person’s choices and helps them to stay in control. Social Care Institute for Excellence (SCIE, 2020) says PCC </w:t>
      </w:r>
      <w:r w:rsidR="00912E5D" w:rsidRPr="00835A40">
        <w:rPr>
          <w:rFonts w:ascii="Arial" w:hAnsi="Arial" w:cs="Arial"/>
          <w:color w:val="000000" w:themeColor="text1"/>
          <w:sz w:val="22"/>
        </w:rPr>
        <w:t>has cared</w:t>
      </w:r>
      <w:r w:rsidRPr="00835A40">
        <w:rPr>
          <w:rFonts w:ascii="Arial" w:hAnsi="Arial" w:cs="Arial"/>
          <w:color w:val="000000" w:themeColor="text1"/>
          <w:sz w:val="22"/>
        </w:rPr>
        <w:t xml:space="preserve"> that treats people with dignity, gives them respect, and helps them live the way they want.</w:t>
      </w:r>
    </w:p>
    <w:p w14:paraId="13ED6B9E" w14:textId="06392AE2" w:rsidR="007C2ADE" w:rsidRPr="00835A40" w:rsidRDefault="00D40680" w:rsidP="007B3C1E">
      <w:pPr>
        <w:pStyle w:val="Heading2"/>
        <w:rPr>
          <w:color w:val="000000" w:themeColor="text1"/>
        </w:rPr>
      </w:pPr>
      <w:bookmarkStart w:id="3" w:name="_Toc210777055"/>
      <w:r w:rsidRPr="00835A40">
        <w:rPr>
          <w:color w:val="000000" w:themeColor="text1"/>
        </w:rPr>
        <w:t xml:space="preserve">2.2 </w:t>
      </w:r>
      <w:r w:rsidR="007C2ADE" w:rsidRPr="00835A40">
        <w:rPr>
          <w:color w:val="000000" w:themeColor="text1"/>
        </w:rPr>
        <w:t>Key Principles of PCC</w:t>
      </w:r>
      <w:bookmarkEnd w:id="3"/>
    </w:p>
    <w:p w14:paraId="16465528"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There are five main ideas in PCC:</w:t>
      </w:r>
    </w:p>
    <w:p w14:paraId="233DA152" w14:textId="77777777" w:rsidR="007C2ADE" w:rsidRPr="00835A40" w:rsidRDefault="007C2ADE" w:rsidP="00F44B98">
      <w:pPr>
        <w:numPr>
          <w:ilvl w:val="0"/>
          <w:numId w:val="31"/>
        </w:numPr>
        <w:rPr>
          <w:rFonts w:ascii="Arial" w:hAnsi="Arial" w:cs="Arial"/>
          <w:color w:val="000000" w:themeColor="text1"/>
          <w:sz w:val="22"/>
        </w:rPr>
      </w:pPr>
      <w:r w:rsidRPr="00835A40">
        <w:rPr>
          <w:rFonts w:ascii="Arial" w:hAnsi="Arial" w:cs="Arial"/>
          <w:b/>
          <w:bCs/>
          <w:color w:val="000000" w:themeColor="text1"/>
          <w:sz w:val="22"/>
        </w:rPr>
        <w:t>Dignity</w:t>
      </w:r>
      <w:r w:rsidRPr="00835A40">
        <w:rPr>
          <w:rFonts w:ascii="Arial" w:hAnsi="Arial" w:cs="Arial"/>
          <w:color w:val="000000" w:themeColor="text1"/>
          <w:sz w:val="22"/>
        </w:rPr>
        <w:t>: Treat every person with importance and care.</w:t>
      </w:r>
    </w:p>
    <w:p w14:paraId="0E628CB3" w14:textId="77777777" w:rsidR="007C2ADE" w:rsidRPr="00835A40" w:rsidRDefault="007C2ADE" w:rsidP="00F44B98">
      <w:pPr>
        <w:numPr>
          <w:ilvl w:val="0"/>
          <w:numId w:val="31"/>
        </w:numPr>
        <w:rPr>
          <w:rFonts w:ascii="Arial" w:hAnsi="Arial" w:cs="Arial"/>
          <w:color w:val="000000" w:themeColor="text1"/>
          <w:sz w:val="22"/>
        </w:rPr>
      </w:pPr>
      <w:r w:rsidRPr="00835A40">
        <w:rPr>
          <w:rFonts w:ascii="Arial" w:hAnsi="Arial" w:cs="Arial"/>
          <w:b/>
          <w:bCs/>
          <w:color w:val="000000" w:themeColor="text1"/>
          <w:sz w:val="22"/>
        </w:rPr>
        <w:t>Choice</w:t>
      </w:r>
      <w:r w:rsidRPr="00835A40">
        <w:rPr>
          <w:rFonts w:ascii="Arial" w:hAnsi="Arial" w:cs="Arial"/>
          <w:color w:val="000000" w:themeColor="text1"/>
          <w:sz w:val="22"/>
        </w:rPr>
        <w:t>: Allow people to make decisions about their own care.</w:t>
      </w:r>
    </w:p>
    <w:p w14:paraId="75BC748F" w14:textId="77777777" w:rsidR="007C2ADE" w:rsidRPr="00835A40" w:rsidRDefault="007C2ADE" w:rsidP="00F44B98">
      <w:pPr>
        <w:numPr>
          <w:ilvl w:val="0"/>
          <w:numId w:val="31"/>
        </w:numPr>
        <w:rPr>
          <w:rFonts w:ascii="Arial" w:hAnsi="Arial" w:cs="Arial"/>
          <w:color w:val="000000" w:themeColor="text1"/>
          <w:sz w:val="22"/>
        </w:rPr>
      </w:pPr>
      <w:r w:rsidRPr="00835A40">
        <w:rPr>
          <w:rFonts w:ascii="Arial" w:hAnsi="Arial" w:cs="Arial"/>
          <w:b/>
          <w:bCs/>
          <w:color w:val="000000" w:themeColor="text1"/>
          <w:sz w:val="22"/>
        </w:rPr>
        <w:t>Respect</w:t>
      </w:r>
      <w:r w:rsidRPr="00835A40">
        <w:rPr>
          <w:rFonts w:ascii="Arial" w:hAnsi="Arial" w:cs="Arial"/>
          <w:color w:val="000000" w:themeColor="text1"/>
          <w:sz w:val="22"/>
        </w:rPr>
        <w:t>: Listen to people and respect their views and culture.</w:t>
      </w:r>
    </w:p>
    <w:p w14:paraId="59D0815E" w14:textId="77777777" w:rsidR="007C2ADE" w:rsidRPr="00835A40" w:rsidRDefault="007C2ADE" w:rsidP="00F44B98">
      <w:pPr>
        <w:numPr>
          <w:ilvl w:val="0"/>
          <w:numId w:val="31"/>
        </w:numPr>
        <w:rPr>
          <w:rFonts w:ascii="Arial" w:hAnsi="Arial" w:cs="Arial"/>
          <w:color w:val="000000" w:themeColor="text1"/>
          <w:sz w:val="22"/>
        </w:rPr>
      </w:pPr>
      <w:r w:rsidRPr="00835A40">
        <w:rPr>
          <w:rFonts w:ascii="Arial" w:hAnsi="Arial" w:cs="Arial"/>
          <w:b/>
          <w:bCs/>
          <w:color w:val="000000" w:themeColor="text1"/>
          <w:sz w:val="22"/>
        </w:rPr>
        <w:t>Individualised Care</w:t>
      </w:r>
      <w:r w:rsidRPr="00835A40">
        <w:rPr>
          <w:rFonts w:ascii="Arial" w:hAnsi="Arial" w:cs="Arial"/>
          <w:color w:val="000000" w:themeColor="text1"/>
          <w:sz w:val="22"/>
        </w:rPr>
        <w:t>: Give care that fits each person’s needs.</w:t>
      </w:r>
    </w:p>
    <w:p w14:paraId="2EFFD0E3" w14:textId="77777777" w:rsidR="007C2ADE" w:rsidRPr="00835A40" w:rsidRDefault="007C2ADE" w:rsidP="00F44B98">
      <w:pPr>
        <w:numPr>
          <w:ilvl w:val="0"/>
          <w:numId w:val="31"/>
        </w:numPr>
        <w:rPr>
          <w:rFonts w:ascii="Arial" w:hAnsi="Arial" w:cs="Arial"/>
          <w:color w:val="000000" w:themeColor="text1"/>
          <w:sz w:val="22"/>
        </w:rPr>
      </w:pPr>
      <w:r w:rsidRPr="00835A40">
        <w:rPr>
          <w:rFonts w:ascii="Arial" w:hAnsi="Arial" w:cs="Arial"/>
          <w:b/>
          <w:bCs/>
          <w:color w:val="000000" w:themeColor="text1"/>
          <w:sz w:val="22"/>
        </w:rPr>
        <w:t>Shared Decision-Making</w:t>
      </w:r>
      <w:r w:rsidRPr="00835A40">
        <w:rPr>
          <w:rFonts w:ascii="Arial" w:hAnsi="Arial" w:cs="Arial"/>
          <w:color w:val="000000" w:themeColor="text1"/>
          <w:sz w:val="22"/>
        </w:rPr>
        <w:t>: Talk with the person and make care plans together.</w:t>
      </w:r>
    </w:p>
    <w:p w14:paraId="26FD50DC" w14:textId="2C303865"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For example, in a care home, one person may want help getting dressed early in the morning, while another wants to sleep late. PCC means staff listen and plan care that suits each one</w:t>
      </w:r>
      <w:r w:rsidR="00017E13" w:rsidRPr="00835A40">
        <w:rPr>
          <w:rFonts w:ascii="Arial" w:hAnsi="Arial" w:cs="Arial"/>
          <w:color w:val="000000" w:themeColor="text1"/>
          <w:sz w:val="22"/>
        </w:rPr>
        <w:t xml:space="preserve"> (NICE, 2021)</w:t>
      </w:r>
      <w:r w:rsidRPr="00835A40">
        <w:rPr>
          <w:rFonts w:ascii="Arial" w:hAnsi="Arial" w:cs="Arial"/>
          <w:color w:val="000000" w:themeColor="text1"/>
          <w:sz w:val="22"/>
        </w:rPr>
        <w:t>.</w:t>
      </w:r>
    </w:p>
    <w:p w14:paraId="5F13CAD5" w14:textId="525ABC38" w:rsidR="007C2ADE" w:rsidRPr="00835A40" w:rsidRDefault="00D40680" w:rsidP="007B3C1E">
      <w:pPr>
        <w:pStyle w:val="Heading2"/>
        <w:rPr>
          <w:color w:val="000000" w:themeColor="text1"/>
        </w:rPr>
      </w:pPr>
      <w:bookmarkStart w:id="4" w:name="_Toc210777056"/>
      <w:r w:rsidRPr="00835A40">
        <w:rPr>
          <w:color w:val="000000" w:themeColor="text1"/>
        </w:rPr>
        <w:t xml:space="preserve">2.3 </w:t>
      </w:r>
      <w:r w:rsidR="007C2ADE" w:rsidRPr="00835A40">
        <w:rPr>
          <w:color w:val="000000" w:themeColor="text1"/>
        </w:rPr>
        <w:t>Benefits of PCC</w:t>
      </w:r>
      <w:bookmarkEnd w:id="4"/>
    </w:p>
    <w:p w14:paraId="15592F17"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PCC has many good results. It helps people feel happy and safe. When care meets the person’s needs, they are more satisfied and trust the staff more (Health Foundation, 2016). It also helps people follow treatment better, so health outcomes improve. People feel stronger and more in control of their lives.</w:t>
      </w:r>
    </w:p>
    <w:p w14:paraId="19703370" w14:textId="05EBBD83" w:rsidR="007C2ADE" w:rsidRPr="00835A40" w:rsidRDefault="00D40680" w:rsidP="007B3C1E">
      <w:pPr>
        <w:pStyle w:val="Heading2"/>
        <w:rPr>
          <w:color w:val="000000" w:themeColor="text1"/>
        </w:rPr>
      </w:pPr>
      <w:bookmarkStart w:id="5" w:name="_Toc210777057"/>
      <w:r w:rsidRPr="00835A40">
        <w:rPr>
          <w:color w:val="000000" w:themeColor="text1"/>
        </w:rPr>
        <w:t xml:space="preserve">2.4 </w:t>
      </w:r>
      <w:r w:rsidR="007C2ADE" w:rsidRPr="00835A40">
        <w:rPr>
          <w:color w:val="000000" w:themeColor="text1"/>
        </w:rPr>
        <w:t>Limitations of PCC</w:t>
      </w:r>
      <w:bookmarkEnd w:id="5"/>
    </w:p>
    <w:p w14:paraId="00721E5E" w14:textId="369B7788"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PCC also has some problems. It takes more time to understand each person’s needs. Staff may need special training, and not all workers get this (Brooker, 201</w:t>
      </w:r>
      <w:r w:rsidR="0086707E" w:rsidRPr="00835A40">
        <w:rPr>
          <w:rFonts w:ascii="Arial" w:hAnsi="Arial" w:cs="Arial"/>
          <w:color w:val="000000" w:themeColor="text1"/>
          <w:sz w:val="22"/>
        </w:rPr>
        <w:t>6</w:t>
      </w:r>
      <w:r w:rsidRPr="00835A40">
        <w:rPr>
          <w:rFonts w:ascii="Arial" w:hAnsi="Arial" w:cs="Arial"/>
          <w:color w:val="000000" w:themeColor="text1"/>
          <w:sz w:val="22"/>
        </w:rPr>
        <w:t>). Sometimes, care is not the same every time, which can confuse people. Also, if there are not enough workers, it is hard to give full attention to each person.</w:t>
      </w:r>
    </w:p>
    <w:p w14:paraId="3503A4FC"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Even with these limits, PCC is still a good way to give care. It helps people live with dignity and respect.</w:t>
      </w:r>
    </w:p>
    <w:p w14:paraId="78400A7F" w14:textId="77777777" w:rsidR="00D40680" w:rsidRPr="00835A40" w:rsidRDefault="00D40680" w:rsidP="00F44B98">
      <w:pPr>
        <w:jc w:val="left"/>
        <w:rPr>
          <w:rFonts w:ascii="Arial" w:hAnsi="Arial" w:cs="Arial"/>
          <w:b/>
          <w:bCs/>
          <w:color w:val="000000" w:themeColor="text1"/>
          <w:sz w:val="22"/>
        </w:rPr>
      </w:pPr>
      <w:r w:rsidRPr="00835A40">
        <w:rPr>
          <w:rFonts w:ascii="Arial" w:hAnsi="Arial" w:cs="Arial"/>
          <w:b/>
          <w:bCs/>
          <w:color w:val="000000" w:themeColor="text1"/>
          <w:sz w:val="22"/>
        </w:rPr>
        <w:br w:type="page"/>
      </w:r>
    </w:p>
    <w:p w14:paraId="67E2734B" w14:textId="23B2801A" w:rsidR="007C2ADE" w:rsidRPr="00835A40" w:rsidRDefault="00D40680" w:rsidP="007B3C1E">
      <w:pPr>
        <w:pStyle w:val="Heading1"/>
        <w:rPr>
          <w:color w:val="000000" w:themeColor="text1"/>
        </w:rPr>
      </w:pPr>
      <w:bookmarkStart w:id="6" w:name="_Toc210777058"/>
      <w:r w:rsidRPr="00835A40">
        <w:rPr>
          <w:color w:val="000000" w:themeColor="text1"/>
        </w:rPr>
        <w:t>3</w:t>
      </w:r>
      <w:r w:rsidR="007C2ADE" w:rsidRPr="00835A40">
        <w:rPr>
          <w:color w:val="000000" w:themeColor="text1"/>
        </w:rPr>
        <w:t>. PCC Theory/Model: Biopsychosocial Model</w:t>
      </w:r>
      <w:bookmarkEnd w:id="6"/>
    </w:p>
    <w:p w14:paraId="756DEBB8" w14:textId="020920B6" w:rsidR="007C2ADE" w:rsidRPr="00835A40" w:rsidRDefault="00D40680" w:rsidP="007B3C1E">
      <w:pPr>
        <w:pStyle w:val="Heading2"/>
        <w:rPr>
          <w:color w:val="000000" w:themeColor="text1"/>
        </w:rPr>
      </w:pPr>
      <w:bookmarkStart w:id="7" w:name="_Toc210777059"/>
      <w:r w:rsidRPr="00835A40">
        <w:rPr>
          <w:color w:val="000000" w:themeColor="text1"/>
        </w:rPr>
        <w:t xml:space="preserve">3.1 </w:t>
      </w:r>
      <w:r w:rsidR="007C2ADE" w:rsidRPr="00835A40">
        <w:rPr>
          <w:color w:val="000000" w:themeColor="text1"/>
        </w:rPr>
        <w:t>Description of the Biopsychosocial Model</w:t>
      </w:r>
      <w:bookmarkEnd w:id="7"/>
    </w:p>
    <w:p w14:paraId="14F8EC21"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 Biopsychosocial Model was made by George Engel in 1977. This model says that health is not only about the body. It also includes the mind and the person’s life situation (Engel, 1977). It is called "bio" for body, "psycho" for mind, and "social" for life and relationships.</w:t>
      </w:r>
    </w:p>
    <w:p w14:paraId="2C877240" w14:textId="113261B1" w:rsidR="007C2ADE" w:rsidRPr="00835A40" w:rsidRDefault="00D40680" w:rsidP="007B3C1E">
      <w:pPr>
        <w:pStyle w:val="Heading2"/>
        <w:rPr>
          <w:color w:val="000000" w:themeColor="text1"/>
        </w:rPr>
      </w:pPr>
      <w:bookmarkStart w:id="8" w:name="_Toc210777060"/>
      <w:r w:rsidRPr="00835A40">
        <w:rPr>
          <w:color w:val="000000" w:themeColor="text1"/>
        </w:rPr>
        <w:t xml:space="preserve">3.2 </w:t>
      </w:r>
      <w:r w:rsidR="007C2ADE" w:rsidRPr="00835A40">
        <w:rPr>
          <w:color w:val="000000" w:themeColor="text1"/>
        </w:rPr>
        <w:t>Holistic View of Health</w:t>
      </w:r>
      <w:bookmarkEnd w:id="8"/>
    </w:p>
    <w:p w14:paraId="6336C6EE"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This model looks at the whole person. It understands that physical health, mental health, and social factors are all connected. For example, a person with long-term pain may also feel sad or lonely. These feelings can make the pain worse. The model shows that care must include all these areas to help the person well.</w:t>
      </w:r>
    </w:p>
    <w:p w14:paraId="477A95D1" w14:textId="04FCB7B4" w:rsidR="007C2ADE" w:rsidRPr="00835A40" w:rsidRDefault="00D40680" w:rsidP="007B3C1E">
      <w:pPr>
        <w:pStyle w:val="Heading2"/>
        <w:rPr>
          <w:color w:val="000000" w:themeColor="text1"/>
        </w:rPr>
      </w:pPr>
      <w:bookmarkStart w:id="9" w:name="_Toc210777061"/>
      <w:r w:rsidRPr="00835A40">
        <w:rPr>
          <w:color w:val="000000" w:themeColor="text1"/>
        </w:rPr>
        <w:t xml:space="preserve">3.3 </w:t>
      </w:r>
      <w:r w:rsidR="007C2ADE" w:rsidRPr="00835A40">
        <w:rPr>
          <w:color w:val="000000" w:themeColor="text1"/>
        </w:rPr>
        <w:t>Use in Community Care Settings</w:t>
      </w:r>
      <w:bookmarkEnd w:id="9"/>
    </w:p>
    <w:p w14:paraId="44D24858" w14:textId="781915DF"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In community care, this model is helpful. It is used by nurses, social workers, and doctors who work together. For example, if a person cannot walk after leaving hospital, a nurse may give medicine, a therapist helps with movement, and a social worker arranges help at home</w:t>
      </w:r>
      <w:r w:rsidR="004D2717" w:rsidRPr="00835A40">
        <w:rPr>
          <w:rFonts w:ascii="Arial" w:hAnsi="Arial" w:cs="Arial"/>
          <w:color w:val="000000" w:themeColor="text1"/>
          <w:sz w:val="22"/>
        </w:rPr>
        <w:t xml:space="preserve"> (Glasby and Dickinson, 2014)</w:t>
      </w:r>
      <w:r w:rsidRPr="00835A40">
        <w:rPr>
          <w:rFonts w:ascii="Arial" w:hAnsi="Arial" w:cs="Arial"/>
          <w:color w:val="000000" w:themeColor="text1"/>
          <w:sz w:val="22"/>
        </w:rPr>
        <w:t>. This team uses the biopsychosocial model to see all the needs.</w:t>
      </w:r>
    </w:p>
    <w:p w14:paraId="522E3481" w14:textId="252906B8" w:rsidR="007C2ADE" w:rsidRPr="00835A40" w:rsidRDefault="00D40680" w:rsidP="007B3C1E">
      <w:pPr>
        <w:pStyle w:val="Heading2"/>
        <w:rPr>
          <w:color w:val="000000" w:themeColor="text1"/>
        </w:rPr>
      </w:pPr>
      <w:bookmarkStart w:id="10" w:name="_Toc210777062"/>
      <w:r w:rsidRPr="00835A40">
        <w:rPr>
          <w:color w:val="000000" w:themeColor="text1"/>
        </w:rPr>
        <w:t xml:space="preserve">3.4 </w:t>
      </w:r>
      <w:r w:rsidR="007C2ADE" w:rsidRPr="00835A40">
        <w:rPr>
          <w:color w:val="000000" w:themeColor="text1"/>
        </w:rPr>
        <w:t>Strengths of the Model</w:t>
      </w:r>
      <w:bookmarkEnd w:id="10"/>
    </w:p>
    <w:p w14:paraId="51A11F37"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 model is strong because it supports person-centred care. It sees each person as different. It helps many professionals work together. It also gives better understanding of health problems by including mind and life, not just the body (Borrell-Carrió et al., 2004).</w:t>
      </w:r>
    </w:p>
    <w:p w14:paraId="2D375F77" w14:textId="69833700" w:rsidR="007C2ADE" w:rsidRPr="00835A40" w:rsidRDefault="00D40680" w:rsidP="007B3C1E">
      <w:pPr>
        <w:pStyle w:val="Heading2"/>
        <w:rPr>
          <w:color w:val="000000" w:themeColor="text1"/>
        </w:rPr>
      </w:pPr>
      <w:bookmarkStart w:id="11" w:name="_Toc210777063"/>
      <w:r w:rsidRPr="00835A40">
        <w:rPr>
          <w:color w:val="000000" w:themeColor="text1"/>
        </w:rPr>
        <w:t xml:space="preserve">3.5 </w:t>
      </w:r>
      <w:r w:rsidR="007C2ADE" w:rsidRPr="00835A40">
        <w:rPr>
          <w:color w:val="000000" w:themeColor="text1"/>
        </w:rPr>
        <w:t>Criticisms of the Model</w:t>
      </w:r>
      <w:bookmarkEnd w:id="11"/>
    </w:p>
    <w:p w14:paraId="405633F1"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Some people say the model is hard to use in busy places. It takes time to look at all parts of a person’s life. Also, it may try to explain too many things and make care plans confusing (Pilgrim, 2002).</w:t>
      </w:r>
    </w:p>
    <w:p w14:paraId="46138AFA" w14:textId="532CE528" w:rsidR="007C2ADE" w:rsidRPr="00835A40" w:rsidRDefault="00D40680" w:rsidP="007B3C1E">
      <w:pPr>
        <w:pStyle w:val="Heading2"/>
        <w:rPr>
          <w:color w:val="000000" w:themeColor="text1"/>
        </w:rPr>
      </w:pPr>
      <w:bookmarkStart w:id="12" w:name="_Toc210777064"/>
      <w:r w:rsidRPr="00835A40">
        <w:rPr>
          <w:color w:val="000000" w:themeColor="text1"/>
        </w:rPr>
        <w:t xml:space="preserve">3.6 </w:t>
      </w:r>
      <w:r w:rsidR="007C2ADE" w:rsidRPr="00835A40">
        <w:rPr>
          <w:color w:val="000000" w:themeColor="text1"/>
        </w:rPr>
        <w:t>Link to Person-Centred Care</w:t>
      </w:r>
      <w:bookmarkEnd w:id="12"/>
    </w:p>
    <w:p w14:paraId="76C77E45"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This model supports PCC because it focuses on the whole person. It helps care teams understand the person’s full needs and make a care plan that fits well. It is a good model for integrated community care.</w:t>
      </w:r>
    </w:p>
    <w:p w14:paraId="2E5F3B6D" w14:textId="77777777" w:rsidR="00D40680" w:rsidRPr="00835A40" w:rsidRDefault="00D40680" w:rsidP="00F44B98">
      <w:pPr>
        <w:jc w:val="left"/>
        <w:rPr>
          <w:rFonts w:ascii="Arial" w:hAnsi="Arial" w:cs="Arial"/>
          <w:b/>
          <w:bCs/>
          <w:color w:val="000000" w:themeColor="text1"/>
          <w:sz w:val="22"/>
        </w:rPr>
      </w:pPr>
      <w:r w:rsidRPr="00835A40">
        <w:rPr>
          <w:rFonts w:ascii="Arial" w:hAnsi="Arial" w:cs="Arial"/>
          <w:b/>
          <w:bCs/>
          <w:color w:val="000000" w:themeColor="text1"/>
          <w:sz w:val="22"/>
        </w:rPr>
        <w:br w:type="page"/>
      </w:r>
    </w:p>
    <w:p w14:paraId="74CEE0AA" w14:textId="5981B3A7" w:rsidR="007C2ADE" w:rsidRPr="00835A40" w:rsidRDefault="00D40680" w:rsidP="007B3C1E">
      <w:pPr>
        <w:pStyle w:val="Heading1"/>
        <w:rPr>
          <w:color w:val="000000" w:themeColor="text1"/>
        </w:rPr>
      </w:pPr>
      <w:bookmarkStart w:id="13" w:name="_Toc210777065"/>
      <w:r w:rsidRPr="00835A40">
        <w:rPr>
          <w:color w:val="000000" w:themeColor="text1"/>
        </w:rPr>
        <w:t>4</w:t>
      </w:r>
      <w:r w:rsidR="007C2ADE" w:rsidRPr="00835A40">
        <w:rPr>
          <w:color w:val="000000" w:themeColor="text1"/>
        </w:rPr>
        <w:t>. Ethical Fundamentals in Health and Social Care</w:t>
      </w:r>
      <w:bookmarkEnd w:id="13"/>
    </w:p>
    <w:p w14:paraId="3F8DDB9C" w14:textId="506B1D08" w:rsidR="007C2ADE" w:rsidRPr="00835A40" w:rsidRDefault="00D40680" w:rsidP="007B3C1E">
      <w:pPr>
        <w:pStyle w:val="Heading2"/>
        <w:rPr>
          <w:color w:val="000000" w:themeColor="text1"/>
        </w:rPr>
      </w:pPr>
      <w:bookmarkStart w:id="14" w:name="_Toc210777066"/>
      <w:r w:rsidRPr="00835A40">
        <w:rPr>
          <w:color w:val="000000" w:themeColor="text1"/>
        </w:rPr>
        <w:t xml:space="preserve">4.1 </w:t>
      </w:r>
      <w:r w:rsidR="007C2ADE" w:rsidRPr="00835A40">
        <w:rPr>
          <w:color w:val="000000" w:themeColor="text1"/>
        </w:rPr>
        <w:t>Main Ethical Principles</w:t>
      </w:r>
      <w:bookmarkEnd w:id="14"/>
    </w:p>
    <w:p w14:paraId="402EC145" w14:textId="4047ECA9"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Ethics in health and social care means doing what is right and fair. There are six main values. Autonomy means letting people make their own choices. Dignity means treating people with respect. Confidentiality means keeping personal information private. Beneficence means doing good for others. Non-maleficence means not doing harm. Justice means giving fair care to everyone (Beauchamp and Childress, 201</w:t>
      </w:r>
      <w:r w:rsidR="0086707E" w:rsidRPr="00835A40">
        <w:rPr>
          <w:rFonts w:ascii="Arial" w:hAnsi="Arial" w:cs="Arial"/>
          <w:color w:val="000000" w:themeColor="text1"/>
          <w:sz w:val="22"/>
        </w:rPr>
        <w:t>9</w:t>
      </w:r>
      <w:r w:rsidRPr="00835A40">
        <w:rPr>
          <w:rFonts w:ascii="Arial" w:hAnsi="Arial" w:cs="Arial"/>
          <w:color w:val="000000" w:themeColor="text1"/>
          <w:sz w:val="22"/>
        </w:rPr>
        <w:t>).</w:t>
      </w:r>
    </w:p>
    <w:p w14:paraId="5CB9467C" w14:textId="79CC94FF" w:rsidR="007C2ADE" w:rsidRPr="00835A40" w:rsidRDefault="00D40680" w:rsidP="007B3C1E">
      <w:pPr>
        <w:pStyle w:val="Heading2"/>
        <w:rPr>
          <w:color w:val="000000" w:themeColor="text1"/>
        </w:rPr>
      </w:pPr>
      <w:bookmarkStart w:id="15" w:name="_Toc210777067"/>
      <w:r w:rsidRPr="00835A40">
        <w:rPr>
          <w:color w:val="000000" w:themeColor="text1"/>
        </w:rPr>
        <w:t xml:space="preserve">4.2 </w:t>
      </w:r>
      <w:r w:rsidR="007C2ADE" w:rsidRPr="00835A40">
        <w:rPr>
          <w:color w:val="000000" w:themeColor="text1"/>
        </w:rPr>
        <w:t>Ethics in Community Practice</w:t>
      </w:r>
      <w:bookmarkEnd w:id="15"/>
    </w:p>
    <w:p w14:paraId="4AD1FBC2"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In community care, these values help guide care. For example, when a nurse supports an older person at home, the nurse should ask the person what help they want. This shows autonomy and dignity. If the person shares health problems, the nurse must keep this private unless there is a risk to others. This follows confidentiality rules.</w:t>
      </w:r>
    </w:p>
    <w:p w14:paraId="74B40CDA" w14:textId="65469638"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If the care worker sees the person is not eating well, the worker should help by giving advice or support</w:t>
      </w:r>
      <w:r w:rsidR="006C300C" w:rsidRPr="00835A40">
        <w:rPr>
          <w:rFonts w:ascii="Arial" w:hAnsi="Arial" w:cs="Arial"/>
          <w:color w:val="000000" w:themeColor="text1"/>
          <w:sz w:val="22"/>
        </w:rPr>
        <w:t xml:space="preserve"> (HCPC, 2016)</w:t>
      </w:r>
      <w:r w:rsidRPr="00835A40">
        <w:rPr>
          <w:rFonts w:ascii="Arial" w:hAnsi="Arial" w:cs="Arial"/>
          <w:color w:val="000000" w:themeColor="text1"/>
          <w:sz w:val="22"/>
        </w:rPr>
        <w:t>. This is beneficence. At the same time, the worker must be careful not to give wrong food or force the person. That is non-maleficence. Giving the same quality of care to everyone, no matter their background, shows justice.</w:t>
      </w:r>
    </w:p>
    <w:p w14:paraId="3A5DFD0F" w14:textId="02D23107" w:rsidR="007C2ADE" w:rsidRPr="00835A40" w:rsidRDefault="00D40680" w:rsidP="007B3C1E">
      <w:pPr>
        <w:pStyle w:val="Heading2"/>
        <w:rPr>
          <w:color w:val="000000" w:themeColor="text1"/>
        </w:rPr>
      </w:pPr>
      <w:bookmarkStart w:id="16" w:name="_Toc210777068"/>
      <w:r w:rsidRPr="00835A40">
        <w:rPr>
          <w:color w:val="000000" w:themeColor="text1"/>
        </w:rPr>
        <w:t xml:space="preserve">4.3 </w:t>
      </w:r>
      <w:r w:rsidR="007C2ADE" w:rsidRPr="00835A40">
        <w:rPr>
          <w:color w:val="000000" w:themeColor="text1"/>
        </w:rPr>
        <w:t>Ethical Challenges</w:t>
      </w:r>
      <w:bookmarkEnd w:id="16"/>
    </w:p>
    <w:p w14:paraId="42C1F7A6"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Sometimes, it is hard to follow all values at the same time. A person may want to refuse help, but they are not safe alone. This makes it hard to respect autonomy and also keep them safe. This is a common problem in community care.</w:t>
      </w:r>
    </w:p>
    <w:p w14:paraId="264674EC" w14:textId="53BD9839" w:rsidR="007C2ADE" w:rsidRPr="00835A40" w:rsidRDefault="00D40680" w:rsidP="007B3C1E">
      <w:pPr>
        <w:pStyle w:val="Heading2"/>
        <w:rPr>
          <w:color w:val="000000" w:themeColor="text1"/>
        </w:rPr>
      </w:pPr>
      <w:bookmarkStart w:id="17" w:name="_Toc210777069"/>
      <w:r w:rsidRPr="00835A40">
        <w:rPr>
          <w:color w:val="000000" w:themeColor="text1"/>
        </w:rPr>
        <w:t xml:space="preserve">4.4 </w:t>
      </w:r>
      <w:r w:rsidR="007C2ADE" w:rsidRPr="00835A40">
        <w:rPr>
          <w:color w:val="000000" w:themeColor="text1"/>
        </w:rPr>
        <w:t>Professional Codes</w:t>
      </w:r>
      <w:bookmarkEnd w:id="17"/>
    </w:p>
    <w:p w14:paraId="78003E80"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Professional codes give clear rules. The Nursing and Midwifery Council (NMC, 2018) and Health and Care Professions Council (HCPC, 2016) give guidance. These codes help workers follow ethical values and give good, safe care.</w:t>
      </w:r>
    </w:p>
    <w:p w14:paraId="0E866C86" w14:textId="77777777" w:rsidR="00D40680" w:rsidRPr="00835A40" w:rsidRDefault="00D40680" w:rsidP="00F44B98">
      <w:pPr>
        <w:jc w:val="left"/>
        <w:rPr>
          <w:rFonts w:ascii="Arial" w:hAnsi="Arial" w:cs="Arial"/>
          <w:b/>
          <w:bCs/>
          <w:color w:val="000000" w:themeColor="text1"/>
          <w:sz w:val="22"/>
        </w:rPr>
      </w:pPr>
      <w:r w:rsidRPr="00835A40">
        <w:rPr>
          <w:rFonts w:ascii="Arial" w:hAnsi="Arial" w:cs="Arial"/>
          <w:b/>
          <w:bCs/>
          <w:color w:val="000000" w:themeColor="text1"/>
          <w:sz w:val="22"/>
        </w:rPr>
        <w:br w:type="page"/>
      </w:r>
    </w:p>
    <w:p w14:paraId="0CFE8C57" w14:textId="3ACB2C54" w:rsidR="007C2ADE" w:rsidRPr="00835A40" w:rsidRDefault="00D40680" w:rsidP="007B3C1E">
      <w:pPr>
        <w:pStyle w:val="Heading1"/>
        <w:rPr>
          <w:color w:val="000000" w:themeColor="text1"/>
        </w:rPr>
      </w:pPr>
      <w:bookmarkStart w:id="18" w:name="_Toc210777070"/>
      <w:r w:rsidRPr="00835A40">
        <w:rPr>
          <w:color w:val="000000" w:themeColor="text1"/>
        </w:rPr>
        <w:t>5</w:t>
      </w:r>
      <w:r w:rsidR="007C2ADE" w:rsidRPr="00835A40">
        <w:rPr>
          <w:color w:val="000000" w:themeColor="text1"/>
        </w:rPr>
        <w:t>. Evaluation of Partnership Working (PW)</w:t>
      </w:r>
      <w:bookmarkEnd w:id="18"/>
    </w:p>
    <w:p w14:paraId="1C5AAE97" w14:textId="44B56484" w:rsidR="007C2ADE" w:rsidRPr="00835A40" w:rsidRDefault="00D40680" w:rsidP="007B3C1E">
      <w:pPr>
        <w:pStyle w:val="Heading2"/>
        <w:rPr>
          <w:color w:val="000000" w:themeColor="text1"/>
        </w:rPr>
      </w:pPr>
      <w:bookmarkStart w:id="19" w:name="_Toc210777071"/>
      <w:r w:rsidRPr="00835A40">
        <w:rPr>
          <w:color w:val="000000" w:themeColor="text1"/>
        </w:rPr>
        <w:t xml:space="preserve">5.1 </w:t>
      </w:r>
      <w:r w:rsidR="007C2ADE" w:rsidRPr="00835A40">
        <w:rPr>
          <w:color w:val="000000" w:themeColor="text1"/>
        </w:rPr>
        <w:t>Definition of Partnership Working</w:t>
      </w:r>
      <w:bookmarkEnd w:id="19"/>
    </w:p>
    <w:p w14:paraId="5DE8872F" w14:textId="32AA9BD1"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Partnership working (PW) in health and social care means different professionals and services working together to support the same person</w:t>
      </w:r>
      <w:r w:rsidR="00A21C4A" w:rsidRPr="00835A40">
        <w:rPr>
          <w:rFonts w:ascii="Arial" w:hAnsi="Arial" w:cs="Arial"/>
          <w:color w:val="000000" w:themeColor="text1"/>
          <w:sz w:val="22"/>
        </w:rPr>
        <w:t xml:space="preserve"> (Glasby and Dickinson, 2014)</w:t>
      </w:r>
      <w:r w:rsidRPr="00835A40">
        <w:rPr>
          <w:rFonts w:ascii="Arial" w:hAnsi="Arial" w:cs="Arial"/>
          <w:color w:val="000000" w:themeColor="text1"/>
          <w:sz w:val="22"/>
        </w:rPr>
        <w:t>. This can include nurses, doctors, social workers, care workers, and therapists. They share information and plan care as a team.</w:t>
      </w:r>
    </w:p>
    <w:p w14:paraId="3C96F5FC" w14:textId="2DA57C32" w:rsidR="007C2ADE" w:rsidRPr="00835A40" w:rsidRDefault="00D40680" w:rsidP="007B3C1E">
      <w:pPr>
        <w:pStyle w:val="Heading2"/>
        <w:rPr>
          <w:color w:val="000000" w:themeColor="text1"/>
        </w:rPr>
      </w:pPr>
      <w:bookmarkStart w:id="20" w:name="_Toc210777072"/>
      <w:r w:rsidRPr="00835A40">
        <w:rPr>
          <w:color w:val="000000" w:themeColor="text1"/>
        </w:rPr>
        <w:t xml:space="preserve">5.2 </w:t>
      </w:r>
      <w:r w:rsidR="007C2ADE" w:rsidRPr="00835A40">
        <w:rPr>
          <w:color w:val="000000" w:themeColor="text1"/>
        </w:rPr>
        <w:t>Importance of PW</w:t>
      </w:r>
      <w:bookmarkEnd w:id="20"/>
    </w:p>
    <w:p w14:paraId="06678B35"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PW is important because it helps give care that is joined up. When professionals work together, the care becomes more organised. This helps to stop problems like repeating the same tests or missing information. It also gives better results for the service user, because all needs are looked at in one care plan (Hudson, 2002).</w:t>
      </w:r>
    </w:p>
    <w:p w14:paraId="4D542EBE" w14:textId="6641C974" w:rsidR="007C2ADE" w:rsidRPr="00835A40" w:rsidRDefault="00D40680" w:rsidP="007B3C1E">
      <w:pPr>
        <w:pStyle w:val="Heading2"/>
        <w:rPr>
          <w:color w:val="000000" w:themeColor="text1"/>
        </w:rPr>
      </w:pPr>
      <w:bookmarkStart w:id="21" w:name="_Toc210777073"/>
      <w:r w:rsidRPr="00835A40">
        <w:rPr>
          <w:color w:val="000000" w:themeColor="text1"/>
        </w:rPr>
        <w:t xml:space="preserve">5.3 </w:t>
      </w:r>
      <w:r w:rsidR="007C2ADE" w:rsidRPr="00835A40">
        <w:rPr>
          <w:color w:val="000000" w:themeColor="text1"/>
        </w:rPr>
        <w:t>Strengths of PW</w:t>
      </w:r>
      <w:bookmarkEnd w:id="21"/>
    </w:p>
    <w:p w14:paraId="31921B99"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One strength is that it gives holistic care. This means care that looks at the body, mind, and daily life. PW also allows for sharing resources like time, tools, and knowledge. It helps communication between services. For example, if a doctor and social worker speak often, they can make better plans.</w:t>
      </w:r>
    </w:p>
    <w:p w14:paraId="4D3977A0" w14:textId="4BFB6836" w:rsidR="007C2ADE" w:rsidRPr="00835A40" w:rsidRDefault="00D40680" w:rsidP="007B3C1E">
      <w:pPr>
        <w:pStyle w:val="Heading2"/>
        <w:rPr>
          <w:color w:val="000000" w:themeColor="text1"/>
        </w:rPr>
      </w:pPr>
      <w:bookmarkStart w:id="22" w:name="_Toc210777074"/>
      <w:r w:rsidRPr="00835A40">
        <w:rPr>
          <w:color w:val="000000" w:themeColor="text1"/>
        </w:rPr>
        <w:t xml:space="preserve">5.4 </w:t>
      </w:r>
      <w:r w:rsidR="007C2ADE" w:rsidRPr="00835A40">
        <w:rPr>
          <w:color w:val="000000" w:themeColor="text1"/>
        </w:rPr>
        <w:t>Challenges of PW</w:t>
      </w:r>
      <w:bookmarkEnd w:id="22"/>
    </w:p>
    <w:p w14:paraId="30AF140F"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PW also has some problems. Sometimes, professionals do not talk clearly or do not share enough information. This causes poor communication. There can also be role confusion, where each worker is not sure who should do what. Different services may also have different ways of working. These are called organisational cultures, and they can cause disagreement or delay in care (Sloper, 2004).</w:t>
      </w:r>
    </w:p>
    <w:p w14:paraId="47A1629C" w14:textId="5EE2436B"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PW can give better care when it works well, but it needs good teamwork, clear roles, and trust between workers</w:t>
      </w:r>
      <w:r w:rsidR="005F26F4" w:rsidRPr="00835A40">
        <w:rPr>
          <w:rFonts w:ascii="Arial" w:hAnsi="Arial" w:cs="Arial"/>
          <w:color w:val="000000" w:themeColor="text1"/>
          <w:sz w:val="22"/>
        </w:rPr>
        <w:t xml:space="preserve"> (NMC, 2018)</w:t>
      </w:r>
      <w:r w:rsidRPr="00835A40">
        <w:rPr>
          <w:rFonts w:ascii="Arial" w:hAnsi="Arial" w:cs="Arial"/>
          <w:color w:val="000000" w:themeColor="text1"/>
          <w:sz w:val="22"/>
        </w:rPr>
        <w:t>.</w:t>
      </w:r>
    </w:p>
    <w:p w14:paraId="7E47CF3D" w14:textId="77777777" w:rsidR="00D40680" w:rsidRPr="00835A40" w:rsidRDefault="00D40680" w:rsidP="00F44B98">
      <w:pPr>
        <w:jc w:val="left"/>
        <w:rPr>
          <w:rFonts w:ascii="Arial" w:hAnsi="Arial" w:cs="Arial"/>
          <w:b/>
          <w:bCs/>
          <w:color w:val="000000" w:themeColor="text1"/>
          <w:sz w:val="22"/>
        </w:rPr>
      </w:pPr>
      <w:r w:rsidRPr="00835A40">
        <w:rPr>
          <w:rFonts w:ascii="Arial" w:hAnsi="Arial" w:cs="Arial"/>
          <w:b/>
          <w:bCs/>
          <w:color w:val="000000" w:themeColor="text1"/>
          <w:sz w:val="22"/>
        </w:rPr>
        <w:br w:type="page"/>
      </w:r>
    </w:p>
    <w:p w14:paraId="564FA004" w14:textId="38BD3963" w:rsidR="007C2ADE" w:rsidRPr="00835A40" w:rsidRDefault="00D40680" w:rsidP="007B3C1E">
      <w:pPr>
        <w:pStyle w:val="Heading1"/>
        <w:rPr>
          <w:color w:val="000000" w:themeColor="text1"/>
        </w:rPr>
      </w:pPr>
      <w:bookmarkStart w:id="23" w:name="_Toc210777075"/>
      <w:r w:rsidRPr="00835A40">
        <w:rPr>
          <w:color w:val="000000" w:themeColor="text1"/>
        </w:rPr>
        <w:t>6</w:t>
      </w:r>
      <w:r w:rsidR="007C2ADE" w:rsidRPr="00835A40">
        <w:rPr>
          <w:color w:val="000000" w:themeColor="text1"/>
        </w:rPr>
        <w:t>. Application of PW in an Integrated Community Health and Social Care Team</w:t>
      </w:r>
      <w:bookmarkEnd w:id="23"/>
    </w:p>
    <w:p w14:paraId="47BA9B9C" w14:textId="22D268FC" w:rsidR="007C2ADE" w:rsidRPr="00835A40" w:rsidRDefault="00D40680" w:rsidP="007B3C1E">
      <w:pPr>
        <w:pStyle w:val="Heading2"/>
        <w:rPr>
          <w:color w:val="000000" w:themeColor="text1"/>
        </w:rPr>
      </w:pPr>
      <w:bookmarkStart w:id="24" w:name="_Toc210777076"/>
      <w:r w:rsidRPr="00835A40">
        <w:rPr>
          <w:color w:val="000000" w:themeColor="text1"/>
        </w:rPr>
        <w:t xml:space="preserve">6.1 </w:t>
      </w:r>
      <w:r w:rsidR="007C2ADE" w:rsidRPr="00835A40">
        <w:rPr>
          <w:color w:val="000000" w:themeColor="text1"/>
        </w:rPr>
        <w:t>Description of the Setting</w:t>
      </w:r>
      <w:bookmarkEnd w:id="24"/>
    </w:p>
    <w:p w14:paraId="5CF08790" w14:textId="26935348"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An Integrated Community Health and Social Care Team is made of professionals from different services. It usually includes nurses, social workers, GPs (doctors), occupational therapists, and care coordinators</w:t>
      </w:r>
      <w:r w:rsidR="002E77B2" w:rsidRPr="00835A40">
        <w:rPr>
          <w:rFonts w:ascii="Arial" w:hAnsi="Arial" w:cs="Arial"/>
          <w:color w:val="000000" w:themeColor="text1"/>
          <w:sz w:val="22"/>
        </w:rPr>
        <w:t xml:space="preserve"> (Department of Health and Social Care, 2014)</w:t>
      </w:r>
      <w:r w:rsidRPr="00835A40">
        <w:rPr>
          <w:rFonts w:ascii="Arial" w:hAnsi="Arial" w:cs="Arial"/>
          <w:color w:val="000000" w:themeColor="text1"/>
          <w:sz w:val="22"/>
        </w:rPr>
        <w:t>. These workers support people in the community, especially those who are older or have long-term health problems. The team helps people stay in their own homes and avoid hospital.</w:t>
      </w:r>
    </w:p>
    <w:p w14:paraId="128D7BA1" w14:textId="6FCFBA08" w:rsidR="007C2ADE" w:rsidRPr="00835A40" w:rsidRDefault="00D40680" w:rsidP="007B3C1E">
      <w:pPr>
        <w:pStyle w:val="Heading2"/>
        <w:rPr>
          <w:color w:val="000000" w:themeColor="text1"/>
        </w:rPr>
      </w:pPr>
      <w:bookmarkStart w:id="25" w:name="_Toc210777077"/>
      <w:r w:rsidRPr="00835A40">
        <w:rPr>
          <w:color w:val="000000" w:themeColor="text1"/>
        </w:rPr>
        <w:t xml:space="preserve">6.2 </w:t>
      </w:r>
      <w:r w:rsidR="007C2ADE" w:rsidRPr="00835A40">
        <w:rPr>
          <w:color w:val="000000" w:themeColor="text1"/>
        </w:rPr>
        <w:t>How They Collaborate to Deliver PCC</w:t>
      </w:r>
      <w:bookmarkEnd w:id="25"/>
    </w:p>
    <w:p w14:paraId="58CC7A92"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 team uses partnership working to give person-centred care. They meet often to discuss each person’s care plan. Each professional shares their skills and knowledge. For example, the nurse looks after medical needs, the social worker helps with housing or money problems, and the therapist helps with daily activities. The team listens to the person and includes them in the care plan. This shows good PCC.</w:t>
      </w:r>
    </w:p>
    <w:p w14:paraId="37871DE3" w14:textId="2DD354E2" w:rsidR="007C2ADE" w:rsidRPr="00835A40" w:rsidRDefault="00D40680" w:rsidP="007B3C1E">
      <w:pPr>
        <w:pStyle w:val="Heading2"/>
        <w:rPr>
          <w:color w:val="000000" w:themeColor="text1"/>
        </w:rPr>
      </w:pPr>
      <w:bookmarkStart w:id="26" w:name="_Toc210777078"/>
      <w:r w:rsidRPr="00835A40">
        <w:rPr>
          <w:color w:val="000000" w:themeColor="text1"/>
        </w:rPr>
        <w:t xml:space="preserve">6.3 </w:t>
      </w:r>
      <w:r w:rsidR="007C2ADE" w:rsidRPr="00835A40">
        <w:rPr>
          <w:color w:val="000000" w:themeColor="text1"/>
        </w:rPr>
        <w:t>Case Example</w:t>
      </w:r>
      <w:bookmarkEnd w:id="26"/>
    </w:p>
    <w:p w14:paraId="5592680D"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An older woman lives alone after a stroke. She cannot walk well and feels lonely. The GP checks her health, the nurse visits to give medicine, and the social worker arranges for a care worker to visit daily. A therapist helps her do simple exercises at home. The team meets every two weeks to check progress and change the care plan if needed.</w:t>
      </w:r>
    </w:p>
    <w:p w14:paraId="6CAEABB6" w14:textId="34A242B7" w:rsidR="007C2ADE" w:rsidRPr="00835A40" w:rsidRDefault="00D40680" w:rsidP="007B3C1E">
      <w:pPr>
        <w:pStyle w:val="Heading2"/>
        <w:rPr>
          <w:color w:val="000000" w:themeColor="text1"/>
        </w:rPr>
      </w:pPr>
      <w:bookmarkStart w:id="27" w:name="_Toc210777079"/>
      <w:r w:rsidRPr="00835A40">
        <w:rPr>
          <w:color w:val="000000" w:themeColor="text1"/>
        </w:rPr>
        <w:t xml:space="preserve">6.4 </w:t>
      </w:r>
      <w:r w:rsidR="007C2ADE" w:rsidRPr="00835A40">
        <w:rPr>
          <w:color w:val="000000" w:themeColor="text1"/>
        </w:rPr>
        <w:t>Outcomes for Service Users</w:t>
      </w:r>
      <w:bookmarkEnd w:id="27"/>
    </w:p>
    <w:p w14:paraId="03FE6207"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This kind of care helps the woman feel safe and supported. She gets help with her health and daily life. She stays in her own home, which makes her feel happy and in control.</w:t>
      </w:r>
    </w:p>
    <w:p w14:paraId="5103523A" w14:textId="31E91144" w:rsidR="007C2ADE" w:rsidRPr="00835A40" w:rsidRDefault="00D40680" w:rsidP="007B3C1E">
      <w:pPr>
        <w:pStyle w:val="Heading2"/>
        <w:rPr>
          <w:color w:val="000000" w:themeColor="text1"/>
        </w:rPr>
      </w:pPr>
      <w:bookmarkStart w:id="28" w:name="_Toc210777080"/>
      <w:r w:rsidRPr="00835A40">
        <w:rPr>
          <w:color w:val="000000" w:themeColor="text1"/>
        </w:rPr>
        <w:t xml:space="preserve">6.5 </w:t>
      </w:r>
      <w:r w:rsidR="007C2ADE" w:rsidRPr="00835A40">
        <w:rPr>
          <w:color w:val="000000" w:themeColor="text1"/>
        </w:rPr>
        <w:t>Challenges in Real Practice</w:t>
      </w:r>
      <w:bookmarkEnd w:id="28"/>
    </w:p>
    <w:p w14:paraId="152B893E" w14:textId="6B00DF97" w:rsidR="00D40680"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Sometimes, workers are too busy to meet. Messages may not be passed on clearly. Also, not all workers use the same system to keep records. This can slow down care. Good leadership and communication are needed to fix these problems</w:t>
      </w:r>
      <w:r w:rsidR="00DD3704" w:rsidRPr="00835A40">
        <w:rPr>
          <w:rFonts w:ascii="Arial" w:hAnsi="Arial" w:cs="Arial"/>
          <w:color w:val="000000" w:themeColor="text1"/>
          <w:sz w:val="22"/>
        </w:rPr>
        <w:t xml:space="preserve"> (NHS, 2019)</w:t>
      </w:r>
      <w:r w:rsidRPr="00835A40">
        <w:rPr>
          <w:rFonts w:ascii="Arial" w:hAnsi="Arial" w:cs="Arial"/>
          <w:color w:val="000000" w:themeColor="text1"/>
          <w:sz w:val="22"/>
        </w:rPr>
        <w:t>.</w:t>
      </w:r>
    </w:p>
    <w:p w14:paraId="591FDAD0" w14:textId="40A7AB45" w:rsidR="007C2ADE" w:rsidRPr="00835A40" w:rsidRDefault="00D40680" w:rsidP="007B3C1E">
      <w:pPr>
        <w:pStyle w:val="Heading1"/>
        <w:rPr>
          <w:color w:val="000000" w:themeColor="text1"/>
        </w:rPr>
      </w:pPr>
      <w:bookmarkStart w:id="29" w:name="_Toc210777081"/>
      <w:r w:rsidRPr="00835A40">
        <w:rPr>
          <w:color w:val="000000" w:themeColor="text1"/>
        </w:rPr>
        <w:t>7</w:t>
      </w:r>
      <w:r w:rsidR="007C2ADE" w:rsidRPr="00835A40">
        <w:rPr>
          <w:color w:val="000000" w:themeColor="text1"/>
        </w:rPr>
        <w:t>. Policy and Legislation Review</w:t>
      </w:r>
      <w:bookmarkEnd w:id="29"/>
    </w:p>
    <w:p w14:paraId="361A3E98"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Person-centred care (PCC) and partnership working (PW) are supported by many UK laws and policies. These rules help to give fair, safe, and joined-up care to people in health and social care settings.</w:t>
      </w:r>
    </w:p>
    <w:p w14:paraId="27E02FAD"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 Care Act 2014 says that local authorities must support a person’s well-being. This includes giving people choice, control, and respect in their care. It supports PCC by making the person’s needs the main focus of care planning (Department of Health and Social Care, 2014).</w:t>
      </w:r>
    </w:p>
    <w:p w14:paraId="5E91CD3F" w14:textId="341087F6"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 Health and Social Care Act 2012 encourages integration and collaboration between services</w:t>
      </w:r>
      <w:r w:rsidR="00032D6D" w:rsidRPr="00835A40">
        <w:rPr>
          <w:rFonts w:ascii="Arial" w:hAnsi="Arial" w:cs="Arial"/>
          <w:color w:val="000000" w:themeColor="text1"/>
          <w:sz w:val="22"/>
        </w:rPr>
        <w:t xml:space="preserve"> (</w:t>
      </w:r>
      <w:r w:rsidR="00032D6D" w:rsidRPr="00835A40">
        <w:rPr>
          <w:rFonts w:ascii="Arial" w:hAnsi="Arial" w:cs="Arial"/>
          <w:color w:val="000000" w:themeColor="text1"/>
          <w:sz w:val="22"/>
          <w:lang w:val="en-US"/>
        </w:rPr>
        <w:t>UK Government, 2012)</w:t>
      </w:r>
      <w:r w:rsidRPr="00835A40">
        <w:rPr>
          <w:rFonts w:ascii="Arial" w:hAnsi="Arial" w:cs="Arial"/>
          <w:color w:val="000000" w:themeColor="text1"/>
          <w:sz w:val="22"/>
        </w:rPr>
        <w:t>. It supports PW by asking different health and care organisations to work together for better outcomes.</w:t>
      </w:r>
    </w:p>
    <w:p w14:paraId="1A7BDC14" w14:textId="06902DBE"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 Equality Act 2010 protects people from discrimination. This includes care for all people, no matter their age, race, gender, or disability</w:t>
      </w:r>
      <w:r w:rsidR="00032D6D" w:rsidRPr="00835A40">
        <w:rPr>
          <w:rFonts w:ascii="Arial" w:hAnsi="Arial" w:cs="Arial"/>
          <w:color w:val="000000" w:themeColor="text1"/>
          <w:sz w:val="22"/>
        </w:rPr>
        <w:t xml:space="preserve"> (</w:t>
      </w:r>
      <w:r w:rsidR="00032D6D" w:rsidRPr="00835A40">
        <w:rPr>
          <w:rFonts w:ascii="Arial" w:hAnsi="Arial" w:cs="Arial"/>
          <w:color w:val="000000" w:themeColor="text1"/>
          <w:sz w:val="22"/>
          <w:lang w:val="en-US"/>
        </w:rPr>
        <w:t>UK Government, 2010)</w:t>
      </w:r>
      <w:r w:rsidRPr="00835A40">
        <w:rPr>
          <w:rFonts w:ascii="Arial" w:hAnsi="Arial" w:cs="Arial"/>
          <w:color w:val="000000" w:themeColor="text1"/>
          <w:sz w:val="22"/>
        </w:rPr>
        <w:t>. It supports PCC by making sure care is fair and equal.</w:t>
      </w:r>
    </w:p>
    <w:p w14:paraId="1CB6BE37" w14:textId="3F41A425"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 Human Rights Act 1998 gives people the right to dignity, privacy, and autonomy</w:t>
      </w:r>
      <w:r w:rsidR="00032D6D" w:rsidRPr="00835A40">
        <w:rPr>
          <w:rFonts w:ascii="Arial" w:hAnsi="Arial" w:cs="Arial"/>
          <w:color w:val="000000" w:themeColor="text1"/>
          <w:sz w:val="22"/>
        </w:rPr>
        <w:t xml:space="preserve"> (</w:t>
      </w:r>
      <w:r w:rsidR="00032D6D" w:rsidRPr="00835A40">
        <w:rPr>
          <w:rFonts w:ascii="Arial" w:hAnsi="Arial" w:cs="Arial"/>
          <w:color w:val="000000" w:themeColor="text1"/>
          <w:sz w:val="22"/>
          <w:lang w:val="en-US"/>
        </w:rPr>
        <w:t>UK Government, 1998)</w:t>
      </w:r>
      <w:r w:rsidRPr="00835A40">
        <w:rPr>
          <w:rFonts w:ascii="Arial" w:hAnsi="Arial" w:cs="Arial"/>
          <w:color w:val="000000" w:themeColor="text1"/>
          <w:sz w:val="22"/>
        </w:rPr>
        <w:t>. These are key values in PCC and PW.</w:t>
      </w:r>
    </w:p>
    <w:p w14:paraId="29ABFA61"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 NHS Long Term Plan (NHS, 2019) also supports joined-up care and focuses on treating people at home or in the community, not just in hospital.</w:t>
      </w:r>
    </w:p>
    <w:p w14:paraId="45B13022"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These laws and policies help make PCC and PW possible, but sometimes, not enough money or staff makes it hard to follow them fully.</w:t>
      </w:r>
    </w:p>
    <w:p w14:paraId="26293741" w14:textId="77777777" w:rsidR="00D40680" w:rsidRPr="00835A40" w:rsidRDefault="00D40680" w:rsidP="00F44B98">
      <w:pPr>
        <w:jc w:val="left"/>
        <w:rPr>
          <w:rFonts w:ascii="Arial" w:hAnsi="Arial" w:cs="Arial"/>
          <w:b/>
          <w:bCs/>
          <w:color w:val="000000" w:themeColor="text1"/>
          <w:sz w:val="22"/>
        </w:rPr>
      </w:pPr>
      <w:r w:rsidRPr="00835A40">
        <w:rPr>
          <w:rFonts w:ascii="Arial" w:hAnsi="Arial" w:cs="Arial"/>
          <w:b/>
          <w:bCs/>
          <w:color w:val="000000" w:themeColor="text1"/>
          <w:sz w:val="22"/>
        </w:rPr>
        <w:br w:type="page"/>
      </w:r>
    </w:p>
    <w:p w14:paraId="155A65F6" w14:textId="40726CCC" w:rsidR="007C2ADE" w:rsidRPr="00835A40" w:rsidRDefault="00D40680" w:rsidP="007B3C1E">
      <w:pPr>
        <w:pStyle w:val="Heading1"/>
        <w:rPr>
          <w:color w:val="000000" w:themeColor="text1"/>
        </w:rPr>
      </w:pPr>
      <w:bookmarkStart w:id="30" w:name="_Toc210777082"/>
      <w:r w:rsidRPr="00835A40">
        <w:rPr>
          <w:color w:val="000000" w:themeColor="text1"/>
        </w:rPr>
        <w:t>8</w:t>
      </w:r>
      <w:r w:rsidR="007C2ADE" w:rsidRPr="00835A40">
        <w:rPr>
          <w:color w:val="000000" w:themeColor="text1"/>
        </w:rPr>
        <w:t>. Recommendations for Future Practice</w:t>
      </w:r>
      <w:bookmarkEnd w:id="30"/>
    </w:p>
    <w:p w14:paraId="4806443E"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Better person-centred care (PCC) and partnership working (PW) can be achieved with some key improvements. First, more training is needed for staff. This training should teach how to respect people’s rights and how to make good ethical decisions. Workers should understand how to give care that fits each person’s needs.</w:t>
      </w:r>
    </w:p>
    <w:p w14:paraId="3374C901"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Second, there should be more money spent on digital systems. If all team members use the same system to share notes and updates, care becomes faster and clearer. This helps partnership working.</w:t>
      </w:r>
    </w:p>
    <w:p w14:paraId="224FF3F9"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Third, the government should give more funding and policy support for integrated teams. With better support, teams can work together more easily and give care in people’s homes or communities.</w:t>
      </w:r>
    </w:p>
    <w:p w14:paraId="704F4B4E"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These steps are realistic and can make a real difference. They can help services work better and give safer, fairer, and more person-focused care (NHS, 2019; Health Foundation, 2016).</w:t>
      </w:r>
    </w:p>
    <w:p w14:paraId="2D08E3DA" w14:textId="5C75840E" w:rsidR="007C2ADE" w:rsidRPr="00835A40" w:rsidRDefault="007C2ADE" w:rsidP="00F44B98">
      <w:pPr>
        <w:rPr>
          <w:rFonts w:ascii="Arial" w:hAnsi="Arial" w:cs="Arial"/>
          <w:color w:val="000000" w:themeColor="text1"/>
          <w:sz w:val="22"/>
        </w:rPr>
      </w:pPr>
    </w:p>
    <w:p w14:paraId="7EA1BF80" w14:textId="77777777" w:rsidR="00D40680" w:rsidRPr="00835A40" w:rsidRDefault="00D40680" w:rsidP="00F44B98">
      <w:pPr>
        <w:jc w:val="left"/>
        <w:rPr>
          <w:rFonts w:ascii="Arial" w:hAnsi="Arial" w:cs="Arial"/>
          <w:b/>
          <w:bCs/>
          <w:color w:val="000000" w:themeColor="text1"/>
          <w:sz w:val="22"/>
        </w:rPr>
      </w:pPr>
      <w:r w:rsidRPr="00835A40">
        <w:rPr>
          <w:rFonts w:ascii="Arial" w:hAnsi="Arial" w:cs="Arial"/>
          <w:b/>
          <w:bCs/>
          <w:color w:val="000000" w:themeColor="text1"/>
          <w:sz w:val="22"/>
        </w:rPr>
        <w:br w:type="page"/>
      </w:r>
    </w:p>
    <w:p w14:paraId="4919E70E" w14:textId="06303B0D" w:rsidR="007C2ADE" w:rsidRPr="00835A40" w:rsidRDefault="00D40680" w:rsidP="007B3C1E">
      <w:pPr>
        <w:pStyle w:val="Heading1"/>
        <w:rPr>
          <w:color w:val="000000" w:themeColor="text1"/>
        </w:rPr>
      </w:pPr>
      <w:bookmarkStart w:id="31" w:name="_Toc210777083"/>
      <w:r w:rsidRPr="00835A40">
        <w:rPr>
          <w:color w:val="000000" w:themeColor="text1"/>
        </w:rPr>
        <w:t>9</w:t>
      </w:r>
      <w:r w:rsidR="007C2ADE" w:rsidRPr="00835A40">
        <w:rPr>
          <w:color w:val="000000" w:themeColor="text1"/>
        </w:rPr>
        <w:t>. Conclusion</w:t>
      </w:r>
      <w:bookmarkEnd w:id="31"/>
    </w:p>
    <w:p w14:paraId="01C1DB28"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Person-centred care (PCC) means planning care that fits each person’s needs and wishes. Partnership working (PW) means different professionals work together to support the same person. Both are important in health and social care.</w:t>
      </w:r>
    </w:p>
    <w:p w14:paraId="0501438F"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UK laws and policies, like the Care Act 2014 and the NHS Long Term Plan, support these ways of working. They help services give care that is fair, safe, and respectful.</w:t>
      </w:r>
    </w:p>
    <w:p w14:paraId="1C897702"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 Biopsychosocial Model is a useful theory because it looks at the whole person, not just the illness. This model supports PCC and is used in community teams. Integrated Community Health and Social Care Teams are a good example of PW in real life.</w:t>
      </w:r>
    </w:p>
    <w:p w14:paraId="60A738B8"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To improve care, training must be better. Digital systems should help teams share information. More money and support are needed for team working.</w:t>
      </w:r>
    </w:p>
    <w:p w14:paraId="0A37D3DC" w14:textId="77777777" w:rsidR="007C2ADE" w:rsidRPr="00835A40" w:rsidRDefault="007C2ADE" w:rsidP="00F44B98">
      <w:pPr>
        <w:rPr>
          <w:rFonts w:ascii="Arial" w:hAnsi="Arial" w:cs="Arial"/>
          <w:color w:val="000000" w:themeColor="text1"/>
          <w:sz w:val="22"/>
        </w:rPr>
      </w:pPr>
      <w:r w:rsidRPr="00835A40">
        <w:rPr>
          <w:rFonts w:ascii="Arial" w:hAnsi="Arial" w:cs="Arial"/>
          <w:color w:val="000000" w:themeColor="text1"/>
          <w:sz w:val="22"/>
        </w:rPr>
        <w:t>These changes can help people feel safe, respected, and well cared for in their homes and communities.</w:t>
      </w:r>
    </w:p>
    <w:p w14:paraId="5A2BD83F" w14:textId="4438C369" w:rsidR="00E36253" w:rsidRPr="00835A40" w:rsidRDefault="00E36253" w:rsidP="00F44B98">
      <w:pPr>
        <w:jc w:val="left"/>
        <w:rPr>
          <w:rFonts w:ascii="Arial" w:hAnsi="Arial" w:cs="Arial"/>
          <w:color w:val="000000" w:themeColor="text1"/>
          <w:sz w:val="22"/>
        </w:rPr>
      </w:pPr>
      <w:r w:rsidRPr="00835A40">
        <w:rPr>
          <w:rFonts w:ascii="Arial" w:hAnsi="Arial" w:cs="Arial"/>
          <w:color w:val="000000" w:themeColor="text1"/>
          <w:sz w:val="22"/>
        </w:rPr>
        <w:br w:type="page"/>
      </w:r>
    </w:p>
    <w:p w14:paraId="50AD6484" w14:textId="25C67796" w:rsidR="00C77AB4" w:rsidRPr="00835A40" w:rsidRDefault="00E36253" w:rsidP="007B3C1E">
      <w:pPr>
        <w:pStyle w:val="Heading1"/>
        <w:rPr>
          <w:color w:val="000000" w:themeColor="text1"/>
        </w:rPr>
      </w:pPr>
      <w:bookmarkStart w:id="32" w:name="_Toc210777084"/>
      <w:r w:rsidRPr="00835A40">
        <w:rPr>
          <w:color w:val="000000" w:themeColor="text1"/>
        </w:rPr>
        <w:t>10. References</w:t>
      </w:r>
      <w:bookmarkEnd w:id="32"/>
    </w:p>
    <w:p w14:paraId="1EA8C7E0" w14:textId="25D71C59" w:rsidR="00B0093F" w:rsidRPr="00835A40" w:rsidRDefault="0086707E"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Beauchamp, T.L. and Childress, J.F. (2019) </w:t>
      </w:r>
      <w:r w:rsidRPr="00835A40">
        <w:rPr>
          <w:rFonts w:ascii="Arial" w:hAnsi="Arial" w:cs="Arial"/>
          <w:i/>
          <w:iCs/>
          <w:color w:val="000000" w:themeColor="text1"/>
          <w:sz w:val="22"/>
          <w:lang w:val="en-US"/>
        </w:rPr>
        <w:t>Principles of Biomedical Ethics</w:t>
      </w:r>
      <w:r w:rsidRPr="00835A40">
        <w:rPr>
          <w:rFonts w:ascii="Arial" w:hAnsi="Arial" w:cs="Arial"/>
          <w:color w:val="000000" w:themeColor="text1"/>
          <w:sz w:val="22"/>
          <w:lang w:val="en-US"/>
        </w:rPr>
        <w:t>. 8th edn. Oxford University Press.</w:t>
      </w:r>
    </w:p>
    <w:p w14:paraId="4C08A25C" w14:textId="614BA34A" w:rsidR="00B0093F" w:rsidRPr="00835A40" w:rsidRDefault="0086707E"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Borrell-Carrio, F., Suchman, A. and Epstein, R. (2004) ‘The Biopsychosocial Model 25 Years Later: Principles, Practice, and Scientific Inquiry’, </w:t>
      </w:r>
      <w:r w:rsidRPr="00835A40">
        <w:rPr>
          <w:rFonts w:ascii="Arial" w:hAnsi="Arial" w:cs="Arial"/>
          <w:i/>
          <w:iCs/>
          <w:color w:val="000000" w:themeColor="text1"/>
          <w:sz w:val="22"/>
          <w:lang w:val="en-US"/>
        </w:rPr>
        <w:t>The Annals of Family Medicine</w:t>
      </w:r>
      <w:r w:rsidRPr="00835A40">
        <w:rPr>
          <w:rFonts w:ascii="Arial" w:hAnsi="Arial" w:cs="Arial"/>
          <w:color w:val="000000" w:themeColor="text1"/>
          <w:sz w:val="22"/>
          <w:lang w:val="en-US"/>
        </w:rPr>
        <w:t>, 2(6), pp. 576–582. Available at: https://doi.org/10.1370/afm.245.</w:t>
      </w:r>
    </w:p>
    <w:p w14:paraId="1E42F5F5" w14:textId="1D3D4A15" w:rsidR="0086707E" w:rsidRPr="00835A40" w:rsidRDefault="0086707E"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Brooker, D. (2016) </w:t>
      </w:r>
      <w:r w:rsidRPr="00835A40">
        <w:rPr>
          <w:rFonts w:ascii="Arial" w:hAnsi="Arial" w:cs="Arial"/>
          <w:i/>
          <w:iCs/>
          <w:color w:val="000000" w:themeColor="text1"/>
          <w:sz w:val="22"/>
          <w:lang w:val="en-US"/>
        </w:rPr>
        <w:t>Person-Centred Dementia Care, Second Edition : Making Services Better with the VIPS Framework</w:t>
      </w:r>
      <w:r w:rsidRPr="00835A40">
        <w:rPr>
          <w:rFonts w:ascii="Arial" w:hAnsi="Arial" w:cs="Arial"/>
          <w:color w:val="000000" w:themeColor="text1"/>
          <w:sz w:val="22"/>
          <w:lang w:val="en-US"/>
        </w:rPr>
        <w:t>. 2nd edn. Jessica Kingsley Publishers.</w:t>
      </w:r>
    </w:p>
    <w:p w14:paraId="56579C08" w14:textId="4A6BA26C"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Department of Health and Social Care (2014) </w:t>
      </w:r>
      <w:r w:rsidRPr="00835A40">
        <w:rPr>
          <w:rFonts w:ascii="Arial" w:hAnsi="Arial" w:cs="Arial"/>
          <w:i/>
          <w:iCs/>
          <w:color w:val="000000" w:themeColor="text1"/>
          <w:sz w:val="22"/>
          <w:lang w:val="en-US"/>
        </w:rPr>
        <w:t>Care Act 2014</w:t>
      </w:r>
      <w:r w:rsidRPr="00835A40">
        <w:rPr>
          <w:rFonts w:ascii="Arial" w:hAnsi="Arial" w:cs="Arial"/>
          <w:color w:val="000000" w:themeColor="text1"/>
          <w:sz w:val="22"/>
          <w:lang w:val="en-US"/>
        </w:rPr>
        <w:t>. London: The Stationery Office.</w:t>
      </w:r>
    </w:p>
    <w:p w14:paraId="7A09BCF1" w14:textId="77777777"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Engel, G.L. (1977) ‘The need for a new medical model: A challenge for biomedicine.’ </w:t>
      </w:r>
      <w:r w:rsidRPr="00835A40">
        <w:rPr>
          <w:rFonts w:ascii="Arial" w:hAnsi="Arial" w:cs="Arial"/>
          <w:i/>
          <w:iCs/>
          <w:color w:val="000000" w:themeColor="text1"/>
          <w:sz w:val="22"/>
          <w:lang w:val="en-US"/>
        </w:rPr>
        <w:t>Science</w:t>
      </w:r>
      <w:r w:rsidRPr="00835A40">
        <w:rPr>
          <w:rFonts w:ascii="Arial" w:hAnsi="Arial" w:cs="Arial"/>
          <w:color w:val="000000" w:themeColor="text1"/>
          <w:sz w:val="22"/>
          <w:lang w:val="en-US"/>
        </w:rPr>
        <w:t>, 196(4286), pp. 129–136.</w:t>
      </w:r>
    </w:p>
    <w:p w14:paraId="62A258D1" w14:textId="6695E756" w:rsidR="00B0093F" w:rsidRPr="00835A40" w:rsidRDefault="0086707E"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Glasby, J. and Dickinson, H. (2014) </w:t>
      </w:r>
      <w:r w:rsidRPr="00835A40">
        <w:rPr>
          <w:rFonts w:ascii="Arial" w:hAnsi="Arial" w:cs="Arial"/>
          <w:i/>
          <w:iCs/>
          <w:color w:val="000000" w:themeColor="text1"/>
          <w:sz w:val="22"/>
          <w:lang w:val="en-US"/>
        </w:rPr>
        <w:t>Partnership Working in Health and Social Care : What Is Integrated Care and How Can We Deliver it?</w:t>
      </w:r>
      <w:r w:rsidRPr="00835A40">
        <w:rPr>
          <w:rFonts w:ascii="Arial" w:hAnsi="Arial" w:cs="Arial"/>
          <w:color w:val="000000" w:themeColor="text1"/>
          <w:sz w:val="22"/>
          <w:lang w:val="en-US"/>
        </w:rPr>
        <w:t xml:space="preserve"> 2nd edn. Policy Press.</w:t>
      </w:r>
    </w:p>
    <w:p w14:paraId="09364017" w14:textId="0FC57C81" w:rsidR="00B0093F" w:rsidRPr="00835A40" w:rsidRDefault="0086707E" w:rsidP="00F44B98">
      <w:pPr>
        <w:rPr>
          <w:rFonts w:ascii="Arial" w:hAnsi="Arial" w:cs="Arial"/>
          <w:color w:val="000000" w:themeColor="text1"/>
          <w:sz w:val="22"/>
          <w:lang w:val="en-US"/>
        </w:rPr>
      </w:pPr>
      <w:r w:rsidRPr="00835A40">
        <w:rPr>
          <w:rFonts w:ascii="Arial" w:hAnsi="Arial" w:cs="Arial"/>
          <w:color w:val="000000" w:themeColor="text1"/>
          <w:sz w:val="22"/>
          <w:lang w:val="en-US"/>
        </w:rPr>
        <w:t>Health Foundation (2016) Person-centred care made simple : What everyone should know about person-centred care. Health Foundation. Available at: https://www.health.org.uk/sites/default/files/PersonCentredCareMadeSimple.pdf.</w:t>
      </w:r>
    </w:p>
    <w:p w14:paraId="014576FE" w14:textId="6E0D3BF9" w:rsidR="00B0093F" w:rsidRPr="00835A40" w:rsidRDefault="00D71095"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Hudson, B. (2002) ‘Interprofessionality in health and social care: the Achilles’ heel of partnership?’, </w:t>
      </w:r>
      <w:r w:rsidRPr="00835A40">
        <w:rPr>
          <w:rFonts w:ascii="Arial" w:hAnsi="Arial" w:cs="Arial"/>
          <w:i/>
          <w:iCs/>
          <w:color w:val="000000" w:themeColor="text1"/>
          <w:sz w:val="22"/>
          <w:lang w:val="en-US"/>
        </w:rPr>
        <w:t>Journal of Interprofessional Care</w:t>
      </w:r>
      <w:r w:rsidRPr="00835A40">
        <w:rPr>
          <w:rFonts w:ascii="Arial" w:hAnsi="Arial" w:cs="Arial"/>
          <w:color w:val="000000" w:themeColor="text1"/>
          <w:sz w:val="22"/>
          <w:lang w:val="en-US"/>
        </w:rPr>
        <w:t>, 16(1), pp. 7–17. Available at: https://doi.org/10.1080/13561820220104122.</w:t>
      </w:r>
    </w:p>
    <w:p w14:paraId="60F2B06F" w14:textId="19ADD291" w:rsidR="00B0093F" w:rsidRPr="00835A40" w:rsidRDefault="00A75970"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Health &amp; Care Professions Council (HCPC) (2016) </w:t>
      </w:r>
      <w:r w:rsidRPr="00835A40">
        <w:rPr>
          <w:rFonts w:ascii="Arial" w:hAnsi="Arial" w:cs="Arial"/>
          <w:i/>
          <w:iCs/>
          <w:color w:val="000000" w:themeColor="text1"/>
          <w:sz w:val="22"/>
          <w:lang w:val="en-US"/>
        </w:rPr>
        <w:t>Standards of conduct, performance and ethics.</w:t>
      </w:r>
      <w:r w:rsidRPr="00835A40">
        <w:rPr>
          <w:rFonts w:ascii="Arial" w:hAnsi="Arial" w:cs="Arial"/>
          <w:color w:val="000000" w:themeColor="text1"/>
          <w:sz w:val="22"/>
          <w:lang w:val="en-US"/>
        </w:rPr>
        <w:t xml:space="preserve"> Health &amp; Care Professions Council. Available at: https://www.hcpc-uk.org/globalassets/resources/standards/standards-of-conduct-performance-and-ethics.pdf.</w:t>
      </w:r>
    </w:p>
    <w:p w14:paraId="59677B13" w14:textId="77777777"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NHS (2019) </w:t>
      </w:r>
      <w:r w:rsidRPr="00835A40">
        <w:rPr>
          <w:rFonts w:ascii="Arial" w:hAnsi="Arial" w:cs="Arial"/>
          <w:i/>
          <w:iCs/>
          <w:color w:val="000000" w:themeColor="text1"/>
          <w:sz w:val="22"/>
          <w:lang w:val="en-US"/>
        </w:rPr>
        <w:t>The NHS Long Term Plan</w:t>
      </w:r>
      <w:r w:rsidRPr="00835A40">
        <w:rPr>
          <w:rFonts w:ascii="Arial" w:hAnsi="Arial" w:cs="Arial"/>
          <w:color w:val="000000" w:themeColor="text1"/>
          <w:sz w:val="22"/>
          <w:lang w:val="en-US"/>
        </w:rPr>
        <w:t>. London: NHS England.</w:t>
      </w:r>
    </w:p>
    <w:p w14:paraId="71E96AA8" w14:textId="77777777"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NICE (National Institute for Health and Care Excellence) (2021) </w:t>
      </w:r>
      <w:r w:rsidRPr="00835A40">
        <w:rPr>
          <w:rFonts w:ascii="Arial" w:hAnsi="Arial" w:cs="Arial"/>
          <w:i/>
          <w:iCs/>
          <w:color w:val="000000" w:themeColor="text1"/>
          <w:sz w:val="22"/>
          <w:lang w:val="en-US"/>
        </w:rPr>
        <w:t>Person-Centred Care Overview</w:t>
      </w:r>
      <w:r w:rsidRPr="00835A40">
        <w:rPr>
          <w:rFonts w:ascii="Arial" w:hAnsi="Arial" w:cs="Arial"/>
          <w:color w:val="000000" w:themeColor="text1"/>
          <w:sz w:val="22"/>
          <w:lang w:val="en-US"/>
        </w:rPr>
        <w:t>. Available at: https://www.nice.org.uk/about/what-we-do/our-programmes/nice-guidance/nice-guidelines/person-centred-care (Accessed: 8 October 2025).</w:t>
      </w:r>
    </w:p>
    <w:p w14:paraId="22AD984F" w14:textId="77777777"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NMC (Nursing and Midwifery Council) (2018) </w:t>
      </w:r>
      <w:r w:rsidRPr="00835A40">
        <w:rPr>
          <w:rFonts w:ascii="Arial" w:hAnsi="Arial" w:cs="Arial"/>
          <w:i/>
          <w:iCs/>
          <w:color w:val="000000" w:themeColor="text1"/>
          <w:sz w:val="22"/>
          <w:lang w:val="en-US"/>
        </w:rPr>
        <w:t>The Code: Professional Standards of Practice and Behaviour for Nurses, Midwives and Nursing Associates</w:t>
      </w:r>
      <w:r w:rsidRPr="00835A40">
        <w:rPr>
          <w:rFonts w:ascii="Arial" w:hAnsi="Arial" w:cs="Arial"/>
          <w:color w:val="000000" w:themeColor="text1"/>
          <w:sz w:val="22"/>
          <w:lang w:val="en-US"/>
        </w:rPr>
        <w:t>. London: NMC.</w:t>
      </w:r>
    </w:p>
    <w:p w14:paraId="78B8CA1D" w14:textId="22EFEE9A" w:rsidR="00B0093F" w:rsidRPr="00835A40" w:rsidRDefault="00A75970"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Pilgrim, D. (2002) ‘The biopsychosocial model in Anglo-American psychiatry: Past, present and future?’, </w:t>
      </w:r>
      <w:r w:rsidRPr="00835A40">
        <w:rPr>
          <w:rFonts w:ascii="Arial" w:hAnsi="Arial" w:cs="Arial"/>
          <w:i/>
          <w:iCs/>
          <w:color w:val="000000" w:themeColor="text1"/>
          <w:sz w:val="22"/>
          <w:lang w:val="en-US"/>
        </w:rPr>
        <w:t>Journal of Mental Health</w:t>
      </w:r>
      <w:r w:rsidRPr="00835A40">
        <w:rPr>
          <w:rFonts w:ascii="Arial" w:hAnsi="Arial" w:cs="Arial"/>
          <w:color w:val="000000" w:themeColor="text1"/>
          <w:sz w:val="22"/>
          <w:lang w:val="en-US"/>
        </w:rPr>
        <w:t>, 11(6), pp. 585–594. Available at: https://doi.org/10.1080/09638230020023930.</w:t>
      </w:r>
    </w:p>
    <w:p w14:paraId="642EBC4F" w14:textId="6F38EACB"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SCIE (Social Care Institute for Excellence) (2020) </w:t>
      </w:r>
      <w:r w:rsidRPr="00835A40">
        <w:rPr>
          <w:rFonts w:ascii="Arial" w:hAnsi="Arial" w:cs="Arial"/>
          <w:i/>
          <w:iCs/>
          <w:color w:val="000000" w:themeColor="text1"/>
          <w:sz w:val="22"/>
          <w:lang w:val="en-US"/>
        </w:rPr>
        <w:t>Person-Centred Care</w:t>
      </w:r>
      <w:r w:rsidRPr="00835A40">
        <w:rPr>
          <w:rFonts w:ascii="Arial" w:hAnsi="Arial" w:cs="Arial"/>
          <w:color w:val="000000" w:themeColor="text1"/>
          <w:sz w:val="22"/>
          <w:lang w:val="en-US"/>
        </w:rPr>
        <w:t xml:space="preserve">. Available at: https://www.scie.org.uk/person-centred-care </w:t>
      </w:r>
    </w:p>
    <w:p w14:paraId="6FFB139D" w14:textId="7B2A0BC8"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Sloper, P. (2004) ‘Facilitators and Barriers for Co-Ordinated Multi-Agency Services’, </w:t>
      </w:r>
      <w:r w:rsidRPr="00835A40">
        <w:rPr>
          <w:rFonts w:ascii="Arial" w:hAnsi="Arial" w:cs="Arial"/>
          <w:i/>
          <w:iCs/>
          <w:color w:val="000000" w:themeColor="text1"/>
          <w:sz w:val="22"/>
          <w:lang w:val="en-US"/>
        </w:rPr>
        <w:t>Child: Care, Health and Development</w:t>
      </w:r>
      <w:r w:rsidRPr="00835A40">
        <w:rPr>
          <w:rFonts w:ascii="Arial" w:hAnsi="Arial" w:cs="Arial"/>
          <w:color w:val="000000" w:themeColor="text1"/>
          <w:sz w:val="22"/>
          <w:lang w:val="en-US"/>
        </w:rPr>
        <w:t>, 30(6), pp. 571–580. Available at: https://onlinelibrary.wiley.com/doi/abs/10.1111/j.1365-2214.2004.00468.x.</w:t>
      </w:r>
    </w:p>
    <w:p w14:paraId="0E2C63FA" w14:textId="77777777"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UK Government (1998) </w:t>
      </w:r>
      <w:r w:rsidRPr="00835A40">
        <w:rPr>
          <w:rFonts w:ascii="Arial" w:hAnsi="Arial" w:cs="Arial"/>
          <w:i/>
          <w:iCs/>
          <w:color w:val="000000" w:themeColor="text1"/>
          <w:sz w:val="22"/>
          <w:lang w:val="en-US"/>
        </w:rPr>
        <w:t>Human Rights Act 1998</w:t>
      </w:r>
      <w:r w:rsidRPr="00835A40">
        <w:rPr>
          <w:rFonts w:ascii="Arial" w:hAnsi="Arial" w:cs="Arial"/>
          <w:color w:val="000000" w:themeColor="text1"/>
          <w:sz w:val="22"/>
          <w:lang w:val="en-US"/>
        </w:rPr>
        <w:t>. London: The Stationery Office.</w:t>
      </w:r>
    </w:p>
    <w:p w14:paraId="58041DB3" w14:textId="77777777"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UK Government (2010) </w:t>
      </w:r>
      <w:r w:rsidRPr="00835A40">
        <w:rPr>
          <w:rFonts w:ascii="Arial" w:hAnsi="Arial" w:cs="Arial"/>
          <w:i/>
          <w:iCs/>
          <w:color w:val="000000" w:themeColor="text1"/>
          <w:sz w:val="22"/>
          <w:lang w:val="en-US"/>
        </w:rPr>
        <w:t>Equality Act 2010</w:t>
      </w:r>
      <w:r w:rsidRPr="00835A40">
        <w:rPr>
          <w:rFonts w:ascii="Arial" w:hAnsi="Arial" w:cs="Arial"/>
          <w:color w:val="000000" w:themeColor="text1"/>
          <w:sz w:val="22"/>
          <w:lang w:val="en-US"/>
        </w:rPr>
        <w:t>. London: The Stationery Office.</w:t>
      </w:r>
    </w:p>
    <w:p w14:paraId="30F4387D" w14:textId="77777777" w:rsidR="00B0093F" w:rsidRPr="00835A40" w:rsidRDefault="00B0093F" w:rsidP="00F44B98">
      <w:pPr>
        <w:rPr>
          <w:rFonts w:ascii="Arial" w:hAnsi="Arial" w:cs="Arial"/>
          <w:color w:val="000000" w:themeColor="text1"/>
          <w:sz w:val="22"/>
          <w:lang w:val="en-US"/>
        </w:rPr>
      </w:pPr>
      <w:r w:rsidRPr="00835A40">
        <w:rPr>
          <w:rFonts w:ascii="Arial" w:hAnsi="Arial" w:cs="Arial"/>
          <w:color w:val="000000" w:themeColor="text1"/>
          <w:sz w:val="22"/>
          <w:lang w:val="en-US"/>
        </w:rPr>
        <w:t xml:space="preserve">UK Government (2012) </w:t>
      </w:r>
      <w:r w:rsidRPr="00835A40">
        <w:rPr>
          <w:rFonts w:ascii="Arial" w:hAnsi="Arial" w:cs="Arial"/>
          <w:i/>
          <w:iCs/>
          <w:color w:val="000000" w:themeColor="text1"/>
          <w:sz w:val="22"/>
          <w:lang w:val="en-US"/>
        </w:rPr>
        <w:t>Health and Social Care Act 2012</w:t>
      </w:r>
      <w:r w:rsidRPr="00835A40">
        <w:rPr>
          <w:rFonts w:ascii="Arial" w:hAnsi="Arial" w:cs="Arial"/>
          <w:color w:val="000000" w:themeColor="text1"/>
          <w:sz w:val="22"/>
          <w:lang w:val="en-US"/>
        </w:rPr>
        <w:t>. London: The Stationery Office.</w:t>
      </w:r>
    </w:p>
    <w:p w14:paraId="2C520A59" w14:textId="77777777" w:rsidR="00E36253" w:rsidRPr="00835A40" w:rsidRDefault="00E36253" w:rsidP="00F44B98">
      <w:pPr>
        <w:rPr>
          <w:rFonts w:ascii="Arial" w:hAnsi="Arial" w:cs="Arial"/>
          <w:color w:val="000000" w:themeColor="text1"/>
          <w:sz w:val="22"/>
        </w:rPr>
      </w:pPr>
    </w:p>
    <w:sectPr w:rsidR="00E36253" w:rsidRPr="00835A40">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50616" w14:textId="77777777" w:rsidR="00C96BAB" w:rsidRPr="00CB4231" w:rsidRDefault="00C96BAB" w:rsidP="006F44A0">
      <w:pPr>
        <w:spacing w:after="0" w:line="240" w:lineRule="auto"/>
      </w:pPr>
      <w:r w:rsidRPr="00CB4231">
        <w:separator/>
      </w:r>
    </w:p>
  </w:endnote>
  <w:endnote w:type="continuationSeparator" w:id="0">
    <w:p w14:paraId="3EA10A72" w14:textId="77777777" w:rsidR="00C96BAB" w:rsidRPr="00CB4231" w:rsidRDefault="00C96BAB" w:rsidP="006F44A0">
      <w:pPr>
        <w:spacing w:after="0" w:line="240" w:lineRule="auto"/>
      </w:pPr>
      <w:r w:rsidRPr="00CB4231">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C4682F" w14:textId="77777777" w:rsidR="00C96BAB" w:rsidRPr="00CB4231" w:rsidRDefault="00C96BAB" w:rsidP="006F44A0">
      <w:pPr>
        <w:spacing w:after="0" w:line="240" w:lineRule="auto"/>
      </w:pPr>
      <w:r w:rsidRPr="00CB4231">
        <w:separator/>
      </w:r>
    </w:p>
  </w:footnote>
  <w:footnote w:type="continuationSeparator" w:id="0">
    <w:p w14:paraId="66E9228F" w14:textId="77777777" w:rsidR="00C96BAB" w:rsidRPr="00CB4231" w:rsidRDefault="00C96BAB" w:rsidP="006F44A0">
      <w:pPr>
        <w:spacing w:after="0" w:line="240" w:lineRule="auto"/>
      </w:pPr>
      <w:r w:rsidRPr="00CB4231">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7850151"/>
      <w:docPartObj>
        <w:docPartGallery w:val="Page Numbers (Top of Page)"/>
        <w:docPartUnique/>
      </w:docPartObj>
    </w:sdtPr>
    <w:sdtEndPr/>
    <w:sdtContent>
      <w:p w14:paraId="0F534405" w14:textId="1698D133" w:rsidR="006F44A0" w:rsidRPr="00CB4231" w:rsidRDefault="006F44A0">
        <w:pPr>
          <w:pStyle w:val="Header"/>
          <w:jc w:val="right"/>
        </w:pPr>
        <w:r w:rsidRPr="00CB4231">
          <w:fldChar w:fldCharType="begin"/>
        </w:r>
        <w:r w:rsidRPr="00CB4231">
          <w:instrText xml:space="preserve"> PAGE   \* MERGEFORMAT </w:instrText>
        </w:r>
        <w:r w:rsidRPr="00CB4231">
          <w:fldChar w:fldCharType="separate"/>
        </w:r>
        <w:r w:rsidRPr="00CB4231">
          <w:t>2</w:t>
        </w:r>
        <w:r w:rsidRPr="00CB4231">
          <w:fldChar w:fldCharType="end"/>
        </w:r>
      </w:p>
    </w:sdtContent>
  </w:sdt>
  <w:p w14:paraId="012385BA" w14:textId="77777777" w:rsidR="006F44A0" w:rsidRPr="00CB4231" w:rsidRDefault="006F44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158E4"/>
    <w:multiLevelType w:val="multilevel"/>
    <w:tmpl w:val="F828BA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D47F2F"/>
    <w:multiLevelType w:val="multilevel"/>
    <w:tmpl w:val="FA7C2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9D18D5"/>
    <w:multiLevelType w:val="multilevel"/>
    <w:tmpl w:val="CB04D9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F626B9"/>
    <w:multiLevelType w:val="multilevel"/>
    <w:tmpl w:val="9C5AB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E81919"/>
    <w:multiLevelType w:val="multilevel"/>
    <w:tmpl w:val="0E24F0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DC7406F"/>
    <w:multiLevelType w:val="multilevel"/>
    <w:tmpl w:val="526A23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E213329"/>
    <w:multiLevelType w:val="multilevel"/>
    <w:tmpl w:val="B07C3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E2A2593"/>
    <w:multiLevelType w:val="multilevel"/>
    <w:tmpl w:val="408A4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E883377"/>
    <w:multiLevelType w:val="multilevel"/>
    <w:tmpl w:val="0F9650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573636"/>
    <w:multiLevelType w:val="multilevel"/>
    <w:tmpl w:val="E36E7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38916FC"/>
    <w:multiLevelType w:val="multilevel"/>
    <w:tmpl w:val="0D0E41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9E92635"/>
    <w:multiLevelType w:val="multilevel"/>
    <w:tmpl w:val="076AC9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C6C0A34"/>
    <w:multiLevelType w:val="multilevel"/>
    <w:tmpl w:val="47001F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1A31A74"/>
    <w:multiLevelType w:val="multilevel"/>
    <w:tmpl w:val="34DE97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6D32F5E"/>
    <w:multiLevelType w:val="multilevel"/>
    <w:tmpl w:val="B53A2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6F07BD8"/>
    <w:multiLevelType w:val="multilevel"/>
    <w:tmpl w:val="9B520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7642A5"/>
    <w:multiLevelType w:val="multilevel"/>
    <w:tmpl w:val="E2AA5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3B4387"/>
    <w:multiLevelType w:val="multilevel"/>
    <w:tmpl w:val="99B8C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EC275F2"/>
    <w:multiLevelType w:val="multilevel"/>
    <w:tmpl w:val="19D8D1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3B5658C"/>
    <w:multiLevelType w:val="multilevel"/>
    <w:tmpl w:val="05D07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7E7293"/>
    <w:multiLevelType w:val="multilevel"/>
    <w:tmpl w:val="63621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363E2CD4"/>
    <w:multiLevelType w:val="multilevel"/>
    <w:tmpl w:val="1B1A3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4C15882"/>
    <w:multiLevelType w:val="multilevel"/>
    <w:tmpl w:val="97B8F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7BF2F96"/>
    <w:multiLevelType w:val="multilevel"/>
    <w:tmpl w:val="7952B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90B7318"/>
    <w:multiLevelType w:val="multilevel"/>
    <w:tmpl w:val="4BCC6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96F75EA"/>
    <w:multiLevelType w:val="multilevel"/>
    <w:tmpl w:val="ACF826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49CA1599"/>
    <w:multiLevelType w:val="multilevel"/>
    <w:tmpl w:val="72267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3D66E72"/>
    <w:multiLevelType w:val="multilevel"/>
    <w:tmpl w:val="CC4E7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3A03622"/>
    <w:multiLevelType w:val="multilevel"/>
    <w:tmpl w:val="E1181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9070580"/>
    <w:multiLevelType w:val="hybridMultilevel"/>
    <w:tmpl w:val="44B2F3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EE21131"/>
    <w:multiLevelType w:val="multilevel"/>
    <w:tmpl w:val="77265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1D95A5D"/>
    <w:multiLevelType w:val="multilevel"/>
    <w:tmpl w:val="E1900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1FE7C29"/>
    <w:multiLevelType w:val="multilevel"/>
    <w:tmpl w:val="0BCA96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4054789"/>
    <w:multiLevelType w:val="multilevel"/>
    <w:tmpl w:val="4C1C35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4F36D2C"/>
    <w:multiLevelType w:val="multilevel"/>
    <w:tmpl w:val="061A73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AD644B5"/>
    <w:multiLevelType w:val="multilevel"/>
    <w:tmpl w:val="1676F3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E2519BE"/>
    <w:multiLevelType w:val="multilevel"/>
    <w:tmpl w:val="9238D3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7430121">
    <w:abstractNumId w:val="32"/>
  </w:num>
  <w:num w:numId="2" w16cid:durableId="1665628024">
    <w:abstractNumId w:val="14"/>
  </w:num>
  <w:num w:numId="3" w16cid:durableId="1481650062">
    <w:abstractNumId w:val="6"/>
  </w:num>
  <w:num w:numId="4" w16cid:durableId="672220524">
    <w:abstractNumId w:val="4"/>
  </w:num>
  <w:num w:numId="5" w16cid:durableId="843931582">
    <w:abstractNumId w:val="33"/>
  </w:num>
  <w:num w:numId="6" w16cid:durableId="1701587346">
    <w:abstractNumId w:val="21"/>
  </w:num>
  <w:num w:numId="7" w16cid:durableId="1125081340">
    <w:abstractNumId w:val="3"/>
  </w:num>
  <w:num w:numId="8" w16cid:durableId="609320174">
    <w:abstractNumId w:val="36"/>
  </w:num>
  <w:num w:numId="9" w16cid:durableId="586689022">
    <w:abstractNumId w:val="2"/>
  </w:num>
  <w:num w:numId="10" w16cid:durableId="621768169">
    <w:abstractNumId w:val="19"/>
  </w:num>
  <w:num w:numId="11" w16cid:durableId="1506900437">
    <w:abstractNumId w:val="28"/>
  </w:num>
  <w:num w:numId="12" w16cid:durableId="1563951341">
    <w:abstractNumId w:val="0"/>
  </w:num>
  <w:num w:numId="13" w16cid:durableId="174150338">
    <w:abstractNumId w:val="17"/>
  </w:num>
  <w:num w:numId="14" w16cid:durableId="751046863">
    <w:abstractNumId w:val="9"/>
  </w:num>
  <w:num w:numId="15" w16cid:durableId="453325570">
    <w:abstractNumId w:val="7"/>
  </w:num>
  <w:num w:numId="16" w16cid:durableId="457259318">
    <w:abstractNumId w:val="1"/>
  </w:num>
  <w:num w:numId="17" w16cid:durableId="811291243">
    <w:abstractNumId w:val="10"/>
  </w:num>
  <w:num w:numId="18" w16cid:durableId="985429274">
    <w:abstractNumId w:val="12"/>
  </w:num>
  <w:num w:numId="19" w16cid:durableId="1249270524">
    <w:abstractNumId w:val="22"/>
  </w:num>
  <w:num w:numId="20" w16cid:durableId="1888683203">
    <w:abstractNumId w:val="20"/>
  </w:num>
  <w:num w:numId="21" w16cid:durableId="42683879">
    <w:abstractNumId w:val="5"/>
  </w:num>
  <w:num w:numId="22" w16cid:durableId="470905724">
    <w:abstractNumId w:val="25"/>
  </w:num>
  <w:num w:numId="23" w16cid:durableId="1255438276">
    <w:abstractNumId w:val="31"/>
  </w:num>
  <w:num w:numId="24" w16cid:durableId="705300755">
    <w:abstractNumId w:val="30"/>
  </w:num>
  <w:num w:numId="25" w16cid:durableId="1422340256">
    <w:abstractNumId w:val="11"/>
  </w:num>
  <w:num w:numId="26" w16cid:durableId="1566329597">
    <w:abstractNumId w:val="15"/>
  </w:num>
  <w:num w:numId="27" w16cid:durableId="605160433">
    <w:abstractNumId w:val="35"/>
  </w:num>
  <w:num w:numId="28" w16cid:durableId="603153235">
    <w:abstractNumId w:val="34"/>
  </w:num>
  <w:num w:numId="29" w16cid:durableId="1874884041">
    <w:abstractNumId w:val="27"/>
  </w:num>
  <w:num w:numId="30" w16cid:durableId="813453154">
    <w:abstractNumId w:val="24"/>
  </w:num>
  <w:num w:numId="31" w16cid:durableId="1440367420">
    <w:abstractNumId w:val="18"/>
  </w:num>
  <w:num w:numId="32" w16cid:durableId="1565943185">
    <w:abstractNumId w:val="16"/>
  </w:num>
  <w:num w:numId="33" w16cid:durableId="973217494">
    <w:abstractNumId w:val="23"/>
  </w:num>
  <w:num w:numId="34" w16cid:durableId="226453676">
    <w:abstractNumId w:val="13"/>
  </w:num>
  <w:num w:numId="35" w16cid:durableId="1004626450">
    <w:abstractNumId w:val="26"/>
  </w:num>
  <w:num w:numId="36" w16cid:durableId="331184612">
    <w:abstractNumId w:val="8"/>
  </w:num>
  <w:num w:numId="37" w16cid:durableId="1629359677">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58E"/>
    <w:rsid w:val="00017E13"/>
    <w:rsid w:val="00032D6D"/>
    <w:rsid w:val="00067519"/>
    <w:rsid w:val="00071F50"/>
    <w:rsid w:val="00082AE7"/>
    <w:rsid w:val="000C5A75"/>
    <w:rsid w:val="000D31D2"/>
    <w:rsid w:val="0013403F"/>
    <w:rsid w:val="001A0F77"/>
    <w:rsid w:val="001B2056"/>
    <w:rsid w:val="001B6E99"/>
    <w:rsid w:val="00216C3D"/>
    <w:rsid w:val="00233B31"/>
    <w:rsid w:val="002603EA"/>
    <w:rsid w:val="00296D7E"/>
    <w:rsid w:val="002C2411"/>
    <w:rsid w:val="002C3B97"/>
    <w:rsid w:val="002E77B2"/>
    <w:rsid w:val="00304B63"/>
    <w:rsid w:val="003229D7"/>
    <w:rsid w:val="00372A1E"/>
    <w:rsid w:val="003D06DC"/>
    <w:rsid w:val="003E2A0E"/>
    <w:rsid w:val="00412B03"/>
    <w:rsid w:val="00413C9A"/>
    <w:rsid w:val="004163DE"/>
    <w:rsid w:val="00443E35"/>
    <w:rsid w:val="004667C0"/>
    <w:rsid w:val="004726D9"/>
    <w:rsid w:val="004927FF"/>
    <w:rsid w:val="004A04FF"/>
    <w:rsid w:val="004B05B9"/>
    <w:rsid w:val="004D2717"/>
    <w:rsid w:val="004D37BF"/>
    <w:rsid w:val="005107E6"/>
    <w:rsid w:val="00534045"/>
    <w:rsid w:val="00596F31"/>
    <w:rsid w:val="005F0F1C"/>
    <w:rsid w:val="005F26F4"/>
    <w:rsid w:val="0061233A"/>
    <w:rsid w:val="0065777D"/>
    <w:rsid w:val="0068123C"/>
    <w:rsid w:val="006A6304"/>
    <w:rsid w:val="006C300C"/>
    <w:rsid w:val="006E72EE"/>
    <w:rsid w:val="006F44A0"/>
    <w:rsid w:val="0072407D"/>
    <w:rsid w:val="00762421"/>
    <w:rsid w:val="007B3C1E"/>
    <w:rsid w:val="007C2ADE"/>
    <w:rsid w:val="007D42A0"/>
    <w:rsid w:val="007E70AE"/>
    <w:rsid w:val="007F00FB"/>
    <w:rsid w:val="00823165"/>
    <w:rsid w:val="00835A40"/>
    <w:rsid w:val="008450E5"/>
    <w:rsid w:val="0086707E"/>
    <w:rsid w:val="00881F59"/>
    <w:rsid w:val="00900FC3"/>
    <w:rsid w:val="00912E5D"/>
    <w:rsid w:val="00926639"/>
    <w:rsid w:val="0099058E"/>
    <w:rsid w:val="009E1387"/>
    <w:rsid w:val="009E7728"/>
    <w:rsid w:val="009F47BD"/>
    <w:rsid w:val="00A06455"/>
    <w:rsid w:val="00A126FE"/>
    <w:rsid w:val="00A21C4A"/>
    <w:rsid w:val="00A271BC"/>
    <w:rsid w:val="00A314C9"/>
    <w:rsid w:val="00A41B32"/>
    <w:rsid w:val="00A5479B"/>
    <w:rsid w:val="00A728A9"/>
    <w:rsid w:val="00A75970"/>
    <w:rsid w:val="00A874F0"/>
    <w:rsid w:val="00AD1319"/>
    <w:rsid w:val="00AD3733"/>
    <w:rsid w:val="00B0093F"/>
    <w:rsid w:val="00B15E68"/>
    <w:rsid w:val="00B248DB"/>
    <w:rsid w:val="00B92B7F"/>
    <w:rsid w:val="00BA01C9"/>
    <w:rsid w:val="00BD6501"/>
    <w:rsid w:val="00C022A1"/>
    <w:rsid w:val="00C1353B"/>
    <w:rsid w:val="00C27832"/>
    <w:rsid w:val="00C77AB4"/>
    <w:rsid w:val="00C855DF"/>
    <w:rsid w:val="00C932E6"/>
    <w:rsid w:val="00C96BAB"/>
    <w:rsid w:val="00CB4231"/>
    <w:rsid w:val="00CC3B15"/>
    <w:rsid w:val="00CD56B3"/>
    <w:rsid w:val="00CE14C1"/>
    <w:rsid w:val="00CE3564"/>
    <w:rsid w:val="00CE7B02"/>
    <w:rsid w:val="00D06C23"/>
    <w:rsid w:val="00D10E50"/>
    <w:rsid w:val="00D2411A"/>
    <w:rsid w:val="00D40680"/>
    <w:rsid w:val="00D54E1D"/>
    <w:rsid w:val="00D54F7C"/>
    <w:rsid w:val="00D71095"/>
    <w:rsid w:val="00DD3704"/>
    <w:rsid w:val="00DD660B"/>
    <w:rsid w:val="00DF31FD"/>
    <w:rsid w:val="00DF4091"/>
    <w:rsid w:val="00DF4810"/>
    <w:rsid w:val="00E36253"/>
    <w:rsid w:val="00E500AF"/>
    <w:rsid w:val="00ED0966"/>
    <w:rsid w:val="00F07A2F"/>
    <w:rsid w:val="00F10E6A"/>
    <w:rsid w:val="00F44B98"/>
    <w:rsid w:val="00F712C8"/>
    <w:rsid w:val="00FB1311"/>
    <w:rsid w:val="00FD6A1A"/>
  </w:rsids>
  <m:mathPr>
    <m:mathFont m:val="Cambria Math"/>
    <m:brkBin m:val="before"/>
    <m:brkBinSub m:val="--"/>
    <m:smallFrac m:val="0"/>
    <m:dispDef/>
    <m:lMargin m:val="0"/>
    <m:rMargin m:val="0"/>
    <m:defJc m:val="centerGroup"/>
    <m:wrapIndent m:val="1440"/>
    <m:intLim m:val="subSup"/>
    <m:naryLim m:val="undOvr"/>
  </m:mathPr>
  <w:themeFontLang w:val="en-US"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FBCBF"/>
  <w15:chartTrackingRefBased/>
  <w15:docId w15:val="{AD0263F8-602C-418E-BC76-C9CC232E51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71BC"/>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7B3C1E"/>
    <w:pPr>
      <w:jc w:val="center"/>
      <w:outlineLvl w:val="0"/>
    </w:pPr>
    <w:rPr>
      <w:rFonts w:ascii="Arial" w:hAnsi="Arial" w:cs="Arial"/>
      <w:b/>
      <w:bCs/>
      <w:sz w:val="28"/>
      <w:szCs w:val="28"/>
      <w:u w:val="single"/>
    </w:rPr>
  </w:style>
  <w:style w:type="paragraph" w:styleId="Heading2">
    <w:name w:val="heading 2"/>
    <w:basedOn w:val="Normal"/>
    <w:next w:val="Normal"/>
    <w:link w:val="Heading2Char"/>
    <w:uiPriority w:val="9"/>
    <w:unhideWhenUsed/>
    <w:qFormat/>
    <w:rsid w:val="007B3C1E"/>
    <w:pPr>
      <w:outlineLvl w:val="1"/>
    </w:pPr>
    <w:rPr>
      <w:rFonts w:ascii="Arial" w:hAnsi="Arial" w:cs="Arial"/>
      <w:b/>
      <w:bCs/>
      <w:sz w:val="22"/>
    </w:rPr>
  </w:style>
  <w:style w:type="paragraph" w:styleId="Heading3">
    <w:name w:val="heading 3"/>
    <w:basedOn w:val="Normal"/>
    <w:next w:val="Normal"/>
    <w:link w:val="Heading3Char"/>
    <w:uiPriority w:val="9"/>
    <w:semiHidden/>
    <w:unhideWhenUsed/>
    <w:qFormat/>
    <w:rsid w:val="0099058E"/>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058E"/>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99058E"/>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99058E"/>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99058E"/>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99058E"/>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99058E"/>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3C1E"/>
    <w:rPr>
      <w:rFonts w:ascii="Arial" w:hAnsi="Arial" w:cs="Arial"/>
      <w:b/>
      <w:bCs/>
      <w:sz w:val="28"/>
      <w:szCs w:val="28"/>
      <w:u w:val="single"/>
      <w:lang w:val="en-GB"/>
    </w:rPr>
  </w:style>
  <w:style w:type="character" w:customStyle="1" w:styleId="Heading2Char">
    <w:name w:val="Heading 2 Char"/>
    <w:basedOn w:val="DefaultParagraphFont"/>
    <w:link w:val="Heading2"/>
    <w:uiPriority w:val="9"/>
    <w:rsid w:val="007B3C1E"/>
    <w:rPr>
      <w:rFonts w:ascii="Arial" w:hAnsi="Arial" w:cs="Arial"/>
      <w:b/>
      <w:bCs/>
      <w:lang w:val="en-GB"/>
    </w:rPr>
  </w:style>
  <w:style w:type="character" w:customStyle="1" w:styleId="Heading3Char">
    <w:name w:val="Heading 3 Char"/>
    <w:basedOn w:val="DefaultParagraphFont"/>
    <w:link w:val="Heading3"/>
    <w:uiPriority w:val="9"/>
    <w:semiHidden/>
    <w:rsid w:val="0099058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058E"/>
    <w:rPr>
      <w:rFonts w:eastAsiaTheme="majorEastAsia" w:cstheme="majorBidi"/>
      <w:i/>
      <w:iCs/>
      <w:color w:val="2F5496" w:themeColor="accent1" w:themeShade="BF"/>
      <w:sz w:val="24"/>
    </w:rPr>
  </w:style>
  <w:style w:type="character" w:customStyle="1" w:styleId="Heading5Char">
    <w:name w:val="Heading 5 Char"/>
    <w:basedOn w:val="DefaultParagraphFont"/>
    <w:link w:val="Heading5"/>
    <w:uiPriority w:val="9"/>
    <w:semiHidden/>
    <w:rsid w:val="0099058E"/>
    <w:rPr>
      <w:rFonts w:eastAsiaTheme="majorEastAsia" w:cstheme="majorBidi"/>
      <w:color w:val="2F5496" w:themeColor="accent1" w:themeShade="BF"/>
      <w:sz w:val="24"/>
    </w:rPr>
  </w:style>
  <w:style w:type="character" w:customStyle="1" w:styleId="Heading6Char">
    <w:name w:val="Heading 6 Char"/>
    <w:basedOn w:val="DefaultParagraphFont"/>
    <w:link w:val="Heading6"/>
    <w:uiPriority w:val="9"/>
    <w:semiHidden/>
    <w:rsid w:val="0099058E"/>
    <w:rPr>
      <w:rFonts w:eastAsiaTheme="majorEastAsia" w:cstheme="majorBidi"/>
      <w:i/>
      <w:iCs/>
      <w:color w:val="595959" w:themeColor="text1" w:themeTint="A6"/>
      <w:sz w:val="24"/>
    </w:rPr>
  </w:style>
  <w:style w:type="character" w:customStyle="1" w:styleId="Heading7Char">
    <w:name w:val="Heading 7 Char"/>
    <w:basedOn w:val="DefaultParagraphFont"/>
    <w:link w:val="Heading7"/>
    <w:uiPriority w:val="9"/>
    <w:semiHidden/>
    <w:rsid w:val="0099058E"/>
    <w:rPr>
      <w:rFonts w:eastAsiaTheme="majorEastAsia" w:cstheme="majorBidi"/>
      <w:color w:val="595959" w:themeColor="text1" w:themeTint="A6"/>
      <w:sz w:val="24"/>
    </w:rPr>
  </w:style>
  <w:style w:type="character" w:customStyle="1" w:styleId="Heading8Char">
    <w:name w:val="Heading 8 Char"/>
    <w:basedOn w:val="DefaultParagraphFont"/>
    <w:link w:val="Heading8"/>
    <w:uiPriority w:val="9"/>
    <w:semiHidden/>
    <w:rsid w:val="0099058E"/>
    <w:rPr>
      <w:rFonts w:eastAsiaTheme="majorEastAsia" w:cstheme="majorBidi"/>
      <w:i/>
      <w:iCs/>
      <w:color w:val="272727" w:themeColor="text1" w:themeTint="D8"/>
      <w:sz w:val="24"/>
    </w:rPr>
  </w:style>
  <w:style w:type="character" w:customStyle="1" w:styleId="Heading9Char">
    <w:name w:val="Heading 9 Char"/>
    <w:basedOn w:val="DefaultParagraphFont"/>
    <w:link w:val="Heading9"/>
    <w:uiPriority w:val="9"/>
    <w:semiHidden/>
    <w:rsid w:val="0099058E"/>
    <w:rPr>
      <w:rFonts w:eastAsiaTheme="majorEastAsia" w:cstheme="majorBidi"/>
      <w:color w:val="272727" w:themeColor="text1" w:themeTint="D8"/>
      <w:sz w:val="24"/>
    </w:rPr>
  </w:style>
  <w:style w:type="paragraph" w:styleId="Title">
    <w:name w:val="Title"/>
    <w:basedOn w:val="Normal"/>
    <w:next w:val="Normal"/>
    <w:link w:val="TitleChar"/>
    <w:uiPriority w:val="10"/>
    <w:qFormat/>
    <w:rsid w:val="0099058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058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058E"/>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058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058E"/>
    <w:pPr>
      <w:spacing w:before="160"/>
      <w:jc w:val="center"/>
    </w:pPr>
    <w:rPr>
      <w:i/>
      <w:iCs/>
      <w:color w:val="404040" w:themeColor="text1" w:themeTint="BF"/>
    </w:rPr>
  </w:style>
  <w:style w:type="character" w:customStyle="1" w:styleId="QuoteChar">
    <w:name w:val="Quote Char"/>
    <w:basedOn w:val="DefaultParagraphFont"/>
    <w:link w:val="Quote"/>
    <w:uiPriority w:val="29"/>
    <w:rsid w:val="0099058E"/>
    <w:rPr>
      <w:rFonts w:ascii="Times New Roman" w:hAnsi="Times New Roman"/>
      <w:i/>
      <w:iCs/>
      <w:color w:val="404040" w:themeColor="text1" w:themeTint="BF"/>
      <w:sz w:val="24"/>
    </w:rPr>
  </w:style>
  <w:style w:type="paragraph" w:styleId="ListParagraph">
    <w:name w:val="List Paragraph"/>
    <w:basedOn w:val="Normal"/>
    <w:uiPriority w:val="34"/>
    <w:qFormat/>
    <w:rsid w:val="0099058E"/>
    <w:pPr>
      <w:ind w:left="720"/>
      <w:contextualSpacing/>
    </w:pPr>
  </w:style>
  <w:style w:type="character" w:styleId="IntenseEmphasis">
    <w:name w:val="Intense Emphasis"/>
    <w:basedOn w:val="DefaultParagraphFont"/>
    <w:uiPriority w:val="21"/>
    <w:qFormat/>
    <w:rsid w:val="0099058E"/>
    <w:rPr>
      <w:i/>
      <w:iCs/>
      <w:color w:val="2F5496" w:themeColor="accent1" w:themeShade="BF"/>
    </w:rPr>
  </w:style>
  <w:style w:type="paragraph" w:styleId="IntenseQuote">
    <w:name w:val="Intense Quote"/>
    <w:basedOn w:val="Normal"/>
    <w:next w:val="Normal"/>
    <w:link w:val="IntenseQuoteChar"/>
    <w:uiPriority w:val="30"/>
    <w:qFormat/>
    <w:rsid w:val="0099058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058E"/>
    <w:rPr>
      <w:rFonts w:ascii="Times New Roman" w:hAnsi="Times New Roman"/>
      <w:i/>
      <w:iCs/>
      <w:color w:val="2F5496" w:themeColor="accent1" w:themeShade="BF"/>
      <w:sz w:val="24"/>
    </w:rPr>
  </w:style>
  <w:style w:type="character" w:styleId="IntenseReference">
    <w:name w:val="Intense Reference"/>
    <w:basedOn w:val="DefaultParagraphFont"/>
    <w:uiPriority w:val="32"/>
    <w:qFormat/>
    <w:rsid w:val="0099058E"/>
    <w:rPr>
      <w:b/>
      <w:bCs/>
      <w:smallCaps/>
      <w:color w:val="2F5496" w:themeColor="accent1" w:themeShade="BF"/>
      <w:spacing w:val="5"/>
    </w:rPr>
  </w:style>
  <w:style w:type="paragraph" w:styleId="NormalWeb">
    <w:name w:val="Normal (Web)"/>
    <w:basedOn w:val="Normal"/>
    <w:uiPriority w:val="99"/>
    <w:semiHidden/>
    <w:unhideWhenUsed/>
    <w:rsid w:val="0099058E"/>
    <w:rPr>
      <w:rFonts w:cs="Times New Roman"/>
      <w:szCs w:val="24"/>
    </w:rPr>
  </w:style>
  <w:style w:type="paragraph" w:styleId="Header">
    <w:name w:val="header"/>
    <w:basedOn w:val="Normal"/>
    <w:link w:val="HeaderChar"/>
    <w:uiPriority w:val="99"/>
    <w:unhideWhenUsed/>
    <w:rsid w:val="006F44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6F44A0"/>
    <w:rPr>
      <w:rFonts w:ascii="Times New Roman" w:hAnsi="Times New Roman"/>
      <w:sz w:val="24"/>
      <w:lang w:val="en-GB"/>
    </w:rPr>
  </w:style>
  <w:style w:type="paragraph" w:styleId="Footer">
    <w:name w:val="footer"/>
    <w:basedOn w:val="Normal"/>
    <w:link w:val="FooterChar"/>
    <w:uiPriority w:val="99"/>
    <w:unhideWhenUsed/>
    <w:rsid w:val="006F4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44A0"/>
    <w:rPr>
      <w:rFonts w:ascii="Times New Roman" w:hAnsi="Times New Roman"/>
      <w:sz w:val="24"/>
      <w:lang w:val="en-GB"/>
    </w:rPr>
  </w:style>
  <w:style w:type="paragraph" w:styleId="Caption">
    <w:name w:val="caption"/>
    <w:basedOn w:val="Normal"/>
    <w:next w:val="Normal"/>
    <w:uiPriority w:val="35"/>
    <w:unhideWhenUsed/>
    <w:qFormat/>
    <w:rsid w:val="00A126FE"/>
    <w:pPr>
      <w:spacing w:after="200" w:line="240" w:lineRule="auto"/>
    </w:pPr>
    <w:rPr>
      <w:i/>
      <w:iCs/>
      <w:color w:val="44546A" w:themeColor="text2"/>
      <w:sz w:val="18"/>
      <w:szCs w:val="18"/>
    </w:rPr>
  </w:style>
  <w:style w:type="table" w:styleId="TableGrid">
    <w:name w:val="Table Grid"/>
    <w:basedOn w:val="TableNormal"/>
    <w:uiPriority w:val="39"/>
    <w:rsid w:val="00C77A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9F47BD"/>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Cs w:val="32"/>
      <w:u w:val="none"/>
      <w:lang w:val="en-US"/>
      <w14:ligatures w14:val="none"/>
    </w:rPr>
  </w:style>
  <w:style w:type="paragraph" w:styleId="TOC1">
    <w:name w:val="toc 1"/>
    <w:basedOn w:val="Normal"/>
    <w:next w:val="Normal"/>
    <w:autoRedefine/>
    <w:uiPriority w:val="39"/>
    <w:unhideWhenUsed/>
    <w:rsid w:val="009F47BD"/>
    <w:pPr>
      <w:spacing w:after="100"/>
    </w:pPr>
  </w:style>
  <w:style w:type="paragraph" w:styleId="TOC2">
    <w:name w:val="toc 2"/>
    <w:basedOn w:val="Normal"/>
    <w:next w:val="Normal"/>
    <w:autoRedefine/>
    <w:uiPriority w:val="39"/>
    <w:unhideWhenUsed/>
    <w:rsid w:val="009F47BD"/>
    <w:pPr>
      <w:spacing w:after="100"/>
      <w:ind w:left="240"/>
    </w:pPr>
  </w:style>
  <w:style w:type="character" w:styleId="Hyperlink">
    <w:name w:val="Hyperlink"/>
    <w:basedOn w:val="DefaultParagraphFont"/>
    <w:uiPriority w:val="99"/>
    <w:unhideWhenUsed/>
    <w:rsid w:val="009F47BD"/>
    <w:rPr>
      <w:color w:val="0563C1" w:themeColor="hyperlink"/>
      <w:u w:val="single"/>
    </w:rPr>
  </w:style>
  <w:style w:type="paragraph" w:styleId="TableofFigures">
    <w:name w:val="table of figures"/>
    <w:basedOn w:val="Normal"/>
    <w:next w:val="Normal"/>
    <w:uiPriority w:val="99"/>
    <w:unhideWhenUsed/>
    <w:rsid w:val="00DD660B"/>
    <w:pPr>
      <w:spacing w:after="0"/>
    </w:pPr>
  </w:style>
  <w:style w:type="character" w:styleId="FollowedHyperlink">
    <w:name w:val="FollowedHyperlink"/>
    <w:basedOn w:val="DefaultParagraphFont"/>
    <w:uiPriority w:val="99"/>
    <w:semiHidden/>
    <w:unhideWhenUsed/>
    <w:rsid w:val="002C241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5" Type="http://schemas.openxmlformats.org/officeDocument/2006/relationships/webSettings" Target="webSettings.xml" /><Relationship Id="rId10" Type="http://schemas.openxmlformats.org/officeDocument/2006/relationships/theme" Target="theme/theme1.xml" /><Relationship Id="rId4" Type="http://schemas.openxmlformats.org/officeDocument/2006/relationships/settings" Target="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71E08C-5939-440E-81F3-B86FDCFFC5AD}">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2957</Words>
  <Characters>16859</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User090673</dc:creator>
  <cp:keywords/>
  <dc:description/>
  <cp:lastModifiedBy>Sadia Hussain (2330361)</cp:lastModifiedBy>
  <cp:revision>2</cp:revision>
  <dcterms:created xsi:type="dcterms:W3CDTF">2025-10-21T13:25:00Z</dcterms:created>
  <dcterms:modified xsi:type="dcterms:W3CDTF">2025-10-21T13:25:00Z</dcterms:modified>
</cp:coreProperties>
</file>