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9AED" w14:textId="4C4B9547" w:rsidR="00310899" w:rsidRDefault="00310899" w:rsidP="00282414">
      <w:pPr>
        <w:tabs>
          <w:tab w:val="left" w:pos="0"/>
        </w:tabs>
        <w:spacing w:line="360" w:lineRule="auto"/>
        <w:jc w:val="center"/>
        <w:rPr>
          <w:rFonts w:eastAsia="Arial"/>
          <w:b/>
          <w:bCs/>
          <w:sz w:val="22"/>
        </w:rPr>
      </w:pPr>
      <w:r w:rsidRPr="000A6921">
        <w:rPr>
          <w:noProof/>
          <w:sz w:val="22"/>
        </w:rPr>
        <w:drawing>
          <wp:inline distT="0" distB="0" distL="0" distR="0" wp14:anchorId="1D8A112F" wp14:editId="54C2003B">
            <wp:extent cx="2298700" cy="876300"/>
            <wp:effectExtent l="0" t="0" r="635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876300"/>
                    </a:xfrm>
                    <a:prstGeom prst="rect">
                      <a:avLst/>
                    </a:prstGeom>
                    <a:noFill/>
                    <a:ln>
                      <a:noFill/>
                    </a:ln>
                  </pic:spPr>
                </pic:pic>
              </a:graphicData>
            </a:graphic>
          </wp:inline>
        </w:drawing>
      </w:r>
    </w:p>
    <w:p w14:paraId="74C02745" w14:textId="246AEAE5" w:rsidR="00764C56" w:rsidRDefault="00764C56" w:rsidP="00555FAE">
      <w:pPr>
        <w:spacing w:line="360" w:lineRule="auto"/>
        <w:rPr>
          <w:rFonts w:eastAsia="Arial"/>
          <w:b/>
          <w:bCs/>
          <w:sz w:val="22"/>
        </w:rPr>
      </w:pPr>
    </w:p>
    <w:p w14:paraId="2D983C32" w14:textId="77777777" w:rsidR="009D61A1" w:rsidRPr="000A6921" w:rsidRDefault="009D61A1" w:rsidP="00555FAE">
      <w:pPr>
        <w:spacing w:line="360" w:lineRule="auto"/>
        <w:rPr>
          <w:rFonts w:eastAsia="Arial"/>
          <w:b/>
          <w:bCs/>
          <w:sz w:val="22"/>
        </w:rPr>
      </w:pPr>
    </w:p>
    <w:p w14:paraId="1480E79A" w14:textId="38F246B3" w:rsidR="00310899" w:rsidRPr="000A6921" w:rsidRDefault="009D61A1" w:rsidP="009D61A1">
      <w:pPr>
        <w:tabs>
          <w:tab w:val="left" w:pos="5620"/>
        </w:tabs>
        <w:spacing w:line="360" w:lineRule="auto"/>
        <w:rPr>
          <w:rFonts w:eastAsia="Arial"/>
          <w:b/>
          <w:bCs/>
          <w:sz w:val="22"/>
        </w:rPr>
      </w:pPr>
      <w:r>
        <w:rPr>
          <w:rFonts w:eastAsia="Arial"/>
          <w:b/>
          <w:bCs/>
          <w:sz w:val="22"/>
        </w:rPr>
        <w:tab/>
      </w:r>
    </w:p>
    <w:p w14:paraId="62FA5EB5" w14:textId="630BF1DD" w:rsidR="008A6B62" w:rsidRPr="002806AE" w:rsidRDefault="74BD053C" w:rsidP="00BD1751">
      <w:pPr>
        <w:spacing w:line="360" w:lineRule="auto"/>
        <w:jc w:val="both"/>
        <w:rPr>
          <w:rFonts w:eastAsia="Arial"/>
          <w:b/>
          <w:bCs/>
          <w:sz w:val="40"/>
          <w:szCs w:val="40"/>
        </w:rPr>
      </w:pPr>
      <w:r w:rsidRPr="002806AE">
        <w:rPr>
          <w:rFonts w:eastAsia="Arial"/>
          <w:b/>
          <w:bCs/>
          <w:sz w:val="40"/>
          <w:szCs w:val="40"/>
        </w:rPr>
        <w:t>University of Wales Trinity Saint David (London)</w:t>
      </w:r>
    </w:p>
    <w:p w14:paraId="7F6E3873" w14:textId="62C24340" w:rsidR="00BB536C" w:rsidRPr="002806AE" w:rsidRDefault="00BB536C" w:rsidP="006128AF">
      <w:pPr>
        <w:tabs>
          <w:tab w:val="left" w:pos="5500"/>
        </w:tabs>
        <w:spacing w:line="360" w:lineRule="auto"/>
        <w:jc w:val="both"/>
        <w:rPr>
          <w:rFonts w:eastAsia="Arial"/>
          <w:b/>
          <w:bCs/>
          <w:sz w:val="40"/>
          <w:szCs w:val="40"/>
        </w:rPr>
      </w:pPr>
      <w:r w:rsidRPr="002806AE">
        <w:rPr>
          <w:rFonts w:eastAsia="Arial"/>
          <w:b/>
          <w:bCs/>
          <w:sz w:val="40"/>
          <w:szCs w:val="40"/>
        </w:rPr>
        <w:t xml:space="preserve">Module: </w:t>
      </w:r>
      <w:r w:rsidR="006128AF">
        <w:rPr>
          <w:rFonts w:eastAsia="Arial"/>
          <w:sz w:val="40"/>
          <w:szCs w:val="40"/>
        </w:rPr>
        <w:t>Project Management</w:t>
      </w:r>
    </w:p>
    <w:p w14:paraId="42788EA9" w14:textId="3C0E095E" w:rsidR="00BB536C" w:rsidRPr="002806AE" w:rsidRDefault="00BB536C" w:rsidP="00BD1751">
      <w:pPr>
        <w:spacing w:line="360" w:lineRule="auto"/>
        <w:jc w:val="both"/>
        <w:rPr>
          <w:rFonts w:eastAsia="Arial"/>
          <w:b/>
          <w:bCs/>
          <w:sz w:val="40"/>
          <w:szCs w:val="40"/>
        </w:rPr>
      </w:pPr>
      <w:r w:rsidRPr="002806AE">
        <w:rPr>
          <w:rFonts w:eastAsia="Arial"/>
          <w:b/>
          <w:bCs/>
          <w:sz w:val="40"/>
          <w:szCs w:val="40"/>
        </w:rPr>
        <w:t>Module code:</w:t>
      </w:r>
      <w:r w:rsidR="006128AF">
        <w:rPr>
          <w:rFonts w:eastAsia="Arial"/>
          <w:b/>
          <w:bCs/>
          <w:sz w:val="40"/>
          <w:szCs w:val="40"/>
        </w:rPr>
        <w:t xml:space="preserve"> LCBB5005</w:t>
      </w:r>
    </w:p>
    <w:p w14:paraId="2605BF0A" w14:textId="186CCEF2" w:rsidR="00BB536C" w:rsidRPr="002806AE" w:rsidRDefault="00BB536C" w:rsidP="00BD1751">
      <w:pPr>
        <w:spacing w:line="360" w:lineRule="auto"/>
        <w:jc w:val="both"/>
        <w:rPr>
          <w:rFonts w:eastAsia="Arial"/>
          <w:b/>
          <w:bCs/>
          <w:sz w:val="40"/>
          <w:szCs w:val="40"/>
        </w:rPr>
      </w:pPr>
      <w:r w:rsidRPr="002806AE">
        <w:rPr>
          <w:rFonts w:eastAsia="Arial"/>
          <w:b/>
          <w:bCs/>
          <w:sz w:val="40"/>
          <w:szCs w:val="40"/>
        </w:rPr>
        <w:t xml:space="preserve">Lecturer: </w:t>
      </w:r>
      <w:proofErr w:type="spellStart"/>
      <w:r w:rsidR="006128AF">
        <w:rPr>
          <w:sz w:val="40"/>
          <w:szCs w:val="40"/>
        </w:rPr>
        <w:t>Sadeque</w:t>
      </w:r>
      <w:proofErr w:type="spellEnd"/>
      <w:r w:rsidR="006128AF">
        <w:rPr>
          <w:sz w:val="40"/>
          <w:szCs w:val="40"/>
        </w:rPr>
        <w:t xml:space="preserve"> Shaikh </w:t>
      </w:r>
    </w:p>
    <w:p w14:paraId="27DAF91C" w14:textId="5BE63DAF" w:rsidR="00BB536C" w:rsidRPr="002806AE" w:rsidRDefault="00BB536C" w:rsidP="00BD1751">
      <w:pPr>
        <w:spacing w:line="360" w:lineRule="auto"/>
        <w:jc w:val="both"/>
        <w:rPr>
          <w:rFonts w:eastAsia="Arial"/>
          <w:b/>
          <w:bCs/>
          <w:sz w:val="40"/>
          <w:szCs w:val="40"/>
        </w:rPr>
      </w:pPr>
      <w:r w:rsidRPr="002806AE">
        <w:rPr>
          <w:rFonts w:eastAsia="Arial"/>
          <w:b/>
          <w:bCs/>
          <w:sz w:val="40"/>
          <w:szCs w:val="40"/>
        </w:rPr>
        <w:t>Assignment Title:</w:t>
      </w:r>
      <w:r w:rsidR="00D340B7">
        <w:rPr>
          <w:rFonts w:eastAsia="Arial"/>
          <w:sz w:val="40"/>
          <w:szCs w:val="40"/>
        </w:rPr>
        <w:t xml:space="preserve"> </w:t>
      </w:r>
      <w:r w:rsidR="00DC45C2" w:rsidRPr="002806AE">
        <w:rPr>
          <w:rFonts w:eastAsia="Arial"/>
          <w:sz w:val="40"/>
          <w:szCs w:val="40"/>
        </w:rPr>
        <w:t xml:space="preserve">Assessment </w:t>
      </w:r>
      <w:r w:rsidR="006128AF">
        <w:rPr>
          <w:rFonts w:eastAsia="Arial"/>
          <w:sz w:val="40"/>
          <w:szCs w:val="40"/>
        </w:rPr>
        <w:t>1</w:t>
      </w:r>
      <w:r w:rsidR="00271925">
        <w:rPr>
          <w:rFonts w:eastAsia="Arial"/>
          <w:sz w:val="40"/>
          <w:szCs w:val="40"/>
        </w:rPr>
        <w:t xml:space="preserve"> </w:t>
      </w:r>
      <w:r w:rsidR="006128AF">
        <w:rPr>
          <w:rFonts w:eastAsia="Arial"/>
          <w:sz w:val="40"/>
          <w:szCs w:val="40"/>
        </w:rPr>
        <w:t xml:space="preserve">Essay 2500 words </w:t>
      </w:r>
      <w:r w:rsidR="00271925">
        <w:rPr>
          <w:sz w:val="40"/>
          <w:szCs w:val="40"/>
        </w:rPr>
        <w:t xml:space="preserve"> </w:t>
      </w:r>
    </w:p>
    <w:p w14:paraId="520789C7" w14:textId="3E1E80FB" w:rsidR="00A87963" w:rsidRPr="002806AE" w:rsidRDefault="00A87963" w:rsidP="00BD1751">
      <w:pPr>
        <w:spacing w:line="360" w:lineRule="auto"/>
        <w:jc w:val="both"/>
        <w:rPr>
          <w:rFonts w:eastAsia="Arial"/>
          <w:b/>
          <w:bCs/>
          <w:sz w:val="40"/>
          <w:szCs w:val="40"/>
        </w:rPr>
      </w:pPr>
      <w:r w:rsidRPr="002806AE">
        <w:rPr>
          <w:rFonts w:eastAsia="Arial"/>
          <w:b/>
          <w:bCs/>
          <w:sz w:val="40"/>
          <w:szCs w:val="40"/>
        </w:rPr>
        <w:t>By:</w:t>
      </w:r>
      <w:r w:rsidR="00DC45C2" w:rsidRPr="002806AE">
        <w:rPr>
          <w:rFonts w:eastAsia="Arial"/>
          <w:b/>
          <w:bCs/>
          <w:sz w:val="40"/>
          <w:szCs w:val="40"/>
        </w:rPr>
        <w:t xml:space="preserve"> Kristina D. Ralcheva</w:t>
      </w:r>
    </w:p>
    <w:p w14:paraId="063D7987" w14:textId="119C5EF7" w:rsidR="00A87963" w:rsidRPr="002806AE" w:rsidRDefault="008A6B62" w:rsidP="00BD1751">
      <w:pPr>
        <w:spacing w:line="360" w:lineRule="auto"/>
        <w:jc w:val="both"/>
        <w:rPr>
          <w:rFonts w:eastAsia="Arial"/>
          <w:sz w:val="40"/>
          <w:szCs w:val="40"/>
        </w:rPr>
      </w:pPr>
      <w:r w:rsidRPr="002806AE">
        <w:rPr>
          <w:rFonts w:eastAsia="Arial"/>
          <w:b/>
          <w:bCs/>
          <w:sz w:val="40"/>
          <w:szCs w:val="40"/>
        </w:rPr>
        <w:t>Date:</w:t>
      </w:r>
      <w:r w:rsidR="00DC45C2" w:rsidRPr="002806AE">
        <w:rPr>
          <w:rFonts w:eastAsia="Arial"/>
          <w:b/>
          <w:bCs/>
          <w:sz w:val="40"/>
          <w:szCs w:val="40"/>
        </w:rPr>
        <w:t xml:space="preserve"> </w:t>
      </w:r>
      <w:r w:rsidR="006128AF">
        <w:rPr>
          <w:rFonts w:eastAsia="Arial"/>
          <w:b/>
          <w:bCs/>
          <w:sz w:val="40"/>
          <w:szCs w:val="40"/>
        </w:rPr>
        <w:t xml:space="preserve">November </w:t>
      </w:r>
      <w:r w:rsidR="00271925" w:rsidRPr="002806AE">
        <w:rPr>
          <w:rFonts w:eastAsia="Arial"/>
          <w:sz w:val="40"/>
          <w:szCs w:val="40"/>
        </w:rPr>
        <w:t>202</w:t>
      </w:r>
      <w:r w:rsidR="00282414">
        <w:rPr>
          <w:rFonts w:eastAsia="Arial"/>
          <w:sz w:val="40"/>
          <w:szCs w:val="40"/>
        </w:rPr>
        <w:t>3</w:t>
      </w:r>
    </w:p>
    <w:p w14:paraId="32A83DC5" w14:textId="3D8D4A6D" w:rsidR="00DC45C2" w:rsidRDefault="00DC45C2" w:rsidP="00BD1751">
      <w:pPr>
        <w:spacing w:line="360" w:lineRule="auto"/>
        <w:jc w:val="both"/>
        <w:rPr>
          <w:rFonts w:eastAsia="Arial"/>
          <w:b/>
          <w:bCs/>
          <w:sz w:val="40"/>
          <w:szCs w:val="40"/>
        </w:rPr>
      </w:pPr>
    </w:p>
    <w:p w14:paraId="706D1927" w14:textId="246ADA0A" w:rsidR="00611AAE" w:rsidRDefault="00611AAE" w:rsidP="00BD1751">
      <w:pPr>
        <w:spacing w:line="360" w:lineRule="auto"/>
        <w:jc w:val="both"/>
        <w:rPr>
          <w:rFonts w:eastAsia="Arial"/>
          <w:b/>
          <w:bCs/>
          <w:sz w:val="40"/>
          <w:szCs w:val="40"/>
        </w:rPr>
      </w:pPr>
    </w:p>
    <w:p w14:paraId="323B88A0" w14:textId="30F5378B" w:rsidR="00611AAE" w:rsidRDefault="00611AAE" w:rsidP="00BD1751">
      <w:pPr>
        <w:spacing w:line="360" w:lineRule="auto"/>
        <w:jc w:val="both"/>
        <w:rPr>
          <w:rFonts w:eastAsia="Arial"/>
          <w:b/>
          <w:bCs/>
          <w:sz w:val="40"/>
          <w:szCs w:val="40"/>
        </w:rPr>
      </w:pPr>
    </w:p>
    <w:p w14:paraId="4A60AC08" w14:textId="79B49541" w:rsidR="00611AAE" w:rsidRDefault="00611AAE" w:rsidP="00BD1751">
      <w:pPr>
        <w:spacing w:line="360" w:lineRule="auto"/>
        <w:jc w:val="both"/>
        <w:rPr>
          <w:rFonts w:eastAsia="Arial"/>
          <w:b/>
          <w:bCs/>
          <w:sz w:val="40"/>
          <w:szCs w:val="40"/>
        </w:rPr>
      </w:pPr>
    </w:p>
    <w:p w14:paraId="1FCEE377" w14:textId="5EF901A7" w:rsidR="00611AAE" w:rsidRDefault="00611AAE" w:rsidP="00BD1751">
      <w:pPr>
        <w:spacing w:line="360" w:lineRule="auto"/>
        <w:jc w:val="both"/>
        <w:rPr>
          <w:rFonts w:eastAsia="Arial"/>
          <w:b/>
          <w:bCs/>
          <w:sz w:val="40"/>
          <w:szCs w:val="40"/>
        </w:rPr>
      </w:pPr>
    </w:p>
    <w:p w14:paraId="11C15111" w14:textId="77777777" w:rsidR="00611AAE" w:rsidRPr="002806AE" w:rsidRDefault="00611AAE" w:rsidP="00BD1751">
      <w:pPr>
        <w:spacing w:line="360" w:lineRule="auto"/>
        <w:jc w:val="both"/>
        <w:rPr>
          <w:rFonts w:eastAsia="Arial"/>
          <w:b/>
          <w:bCs/>
          <w:sz w:val="40"/>
          <w:szCs w:val="40"/>
        </w:rPr>
      </w:pPr>
    </w:p>
    <w:p w14:paraId="7F6BE889" w14:textId="77777777" w:rsidR="00A87963" w:rsidRPr="000A6921" w:rsidRDefault="00A87963" w:rsidP="00BD1751">
      <w:pPr>
        <w:spacing w:line="360" w:lineRule="auto"/>
        <w:jc w:val="both"/>
        <w:rPr>
          <w:rFonts w:eastAsia="Arial"/>
          <w:sz w:val="22"/>
        </w:rPr>
      </w:pPr>
    </w:p>
    <w:p w14:paraId="69C4CE52" w14:textId="77777777" w:rsidR="00A87963" w:rsidRPr="000A6921" w:rsidRDefault="00A87963" w:rsidP="00BD1751">
      <w:pPr>
        <w:spacing w:line="360" w:lineRule="auto"/>
        <w:jc w:val="both"/>
        <w:rPr>
          <w:rFonts w:eastAsia="Arial"/>
          <w:sz w:val="22"/>
        </w:rPr>
      </w:pPr>
    </w:p>
    <w:p w14:paraId="16006726" w14:textId="77777777" w:rsidR="00700763" w:rsidRPr="000A6921" w:rsidRDefault="00700763" w:rsidP="00BD1751">
      <w:pPr>
        <w:spacing w:line="360" w:lineRule="auto"/>
        <w:jc w:val="both"/>
        <w:rPr>
          <w:rFonts w:eastAsia="Arial"/>
          <w:sz w:val="22"/>
        </w:rPr>
      </w:pPr>
    </w:p>
    <w:p w14:paraId="1C06DA48" w14:textId="017C6DF9" w:rsidR="008A6B62" w:rsidRDefault="008A6B62" w:rsidP="00BD1751">
      <w:pPr>
        <w:spacing w:line="360" w:lineRule="auto"/>
        <w:jc w:val="both"/>
        <w:rPr>
          <w:rFonts w:eastAsia="Arial"/>
          <w:sz w:val="22"/>
        </w:rPr>
      </w:pPr>
    </w:p>
    <w:p w14:paraId="1D938A0E" w14:textId="4023EF16" w:rsidR="00D407BC" w:rsidRDefault="00D407BC" w:rsidP="00BD1751">
      <w:pPr>
        <w:spacing w:line="360" w:lineRule="auto"/>
        <w:jc w:val="both"/>
        <w:rPr>
          <w:rFonts w:eastAsia="Arial"/>
          <w:sz w:val="22"/>
        </w:rPr>
      </w:pPr>
    </w:p>
    <w:p w14:paraId="3B7B547D" w14:textId="54F4B000" w:rsidR="00D90BA3" w:rsidRPr="00D90BA3" w:rsidRDefault="00D90BA3" w:rsidP="00D90BA3">
      <w:pPr>
        <w:spacing w:line="360" w:lineRule="auto"/>
        <w:rPr>
          <w:rFonts w:eastAsia="Arial"/>
          <w:sz w:val="22"/>
        </w:rPr>
      </w:pPr>
      <w:r>
        <w:rPr>
          <w:rFonts w:eastAsia="Arial"/>
          <w:sz w:val="22"/>
        </w:rPr>
        <w:t xml:space="preserve">Table of Content: </w:t>
      </w:r>
    </w:p>
    <w:p w14:paraId="05651116" w14:textId="0BA0274B" w:rsidR="00D90BA3" w:rsidRPr="00D90BA3" w:rsidRDefault="00D90BA3" w:rsidP="00D90BA3">
      <w:pPr>
        <w:spacing w:line="360" w:lineRule="auto"/>
        <w:rPr>
          <w:rFonts w:eastAsia="Arial"/>
          <w:sz w:val="22"/>
        </w:rPr>
      </w:pPr>
      <w:r w:rsidRPr="00D90BA3">
        <w:rPr>
          <w:rFonts w:eastAsia="Arial"/>
          <w:sz w:val="22"/>
        </w:rPr>
        <w:t>1. Introduction</w:t>
      </w:r>
    </w:p>
    <w:p w14:paraId="114D2C06" w14:textId="77777777" w:rsidR="00D90BA3" w:rsidRPr="00D90BA3" w:rsidRDefault="00D90BA3" w:rsidP="00D90BA3">
      <w:pPr>
        <w:spacing w:line="360" w:lineRule="auto"/>
        <w:rPr>
          <w:rFonts w:eastAsia="Arial"/>
          <w:sz w:val="22"/>
        </w:rPr>
      </w:pPr>
      <w:r w:rsidRPr="00D90BA3">
        <w:rPr>
          <w:rFonts w:eastAsia="Arial"/>
          <w:sz w:val="22"/>
        </w:rPr>
        <w:t xml:space="preserve">    - Overview of the Google Headquarters Project</w:t>
      </w:r>
    </w:p>
    <w:p w14:paraId="589E8A0A" w14:textId="77777777" w:rsidR="00D90BA3" w:rsidRPr="00D90BA3" w:rsidRDefault="00D90BA3" w:rsidP="00D90BA3">
      <w:pPr>
        <w:spacing w:line="360" w:lineRule="auto"/>
        <w:rPr>
          <w:rFonts w:eastAsia="Arial"/>
          <w:sz w:val="22"/>
        </w:rPr>
      </w:pPr>
      <w:r w:rsidRPr="00D90BA3">
        <w:rPr>
          <w:rFonts w:eastAsia="Arial"/>
          <w:sz w:val="22"/>
        </w:rPr>
        <w:t xml:space="preserve">    - Importance of Evaluating Core Elements</w:t>
      </w:r>
    </w:p>
    <w:p w14:paraId="552293BF" w14:textId="77777777" w:rsidR="00D90BA3" w:rsidRPr="00D90BA3" w:rsidRDefault="00D90BA3" w:rsidP="00D90BA3">
      <w:pPr>
        <w:spacing w:line="360" w:lineRule="auto"/>
        <w:rPr>
          <w:rFonts w:eastAsia="Arial"/>
          <w:sz w:val="22"/>
        </w:rPr>
      </w:pPr>
      <w:r w:rsidRPr="00D90BA3">
        <w:rPr>
          <w:rFonts w:eastAsia="Arial"/>
          <w:sz w:val="22"/>
        </w:rPr>
        <w:t xml:space="preserve">    - Approach to Reviewing the Project Plan</w:t>
      </w:r>
    </w:p>
    <w:p w14:paraId="2A8AF8BB" w14:textId="77777777" w:rsidR="00D90BA3" w:rsidRPr="00D90BA3" w:rsidRDefault="00D90BA3" w:rsidP="00D90BA3">
      <w:pPr>
        <w:spacing w:line="360" w:lineRule="auto"/>
        <w:rPr>
          <w:rFonts w:eastAsia="Arial"/>
          <w:sz w:val="22"/>
        </w:rPr>
      </w:pPr>
    </w:p>
    <w:p w14:paraId="3074D874" w14:textId="7BA5972B" w:rsidR="00D90BA3" w:rsidRPr="00D90BA3" w:rsidRDefault="00D90BA3" w:rsidP="00D90BA3">
      <w:pPr>
        <w:spacing w:line="360" w:lineRule="auto"/>
        <w:rPr>
          <w:rFonts w:eastAsia="Arial"/>
          <w:sz w:val="22"/>
        </w:rPr>
      </w:pPr>
      <w:r w:rsidRPr="00D90BA3">
        <w:rPr>
          <w:rFonts w:eastAsia="Arial"/>
          <w:sz w:val="22"/>
        </w:rPr>
        <w:t>2. Budget Evaluation</w:t>
      </w:r>
    </w:p>
    <w:p w14:paraId="0DA0AEAA" w14:textId="77777777" w:rsidR="00D90BA3" w:rsidRPr="00D90BA3" w:rsidRDefault="00D90BA3" w:rsidP="00D90BA3">
      <w:pPr>
        <w:spacing w:line="360" w:lineRule="auto"/>
        <w:rPr>
          <w:rFonts w:eastAsia="Arial"/>
          <w:sz w:val="22"/>
        </w:rPr>
      </w:pPr>
      <w:r w:rsidRPr="00D90BA3">
        <w:rPr>
          <w:rFonts w:eastAsia="Arial"/>
          <w:sz w:val="22"/>
        </w:rPr>
        <w:t xml:space="preserve">    - Initial Budget Allocation and Projected Expenditure</w:t>
      </w:r>
    </w:p>
    <w:p w14:paraId="68595F09" w14:textId="77777777" w:rsidR="00D90BA3" w:rsidRPr="00D90BA3" w:rsidRDefault="00D90BA3" w:rsidP="00D90BA3">
      <w:pPr>
        <w:spacing w:line="360" w:lineRule="auto"/>
        <w:rPr>
          <w:rFonts w:eastAsia="Arial"/>
          <w:sz w:val="22"/>
        </w:rPr>
      </w:pPr>
      <w:r w:rsidRPr="00D90BA3">
        <w:rPr>
          <w:rFonts w:eastAsia="Arial"/>
          <w:sz w:val="22"/>
        </w:rPr>
        <w:t xml:space="preserve">    - Current Spending Analysis and Financial Health</w:t>
      </w:r>
    </w:p>
    <w:p w14:paraId="479FCDB6" w14:textId="77777777" w:rsidR="00D90BA3" w:rsidRPr="00D90BA3" w:rsidRDefault="00D90BA3" w:rsidP="00D90BA3">
      <w:pPr>
        <w:spacing w:line="360" w:lineRule="auto"/>
        <w:rPr>
          <w:rFonts w:eastAsia="Arial"/>
          <w:sz w:val="22"/>
        </w:rPr>
      </w:pPr>
      <w:r w:rsidRPr="00D90BA3">
        <w:rPr>
          <w:rFonts w:eastAsia="Arial"/>
          <w:sz w:val="22"/>
        </w:rPr>
        <w:t xml:space="preserve">    - Strategies for Managing Cost Overruns</w:t>
      </w:r>
    </w:p>
    <w:p w14:paraId="58A3991B" w14:textId="77777777" w:rsidR="00D90BA3" w:rsidRPr="00D90BA3" w:rsidRDefault="00D90BA3" w:rsidP="00D90BA3">
      <w:pPr>
        <w:spacing w:line="360" w:lineRule="auto"/>
        <w:rPr>
          <w:rFonts w:eastAsia="Arial"/>
          <w:sz w:val="22"/>
        </w:rPr>
      </w:pPr>
      <w:r w:rsidRPr="00D90BA3">
        <w:rPr>
          <w:rFonts w:eastAsia="Arial"/>
          <w:sz w:val="22"/>
        </w:rPr>
        <w:t xml:space="preserve">    - Cost-Saving Measures Impact Analysis</w:t>
      </w:r>
    </w:p>
    <w:p w14:paraId="1735806B" w14:textId="77777777" w:rsidR="00D90BA3" w:rsidRPr="00D90BA3" w:rsidRDefault="00D90BA3" w:rsidP="00D90BA3">
      <w:pPr>
        <w:spacing w:line="360" w:lineRule="auto"/>
        <w:rPr>
          <w:rFonts w:eastAsia="Arial"/>
          <w:sz w:val="22"/>
        </w:rPr>
      </w:pPr>
    </w:p>
    <w:p w14:paraId="7A8C5A04" w14:textId="6983347F" w:rsidR="00D90BA3" w:rsidRPr="00D90BA3" w:rsidRDefault="00D90BA3" w:rsidP="00D90BA3">
      <w:pPr>
        <w:spacing w:line="360" w:lineRule="auto"/>
        <w:rPr>
          <w:rFonts w:eastAsia="Arial"/>
          <w:sz w:val="22"/>
        </w:rPr>
      </w:pPr>
      <w:r w:rsidRPr="00D90BA3">
        <w:rPr>
          <w:rFonts w:eastAsia="Arial"/>
          <w:sz w:val="22"/>
        </w:rPr>
        <w:t>3. Time Management Assessment</w:t>
      </w:r>
    </w:p>
    <w:p w14:paraId="756640CA" w14:textId="77777777" w:rsidR="00D90BA3" w:rsidRPr="00D90BA3" w:rsidRDefault="00D90BA3" w:rsidP="00D90BA3">
      <w:pPr>
        <w:spacing w:line="360" w:lineRule="auto"/>
        <w:rPr>
          <w:rFonts w:eastAsia="Arial"/>
          <w:sz w:val="22"/>
        </w:rPr>
      </w:pPr>
      <w:r w:rsidRPr="00D90BA3">
        <w:rPr>
          <w:rFonts w:eastAsia="Arial"/>
          <w:sz w:val="22"/>
        </w:rPr>
        <w:t xml:space="preserve">    - Review of Project Timelines and Milestones</w:t>
      </w:r>
    </w:p>
    <w:p w14:paraId="6ED0709A" w14:textId="77777777" w:rsidR="00D90BA3" w:rsidRPr="00D90BA3" w:rsidRDefault="00D90BA3" w:rsidP="00D90BA3">
      <w:pPr>
        <w:spacing w:line="360" w:lineRule="auto"/>
        <w:rPr>
          <w:rFonts w:eastAsia="Arial"/>
          <w:sz w:val="22"/>
        </w:rPr>
      </w:pPr>
      <w:r w:rsidRPr="00D90BA3">
        <w:rPr>
          <w:rFonts w:eastAsia="Arial"/>
          <w:sz w:val="22"/>
        </w:rPr>
        <w:t xml:space="preserve">    - Identifying Delays and Deviations</w:t>
      </w:r>
    </w:p>
    <w:p w14:paraId="4D7CC173" w14:textId="77777777" w:rsidR="00D90BA3" w:rsidRPr="00D90BA3" w:rsidRDefault="00D90BA3" w:rsidP="00D90BA3">
      <w:pPr>
        <w:spacing w:line="360" w:lineRule="auto"/>
        <w:rPr>
          <w:rFonts w:eastAsia="Arial"/>
          <w:sz w:val="22"/>
        </w:rPr>
      </w:pPr>
      <w:r w:rsidRPr="00D90BA3">
        <w:rPr>
          <w:rFonts w:eastAsia="Arial"/>
          <w:sz w:val="22"/>
        </w:rPr>
        <w:t xml:space="preserve">    - Mitigation Strategies for Time-Related Risks</w:t>
      </w:r>
    </w:p>
    <w:p w14:paraId="46163C35" w14:textId="77777777" w:rsidR="00D90BA3" w:rsidRPr="00D90BA3" w:rsidRDefault="00D90BA3" w:rsidP="00D90BA3">
      <w:pPr>
        <w:spacing w:line="360" w:lineRule="auto"/>
        <w:rPr>
          <w:rFonts w:eastAsia="Arial"/>
          <w:sz w:val="22"/>
        </w:rPr>
      </w:pPr>
      <w:r w:rsidRPr="00D90BA3">
        <w:rPr>
          <w:rFonts w:eastAsia="Arial"/>
          <w:sz w:val="22"/>
        </w:rPr>
        <w:t xml:space="preserve">    - Implications of Meeting Deadlines or Delays</w:t>
      </w:r>
    </w:p>
    <w:p w14:paraId="5E109884" w14:textId="77777777" w:rsidR="00D90BA3" w:rsidRPr="00D90BA3" w:rsidRDefault="00D90BA3" w:rsidP="00D90BA3">
      <w:pPr>
        <w:spacing w:line="360" w:lineRule="auto"/>
        <w:rPr>
          <w:rFonts w:eastAsia="Arial"/>
          <w:sz w:val="22"/>
        </w:rPr>
      </w:pPr>
    </w:p>
    <w:p w14:paraId="3DB7E2EF" w14:textId="249FB007" w:rsidR="00D90BA3" w:rsidRPr="00D90BA3" w:rsidRDefault="00D90BA3" w:rsidP="00D90BA3">
      <w:pPr>
        <w:spacing w:line="360" w:lineRule="auto"/>
        <w:rPr>
          <w:rFonts w:eastAsia="Arial"/>
          <w:sz w:val="22"/>
        </w:rPr>
      </w:pPr>
      <w:r w:rsidRPr="00D90BA3">
        <w:rPr>
          <w:rFonts w:eastAsia="Arial"/>
          <w:sz w:val="22"/>
        </w:rPr>
        <w:t>4. Quality Analysis</w:t>
      </w:r>
    </w:p>
    <w:p w14:paraId="5289C2A4" w14:textId="77777777" w:rsidR="00D90BA3" w:rsidRPr="00D90BA3" w:rsidRDefault="00D90BA3" w:rsidP="00D90BA3">
      <w:pPr>
        <w:spacing w:line="360" w:lineRule="auto"/>
        <w:rPr>
          <w:rFonts w:eastAsia="Arial"/>
          <w:sz w:val="22"/>
        </w:rPr>
      </w:pPr>
      <w:r w:rsidRPr="00D90BA3">
        <w:rPr>
          <w:rFonts w:eastAsia="Arial"/>
          <w:sz w:val="22"/>
        </w:rPr>
        <w:t xml:space="preserve">    - Evaluation of Construction and Infrastructure Quality</w:t>
      </w:r>
    </w:p>
    <w:p w14:paraId="09FCE2ED" w14:textId="77777777" w:rsidR="00D90BA3" w:rsidRPr="00D90BA3" w:rsidRDefault="00D90BA3" w:rsidP="00D90BA3">
      <w:pPr>
        <w:spacing w:line="360" w:lineRule="auto"/>
        <w:rPr>
          <w:rFonts w:eastAsia="Arial"/>
          <w:sz w:val="22"/>
        </w:rPr>
      </w:pPr>
      <w:r w:rsidRPr="00D90BA3">
        <w:rPr>
          <w:rFonts w:eastAsia="Arial"/>
          <w:sz w:val="22"/>
        </w:rPr>
        <w:t xml:space="preserve">    - Compliance with Quality Standards and Benchmarks</w:t>
      </w:r>
    </w:p>
    <w:p w14:paraId="459A4D4D" w14:textId="77777777" w:rsidR="00D90BA3" w:rsidRPr="00D90BA3" w:rsidRDefault="00D90BA3" w:rsidP="00D90BA3">
      <w:pPr>
        <w:spacing w:line="360" w:lineRule="auto"/>
        <w:rPr>
          <w:rFonts w:eastAsia="Arial"/>
          <w:sz w:val="22"/>
        </w:rPr>
      </w:pPr>
      <w:r w:rsidRPr="00D90BA3">
        <w:rPr>
          <w:rFonts w:eastAsia="Arial"/>
          <w:sz w:val="22"/>
        </w:rPr>
        <w:t xml:space="preserve">    - Comparison of Expected vs. Actual Quality Delivered</w:t>
      </w:r>
    </w:p>
    <w:p w14:paraId="4B946D72" w14:textId="77777777" w:rsidR="00D90BA3" w:rsidRPr="00D90BA3" w:rsidRDefault="00D90BA3" w:rsidP="00D90BA3">
      <w:pPr>
        <w:spacing w:line="360" w:lineRule="auto"/>
        <w:rPr>
          <w:rFonts w:eastAsia="Arial"/>
          <w:sz w:val="22"/>
        </w:rPr>
      </w:pPr>
      <w:r w:rsidRPr="00D90BA3">
        <w:rPr>
          <w:rFonts w:eastAsia="Arial"/>
          <w:sz w:val="22"/>
        </w:rPr>
        <w:t xml:space="preserve">    - Strategies to Enhance or Maintain Quality</w:t>
      </w:r>
    </w:p>
    <w:p w14:paraId="18378C87" w14:textId="77777777" w:rsidR="00D90BA3" w:rsidRPr="00D90BA3" w:rsidRDefault="00D90BA3" w:rsidP="00D90BA3">
      <w:pPr>
        <w:spacing w:line="360" w:lineRule="auto"/>
        <w:rPr>
          <w:rFonts w:eastAsia="Arial"/>
          <w:sz w:val="22"/>
        </w:rPr>
      </w:pPr>
    </w:p>
    <w:p w14:paraId="2616CFEA" w14:textId="77729581" w:rsidR="00D90BA3" w:rsidRPr="00D90BA3" w:rsidRDefault="00D90BA3" w:rsidP="00D90BA3">
      <w:pPr>
        <w:spacing w:line="360" w:lineRule="auto"/>
        <w:rPr>
          <w:rFonts w:eastAsia="Arial"/>
          <w:sz w:val="22"/>
        </w:rPr>
      </w:pPr>
      <w:r w:rsidRPr="00D90BA3">
        <w:rPr>
          <w:rFonts w:eastAsia="Arial"/>
          <w:sz w:val="22"/>
        </w:rPr>
        <w:t>5. Stakeholder Engagement Examination</w:t>
      </w:r>
    </w:p>
    <w:p w14:paraId="543318AD" w14:textId="77777777" w:rsidR="00D90BA3" w:rsidRPr="00D90BA3" w:rsidRDefault="00D90BA3" w:rsidP="00D90BA3">
      <w:pPr>
        <w:spacing w:line="360" w:lineRule="auto"/>
        <w:rPr>
          <w:rFonts w:eastAsia="Arial"/>
          <w:sz w:val="22"/>
        </w:rPr>
      </w:pPr>
      <w:r w:rsidRPr="00D90BA3">
        <w:rPr>
          <w:rFonts w:eastAsia="Arial"/>
          <w:sz w:val="22"/>
        </w:rPr>
        <w:t xml:space="preserve">    - Identification of Key Project Stakeholders</w:t>
      </w:r>
    </w:p>
    <w:p w14:paraId="4746886D" w14:textId="77777777" w:rsidR="00D90BA3" w:rsidRPr="00D90BA3" w:rsidRDefault="00D90BA3" w:rsidP="00D90BA3">
      <w:pPr>
        <w:spacing w:line="360" w:lineRule="auto"/>
        <w:rPr>
          <w:rFonts w:eastAsia="Arial"/>
          <w:sz w:val="22"/>
        </w:rPr>
      </w:pPr>
      <w:r w:rsidRPr="00D90BA3">
        <w:rPr>
          <w:rFonts w:eastAsia="Arial"/>
          <w:sz w:val="22"/>
        </w:rPr>
        <w:t xml:space="preserve">    - Assessment of Stakeholder Management Strategies</w:t>
      </w:r>
    </w:p>
    <w:p w14:paraId="77ECA6CB" w14:textId="77777777" w:rsidR="00D90BA3" w:rsidRPr="00D90BA3" w:rsidRDefault="00D90BA3" w:rsidP="00D90BA3">
      <w:pPr>
        <w:spacing w:line="360" w:lineRule="auto"/>
        <w:rPr>
          <w:rFonts w:eastAsia="Arial"/>
          <w:sz w:val="22"/>
        </w:rPr>
      </w:pPr>
      <w:r w:rsidRPr="00D90BA3">
        <w:rPr>
          <w:rFonts w:eastAsia="Arial"/>
          <w:sz w:val="22"/>
        </w:rPr>
        <w:t xml:space="preserve">    - Communication Effectiveness and Stakeholder Engagement</w:t>
      </w:r>
    </w:p>
    <w:p w14:paraId="4CC7BAD9" w14:textId="77777777" w:rsidR="00D90BA3" w:rsidRPr="00D90BA3" w:rsidRDefault="00D90BA3" w:rsidP="00D90BA3">
      <w:pPr>
        <w:spacing w:line="360" w:lineRule="auto"/>
        <w:rPr>
          <w:rFonts w:eastAsia="Arial"/>
          <w:sz w:val="22"/>
        </w:rPr>
      </w:pPr>
      <w:r w:rsidRPr="00D90BA3">
        <w:rPr>
          <w:rFonts w:eastAsia="Arial"/>
          <w:sz w:val="22"/>
        </w:rPr>
        <w:t xml:space="preserve">    - Strategies for Improved Stakeholder Relationships</w:t>
      </w:r>
    </w:p>
    <w:p w14:paraId="2557EF79" w14:textId="77777777" w:rsidR="00D90BA3" w:rsidRPr="00D90BA3" w:rsidRDefault="00D90BA3" w:rsidP="00D90BA3">
      <w:pPr>
        <w:spacing w:line="360" w:lineRule="auto"/>
        <w:rPr>
          <w:rFonts w:eastAsia="Arial"/>
          <w:sz w:val="22"/>
        </w:rPr>
      </w:pPr>
    </w:p>
    <w:p w14:paraId="398ACA3A" w14:textId="4B717FE8" w:rsidR="00D90BA3" w:rsidRPr="00D90BA3" w:rsidRDefault="00D90BA3" w:rsidP="00D90BA3">
      <w:pPr>
        <w:spacing w:line="360" w:lineRule="auto"/>
        <w:rPr>
          <w:rFonts w:eastAsia="Arial"/>
          <w:sz w:val="22"/>
        </w:rPr>
      </w:pPr>
      <w:r w:rsidRPr="00D90BA3">
        <w:rPr>
          <w:rFonts w:eastAsia="Arial"/>
          <w:sz w:val="22"/>
        </w:rPr>
        <w:t>6. Risk Factors Assessment</w:t>
      </w:r>
    </w:p>
    <w:p w14:paraId="1C7CE1AC" w14:textId="77777777" w:rsidR="00D90BA3" w:rsidRPr="00D90BA3" w:rsidRDefault="00D90BA3" w:rsidP="00D90BA3">
      <w:pPr>
        <w:spacing w:line="360" w:lineRule="auto"/>
        <w:rPr>
          <w:rFonts w:eastAsia="Arial"/>
          <w:sz w:val="22"/>
        </w:rPr>
      </w:pPr>
      <w:r w:rsidRPr="00D90BA3">
        <w:rPr>
          <w:rFonts w:eastAsia="Arial"/>
          <w:sz w:val="22"/>
        </w:rPr>
        <w:t xml:space="preserve">    - Identification of Potential Project Risks</w:t>
      </w:r>
    </w:p>
    <w:p w14:paraId="7DEA4BB6" w14:textId="77777777" w:rsidR="00D90BA3" w:rsidRPr="00D90BA3" w:rsidRDefault="00D90BA3" w:rsidP="00D90BA3">
      <w:pPr>
        <w:spacing w:line="360" w:lineRule="auto"/>
        <w:rPr>
          <w:rFonts w:eastAsia="Arial"/>
          <w:sz w:val="22"/>
        </w:rPr>
      </w:pPr>
      <w:r w:rsidRPr="00D90BA3">
        <w:rPr>
          <w:rFonts w:eastAsia="Arial"/>
          <w:sz w:val="22"/>
        </w:rPr>
        <w:lastRenderedPageBreak/>
        <w:t xml:space="preserve">    - Analysis of Impact and Likelihood of Risks</w:t>
      </w:r>
    </w:p>
    <w:p w14:paraId="20678938" w14:textId="77777777" w:rsidR="00D90BA3" w:rsidRPr="00D90BA3" w:rsidRDefault="00D90BA3" w:rsidP="00D90BA3">
      <w:pPr>
        <w:spacing w:line="360" w:lineRule="auto"/>
        <w:rPr>
          <w:rFonts w:eastAsia="Arial"/>
          <w:sz w:val="22"/>
        </w:rPr>
      </w:pPr>
      <w:r w:rsidRPr="00D90BA3">
        <w:rPr>
          <w:rFonts w:eastAsia="Arial"/>
          <w:sz w:val="22"/>
        </w:rPr>
        <w:t xml:space="preserve">    - Mitigation Strategies for Reducing Risk Impact</w:t>
      </w:r>
    </w:p>
    <w:p w14:paraId="3F07E5D0" w14:textId="77777777" w:rsidR="00D90BA3" w:rsidRPr="00D90BA3" w:rsidRDefault="00D90BA3" w:rsidP="00D90BA3">
      <w:pPr>
        <w:spacing w:line="360" w:lineRule="auto"/>
        <w:rPr>
          <w:rFonts w:eastAsia="Arial"/>
          <w:sz w:val="22"/>
        </w:rPr>
      </w:pPr>
      <w:r w:rsidRPr="00D90BA3">
        <w:rPr>
          <w:rFonts w:eastAsia="Arial"/>
          <w:sz w:val="22"/>
        </w:rPr>
        <w:t xml:space="preserve">    - Importance of Proactive Risk Management</w:t>
      </w:r>
    </w:p>
    <w:p w14:paraId="2D082671" w14:textId="77777777" w:rsidR="00D90BA3" w:rsidRPr="00D90BA3" w:rsidRDefault="00D90BA3" w:rsidP="00D90BA3">
      <w:pPr>
        <w:spacing w:line="360" w:lineRule="auto"/>
        <w:rPr>
          <w:rFonts w:eastAsia="Arial"/>
          <w:sz w:val="22"/>
        </w:rPr>
      </w:pPr>
    </w:p>
    <w:p w14:paraId="2CB79AA3" w14:textId="05A29A64" w:rsidR="00D90BA3" w:rsidRPr="00D90BA3" w:rsidRDefault="00D90BA3" w:rsidP="00D90BA3">
      <w:pPr>
        <w:spacing w:line="360" w:lineRule="auto"/>
        <w:rPr>
          <w:rFonts w:eastAsia="Arial"/>
          <w:sz w:val="22"/>
        </w:rPr>
      </w:pPr>
      <w:r w:rsidRPr="00D90BA3">
        <w:rPr>
          <w:rFonts w:eastAsia="Arial"/>
          <w:sz w:val="22"/>
        </w:rPr>
        <w:t>7. Conclusion</w:t>
      </w:r>
    </w:p>
    <w:p w14:paraId="1AB43409" w14:textId="77777777" w:rsidR="00D90BA3" w:rsidRPr="00D90BA3" w:rsidRDefault="00D90BA3" w:rsidP="00D90BA3">
      <w:pPr>
        <w:spacing w:line="360" w:lineRule="auto"/>
        <w:rPr>
          <w:rFonts w:eastAsia="Arial"/>
          <w:sz w:val="22"/>
        </w:rPr>
      </w:pPr>
      <w:r w:rsidRPr="00D90BA3">
        <w:rPr>
          <w:rFonts w:eastAsia="Arial"/>
          <w:sz w:val="22"/>
        </w:rPr>
        <w:t xml:space="preserve">    - Summary of Key Findings and Recommendations</w:t>
      </w:r>
    </w:p>
    <w:p w14:paraId="0E3D086D" w14:textId="77777777" w:rsidR="00D90BA3" w:rsidRPr="00D90BA3" w:rsidRDefault="00D90BA3" w:rsidP="00D90BA3">
      <w:pPr>
        <w:spacing w:line="360" w:lineRule="auto"/>
        <w:rPr>
          <w:rFonts w:eastAsia="Arial"/>
          <w:sz w:val="22"/>
        </w:rPr>
      </w:pPr>
      <w:r w:rsidRPr="00D90BA3">
        <w:rPr>
          <w:rFonts w:eastAsia="Arial"/>
          <w:sz w:val="22"/>
        </w:rPr>
        <w:t xml:space="preserve">    - Critical Success Factors for the Project</w:t>
      </w:r>
    </w:p>
    <w:p w14:paraId="5678F831" w14:textId="77777777" w:rsidR="00D90BA3" w:rsidRPr="00D90BA3" w:rsidRDefault="00D90BA3" w:rsidP="00D90BA3">
      <w:pPr>
        <w:spacing w:line="360" w:lineRule="auto"/>
        <w:rPr>
          <w:rFonts w:eastAsia="Arial"/>
          <w:sz w:val="22"/>
        </w:rPr>
      </w:pPr>
      <w:r w:rsidRPr="00D90BA3">
        <w:rPr>
          <w:rFonts w:eastAsia="Arial"/>
          <w:sz w:val="22"/>
        </w:rPr>
        <w:t xml:space="preserve">    - Emphasizing Adaptive Strategies and Continuous Improvement</w:t>
      </w:r>
    </w:p>
    <w:p w14:paraId="79D64B49" w14:textId="77777777" w:rsidR="00D90BA3" w:rsidRPr="00D90BA3" w:rsidRDefault="00D90BA3" w:rsidP="00D90BA3">
      <w:pPr>
        <w:spacing w:line="360" w:lineRule="auto"/>
        <w:rPr>
          <w:rFonts w:eastAsia="Arial"/>
          <w:sz w:val="22"/>
        </w:rPr>
      </w:pPr>
    </w:p>
    <w:p w14:paraId="2D132768" w14:textId="185DE9B7" w:rsidR="00D90BA3" w:rsidRPr="00D90BA3" w:rsidRDefault="00D90BA3" w:rsidP="00D90BA3">
      <w:pPr>
        <w:spacing w:line="360" w:lineRule="auto"/>
        <w:rPr>
          <w:rFonts w:eastAsia="Arial"/>
          <w:sz w:val="22"/>
        </w:rPr>
      </w:pPr>
      <w:r w:rsidRPr="00D90BA3">
        <w:rPr>
          <w:rFonts w:eastAsia="Arial"/>
          <w:sz w:val="22"/>
        </w:rPr>
        <w:t>8. Professional Practice</w:t>
      </w:r>
    </w:p>
    <w:p w14:paraId="52DB8C3C" w14:textId="77777777" w:rsidR="00D90BA3" w:rsidRPr="00D90BA3" w:rsidRDefault="00D90BA3" w:rsidP="00D90BA3">
      <w:pPr>
        <w:spacing w:line="360" w:lineRule="auto"/>
        <w:rPr>
          <w:rFonts w:eastAsia="Arial"/>
          <w:sz w:val="22"/>
        </w:rPr>
      </w:pPr>
      <w:r w:rsidRPr="00D90BA3">
        <w:rPr>
          <w:rFonts w:eastAsia="Arial"/>
          <w:sz w:val="22"/>
        </w:rPr>
        <w:t xml:space="preserve">    - Adherence to Academic Standards</w:t>
      </w:r>
    </w:p>
    <w:p w14:paraId="4B9FB044" w14:textId="77777777" w:rsidR="00D90BA3" w:rsidRPr="00D90BA3" w:rsidRDefault="00D90BA3" w:rsidP="00D90BA3">
      <w:pPr>
        <w:spacing w:line="360" w:lineRule="auto"/>
        <w:rPr>
          <w:rFonts w:eastAsia="Arial"/>
          <w:sz w:val="22"/>
        </w:rPr>
      </w:pPr>
      <w:r w:rsidRPr="00D90BA3">
        <w:rPr>
          <w:rFonts w:eastAsia="Arial"/>
          <w:sz w:val="22"/>
        </w:rPr>
        <w:t xml:space="preserve">    - Utilization of Structured Approach and Clear Headings</w:t>
      </w:r>
    </w:p>
    <w:p w14:paraId="4839EBB5" w14:textId="77777777" w:rsidR="00D90BA3" w:rsidRPr="00D90BA3" w:rsidRDefault="00D90BA3" w:rsidP="00D90BA3">
      <w:pPr>
        <w:spacing w:line="360" w:lineRule="auto"/>
        <w:rPr>
          <w:rFonts w:eastAsia="Arial"/>
          <w:sz w:val="22"/>
        </w:rPr>
      </w:pPr>
      <w:r w:rsidRPr="00D90BA3">
        <w:rPr>
          <w:rFonts w:eastAsia="Arial"/>
          <w:sz w:val="22"/>
        </w:rPr>
        <w:t xml:space="preserve">    - Integration of Credible Sources and Harvard Referencing System</w:t>
      </w:r>
    </w:p>
    <w:p w14:paraId="711451C6" w14:textId="77777777" w:rsidR="00D90BA3" w:rsidRPr="00D90BA3" w:rsidRDefault="00D90BA3" w:rsidP="00D90BA3">
      <w:pPr>
        <w:spacing w:line="360" w:lineRule="auto"/>
        <w:rPr>
          <w:rFonts w:eastAsia="Arial"/>
          <w:sz w:val="22"/>
        </w:rPr>
      </w:pPr>
    </w:p>
    <w:p w14:paraId="3391FCA9" w14:textId="60AFFA19" w:rsidR="00D90BA3" w:rsidRPr="00D90BA3" w:rsidRDefault="00D90BA3" w:rsidP="00D90BA3">
      <w:pPr>
        <w:spacing w:line="360" w:lineRule="auto"/>
        <w:rPr>
          <w:rFonts w:eastAsia="Arial"/>
          <w:sz w:val="22"/>
        </w:rPr>
      </w:pPr>
      <w:r w:rsidRPr="00D90BA3">
        <w:rPr>
          <w:rFonts w:eastAsia="Arial"/>
          <w:sz w:val="22"/>
        </w:rPr>
        <w:t>9.References</w:t>
      </w:r>
    </w:p>
    <w:p w14:paraId="70752ABF" w14:textId="77777777" w:rsidR="00D90BA3" w:rsidRPr="00D90BA3" w:rsidRDefault="00D90BA3" w:rsidP="00D90BA3">
      <w:pPr>
        <w:spacing w:line="360" w:lineRule="auto"/>
        <w:rPr>
          <w:rFonts w:eastAsia="Arial"/>
          <w:sz w:val="22"/>
        </w:rPr>
      </w:pPr>
    </w:p>
    <w:p w14:paraId="59F5CB2F" w14:textId="1F2D277F" w:rsidR="00D90BA3" w:rsidRPr="00D90BA3" w:rsidRDefault="00D90BA3" w:rsidP="00D90BA3">
      <w:pPr>
        <w:spacing w:line="360" w:lineRule="auto"/>
        <w:rPr>
          <w:rFonts w:eastAsia="Arial"/>
          <w:sz w:val="22"/>
        </w:rPr>
      </w:pPr>
      <w:r w:rsidRPr="00D90BA3">
        <w:rPr>
          <w:rFonts w:eastAsia="Arial"/>
          <w:sz w:val="22"/>
        </w:rPr>
        <w:t xml:space="preserve"> Introduction</w:t>
      </w:r>
    </w:p>
    <w:p w14:paraId="4580B632" w14:textId="77777777" w:rsidR="00D90BA3" w:rsidRPr="00D90BA3" w:rsidRDefault="00D90BA3" w:rsidP="00D90BA3">
      <w:pPr>
        <w:spacing w:line="360" w:lineRule="auto"/>
        <w:rPr>
          <w:rFonts w:eastAsia="Arial"/>
          <w:sz w:val="22"/>
        </w:rPr>
      </w:pPr>
    </w:p>
    <w:p w14:paraId="2332C04D" w14:textId="3060700C" w:rsidR="007B620D" w:rsidRPr="00D11AAC" w:rsidRDefault="007B620D" w:rsidP="00D11AAC">
      <w:pPr>
        <w:spacing w:line="480" w:lineRule="auto"/>
        <w:rPr>
          <w:sz w:val="22"/>
          <w:szCs w:val="22"/>
        </w:rPr>
      </w:pPr>
      <w:r w:rsidRPr="00D11AAC">
        <w:rPr>
          <w:sz w:val="22"/>
          <w:szCs w:val="22"/>
        </w:rPr>
        <w:t xml:space="preserve">The launch of Google's forthcoming one billion pounds project to establish a </w:t>
      </w:r>
      <w:r w:rsidRPr="00D11AAC">
        <w:rPr>
          <w:sz w:val="22"/>
          <w:szCs w:val="22"/>
        </w:rPr>
        <w:t>ground-breaking</w:t>
      </w:r>
      <w:r w:rsidRPr="00D11AAC">
        <w:rPr>
          <w:sz w:val="22"/>
          <w:szCs w:val="22"/>
        </w:rPr>
        <w:t xml:space="preserve"> headquarters at King's Cross, London, signifies a pivotal moment in urban development and corporate expansion. Spanning a significant area adjacent to King's Cross Station, the project aims to redefine workspace design, accommodating 4,500 individuals across 11 stories. As the first Google-owned and designed building outside the United States, it not only promises to transform London's landscape but also invigorate the knowledge-based economy in the King's Cross area.</w:t>
      </w:r>
    </w:p>
    <w:p w14:paraId="6D081B91" w14:textId="597E5F31" w:rsidR="007B620D" w:rsidRPr="00D11AAC" w:rsidRDefault="007B620D" w:rsidP="00D11AAC">
      <w:pPr>
        <w:spacing w:line="480" w:lineRule="auto"/>
        <w:rPr>
          <w:sz w:val="22"/>
          <w:szCs w:val="22"/>
        </w:rPr>
      </w:pPr>
      <w:r w:rsidRPr="00D11AAC">
        <w:rPr>
          <w:sz w:val="22"/>
          <w:szCs w:val="22"/>
        </w:rPr>
        <w:t xml:space="preserve">Encompassing 60,400 sqm of office space, the project integrates retail spaces, an events and training </w:t>
      </w:r>
      <w:r w:rsidRPr="00D11AAC">
        <w:rPr>
          <w:sz w:val="22"/>
          <w:szCs w:val="22"/>
        </w:rPr>
        <w:t>centre</w:t>
      </w:r>
      <w:r w:rsidRPr="00D11AAC">
        <w:rPr>
          <w:sz w:val="22"/>
          <w:szCs w:val="22"/>
        </w:rPr>
        <w:t>, cafes, a gym, a multi-use games area (MUGA), and pool facilities. Furthermore, the incorporation of landscaped terraces and a roof-level running track underscores Google's commitment to employee well-being and recreational spaces.</w:t>
      </w:r>
    </w:p>
    <w:p w14:paraId="6B168275" w14:textId="3A6F1ADC" w:rsidR="007B620D" w:rsidRPr="00D11AAC" w:rsidRDefault="007B620D" w:rsidP="00D11AAC">
      <w:pPr>
        <w:spacing w:line="480" w:lineRule="auto"/>
        <w:rPr>
          <w:sz w:val="22"/>
          <w:szCs w:val="22"/>
        </w:rPr>
      </w:pPr>
      <w:r w:rsidRPr="00D11AAC">
        <w:rPr>
          <w:sz w:val="22"/>
          <w:szCs w:val="22"/>
        </w:rPr>
        <w:t xml:space="preserve">Collaborating with the current building at 6 Pancras Square and an additional third building, this visionary </w:t>
      </w:r>
      <w:r w:rsidRPr="00D11AAC">
        <w:rPr>
          <w:sz w:val="22"/>
          <w:szCs w:val="22"/>
        </w:rPr>
        <w:t>endeavour</w:t>
      </w:r>
      <w:r w:rsidRPr="00D11AAC">
        <w:rPr>
          <w:sz w:val="22"/>
          <w:szCs w:val="22"/>
        </w:rPr>
        <w:t xml:space="preserve"> seeks to establish a Google campus capable of accommodating 7,000 employees. </w:t>
      </w:r>
      <w:r w:rsidRPr="00D11AAC">
        <w:rPr>
          <w:sz w:val="22"/>
          <w:szCs w:val="22"/>
        </w:rPr>
        <w:lastRenderedPageBreak/>
        <w:t>Beyond Google's direct impact, the project contributes significantly to the Knowledge Quarter and King’s Cross's burgeoning knowledge-based economy.</w:t>
      </w:r>
    </w:p>
    <w:p w14:paraId="5997BB36" w14:textId="77777777" w:rsidR="007B620D" w:rsidRPr="00D11AAC" w:rsidRDefault="007B620D" w:rsidP="00D11AAC">
      <w:pPr>
        <w:spacing w:line="480" w:lineRule="auto"/>
        <w:rPr>
          <w:sz w:val="22"/>
          <w:szCs w:val="22"/>
        </w:rPr>
      </w:pPr>
      <w:r w:rsidRPr="00D11AAC">
        <w:rPr>
          <w:sz w:val="22"/>
          <w:szCs w:val="22"/>
        </w:rPr>
        <w:t>This essay critically evaluates crucial elements of the Google Headquarters project: budget, timelines, quality assurance, stakeholder management, and risk factors. It aims to examine current progress, identifying successes and challenges to offer informed recommendations for effective project management. The subsequent sections delve into these core elements, assessing their impact on the project's success and providing insights to facilitate goal achievement. This evaluation underscores the significance of cohesive planning, execution, and adaptive strategies for the successful completion of this ambitious project.</w:t>
      </w:r>
    </w:p>
    <w:p w14:paraId="2FCD3089" w14:textId="77777777" w:rsidR="00D90BA3" w:rsidRPr="00D90BA3" w:rsidRDefault="00D90BA3" w:rsidP="00D90BA3">
      <w:pPr>
        <w:spacing w:line="360" w:lineRule="auto"/>
        <w:rPr>
          <w:rFonts w:eastAsia="Arial"/>
          <w:sz w:val="22"/>
        </w:rPr>
      </w:pPr>
    </w:p>
    <w:p w14:paraId="16FFED78" w14:textId="7345D507" w:rsidR="007B620D" w:rsidRDefault="007B620D" w:rsidP="00D90BA3">
      <w:pPr>
        <w:spacing w:line="360" w:lineRule="auto"/>
        <w:rPr>
          <w:rFonts w:eastAsia="Arial"/>
          <w:sz w:val="22"/>
        </w:rPr>
      </w:pPr>
    </w:p>
    <w:p w14:paraId="590A75D6" w14:textId="77777777" w:rsidR="007B620D" w:rsidRPr="00D90BA3" w:rsidRDefault="007B620D" w:rsidP="00D90BA3">
      <w:pPr>
        <w:spacing w:line="360" w:lineRule="auto"/>
        <w:rPr>
          <w:rFonts w:eastAsia="Arial"/>
          <w:sz w:val="22"/>
        </w:rPr>
      </w:pPr>
    </w:p>
    <w:p w14:paraId="34F53799" w14:textId="13352CB9" w:rsidR="00D90BA3" w:rsidRPr="00D90BA3" w:rsidRDefault="00D90BA3" w:rsidP="00D90BA3">
      <w:pPr>
        <w:spacing w:line="360" w:lineRule="auto"/>
        <w:rPr>
          <w:rFonts w:eastAsia="Arial"/>
          <w:sz w:val="22"/>
        </w:rPr>
      </w:pPr>
      <w:r w:rsidRPr="00D90BA3">
        <w:rPr>
          <w:rFonts w:eastAsia="Arial"/>
          <w:sz w:val="22"/>
        </w:rPr>
        <w:t>The Bod</w:t>
      </w:r>
      <w:r w:rsidR="00AA3726">
        <w:rPr>
          <w:rFonts w:eastAsia="Arial"/>
          <w:sz w:val="22"/>
        </w:rPr>
        <w:t>y</w:t>
      </w:r>
    </w:p>
    <w:p w14:paraId="3E62C7BE" w14:textId="77777777" w:rsidR="00D90BA3" w:rsidRPr="00D90BA3" w:rsidRDefault="00D90BA3" w:rsidP="00D90BA3">
      <w:pPr>
        <w:spacing w:line="360" w:lineRule="auto"/>
        <w:rPr>
          <w:rFonts w:eastAsia="Arial"/>
          <w:sz w:val="22"/>
        </w:rPr>
      </w:pPr>
    </w:p>
    <w:p w14:paraId="1E58564F" w14:textId="3C8B2734" w:rsidR="00D11AAC" w:rsidRPr="00D11AAC" w:rsidRDefault="00D11AAC" w:rsidP="00D11AAC">
      <w:pPr>
        <w:spacing w:line="360" w:lineRule="auto"/>
        <w:rPr>
          <w:rFonts w:eastAsia="Arial"/>
          <w:sz w:val="22"/>
        </w:rPr>
      </w:pPr>
      <w:r w:rsidRPr="00D11AAC">
        <w:rPr>
          <w:rFonts w:eastAsia="Arial"/>
          <w:sz w:val="22"/>
        </w:rPr>
        <w:t xml:space="preserve">The budget evaluation for the Google Headquarters project is critical in ensuring the financial feasibility and success of the </w:t>
      </w:r>
      <w:r w:rsidRPr="00D11AAC">
        <w:rPr>
          <w:rFonts w:eastAsia="Arial"/>
          <w:sz w:val="22"/>
        </w:rPr>
        <w:t>endeavour</w:t>
      </w:r>
      <w:r w:rsidRPr="00D11AAC">
        <w:rPr>
          <w:rFonts w:eastAsia="Arial"/>
          <w:sz w:val="22"/>
        </w:rPr>
        <w:t xml:space="preserve">. This section will </w:t>
      </w:r>
      <w:r w:rsidRPr="00D11AAC">
        <w:rPr>
          <w:rFonts w:eastAsia="Arial"/>
          <w:sz w:val="22"/>
        </w:rPr>
        <w:t>analyse</w:t>
      </w:r>
      <w:r w:rsidRPr="00D11AAC">
        <w:rPr>
          <w:rFonts w:eastAsia="Arial"/>
          <w:sz w:val="22"/>
        </w:rPr>
        <w:t xml:space="preserve"> various financial aspects and challenges associated with the project, considering initial allocations, expenditures, potential overruns, and cost-saving strategies.</w:t>
      </w:r>
    </w:p>
    <w:p w14:paraId="3DF3E0C0" w14:textId="77777777" w:rsidR="00D11AAC" w:rsidRPr="00D11AAC" w:rsidRDefault="00D11AAC" w:rsidP="00D11AAC">
      <w:pPr>
        <w:spacing w:line="360" w:lineRule="auto"/>
        <w:rPr>
          <w:rFonts w:eastAsia="Arial"/>
          <w:sz w:val="22"/>
        </w:rPr>
      </w:pPr>
    </w:p>
    <w:p w14:paraId="50020D9A" w14:textId="2495E02A" w:rsidR="00D11AAC" w:rsidRPr="00D11AAC" w:rsidRDefault="00D11AAC" w:rsidP="00D11AAC">
      <w:pPr>
        <w:spacing w:line="360" w:lineRule="auto"/>
        <w:rPr>
          <w:rFonts w:eastAsia="Arial"/>
          <w:sz w:val="22"/>
        </w:rPr>
      </w:pPr>
      <w:r w:rsidRPr="00D11AAC">
        <w:rPr>
          <w:rFonts w:eastAsia="Arial"/>
          <w:sz w:val="22"/>
        </w:rPr>
        <w:t>Initial Budget Allocation and Proposed Expenditure</w:t>
      </w:r>
    </w:p>
    <w:p w14:paraId="79D09D57" w14:textId="77777777" w:rsidR="00D11AAC" w:rsidRPr="00D11AAC" w:rsidRDefault="00D11AAC" w:rsidP="00D11AAC">
      <w:pPr>
        <w:spacing w:line="360" w:lineRule="auto"/>
        <w:rPr>
          <w:rFonts w:eastAsia="Arial"/>
          <w:sz w:val="22"/>
        </w:rPr>
      </w:pPr>
    </w:p>
    <w:p w14:paraId="53310EFC" w14:textId="77777777" w:rsidR="00D11AAC" w:rsidRPr="00D11AAC" w:rsidRDefault="00D11AAC" w:rsidP="00D11AAC">
      <w:pPr>
        <w:spacing w:line="360" w:lineRule="auto"/>
        <w:rPr>
          <w:rFonts w:eastAsia="Arial"/>
          <w:sz w:val="22"/>
        </w:rPr>
      </w:pPr>
      <w:r w:rsidRPr="00D11AAC">
        <w:rPr>
          <w:rFonts w:eastAsia="Arial"/>
          <w:sz w:val="22"/>
        </w:rPr>
        <w:t>The project's initial budget allocation was estimated at one billion pounds. This budget encompasses construction costs, infrastructure development, amenities provision, and other associated expenses. The proposed expenditure intended to cover land acquisition, architectural design, construction, technology integration, employee facilities, and contingencies. The allocated budget was planned to ensure the delivery of a state-of-the-art, functional workspace capable of accommodating 4,500 employees within a well-designed campus.</w:t>
      </w:r>
    </w:p>
    <w:p w14:paraId="1C18C778" w14:textId="77777777" w:rsidR="00D11AAC" w:rsidRPr="00D11AAC" w:rsidRDefault="00D11AAC" w:rsidP="00D11AAC">
      <w:pPr>
        <w:spacing w:line="360" w:lineRule="auto"/>
        <w:rPr>
          <w:rFonts w:eastAsia="Arial"/>
          <w:sz w:val="22"/>
        </w:rPr>
      </w:pPr>
    </w:p>
    <w:p w14:paraId="79ED78A8" w14:textId="77777777" w:rsidR="00AE6810" w:rsidRDefault="00AE6810" w:rsidP="00D11AAC">
      <w:pPr>
        <w:spacing w:line="360" w:lineRule="auto"/>
        <w:rPr>
          <w:rFonts w:eastAsia="Arial"/>
          <w:sz w:val="22"/>
        </w:rPr>
      </w:pPr>
    </w:p>
    <w:p w14:paraId="360113E4" w14:textId="77777777" w:rsidR="00AE6810" w:rsidRDefault="00AE6810" w:rsidP="00D11AAC">
      <w:pPr>
        <w:spacing w:line="360" w:lineRule="auto"/>
        <w:rPr>
          <w:rFonts w:eastAsia="Arial"/>
          <w:sz w:val="22"/>
        </w:rPr>
      </w:pPr>
    </w:p>
    <w:p w14:paraId="51001B57" w14:textId="77777777" w:rsidR="00AE6810" w:rsidRDefault="00AE6810" w:rsidP="00D11AAC">
      <w:pPr>
        <w:spacing w:line="360" w:lineRule="auto"/>
        <w:rPr>
          <w:rFonts w:eastAsia="Arial"/>
          <w:sz w:val="22"/>
        </w:rPr>
      </w:pPr>
    </w:p>
    <w:p w14:paraId="1F215B3B" w14:textId="77777777" w:rsidR="00AE6810" w:rsidRDefault="00AE6810" w:rsidP="00D11AAC">
      <w:pPr>
        <w:spacing w:line="360" w:lineRule="auto"/>
        <w:rPr>
          <w:rFonts w:eastAsia="Arial"/>
          <w:sz w:val="22"/>
        </w:rPr>
      </w:pPr>
    </w:p>
    <w:p w14:paraId="1FA9BA19" w14:textId="77777777" w:rsidR="00AE6810" w:rsidRDefault="00AE6810" w:rsidP="00D11AAC">
      <w:pPr>
        <w:spacing w:line="360" w:lineRule="auto"/>
        <w:rPr>
          <w:rFonts w:eastAsia="Arial"/>
          <w:sz w:val="22"/>
        </w:rPr>
      </w:pPr>
    </w:p>
    <w:p w14:paraId="7DA90BF9" w14:textId="5DB5B9E7" w:rsidR="00D11AAC" w:rsidRDefault="00D11AAC" w:rsidP="00D11AAC">
      <w:pPr>
        <w:spacing w:line="360" w:lineRule="auto"/>
        <w:rPr>
          <w:rFonts w:eastAsia="Arial"/>
          <w:sz w:val="22"/>
        </w:rPr>
      </w:pPr>
      <w:r w:rsidRPr="00D11AAC">
        <w:rPr>
          <w:rFonts w:eastAsia="Arial"/>
          <w:sz w:val="22"/>
        </w:rPr>
        <w:t>Analysis of Current Spending Against Projected Costs</w:t>
      </w:r>
    </w:p>
    <w:p w14:paraId="4CE40EC6" w14:textId="77777777" w:rsidR="00AE6810" w:rsidRPr="00D11AAC" w:rsidRDefault="00AE6810" w:rsidP="00D11AAC">
      <w:pPr>
        <w:spacing w:line="360" w:lineRule="auto"/>
        <w:rPr>
          <w:rFonts w:eastAsia="Arial"/>
          <w:sz w:val="22"/>
        </w:rPr>
      </w:pPr>
    </w:p>
    <w:p w14:paraId="593D574D" w14:textId="1450C5D2" w:rsidR="00D11AAC" w:rsidRDefault="00D11AAC" w:rsidP="00D11AAC">
      <w:pPr>
        <w:spacing w:line="360" w:lineRule="auto"/>
        <w:rPr>
          <w:rFonts w:eastAsia="Arial"/>
          <w:sz w:val="22"/>
        </w:rPr>
      </w:pPr>
    </w:p>
    <w:p w14:paraId="214B0AF4" w14:textId="4A6AEF7B" w:rsidR="00D11AAC" w:rsidRPr="00D11AAC" w:rsidRDefault="00D11AAC" w:rsidP="00D11AAC">
      <w:pPr>
        <w:spacing w:line="360" w:lineRule="auto"/>
        <w:rPr>
          <w:rFonts w:eastAsia="Arial"/>
          <w:sz w:val="22"/>
        </w:rPr>
      </w:pPr>
      <w:r w:rsidRPr="00D11AAC">
        <w:rPr>
          <w:rFonts w:eastAsia="Arial"/>
          <w:sz w:val="22"/>
        </w:rPr>
        <w:t xml:space="preserve">An assessment of the current spending reveals a significant portion of the budget has been allocated to land acquisition, initial design, and foundational construction. However, as the project progressed, certain expenditures might have exceeded projections due to unforeseen challenges or market dynamics. For instance, material costs, </w:t>
      </w:r>
      <w:r w:rsidR="00AE6810" w:rsidRPr="00D11AAC">
        <w:rPr>
          <w:rFonts w:eastAsia="Arial"/>
          <w:sz w:val="22"/>
        </w:rPr>
        <w:t>labour</w:t>
      </w:r>
      <w:r w:rsidRPr="00D11AAC">
        <w:rPr>
          <w:rFonts w:eastAsia="Arial"/>
          <w:sz w:val="22"/>
        </w:rPr>
        <w:t xml:space="preserve"> expenses, and regulatory compliance might have impacted the budget significantly.</w:t>
      </w:r>
    </w:p>
    <w:p w14:paraId="56EFEE48" w14:textId="77777777" w:rsidR="00D11AAC" w:rsidRPr="00D11AAC" w:rsidRDefault="00D11AAC" w:rsidP="00D11AAC">
      <w:pPr>
        <w:spacing w:line="360" w:lineRule="auto"/>
        <w:rPr>
          <w:rFonts w:eastAsia="Arial"/>
          <w:sz w:val="22"/>
        </w:rPr>
      </w:pPr>
    </w:p>
    <w:p w14:paraId="4D953079" w14:textId="731173A1" w:rsidR="00D11AAC" w:rsidRPr="00D11AAC" w:rsidRDefault="00D11AAC" w:rsidP="00D11AAC">
      <w:pPr>
        <w:spacing w:line="360" w:lineRule="auto"/>
        <w:rPr>
          <w:rFonts w:eastAsia="Arial"/>
          <w:sz w:val="22"/>
        </w:rPr>
      </w:pPr>
      <w:r w:rsidRPr="00D11AAC">
        <w:rPr>
          <w:rFonts w:eastAsia="Arial"/>
          <w:sz w:val="22"/>
        </w:rPr>
        <w:t>Potential Cost Overruns and Strategies to Manage Them</w:t>
      </w:r>
    </w:p>
    <w:p w14:paraId="6F717682" w14:textId="77777777" w:rsidR="00D11AAC" w:rsidRPr="00D11AAC" w:rsidRDefault="00D11AAC" w:rsidP="00D11AAC">
      <w:pPr>
        <w:spacing w:line="360" w:lineRule="auto"/>
        <w:rPr>
          <w:rFonts w:eastAsia="Arial"/>
          <w:sz w:val="22"/>
        </w:rPr>
      </w:pPr>
    </w:p>
    <w:p w14:paraId="6EDC5049" w14:textId="77777777" w:rsidR="00D11AAC" w:rsidRPr="00D11AAC" w:rsidRDefault="00D11AAC" w:rsidP="00D11AAC">
      <w:pPr>
        <w:spacing w:line="360" w:lineRule="auto"/>
        <w:rPr>
          <w:rFonts w:eastAsia="Arial"/>
          <w:sz w:val="22"/>
        </w:rPr>
      </w:pPr>
      <w:r w:rsidRPr="00D11AAC">
        <w:rPr>
          <w:rFonts w:eastAsia="Arial"/>
          <w:sz w:val="22"/>
        </w:rPr>
        <w:t>Potential cost overruns are a foreseeable risk in projects of this scale. These overruns might result from delays, design modifications, inflation, or unforeseen obstacles. Strategies to manage such overruns involve strict financial monitoring, frequent budget reviews, and proactive risk management. Contingency plans should be in place to mitigate the impact of unexpected costs and ensure that the project remains within the established financial parameters. Potential strategies might involve renegotiating contracts, seeking alternative suppliers, or adjusting project timelines to better align with the budget.</w:t>
      </w:r>
    </w:p>
    <w:p w14:paraId="1500F27D" w14:textId="77777777" w:rsidR="00D11AAC" w:rsidRPr="00D11AAC" w:rsidRDefault="00D11AAC" w:rsidP="00D11AAC">
      <w:pPr>
        <w:spacing w:line="360" w:lineRule="auto"/>
        <w:rPr>
          <w:rFonts w:eastAsia="Arial"/>
          <w:sz w:val="22"/>
        </w:rPr>
      </w:pPr>
    </w:p>
    <w:p w14:paraId="60636386" w14:textId="46F7AA7A" w:rsidR="00D11AAC" w:rsidRPr="00D11AAC" w:rsidRDefault="00D11AAC" w:rsidP="00D11AAC">
      <w:pPr>
        <w:spacing w:line="360" w:lineRule="auto"/>
        <w:rPr>
          <w:rFonts w:eastAsia="Arial"/>
          <w:sz w:val="22"/>
        </w:rPr>
      </w:pPr>
      <w:r w:rsidRPr="00D11AAC">
        <w:rPr>
          <w:rFonts w:eastAsia="Arial"/>
          <w:sz w:val="22"/>
        </w:rPr>
        <w:t>Cost-Saving Measures and Their Impact on Financial Health</w:t>
      </w:r>
    </w:p>
    <w:p w14:paraId="5FEDFBC5" w14:textId="77777777" w:rsidR="00D11AAC" w:rsidRPr="00D11AAC" w:rsidRDefault="00D11AAC" w:rsidP="00D11AAC">
      <w:pPr>
        <w:spacing w:line="360" w:lineRule="auto"/>
        <w:rPr>
          <w:rFonts w:eastAsia="Arial"/>
          <w:sz w:val="22"/>
        </w:rPr>
      </w:pPr>
    </w:p>
    <w:p w14:paraId="47E0AA94" w14:textId="6B1E0F72" w:rsidR="00D11AAC" w:rsidRPr="00D11AAC" w:rsidRDefault="00D11AAC" w:rsidP="00D11AAC">
      <w:pPr>
        <w:spacing w:line="360" w:lineRule="auto"/>
        <w:rPr>
          <w:rFonts w:eastAsia="Arial"/>
          <w:sz w:val="22"/>
        </w:rPr>
      </w:pPr>
      <w:r w:rsidRPr="00D11AAC">
        <w:rPr>
          <w:rFonts w:eastAsia="Arial"/>
          <w:sz w:val="22"/>
        </w:rPr>
        <w:t xml:space="preserve">Implementing cost-saving measures is imperative to maintain the project's financial health. Streamlining operations, optimizing resource utilization, and exploring more cost-effective alternatives are viable options. For instance, renegotiating contracts with suppliers, utilizing energy-efficient infrastructure, and revisiting design elements to find more cost-effective solutions can positively impact the project's overall financial health. </w:t>
      </w:r>
      <w:r w:rsidR="00AE6810" w:rsidRPr="00D11AAC">
        <w:rPr>
          <w:rFonts w:eastAsia="Arial"/>
          <w:sz w:val="22"/>
        </w:rPr>
        <w:t>It is</w:t>
      </w:r>
      <w:r w:rsidRPr="00D11AAC">
        <w:rPr>
          <w:rFonts w:eastAsia="Arial"/>
          <w:sz w:val="22"/>
        </w:rPr>
        <w:t xml:space="preserve"> crucial to strike a balance between cost-saving measures and maintaining quality standards to ensure that cost reduction </w:t>
      </w:r>
      <w:proofErr w:type="gramStart"/>
      <w:r w:rsidRPr="00D11AAC">
        <w:rPr>
          <w:rFonts w:eastAsia="Arial"/>
          <w:sz w:val="22"/>
        </w:rPr>
        <w:t>doesn't</w:t>
      </w:r>
      <w:proofErr w:type="gramEnd"/>
      <w:r w:rsidRPr="00D11AAC">
        <w:rPr>
          <w:rFonts w:eastAsia="Arial"/>
          <w:sz w:val="22"/>
        </w:rPr>
        <w:t xml:space="preserve"> compromise the project’s core objectives.</w:t>
      </w:r>
    </w:p>
    <w:p w14:paraId="10FCCCD4" w14:textId="77777777" w:rsidR="00D11AAC" w:rsidRPr="00D11AAC" w:rsidRDefault="00D11AAC" w:rsidP="00D11AAC">
      <w:pPr>
        <w:spacing w:line="360" w:lineRule="auto"/>
        <w:rPr>
          <w:rFonts w:eastAsia="Arial"/>
          <w:sz w:val="22"/>
        </w:rPr>
      </w:pPr>
    </w:p>
    <w:p w14:paraId="7D0597D0" w14:textId="77777777" w:rsidR="00D11AAC" w:rsidRDefault="00D11AAC" w:rsidP="00D11AAC">
      <w:pPr>
        <w:spacing w:line="360" w:lineRule="auto"/>
        <w:rPr>
          <w:rFonts w:eastAsia="Arial"/>
          <w:sz w:val="22"/>
        </w:rPr>
      </w:pPr>
      <w:r w:rsidRPr="00D11AAC">
        <w:rPr>
          <w:rFonts w:eastAsia="Arial"/>
          <w:sz w:val="22"/>
        </w:rPr>
        <w:t>In conclusion, the budget evaluation showcases the critical importance of maintaining a balance between projected and actual expenses to ensure the successful completion of the Google Headquarters project. Continuous monitoring, agile decision-making, and strategic adjustments are vital to manage potential overruns and enhance the project’s financial stability.</w:t>
      </w:r>
    </w:p>
    <w:p w14:paraId="781525F3" w14:textId="77777777" w:rsidR="00D11AAC" w:rsidRDefault="00D11AAC" w:rsidP="00D11AAC">
      <w:pPr>
        <w:spacing w:line="360" w:lineRule="auto"/>
        <w:rPr>
          <w:rFonts w:eastAsia="Arial"/>
          <w:sz w:val="22"/>
        </w:rPr>
      </w:pPr>
    </w:p>
    <w:p w14:paraId="639E8F01" w14:textId="77777777" w:rsidR="00AE6810" w:rsidRDefault="00AE6810" w:rsidP="00D11AAC">
      <w:pPr>
        <w:spacing w:line="360" w:lineRule="auto"/>
        <w:rPr>
          <w:rFonts w:eastAsia="Arial"/>
          <w:sz w:val="22"/>
        </w:rPr>
      </w:pPr>
    </w:p>
    <w:p w14:paraId="7FDF98E8" w14:textId="65B729C2" w:rsidR="00AE6810" w:rsidRPr="00AE6810" w:rsidRDefault="00AE6810" w:rsidP="00AE6810">
      <w:pPr>
        <w:spacing w:line="360" w:lineRule="auto"/>
        <w:rPr>
          <w:rFonts w:eastAsia="Arial"/>
          <w:sz w:val="22"/>
        </w:rPr>
      </w:pPr>
      <w:r w:rsidRPr="00AE6810">
        <w:rPr>
          <w:rFonts w:eastAsia="Arial"/>
          <w:sz w:val="22"/>
        </w:rPr>
        <w:t>Review of the Project's Timeline and Milestones</w:t>
      </w:r>
    </w:p>
    <w:p w14:paraId="3FF9FA50" w14:textId="77777777" w:rsidR="00AE6810" w:rsidRPr="00AE6810" w:rsidRDefault="00AE6810" w:rsidP="00AE6810">
      <w:pPr>
        <w:spacing w:line="360" w:lineRule="auto"/>
        <w:rPr>
          <w:rFonts w:eastAsia="Arial"/>
          <w:sz w:val="22"/>
        </w:rPr>
      </w:pPr>
    </w:p>
    <w:p w14:paraId="7404969E" w14:textId="77777777" w:rsidR="00AE6810" w:rsidRPr="00AE6810" w:rsidRDefault="00AE6810" w:rsidP="00AE6810">
      <w:pPr>
        <w:spacing w:line="360" w:lineRule="auto"/>
        <w:rPr>
          <w:rFonts w:eastAsia="Arial"/>
          <w:sz w:val="22"/>
        </w:rPr>
      </w:pPr>
      <w:r w:rsidRPr="00AE6810">
        <w:rPr>
          <w:rFonts w:eastAsia="Arial"/>
          <w:sz w:val="22"/>
        </w:rPr>
        <w:t>The project's timeline and milestones are fundamental to ensuring the timely completion of the Google Headquarters. It was initially scheduled to be completed within a specific time frame, laying out various milestones for different phases of the project, from land acquisition to the final stage of construction and infrastructure development. The timeline was meticulously designed to streamline each stage of the project for efficient progress.</w:t>
      </w:r>
    </w:p>
    <w:p w14:paraId="6F131725" w14:textId="77777777" w:rsidR="00AE6810" w:rsidRPr="00AE6810" w:rsidRDefault="00AE6810" w:rsidP="00AE6810">
      <w:pPr>
        <w:spacing w:line="360" w:lineRule="auto"/>
        <w:rPr>
          <w:rFonts w:eastAsia="Arial"/>
          <w:sz w:val="22"/>
        </w:rPr>
      </w:pPr>
    </w:p>
    <w:p w14:paraId="4A6BC813" w14:textId="43E30C7D" w:rsidR="00AE6810" w:rsidRPr="00AE6810" w:rsidRDefault="00AE6810" w:rsidP="00AE6810">
      <w:pPr>
        <w:spacing w:line="360" w:lineRule="auto"/>
        <w:rPr>
          <w:rFonts w:eastAsia="Arial"/>
          <w:sz w:val="22"/>
        </w:rPr>
      </w:pPr>
      <w:r w:rsidRPr="00AE6810">
        <w:rPr>
          <w:rFonts w:eastAsia="Arial"/>
          <w:sz w:val="22"/>
        </w:rPr>
        <w:t>Identification of Delays or Deviations from the Schedule</w:t>
      </w:r>
    </w:p>
    <w:p w14:paraId="23E74E75" w14:textId="77777777" w:rsidR="00AE6810" w:rsidRPr="00AE6810" w:rsidRDefault="00AE6810" w:rsidP="00AE6810">
      <w:pPr>
        <w:spacing w:line="360" w:lineRule="auto"/>
        <w:rPr>
          <w:rFonts w:eastAsia="Arial"/>
          <w:sz w:val="22"/>
        </w:rPr>
      </w:pPr>
    </w:p>
    <w:p w14:paraId="7BB991E7" w14:textId="77777777" w:rsidR="00AE6810" w:rsidRPr="00AE6810" w:rsidRDefault="00AE6810" w:rsidP="00AE6810">
      <w:pPr>
        <w:spacing w:line="360" w:lineRule="auto"/>
        <w:rPr>
          <w:rFonts w:eastAsia="Arial"/>
          <w:sz w:val="22"/>
        </w:rPr>
      </w:pPr>
      <w:r w:rsidRPr="00AE6810">
        <w:rPr>
          <w:rFonts w:eastAsia="Arial"/>
          <w:sz w:val="22"/>
        </w:rPr>
        <w:t>However, during the execution phase, certain deviations or delays may have occurred due to a variety of reasons, such as regulatory hurdles, unexpected technical challenges, or supply chain disruptions. These deviations could potentially impact subsequent stages of the project and might have caused delays in achieving the established milestones.</w:t>
      </w:r>
    </w:p>
    <w:p w14:paraId="191F3BFD" w14:textId="77777777" w:rsidR="00AE6810" w:rsidRPr="00AE6810" w:rsidRDefault="00AE6810" w:rsidP="00AE6810">
      <w:pPr>
        <w:spacing w:line="360" w:lineRule="auto"/>
        <w:rPr>
          <w:rFonts w:eastAsia="Arial"/>
          <w:sz w:val="22"/>
        </w:rPr>
      </w:pPr>
    </w:p>
    <w:p w14:paraId="5E4D1021" w14:textId="4A9F19C7" w:rsidR="00AE6810" w:rsidRPr="00AE6810" w:rsidRDefault="00AE6810" w:rsidP="00AE6810">
      <w:pPr>
        <w:spacing w:line="360" w:lineRule="auto"/>
        <w:rPr>
          <w:rFonts w:eastAsia="Arial"/>
          <w:sz w:val="22"/>
        </w:rPr>
      </w:pPr>
      <w:r w:rsidRPr="00AE6810">
        <w:rPr>
          <w:rFonts w:eastAsia="Arial"/>
          <w:sz w:val="22"/>
        </w:rPr>
        <w:t>Strategies to Mitigate Time-Related Risks and Ensure Timely Completion</w:t>
      </w:r>
    </w:p>
    <w:p w14:paraId="4D70BD2B" w14:textId="77777777" w:rsidR="00AE6810" w:rsidRPr="00AE6810" w:rsidRDefault="00AE6810" w:rsidP="00AE6810">
      <w:pPr>
        <w:spacing w:line="360" w:lineRule="auto"/>
        <w:rPr>
          <w:rFonts w:eastAsia="Arial"/>
          <w:sz w:val="22"/>
        </w:rPr>
      </w:pPr>
    </w:p>
    <w:p w14:paraId="79160C22" w14:textId="77777777" w:rsidR="00AE6810" w:rsidRPr="00AE6810" w:rsidRDefault="00AE6810" w:rsidP="00AE6810">
      <w:pPr>
        <w:spacing w:line="360" w:lineRule="auto"/>
        <w:rPr>
          <w:rFonts w:eastAsia="Arial"/>
          <w:sz w:val="22"/>
        </w:rPr>
      </w:pPr>
      <w:r w:rsidRPr="00AE6810">
        <w:rPr>
          <w:rFonts w:eastAsia="Arial"/>
          <w:sz w:val="22"/>
        </w:rPr>
        <w:t>Mitigating time-related risks is imperative to ensure the project remains on track. Strategies might involve reassessing the critical path, enhancing project monitoring, and employing buffer times in the schedule to accommodate unforeseen delays. Implementing efficient resource management and optimizing workflows can streamline processes, minimizing potential bottlenecks and enhancing overall efficiency. Additionally, enhancing communication and collaboration among different project teams and stakeholders could mitigate misunderstandings and enhance coordination, thus reducing the likelihood of delays.</w:t>
      </w:r>
    </w:p>
    <w:p w14:paraId="5DDC7BAC" w14:textId="77777777" w:rsidR="00AE6810" w:rsidRPr="00AE6810" w:rsidRDefault="00AE6810" w:rsidP="00AE6810">
      <w:pPr>
        <w:spacing w:line="360" w:lineRule="auto"/>
        <w:rPr>
          <w:rFonts w:eastAsia="Arial"/>
          <w:sz w:val="22"/>
        </w:rPr>
      </w:pPr>
    </w:p>
    <w:p w14:paraId="6E81511F" w14:textId="27D6E8B7" w:rsidR="00AE6810" w:rsidRPr="00AE6810" w:rsidRDefault="00AE6810" w:rsidP="00AE6810">
      <w:pPr>
        <w:spacing w:line="360" w:lineRule="auto"/>
        <w:rPr>
          <w:rFonts w:eastAsia="Arial"/>
          <w:sz w:val="22"/>
        </w:rPr>
      </w:pPr>
      <w:r w:rsidRPr="00AE6810">
        <w:rPr>
          <w:rFonts w:eastAsia="Arial"/>
          <w:sz w:val="22"/>
        </w:rPr>
        <w:t>Importance of Meeting Deadlines and Implications of Any Delays</w:t>
      </w:r>
    </w:p>
    <w:p w14:paraId="7211F1B8" w14:textId="77777777" w:rsidR="00AE6810" w:rsidRPr="00AE6810" w:rsidRDefault="00AE6810" w:rsidP="00AE6810">
      <w:pPr>
        <w:spacing w:line="360" w:lineRule="auto"/>
        <w:rPr>
          <w:rFonts w:eastAsia="Arial"/>
          <w:sz w:val="22"/>
        </w:rPr>
      </w:pPr>
    </w:p>
    <w:p w14:paraId="35730992" w14:textId="77777777" w:rsidR="00AE6810" w:rsidRPr="00AE6810" w:rsidRDefault="00AE6810" w:rsidP="00AE6810">
      <w:pPr>
        <w:spacing w:line="360" w:lineRule="auto"/>
        <w:rPr>
          <w:rFonts w:eastAsia="Arial"/>
          <w:sz w:val="22"/>
        </w:rPr>
      </w:pPr>
      <w:r w:rsidRPr="00AE6810">
        <w:rPr>
          <w:rFonts w:eastAsia="Arial"/>
          <w:sz w:val="22"/>
        </w:rPr>
        <w:t>Meeting deadlines is crucial for the project's overall success. Timely completion ensures that subsequent stages of the project can commence as planned, thus maintaining the overall project's momentum. Delays may have cascading effects, affecting subsequent timelines, increasing costs, and potentially impacting the quality of work due to rushed processes. Moreover, delays might also affect the project's market entry or occupancy dates, impacting Google's business plans and strategies.</w:t>
      </w:r>
    </w:p>
    <w:p w14:paraId="1942E4E8" w14:textId="77777777" w:rsidR="00AE6810" w:rsidRPr="00AE6810" w:rsidRDefault="00AE6810" w:rsidP="00AE6810">
      <w:pPr>
        <w:spacing w:line="360" w:lineRule="auto"/>
        <w:rPr>
          <w:rFonts w:eastAsia="Arial"/>
          <w:sz w:val="22"/>
        </w:rPr>
      </w:pPr>
    </w:p>
    <w:p w14:paraId="162A0B8D" w14:textId="77777777" w:rsidR="00B12CDF" w:rsidRDefault="00B12CDF" w:rsidP="00AE6810">
      <w:pPr>
        <w:spacing w:line="360" w:lineRule="auto"/>
        <w:rPr>
          <w:rFonts w:eastAsia="Arial"/>
          <w:sz w:val="22"/>
        </w:rPr>
      </w:pPr>
    </w:p>
    <w:p w14:paraId="7B8639FF" w14:textId="6609EED2" w:rsidR="00AE6810" w:rsidRDefault="00AE6810" w:rsidP="00AE6810">
      <w:pPr>
        <w:spacing w:line="360" w:lineRule="auto"/>
        <w:rPr>
          <w:rFonts w:eastAsia="Arial"/>
          <w:sz w:val="22"/>
        </w:rPr>
      </w:pPr>
      <w:r w:rsidRPr="00AE6810">
        <w:rPr>
          <w:rFonts w:eastAsia="Arial"/>
          <w:sz w:val="22"/>
        </w:rPr>
        <w:t>In conclusion, ensuring adherence to the project's timeline is pivotal for successful project execution. Continuous monitoring, proactive risk management, and adaptive strategies are essential to mitigate delays and ensure the timely completion of the Google Headquarters project. Meeting milestones and deadlines not only ensures the project's timely success but also upholds the integrity and effectiveness of the project plan.</w:t>
      </w:r>
    </w:p>
    <w:p w14:paraId="306BFE10" w14:textId="77777777" w:rsidR="00AE6810" w:rsidRDefault="00AE6810" w:rsidP="00AE6810">
      <w:pPr>
        <w:spacing w:line="360" w:lineRule="auto"/>
        <w:rPr>
          <w:rFonts w:eastAsia="Arial"/>
          <w:sz w:val="22"/>
        </w:rPr>
      </w:pPr>
    </w:p>
    <w:p w14:paraId="11E5BB94" w14:textId="0BB41F15" w:rsidR="003B7F86" w:rsidRPr="003B7F86" w:rsidRDefault="003B7F86" w:rsidP="003B7F86">
      <w:pPr>
        <w:spacing w:line="360" w:lineRule="auto"/>
        <w:rPr>
          <w:rFonts w:eastAsia="Arial"/>
          <w:sz w:val="22"/>
        </w:rPr>
      </w:pPr>
      <w:r w:rsidRPr="003B7F86">
        <w:rPr>
          <w:rFonts w:eastAsia="Arial"/>
          <w:sz w:val="22"/>
        </w:rPr>
        <w:t>Evaluation of Construction and Infrastructure Quality</w:t>
      </w:r>
    </w:p>
    <w:p w14:paraId="3559CB26" w14:textId="77777777" w:rsidR="003B7F86" w:rsidRPr="003B7F86" w:rsidRDefault="003B7F86" w:rsidP="003B7F86">
      <w:pPr>
        <w:spacing w:line="360" w:lineRule="auto"/>
        <w:rPr>
          <w:rFonts w:eastAsia="Arial"/>
          <w:sz w:val="22"/>
        </w:rPr>
      </w:pPr>
    </w:p>
    <w:p w14:paraId="50D334FD" w14:textId="77777777" w:rsidR="003B7F86" w:rsidRPr="003B7F86" w:rsidRDefault="003B7F86" w:rsidP="003B7F86">
      <w:pPr>
        <w:spacing w:line="360" w:lineRule="auto"/>
        <w:rPr>
          <w:rFonts w:eastAsia="Arial"/>
          <w:sz w:val="22"/>
        </w:rPr>
      </w:pPr>
      <w:r w:rsidRPr="003B7F86">
        <w:rPr>
          <w:rFonts w:eastAsia="Arial"/>
          <w:sz w:val="22"/>
        </w:rPr>
        <w:t>The quality of construction and infrastructure is paramount in ensuring the Google Headquarters project's success. It involves assessing the structural integrity, safety measures, and design compliance throughout the various stages of construction. An independent quality control team, following stringent guidelines and industry standards, might have been engaged to evaluate the quality of materials used and the precision of construction methods.</w:t>
      </w:r>
    </w:p>
    <w:p w14:paraId="51A4B2FD" w14:textId="77777777" w:rsidR="003B7F86" w:rsidRPr="003B7F86" w:rsidRDefault="003B7F86" w:rsidP="003B7F86">
      <w:pPr>
        <w:spacing w:line="360" w:lineRule="auto"/>
        <w:rPr>
          <w:rFonts w:eastAsia="Arial"/>
          <w:sz w:val="22"/>
        </w:rPr>
      </w:pPr>
    </w:p>
    <w:p w14:paraId="36736F06" w14:textId="64BDAA34" w:rsidR="003B7F86" w:rsidRPr="003B7F86" w:rsidRDefault="003B7F86" w:rsidP="003B7F86">
      <w:pPr>
        <w:spacing w:line="360" w:lineRule="auto"/>
        <w:rPr>
          <w:rFonts w:eastAsia="Arial"/>
          <w:sz w:val="22"/>
        </w:rPr>
      </w:pPr>
      <w:r w:rsidRPr="003B7F86">
        <w:rPr>
          <w:rFonts w:eastAsia="Arial"/>
          <w:sz w:val="22"/>
        </w:rPr>
        <w:t>Compliance with Quality Standards and Benchmarks</w:t>
      </w:r>
    </w:p>
    <w:p w14:paraId="05770E3A" w14:textId="77777777" w:rsidR="003B7F86" w:rsidRPr="003B7F86" w:rsidRDefault="003B7F86" w:rsidP="003B7F86">
      <w:pPr>
        <w:spacing w:line="360" w:lineRule="auto"/>
        <w:rPr>
          <w:rFonts w:eastAsia="Arial"/>
          <w:sz w:val="22"/>
        </w:rPr>
      </w:pPr>
    </w:p>
    <w:p w14:paraId="436980C4" w14:textId="77777777" w:rsidR="003B7F86" w:rsidRPr="003B7F86" w:rsidRDefault="003B7F86" w:rsidP="003B7F86">
      <w:pPr>
        <w:spacing w:line="360" w:lineRule="auto"/>
        <w:rPr>
          <w:rFonts w:eastAsia="Arial"/>
          <w:sz w:val="22"/>
        </w:rPr>
      </w:pPr>
      <w:r w:rsidRPr="003B7F86">
        <w:rPr>
          <w:rFonts w:eastAsia="Arial"/>
          <w:sz w:val="22"/>
        </w:rPr>
        <w:t>A critical aspect of ensuring quality is compliance with predefined standards and benchmarks. These benchmarks might encompass industry-specific standards, local building codes, environmental regulations, and Google's internal quality benchmarks. Adherence to these standards is essential to meet safety, durability, and performance expectations.</w:t>
      </w:r>
    </w:p>
    <w:p w14:paraId="417DB3CC" w14:textId="77777777" w:rsidR="003B7F86" w:rsidRPr="003B7F86" w:rsidRDefault="003B7F86" w:rsidP="003B7F86">
      <w:pPr>
        <w:spacing w:line="360" w:lineRule="auto"/>
        <w:rPr>
          <w:rFonts w:eastAsia="Arial"/>
          <w:sz w:val="22"/>
        </w:rPr>
      </w:pPr>
    </w:p>
    <w:p w14:paraId="0E6775B9" w14:textId="6722484F" w:rsidR="003B7F86" w:rsidRPr="003B7F86" w:rsidRDefault="003B7F86" w:rsidP="003B7F86">
      <w:pPr>
        <w:spacing w:line="360" w:lineRule="auto"/>
        <w:rPr>
          <w:rFonts w:eastAsia="Arial"/>
          <w:sz w:val="22"/>
        </w:rPr>
      </w:pPr>
      <w:r w:rsidRPr="003B7F86">
        <w:rPr>
          <w:rFonts w:eastAsia="Arial"/>
          <w:sz w:val="22"/>
        </w:rPr>
        <w:t>Comparison of Expected Quality versus Actual Quality Delivered</w:t>
      </w:r>
    </w:p>
    <w:p w14:paraId="321C012A" w14:textId="77777777" w:rsidR="003B7F86" w:rsidRPr="003B7F86" w:rsidRDefault="003B7F86" w:rsidP="003B7F86">
      <w:pPr>
        <w:spacing w:line="360" w:lineRule="auto"/>
        <w:rPr>
          <w:rFonts w:eastAsia="Arial"/>
          <w:sz w:val="22"/>
        </w:rPr>
      </w:pPr>
    </w:p>
    <w:p w14:paraId="7765829E" w14:textId="77777777" w:rsidR="003B7F86" w:rsidRPr="003B7F86" w:rsidRDefault="003B7F86" w:rsidP="003B7F86">
      <w:pPr>
        <w:spacing w:line="360" w:lineRule="auto"/>
        <w:rPr>
          <w:rFonts w:eastAsia="Arial"/>
          <w:sz w:val="22"/>
        </w:rPr>
      </w:pPr>
      <w:r w:rsidRPr="003B7F86">
        <w:rPr>
          <w:rFonts w:eastAsia="Arial"/>
          <w:sz w:val="22"/>
        </w:rPr>
        <w:t>A comparison between the expected quality and the actual quality delivered would reveal whether the construction and infrastructure align with the initial design and quality requirements. It might involve examining the use of materials, adherence to architectural plans, and the level of precision in execution.</w:t>
      </w:r>
    </w:p>
    <w:p w14:paraId="0C50E9DA" w14:textId="77777777" w:rsidR="003B7F86" w:rsidRPr="003B7F86" w:rsidRDefault="003B7F86" w:rsidP="003B7F86">
      <w:pPr>
        <w:spacing w:line="360" w:lineRule="auto"/>
        <w:rPr>
          <w:rFonts w:eastAsia="Arial"/>
          <w:sz w:val="22"/>
        </w:rPr>
      </w:pPr>
    </w:p>
    <w:p w14:paraId="17280CD1" w14:textId="3D489539" w:rsidR="003B7F86" w:rsidRPr="003B7F86" w:rsidRDefault="003B7F86" w:rsidP="003B7F86">
      <w:pPr>
        <w:spacing w:line="360" w:lineRule="auto"/>
        <w:rPr>
          <w:rFonts w:eastAsia="Arial"/>
          <w:sz w:val="22"/>
        </w:rPr>
      </w:pPr>
      <w:r w:rsidRPr="003B7F86">
        <w:rPr>
          <w:rFonts w:eastAsia="Arial"/>
          <w:sz w:val="22"/>
        </w:rPr>
        <w:t>Strategies to Maintain or Enhance Quality Throughout the Project</w:t>
      </w:r>
    </w:p>
    <w:p w14:paraId="76805F60" w14:textId="77777777" w:rsidR="003B7F86" w:rsidRPr="003B7F86" w:rsidRDefault="003B7F86" w:rsidP="003B7F86">
      <w:pPr>
        <w:spacing w:line="360" w:lineRule="auto"/>
        <w:rPr>
          <w:rFonts w:eastAsia="Arial"/>
          <w:sz w:val="22"/>
        </w:rPr>
      </w:pPr>
    </w:p>
    <w:p w14:paraId="6EB828BD" w14:textId="77777777" w:rsidR="00D22EB9" w:rsidRDefault="003B7F86" w:rsidP="003B7F86">
      <w:pPr>
        <w:spacing w:line="360" w:lineRule="auto"/>
        <w:rPr>
          <w:rFonts w:eastAsia="Arial"/>
          <w:sz w:val="22"/>
        </w:rPr>
      </w:pPr>
      <w:r w:rsidRPr="003B7F86">
        <w:rPr>
          <w:rFonts w:eastAsia="Arial"/>
          <w:sz w:val="22"/>
        </w:rPr>
        <w:t xml:space="preserve">To maintain or enhance quality, continuous vigilance and proactive measures are necessary. Regular quality checks, feedback mechanisms, and real-time adjustments based on quality assessments are crucial. Engaging in continuous improvement practices and addressing identified deficiencies promptly are key </w:t>
      </w:r>
    </w:p>
    <w:p w14:paraId="55121DC3" w14:textId="77777777" w:rsidR="00D22EB9" w:rsidRDefault="00D22EB9" w:rsidP="003B7F86">
      <w:pPr>
        <w:spacing w:line="360" w:lineRule="auto"/>
        <w:rPr>
          <w:rFonts w:eastAsia="Arial"/>
          <w:sz w:val="22"/>
        </w:rPr>
      </w:pPr>
    </w:p>
    <w:p w14:paraId="0638CE53" w14:textId="77777777" w:rsidR="00D22EB9" w:rsidRDefault="00D22EB9" w:rsidP="003B7F86">
      <w:pPr>
        <w:spacing w:line="360" w:lineRule="auto"/>
        <w:rPr>
          <w:rFonts w:eastAsia="Arial"/>
          <w:sz w:val="22"/>
        </w:rPr>
      </w:pPr>
    </w:p>
    <w:p w14:paraId="35D7E195" w14:textId="330C9EE7" w:rsidR="003B7F86" w:rsidRPr="003B7F86" w:rsidRDefault="003B7F86" w:rsidP="003B7F86">
      <w:pPr>
        <w:spacing w:line="360" w:lineRule="auto"/>
        <w:rPr>
          <w:rFonts w:eastAsia="Arial"/>
          <w:sz w:val="22"/>
        </w:rPr>
      </w:pPr>
      <w:r w:rsidRPr="003B7F86">
        <w:rPr>
          <w:rFonts w:eastAsia="Arial"/>
          <w:sz w:val="22"/>
        </w:rPr>
        <w:t>strategies. Employing experienced contractors, using high-quality materials, and implementing robust quality assurance processes are paramount in ensuring sustained quality throughout the project's lifespan.</w:t>
      </w:r>
    </w:p>
    <w:p w14:paraId="35F5E6C6" w14:textId="77777777" w:rsidR="003B7F86" w:rsidRPr="003B7F86" w:rsidRDefault="003B7F86" w:rsidP="003B7F86">
      <w:pPr>
        <w:spacing w:line="360" w:lineRule="auto"/>
        <w:rPr>
          <w:rFonts w:eastAsia="Arial"/>
          <w:sz w:val="22"/>
        </w:rPr>
      </w:pPr>
    </w:p>
    <w:p w14:paraId="35A30502" w14:textId="77777777" w:rsidR="003B7F86" w:rsidRPr="003B7F86" w:rsidRDefault="003B7F86" w:rsidP="003B7F86">
      <w:pPr>
        <w:spacing w:line="360" w:lineRule="auto"/>
        <w:rPr>
          <w:rFonts w:eastAsia="Arial"/>
          <w:sz w:val="22"/>
        </w:rPr>
      </w:pPr>
      <w:r w:rsidRPr="003B7F86">
        <w:rPr>
          <w:rFonts w:eastAsia="Arial"/>
          <w:sz w:val="22"/>
        </w:rPr>
        <w:t>Emphasizing a culture of quality among the workforce and integrating quality checkpoints at different project stages ensures that high standards are consistently met. Additionally, conducting regular training and workshops for employees to understand and implement quality procedures could further enhance the overall quality of the project.</w:t>
      </w:r>
    </w:p>
    <w:p w14:paraId="4A03F7B7" w14:textId="77777777" w:rsidR="003B7F86" w:rsidRPr="003B7F86" w:rsidRDefault="003B7F86" w:rsidP="003B7F86">
      <w:pPr>
        <w:spacing w:line="360" w:lineRule="auto"/>
        <w:rPr>
          <w:rFonts w:eastAsia="Arial"/>
          <w:sz w:val="22"/>
        </w:rPr>
      </w:pPr>
    </w:p>
    <w:p w14:paraId="56C9C7E1" w14:textId="4773CE81" w:rsidR="00D90BA3" w:rsidRDefault="003B7F86" w:rsidP="003B7F86">
      <w:pPr>
        <w:spacing w:line="360" w:lineRule="auto"/>
        <w:rPr>
          <w:rFonts w:eastAsia="Arial"/>
          <w:sz w:val="22"/>
        </w:rPr>
      </w:pPr>
      <w:r w:rsidRPr="003B7F86">
        <w:rPr>
          <w:rFonts w:eastAsia="Arial"/>
          <w:sz w:val="22"/>
        </w:rPr>
        <w:t>In conclusion, the assessment of construction and infrastructure quality is a fundamental aspect of the Google Headquarters project. Ensuring compliance with established standards, scrutinizing workmanship, and implementing robust quality assurance strategies are essential for maintaining or enhancing the project's quality. Continuous monitoring and improvement, alongside a steadfast commitment to adhering to quality standards, will contribute to the successful completion of a high-quality, functional, and safe workspace for Google's employees.</w:t>
      </w:r>
    </w:p>
    <w:p w14:paraId="40C5F9D7" w14:textId="77777777" w:rsidR="003B7F86" w:rsidRPr="00D90BA3" w:rsidRDefault="003B7F86" w:rsidP="003B7F86">
      <w:pPr>
        <w:spacing w:line="360" w:lineRule="auto"/>
        <w:rPr>
          <w:rFonts w:eastAsia="Arial"/>
          <w:sz w:val="22"/>
        </w:rPr>
      </w:pPr>
    </w:p>
    <w:p w14:paraId="12CB0A0F" w14:textId="467C2C38" w:rsidR="00D22EB9" w:rsidRPr="00D22EB9" w:rsidRDefault="00D22EB9" w:rsidP="00D22EB9">
      <w:pPr>
        <w:spacing w:line="360" w:lineRule="auto"/>
        <w:rPr>
          <w:rFonts w:eastAsia="Arial"/>
          <w:sz w:val="22"/>
        </w:rPr>
      </w:pPr>
      <w:r w:rsidRPr="00D22EB9">
        <w:rPr>
          <w:rFonts w:eastAsia="Arial"/>
          <w:sz w:val="22"/>
        </w:rPr>
        <w:t>Identification of Key Stakeholders Involved in the Project</w:t>
      </w:r>
    </w:p>
    <w:p w14:paraId="124DAEB4" w14:textId="77777777" w:rsidR="00D22EB9" w:rsidRPr="00D22EB9" w:rsidRDefault="00D22EB9" w:rsidP="00D22EB9">
      <w:pPr>
        <w:spacing w:line="360" w:lineRule="auto"/>
        <w:rPr>
          <w:rFonts w:eastAsia="Arial"/>
          <w:sz w:val="22"/>
        </w:rPr>
      </w:pPr>
    </w:p>
    <w:p w14:paraId="4933ED48" w14:textId="77777777" w:rsidR="00D22EB9" w:rsidRPr="00D22EB9" w:rsidRDefault="00D22EB9" w:rsidP="00D22EB9">
      <w:pPr>
        <w:spacing w:line="360" w:lineRule="auto"/>
        <w:rPr>
          <w:rFonts w:eastAsia="Arial"/>
          <w:sz w:val="22"/>
        </w:rPr>
      </w:pPr>
      <w:r w:rsidRPr="00D22EB9">
        <w:rPr>
          <w:rFonts w:eastAsia="Arial"/>
          <w:sz w:val="22"/>
        </w:rPr>
        <w:t>The Google Headquarters project involves a diverse range of stakeholders. These include internal stakeholders such as Google’s project managers, engineers, and various departments within Google responsible for overseeing the project. External stakeholders comprise local authorities, residents, regulatory bodies, architects, construction contractors, suppliers, and potential future occupants of the site. Each stakeholder group holds a unique interest in the project and can significantly influence its success.</w:t>
      </w:r>
    </w:p>
    <w:p w14:paraId="6822BE58" w14:textId="77777777" w:rsidR="00D22EB9" w:rsidRPr="00D22EB9" w:rsidRDefault="00D22EB9" w:rsidP="00D22EB9">
      <w:pPr>
        <w:spacing w:line="360" w:lineRule="auto"/>
        <w:rPr>
          <w:rFonts w:eastAsia="Arial"/>
          <w:sz w:val="22"/>
        </w:rPr>
      </w:pPr>
    </w:p>
    <w:p w14:paraId="17ED11FC" w14:textId="403F60EB" w:rsidR="00D22EB9" w:rsidRPr="00D22EB9" w:rsidRDefault="00D22EB9" w:rsidP="00D22EB9">
      <w:pPr>
        <w:spacing w:line="360" w:lineRule="auto"/>
        <w:rPr>
          <w:rFonts w:eastAsia="Arial"/>
          <w:sz w:val="22"/>
        </w:rPr>
      </w:pPr>
      <w:r w:rsidRPr="00D22EB9">
        <w:rPr>
          <w:rFonts w:eastAsia="Arial"/>
          <w:sz w:val="22"/>
        </w:rPr>
        <w:t>Assessment of Stakeholder Management and Engagement Strategies</w:t>
      </w:r>
    </w:p>
    <w:p w14:paraId="7CD7A61E" w14:textId="77777777" w:rsidR="00D22EB9" w:rsidRPr="00D22EB9" w:rsidRDefault="00D22EB9" w:rsidP="00D22EB9">
      <w:pPr>
        <w:spacing w:line="360" w:lineRule="auto"/>
        <w:rPr>
          <w:rFonts w:eastAsia="Arial"/>
          <w:sz w:val="22"/>
        </w:rPr>
      </w:pPr>
    </w:p>
    <w:p w14:paraId="780CC83A" w14:textId="5C1C1FF1" w:rsidR="00D22EB9" w:rsidRPr="00D22EB9" w:rsidRDefault="00D22EB9" w:rsidP="00D22EB9">
      <w:pPr>
        <w:spacing w:line="360" w:lineRule="auto"/>
        <w:rPr>
          <w:rFonts w:eastAsia="Arial"/>
          <w:sz w:val="22"/>
        </w:rPr>
      </w:pPr>
      <w:r w:rsidRPr="00D22EB9">
        <w:rPr>
          <w:rFonts w:eastAsia="Arial"/>
          <w:sz w:val="22"/>
        </w:rPr>
        <w:t xml:space="preserve">Effective stakeholder management and engagement strategies are critical for project success. Evaluating the strategies implemented to engage stakeholders at different phases of the project is essential. This involves </w:t>
      </w:r>
      <w:r w:rsidRPr="00D22EB9">
        <w:rPr>
          <w:rFonts w:eastAsia="Arial"/>
          <w:sz w:val="22"/>
        </w:rPr>
        <w:t>analysing</w:t>
      </w:r>
      <w:r w:rsidRPr="00D22EB9">
        <w:rPr>
          <w:rFonts w:eastAsia="Arial"/>
          <w:sz w:val="22"/>
        </w:rPr>
        <w:t xml:space="preserve"> the methods used to identify stakeholders, establish communication channels, and maintain ongoing engagement. Stakeholder satisfaction and their involvement in decision-making processes are key aspects of successful management strategies.</w:t>
      </w:r>
    </w:p>
    <w:p w14:paraId="1D6A58AD" w14:textId="77777777" w:rsidR="00D22EB9" w:rsidRPr="00D22EB9" w:rsidRDefault="00D22EB9" w:rsidP="00D22EB9">
      <w:pPr>
        <w:spacing w:line="360" w:lineRule="auto"/>
        <w:rPr>
          <w:rFonts w:eastAsia="Arial"/>
          <w:sz w:val="22"/>
        </w:rPr>
      </w:pPr>
    </w:p>
    <w:p w14:paraId="5AF190F2" w14:textId="77777777" w:rsidR="003800F5" w:rsidRDefault="003800F5" w:rsidP="00D22EB9">
      <w:pPr>
        <w:spacing w:line="360" w:lineRule="auto"/>
        <w:rPr>
          <w:rFonts w:eastAsia="Arial"/>
          <w:sz w:val="22"/>
        </w:rPr>
      </w:pPr>
    </w:p>
    <w:p w14:paraId="76A24743" w14:textId="77777777" w:rsidR="003800F5" w:rsidRDefault="003800F5" w:rsidP="00D22EB9">
      <w:pPr>
        <w:spacing w:line="360" w:lineRule="auto"/>
        <w:rPr>
          <w:rFonts w:eastAsia="Arial"/>
          <w:sz w:val="22"/>
        </w:rPr>
      </w:pPr>
    </w:p>
    <w:p w14:paraId="13D8A537" w14:textId="005276C0" w:rsidR="00D22EB9" w:rsidRPr="00D22EB9" w:rsidRDefault="00D22EB9" w:rsidP="00D22EB9">
      <w:pPr>
        <w:spacing w:line="360" w:lineRule="auto"/>
        <w:rPr>
          <w:rFonts w:eastAsia="Arial"/>
          <w:sz w:val="22"/>
        </w:rPr>
      </w:pPr>
      <w:r w:rsidRPr="00D22EB9">
        <w:rPr>
          <w:rFonts w:eastAsia="Arial"/>
          <w:sz w:val="22"/>
        </w:rPr>
        <w:t>Communication Effectiveness with Stakeholders at Different Levels</w:t>
      </w:r>
    </w:p>
    <w:p w14:paraId="7946E394" w14:textId="77777777" w:rsidR="00D22EB9" w:rsidRPr="00D22EB9" w:rsidRDefault="00D22EB9" w:rsidP="00D22EB9">
      <w:pPr>
        <w:spacing w:line="360" w:lineRule="auto"/>
        <w:rPr>
          <w:rFonts w:eastAsia="Arial"/>
          <w:sz w:val="22"/>
        </w:rPr>
      </w:pPr>
    </w:p>
    <w:p w14:paraId="2F95923D" w14:textId="0DC75C3A" w:rsidR="00D22EB9" w:rsidRPr="00D22EB9" w:rsidRDefault="00D22EB9" w:rsidP="00D22EB9">
      <w:pPr>
        <w:spacing w:line="360" w:lineRule="auto"/>
        <w:rPr>
          <w:rFonts w:eastAsia="Arial"/>
          <w:sz w:val="22"/>
        </w:rPr>
      </w:pPr>
      <w:r w:rsidRPr="00D22EB9">
        <w:rPr>
          <w:rFonts w:eastAsia="Arial"/>
          <w:sz w:val="22"/>
        </w:rPr>
        <w:t>Communication effectiveness with stakeholders at varying levels is vital. It encompasses ensuring that all stakeholders receive timely and relevant information. Transparent communication channels, regular updates, and feedback mechanisms must be in place. Tailoring the communication approach to suit the unique needs and interests of each stakeholder group fosters understanding and alignment with the project's goals.</w:t>
      </w:r>
    </w:p>
    <w:p w14:paraId="1817F02D" w14:textId="77777777" w:rsidR="00D22EB9" w:rsidRPr="00D22EB9" w:rsidRDefault="00D22EB9" w:rsidP="00D22EB9">
      <w:pPr>
        <w:spacing w:line="360" w:lineRule="auto"/>
        <w:rPr>
          <w:rFonts w:eastAsia="Arial"/>
          <w:sz w:val="22"/>
        </w:rPr>
      </w:pPr>
    </w:p>
    <w:p w14:paraId="6965A2CC" w14:textId="10FB2501" w:rsidR="00D22EB9" w:rsidRPr="00D22EB9" w:rsidRDefault="00D22EB9" w:rsidP="00D22EB9">
      <w:pPr>
        <w:spacing w:line="360" w:lineRule="auto"/>
        <w:rPr>
          <w:rFonts w:eastAsia="Arial"/>
          <w:sz w:val="22"/>
        </w:rPr>
      </w:pPr>
      <w:r w:rsidRPr="00D22EB9">
        <w:rPr>
          <w:rFonts w:eastAsia="Arial"/>
          <w:sz w:val="22"/>
        </w:rPr>
        <w:t>Strategies to Improve Stakeholder Relationships and Maximize Their Contributions</w:t>
      </w:r>
    </w:p>
    <w:p w14:paraId="7B234BA4" w14:textId="77777777" w:rsidR="00D22EB9" w:rsidRPr="00D22EB9" w:rsidRDefault="00D22EB9" w:rsidP="00D22EB9">
      <w:pPr>
        <w:spacing w:line="360" w:lineRule="auto"/>
        <w:rPr>
          <w:rFonts w:eastAsia="Arial"/>
          <w:sz w:val="22"/>
        </w:rPr>
      </w:pPr>
    </w:p>
    <w:p w14:paraId="1419C320" w14:textId="77777777" w:rsidR="00D22EB9" w:rsidRPr="00D22EB9" w:rsidRDefault="00D22EB9" w:rsidP="00D22EB9">
      <w:pPr>
        <w:spacing w:line="360" w:lineRule="auto"/>
        <w:rPr>
          <w:rFonts w:eastAsia="Arial"/>
          <w:sz w:val="22"/>
        </w:rPr>
      </w:pPr>
      <w:r w:rsidRPr="00D22EB9">
        <w:rPr>
          <w:rFonts w:eastAsia="Arial"/>
          <w:sz w:val="22"/>
        </w:rPr>
        <w:t>Improving stakeholder relationships involves proactively addressing their concerns and soliciting their inputs. Strategies to achieve this may include conducting regular meetings, workshops, and forums to encourage open dialogue. Understanding and integrating their suggestions where possible could boost stakeholder satisfaction and cooperation.</w:t>
      </w:r>
    </w:p>
    <w:p w14:paraId="3B5F4F82" w14:textId="77777777" w:rsidR="00D22EB9" w:rsidRPr="00D22EB9" w:rsidRDefault="00D22EB9" w:rsidP="00D22EB9">
      <w:pPr>
        <w:spacing w:line="360" w:lineRule="auto"/>
        <w:rPr>
          <w:rFonts w:eastAsia="Arial"/>
          <w:sz w:val="22"/>
        </w:rPr>
      </w:pPr>
    </w:p>
    <w:p w14:paraId="527A007F" w14:textId="77777777" w:rsidR="00D22EB9" w:rsidRPr="00D22EB9" w:rsidRDefault="00D22EB9" w:rsidP="00D22EB9">
      <w:pPr>
        <w:spacing w:line="360" w:lineRule="auto"/>
        <w:rPr>
          <w:rFonts w:eastAsia="Arial"/>
          <w:sz w:val="22"/>
        </w:rPr>
      </w:pPr>
      <w:r w:rsidRPr="00D22EB9">
        <w:rPr>
          <w:rFonts w:eastAsia="Arial"/>
          <w:sz w:val="22"/>
        </w:rPr>
        <w:t>Maximizing stakeholder contributions requires establishing a collaborative environment where diverse perspectives are considered and valued. Engaging stakeholders not just as observers but as active participants in decision-making processes enhances their commitment and investment in the project.</w:t>
      </w:r>
    </w:p>
    <w:p w14:paraId="2D71F2E9" w14:textId="77777777" w:rsidR="00D22EB9" w:rsidRPr="00D22EB9" w:rsidRDefault="00D22EB9" w:rsidP="00D22EB9">
      <w:pPr>
        <w:spacing w:line="360" w:lineRule="auto"/>
        <w:rPr>
          <w:rFonts w:eastAsia="Arial"/>
          <w:sz w:val="22"/>
        </w:rPr>
      </w:pPr>
    </w:p>
    <w:p w14:paraId="0780A845" w14:textId="77777777" w:rsidR="00D22EB9" w:rsidRPr="00D22EB9" w:rsidRDefault="00D22EB9" w:rsidP="00D22EB9">
      <w:pPr>
        <w:spacing w:line="360" w:lineRule="auto"/>
        <w:rPr>
          <w:rFonts w:eastAsia="Arial"/>
          <w:sz w:val="22"/>
        </w:rPr>
      </w:pPr>
      <w:r w:rsidRPr="00D22EB9">
        <w:rPr>
          <w:rFonts w:eastAsia="Arial"/>
          <w:sz w:val="22"/>
        </w:rPr>
        <w:t>Moreover, acknowledging their concerns and aligning project objectives with their expectations can foster a sense of partnership, rather than mere collaboration, strengthening relationships and generating a sense of shared purpose.</w:t>
      </w:r>
    </w:p>
    <w:p w14:paraId="6DC40773" w14:textId="77777777" w:rsidR="00D22EB9" w:rsidRPr="00D22EB9" w:rsidRDefault="00D22EB9" w:rsidP="00D22EB9">
      <w:pPr>
        <w:spacing w:line="360" w:lineRule="auto"/>
        <w:rPr>
          <w:rFonts w:eastAsia="Arial"/>
          <w:sz w:val="22"/>
        </w:rPr>
      </w:pPr>
    </w:p>
    <w:p w14:paraId="19B7D69D" w14:textId="12778358" w:rsidR="00D90BA3" w:rsidRDefault="00D22EB9" w:rsidP="00D22EB9">
      <w:pPr>
        <w:spacing w:line="360" w:lineRule="auto"/>
        <w:rPr>
          <w:rFonts w:eastAsia="Arial"/>
          <w:sz w:val="22"/>
        </w:rPr>
      </w:pPr>
      <w:r w:rsidRPr="00D22EB9">
        <w:rPr>
          <w:rFonts w:eastAsia="Arial"/>
          <w:sz w:val="22"/>
        </w:rPr>
        <w:t>In conclusion, the success of the Google Headquarters project heavily depends on effective stakeholder management. Identification, engagement, and sustained communication with stakeholders at various levels are fundamental. Strategies focused on enhancing relationships, incorporating stakeholder feedback, and maximizing their contributions ensure a more holistic approach to project management, fostering support and synergy among all involved parties.</w:t>
      </w:r>
    </w:p>
    <w:p w14:paraId="0DF6920D" w14:textId="77777777" w:rsidR="00D22EB9" w:rsidRPr="00D90BA3" w:rsidRDefault="00D22EB9" w:rsidP="00D22EB9">
      <w:pPr>
        <w:spacing w:line="360" w:lineRule="auto"/>
        <w:rPr>
          <w:rFonts w:eastAsia="Arial"/>
          <w:sz w:val="22"/>
        </w:rPr>
      </w:pPr>
    </w:p>
    <w:p w14:paraId="4B60CF2A" w14:textId="77777777" w:rsidR="003800F5" w:rsidRDefault="003800F5" w:rsidP="00D90BA3">
      <w:pPr>
        <w:spacing w:line="360" w:lineRule="auto"/>
        <w:rPr>
          <w:rFonts w:eastAsia="Arial"/>
          <w:sz w:val="22"/>
        </w:rPr>
      </w:pPr>
    </w:p>
    <w:p w14:paraId="5F787E5A" w14:textId="77777777" w:rsidR="003800F5" w:rsidRDefault="003800F5" w:rsidP="00D90BA3">
      <w:pPr>
        <w:spacing w:line="360" w:lineRule="auto"/>
        <w:rPr>
          <w:rFonts w:eastAsia="Arial"/>
          <w:sz w:val="22"/>
        </w:rPr>
      </w:pPr>
    </w:p>
    <w:p w14:paraId="48AD2A3A" w14:textId="77777777" w:rsidR="003800F5" w:rsidRDefault="003800F5" w:rsidP="00D90BA3">
      <w:pPr>
        <w:spacing w:line="360" w:lineRule="auto"/>
        <w:rPr>
          <w:rFonts w:eastAsia="Arial"/>
          <w:sz w:val="22"/>
        </w:rPr>
      </w:pPr>
    </w:p>
    <w:p w14:paraId="62403AC6" w14:textId="77777777" w:rsidR="003800F5" w:rsidRDefault="003800F5" w:rsidP="00D90BA3">
      <w:pPr>
        <w:spacing w:line="360" w:lineRule="auto"/>
        <w:rPr>
          <w:rFonts w:eastAsia="Arial"/>
          <w:sz w:val="22"/>
        </w:rPr>
      </w:pPr>
    </w:p>
    <w:p w14:paraId="1EC5504D" w14:textId="77777777" w:rsidR="003800F5" w:rsidRDefault="003800F5" w:rsidP="00D90BA3">
      <w:pPr>
        <w:spacing w:line="360" w:lineRule="auto"/>
        <w:rPr>
          <w:rFonts w:eastAsia="Arial"/>
          <w:sz w:val="22"/>
        </w:rPr>
      </w:pPr>
    </w:p>
    <w:p w14:paraId="1320CD7E" w14:textId="77777777" w:rsidR="003800F5" w:rsidRDefault="003800F5" w:rsidP="00D90BA3">
      <w:pPr>
        <w:spacing w:line="360" w:lineRule="auto"/>
        <w:rPr>
          <w:rFonts w:eastAsia="Arial"/>
          <w:sz w:val="22"/>
        </w:rPr>
      </w:pPr>
    </w:p>
    <w:p w14:paraId="7E47FDF8" w14:textId="62E94213" w:rsidR="003800F5" w:rsidRPr="003800F5" w:rsidRDefault="003800F5" w:rsidP="003800F5">
      <w:pPr>
        <w:spacing w:line="360" w:lineRule="auto"/>
        <w:rPr>
          <w:rFonts w:eastAsia="Arial"/>
          <w:sz w:val="22"/>
        </w:rPr>
      </w:pPr>
      <w:r w:rsidRPr="003800F5">
        <w:rPr>
          <w:rFonts w:eastAsia="Arial"/>
          <w:sz w:val="22"/>
        </w:rPr>
        <w:t>Identification of Potential Risks Affecting the Project</w:t>
      </w:r>
    </w:p>
    <w:p w14:paraId="2AE71E89" w14:textId="77777777" w:rsidR="003800F5" w:rsidRPr="003800F5" w:rsidRDefault="003800F5" w:rsidP="003800F5">
      <w:pPr>
        <w:spacing w:line="360" w:lineRule="auto"/>
        <w:rPr>
          <w:rFonts w:eastAsia="Arial"/>
          <w:sz w:val="22"/>
        </w:rPr>
      </w:pPr>
    </w:p>
    <w:p w14:paraId="7F8B48F4" w14:textId="77777777" w:rsidR="003800F5" w:rsidRPr="003800F5" w:rsidRDefault="003800F5" w:rsidP="003800F5">
      <w:pPr>
        <w:spacing w:line="360" w:lineRule="auto"/>
        <w:rPr>
          <w:rFonts w:eastAsia="Arial"/>
          <w:sz w:val="22"/>
        </w:rPr>
      </w:pPr>
      <w:r w:rsidRPr="003800F5">
        <w:rPr>
          <w:rFonts w:eastAsia="Arial"/>
          <w:sz w:val="22"/>
        </w:rPr>
        <w:t>Several potential risks can impact the Google Headquarters project. These risks span various categories, including regulatory challenges, market dynamics, geopolitical factors, environmental uncertainties, financial instabilities, technological complexities, and unexpected events such as natural disasters or global pandemics. For example, regulatory changes in construction norms, unforeseen shifts in market demands, trade policy alterations, or geopolitical tensions might significantly impact the project's progress.</w:t>
      </w:r>
    </w:p>
    <w:p w14:paraId="1D7ABB05" w14:textId="77777777" w:rsidR="003800F5" w:rsidRPr="003800F5" w:rsidRDefault="003800F5" w:rsidP="003800F5">
      <w:pPr>
        <w:spacing w:line="360" w:lineRule="auto"/>
        <w:rPr>
          <w:rFonts w:eastAsia="Arial"/>
          <w:sz w:val="22"/>
        </w:rPr>
      </w:pPr>
    </w:p>
    <w:p w14:paraId="08656465" w14:textId="15BCAC10" w:rsidR="003800F5" w:rsidRPr="003800F5" w:rsidRDefault="003800F5" w:rsidP="003800F5">
      <w:pPr>
        <w:spacing w:line="360" w:lineRule="auto"/>
        <w:rPr>
          <w:rFonts w:eastAsia="Arial"/>
          <w:sz w:val="22"/>
        </w:rPr>
      </w:pPr>
      <w:r w:rsidRPr="003800F5">
        <w:rPr>
          <w:rFonts w:eastAsia="Arial"/>
          <w:sz w:val="22"/>
        </w:rPr>
        <w:t>Analysis of the Impact and Likelihood of These Risks Occurring</w:t>
      </w:r>
    </w:p>
    <w:p w14:paraId="34C9254C" w14:textId="77777777" w:rsidR="003800F5" w:rsidRPr="003800F5" w:rsidRDefault="003800F5" w:rsidP="003800F5">
      <w:pPr>
        <w:spacing w:line="360" w:lineRule="auto"/>
        <w:rPr>
          <w:rFonts w:eastAsia="Arial"/>
          <w:sz w:val="22"/>
        </w:rPr>
      </w:pPr>
    </w:p>
    <w:p w14:paraId="23A8ADB3" w14:textId="709EC318" w:rsidR="003800F5" w:rsidRPr="003800F5" w:rsidRDefault="003800F5" w:rsidP="003800F5">
      <w:pPr>
        <w:spacing w:line="360" w:lineRule="auto"/>
        <w:rPr>
          <w:rFonts w:eastAsia="Arial"/>
          <w:sz w:val="22"/>
        </w:rPr>
      </w:pPr>
      <w:r w:rsidRPr="003800F5">
        <w:rPr>
          <w:rFonts w:eastAsia="Arial"/>
          <w:sz w:val="22"/>
        </w:rPr>
        <w:t xml:space="preserve">Each potential risk is associated with varying degrees of impact and likelihood. For instance, changes in regulatory requirements might have a moderate impact but a high likelihood of occurrence. On the other hand, a geopolitical issue may have a substantial impact but a lower likelihood. </w:t>
      </w:r>
      <w:r w:rsidRPr="003800F5">
        <w:rPr>
          <w:rFonts w:eastAsia="Arial"/>
          <w:sz w:val="22"/>
        </w:rPr>
        <w:t>Analysing</w:t>
      </w:r>
      <w:r w:rsidRPr="003800F5">
        <w:rPr>
          <w:rFonts w:eastAsia="Arial"/>
          <w:sz w:val="22"/>
        </w:rPr>
        <w:t xml:space="preserve"> these risks in terms of their potential impact and probability of occurrence helps in prioritizing the risks that demand immediate attention and mitigation strategies.</w:t>
      </w:r>
    </w:p>
    <w:p w14:paraId="191C84BF" w14:textId="77777777" w:rsidR="003800F5" w:rsidRPr="003800F5" w:rsidRDefault="003800F5" w:rsidP="003800F5">
      <w:pPr>
        <w:spacing w:line="360" w:lineRule="auto"/>
        <w:rPr>
          <w:rFonts w:eastAsia="Arial"/>
          <w:sz w:val="22"/>
        </w:rPr>
      </w:pPr>
    </w:p>
    <w:p w14:paraId="761D4942" w14:textId="14CA43E0" w:rsidR="003800F5" w:rsidRPr="003800F5" w:rsidRDefault="003800F5" w:rsidP="003800F5">
      <w:pPr>
        <w:spacing w:line="360" w:lineRule="auto"/>
        <w:rPr>
          <w:rFonts w:eastAsia="Arial"/>
          <w:sz w:val="22"/>
        </w:rPr>
      </w:pPr>
      <w:r w:rsidRPr="003800F5">
        <w:rPr>
          <w:rFonts w:eastAsia="Arial"/>
          <w:sz w:val="22"/>
        </w:rPr>
        <w:t>Mitigation Strategies to Minimize the Impact of Potential Risks</w:t>
      </w:r>
    </w:p>
    <w:p w14:paraId="5C9059D1" w14:textId="77777777" w:rsidR="003800F5" w:rsidRPr="003800F5" w:rsidRDefault="003800F5" w:rsidP="003800F5">
      <w:pPr>
        <w:spacing w:line="360" w:lineRule="auto"/>
        <w:rPr>
          <w:rFonts w:eastAsia="Arial"/>
          <w:sz w:val="22"/>
        </w:rPr>
      </w:pPr>
    </w:p>
    <w:p w14:paraId="28D2960C" w14:textId="1D0D3ECF" w:rsidR="003800F5" w:rsidRPr="003800F5" w:rsidRDefault="003800F5" w:rsidP="003800F5">
      <w:pPr>
        <w:spacing w:line="360" w:lineRule="auto"/>
        <w:rPr>
          <w:rFonts w:eastAsia="Arial"/>
          <w:sz w:val="22"/>
        </w:rPr>
      </w:pPr>
      <w:r w:rsidRPr="003800F5">
        <w:rPr>
          <w:rFonts w:eastAsia="Arial"/>
          <w:sz w:val="22"/>
        </w:rPr>
        <w:t xml:space="preserve">Developing robust mitigation strategies is crucial to minimize the impact of potential risks. Strategies might involve diversifying suppliers to counteract supply chain disruptions, conducting extensive scenario planning to address regulatory changes, establishing contingency funds to manage financial uncertainties, or fostering resilience through technological redundancies. Moreover, </w:t>
      </w:r>
      <w:r w:rsidRPr="003800F5">
        <w:rPr>
          <w:rFonts w:eastAsia="Arial"/>
          <w:sz w:val="22"/>
        </w:rPr>
        <w:t>clear,</w:t>
      </w:r>
      <w:r w:rsidRPr="003800F5">
        <w:rPr>
          <w:rFonts w:eastAsia="Arial"/>
          <w:sz w:val="22"/>
        </w:rPr>
        <w:t xml:space="preserve"> and comprehensive risk management plans need to be developed, outlining specific actions to address identified risks.</w:t>
      </w:r>
    </w:p>
    <w:p w14:paraId="31D30C26" w14:textId="77777777" w:rsidR="003800F5" w:rsidRPr="003800F5" w:rsidRDefault="003800F5" w:rsidP="003800F5">
      <w:pPr>
        <w:spacing w:line="360" w:lineRule="auto"/>
        <w:rPr>
          <w:rFonts w:eastAsia="Arial"/>
          <w:sz w:val="22"/>
        </w:rPr>
      </w:pPr>
    </w:p>
    <w:p w14:paraId="0885D3B7" w14:textId="788AE4F8" w:rsidR="003800F5" w:rsidRPr="003800F5" w:rsidRDefault="003800F5" w:rsidP="003800F5">
      <w:pPr>
        <w:spacing w:line="360" w:lineRule="auto"/>
        <w:rPr>
          <w:rFonts w:eastAsia="Arial"/>
          <w:sz w:val="22"/>
        </w:rPr>
      </w:pPr>
      <w:r w:rsidRPr="003800F5">
        <w:rPr>
          <w:rFonts w:eastAsia="Arial"/>
          <w:sz w:val="22"/>
        </w:rPr>
        <w:t>Importance of Proactive Risk Management for Project Success</w:t>
      </w:r>
    </w:p>
    <w:p w14:paraId="1117D904" w14:textId="77777777" w:rsidR="003800F5" w:rsidRPr="003800F5" w:rsidRDefault="003800F5" w:rsidP="003800F5">
      <w:pPr>
        <w:spacing w:line="360" w:lineRule="auto"/>
        <w:rPr>
          <w:rFonts w:eastAsia="Arial"/>
          <w:sz w:val="22"/>
        </w:rPr>
      </w:pPr>
    </w:p>
    <w:p w14:paraId="5AED3782" w14:textId="77777777" w:rsidR="003800F5" w:rsidRPr="003800F5" w:rsidRDefault="003800F5" w:rsidP="003800F5">
      <w:pPr>
        <w:spacing w:line="360" w:lineRule="auto"/>
        <w:rPr>
          <w:rFonts w:eastAsia="Arial"/>
          <w:sz w:val="22"/>
        </w:rPr>
      </w:pPr>
      <w:r w:rsidRPr="003800F5">
        <w:rPr>
          <w:rFonts w:eastAsia="Arial"/>
          <w:sz w:val="22"/>
        </w:rPr>
        <w:t>Proactive risk management is pivotal for the project's success. Anticipating and addressing potential risks before they materialize helps in preventing or mitigating their impact. It ensures the project remains on course and minimizes disruptions, delays, and additional costs. By being proactive, the project team can respond swiftly to unforeseen circumstances, ensuring that the project continues to progress efficiently.</w:t>
      </w:r>
    </w:p>
    <w:p w14:paraId="597753E3" w14:textId="77777777" w:rsidR="003800F5" w:rsidRPr="003800F5" w:rsidRDefault="003800F5" w:rsidP="003800F5">
      <w:pPr>
        <w:spacing w:line="360" w:lineRule="auto"/>
        <w:rPr>
          <w:rFonts w:eastAsia="Arial"/>
          <w:sz w:val="22"/>
        </w:rPr>
      </w:pPr>
    </w:p>
    <w:p w14:paraId="66F0610F" w14:textId="56CF6D93" w:rsidR="00D90BA3" w:rsidRDefault="003800F5" w:rsidP="003800F5">
      <w:pPr>
        <w:spacing w:line="360" w:lineRule="auto"/>
        <w:rPr>
          <w:rFonts w:eastAsia="Arial"/>
          <w:sz w:val="22"/>
        </w:rPr>
      </w:pPr>
      <w:r w:rsidRPr="003800F5">
        <w:rPr>
          <w:rFonts w:eastAsia="Arial"/>
          <w:sz w:val="22"/>
        </w:rPr>
        <w:t>In conclusion, the identification, assessment, and proactive management of potential risks are integral to the success of the Google Headquarters project. Understanding the nature and potential impact of various risks enables the implementation of effective mitigation strategies. This proactive approach not only safeguards the project from disruptions but also enhances its overall resilience, ensuring a smoother and more successful project implementation.</w:t>
      </w:r>
    </w:p>
    <w:p w14:paraId="6EAB7332" w14:textId="426F3A5A" w:rsidR="009F0671" w:rsidRDefault="009F0671" w:rsidP="003800F5">
      <w:pPr>
        <w:spacing w:line="360" w:lineRule="auto"/>
        <w:rPr>
          <w:rFonts w:eastAsia="Arial"/>
          <w:sz w:val="22"/>
        </w:rPr>
      </w:pPr>
    </w:p>
    <w:p w14:paraId="28657D60" w14:textId="55EEF7F8" w:rsidR="009F0671" w:rsidRPr="009F0671" w:rsidRDefault="009F0671" w:rsidP="009F0671">
      <w:pPr>
        <w:spacing w:line="360" w:lineRule="auto"/>
        <w:rPr>
          <w:rFonts w:eastAsia="Arial"/>
          <w:sz w:val="22"/>
        </w:rPr>
      </w:pPr>
      <w:r w:rsidRPr="009F0671">
        <w:rPr>
          <w:rFonts w:eastAsia="Arial"/>
          <w:sz w:val="22"/>
        </w:rPr>
        <w:t>Summary of Key Findings and Recommendations</w:t>
      </w:r>
    </w:p>
    <w:p w14:paraId="5887A39D" w14:textId="77777777" w:rsidR="009F0671" w:rsidRPr="009F0671" w:rsidRDefault="009F0671" w:rsidP="009F0671">
      <w:pPr>
        <w:spacing w:line="360" w:lineRule="auto"/>
        <w:rPr>
          <w:rFonts w:eastAsia="Arial"/>
          <w:sz w:val="22"/>
        </w:rPr>
      </w:pPr>
    </w:p>
    <w:p w14:paraId="669CB2C5" w14:textId="77777777" w:rsidR="009F0671" w:rsidRPr="009F0671" w:rsidRDefault="009F0671" w:rsidP="009F0671">
      <w:pPr>
        <w:spacing w:line="360" w:lineRule="auto"/>
        <w:rPr>
          <w:rFonts w:eastAsia="Arial"/>
          <w:sz w:val="22"/>
        </w:rPr>
      </w:pPr>
      <w:r w:rsidRPr="009F0671">
        <w:rPr>
          <w:rFonts w:eastAsia="Arial"/>
          <w:sz w:val="22"/>
        </w:rPr>
        <w:t>The assessment of the Google Headquarters project underlines critical areas pivotal for its success. The project showcased promising initiatives to revolutionize workspace design and functionality. However, key areas necessitate attention and strategic planning.</w:t>
      </w:r>
    </w:p>
    <w:p w14:paraId="24832F9F" w14:textId="77777777" w:rsidR="009F0671" w:rsidRPr="009F0671" w:rsidRDefault="009F0671" w:rsidP="009F0671">
      <w:pPr>
        <w:spacing w:line="360" w:lineRule="auto"/>
        <w:rPr>
          <w:rFonts w:eastAsia="Arial"/>
          <w:sz w:val="22"/>
        </w:rPr>
      </w:pPr>
    </w:p>
    <w:p w14:paraId="57C6AA7F" w14:textId="77777777" w:rsidR="009F0671" w:rsidRPr="009F0671" w:rsidRDefault="009F0671" w:rsidP="009F0671">
      <w:pPr>
        <w:spacing w:line="360" w:lineRule="auto"/>
        <w:rPr>
          <w:rFonts w:eastAsia="Arial"/>
          <w:sz w:val="22"/>
        </w:rPr>
      </w:pPr>
      <w:r w:rsidRPr="009F0671">
        <w:rPr>
          <w:rFonts w:eastAsia="Arial"/>
          <w:sz w:val="22"/>
        </w:rPr>
        <w:t>Recommendations involve stringent monitoring of the budget, employing measures to address potential cost overruns, and ensuring adherence to quality standards. Timely completion is crucial, demanding robust strategies to mitigate delays and proactively manage the timeline. Stakeholder engagement requires enhancement, emphasizing effective communication and active involvement to maximize contributions.</w:t>
      </w:r>
    </w:p>
    <w:p w14:paraId="7B87ABC4" w14:textId="77777777" w:rsidR="009F0671" w:rsidRPr="009F0671" w:rsidRDefault="009F0671" w:rsidP="009F0671">
      <w:pPr>
        <w:spacing w:line="360" w:lineRule="auto"/>
        <w:rPr>
          <w:rFonts w:eastAsia="Arial"/>
          <w:sz w:val="22"/>
        </w:rPr>
      </w:pPr>
    </w:p>
    <w:p w14:paraId="1ED5720B" w14:textId="6A3B3A9F" w:rsidR="009F0671" w:rsidRPr="009F0671" w:rsidRDefault="009F0671" w:rsidP="009F0671">
      <w:pPr>
        <w:spacing w:line="360" w:lineRule="auto"/>
        <w:rPr>
          <w:rFonts w:eastAsia="Arial"/>
          <w:sz w:val="22"/>
        </w:rPr>
      </w:pPr>
      <w:r w:rsidRPr="009F0671">
        <w:rPr>
          <w:rFonts w:eastAsia="Arial"/>
          <w:sz w:val="22"/>
        </w:rPr>
        <w:t>Emphasis on Critical Success Factors for the Project</w:t>
      </w:r>
    </w:p>
    <w:p w14:paraId="7D84E2F0" w14:textId="77777777" w:rsidR="009F0671" w:rsidRPr="009F0671" w:rsidRDefault="009F0671" w:rsidP="009F0671">
      <w:pPr>
        <w:spacing w:line="360" w:lineRule="auto"/>
        <w:rPr>
          <w:rFonts w:eastAsia="Arial"/>
          <w:sz w:val="22"/>
        </w:rPr>
      </w:pPr>
    </w:p>
    <w:p w14:paraId="6E03144F" w14:textId="77777777" w:rsidR="009F0671" w:rsidRPr="009F0671" w:rsidRDefault="009F0671" w:rsidP="009F0671">
      <w:pPr>
        <w:spacing w:line="360" w:lineRule="auto"/>
        <w:rPr>
          <w:rFonts w:eastAsia="Arial"/>
          <w:sz w:val="22"/>
        </w:rPr>
      </w:pPr>
      <w:r w:rsidRPr="009F0671">
        <w:rPr>
          <w:rFonts w:eastAsia="Arial"/>
          <w:sz w:val="22"/>
        </w:rPr>
        <w:t>Critical success factors encompass meticulous budgetary control, strict adherence to timelines, unwavering commitment to maintaining high-quality standards, effective stakeholder engagement, and proactive risk management. The project's success hinges on effectively managing these critical elements.</w:t>
      </w:r>
    </w:p>
    <w:p w14:paraId="072F161C" w14:textId="77777777" w:rsidR="009F0671" w:rsidRPr="009F0671" w:rsidRDefault="009F0671" w:rsidP="009F0671">
      <w:pPr>
        <w:spacing w:line="360" w:lineRule="auto"/>
        <w:rPr>
          <w:rFonts w:eastAsia="Arial"/>
          <w:sz w:val="22"/>
        </w:rPr>
      </w:pPr>
    </w:p>
    <w:p w14:paraId="346FE9F1" w14:textId="2836058E" w:rsidR="009F0671" w:rsidRPr="009F0671" w:rsidRDefault="009F0671" w:rsidP="009F0671">
      <w:pPr>
        <w:spacing w:line="360" w:lineRule="auto"/>
        <w:rPr>
          <w:rFonts w:eastAsia="Arial"/>
          <w:sz w:val="22"/>
        </w:rPr>
      </w:pPr>
      <w:r w:rsidRPr="009F0671">
        <w:rPr>
          <w:rFonts w:eastAsia="Arial"/>
          <w:sz w:val="22"/>
        </w:rPr>
        <w:t>Importance of Implementing Adaptive Strategies and Continuous Improvement</w:t>
      </w:r>
    </w:p>
    <w:p w14:paraId="446E9E1D" w14:textId="77777777" w:rsidR="009F0671" w:rsidRPr="009F0671" w:rsidRDefault="009F0671" w:rsidP="009F0671">
      <w:pPr>
        <w:spacing w:line="360" w:lineRule="auto"/>
        <w:rPr>
          <w:rFonts w:eastAsia="Arial"/>
          <w:sz w:val="22"/>
        </w:rPr>
      </w:pPr>
    </w:p>
    <w:p w14:paraId="62B49706" w14:textId="77777777" w:rsidR="009F0671" w:rsidRPr="009F0671" w:rsidRDefault="009F0671" w:rsidP="009F0671">
      <w:pPr>
        <w:spacing w:line="360" w:lineRule="auto"/>
        <w:rPr>
          <w:rFonts w:eastAsia="Arial"/>
          <w:sz w:val="22"/>
        </w:rPr>
      </w:pPr>
      <w:r w:rsidRPr="009F0671">
        <w:rPr>
          <w:rFonts w:eastAsia="Arial"/>
          <w:sz w:val="22"/>
        </w:rPr>
        <w:t>Implementing adaptive strategies is vital to navigate unforeseen challenges. Flexibility in approaches and readiness to adapt to changing circumstances can significantly impact project success. Moreover, fostering a culture of continuous improvement ensures a progressive approach towards refining processes, enhancing quality, and ensuring optimal performance throughout the project's lifecycle.</w:t>
      </w:r>
    </w:p>
    <w:p w14:paraId="4512AEE0" w14:textId="77777777" w:rsidR="009F0671" w:rsidRPr="009F0671" w:rsidRDefault="009F0671" w:rsidP="009F0671">
      <w:pPr>
        <w:spacing w:line="360" w:lineRule="auto"/>
        <w:rPr>
          <w:rFonts w:eastAsia="Arial"/>
          <w:sz w:val="22"/>
        </w:rPr>
      </w:pPr>
    </w:p>
    <w:p w14:paraId="21D8D70A" w14:textId="3F69A9DF" w:rsidR="00D90BA3" w:rsidRDefault="009F0671" w:rsidP="009F0671">
      <w:pPr>
        <w:spacing w:line="360" w:lineRule="auto"/>
        <w:rPr>
          <w:rFonts w:eastAsia="Arial"/>
          <w:sz w:val="22"/>
        </w:rPr>
      </w:pPr>
      <w:r>
        <w:rPr>
          <w:rFonts w:eastAsia="Arial"/>
          <w:sz w:val="22"/>
        </w:rPr>
        <w:t>To sum up,</w:t>
      </w:r>
      <w:r w:rsidRPr="009F0671">
        <w:rPr>
          <w:rFonts w:eastAsia="Arial"/>
          <w:sz w:val="22"/>
        </w:rPr>
        <w:t xml:space="preserve"> the Google Headquarters project in London has immense potential but necessitates a comprehensive and agile approach. The success of the project depends on addressing the identified areas of improvement, fostering collaboration among stakeholders, and adapting to changing circumstances. By </w:t>
      </w:r>
      <w:r w:rsidRPr="009F0671">
        <w:rPr>
          <w:rFonts w:eastAsia="Arial"/>
          <w:sz w:val="22"/>
        </w:rPr>
        <w:lastRenderedPageBreak/>
        <w:t>implementing the recommended strategies and prioritizing critical success factors, the project can thrive, offering a cutting-edge workspace that aligns with Google's vision while contributing positively to London’s economic landscape.</w:t>
      </w:r>
    </w:p>
    <w:p w14:paraId="4FEB0453" w14:textId="0611D6CC" w:rsidR="00D11AAC" w:rsidRDefault="00D11AAC" w:rsidP="00D90BA3">
      <w:pPr>
        <w:spacing w:line="360" w:lineRule="auto"/>
        <w:rPr>
          <w:rFonts w:eastAsia="Arial"/>
          <w:sz w:val="22"/>
        </w:rPr>
      </w:pPr>
    </w:p>
    <w:p w14:paraId="47D5E029" w14:textId="1165BC7A" w:rsidR="00D90BA3" w:rsidRDefault="00D90BA3" w:rsidP="00D90BA3">
      <w:pPr>
        <w:spacing w:line="360" w:lineRule="auto"/>
        <w:rPr>
          <w:rFonts w:eastAsia="Arial"/>
          <w:sz w:val="22"/>
        </w:rPr>
      </w:pPr>
      <w:r w:rsidRPr="00D90BA3">
        <w:rPr>
          <w:rFonts w:eastAsia="Arial"/>
          <w:sz w:val="22"/>
        </w:rPr>
        <w:t>References</w:t>
      </w:r>
      <w:r w:rsidR="00107CF4">
        <w:rPr>
          <w:rFonts w:eastAsia="Arial"/>
          <w:sz w:val="22"/>
        </w:rPr>
        <w:t xml:space="preserve">. </w:t>
      </w:r>
    </w:p>
    <w:p w14:paraId="06FC4195" w14:textId="166C9985" w:rsidR="00107CF4" w:rsidRDefault="00107CF4" w:rsidP="00D90BA3">
      <w:pPr>
        <w:spacing w:line="360" w:lineRule="auto"/>
        <w:rPr>
          <w:rFonts w:eastAsia="Arial"/>
          <w:sz w:val="22"/>
        </w:rPr>
      </w:pPr>
    </w:p>
    <w:p w14:paraId="5F4A331E" w14:textId="4A9A5E13" w:rsidR="00107CF4" w:rsidRPr="00107CF4" w:rsidRDefault="00107CF4" w:rsidP="00107CF4">
      <w:pPr>
        <w:pStyle w:val="ListParagraph"/>
        <w:numPr>
          <w:ilvl w:val="0"/>
          <w:numId w:val="36"/>
        </w:numPr>
        <w:spacing w:line="360" w:lineRule="auto"/>
        <w:rPr>
          <w:rFonts w:eastAsia="Arial"/>
          <w:sz w:val="22"/>
        </w:rPr>
      </w:pPr>
      <w:r>
        <w:t>Bennett.</w:t>
      </w:r>
      <w:r>
        <w:t xml:space="preserve"> </w:t>
      </w:r>
      <w:r>
        <w:t xml:space="preserve">N, Axelos, (2017), PRINCE2 Handbook (Managing Successful Projects </w:t>
      </w:r>
      <w:proofErr w:type="gramStart"/>
      <w:r>
        <w:t>With</w:t>
      </w:r>
      <w:proofErr w:type="gramEnd"/>
      <w:r>
        <w:t xml:space="preserve"> Prince)</w:t>
      </w:r>
    </w:p>
    <w:p w14:paraId="1F17D3A6" w14:textId="298ACFDE" w:rsidR="00107CF4" w:rsidRPr="00107CF4" w:rsidRDefault="00107CF4" w:rsidP="00107CF4">
      <w:pPr>
        <w:pStyle w:val="ListParagraph"/>
        <w:numPr>
          <w:ilvl w:val="0"/>
          <w:numId w:val="36"/>
        </w:numPr>
        <w:spacing w:line="360" w:lineRule="auto"/>
        <w:rPr>
          <w:rFonts w:eastAsia="Arial"/>
          <w:sz w:val="22"/>
        </w:rPr>
      </w:pPr>
      <w:r>
        <w:t>Burke, R. (2013), Project Management Planning and Control Techniques, 5th ed. Wiley: West Sussex</w:t>
      </w:r>
    </w:p>
    <w:p w14:paraId="2AF35BD3" w14:textId="3C4CCBB6" w:rsidR="00107CF4" w:rsidRPr="00107CF4" w:rsidRDefault="00107CF4" w:rsidP="00107CF4">
      <w:pPr>
        <w:pStyle w:val="ListParagraph"/>
        <w:numPr>
          <w:ilvl w:val="0"/>
          <w:numId w:val="36"/>
        </w:numPr>
        <w:spacing w:line="360" w:lineRule="auto"/>
        <w:rPr>
          <w:rFonts w:eastAsia="Arial"/>
          <w:sz w:val="22"/>
        </w:rPr>
      </w:pPr>
      <w:r>
        <w:t xml:space="preserve">Croft. </w:t>
      </w:r>
      <w:proofErr w:type="gramStart"/>
      <w:r>
        <w:t>C.,(</w:t>
      </w:r>
      <w:proofErr w:type="gramEnd"/>
      <w:r>
        <w:t>2022),Project Management QuickStart Guide: The Simplified Beginner’s Guide to Precise Planning, Strategic Resource Management, and Delivering World Class Results (QuickStart Guides™ - Business)</w:t>
      </w:r>
    </w:p>
    <w:p w14:paraId="2BCA792C" w14:textId="02228365" w:rsidR="00107CF4" w:rsidRPr="00107CF4" w:rsidRDefault="00107CF4" w:rsidP="00107CF4">
      <w:pPr>
        <w:pStyle w:val="ListParagraph"/>
        <w:numPr>
          <w:ilvl w:val="0"/>
          <w:numId w:val="36"/>
        </w:numPr>
        <w:spacing w:line="360" w:lineRule="auto"/>
        <w:rPr>
          <w:rFonts w:eastAsia="Arial"/>
          <w:sz w:val="22"/>
        </w:rPr>
      </w:pPr>
      <w:r>
        <w:t>Kidston, P., (2015) Planning, Scheduling, Monitoring and Control: The Practical Project Management of Time, Cost and Risk. Association for Project Management (APM)</w:t>
      </w:r>
    </w:p>
    <w:p w14:paraId="01176082" w14:textId="12B17816" w:rsidR="00107CF4" w:rsidRPr="00107CF4" w:rsidRDefault="00107CF4" w:rsidP="00107CF4">
      <w:pPr>
        <w:pStyle w:val="ListParagraph"/>
        <w:numPr>
          <w:ilvl w:val="0"/>
          <w:numId w:val="36"/>
        </w:numPr>
        <w:spacing w:line="360" w:lineRule="auto"/>
        <w:rPr>
          <w:rFonts w:eastAsia="Arial"/>
          <w:sz w:val="22"/>
        </w:rPr>
      </w:pPr>
      <w:r>
        <w:t>Lawton, I., (2017) Made Simple: Updated 2017 Version. 6th edition, P2MS Press</w:t>
      </w:r>
    </w:p>
    <w:p w14:paraId="3D5897B1" w14:textId="0E21A906" w:rsidR="00107CF4" w:rsidRPr="00107CF4" w:rsidRDefault="00107CF4" w:rsidP="00107CF4">
      <w:pPr>
        <w:pStyle w:val="ListParagraph"/>
        <w:numPr>
          <w:ilvl w:val="0"/>
          <w:numId w:val="36"/>
        </w:numPr>
        <w:spacing w:line="360" w:lineRule="auto"/>
        <w:rPr>
          <w:rFonts w:eastAsia="Arial"/>
          <w:sz w:val="22"/>
        </w:rPr>
      </w:pPr>
      <w:proofErr w:type="spellStart"/>
      <w:proofErr w:type="gramStart"/>
      <w:r>
        <w:t>McCarthy,R</w:t>
      </w:r>
      <w:proofErr w:type="spellEnd"/>
      <w:r>
        <w:t>.</w:t>
      </w:r>
      <w:proofErr w:type="gramEnd"/>
      <w:r>
        <w:t>,(2020) Agile: What You Need to Know About Agile Project Management, the Kanban Process, Lean Thinking, and Scrum</w:t>
      </w:r>
    </w:p>
    <w:p w14:paraId="692FCC5F" w14:textId="565591E2" w:rsidR="00107CF4" w:rsidRPr="00107CF4" w:rsidRDefault="00107CF4" w:rsidP="00107CF4">
      <w:pPr>
        <w:pStyle w:val="ListParagraph"/>
        <w:numPr>
          <w:ilvl w:val="0"/>
          <w:numId w:val="36"/>
        </w:numPr>
        <w:spacing w:line="360" w:lineRule="auto"/>
        <w:rPr>
          <w:rFonts w:eastAsia="Arial"/>
          <w:sz w:val="22"/>
        </w:rPr>
      </w:pPr>
      <w:r>
        <w:t>Murray-Webster, R., Simon, P., (2018) Starting Out in Project Management: A Study Guide for the APM Introductory Certificate in Project Management, 3rd Ed., Association for Project Management (APM): Beds</w:t>
      </w:r>
    </w:p>
    <w:p w14:paraId="653C5353" w14:textId="7C8AA503" w:rsidR="00107CF4" w:rsidRPr="00107CF4" w:rsidRDefault="00107CF4" w:rsidP="00107CF4">
      <w:pPr>
        <w:pStyle w:val="ListParagraph"/>
        <w:numPr>
          <w:ilvl w:val="0"/>
          <w:numId w:val="36"/>
        </w:numPr>
        <w:spacing w:line="360" w:lineRule="auto"/>
        <w:rPr>
          <w:rFonts w:eastAsia="Arial"/>
          <w:sz w:val="22"/>
        </w:rPr>
      </w:pPr>
      <w:r>
        <w:t>Project Management Institute (2021), A Guide to the Project Management Body of Knowledge (PMBOK (R) Guide) (PMBOK® Guide),7th edition</w:t>
      </w:r>
    </w:p>
    <w:p w14:paraId="23204DF9" w14:textId="295C1AFB" w:rsidR="000A4B7A" w:rsidRPr="00A14E3E" w:rsidRDefault="000A4B7A" w:rsidP="00A14E3E">
      <w:pPr>
        <w:spacing w:line="360" w:lineRule="auto"/>
      </w:pPr>
    </w:p>
    <w:p w14:paraId="4D83DAA3" w14:textId="566775AE" w:rsidR="000A4B7A" w:rsidRPr="00A14E3E" w:rsidRDefault="000A4B7A" w:rsidP="00A14E3E">
      <w:pPr>
        <w:spacing w:line="360" w:lineRule="auto"/>
      </w:pPr>
    </w:p>
    <w:p w14:paraId="5A1A8594" w14:textId="468351C9" w:rsidR="000A4B7A" w:rsidRPr="00A14E3E" w:rsidRDefault="000A4B7A" w:rsidP="00A14E3E">
      <w:pPr>
        <w:spacing w:line="360" w:lineRule="auto"/>
        <w:jc w:val="both"/>
      </w:pPr>
    </w:p>
    <w:p w14:paraId="36E56FC0" w14:textId="77777777" w:rsidR="000A4B7A" w:rsidRPr="00A14E3E" w:rsidRDefault="000A4B7A" w:rsidP="00A14E3E">
      <w:pPr>
        <w:spacing w:line="360" w:lineRule="auto"/>
        <w:jc w:val="both"/>
      </w:pPr>
    </w:p>
    <w:p w14:paraId="11B43EBD" w14:textId="1EC0C4AD" w:rsidR="000A4B7A" w:rsidRPr="00A14E3E" w:rsidRDefault="000A4B7A" w:rsidP="00A14E3E">
      <w:pPr>
        <w:spacing w:line="360" w:lineRule="auto"/>
        <w:jc w:val="both"/>
      </w:pPr>
    </w:p>
    <w:p w14:paraId="66A08E12" w14:textId="77777777" w:rsidR="003E7B0E" w:rsidRPr="000A6921" w:rsidRDefault="003E7B0E" w:rsidP="000A4B7A">
      <w:pPr>
        <w:spacing w:line="360" w:lineRule="auto"/>
        <w:jc w:val="both"/>
        <w:rPr>
          <w:sz w:val="22"/>
        </w:rPr>
      </w:pPr>
    </w:p>
    <w:sectPr w:rsidR="003E7B0E" w:rsidRPr="000A6921" w:rsidSect="00116098">
      <w:headerReference w:type="default" r:id="rId12"/>
      <w:footerReference w:type="default" r:id="rId13"/>
      <w:footerReference w:type="first" r:id="rId14"/>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6B147" w14:textId="77777777" w:rsidR="00D63D07" w:rsidRDefault="00D63D07" w:rsidP="00A87963">
      <w:r>
        <w:separator/>
      </w:r>
    </w:p>
  </w:endnote>
  <w:endnote w:type="continuationSeparator" w:id="0">
    <w:p w14:paraId="08E60352" w14:textId="77777777" w:rsidR="00D63D07" w:rsidRDefault="00D63D07" w:rsidP="00A87963">
      <w:r>
        <w:continuationSeparator/>
      </w:r>
    </w:p>
  </w:endnote>
  <w:endnote w:type="continuationNotice" w:id="1">
    <w:p w14:paraId="343772FA" w14:textId="77777777" w:rsidR="00D63D07" w:rsidRDefault="00D63D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77777777" w:rsidR="00116098" w:rsidRDefault="00116098">
    <w:pPr>
      <w:tabs>
        <w:tab w:val="center" w:pos="4550"/>
        <w:tab w:val="left" w:pos="5818"/>
      </w:tabs>
      <w:ind w:right="260"/>
      <w:jc w:val="right"/>
      <w:rPr>
        <w:color w:val="222A35" w:themeColor="text2" w:themeShade="80"/>
      </w:rPr>
    </w:pPr>
    <w:r>
      <w:rPr>
        <w:color w:val="8496B0" w:themeColor="text2" w:themeTint="99"/>
        <w:spacing w:val="60"/>
      </w:rPr>
      <w:t>Page</w:t>
    </w:r>
    <w:r>
      <w:rPr>
        <w:color w:val="8496B0" w:themeColor="text2" w:themeTint="99"/>
      </w:rPr>
      <w:t xml:space="preserve"> </w:t>
    </w:r>
    <w:r>
      <w:rPr>
        <w:color w:val="323E4F" w:themeColor="text2" w:themeShade="BF"/>
      </w:rPr>
      <w:fldChar w:fldCharType="begin"/>
    </w:r>
    <w:r>
      <w:rPr>
        <w:color w:val="323E4F" w:themeColor="text2" w:themeShade="BF"/>
      </w:rPr>
      <w:instrText>PAGE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r>
      <w:rPr>
        <w:color w:val="323E4F" w:themeColor="text2" w:themeShade="BF"/>
      </w:rPr>
      <w:t xml:space="preserve"> | </w:t>
    </w:r>
    <w:r>
      <w:rPr>
        <w:color w:val="323E4F" w:themeColor="text2" w:themeShade="BF"/>
      </w:rPr>
      <w:fldChar w:fldCharType="begin"/>
    </w:r>
    <w:r>
      <w:rPr>
        <w:color w:val="323E4F" w:themeColor="text2" w:themeShade="BF"/>
      </w:rPr>
      <w:instrText>NUMPAGES  \* Arabic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1FBA3" w14:textId="77777777" w:rsidR="00D63D07" w:rsidRDefault="00D63D07" w:rsidP="00A87963">
      <w:r>
        <w:separator/>
      </w:r>
    </w:p>
  </w:footnote>
  <w:footnote w:type="continuationSeparator" w:id="0">
    <w:p w14:paraId="064CF462" w14:textId="77777777" w:rsidR="00D63D07" w:rsidRDefault="00D63D07" w:rsidP="00A87963">
      <w:r>
        <w:continuationSeparator/>
      </w:r>
    </w:p>
  </w:footnote>
  <w:footnote w:type="continuationNotice" w:id="1">
    <w:p w14:paraId="560D3BDD" w14:textId="77777777" w:rsidR="00D63D07" w:rsidRDefault="00D63D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58EB"/>
    <w:multiLevelType w:val="hybridMultilevel"/>
    <w:tmpl w:val="76E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47314"/>
    <w:multiLevelType w:val="hybridMultilevel"/>
    <w:tmpl w:val="24788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2129C"/>
    <w:multiLevelType w:val="hybridMultilevel"/>
    <w:tmpl w:val="86FAC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FD685D"/>
    <w:multiLevelType w:val="multilevel"/>
    <w:tmpl w:val="1D18814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D06552C"/>
    <w:multiLevelType w:val="hybridMultilevel"/>
    <w:tmpl w:val="5D725586"/>
    <w:lvl w:ilvl="0" w:tplc="70DAFEC4">
      <w:start w:val="1"/>
      <w:numFmt w:val="bullet"/>
      <w:lvlText w:val=""/>
      <w:lvlJc w:val="left"/>
      <w:pPr>
        <w:ind w:left="720" w:hanging="360"/>
      </w:pPr>
      <w:rPr>
        <w:rFonts w:ascii="Symbol" w:hAnsi="Symbol" w:hint="default"/>
      </w:rPr>
    </w:lvl>
    <w:lvl w:ilvl="1" w:tplc="31A88844">
      <w:start w:val="1"/>
      <w:numFmt w:val="bullet"/>
      <w:lvlText w:val=""/>
      <w:lvlJc w:val="left"/>
      <w:pPr>
        <w:ind w:left="1440" w:hanging="360"/>
      </w:pPr>
      <w:rPr>
        <w:rFonts w:ascii="Symbol" w:hAnsi="Symbol" w:hint="default"/>
      </w:rPr>
    </w:lvl>
    <w:lvl w:ilvl="2" w:tplc="3E5E174C">
      <w:start w:val="1"/>
      <w:numFmt w:val="bullet"/>
      <w:lvlText w:val=""/>
      <w:lvlJc w:val="left"/>
      <w:pPr>
        <w:ind w:left="2160" w:hanging="360"/>
      </w:pPr>
      <w:rPr>
        <w:rFonts w:ascii="Wingdings" w:hAnsi="Wingdings" w:hint="default"/>
      </w:rPr>
    </w:lvl>
    <w:lvl w:ilvl="3" w:tplc="05B41DF2">
      <w:start w:val="1"/>
      <w:numFmt w:val="bullet"/>
      <w:lvlText w:val=""/>
      <w:lvlJc w:val="left"/>
      <w:pPr>
        <w:ind w:left="2880" w:hanging="360"/>
      </w:pPr>
      <w:rPr>
        <w:rFonts w:ascii="Symbol" w:hAnsi="Symbol" w:hint="default"/>
      </w:rPr>
    </w:lvl>
    <w:lvl w:ilvl="4" w:tplc="527267E2">
      <w:start w:val="1"/>
      <w:numFmt w:val="bullet"/>
      <w:lvlText w:val="o"/>
      <w:lvlJc w:val="left"/>
      <w:pPr>
        <w:ind w:left="3600" w:hanging="360"/>
      </w:pPr>
      <w:rPr>
        <w:rFonts w:ascii="Courier New" w:hAnsi="Courier New" w:hint="default"/>
      </w:rPr>
    </w:lvl>
    <w:lvl w:ilvl="5" w:tplc="A7E46472">
      <w:start w:val="1"/>
      <w:numFmt w:val="bullet"/>
      <w:lvlText w:val=""/>
      <w:lvlJc w:val="left"/>
      <w:pPr>
        <w:ind w:left="4320" w:hanging="360"/>
      </w:pPr>
      <w:rPr>
        <w:rFonts w:ascii="Wingdings" w:hAnsi="Wingdings" w:hint="default"/>
      </w:rPr>
    </w:lvl>
    <w:lvl w:ilvl="6" w:tplc="0A00DD1E">
      <w:start w:val="1"/>
      <w:numFmt w:val="bullet"/>
      <w:lvlText w:val=""/>
      <w:lvlJc w:val="left"/>
      <w:pPr>
        <w:ind w:left="5040" w:hanging="360"/>
      </w:pPr>
      <w:rPr>
        <w:rFonts w:ascii="Symbol" w:hAnsi="Symbol" w:hint="default"/>
      </w:rPr>
    </w:lvl>
    <w:lvl w:ilvl="7" w:tplc="7F2C2A16">
      <w:start w:val="1"/>
      <w:numFmt w:val="bullet"/>
      <w:lvlText w:val="o"/>
      <w:lvlJc w:val="left"/>
      <w:pPr>
        <w:ind w:left="5760" w:hanging="360"/>
      </w:pPr>
      <w:rPr>
        <w:rFonts w:ascii="Courier New" w:hAnsi="Courier New" w:hint="default"/>
      </w:rPr>
    </w:lvl>
    <w:lvl w:ilvl="8" w:tplc="0ED69CB8">
      <w:start w:val="1"/>
      <w:numFmt w:val="bullet"/>
      <w:lvlText w:val=""/>
      <w:lvlJc w:val="left"/>
      <w:pPr>
        <w:ind w:left="6480" w:hanging="360"/>
      </w:pPr>
      <w:rPr>
        <w:rFonts w:ascii="Wingdings" w:hAnsi="Wingdings" w:hint="default"/>
      </w:rPr>
    </w:lvl>
  </w:abstractNum>
  <w:abstractNum w:abstractNumId="5" w15:restartNumberingAfterBreak="0">
    <w:nsid w:val="0D6A59E7"/>
    <w:multiLevelType w:val="hybridMultilevel"/>
    <w:tmpl w:val="CAE89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CE6743"/>
    <w:multiLevelType w:val="multilevel"/>
    <w:tmpl w:val="8F10CA26"/>
    <w:lvl w:ilvl="0">
      <w:start w:val="2"/>
      <w:numFmt w:val="decimal"/>
      <w:lvlText w:val="%1"/>
      <w:lvlJc w:val="left"/>
      <w:pPr>
        <w:ind w:left="360" w:hanging="360"/>
      </w:pPr>
      <w:rPr>
        <w:rFonts w:hint="default"/>
      </w:rPr>
    </w:lvl>
    <w:lvl w:ilvl="1">
      <w:start w:val="5"/>
      <w:numFmt w:val="decimal"/>
      <w:lvlText w:val="%1.%2"/>
      <w:lvlJc w:val="left"/>
      <w:pPr>
        <w:ind w:left="14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4350" w:hanging="108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890" w:hanging="144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430" w:hanging="1800"/>
      </w:pPr>
      <w:rPr>
        <w:rFonts w:hint="default"/>
      </w:rPr>
    </w:lvl>
    <w:lvl w:ilvl="8">
      <w:start w:val="1"/>
      <w:numFmt w:val="decimal"/>
      <w:lvlText w:val="%1.%2.%3.%4.%5.%6.%7.%8.%9"/>
      <w:lvlJc w:val="left"/>
      <w:pPr>
        <w:ind w:left="10520" w:hanging="1800"/>
      </w:pPr>
      <w:rPr>
        <w:rFonts w:hint="default"/>
      </w:rPr>
    </w:lvl>
  </w:abstractNum>
  <w:abstractNum w:abstractNumId="7" w15:restartNumberingAfterBreak="0">
    <w:nsid w:val="17E96C08"/>
    <w:multiLevelType w:val="multilevel"/>
    <w:tmpl w:val="84064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F128AF"/>
    <w:multiLevelType w:val="hybridMultilevel"/>
    <w:tmpl w:val="EC76F0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D73FE"/>
    <w:multiLevelType w:val="hybridMultilevel"/>
    <w:tmpl w:val="BBF6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C60A7A"/>
    <w:multiLevelType w:val="hybridMultilevel"/>
    <w:tmpl w:val="157E0520"/>
    <w:lvl w:ilvl="0" w:tplc="FD24062A">
      <w:start w:val="1"/>
      <w:numFmt w:val="bullet"/>
      <w:lvlText w:val=""/>
      <w:lvlJc w:val="left"/>
      <w:pPr>
        <w:ind w:left="720" w:hanging="360"/>
      </w:pPr>
      <w:rPr>
        <w:rFonts w:ascii="Symbol" w:hAnsi="Symbol" w:hint="default"/>
      </w:rPr>
    </w:lvl>
    <w:lvl w:ilvl="1" w:tplc="E0162E8A">
      <w:start w:val="1"/>
      <w:numFmt w:val="bullet"/>
      <w:lvlText w:val=""/>
      <w:lvlJc w:val="left"/>
      <w:pPr>
        <w:ind w:left="1440" w:hanging="360"/>
      </w:pPr>
      <w:rPr>
        <w:rFonts w:ascii="Symbol" w:hAnsi="Symbol" w:hint="default"/>
      </w:rPr>
    </w:lvl>
    <w:lvl w:ilvl="2" w:tplc="C90EAD38">
      <w:start w:val="1"/>
      <w:numFmt w:val="bullet"/>
      <w:lvlText w:val=""/>
      <w:lvlJc w:val="left"/>
      <w:pPr>
        <w:ind w:left="2160" w:hanging="360"/>
      </w:pPr>
      <w:rPr>
        <w:rFonts w:ascii="Wingdings" w:hAnsi="Wingdings" w:hint="default"/>
      </w:rPr>
    </w:lvl>
    <w:lvl w:ilvl="3" w:tplc="AAAE826C">
      <w:start w:val="1"/>
      <w:numFmt w:val="bullet"/>
      <w:lvlText w:val=""/>
      <w:lvlJc w:val="left"/>
      <w:pPr>
        <w:ind w:left="2880" w:hanging="360"/>
      </w:pPr>
      <w:rPr>
        <w:rFonts w:ascii="Symbol" w:hAnsi="Symbol" w:hint="default"/>
      </w:rPr>
    </w:lvl>
    <w:lvl w:ilvl="4" w:tplc="E41C828E">
      <w:start w:val="1"/>
      <w:numFmt w:val="bullet"/>
      <w:lvlText w:val="o"/>
      <w:lvlJc w:val="left"/>
      <w:pPr>
        <w:ind w:left="3600" w:hanging="360"/>
      </w:pPr>
      <w:rPr>
        <w:rFonts w:ascii="Courier New" w:hAnsi="Courier New" w:hint="default"/>
      </w:rPr>
    </w:lvl>
    <w:lvl w:ilvl="5" w:tplc="E5547CCA">
      <w:start w:val="1"/>
      <w:numFmt w:val="bullet"/>
      <w:lvlText w:val=""/>
      <w:lvlJc w:val="left"/>
      <w:pPr>
        <w:ind w:left="4320" w:hanging="360"/>
      </w:pPr>
      <w:rPr>
        <w:rFonts w:ascii="Wingdings" w:hAnsi="Wingdings" w:hint="default"/>
      </w:rPr>
    </w:lvl>
    <w:lvl w:ilvl="6" w:tplc="F9946C28">
      <w:start w:val="1"/>
      <w:numFmt w:val="bullet"/>
      <w:lvlText w:val=""/>
      <w:lvlJc w:val="left"/>
      <w:pPr>
        <w:ind w:left="5040" w:hanging="360"/>
      </w:pPr>
      <w:rPr>
        <w:rFonts w:ascii="Symbol" w:hAnsi="Symbol" w:hint="default"/>
      </w:rPr>
    </w:lvl>
    <w:lvl w:ilvl="7" w:tplc="D9424AC2">
      <w:start w:val="1"/>
      <w:numFmt w:val="bullet"/>
      <w:lvlText w:val="o"/>
      <w:lvlJc w:val="left"/>
      <w:pPr>
        <w:ind w:left="5760" w:hanging="360"/>
      </w:pPr>
      <w:rPr>
        <w:rFonts w:ascii="Courier New" w:hAnsi="Courier New" w:hint="default"/>
      </w:rPr>
    </w:lvl>
    <w:lvl w:ilvl="8" w:tplc="78EA25C6">
      <w:start w:val="1"/>
      <w:numFmt w:val="bullet"/>
      <w:lvlText w:val=""/>
      <w:lvlJc w:val="left"/>
      <w:pPr>
        <w:ind w:left="6480" w:hanging="360"/>
      </w:pPr>
      <w:rPr>
        <w:rFonts w:ascii="Wingdings" w:hAnsi="Wingdings" w:hint="default"/>
      </w:rPr>
    </w:lvl>
  </w:abstractNum>
  <w:abstractNum w:abstractNumId="11" w15:restartNumberingAfterBreak="0">
    <w:nsid w:val="28A57813"/>
    <w:multiLevelType w:val="hybridMultilevel"/>
    <w:tmpl w:val="6694A328"/>
    <w:lvl w:ilvl="0" w:tplc="B6EC1A88">
      <w:start w:val="1"/>
      <w:numFmt w:val="decimal"/>
      <w:lvlText w:val="%1."/>
      <w:lvlJc w:val="left"/>
      <w:pPr>
        <w:tabs>
          <w:tab w:val="num" w:pos="720"/>
        </w:tabs>
        <w:ind w:left="720" w:hanging="360"/>
      </w:pPr>
    </w:lvl>
    <w:lvl w:ilvl="1" w:tplc="1A1041DC" w:tentative="1">
      <w:start w:val="1"/>
      <w:numFmt w:val="decimal"/>
      <w:lvlText w:val="%2."/>
      <w:lvlJc w:val="left"/>
      <w:pPr>
        <w:tabs>
          <w:tab w:val="num" w:pos="1440"/>
        </w:tabs>
        <w:ind w:left="1440" w:hanging="360"/>
      </w:pPr>
    </w:lvl>
    <w:lvl w:ilvl="2" w:tplc="25F21EC6" w:tentative="1">
      <w:start w:val="1"/>
      <w:numFmt w:val="decimal"/>
      <w:lvlText w:val="%3."/>
      <w:lvlJc w:val="left"/>
      <w:pPr>
        <w:tabs>
          <w:tab w:val="num" w:pos="2160"/>
        </w:tabs>
        <w:ind w:left="2160" w:hanging="360"/>
      </w:pPr>
    </w:lvl>
    <w:lvl w:ilvl="3" w:tplc="D69A8030" w:tentative="1">
      <w:start w:val="1"/>
      <w:numFmt w:val="decimal"/>
      <w:lvlText w:val="%4."/>
      <w:lvlJc w:val="left"/>
      <w:pPr>
        <w:tabs>
          <w:tab w:val="num" w:pos="2880"/>
        </w:tabs>
        <w:ind w:left="2880" w:hanging="360"/>
      </w:pPr>
    </w:lvl>
    <w:lvl w:ilvl="4" w:tplc="120843A8" w:tentative="1">
      <w:start w:val="1"/>
      <w:numFmt w:val="decimal"/>
      <w:lvlText w:val="%5."/>
      <w:lvlJc w:val="left"/>
      <w:pPr>
        <w:tabs>
          <w:tab w:val="num" w:pos="3600"/>
        </w:tabs>
        <w:ind w:left="3600" w:hanging="360"/>
      </w:pPr>
    </w:lvl>
    <w:lvl w:ilvl="5" w:tplc="D5C0C98A" w:tentative="1">
      <w:start w:val="1"/>
      <w:numFmt w:val="decimal"/>
      <w:lvlText w:val="%6."/>
      <w:lvlJc w:val="left"/>
      <w:pPr>
        <w:tabs>
          <w:tab w:val="num" w:pos="4320"/>
        </w:tabs>
        <w:ind w:left="4320" w:hanging="360"/>
      </w:pPr>
    </w:lvl>
    <w:lvl w:ilvl="6" w:tplc="715A1674" w:tentative="1">
      <w:start w:val="1"/>
      <w:numFmt w:val="decimal"/>
      <w:lvlText w:val="%7."/>
      <w:lvlJc w:val="left"/>
      <w:pPr>
        <w:tabs>
          <w:tab w:val="num" w:pos="5040"/>
        </w:tabs>
        <w:ind w:left="5040" w:hanging="360"/>
      </w:pPr>
    </w:lvl>
    <w:lvl w:ilvl="7" w:tplc="A18600DC" w:tentative="1">
      <w:start w:val="1"/>
      <w:numFmt w:val="decimal"/>
      <w:lvlText w:val="%8."/>
      <w:lvlJc w:val="left"/>
      <w:pPr>
        <w:tabs>
          <w:tab w:val="num" w:pos="5760"/>
        </w:tabs>
        <w:ind w:left="5760" w:hanging="360"/>
      </w:pPr>
    </w:lvl>
    <w:lvl w:ilvl="8" w:tplc="408E0680" w:tentative="1">
      <w:start w:val="1"/>
      <w:numFmt w:val="decimal"/>
      <w:lvlText w:val="%9."/>
      <w:lvlJc w:val="left"/>
      <w:pPr>
        <w:tabs>
          <w:tab w:val="num" w:pos="6480"/>
        </w:tabs>
        <w:ind w:left="6480" w:hanging="360"/>
      </w:pPr>
    </w:lvl>
  </w:abstractNum>
  <w:abstractNum w:abstractNumId="12" w15:restartNumberingAfterBreak="0">
    <w:nsid w:val="294D3AE8"/>
    <w:multiLevelType w:val="multilevel"/>
    <w:tmpl w:val="DA02129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2F160906"/>
    <w:multiLevelType w:val="hybridMultilevel"/>
    <w:tmpl w:val="751A0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6716D4"/>
    <w:multiLevelType w:val="multilevel"/>
    <w:tmpl w:val="E83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2A820A2"/>
    <w:multiLevelType w:val="hybridMultilevel"/>
    <w:tmpl w:val="206A07DC"/>
    <w:lvl w:ilvl="0" w:tplc="E7D45E0E">
      <w:start w:val="1"/>
      <w:numFmt w:val="decimal"/>
      <w:lvlText w:val="%1."/>
      <w:lvlJc w:val="left"/>
      <w:pPr>
        <w:tabs>
          <w:tab w:val="num" w:pos="720"/>
        </w:tabs>
        <w:ind w:left="720" w:hanging="360"/>
      </w:pPr>
    </w:lvl>
    <w:lvl w:ilvl="1" w:tplc="A35A50F0" w:tentative="1">
      <w:start w:val="1"/>
      <w:numFmt w:val="decimal"/>
      <w:lvlText w:val="%2."/>
      <w:lvlJc w:val="left"/>
      <w:pPr>
        <w:tabs>
          <w:tab w:val="num" w:pos="1440"/>
        </w:tabs>
        <w:ind w:left="1440" w:hanging="360"/>
      </w:pPr>
    </w:lvl>
    <w:lvl w:ilvl="2" w:tplc="9474CA76" w:tentative="1">
      <w:start w:val="1"/>
      <w:numFmt w:val="decimal"/>
      <w:lvlText w:val="%3."/>
      <w:lvlJc w:val="left"/>
      <w:pPr>
        <w:tabs>
          <w:tab w:val="num" w:pos="2160"/>
        </w:tabs>
        <w:ind w:left="2160" w:hanging="360"/>
      </w:pPr>
    </w:lvl>
    <w:lvl w:ilvl="3" w:tplc="C9A8D7D4" w:tentative="1">
      <w:start w:val="1"/>
      <w:numFmt w:val="decimal"/>
      <w:lvlText w:val="%4."/>
      <w:lvlJc w:val="left"/>
      <w:pPr>
        <w:tabs>
          <w:tab w:val="num" w:pos="2880"/>
        </w:tabs>
        <w:ind w:left="2880" w:hanging="360"/>
      </w:pPr>
    </w:lvl>
    <w:lvl w:ilvl="4" w:tplc="5B342D0A" w:tentative="1">
      <w:start w:val="1"/>
      <w:numFmt w:val="decimal"/>
      <w:lvlText w:val="%5."/>
      <w:lvlJc w:val="left"/>
      <w:pPr>
        <w:tabs>
          <w:tab w:val="num" w:pos="3600"/>
        </w:tabs>
        <w:ind w:left="3600" w:hanging="360"/>
      </w:pPr>
    </w:lvl>
    <w:lvl w:ilvl="5" w:tplc="5A26F354" w:tentative="1">
      <w:start w:val="1"/>
      <w:numFmt w:val="decimal"/>
      <w:lvlText w:val="%6."/>
      <w:lvlJc w:val="left"/>
      <w:pPr>
        <w:tabs>
          <w:tab w:val="num" w:pos="4320"/>
        </w:tabs>
        <w:ind w:left="4320" w:hanging="360"/>
      </w:pPr>
    </w:lvl>
    <w:lvl w:ilvl="6" w:tplc="9586C7B0" w:tentative="1">
      <w:start w:val="1"/>
      <w:numFmt w:val="decimal"/>
      <w:lvlText w:val="%7."/>
      <w:lvlJc w:val="left"/>
      <w:pPr>
        <w:tabs>
          <w:tab w:val="num" w:pos="5040"/>
        </w:tabs>
        <w:ind w:left="5040" w:hanging="360"/>
      </w:pPr>
    </w:lvl>
    <w:lvl w:ilvl="7" w:tplc="597ED028" w:tentative="1">
      <w:start w:val="1"/>
      <w:numFmt w:val="decimal"/>
      <w:lvlText w:val="%8."/>
      <w:lvlJc w:val="left"/>
      <w:pPr>
        <w:tabs>
          <w:tab w:val="num" w:pos="5760"/>
        </w:tabs>
        <w:ind w:left="5760" w:hanging="360"/>
      </w:pPr>
    </w:lvl>
    <w:lvl w:ilvl="8" w:tplc="400A26B2" w:tentative="1">
      <w:start w:val="1"/>
      <w:numFmt w:val="decimal"/>
      <w:lvlText w:val="%9."/>
      <w:lvlJc w:val="left"/>
      <w:pPr>
        <w:tabs>
          <w:tab w:val="num" w:pos="6480"/>
        </w:tabs>
        <w:ind w:left="6480" w:hanging="360"/>
      </w:pPr>
    </w:lvl>
  </w:abstractNum>
  <w:abstractNum w:abstractNumId="16" w15:restartNumberingAfterBreak="0">
    <w:nsid w:val="3481670B"/>
    <w:multiLevelType w:val="multilevel"/>
    <w:tmpl w:val="989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AE81989"/>
    <w:multiLevelType w:val="multilevel"/>
    <w:tmpl w:val="AE94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20735F6"/>
    <w:multiLevelType w:val="multilevel"/>
    <w:tmpl w:val="9A96F9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232D87"/>
    <w:multiLevelType w:val="hybridMultilevel"/>
    <w:tmpl w:val="69C4F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34121B"/>
    <w:multiLevelType w:val="multilevel"/>
    <w:tmpl w:val="705E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A93880"/>
    <w:multiLevelType w:val="hybridMultilevel"/>
    <w:tmpl w:val="733AF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4B84CDE"/>
    <w:multiLevelType w:val="multilevel"/>
    <w:tmpl w:val="2DEC3A9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580C0CEE"/>
    <w:multiLevelType w:val="hybridMultilevel"/>
    <w:tmpl w:val="CC1CF5D0"/>
    <w:lvl w:ilvl="0" w:tplc="DE363C1C">
      <w:start w:val="1"/>
      <w:numFmt w:val="decimal"/>
      <w:lvlText w:val="%1."/>
      <w:lvlJc w:val="left"/>
      <w:pPr>
        <w:ind w:left="720" w:hanging="360"/>
      </w:pPr>
      <w:rPr>
        <w:rFonts w:cstheme="minorBidi" w:hint="default"/>
        <w:i w:val="0"/>
        <w:iCs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6E41F6"/>
    <w:multiLevelType w:val="hybridMultilevel"/>
    <w:tmpl w:val="8AD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154C6C"/>
    <w:multiLevelType w:val="hybridMultilevel"/>
    <w:tmpl w:val="EA5A26DE"/>
    <w:lvl w:ilvl="0" w:tplc="22B043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8137D2E"/>
    <w:multiLevelType w:val="multilevel"/>
    <w:tmpl w:val="5CFA56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3711E3"/>
    <w:multiLevelType w:val="multilevel"/>
    <w:tmpl w:val="EBD2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2100F6E"/>
    <w:multiLevelType w:val="multilevel"/>
    <w:tmpl w:val="7708DFD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740D5850"/>
    <w:multiLevelType w:val="multilevel"/>
    <w:tmpl w:val="5C1408B2"/>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421558C"/>
    <w:multiLevelType w:val="hybridMultilevel"/>
    <w:tmpl w:val="9B64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343EC1"/>
    <w:multiLevelType w:val="hybridMultilevel"/>
    <w:tmpl w:val="C7DE0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80643CC"/>
    <w:multiLevelType w:val="multilevel"/>
    <w:tmpl w:val="7AD0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6D0A06"/>
    <w:multiLevelType w:val="multilevel"/>
    <w:tmpl w:val="8E4C9082"/>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color w:val="000000" w:themeColor="text1"/>
      </w:rPr>
    </w:lvl>
    <w:lvl w:ilvl="2">
      <w:start w:val="1"/>
      <w:numFmt w:val="decimal"/>
      <w:isLgl/>
      <w:lvlText w:val="%1.%2.%3"/>
      <w:lvlJc w:val="left"/>
      <w:pPr>
        <w:ind w:left="1800" w:hanging="720"/>
      </w:pPr>
      <w:rPr>
        <w:rFonts w:hint="default"/>
        <w:color w:val="000000" w:themeColor="text1"/>
      </w:rPr>
    </w:lvl>
    <w:lvl w:ilvl="3">
      <w:start w:val="1"/>
      <w:numFmt w:val="decimal"/>
      <w:isLgl/>
      <w:lvlText w:val="%1.%2.%3.%4"/>
      <w:lvlJc w:val="left"/>
      <w:pPr>
        <w:ind w:left="2160" w:hanging="720"/>
      </w:pPr>
      <w:rPr>
        <w:rFonts w:hint="default"/>
        <w:color w:val="000000" w:themeColor="text1"/>
      </w:rPr>
    </w:lvl>
    <w:lvl w:ilvl="4">
      <w:start w:val="1"/>
      <w:numFmt w:val="decimal"/>
      <w:isLgl/>
      <w:lvlText w:val="%1.%2.%3.%4.%5"/>
      <w:lvlJc w:val="left"/>
      <w:pPr>
        <w:ind w:left="2880" w:hanging="1080"/>
      </w:pPr>
      <w:rPr>
        <w:rFonts w:hint="default"/>
        <w:color w:val="000000" w:themeColor="text1"/>
      </w:rPr>
    </w:lvl>
    <w:lvl w:ilvl="5">
      <w:start w:val="1"/>
      <w:numFmt w:val="decimal"/>
      <w:isLgl/>
      <w:lvlText w:val="%1.%2.%3.%4.%5.%6"/>
      <w:lvlJc w:val="left"/>
      <w:pPr>
        <w:ind w:left="3240" w:hanging="1080"/>
      </w:pPr>
      <w:rPr>
        <w:rFonts w:hint="default"/>
        <w:color w:val="000000" w:themeColor="text1"/>
      </w:rPr>
    </w:lvl>
    <w:lvl w:ilvl="6">
      <w:start w:val="1"/>
      <w:numFmt w:val="decimal"/>
      <w:isLgl/>
      <w:lvlText w:val="%1.%2.%3.%4.%5.%6.%7"/>
      <w:lvlJc w:val="left"/>
      <w:pPr>
        <w:ind w:left="3960" w:hanging="1440"/>
      </w:pPr>
      <w:rPr>
        <w:rFonts w:hint="default"/>
        <w:color w:val="000000" w:themeColor="text1"/>
      </w:rPr>
    </w:lvl>
    <w:lvl w:ilvl="7">
      <w:start w:val="1"/>
      <w:numFmt w:val="decimal"/>
      <w:isLgl/>
      <w:lvlText w:val="%1.%2.%3.%4.%5.%6.%7.%8"/>
      <w:lvlJc w:val="left"/>
      <w:pPr>
        <w:ind w:left="4320" w:hanging="1440"/>
      </w:pPr>
      <w:rPr>
        <w:rFonts w:hint="default"/>
        <w:color w:val="000000" w:themeColor="text1"/>
      </w:rPr>
    </w:lvl>
    <w:lvl w:ilvl="8">
      <w:start w:val="1"/>
      <w:numFmt w:val="decimal"/>
      <w:isLgl/>
      <w:lvlText w:val="%1.%2.%3.%4.%5.%6.%7.%8.%9"/>
      <w:lvlJc w:val="left"/>
      <w:pPr>
        <w:ind w:left="5040" w:hanging="1800"/>
      </w:pPr>
      <w:rPr>
        <w:rFonts w:hint="default"/>
        <w:color w:val="000000" w:themeColor="text1"/>
      </w:rPr>
    </w:lvl>
  </w:abstractNum>
  <w:abstractNum w:abstractNumId="34" w15:restartNumberingAfterBreak="0">
    <w:nsid w:val="7CFF1FFE"/>
    <w:multiLevelType w:val="hybridMultilevel"/>
    <w:tmpl w:val="48183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2F4531"/>
    <w:multiLevelType w:val="multilevel"/>
    <w:tmpl w:val="6C324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10"/>
  </w:num>
  <w:num w:numId="3">
    <w:abstractNumId w:val="4"/>
  </w:num>
  <w:num w:numId="4">
    <w:abstractNumId w:val="0"/>
  </w:num>
  <w:num w:numId="5">
    <w:abstractNumId w:val="24"/>
  </w:num>
  <w:num w:numId="6">
    <w:abstractNumId w:val="2"/>
  </w:num>
  <w:num w:numId="7">
    <w:abstractNumId w:val="12"/>
  </w:num>
  <w:num w:numId="8">
    <w:abstractNumId w:val="16"/>
  </w:num>
  <w:num w:numId="9">
    <w:abstractNumId w:val="17"/>
  </w:num>
  <w:num w:numId="10">
    <w:abstractNumId w:val="14"/>
  </w:num>
  <w:num w:numId="11">
    <w:abstractNumId w:val="30"/>
  </w:num>
  <w:num w:numId="12">
    <w:abstractNumId w:val="27"/>
  </w:num>
  <w:num w:numId="13">
    <w:abstractNumId w:val="6"/>
  </w:num>
  <w:num w:numId="14">
    <w:abstractNumId w:val="25"/>
  </w:num>
  <w:num w:numId="15">
    <w:abstractNumId w:val="5"/>
  </w:num>
  <w:num w:numId="16">
    <w:abstractNumId w:val="21"/>
  </w:num>
  <w:num w:numId="17">
    <w:abstractNumId w:val="9"/>
  </w:num>
  <w:num w:numId="18">
    <w:abstractNumId w:val="19"/>
  </w:num>
  <w:num w:numId="19">
    <w:abstractNumId w:val="11"/>
  </w:num>
  <w:num w:numId="20">
    <w:abstractNumId w:val="15"/>
  </w:num>
  <w:num w:numId="21">
    <w:abstractNumId w:val="23"/>
  </w:num>
  <w:num w:numId="22">
    <w:abstractNumId w:val="35"/>
  </w:num>
  <w:num w:numId="23">
    <w:abstractNumId w:val="32"/>
  </w:num>
  <w:num w:numId="24">
    <w:abstractNumId w:val="20"/>
  </w:num>
  <w:num w:numId="25">
    <w:abstractNumId w:val="7"/>
  </w:num>
  <w:num w:numId="26">
    <w:abstractNumId w:val="18"/>
  </w:num>
  <w:num w:numId="27">
    <w:abstractNumId w:val="26"/>
  </w:num>
  <w:num w:numId="28">
    <w:abstractNumId w:val="8"/>
  </w:num>
  <w:num w:numId="29">
    <w:abstractNumId w:val="34"/>
  </w:num>
  <w:num w:numId="30">
    <w:abstractNumId w:val="13"/>
  </w:num>
  <w:num w:numId="31">
    <w:abstractNumId w:val="33"/>
  </w:num>
  <w:num w:numId="32">
    <w:abstractNumId w:val="22"/>
  </w:num>
  <w:num w:numId="33">
    <w:abstractNumId w:val="3"/>
  </w:num>
  <w:num w:numId="34">
    <w:abstractNumId w:val="31"/>
  </w:num>
  <w:num w:numId="35">
    <w:abstractNumId w:val="29"/>
  </w:num>
  <w:num w:numId="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0B2A"/>
    <w:rsid w:val="00011F3F"/>
    <w:rsid w:val="00013370"/>
    <w:rsid w:val="0001736C"/>
    <w:rsid w:val="000207E9"/>
    <w:rsid w:val="00020870"/>
    <w:rsid w:val="000219F2"/>
    <w:rsid w:val="0002655F"/>
    <w:rsid w:val="00026EA8"/>
    <w:rsid w:val="00031499"/>
    <w:rsid w:val="00032FC4"/>
    <w:rsid w:val="000330E8"/>
    <w:rsid w:val="000340BD"/>
    <w:rsid w:val="000500C2"/>
    <w:rsid w:val="00050D5D"/>
    <w:rsid w:val="00060A48"/>
    <w:rsid w:val="00065F43"/>
    <w:rsid w:val="0008646A"/>
    <w:rsid w:val="00097B61"/>
    <w:rsid w:val="000A4B7A"/>
    <w:rsid w:val="000A6921"/>
    <w:rsid w:val="000B1253"/>
    <w:rsid w:val="000B160A"/>
    <w:rsid w:val="000B61FC"/>
    <w:rsid w:val="000C4E8F"/>
    <w:rsid w:val="000C6399"/>
    <w:rsid w:val="000D0DED"/>
    <w:rsid w:val="000D4BF0"/>
    <w:rsid w:val="000D5318"/>
    <w:rsid w:val="000E1930"/>
    <w:rsid w:val="000F2DB0"/>
    <w:rsid w:val="000F5BB0"/>
    <w:rsid w:val="00104CC3"/>
    <w:rsid w:val="0010600C"/>
    <w:rsid w:val="00107CF4"/>
    <w:rsid w:val="00107D16"/>
    <w:rsid w:val="00107F4D"/>
    <w:rsid w:val="0011587E"/>
    <w:rsid w:val="00115957"/>
    <w:rsid w:val="00116098"/>
    <w:rsid w:val="00117499"/>
    <w:rsid w:val="0012288B"/>
    <w:rsid w:val="00126520"/>
    <w:rsid w:val="00132827"/>
    <w:rsid w:val="00133716"/>
    <w:rsid w:val="0014308E"/>
    <w:rsid w:val="001438BB"/>
    <w:rsid w:val="00153707"/>
    <w:rsid w:val="00153F5D"/>
    <w:rsid w:val="001559D7"/>
    <w:rsid w:val="001609A0"/>
    <w:rsid w:val="001675C2"/>
    <w:rsid w:val="00173721"/>
    <w:rsid w:val="001768D1"/>
    <w:rsid w:val="00180D03"/>
    <w:rsid w:val="00185694"/>
    <w:rsid w:val="00192D4B"/>
    <w:rsid w:val="00194AC7"/>
    <w:rsid w:val="001A4238"/>
    <w:rsid w:val="001B4502"/>
    <w:rsid w:val="001B4DE0"/>
    <w:rsid w:val="001C2408"/>
    <w:rsid w:val="001C7879"/>
    <w:rsid w:val="001D5659"/>
    <w:rsid w:val="001D6BE4"/>
    <w:rsid w:val="001E1473"/>
    <w:rsid w:val="001E267C"/>
    <w:rsid w:val="001F1483"/>
    <w:rsid w:val="0020165E"/>
    <w:rsid w:val="00201C0A"/>
    <w:rsid w:val="00216F25"/>
    <w:rsid w:val="0022106D"/>
    <w:rsid w:val="00226BAE"/>
    <w:rsid w:val="00230353"/>
    <w:rsid w:val="00230458"/>
    <w:rsid w:val="00231DF2"/>
    <w:rsid w:val="00243106"/>
    <w:rsid w:val="00253142"/>
    <w:rsid w:val="00257FE2"/>
    <w:rsid w:val="00262300"/>
    <w:rsid w:val="002708FC"/>
    <w:rsid w:val="00271925"/>
    <w:rsid w:val="002806AE"/>
    <w:rsid w:val="00282414"/>
    <w:rsid w:val="0028412E"/>
    <w:rsid w:val="002856CB"/>
    <w:rsid w:val="002B121E"/>
    <w:rsid w:val="002B22EE"/>
    <w:rsid w:val="002C69EF"/>
    <w:rsid w:val="002D5ACA"/>
    <w:rsid w:val="002D7B33"/>
    <w:rsid w:val="002E6FE8"/>
    <w:rsid w:val="002F1A98"/>
    <w:rsid w:val="00306B9D"/>
    <w:rsid w:val="00307751"/>
    <w:rsid w:val="00307949"/>
    <w:rsid w:val="00310899"/>
    <w:rsid w:val="00317574"/>
    <w:rsid w:val="0034056A"/>
    <w:rsid w:val="00343A0C"/>
    <w:rsid w:val="0034551D"/>
    <w:rsid w:val="0035332F"/>
    <w:rsid w:val="00362F83"/>
    <w:rsid w:val="0036685E"/>
    <w:rsid w:val="0036727C"/>
    <w:rsid w:val="00367809"/>
    <w:rsid w:val="003726C9"/>
    <w:rsid w:val="003726E1"/>
    <w:rsid w:val="003800F5"/>
    <w:rsid w:val="00384EF6"/>
    <w:rsid w:val="00392740"/>
    <w:rsid w:val="00392FEF"/>
    <w:rsid w:val="003B7F86"/>
    <w:rsid w:val="003C54E6"/>
    <w:rsid w:val="003C58EC"/>
    <w:rsid w:val="003C5970"/>
    <w:rsid w:val="003C6E04"/>
    <w:rsid w:val="003D329E"/>
    <w:rsid w:val="003E6421"/>
    <w:rsid w:val="003E719E"/>
    <w:rsid w:val="003E7B0E"/>
    <w:rsid w:val="003F01B0"/>
    <w:rsid w:val="003F0645"/>
    <w:rsid w:val="003F2841"/>
    <w:rsid w:val="003F5F96"/>
    <w:rsid w:val="003F65D5"/>
    <w:rsid w:val="003F701B"/>
    <w:rsid w:val="0040091A"/>
    <w:rsid w:val="00402481"/>
    <w:rsid w:val="00404CE3"/>
    <w:rsid w:val="004111AB"/>
    <w:rsid w:val="0041478E"/>
    <w:rsid w:val="00416F39"/>
    <w:rsid w:val="00420F79"/>
    <w:rsid w:val="00426862"/>
    <w:rsid w:val="00431B2A"/>
    <w:rsid w:val="004342AC"/>
    <w:rsid w:val="00435158"/>
    <w:rsid w:val="0043780F"/>
    <w:rsid w:val="00452213"/>
    <w:rsid w:val="004535BE"/>
    <w:rsid w:val="00460A6D"/>
    <w:rsid w:val="00460C20"/>
    <w:rsid w:val="00460DC8"/>
    <w:rsid w:val="00466872"/>
    <w:rsid w:val="004676BB"/>
    <w:rsid w:val="00470194"/>
    <w:rsid w:val="004729B7"/>
    <w:rsid w:val="00474149"/>
    <w:rsid w:val="00475F63"/>
    <w:rsid w:val="0048115B"/>
    <w:rsid w:val="0048688B"/>
    <w:rsid w:val="00491412"/>
    <w:rsid w:val="0049723B"/>
    <w:rsid w:val="004A0AA7"/>
    <w:rsid w:val="004A2082"/>
    <w:rsid w:val="004A399E"/>
    <w:rsid w:val="004A43C9"/>
    <w:rsid w:val="004B5865"/>
    <w:rsid w:val="004C0F23"/>
    <w:rsid w:val="004C699A"/>
    <w:rsid w:val="004C7795"/>
    <w:rsid w:val="004D1491"/>
    <w:rsid w:val="004E6889"/>
    <w:rsid w:val="004F462A"/>
    <w:rsid w:val="004F6C36"/>
    <w:rsid w:val="00504BD9"/>
    <w:rsid w:val="0050790A"/>
    <w:rsid w:val="005167CD"/>
    <w:rsid w:val="00531327"/>
    <w:rsid w:val="00533FCF"/>
    <w:rsid w:val="00542089"/>
    <w:rsid w:val="00555665"/>
    <w:rsid w:val="00555890"/>
    <w:rsid w:val="00555C63"/>
    <w:rsid w:val="00555FAE"/>
    <w:rsid w:val="0055617A"/>
    <w:rsid w:val="00556619"/>
    <w:rsid w:val="0055668B"/>
    <w:rsid w:val="00560F55"/>
    <w:rsid w:val="005615A6"/>
    <w:rsid w:val="00582705"/>
    <w:rsid w:val="00594554"/>
    <w:rsid w:val="00596F29"/>
    <w:rsid w:val="00597744"/>
    <w:rsid w:val="005A2F4D"/>
    <w:rsid w:val="005A4F8A"/>
    <w:rsid w:val="005A6E1E"/>
    <w:rsid w:val="005A7862"/>
    <w:rsid w:val="005B5EEC"/>
    <w:rsid w:val="005B64B9"/>
    <w:rsid w:val="005B6ECE"/>
    <w:rsid w:val="005C27C2"/>
    <w:rsid w:val="005C27CC"/>
    <w:rsid w:val="005D6F31"/>
    <w:rsid w:val="005E34F8"/>
    <w:rsid w:val="00601E4F"/>
    <w:rsid w:val="0060599E"/>
    <w:rsid w:val="006071CD"/>
    <w:rsid w:val="006107B1"/>
    <w:rsid w:val="00611AAE"/>
    <w:rsid w:val="00611D07"/>
    <w:rsid w:val="006128AF"/>
    <w:rsid w:val="00613081"/>
    <w:rsid w:val="006133F5"/>
    <w:rsid w:val="00633307"/>
    <w:rsid w:val="006378A5"/>
    <w:rsid w:val="0064572C"/>
    <w:rsid w:val="0064586F"/>
    <w:rsid w:val="00647916"/>
    <w:rsid w:val="0065468E"/>
    <w:rsid w:val="00654984"/>
    <w:rsid w:val="0065581F"/>
    <w:rsid w:val="00661593"/>
    <w:rsid w:val="00667152"/>
    <w:rsid w:val="00667169"/>
    <w:rsid w:val="00676E16"/>
    <w:rsid w:val="00677EE8"/>
    <w:rsid w:val="006827E5"/>
    <w:rsid w:val="00683773"/>
    <w:rsid w:val="00685CC4"/>
    <w:rsid w:val="0069104D"/>
    <w:rsid w:val="00691F2F"/>
    <w:rsid w:val="00695342"/>
    <w:rsid w:val="0069704C"/>
    <w:rsid w:val="006A2552"/>
    <w:rsid w:val="006A7C06"/>
    <w:rsid w:val="006B107E"/>
    <w:rsid w:val="006C07B5"/>
    <w:rsid w:val="006D2973"/>
    <w:rsid w:val="006D4549"/>
    <w:rsid w:val="006D7105"/>
    <w:rsid w:val="006E3C61"/>
    <w:rsid w:val="006E55CF"/>
    <w:rsid w:val="006E6208"/>
    <w:rsid w:val="00700763"/>
    <w:rsid w:val="00710FC6"/>
    <w:rsid w:val="00711C5F"/>
    <w:rsid w:val="00715205"/>
    <w:rsid w:val="00716C8E"/>
    <w:rsid w:val="00717BAE"/>
    <w:rsid w:val="00723011"/>
    <w:rsid w:val="00724A9B"/>
    <w:rsid w:val="00744763"/>
    <w:rsid w:val="00746CB3"/>
    <w:rsid w:val="00753D24"/>
    <w:rsid w:val="00756C62"/>
    <w:rsid w:val="00764C56"/>
    <w:rsid w:val="007658E7"/>
    <w:rsid w:val="00767266"/>
    <w:rsid w:val="0076766E"/>
    <w:rsid w:val="00770EFD"/>
    <w:rsid w:val="00780D5C"/>
    <w:rsid w:val="007821AE"/>
    <w:rsid w:val="007846F1"/>
    <w:rsid w:val="00785C79"/>
    <w:rsid w:val="007906E8"/>
    <w:rsid w:val="0079244F"/>
    <w:rsid w:val="00793502"/>
    <w:rsid w:val="007A676F"/>
    <w:rsid w:val="007B2E88"/>
    <w:rsid w:val="007B44F4"/>
    <w:rsid w:val="007B620D"/>
    <w:rsid w:val="007C0146"/>
    <w:rsid w:val="007C4170"/>
    <w:rsid w:val="007D6C87"/>
    <w:rsid w:val="007E1C9F"/>
    <w:rsid w:val="007F6A4A"/>
    <w:rsid w:val="00800FF0"/>
    <w:rsid w:val="008064AE"/>
    <w:rsid w:val="00810278"/>
    <w:rsid w:val="00813B25"/>
    <w:rsid w:val="0082472A"/>
    <w:rsid w:val="0082523B"/>
    <w:rsid w:val="00831F77"/>
    <w:rsid w:val="00833325"/>
    <w:rsid w:val="008364E7"/>
    <w:rsid w:val="0084204F"/>
    <w:rsid w:val="008548E2"/>
    <w:rsid w:val="00855D0F"/>
    <w:rsid w:val="0086401D"/>
    <w:rsid w:val="008641D0"/>
    <w:rsid w:val="00864C8A"/>
    <w:rsid w:val="00867874"/>
    <w:rsid w:val="0087005B"/>
    <w:rsid w:val="00870232"/>
    <w:rsid w:val="00871F3C"/>
    <w:rsid w:val="0087338F"/>
    <w:rsid w:val="00876458"/>
    <w:rsid w:val="00877048"/>
    <w:rsid w:val="00885824"/>
    <w:rsid w:val="00885E60"/>
    <w:rsid w:val="008868E6"/>
    <w:rsid w:val="008941D2"/>
    <w:rsid w:val="008A6B62"/>
    <w:rsid w:val="008B0DFB"/>
    <w:rsid w:val="008B1B91"/>
    <w:rsid w:val="008B1BEC"/>
    <w:rsid w:val="008B3FB5"/>
    <w:rsid w:val="008D2FD0"/>
    <w:rsid w:val="008D6EE7"/>
    <w:rsid w:val="008E554C"/>
    <w:rsid w:val="008F0010"/>
    <w:rsid w:val="008F08C5"/>
    <w:rsid w:val="008F0D93"/>
    <w:rsid w:val="008F2B65"/>
    <w:rsid w:val="008F4795"/>
    <w:rsid w:val="008F62D5"/>
    <w:rsid w:val="008F674A"/>
    <w:rsid w:val="008F6BBD"/>
    <w:rsid w:val="00901B91"/>
    <w:rsid w:val="00901C15"/>
    <w:rsid w:val="009104B8"/>
    <w:rsid w:val="009140DF"/>
    <w:rsid w:val="00925965"/>
    <w:rsid w:val="00926851"/>
    <w:rsid w:val="009348DC"/>
    <w:rsid w:val="009365D0"/>
    <w:rsid w:val="009416C3"/>
    <w:rsid w:val="009442C6"/>
    <w:rsid w:val="0094573F"/>
    <w:rsid w:val="009524E6"/>
    <w:rsid w:val="00953071"/>
    <w:rsid w:val="0095636B"/>
    <w:rsid w:val="00962B40"/>
    <w:rsid w:val="0097087D"/>
    <w:rsid w:val="009735CA"/>
    <w:rsid w:val="00973683"/>
    <w:rsid w:val="00973865"/>
    <w:rsid w:val="00974956"/>
    <w:rsid w:val="00974DA5"/>
    <w:rsid w:val="0097779A"/>
    <w:rsid w:val="00983AC8"/>
    <w:rsid w:val="009849E1"/>
    <w:rsid w:val="009868C5"/>
    <w:rsid w:val="009916EA"/>
    <w:rsid w:val="00995D74"/>
    <w:rsid w:val="009B28DE"/>
    <w:rsid w:val="009C0DBB"/>
    <w:rsid w:val="009C22F5"/>
    <w:rsid w:val="009D10BB"/>
    <w:rsid w:val="009D285F"/>
    <w:rsid w:val="009D61A1"/>
    <w:rsid w:val="009D737E"/>
    <w:rsid w:val="009E5434"/>
    <w:rsid w:val="009F0475"/>
    <w:rsid w:val="009F0671"/>
    <w:rsid w:val="009F2719"/>
    <w:rsid w:val="009F2884"/>
    <w:rsid w:val="009F3209"/>
    <w:rsid w:val="009F3B67"/>
    <w:rsid w:val="009F6116"/>
    <w:rsid w:val="00A06628"/>
    <w:rsid w:val="00A14E3E"/>
    <w:rsid w:val="00A23EEE"/>
    <w:rsid w:val="00A26DE6"/>
    <w:rsid w:val="00A270EE"/>
    <w:rsid w:val="00A30C04"/>
    <w:rsid w:val="00A453FA"/>
    <w:rsid w:val="00A477C2"/>
    <w:rsid w:val="00A60769"/>
    <w:rsid w:val="00A62499"/>
    <w:rsid w:val="00A65C90"/>
    <w:rsid w:val="00A75073"/>
    <w:rsid w:val="00A77ECA"/>
    <w:rsid w:val="00A82EC5"/>
    <w:rsid w:val="00A8515A"/>
    <w:rsid w:val="00A87963"/>
    <w:rsid w:val="00A91F67"/>
    <w:rsid w:val="00A9315A"/>
    <w:rsid w:val="00AA03F7"/>
    <w:rsid w:val="00AA3726"/>
    <w:rsid w:val="00AA4C83"/>
    <w:rsid w:val="00AA4D52"/>
    <w:rsid w:val="00AB4283"/>
    <w:rsid w:val="00AB63D9"/>
    <w:rsid w:val="00AB6E6B"/>
    <w:rsid w:val="00AB7979"/>
    <w:rsid w:val="00AC23CF"/>
    <w:rsid w:val="00AC7598"/>
    <w:rsid w:val="00AD2F7B"/>
    <w:rsid w:val="00AE1303"/>
    <w:rsid w:val="00AE3594"/>
    <w:rsid w:val="00AE63AA"/>
    <w:rsid w:val="00AE6810"/>
    <w:rsid w:val="00AE6BDE"/>
    <w:rsid w:val="00AF30C4"/>
    <w:rsid w:val="00AF40B5"/>
    <w:rsid w:val="00B03068"/>
    <w:rsid w:val="00B12CDF"/>
    <w:rsid w:val="00B13488"/>
    <w:rsid w:val="00B163C1"/>
    <w:rsid w:val="00B16797"/>
    <w:rsid w:val="00B20ABB"/>
    <w:rsid w:val="00B2244A"/>
    <w:rsid w:val="00B24099"/>
    <w:rsid w:val="00B25373"/>
    <w:rsid w:val="00B26081"/>
    <w:rsid w:val="00B3120E"/>
    <w:rsid w:val="00B31CB4"/>
    <w:rsid w:val="00B36ADE"/>
    <w:rsid w:val="00B472F3"/>
    <w:rsid w:val="00B47777"/>
    <w:rsid w:val="00B64B1E"/>
    <w:rsid w:val="00B65F4E"/>
    <w:rsid w:val="00B66314"/>
    <w:rsid w:val="00B70DD8"/>
    <w:rsid w:val="00B769D8"/>
    <w:rsid w:val="00B7780D"/>
    <w:rsid w:val="00B8629E"/>
    <w:rsid w:val="00B86661"/>
    <w:rsid w:val="00B870D3"/>
    <w:rsid w:val="00B879B2"/>
    <w:rsid w:val="00B911F8"/>
    <w:rsid w:val="00B94685"/>
    <w:rsid w:val="00BA39CA"/>
    <w:rsid w:val="00BB5124"/>
    <w:rsid w:val="00BB536C"/>
    <w:rsid w:val="00BB6CA9"/>
    <w:rsid w:val="00BC7953"/>
    <w:rsid w:val="00BD1751"/>
    <w:rsid w:val="00BD7A9F"/>
    <w:rsid w:val="00BE3944"/>
    <w:rsid w:val="00BF23F0"/>
    <w:rsid w:val="00BF2C22"/>
    <w:rsid w:val="00C00B06"/>
    <w:rsid w:val="00C04291"/>
    <w:rsid w:val="00C05E71"/>
    <w:rsid w:val="00C07487"/>
    <w:rsid w:val="00C13F70"/>
    <w:rsid w:val="00C14836"/>
    <w:rsid w:val="00C152AA"/>
    <w:rsid w:val="00C173AD"/>
    <w:rsid w:val="00C21534"/>
    <w:rsid w:val="00C23A79"/>
    <w:rsid w:val="00C2776C"/>
    <w:rsid w:val="00C315D9"/>
    <w:rsid w:val="00C36101"/>
    <w:rsid w:val="00C40626"/>
    <w:rsid w:val="00C433B6"/>
    <w:rsid w:val="00C466B0"/>
    <w:rsid w:val="00C47575"/>
    <w:rsid w:val="00C52EAE"/>
    <w:rsid w:val="00C6322B"/>
    <w:rsid w:val="00C70956"/>
    <w:rsid w:val="00C752BB"/>
    <w:rsid w:val="00C75BAF"/>
    <w:rsid w:val="00C8000A"/>
    <w:rsid w:val="00C8196E"/>
    <w:rsid w:val="00C85BB1"/>
    <w:rsid w:val="00C86520"/>
    <w:rsid w:val="00C974E9"/>
    <w:rsid w:val="00CA6A3B"/>
    <w:rsid w:val="00CB40B2"/>
    <w:rsid w:val="00CB6E47"/>
    <w:rsid w:val="00CC43B1"/>
    <w:rsid w:val="00CC57CE"/>
    <w:rsid w:val="00CD3A72"/>
    <w:rsid w:val="00CD4A12"/>
    <w:rsid w:val="00CD551F"/>
    <w:rsid w:val="00CD7520"/>
    <w:rsid w:val="00CE43CB"/>
    <w:rsid w:val="00CF1C3B"/>
    <w:rsid w:val="00CF1F68"/>
    <w:rsid w:val="00CF25C0"/>
    <w:rsid w:val="00CF31F6"/>
    <w:rsid w:val="00D04EC7"/>
    <w:rsid w:val="00D07142"/>
    <w:rsid w:val="00D11AAC"/>
    <w:rsid w:val="00D1600B"/>
    <w:rsid w:val="00D160B6"/>
    <w:rsid w:val="00D167C7"/>
    <w:rsid w:val="00D1685F"/>
    <w:rsid w:val="00D22EB9"/>
    <w:rsid w:val="00D30350"/>
    <w:rsid w:val="00D32B26"/>
    <w:rsid w:val="00D340B7"/>
    <w:rsid w:val="00D377B0"/>
    <w:rsid w:val="00D37AE7"/>
    <w:rsid w:val="00D407BC"/>
    <w:rsid w:val="00D41112"/>
    <w:rsid w:val="00D4154C"/>
    <w:rsid w:val="00D445D9"/>
    <w:rsid w:val="00D44DD3"/>
    <w:rsid w:val="00D5235F"/>
    <w:rsid w:val="00D524F2"/>
    <w:rsid w:val="00D576EA"/>
    <w:rsid w:val="00D63D07"/>
    <w:rsid w:val="00D63F71"/>
    <w:rsid w:val="00D721E1"/>
    <w:rsid w:val="00D86284"/>
    <w:rsid w:val="00D90BA3"/>
    <w:rsid w:val="00D91616"/>
    <w:rsid w:val="00D93E22"/>
    <w:rsid w:val="00D948AE"/>
    <w:rsid w:val="00D971B3"/>
    <w:rsid w:val="00DA5CDC"/>
    <w:rsid w:val="00DA5DC7"/>
    <w:rsid w:val="00DB601E"/>
    <w:rsid w:val="00DC45C2"/>
    <w:rsid w:val="00DD03EF"/>
    <w:rsid w:val="00DD1C25"/>
    <w:rsid w:val="00DD7325"/>
    <w:rsid w:val="00DD74CE"/>
    <w:rsid w:val="00DE3293"/>
    <w:rsid w:val="00DE574F"/>
    <w:rsid w:val="00DF197C"/>
    <w:rsid w:val="00DF25C3"/>
    <w:rsid w:val="00DF3F2F"/>
    <w:rsid w:val="00DF607F"/>
    <w:rsid w:val="00DF615F"/>
    <w:rsid w:val="00E0003C"/>
    <w:rsid w:val="00E03A4F"/>
    <w:rsid w:val="00E12080"/>
    <w:rsid w:val="00E168E4"/>
    <w:rsid w:val="00E175BE"/>
    <w:rsid w:val="00E2719F"/>
    <w:rsid w:val="00E3196E"/>
    <w:rsid w:val="00E33285"/>
    <w:rsid w:val="00E3521E"/>
    <w:rsid w:val="00E36A68"/>
    <w:rsid w:val="00E434D0"/>
    <w:rsid w:val="00E50C0D"/>
    <w:rsid w:val="00E50CA9"/>
    <w:rsid w:val="00E60944"/>
    <w:rsid w:val="00E651B5"/>
    <w:rsid w:val="00E679E1"/>
    <w:rsid w:val="00E710C1"/>
    <w:rsid w:val="00E72FDB"/>
    <w:rsid w:val="00E82652"/>
    <w:rsid w:val="00E8353D"/>
    <w:rsid w:val="00E910C2"/>
    <w:rsid w:val="00E9149E"/>
    <w:rsid w:val="00EA1F70"/>
    <w:rsid w:val="00EA286F"/>
    <w:rsid w:val="00EA578E"/>
    <w:rsid w:val="00EA5E18"/>
    <w:rsid w:val="00EA72D7"/>
    <w:rsid w:val="00EB1A1E"/>
    <w:rsid w:val="00EB4157"/>
    <w:rsid w:val="00EB6BD9"/>
    <w:rsid w:val="00EC24F9"/>
    <w:rsid w:val="00EC5E2C"/>
    <w:rsid w:val="00ED76EC"/>
    <w:rsid w:val="00EE31F4"/>
    <w:rsid w:val="00EE3895"/>
    <w:rsid w:val="00EE4934"/>
    <w:rsid w:val="00EE6A55"/>
    <w:rsid w:val="00EE6FFE"/>
    <w:rsid w:val="00EF254A"/>
    <w:rsid w:val="00EF2F3C"/>
    <w:rsid w:val="00EF455E"/>
    <w:rsid w:val="00EF498B"/>
    <w:rsid w:val="00EF4D45"/>
    <w:rsid w:val="00F015F8"/>
    <w:rsid w:val="00F04F2D"/>
    <w:rsid w:val="00F056C4"/>
    <w:rsid w:val="00F12C8E"/>
    <w:rsid w:val="00F13B33"/>
    <w:rsid w:val="00F144D6"/>
    <w:rsid w:val="00F20AD3"/>
    <w:rsid w:val="00F3430C"/>
    <w:rsid w:val="00F4081A"/>
    <w:rsid w:val="00F41D13"/>
    <w:rsid w:val="00F42962"/>
    <w:rsid w:val="00F44656"/>
    <w:rsid w:val="00F4586D"/>
    <w:rsid w:val="00F45D28"/>
    <w:rsid w:val="00F4785E"/>
    <w:rsid w:val="00F47E21"/>
    <w:rsid w:val="00F5346E"/>
    <w:rsid w:val="00F633B9"/>
    <w:rsid w:val="00F64C57"/>
    <w:rsid w:val="00F6792E"/>
    <w:rsid w:val="00F73B3F"/>
    <w:rsid w:val="00F75099"/>
    <w:rsid w:val="00F94451"/>
    <w:rsid w:val="00F97281"/>
    <w:rsid w:val="00FA0B02"/>
    <w:rsid w:val="00FA2DE5"/>
    <w:rsid w:val="00FA32F8"/>
    <w:rsid w:val="00FB2921"/>
    <w:rsid w:val="00FB6AEC"/>
    <w:rsid w:val="00FC0AB4"/>
    <w:rsid w:val="00FC32F4"/>
    <w:rsid w:val="00FC42C4"/>
    <w:rsid w:val="00FC6442"/>
    <w:rsid w:val="00FDBB01"/>
    <w:rsid w:val="00FE086B"/>
    <w:rsid w:val="00FE1D96"/>
    <w:rsid w:val="00FE277C"/>
    <w:rsid w:val="00FE3F62"/>
    <w:rsid w:val="00FE7DF6"/>
    <w:rsid w:val="00FF0F42"/>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370"/>
    <w:pPr>
      <w:spacing w:after="0" w:line="240" w:lineRule="auto"/>
    </w:pPr>
    <w:rPr>
      <w:rFonts w:eastAsia="Times New Roman" w:cs="Times New Roman"/>
      <w:szCs w:val="24"/>
      <w:lang w:val="en-GB" w:eastAsia="en-GB"/>
    </w:rPr>
  </w:style>
  <w:style w:type="paragraph" w:styleId="Heading1">
    <w:name w:val="heading 1"/>
    <w:basedOn w:val="Normal"/>
    <w:next w:val="Normal"/>
    <w:link w:val="Heading1Char"/>
    <w:uiPriority w:val="9"/>
    <w:qFormat/>
    <w:rsid w:val="00D160B6"/>
    <w:pPr>
      <w:keepNext/>
      <w:keepLines/>
      <w:spacing w:before="24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p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pPr>
  </w:style>
  <w:style w:type="paragraph" w:styleId="HTMLPreformatted">
    <w:name w:val="HTML Preformatted"/>
    <w:basedOn w:val="Normal"/>
    <w:link w:val="HTMLPreformattedChar"/>
    <w:uiPriority w:val="99"/>
    <w:semiHidden/>
    <w:unhideWhenUsed/>
    <w:rsid w:val="00E17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175BE"/>
    <w:rPr>
      <w:rFonts w:ascii="Courier New" w:eastAsia="Times New Roman" w:hAnsi="Courier New" w:cs="Courier New"/>
      <w:sz w:val="20"/>
      <w:szCs w:val="20"/>
      <w:lang w:val="en-GB" w:eastAsia="en-GB"/>
    </w:rPr>
  </w:style>
  <w:style w:type="character" w:customStyle="1" w:styleId="y2iqfc">
    <w:name w:val="y2iqfc"/>
    <w:basedOn w:val="DefaultParagraphFont"/>
    <w:rsid w:val="00E175BE"/>
  </w:style>
  <w:style w:type="paragraph" w:customStyle="1" w:styleId="nova-legacy-e-listitem">
    <w:name w:val="nova-legacy-e-list__item"/>
    <w:basedOn w:val="Normal"/>
    <w:rsid w:val="00CB6E47"/>
    <w:pPr>
      <w:spacing w:before="100" w:beforeAutospacing="1" w:after="100" w:afterAutospacing="1"/>
    </w:pPr>
  </w:style>
  <w:style w:type="character" w:styleId="Emphasis">
    <w:name w:val="Emphasis"/>
    <w:basedOn w:val="DefaultParagraphFont"/>
    <w:uiPriority w:val="20"/>
    <w:qFormat/>
    <w:rsid w:val="00A23EEE"/>
    <w:rPr>
      <w:i/>
      <w:iCs/>
    </w:rPr>
  </w:style>
  <w:style w:type="paragraph" w:styleId="Subtitle">
    <w:name w:val="Subtitle"/>
    <w:basedOn w:val="Normal"/>
    <w:next w:val="Normal"/>
    <w:link w:val="SubtitleChar"/>
    <w:uiPriority w:val="11"/>
    <w:qFormat/>
    <w:rsid w:val="006457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4572C"/>
    <w:rPr>
      <w:rFonts w:asciiTheme="minorHAnsi" w:eastAsiaTheme="minorEastAsia" w:hAnsiTheme="minorHAnsi"/>
      <w:color w:val="5A5A5A" w:themeColor="text1" w:themeTint="A5"/>
      <w:spacing w:val="15"/>
      <w:sz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8605">
      <w:bodyDiv w:val="1"/>
      <w:marLeft w:val="0"/>
      <w:marRight w:val="0"/>
      <w:marTop w:val="0"/>
      <w:marBottom w:val="0"/>
      <w:divBdr>
        <w:top w:val="none" w:sz="0" w:space="0" w:color="auto"/>
        <w:left w:val="none" w:sz="0" w:space="0" w:color="auto"/>
        <w:bottom w:val="none" w:sz="0" w:space="0" w:color="auto"/>
        <w:right w:val="none" w:sz="0" w:space="0" w:color="auto"/>
      </w:divBdr>
    </w:div>
    <w:div w:id="33779049">
      <w:bodyDiv w:val="1"/>
      <w:marLeft w:val="0"/>
      <w:marRight w:val="0"/>
      <w:marTop w:val="0"/>
      <w:marBottom w:val="0"/>
      <w:divBdr>
        <w:top w:val="none" w:sz="0" w:space="0" w:color="auto"/>
        <w:left w:val="none" w:sz="0" w:space="0" w:color="auto"/>
        <w:bottom w:val="none" w:sz="0" w:space="0" w:color="auto"/>
        <w:right w:val="none" w:sz="0" w:space="0" w:color="auto"/>
      </w:divBdr>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96870289">
      <w:bodyDiv w:val="1"/>
      <w:marLeft w:val="0"/>
      <w:marRight w:val="0"/>
      <w:marTop w:val="0"/>
      <w:marBottom w:val="0"/>
      <w:divBdr>
        <w:top w:val="none" w:sz="0" w:space="0" w:color="auto"/>
        <w:left w:val="none" w:sz="0" w:space="0" w:color="auto"/>
        <w:bottom w:val="none" w:sz="0" w:space="0" w:color="auto"/>
        <w:right w:val="none" w:sz="0" w:space="0" w:color="auto"/>
      </w:divBdr>
    </w:div>
    <w:div w:id="131366397">
      <w:bodyDiv w:val="1"/>
      <w:marLeft w:val="0"/>
      <w:marRight w:val="0"/>
      <w:marTop w:val="0"/>
      <w:marBottom w:val="0"/>
      <w:divBdr>
        <w:top w:val="none" w:sz="0" w:space="0" w:color="auto"/>
        <w:left w:val="none" w:sz="0" w:space="0" w:color="auto"/>
        <w:bottom w:val="none" w:sz="0" w:space="0" w:color="auto"/>
        <w:right w:val="none" w:sz="0" w:space="0" w:color="auto"/>
      </w:divBdr>
    </w:div>
    <w:div w:id="142890819">
      <w:bodyDiv w:val="1"/>
      <w:marLeft w:val="0"/>
      <w:marRight w:val="0"/>
      <w:marTop w:val="0"/>
      <w:marBottom w:val="0"/>
      <w:divBdr>
        <w:top w:val="none" w:sz="0" w:space="0" w:color="auto"/>
        <w:left w:val="none" w:sz="0" w:space="0" w:color="auto"/>
        <w:bottom w:val="none" w:sz="0" w:space="0" w:color="auto"/>
        <w:right w:val="none" w:sz="0" w:space="0" w:color="auto"/>
      </w:divBdr>
    </w:div>
    <w:div w:id="184171413">
      <w:bodyDiv w:val="1"/>
      <w:marLeft w:val="0"/>
      <w:marRight w:val="0"/>
      <w:marTop w:val="0"/>
      <w:marBottom w:val="0"/>
      <w:divBdr>
        <w:top w:val="none" w:sz="0" w:space="0" w:color="auto"/>
        <w:left w:val="none" w:sz="0" w:space="0" w:color="auto"/>
        <w:bottom w:val="none" w:sz="0" w:space="0" w:color="auto"/>
        <w:right w:val="none" w:sz="0" w:space="0" w:color="auto"/>
      </w:divBdr>
      <w:divsChild>
        <w:div w:id="1675450053">
          <w:marLeft w:val="806"/>
          <w:marRight w:val="0"/>
          <w:marTop w:val="115"/>
          <w:marBottom w:val="0"/>
          <w:divBdr>
            <w:top w:val="none" w:sz="0" w:space="0" w:color="auto"/>
            <w:left w:val="none" w:sz="0" w:space="0" w:color="auto"/>
            <w:bottom w:val="none" w:sz="0" w:space="0" w:color="auto"/>
            <w:right w:val="none" w:sz="0" w:space="0" w:color="auto"/>
          </w:divBdr>
        </w:div>
        <w:div w:id="928200795">
          <w:marLeft w:val="806"/>
          <w:marRight w:val="0"/>
          <w:marTop w:val="115"/>
          <w:marBottom w:val="0"/>
          <w:divBdr>
            <w:top w:val="none" w:sz="0" w:space="0" w:color="auto"/>
            <w:left w:val="none" w:sz="0" w:space="0" w:color="auto"/>
            <w:bottom w:val="none" w:sz="0" w:space="0" w:color="auto"/>
            <w:right w:val="none" w:sz="0" w:space="0" w:color="auto"/>
          </w:divBdr>
        </w:div>
        <w:div w:id="1457721324">
          <w:marLeft w:val="806"/>
          <w:marRight w:val="0"/>
          <w:marTop w:val="115"/>
          <w:marBottom w:val="0"/>
          <w:divBdr>
            <w:top w:val="none" w:sz="0" w:space="0" w:color="auto"/>
            <w:left w:val="none" w:sz="0" w:space="0" w:color="auto"/>
            <w:bottom w:val="none" w:sz="0" w:space="0" w:color="auto"/>
            <w:right w:val="none" w:sz="0" w:space="0" w:color="auto"/>
          </w:divBdr>
        </w:div>
        <w:div w:id="922645599">
          <w:marLeft w:val="806"/>
          <w:marRight w:val="0"/>
          <w:marTop w:val="115"/>
          <w:marBottom w:val="0"/>
          <w:divBdr>
            <w:top w:val="none" w:sz="0" w:space="0" w:color="auto"/>
            <w:left w:val="none" w:sz="0" w:space="0" w:color="auto"/>
            <w:bottom w:val="none" w:sz="0" w:space="0" w:color="auto"/>
            <w:right w:val="none" w:sz="0" w:space="0" w:color="auto"/>
          </w:divBdr>
        </w:div>
      </w:divsChild>
    </w:div>
    <w:div w:id="186143933">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318117275">
      <w:bodyDiv w:val="1"/>
      <w:marLeft w:val="0"/>
      <w:marRight w:val="0"/>
      <w:marTop w:val="0"/>
      <w:marBottom w:val="0"/>
      <w:divBdr>
        <w:top w:val="none" w:sz="0" w:space="0" w:color="auto"/>
        <w:left w:val="none" w:sz="0" w:space="0" w:color="auto"/>
        <w:bottom w:val="none" w:sz="0" w:space="0" w:color="auto"/>
        <w:right w:val="none" w:sz="0" w:space="0" w:color="auto"/>
      </w:divBdr>
    </w:div>
    <w:div w:id="372656771">
      <w:bodyDiv w:val="1"/>
      <w:marLeft w:val="0"/>
      <w:marRight w:val="0"/>
      <w:marTop w:val="0"/>
      <w:marBottom w:val="0"/>
      <w:divBdr>
        <w:top w:val="none" w:sz="0" w:space="0" w:color="auto"/>
        <w:left w:val="none" w:sz="0" w:space="0" w:color="auto"/>
        <w:bottom w:val="none" w:sz="0" w:space="0" w:color="auto"/>
        <w:right w:val="none" w:sz="0" w:space="0" w:color="auto"/>
      </w:divBdr>
    </w:div>
    <w:div w:id="526217452">
      <w:bodyDiv w:val="1"/>
      <w:marLeft w:val="0"/>
      <w:marRight w:val="0"/>
      <w:marTop w:val="0"/>
      <w:marBottom w:val="0"/>
      <w:divBdr>
        <w:top w:val="none" w:sz="0" w:space="0" w:color="auto"/>
        <w:left w:val="none" w:sz="0" w:space="0" w:color="auto"/>
        <w:bottom w:val="none" w:sz="0" w:space="0" w:color="auto"/>
        <w:right w:val="none" w:sz="0" w:space="0" w:color="auto"/>
      </w:divBdr>
    </w:div>
    <w:div w:id="531915717">
      <w:bodyDiv w:val="1"/>
      <w:marLeft w:val="0"/>
      <w:marRight w:val="0"/>
      <w:marTop w:val="0"/>
      <w:marBottom w:val="0"/>
      <w:divBdr>
        <w:top w:val="none" w:sz="0" w:space="0" w:color="auto"/>
        <w:left w:val="none" w:sz="0" w:space="0" w:color="auto"/>
        <w:bottom w:val="none" w:sz="0" w:space="0" w:color="auto"/>
        <w:right w:val="none" w:sz="0" w:space="0" w:color="auto"/>
      </w:divBdr>
    </w:div>
    <w:div w:id="559904505">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835924883">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20162576">
      <w:bodyDiv w:val="1"/>
      <w:marLeft w:val="0"/>
      <w:marRight w:val="0"/>
      <w:marTop w:val="0"/>
      <w:marBottom w:val="0"/>
      <w:divBdr>
        <w:top w:val="none" w:sz="0" w:space="0" w:color="auto"/>
        <w:left w:val="none" w:sz="0" w:space="0" w:color="auto"/>
        <w:bottom w:val="none" w:sz="0" w:space="0" w:color="auto"/>
        <w:right w:val="none" w:sz="0" w:space="0" w:color="auto"/>
      </w:divBdr>
    </w:div>
    <w:div w:id="1047801752">
      <w:bodyDiv w:val="1"/>
      <w:marLeft w:val="0"/>
      <w:marRight w:val="0"/>
      <w:marTop w:val="0"/>
      <w:marBottom w:val="0"/>
      <w:divBdr>
        <w:top w:val="none" w:sz="0" w:space="0" w:color="auto"/>
        <w:left w:val="none" w:sz="0" w:space="0" w:color="auto"/>
        <w:bottom w:val="none" w:sz="0" w:space="0" w:color="auto"/>
        <w:right w:val="none" w:sz="0" w:space="0" w:color="auto"/>
      </w:divBdr>
    </w:div>
    <w:div w:id="1090001454">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79155298">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315570535">
      <w:bodyDiv w:val="1"/>
      <w:marLeft w:val="0"/>
      <w:marRight w:val="0"/>
      <w:marTop w:val="0"/>
      <w:marBottom w:val="0"/>
      <w:divBdr>
        <w:top w:val="none" w:sz="0" w:space="0" w:color="auto"/>
        <w:left w:val="none" w:sz="0" w:space="0" w:color="auto"/>
        <w:bottom w:val="none" w:sz="0" w:space="0" w:color="auto"/>
        <w:right w:val="none" w:sz="0" w:space="0" w:color="auto"/>
      </w:divBdr>
    </w:div>
    <w:div w:id="1357727879">
      <w:bodyDiv w:val="1"/>
      <w:marLeft w:val="0"/>
      <w:marRight w:val="0"/>
      <w:marTop w:val="0"/>
      <w:marBottom w:val="0"/>
      <w:divBdr>
        <w:top w:val="none" w:sz="0" w:space="0" w:color="auto"/>
        <w:left w:val="none" w:sz="0" w:space="0" w:color="auto"/>
        <w:bottom w:val="none" w:sz="0" w:space="0" w:color="auto"/>
        <w:right w:val="none" w:sz="0" w:space="0" w:color="auto"/>
      </w:divBdr>
    </w:div>
    <w:div w:id="1391418182">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761683614">
      <w:bodyDiv w:val="1"/>
      <w:marLeft w:val="0"/>
      <w:marRight w:val="0"/>
      <w:marTop w:val="0"/>
      <w:marBottom w:val="0"/>
      <w:divBdr>
        <w:top w:val="none" w:sz="0" w:space="0" w:color="auto"/>
        <w:left w:val="none" w:sz="0" w:space="0" w:color="auto"/>
        <w:bottom w:val="none" w:sz="0" w:space="0" w:color="auto"/>
        <w:right w:val="none" w:sz="0" w:space="0" w:color="auto"/>
      </w:divBdr>
    </w:div>
    <w:div w:id="1832864675">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868635550">
      <w:bodyDiv w:val="1"/>
      <w:marLeft w:val="0"/>
      <w:marRight w:val="0"/>
      <w:marTop w:val="0"/>
      <w:marBottom w:val="0"/>
      <w:divBdr>
        <w:top w:val="none" w:sz="0" w:space="0" w:color="auto"/>
        <w:left w:val="none" w:sz="0" w:space="0" w:color="auto"/>
        <w:bottom w:val="none" w:sz="0" w:space="0" w:color="auto"/>
        <w:right w:val="none" w:sz="0" w:space="0" w:color="auto"/>
      </w:divBdr>
      <w:divsChild>
        <w:div w:id="246037229">
          <w:marLeft w:val="806"/>
          <w:marRight w:val="0"/>
          <w:marTop w:val="115"/>
          <w:marBottom w:val="0"/>
          <w:divBdr>
            <w:top w:val="none" w:sz="0" w:space="0" w:color="auto"/>
            <w:left w:val="none" w:sz="0" w:space="0" w:color="auto"/>
            <w:bottom w:val="none" w:sz="0" w:space="0" w:color="auto"/>
            <w:right w:val="none" w:sz="0" w:space="0" w:color="auto"/>
          </w:divBdr>
        </w:div>
        <w:div w:id="1784305872">
          <w:marLeft w:val="806"/>
          <w:marRight w:val="0"/>
          <w:marTop w:val="115"/>
          <w:marBottom w:val="0"/>
          <w:divBdr>
            <w:top w:val="none" w:sz="0" w:space="0" w:color="auto"/>
            <w:left w:val="none" w:sz="0" w:space="0" w:color="auto"/>
            <w:bottom w:val="none" w:sz="0" w:space="0" w:color="auto"/>
            <w:right w:val="none" w:sz="0" w:space="0" w:color="auto"/>
          </w:divBdr>
        </w:div>
        <w:div w:id="314914252">
          <w:marLeft w:val="806"/>
          <w:marRight w:val="0"/>
          <w:marTop w:val="115"/>
          <w:marBottom w:val="0"/>
          <w:divBdr>
            <w:top w:val="none" w:sz="0" w:space="0" w:color="auto"/>
            <w:left w:val="none" w:sz="0" w:space="0" w:color="auto"/>
            <w:bottom w:val="none" w:sz="0" w:space="0" w:color="auto"/>
            <w:right w:val="none" w:sz="0" w:space="0" w:color="auto"/>
          </w:divBdr>
        </w:div>
        <w:div w:id="1786344813">
          <w:marLeft w:val="806"/>
          <w:marRight w:val="0"/>
          <w:marTop w:val="115"/>
          <w:marBottom w:val="0"/>
          <w:divBdr>
            <w:top w:val="none" w:sz="0" w:space="0" w:color="auto"/>
            <w:left w:val="none" w:sz="0" w:space="0" w:color="auto"/>
            <w:bottom w:val="none" w:sz="0" w:space="0" w:color="auto"/>
            <w:right w:val="none" w:sz="0" w:space="0" w:color="auto"/>
          </w:divBdr>
        </w:div>
      </w:divsChild>
    </w:div>
    <w:div w:id="1978216467">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083529342">
      <w:bodyDiv w:val="1"/>
      <w:marLeft w:val="0"/>
      <w:marRight w:val="0"/>
      <w:marTop w:val="0"/>
      <w:marBottom w:val="0"/>
      <w:divBdr>
        <w:top w:val="none" w:sz="0" w:space="0" w:color="auto"/>
        <w:left w:val="none" w:sz="0" w:space="0" w:color="auto"/>
        <w:bottom w:val="none" w:sz="0" w:space="0" w:color="auto"/>
        <w:right w:val="none" w:sz="0" w:space="0" w:color="auto"/>
      </w:divBdr>
    </w:div>
    <w:div w:id="210869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a7455f0c04b346ee"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2.xml><?xml version="1.0" encoding="utf-8"?>
<ds:datastoreItem xmlns:ds="http://schemas.openxmlformats.org/officeDocument/2006/customXml" ds:itemID="{A4329735-9E91-48AB-9BC7-3D2E37315A52}">
  <ds:schemaRefs>
    <ds:schemaRef ds:uri="http://schemas.openxmlformats.org/officeDocument/2006/bibliography"/>
  </ds:schemaRefs>
</ds:datastoreItem>
</file>

<file path=customXml/itemProps3.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3589</TotalTime>
  <Pages>12</Pages>
  <Words>3161</Words>
  <Characters>18021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21140</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Dimitrova Ralcheva (2122703)</cp:lastModifiedBy>
  <cp:revision>372</cp:revision>
  <dcterms:created xsi:type="dcterms:W3CDTF">2022-08-06T17:49:00Z</dcterms:created>
  <dcterms:modified xsi:type="dcterms:W3CDTF">2023-11-03T12:54:00Z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