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683654" w:rsidRDefault="00063B4C" w:rsidP="00104139">
      <w:pPr>
        <w:ind w:right="1229"/>
        <w:jc w:val="center"/>
        <w:rPr>
          <w:rFonts w:ascii="Arial" w:hAnsi="Arial" w:cs="Arial"/>
          <w:sz w:val="60"/>
          <w:szCs w:val="60"/>
        </w:rPr>
      </w:pPr>
      <w:r w:rsidRPr="00683654">
        <w:rPr>
          <w:rFonts w:ascii="Arial" w:hAnsi="Arial" w:cs="Arial"/>
          <w:sz w:val="60"/>
          <w:szCs w:val="60"/>
        </w:rPr>
        <w:t>Institute of Inner-City Learning Birmingham Campus</w:t>
      </w:r>
    </w:p>
    <w:p w14:paraId="7F58ECA1" w14:textId="77777777" w:rsidR="00063B4C" w:rsidRPr="00683654" w:rsidRDefault="00063B4C" w:rsidP="00104139">
      <w:pPr>
        <w:pStyle w:val="BodyText"/>
        <w:jc w:val="center"/>
        <w:rPr>
          <w:rFonts w:cs="Arial"/>
          <w:sz w:val="20"/>
        </w:rPr>
      </w:pPr>
    </w:p>
    <w:p w14:paraId="3009F44A" w14:textId="2F598781" w:rsidR="00063B4C" w:rsidRPr="00683654" w:rsidRDefault="00063B4C" w:rsidP="00104139">
      <w:pPr>
        <w:spacing w:line="813" w:lineRule="exact"/>
        <w:jc w:val="center"/>
        <w:rPr>
          <w:rFonts w:ascii="Arial" w:hAnsi="Arial" w:cs="Arial"/>
          <w:sz w:val="60"/>
          <w:szCs w:val="60"/>
        </w:rPr>
      </w:pPr>
      <w:r w:rsidRPr="00683654">
        <w:rPr>
          <w:rFonts w:ascii="Arial" w:hAnsi="Arial" w:cs="Arial"/>
          <w:sz w:val="60"/>
          <w:szCs w:val="60"/>
        </w:rPr>
        <w:t>BSc (Hons) Health and Social Care</w:t>
      </w:r>
      <w:r w:rsidRPr="00683654">
        <w:rPr>
          <w:rFonts w:ascii="Arial" w:hAnsi="Arial" w:cs="Arial"/>
          <w:sz w:val="60"/>
          <w:szCs w:val="60"/>
        </w:rPr>
        <w:br/>
      </w:r>
    </w:p>
    <w:p w14:paraId="5B270734" w14:textId="3BE1C224" w:rsidR="00063B4C" w:rsidRPr="00683654" w:rsidRDefault="00063B4C" w:rsidP="00B40DF9">
      <w:pPr>
        <w:spacing w:line="1342" w:lineRule="exact"/>
        <w:jc w:val="center"/>
        <w:rPr>
          <w:rFonts w:ascii="Arial" w:hAnsi="Arial" w:cs="Arial"/>
        </w:rPr>
      </w:pPr>
      <w:r w:rsidRPr="00683654">
        <w:rPr>
          <w:rFonts w:ascii="Arial" w:hAnsi="Arial" w:cs="Arial"/>
          <w:sz w:val="70"/>
          <w:szCs w:val="70"/>
        </w:rPr>
        <w:t>DISSERTATION</w:t>
      </w:r>
    </w:p>
    <w:p w14:paraId="1AC12438" w14:textId="77777777" w:rsidR="00104139" w:rsidRDefault="00104139"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441C0935" w14:textId="77777777" w:rsidR="00683654" w:rsidRDefault="00683654" w:rsidP="00604A87">
      <w:pPr>
        <w:rPr>
          <w:rFonts w:eastAsia="Times New Roman" w:cs="Arial"/>
          <w:b/>
          <w:sz w:val="28"/>
          <w:szCs w:val="28"/>
        </w:rPr>
      </w:pPr>
    </w:p>
    <w:p w14:paraId="3492E4C4" w14:textId="7634011F" w:rsidR="00604A87" w:rsidRPr="00C75798" w:rsidRDefault="00604A87" w:rsidP="00604A87">
      <w:pPr>
        <w:rPr>
          <w:rFonts w:ascii="Arial" w:eastAsia="Times New Roman" w:hAnsi="Arial" w:cs="Arial"/>
          <w:b/>
          <w:sz w:val="32"/>
          <w:szCs w:val="32"/>
        </w:rPr>
      </w:pPr>
      <w:r w:rsidRPr="00C75798">
        <w:rPr>
          <w:rFonts w:ascii="Arial" w:eastAsia="Times New Roman" w:hAnsi="Arial" w:cs="Arial"/>
          <w:b/>
          <w:sz w:val="32"/>
          <w:szCs w:val="32"/>
        </w:rPr>
        <w:lastRenderedPageBreak/>
        <w:t>DECLARATION</w:t>
      </w:r>
    </w:p>
    <w:p w14:paraId="113CAAED" w14:textId="2CC33593" w:rsidR="00604A87" w:rsidRPr="0071108C" w:rsidRDefault="00604A87" w:rsidP="00604A87">
      <w:pPr>
        <w:rPr>
          <w:rFonts w:ascii="Arial" w:eastAsia="Times New Roman" w:hAnsi="Arial" w:cs="Arial"/>
        </w:rPr>
      </w:pPr>
      <w:r w:rsidRPr="0071108C">
        <w:rPr>
          <w:rFonts w:ascii="Arial" w:eastAsia="Times New Roman" w:hAnsi="Arial" w:cs="Arial"/>
        </w:rPr>
        <w:t>This work has not previously been accepted in substance for any degree and is not being concurrently submitted in candidature for any degree</w:t>
      </w:r>
    </w:p>
    <w:p w14:paraId="3EF51212" w14:textId="7EDF992E" w:rsidR="00604A87" w:rsidRPr="0071108C" w:rsidRDefault="00604A87" w:rsidP="00604A87">
      <w:pPr>
        <w:rPr>
          <w:rFonts w:ascii="Arial" w:eastAsia="Times New Roman" w:hAnsi="Arial" w:cs="Arial"/>
        </w:rPr>
      </w:pPr>
      <w:r w:rsidRPr="0071108C">
        <w:rPr>
          <w:rFonts w:ascii="Arial" w:eastAsia="Times New Roman" w:hAnsi="Arial" w:cs="Arial"/>
        </w:rPr>
        <w:t>Signed…</w:t>
      </w:r>
      <w:r w:rsidR="00F31335" w:rsidRPr="0071108C">
        <w:rPr>
          <w:rFonts w:ascii="Arial" w:eastAsia="Times New Roman" w:hAnsi="Arial" w:cs="Arial"/>
        </w:rPr>
        <w:t>S</w:t>
      </w:r>
      <w:r w:rsidR="00104139" w:rsidRPr="0071108C">
        <w:rPr>
          <w:rFonts w:ascii="Arial" w:eastAsia="Times New Roman" w:hAnsi="Arial" w:cs="Arial"/>
        </w:rPr>
        <w:t xml:space="preserve">amrina </w:t>
      </w:r>
      <w:r w:rsidR="00F31335" w:rsidRPr="0071108C">
        <w:rPr>
          <w:rFonts w:ascii="Arial" w:eastAsia="Times New Roman" w:hAnsi="Arial" w:cs="Arial"/>
        </w:rPr>
        <w:t>Choudhry</w:t>
      </w:r>
      <w:r w:rsidRPr="0071108C">
        <w:rPr>
          <w:rFonts w:ascii="Arial" w:eastAsia="Times New Roman" w:hAnsi="Arial" w:cs="Arial"/>
        </w:rPr>
        <w:t>…………………………………………</w:t>
      </w:r>
    </w:p>
    <w:p w14:paraId="16B6CB34" w14:textId="69E70EC7" w:rsidR="00604A87" w:rsidRPr="0071108C" w:rsidRDefault="00604A87" w:rsidP="00604A87">
      <w:pPr>
        <w:rPr>
          <w:rFonts w:ascii="Arial" w:eastAsia="Times New Roman" w:hAnsi="Arial" w:cs="Arial"/>
        </w:rPr>
      </w:pPr>
      <w:r w:rsidRPr="0071108C">
        <w:rPr>
          <w:rFonts w:ascii="Arial" w:eastAsia="Times New Roman" w:hAnsi="Arial" w:cs="Arial"/>
        </w:rPr>
        <w:t>Date……</w:t>
      </w:r>
      <w:r w:rsidR="002D22FA" w:rsidRPr="0071108C">
        <w:rPr>
          <w:rFonts w:ascii="Arial" w:eastAsia="Times New Roman" w:hAnsi="Arial" w:cs="Arial"/>
        </w:rPr>
        <w:t>12</w:t>
      </w:r>
      <w:r w:rsidR="00104139" w:rsidRPr="0071108C">
        <w:rPr>
          <w:rFonts w:ascii="Arial" w:eastAsia="Times New Roman" w:hAnsi="Arial" w:cs="Arial"/>
        </w:rPr>
        <w:t>/11/2025</w:t>
      </w:r>
      <w:r w:rsidRPr="0071108C">
        <w:rPr>
          <w:rFonts w:ascii="Arial" w:eastAsia="Times New Roman" w:hAnsi="Arial" w:cs="Arial"/>
        </w:rPr>
        <w:t>…………………………………………</w:t>
      </w:r>
    </w:p>
    <w:p w14:paraId="7D9E43A8" w14:textId="77777777" w:rsidR="00604A87" w:rsidRPr="0071108C" w:rsidRDefault="00604A87" w:rsidP="00604A87">
      <w:pPr>
        <w:rPr>
          <w:rFonts w:ascii="Arial" w:eastAsia="Times New Roman" w:hAnsi="Arial" w:cs="Arial"/>
          <w:bCs/>
          <w:kern w:val="32"/>
        </w:rPr>
      </w:pPr>
      <w:r w:rsidRPr="0071108C">
        <w:rPr>
          <w:rFonts w:ascii="Arial" w:eastAsia="Times New Roman" w:hAnsi="Arial" w:cs="Arial"/>
          <w:b/>
        </w:rPr>
        <w:t xml:space="preserve">STATEMENT 1 </w:t>
      </w:r>
    </w:p>
    <w:p w14:paraId="189DE0A6" w14:textId="710F2765" w:rsidR="00604A87" w:rsidRPr="0071108C" w:rsidRDefault="00604A87" w:rsidP="00604A87">
      <w:pPr>
        <w:rPr>
          <w:rFonts w:ascii="Arial" w:eastAsia="Times New Roman" w:hAnsi="Arial" w:cs="Arial"/>
        </w:rPr>
      </w:pPr>
      <w:r w:rsidRPr="0071108C">
        <w:rPr>
          <w:rFonts w:ascii="Arial" w:eastAsia="Times New Roman" w:hAnsi="Arial" w:cs="Arial"/>
        </w:rPr>
        <w:t>This dissertation is being submitted in partial fulfilment of the requirements for the degree of BSc.</w:t>
      </w:r>
    </w:p>
    <w:p w14:paraId="39F661A6" w14:textId="0BD048FD" w:rsidR="00604A87" w:rsidRPr="0071108C" w:rsidRDefault="00604A87" w:rsidP="00604A87">
      <w:pPr>
        <w:rPr>
          <w:rFonts w:ascii="Arial" w:eastAsia="Times New Roman" w:hAnsi="Arial" w:cs="Arial"/>
        </w:rPr>
      </w:pPr>
      <w:r w:rsidRPr="0071108C">
        <w:rPr>
          <w:rFonts w:ascii="Arial" w:eastAsia="Times New Roman" w:hAnsi="Arial" w:cs="Arial"/>
        </w:rPr>
        <w:t>Signed………</w:t>
      </w:r>
      <w:r w:rsidR="00104139" w:rsidRPr="0071108C">
        <w:rPr>
          <w:rFonts w:ascii="Arial" w:eastAsia="Times New Roman" w:hAnsi="Arial" w:cs="Arial"/>
        </w:rPr>
        <w:t>Samrina Choudhry</w:t>
      </w:r>
      <w:r w:rsidRPr="0071108C">
        <w:rPr>
          <w:rFonts w:ascii="Arial" w:eastAsia="Times New Roman" w:hAnsi="Arial" w:cs="Arial"/>
        </w:rPr>
        <w:t xml:space="preserve">……………………………………. </w:t>
      </w:r>
    </w:p>
    <w:p w14:paraId="21F5E413" w14:textId="600DF31A" w:rsidR="00604A87" w:rsidRPr="0071108C" w:rsidRDefault="00604A87" w:rsidP="00604A87">
      <w:pPr>
        <w:rPr>
          <w:rFonts w:ascii="Arial" w:eastAsia="Times New Roman" w:hAnsi="Arial" w:cs="Arial"/>
        </w:rPr>
      </w:pPr>
      <w:r w:rsidRPr="0071108C">
        <w:rPr>
          <w:rFonts w:ascii="Arial" w:eastAsia="Times New Roman" w:hAnsi="Arial" w:cs="Arial"/>
        </w:rPr>
        <w:t>Date……</w:t>
      </w:r>
      <w:r w:rsidR="00104139" w:rsidRPr="0071108C">
        <w:rPr>
          <w:rFonts w:ascii="Arial" w:eastAsia="Times New Roman" w:hAnsi="Arial" w:cs="Arial"/>
        </w:rPr>
        <w:t>12/11/2025</w:t>
      </w:r>
      <w:r w:rsidRPr="0071108C">
        <w:rPr>
          <w:rFonts w:ascii="Arial" w:eastAsia="Times New Roman" w:hAnsi="Arial" w:cs="Arial"/>
        </w:rPr>
        <w:t>…………………………………………</w:t>
      </w:r>
    </w:p>
    <w:p w14:paraId="713B64B9" w14:textId="77777777" w:rsidR="00604A87" w:rsidRPr="0071108C" w:rsidRDefault="00604A87" w:rsidP="00604A87">
      <w:pPr>
        <w:rPr>
          <w:rFonts w:ascii="Arial" w:eastAsia="Times New Roman" w:hAnsi="Arial" w:cs="Arial"/>
        </w:rPr>
      </w:pPr>
      <w:r w:rsidRPr="0071108C">
        <w:rPr>
          <w:rFonts w:ascii="Arial" w:eastAsia="Times New Roman" w:hAnsi="Arial" w:cs="Arial"/>
          <w:b/>
        </w:rPr>
        <w:t>STATEMENT 2</w:t>
      </w:r>
    </w:p>
    <w:p w14:paraId="4AA5D04A" w14:textId="65BB11AC" w:rsidR="00604A87" w:rsidRPr="0071108C" w:rsidRDefault="00604A87" w:rsidP="00604A87">
      <w:pPr>
        <w:rPr>
          <w:rFonts w:ascii="Arial" w:eastAsia="Times New Roman" w:hAnsi="Arial" w:cs="Arial"/>
        </w:rPr>
      </w:pPr>
      <w:r w:rsidRPr="0071108C">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44B085C1" w:rsidR="00604A87" w:rsidRPr="0071108C" w:rsidRDefault="00604A87" w:rsidP="00604A87">
      <w:pPr>
        <w:rPr>
          <w:rFonts w:ascii="Arial" w:eastAsia="Times New Roman" w:hAnsi="Arial" w:cs="Arial"/>
        </w:rPr>
      </w:pPr>
      <w:r w:rsidRPr="0071108C">
        <w:rPr>
          <w:rFonts w:ascii="Arial" w:eastAsia="Times New Roman" w:hAnsi="Arial" w:cs="Arial"/>
        </w:rPr>
        <w:t>Signed……</w:t>
      </w:r>
      <w:r w:rsidR="00104139" w:rsidRPr="0071108C">
        <w:rPr>
          <w:rFonts w:ascii="Arial" w:eastAsia="Times New Roman" w:hAnsi="Arial" w:cs="Arial"/>
        </w:rPr>
        <w:t>Samrina Choudhry</w:t>
      </w:r>
      <w:r w:rsidRPr="0071108C">
        <w:rPr>
          <w:rFonts w:ascii="Arial" w:eastAsia="Times New Roman" w:hAnsi="Arial" w:cs="Arial"/>
        </w:rPr>
        <w:t>………………………………………</w:t>
      </w:r>
    </w:p>
    <w:p w14:paraId="1CB40FFB" w14:textId="27EE62EC" w:rsidR="00604A87" w:rsidRPr="0071108C" w:rsidRDefault="00604A87" w:rsidP="00604A87">
      <w:pPr>
        <w:rPr>
          <w:rFonts w:ascii="Arial" w:eastAsia="Times New Roman" w:hAnsi="Arial" w:cs="Arial"/>
        </w:rPr>
      </w:pPr>
      <w:r w:rsidRPr="0071108C">
        <w:rPr>
          <w:rFonts w:ascii="Arial" w:eastAsia="Times New Roman" w:hAnsi="Arial" w:cs="Arial"/>
        </w:rPr>
        <w:t>Date……</w:t>
      </w:r>
      <w:r w:rsidR="00104139" w:rsidRPr="0071108C">
        <w:rPr>
          <w:rFonts w:ascii="Arial" w:eastAsia="Times New Roman" w:hAnsi="Arial" w:cs="Arial"/>
        </w:rPr>
        <w:t>12/11/2025</w:t>
      </w:r>
      <w:r w:rsidRPr="0071108C">
        <w:rPr>
          <w:rFonts w:ascii="Arial" w:eastAsia="Times New Roman" w:hAnsi="Arial" w:cs="Arial"/>
        </w:rPr>
        <w:t xml:space="preserve">………………………………………… </w:t>
      </w:r>
    </w:p>
    <w:p w14:paraId="42D5D0C6" w14:textId="77777777" w:rsidR="00604A87" w:rsidRPr="0071108C" w:rsidRDefault="00604A87" w:rsidP="00604A87">
      <w:pPr>
        <w:rPr>
          <w:rFonts w:ascii="Arial" w:eastAsia="Times New Roman" w:hAnsi="Arial" w:cs="Arial"/>
        </w:rPr>
      </w:pPr>
      <w:r w:rsidRPr="0071108C">
        <w:rPr>
          <w:rFonts w:ascii="Arial" w:eastAsia="Times New Roman" w:hAnsi="Arial" w:cs="Arial"/>
          <w:b/>
        </w:rPr>
        <w:t>STATEMENT 3</w:t>
      </w:r>
    </w:p>
    <w:p w14:paraId="4B58546E" w14:textId="61CCB29A" w:rsidR="00604A87" w:rsidRPr="0071108C" w:rsidRDefault="00604A87" w:rsidP="00604A87">
      <w:pPr>
        <w:rPr>
          <w:rFonts w:ascii="Arial" w:eastAsia="Times New Roman" w:hAnsi="Arial" w:cs="Arial"/>
        </w:rPr>
      </w:pPr>
      <w:r w:rsidRPr="0071108C">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20F5C49D" w:rsidR="00604A87" w:rsidRPr="0071108C" w:rsidRDefault="00604A87" w:rsidP="00604A87">
      <w:pPr>
        <w:rPr>
          <w:rFonts w:ascii="Arial" w:eastAsia="Times New Roman" w:hAnsi="Arial" w:cs="Arial"/>
        </w:rPr>
      </w:pPr>
      <w:r w:rsidRPr="0071108C">
        <w:rPr>
          <w:rFonts w:ascii="Arial" w:eastAsia="Times New Roman" w:hAnsi="Arial" w:cs="Arial"/>
        </w:rPr>
        <w:t>Signed…</w:t>
      </w:r>
      <w:r w:rsidR="00104139" w:rsidRPr="0071108C">
        <w:rPr>
          <w:rFonts w:ascii="Arial" w:eastAsia="Times New Roman" w:hAnsi="Arial" w:cs="Arial"/>
        </w:rPr>
        <w:t>Samrina Coudhry</w:t>
      </w:r>
      <w:r w:rsidRPr="0071108C">
        <w:rPr>
          <w:rFonts w:ascii="Arial" w:eastAsia="Times New Roman" w:hAnsi="Arial" w:cs="Arial"/>
        </w:rPr>
        <w:t>……………………………………………</w:t>
      </w:r>
    </w:p>
    <w:p w14:paraId="021196D1" w14:textId="6D1E0DEC" w:rsidR="00604A87" w:rsidRPr="0071108C"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71108C">
        <w:rPr>
          <w:rFonts w:ascii="Arial" w:eastAsia="Times New Roman" w:hAnsi="Arial" w:cs="Arial"/>
        </w:rPr>
        <w:t>Date……</w:t>
      </w:r>
      <w:r w:rsidR="00104139" w:rsidRPr="0071108C">
        <w:rPr>
          <w:rFonts w:ascii="Arial" w:eastAsia="Times New Roman" w:hAnsi="Arial" w:cs="Arial"/>
        </w:rPr>
        <w:t>12/11/2025</w:t>
      </w:r>
      <w:r w:rsidRPr="0071108C">
        <w:rPr>
          <w:rFonts w:ascii="Arial" w:eastAsia="Times New Roman" w:hAnsi="Arial" w:cs="Arial"/>
        </w:rPr>
        <w:t>……………………………………………</w:t>
      </w:r>
    </w:p>
    <w:p w14:paraId="77D38054" w14:textId="77777777" w:rsidR="00604A87" w:rsidRPr="0071108C" w:rsidRDefault="00604A87" w:rsidP="00604A87">
      <w:pPr>
        <w:rPr>
          <w:rFonts w:ascii="Arial" w:eastAsia="Times New Roman" w:hAnsi="Arial" w:cs="Arial"/>
          <w:b/>
        </w:rPr>
      </w:pPr>
      <w:r w:rsidRPr="0071108C">
        <w:rPr>
          <w:rFonts w:ascii="Arial" w:eastAsia="Times New Roman" w:hAnsi="Arial" w:cs="Arial"/>
          <w:b/>
        </w:rPr>
        <w:t>STATEMENT 4</w:t>
      </w:r>
    </w:p>
    <w:p w14:paraId="0A15E499" w14:textId="1F9546C0" w:rsidR="00604A87" w:rsidRPr="0071108C" w:rsidRDefault="00604A87" w:rsidP="00604A87">
      <w:pPr>
        <w:rPr>
          <w:rFonts w:ascii="Arial" w:eastAsia="Times New Roman" w:hAnsi="Arial" w:cs="Arial"/>
        </w:rPr>
      </w:pPr>
      <w:r w:rsidRPr="0071108C">
        <w:rPr>
          <w:rFonts w:ascii="Arial" w:eastAsia="Times New Roman" w:hAnsi="Arial" w:cs="Arial"/>
        </w:rPr>
        <w:t>I hereby give consent for my dissertation, if accepted, to be available on the university’s IT system to those who have consent to use the system.</w:t>
      </w:r>
    </w:p>
    <w:p w14:paraId="73D7762F" w14:textId="5AFF82A4" w:rsidR="00604A87" w:rsidRPr="0071108C" w:rsidRDefault="00604A87" w:rsidP="00604A87">
      <w:pPr>
        <w:rPr>
          <w:rFonts w:ascii="Arial" w:eastAsia="Times New Roman" w:hAnsi="Arial" w:cs="Arial"/>
        </w:rPr>
      </w:pPr>
      <w:r w:rsidRPr="0071108C">
        <w:rPr>
          <w:rFonts w:ascii="Arial" w:eastAsia="Times New Roman" w:hAnsi="Arial" w:cs="Arial"/>
        </w:rPr>
        <w:t>Signed……</w:t>
      </w:r>
      <w:r w:rsidR="00104139" w:rsidRPr="0071108C">
        <w:rPr>
          <w:rFonts w:ascii="Arial" w:eastAsia="Times New Roman" w:hAnsi="Arial" w:cs="Arial"/>
        </w:rPr>
        <w:t>Samrina Choudhry</w:t>
      </w:r>
      <w:r w:rsidRPr="0071108C">
        <w:rPr>
          <w:rFonts w:ascii="Arial" w:eastAsia="Times New Roman" w:hAnsi="Arial" w:cs="Arial"/>
        </w:rPr>
        <w:t>…………………………………………</w:t>
      </w:r>
    </w:p>
    <w:p w14:paraId="2BDDE109" w14:textId="6140EA6D" w:rsidR="00604A87" w:rsidRPr="0071108C"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71108C">
        <w:rPr>
          <w:rFonts w:ascii="Arial" w:eastAsia="Times New Roman" w:hAnsi="Arial" w:cs="Arial"/>
        </w:rPr>
        <w:t>Date……</w:t>
      </w:r>
      <w:r w:rsidR="00104139" w:rsidRPr="0071108C">
        <w:rPr>
          <w:rFonts w:ascii="Arial" w:eastAsia="Times New Roman" w:hAnsi="Arial" w:cs="Arial"/>
        </w:rPr>
        <w:t>12/11/2025</w:t>
      </w:r>
      <w:r w:rsidRPr="0071108C">
        <w:rPr>
          <w:rFonts w:ascii="Arial" w:eastAsia="Times New Roman" w:hAnsi="Arial" w:cs="Arial"/>
        </w:rPr>
        <w:t>……………………………………………</w:t>
      </w:r>
    </w:p>
    <w:p w14:paraId="324943A4" w14:textId="77777777" w:rsidR="00063B4C" w:rsidRPr="0071108C" w:rsidRDefault="00063B4C">
      <w:pPr>
        <w:rPr>
          <w:rFonts w:ascii="Arial" w:hAnsi="Arial" w:cs="Arial"/>
        </w:rPr>
      </w:pPr>
    </w:p>
    <w:p w14:paraId="0FC75915" w14:textId="3F462236" w:rsidR="00995444" w:rsidRPr="004F00CC" w:rsidRDefault="000B6688" w:rsidP="000B66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sidRPr="004F00CC">
        <w:rPr>
          <w:rFonts w:ascii="Arial" w:eastAsia="Arial Unicode MS" w:hAnsi="Arial" w:cs="Arial"/>
          <w:b/>
          <w:sz w:val="56"/>
          <w:szCs w:val="56"/>
        </w:rPr>
        <w:lastRenderedPageBreak/>
        <w:t>What are the barriers to delivering culturally competent end-of-life care to ethnic minority communities in the UK?</w:t>
      </w:r>
    </w:p>
    <w:p w14:paraId="50EF1F62" w14:textId="7AA12225" w:rsidR="00633562" w:rsidRPr="004F00CC"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sidRPr="004F00CC">
        <w:rPr>
          <w:rFonts w:ascii="Arial" w:eastAsia="Arial Unicode MS" w:hAnsi="Arial" w:cs="Arial"/>
          <w:b/>
          <w:sz w:val="56"/>
          <w:szCs w:val="56"/>
        </w:rPr>
        <w:t>Name</w:t>
      </w:r>
      <w:r w:rsidR="00633562" w:rsidRPr="004F00CC">
        <w:rPr>
          <w:rFonts w:ascii="Arial" w:eastAsia="Arial Unicode MS" w:hAnsi="Arial" w:cs="Arial"/>
          <w:b/>
          <w:sz w:val="56"/>
          <w:szCs w:val="56"/>
        </w:rPr>
        <w:t>: Samrina Choudhry</w:t>
      </w:r>
    </w:p>
    <w:p w14:paraId="6DB122B7" w14:textId="33F36FFC"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sidRPr="004F00CC">
        <w:rPr>
          <w:rFonts w:ascii="Arial" w:eastAsia="Arial Unicode MS" w:hAnsi="Arial" w:cs="Arial"/>
          <w:b/>
          <w:sz w:val="56"/>
          <w:szCs w:val="56"/>
        </w:rPr>
        <w:t>Student Number</w:t>
      </w:r>
      <w:r w:rsidR="00633562" w:rsidRPr="004F00CC">
        <w:rPr>
          <w:rFonts w:ascii="Arial" w:eastAsia="Arial Unicode MS" w:hAnsi="Arial" w:cs="Arial"/>
          <w:b/>
          <w:sz w:val="56"/>
          <w:szCs w:val="56"/>
        </w:rPr>
        <w:t>: 2220771</w:t>
      </w:r>
    </w:p>
    <w:p w14:paraId="67C32EB1" w14:textId="28E1A22E" w:rsidR="004F00CC" w:rsidRPr="004F00CC" w:rsidRDefault="004F00C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56"/>
          <w:szCs w:val="56"/>
        </w:rPr>
      </w:pPr>
      <w:r>
        <w:rPr>
          <w:rFonts w:ascii="Arial" w:eastAsia="Arial Unicode MS" w:hAnsi="Arial" w:cs="Arial"/>
          <w:b/>
          <w:sz w:val="56"/>
          <w:szCs w:val="56"/>
        </w:rPr>
        <w:t xml:space="preserve">Lecturer: </w:t>
      </w:r>
      <w:r w:rsidR="00E335FA">
        <w:rPr>
          <w:rFonts w:ascii="Arial" w:eastAsia="Arial Unicode MS" w:hAnsi="Arial" w:cs="Arial"/>
          <w:b/>
          <w:sz w:val="56"/>
          <w:szCs w:val="56"/>
        </w:rPr>
        <w:t>Chloe Harris</w:t>
      </w:r>
    </w:p>
    <w:p w14:paraId="3F8DA723" w14:textId="77777777" w:rsidR="00995444" w:rsidRPr="004F00CC"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18"/>
          <w:szCs w:val="18"/>
        </w:rPr>
      </w:pPr>
    </w:p>
    <w:p w14:paraId="11885DD2" w14:textId="093EDB9D" w:rsidR="00995444" w:rsidRPr="004F00CC" w:rsidRDefault="00995444" w:rsidP="004F00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4F00CC">
        <w:rPr>
          <w:rFonts w:ascii="Arial" w:eastAsia="Arial Unicode MS" w:hAnsi="Arial" w:cs="Arial"/>
        </w:rPr>
        <w:tab/>
      </w:r>
    </w:p>
    <w:p w14:paraId="2057C793" w14:textId="103D0F80" w:rsidR="00995444" w:rsidRPr="004F00CC" w:rsidRDefault="00995444" w:rsidP="004F00CC">
      <w:pPr>
        <w:pStyle w:val="Heading1"/>
        <w:jc w:val="center"/>
        <w:rPr>
          <w:b w:val="0"/>
          <w:bCs/>
          <w:sz w:val="48"/>
          <w:szCs w:val="48"/>
        </w:rPr>
      </w:pPr>
      <w:r w:rsidRPr="004F00CC">
        <w:rPr>
          <w:b w:val="0"/>
          <w:bCs/>
          <w:sz w:val="48"/>
          <w:szCs w:val="48"/>
        </w:rPr>
        <w:t>Dissertation submitted as part of the requirements for the award BSc (Hons) Health and Social Care</w:t>
      </w:r>
    </w:p>
    <w:p w14:paraId="03004EEE" w14:textId="77777777" w:rsidR="00063B4C" w:rsidRDefault="00063B4C"/>
    <w:p w14:paraId="65358A57" w14:textId="77777777" w:rsidR="00995444" w:rsidRDefault="00995444"/>
    <w:p w14:paraId="4B645C3E" w14:textId="77777777" w:rsidR="00633562" w:rsidRDefault="00633562"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2B66983D" w14:textId="77777777" w:rsidR="00633562" w:rsidRDefault="00633562"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FBFCCF4" w14:textId="77777777" w:rsidR="00633562" w:rsidRDefault="00633562"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5569405A" w14:textId="77777777" w:rsidR="004F00CC" w:rsidRDefault="004F00CC"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F4A849F" w14:textId="5B187C66" w:rsidR="00995444" w:rsidRPr="00C76785"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32"/>
          <w:szCs w:val="32"/>
          <w:u w:val="single"/>
        </w:rPr>
      </w:pPr>
      <w:r w:rsidRPr="00C76785">
        <w:rPr>
          <w:rFonts w:ascii="Arial" w:eastAsia="Arial Unicode MS" w:hAnsi="Arial" w:cs="Arial"/>
          <w:b/>
          <w:sz w:val="32"/>
          <w:szCs w:val="32"/>
          <w:u w:val="single"/>
        </w:rPr>
        <w:lastRenderedPageBreak/>
        <w:t xml:space="preserve">ACKNOWLEDGEMENTS </w:t>
      </w:r>
    </w:p>
    <w:p w14:paraId="5D3A56DF" w14:textId="314AF124" w:rsidR="00E15388" w:rsidRPr="004F00CC" w:rsidRDefault="00E15388" w:rsidP="00E15388">
      <w:pPr>
        <w:rPr>
          <w:rFonts w:ascii="Arial" w:hAnsi="Arial" w:cs="Arial"/>
        </w:rPr>
      </w:pPr>
      <w:r w:rsidRPr="004F00CC">
        <w:rPr>
          <w:rFonts w:ascii="Arial" w:hAnsi="Arial" w:cs="Arial"/>
        </w:rPr>
        <w:t xml:space="preserve">I </w:t>
      </w:r>
      <w:r w:rsidR="00A73625" w:rsidRPr="004F00CC">
        <w:rPr>
          <w:rFonts w:ascii="Arial" w:hAnsi="Arial" w:cs="Arial"/>
        </w:rPr>
        <w:t>want</w:t>
      </w:r>
      <w:r w:rsidRPr="004F00CC">
        <w:rPr>
          <w:rFonts w:ascii="Arial" w:hAnsi="Arial" w:cs="Arial"/>
        </w:rPr>
        <w:t xml:space="preserve"> to express my heartfelt gratitude to my lecturer, Chloe, for her continuous support, patience, and guidance throughout this dissertation. Her encouragement has been instrumental in helping me believe in my own abilities. I also wish to thank the University of Wales Trinity Saint David (UWTSD) for </w:t>
      </w:r>
      <w:r w:rsidR="00B84573" w:rsidRPr="004F00CC">
        <w:rPr>
          <w:rFonts w:ascii="Arial" w:hAnsi="Arial" w:cs="Arial"/>
        </w:rPr>
        <w:t>allowing me</w:t>
      </w:r>
      <w:r w:rsidRPr="004F00CC">
        <w:rPr>
          <w:rFonts w:ascii="Arial" w:hAnsi="Arial" w:cs="Arial"/>
        </w:rPr>
        <w:t xml:space="preserve"> to study and for creating an environment that nurtures both academic and personal growth. My appreciation extends to my previous tutors, whose knowledge, compassion, and dedication have helped shape the person and student I have become.</w:t>
      </w:r>
    </w:p>
    <w:p w14:paraId="47E1110C" w14:textId="068E1A1A" w:rsidR="00E15388" w:rsidRPr="004F00CC" w:rsidRDefault="00E15388" w:rsidP="00E15388">
      <w:pPr>
        <w:rPr>
          <w:rFonts w:ascii="Arial" w:hAnsi="Arial" w:cs="Arial"/>
        </w:rPr>
      </w:pPr>
      <w:r w:rsidRPr="004F00CC">
        <w:rPr>
          <w:rFonts w:ascii="Arial" w:hAnsi="Arial" w:cs="Arial"/>
        </w:rPr>
        <w:t>To my classmates and friends, thank you for your kindness,</w:t>
      </w:r>
      <w:r w:rsidR="0053002C" w:rsidRPr="004F00CC">
        <w:rPr>
          <w:rFonts w:ascii="Arial" w:hAnsi="Arial" w:cs="Arial"/>
        </w:rPr>
        <w:t xml:space="preserve"> </w:t>
      </w:r>
      <w:r w:rsidR="00B84573" w:rsidRPr="004F00CC">
        <w:rPr>
          <w:rFonts w:ascii="Arial" w:hAnsi="Arial" w:cs="Arial"/>
        </w:rPr>
        <w:t>friendship</w:t>
      </w:r>
      <w:r w:rsidR="0053002C" w:rsidRPr="004F00CC">
        <w:rPr>
          <w:rFonts w:ascii="Arial" w:hAnsi="Arial" w:cs="Arial"/>
        </w:rPr>
        <w:t>,</w:t>
      </w:r>
      <w:r w:rsidR="00B84573" w:rsidRPr="004F00CC">
        <w:rPr>
          <w:rFonts w:ascii="Arial" w:hAnsi="Arial" w:cs="Arial"/>
        </w:rPr>
        <w:t xml:space="preserve"> and love</w:t>
      </w:r>
      <w:r w:rsidR="0053002C" w:rsidRPr="004F00CC">
        <w:rPr>
          <w:rFonts w:ascii="Arial" w:hAnsi="Arial" w:cs="Arial"/>
        </w:rPr>
        <w:t>, and</w:t>
      </w:r>
      <w:r w:rsidRPr="004F00CC">
        <w:rPr>
          <w:rFonts w:ascii="Arial" w:hAnsi="Arial" w:cs="Arial"/>
        </w:rPr>
        <w:t xml:space="preserve"> for making the learning experience enjoyable. I am deeply grateful to my five beautiful children, whose unconditional love and belief in me have given me the strength to continue even on my hardest days.</w:t>
      </w:r>
    </w:p>
    <w:p w14:paraId="40A3E6C2" w14:textId="0CE30A8A" w:rsidR="00995444" w:rsidRPr="004F00CC" w:rsidRDefault="00B451D1" w:rsidP="00E15388">
      <w:pPr>
        <w:rPr>
          <w:rFonts w:ascii="Arial" w:hAnsi="Arial" w:cs="Arial"/>
        </w:rPr>
      </w:pPr>
      <w:r w:rsidRPr="004F00CC">
        <w:rPr>
          <w:rFonts w:ascii="Arial" w:hAnsi="Arial" w:cs="Arial"/>
        </w:rPr>
        <w:t xml:space="preserve">Lastly, I want to thank myself. </w:t>
      </w:r>
      <w:r w:rsidR="00E15388" w:rsidRPr="004F00CC">
        <w:rPr>
          <w:rFonts w:ascii="Arial" w:hAnsi="Arial" w:cs="Arial"/>
        </w:rPr>
        <w:t>The past three years have been a true rollercoaster</w:t>
      </w:r>
      <w:r w:rsidR="004F00CC">
        <w:rPr>
          <w:rFonts w:ascii="Arial" w:hAnsi="Arial" w:cs="Arial"/>
        </w:rPr>
        <w:t xml:space="preserve"> - </w:t>
      </w:r>
      <w:r w:rsidR="00E15388" w:rsidRPr="004F00CC">
        <w:rPr>
          <w:rFonts w:ascii="Arial" w:hAnsi="Arial" w:cs="Arial"/>
        </w:rPr>
        <w:t>mentally, emotionally, and personally. There were moments of doubt, exhaustion, and pain, yet I never gave up, no matter how difficult life became. I began this journey as a married woman living through domestic violence and now complete it as an independent</w:t>
      </w:r>
      <w:r w:rsidR="00826D47" w:rsidRPr="004F00CC">
        <w:rPr>
          <w:rFonts w:ascii="Arial" w:hAnsi="Arial" w:cs="Arial"/>
        </w:rPr>
        <w:t>,</w:t>
      </w:r>
      <w:r w:rsidR="00E15388" w:rsidRPr="004F00CC">
        <w:rPr>
          <w:rFonts w:ascii="Arial" w:hAnsi="Arial" w:cs="Arial"/>
        </w:rPr>
        <w:t xml:space="preserve"> </w:t>
      </w:r>
      <w:r w:rsidR="0022152E" w:rsidRPr="004F00CC">
        <w:rPr>
          <w:rFonts w:ascii="Arial" w:hAnsi="Arial" w:cs="Arial"/>
        </w:rPr>
        <w:t xml:space="preserve">divorced </w:t>
      </w:r>
      <w:r w:rsidR="00E15388" w:rsidRPr="004F00CC">
        <w:rPr>
          <w:rFonts w:ascii="Arial" w:hAnsi="Arial" w:cs="Arial"/>
        </w:rPr>
        <w:t>woman</w:t>
      </w:r>
      <w:r w:rsidR="00377F29" w:rsidRPr="004F00CC">
        <w:rPr>
          <w:rFonts w:ascii="Arial" w:hAnsi="Arial" w:cs="Arial"/>
        </w:rPr>
        <w:t xml:space="preserve"> - </w:t>
      </w:r>
      <w:r w:rsidR="00E15388" w:rsidRPr="004F00CC">
        <w:rPr>
          <w:rFonts w:ascii="Arial" w:hAnsi="Arial" w:cs="Arial"/>
        </w:rPr>
        <w:t>stronger, wiser, and proud. This dissertation represents more than academic success; it is a testament to my resilience, courage, and determination to create a better future for myself and my children.</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BA6C388" w14:textId="77777777" w:rsidR="00744137" w:rsidRDefault="0074413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EDA5561" w14:textId="1B173DCD" w:rsidR="00730C3C" w:rsidRPr="00C76785" w:rsidRDefault="0073280B" w:rsidP="00832A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i/>
          <w:sz w:val="32"/>
          <w:szCs w:val="32"/>
          <w:u w:val="single"/>
        </w:rPr>
      </w:pPr>
      <w:r w:rsidRPr="00C76785">
        <w:rPr>
          <w:rFonts w:ascii="Arial" w:eastAsia="Arial Unicode MS" w:hAnsi="Arial" w:cs="Arial"/>
          <w:b/>
          <w:sz w:val="32"/>
          <w:szCs w:val="32"/>
          <w:u w:val="single"/>
        </w:rPr>
        <w:lastRenderedPageBreak/>
        <w:t>ABSTRACT</w:t>
      </w:r>
      <w:r w:rsidRPr="00C76785">
        <w:rPr>
          <w:rFonts w:ascii="Arial" w:eastAsia="Arial Unicode MS" w:hAnsi="Arial" w:cs="Arial"/>
          <w:sz w:val="32"/>
          <w:szCs w:val="32"/>
          <w:u w:val="single"/>
        </w:rPr>
        <w:t xml:space="preserve"> </w:t>
      </w:r>
      <w:r w:rsidRPr="00C76785">
        <w:rPr>
          <w:rFonts w:ascii="Arial" w:eastAsia="Arial Unicode MS" w:hAnsi="Arial" w:cs="Arial"/>
          <w:i/>
          <w:sz w:val="32"/>
          <w:szCs w:val="32"/>
          <w:u w:val="single"/>
        </w:rPr>
        <w:t xml:space="preserve"> </w:t>
      </w:r>
    </w:p>
    <w:p w14:paraId="10433D41" w14:textId="77777777" w:rsidR="00E55E62" w:rsidRPr="00E55E62" w:rsidRDefault="00E55E62" w:rsidP="00E55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E55E62">
        <w:rPr>
          <w:rFonts w:ascii="Arial" w:hAnsi="Arial" w:cs="Arial"/>
        </w:rPr>
        <w:t>This dissertation investigates the barriers to delivering culturally competent end-of-life (EOL) care to ethnic minority communities in the United Kingdom. The study aimed to explore how communication challenges, mistrust in healthcare services, and gaps in workforce training contribute to persistent inequalities in access and quality of EOL care. This research is significant within health and social care, where delivering equitable, person-centred support remains a national priority in an increasingly diverse society.</w:t>
      </w:r>
    </w:p>
    <w:p w14:paraId="34EABDD8" w14:textId="77777777" w:rsidR="00E55E62" w:rsidRPr="00E55E62" w:rsidRDefault="00E55E62" w:rsidP="00E55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E55E62">
        <w:rPr>
          <w:rFonts w:ascii="Arial" w:hAnsi="Arial" w:cs="Arial"/>
        </w:rPr>
        <w:t>A secondary, desk-based methodology was adopted, supported by a structured search strategy, clear inclusion and exclusion criteria, and source appraisal using the CRAAP test. Thematic analysis, guided by Braun and Clarke (2006), was used to synthesise findings, with all coding documented in the results summary sheet and appendices. The dissertation drew on key theoretical frameworks, including Papadopoulos’ Cultural Competence Model and Critical Race Theory, as well as policy frameworks such as the Equality Act (2010), the Accessible Information Standard, and the NHS Long Term Plan (2019).</w:t>
      </w:r>
    </w:p>
    <w:p w14:paraId="0D1DABD7" w14:textId="77777777" w:rsidR="00E55E62" w:rsidRPr="00E55E62" w:rsidRDefault="00E55E62" w:rsidP="00E55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E55E62">
        <w:rPr>
          <w:rFonts w:ascii="Arial" w:hAnsi="Arial" w:cs="Arial"/>
        </w:rPr>
        <w:t>Three central themes were identified in Chapter 4: communication barriers and language needs, mistrust and inequalities in service access, and workforce training and cultural competence. These themes highlight that despite progressive frameworks promoting equality and inclusion, their practical implementation remains inconsistent. Language barriers, cultural misunderstanding, structural racism, and insufficient training continue to shape service experiences and limit equitable outcomes for minority patients.</w:t>
      </w:r>
    </w:p>
    <w:p w14:paraId="6FF1B001" w14:textId="77777777" w:rsidR="00E55E62" w:rsidRPr="00E55E62" w:rsidRDefault="00E55E62" w:rsidP="00E55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E55E62">
        <w:rPr>
          <w:rFonts w:ascii="Arial" w:hAnsi="Arial" w:cs="Arial"/>
        </w:rPr>
        <w:t>The dissertation acknowledges methodological limitations, particularly the reliance on secondary literature and limited UK-based studies focusing on minority experiences of EOL care. Nevertheless, the findings offer valuable insights for practice. Key recommendations include expanding professional interpreter provision, embedding cultural competence and cultural humility into workforce education, strengthening community partnerships, and improving equality monitoring across services.</w:t>
      </w:r>
    </w:p>
    <w:p w14:paraId="5D82900A" w14:textId="01C87DE6" w:rsidR="00832A99" w:rsidRPr="00832A99" w:rsidRDefault="00E55E62" w:rsidP="00E55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E55E62">
        <w:rPr>
          <w:rFonts w:ascii="Arial" w:hAnsi="Arial" w:cs="Arial"/>
        </w:rPr>
        <w:t>Overall, the dissertation concludes that meaningful improvement in EOL care requires a system-wide commitment to culturally responsive communication, trust-building, and workforce development, supported by consistent application of national equality frameworks.</w:t>
      </w:r>
    </w:p>
    <w:p w14:paraId="576A2163" w14:textId="77777777" w:rsidR="00730C3C" w:rsidRDefault="00730C3C"/>
    <w:p w14:paraId="2F774362" w14:textId="77777777" w:rsidR="00730C3C" w:rsidRDefault="00730C3C"/>
    <w:p w14:paraId="72CB7F2C" w14:textId="77777777" w:rsidR="00804B94" w:rsidRDefault="00804B94"/>
    <w:p w14:paraId="15BFA27A" w14:textId="49FBF17F" w:rsidR="00804B94" w:rsidRDefault="00804B94" w:rsidP="00804B94">
      <w:pPr>
        <w:pStyle w:val="Heading1"/>
        <w:spacing w:line="360" w:lineRule="auto"/>
        <w:ind w:left="0"/>
        <w:jc w:val="center"/>
        <w:rPr>
          <w:rFonts w:ascii="Aptos" w:hAnsi="Aptos"/>
          <w:u w:val="single"/>
        </w:rPr>
      </w:pPr>
      <w:r w:rsidRPr="00BF2C80">
        <w:rPr>
          <w:rFonts w:ascii="Aptos" w:hAnsi="Aptos"/>
          <w:u w:val="single"/>
        </w:rPr>
        <w:lastRenderedPageBreak/>
        <w:t>Table of Contents</w:t>
      </w:r>
    </w:p>
    <w:p w14:paraId="420225F0" w14:textId="77777777" w:rsidR="00FA0DB9" w:rsidRDefault="00FA0DB9" w:rsidP="00804B94">
      <w:pPr>
        <w:pStyle w:val="Heading1"/>
        <w:spacing w:line="360" w:lineRule="auto"/>
        <w:ind w:left="0"/>
        <w:jc w:val="center"/>
        <w:rPr>
          <w:rFonts w:ascii="Aptos" w:hAnsi="Aptos"/>
          <w:u w:val="single"/>
        </w:rPr>
      </w:pPr>
    </w:p>
    <w:p w14:paraId="11ED55C6" w14:textId="69778808" w:rsidR="00BF2C80" w:rsidRDefault="00F66708" w:rsidP="00BF2C80">
      <w:pPr>
        <w:pStyle w:val="Heading1"/>
        <w:spacing w:line="360" w:lineRule="auto"/>
        <w:ind w:left="0"/>
        <w:rPr>
          <w:rFonts w:cs="Arial"/>
          <w:sz w:val="22"/>
          <w:szCs w:val="22"/>
        </w:rPr>
      </w:pPr>
      <w:r w:rsidRPr="00F66708">
        <w:rPr>
          <w:rFonts w:cs="Arial"/>
          <w:sz w:val="22"/>
          <w:szCs w:val="22"/>
        </w:rPr>
        <w:t>Chapter 1</w:t>
      </w:r>
      <w:r>
        <w:rPr>
          <w:rFonts w:cs="Arial"/>
          <w:sz w:val="22"/>
          <w:szCs w:val="22"/>
        </w:rPr>
        <w:t xml:space="preserve"> …………………………………………………………………………</w:t>
      </w:r>
      <w:proofErr w:type="gramStart"/>
      <w:r>
        <w:rPr>
          <w:rFonts w:cs="Arial"/>
          <w:sz w:val="22"/>
          <w:szCs w:val="22"/>
        </w:rPr>
        <w:t>…..</w:t>
      </w:r>
      <w:proofErr w:type="gramEnd"/>
      <w:r>
        <w:rPr>
          <w:rFonts w:cs="Arial"/>
          <w:sz w:val="22"/>
          <w:szCs w:val="22"/>
        </w:rPr>
        <w:t xml:space="preserve"> Page </w:t>
      </w:r>
      <w:r w:rsidR="00482FF2">
        <w:rPr>
          <w:rFonts w:cs="Arial"/>
          <w:sz w:val="22"/>
          <w:szCs w:val="22"/>
        </w:rPr>
        <w:t>8</w:t>
      </w:r>
    </w:p>
    <w:p w14:paraId="427161B5" w14:textId="6FF22897" w:rsidR="00F66708" w:rsidRDefault="00837A0E" w:rsidP="00BF2C80">
      <w:pPr>
        <w:pStyle w:val="Heading1"/>
        <w:spacing w:line="360" w:lineRule="auto"/>
        <w:ind w:left="0"/>
        <w:rPr>
          <w:rFonts w:cs="Arial"/>
          <w:b w:val="0"/>
          <w:bCs/>
          <w:sz w:val="22"/>
          <w:szCs w:val="22"/>
        </w:rPr>
      </w:pPr>
      <w:r>
        <w:rPr>
          <w:rFonts w:cs="Arial"/>
          <w:sz w:val="22"/>
          <w:szCs w:val="22"/>
        </w:rPr>
        <w:tab/>
      </w:r>
      <w:r w:rsidR="00CB5CF4" w:rsidRPr="00CB5CF4">
        <w:rPr>
          <w:rFonts w:cs="Arial"/>
          <w:b w:val="0"/>
          <w:bCs/>
          <w:sz w:val="22"/>
          <w:szCs w:val="22"/>
        </w:rPr>
        <w:t>1.1</w:t>
      </w:r>
      <w:r w:rsidR="00CB5CF4">
        <w:rPr>
          <w:rFonts w:cs="Arial"/>
          <w:sz w:val="22"/>
          <w:szCs w:val="22"/>
        </w:rPr>
        <w:t xml:space="preserve"> </w:t>
      </w:r>
      <w:r>
        <w:rPr>
          <w:rFonts w:cs="Arial"/>
          <w:b w:val="0"/>
          <w:bCs/>
          <w:sz w:val="22"/>
          <w:szCs w:val="22"/>
        </w:rPr>
        <w:t>Introduction ………………………………………………………………</w:t>
      </w:r>
      <w:r w:rsidR="00BA7CC6">
        <w:rPr>
          <w:rFonts w:cs="Arial"/>
          <w:b w:val="0"/>
          <w:bCs/>
          <w:sz w:val="22"/>
          <w:szCs w:val="22"/>
        </w:rPr>
        <w:t xml:space="preserve"> </w:t>
      </w:r>
      <w:r>
        <w:rPr>
          <w:rFonts w:cs="Arial"/>
          <w:b w:val="0"/>
          <w:bCs/>
          <w:sz w:val="22"/>
          <w:szCs w:val="22"/>
        </w:rPr>
        <w:t xml:space="preserve">Page </w:t>
      </w:r>
      <w:r w:rsidR="00BB4565">
        <w:rPr>
          <w:rFonts w:cs="Arial"/>
          <w:b w:val="0"/>
          <w:bCs/>
          <w:sz w:val="22"/>
          <w:szCs w:val="22"/>
        </w:rPr>
        <w:t>8</w:t>
      </w:r>
    </w:p>
    <w:p w14:paraId="106F23EF" w14:textId="445C63F6" w:rsidR="00837A0E" w:rsidRDefault="00837A0E" w:rsidP="00BF2C80">
      <w:pPr>
        <w:pStyle w:val="Heading1"/>
        <w:spacing w:line="360" w:lineRule="auto"/>
        <w:ind w:left="0"/>
        <w:rPr>
          <w:rFonts w:cs="Arial"/>
          <w:b w:val="0"/>
          <w:bCs/>
          <w:sz w:val="22"/>
          <w:szCs w:val="22"/>
        </w:rPr>
      </w:pPr>
      <w:r>
        <w:rPr>
          <w:rFonts w:cs="Arial"/>
          <w:b w:val="0"/>
          <w:bCs/>
          <w:sz w:val="22"/>
          <w:szCs w:val="22"/>
        </w:rPr>
        <w:tab/>
        <w:t>1.2</w:t>
      </w:r>
      <w:r w:rsidR="00CB5CF4">
        <w:rPr>
          <w:rFonts w:cs="Arial"/>
          <w:b w:val="0"/>
          <w:bCs/>
          <w:sz w:val="22"/>
          <w:szCs w:val="22"/>
        </w:rPr>
        <w:t xml:space="preserve"> Definitions and Terminology ……………………………………………</w:t>
      </w:r>
      <w:r w:rsidR="00BA7CC6">
        <w:rPr>
          <w:rFonts w:cs="Arial"/>
          <w:b w:val="0"/>
          <w:bCs/>
          <w:sz w:val="22"/>
          <w:szCs w:val="22"/>
        </w:rPr>
        <w:t xml:space="preserve"> Page </w:t>
      </w:r>
      <w:r w:rsidR="00BB4565">
        <w:rPr>
          <w:rFonts w:cs="Arial"/>
          <w:b w:val="0"/>
          <w:bCs/>
          <w:sz w:val="22"/>
          <w:szCs w:val="22"/>
        </w:rPr>
        <w:t>8</w:t>
      </w:r>
    </w:p>
    <w:p w14:paraId="0D7854ED" w14:textId="18F53B33" w:rsidR="00BA7CC6" w:rsidRDefault="00BA7CC6" w:rsidP="00BF2C80">
      <w:pPr>
        <w:pStyle w:val="Heading1"/>
        <w:spacing w:line="360" w:lineRule="auto"/>
        <w:ind w:left="0"/>
        <w:rPr>
          <w:rFonts w:cs="Arial"/>
          <w:b w:val="0"/>
          <w:bCs/>
          <w:sz w:val="22"/>
          <w:szCs w:val="22"/>
        </w:rPr>
      </w:pPr>
      <w:r>
        <w:rPr>
          <w:rFonts w:cs="Arial"/>
          <w:b w:val="0"/>
          <w:bCs/>
          <w:sz w:val="22"/>
          <w:szCs w:val="22"/>
        </w:rPr>
        <w:tab/>
        <w:t>1.3 Rationale for Research</w:t>
      </w:r>
      <w:r w:rsidR="00F77449">
        <w:rPr>
          <w:rFonts w:cs="Arial"/>
          <w:b w:val="0"/>
          <w:bCs/>
          <w:sz w:val="22"/>
          <w:szCs w:val="22"/>
        </w:rPr>
        <w:t xml:space="preserve"> ………………………………………………… Page </w:t>
      </w:r>
      <w:r w:rsidR="00BB4565">
        <w:rPr>
          <w:rFonts w:cs="Arial"/>
          <w:b w:val="0"/>
          <w:bCs/>
          <w:sz w:val="22"/>
          <w:szCs w:val="22"/>
        </w:rPr>
        <w:t>9</w:t>
      </w:r>
    </w:p>
    <w:p w14:paraId="7C15AE74" w14:textId="5D7DEA2F" w:rsidR="00F77449" w:rsidRDefault="00F77449" w:rsidP="00BF2C80">
      <w:pPr>
        <w:pStyle w:val="Heading1"/>
        <w:spacing w:line="360" w:lineRule="auto"/>
        <w:ind w:left="0"/>
        <w:rPr>
          <w:rFonts w:cs="Arial"/>
          <w:b w:val="0"/>
          <w:bCs/>
          <w:sz w:val="22"/>
          <w:szCs w:val="22"/>
        </w:rPr>
      </w:pPr>
      <w:r>
        <w:rPr>
          <w:rFonts w:cs="Arial"/>
          <w:b w:val="0"/>
          <w:bCs/>
          <w:sz w:val="22"/>
          <w:szCs w:val="22"/>
        </w:rPr>
        <w:tab/>
        <w:t xml:space="preserve">1.4 Aim and Objectives </w:t>
      </w:r>
      <w:r w:rsidR="00D24AB3">
        <w:rPr>
          <w:rFonts w:cs="Arial"/>
          <w:b w:val="0"/>
          <w:bCs/>
          <w:sz w:val="22"/>
          <w:szCs w:val="22"/>
        </w:rPr>
        <w:t>…………………………………………………</w:t>
      </w:r>
      <w:proofErr w:type="gramStart"/>
      <w:r w:rsidR="00D24AB3">
        <w:rPr>
          <w:rFonts w:cs="Arial"/>
          <w:b w:val="0"/>
          <w:bCs/>
          <w:sz w:val="22"/>
          <w:szCs w:val="22"/>
        </w:rPr>
        <w:t>…..</w:t>
      </w:r>
      <w:proofErr w:type="gramEnd"/>
      <w:r w:rsidR="00D24AB3">
        <w:rPr>
          <w:rFonts w:cs="Arial"/>
          <w:b w:val="0"/>
          <w:bCs/>
          <w:sz w:val="22"/>
          <w:szCs w:val="22"/>
        </w:rPr>
        <w:t xml:space="preserve"> Page </w:t>
      </w:r>
      <w:r w:rsidR="00BB4565">
        <w:rPr>
          <w:rFonts w:cs="Arial"/>
          <w:b w:val="0"/>
          <w:bCs/>
          <w:sz w:val="22"/>
          <w:szCs w:val="22"/>
        </w:rPr>
        <w:t>10</w:t>
      </w:r>
    </w:p>
    <w:p w14:paraId="039C1F1B" w14:textId="58B8327D" w:rsidR="00FA0DB9" w:rsidRDefault="00D24AB3" w:rsidP="00BF2C80">
      <w:pPr>
        <w:pStyle w:val="Heading1"/>
        <w:spacing w:line="360" w:lineRule="auto"/>
        <w:ind w:left="0"/>
        <w:rPr>
          <w:rFonts w:cs="Arial"/>
          <w:b w:val="0"/>
          <w:bCs/>
          <w:sz w:val="22"/>
          <w:szCs w:val="22"/>
        </w:rPr>
      </w:pPr>
      <w:r>
        <w:rPr>
          <w:rFonts w:cs="Arial"/>
          <w:b w:val="0"/>
          <w:bCs/>
          <w:sz w:val="22"/>
          <w:szCs w:val="22"/>
        </w:rPr>
        <w:tab/>
        <w:t>1.5 Conclusion ………………………………………………………………. Page 1</w:t>
      </w:r>
      <w:r w:rsidR="00BB4565">
        <w:rPr>
          <w:rFonts w:cs="Arial"/>
          <w:b w:val="0"/>
          <w:bCs/>
          <w:sz w:val="22"/>
          <w:szCs w:val="22"/>
        </w:rPr>
        <w:t>1</w:t>
      </w:r>
    </w:p>
    <w:p w14:paraId="7828B678" w14:textId="77777777" w:rsidR="007E100E" w:rsidRDefault="007E100E" w:rsidP="00BF2C80">
      <w:pPr>
        <w:pStyle w:val="Heading1"/>
        <w:spacing w:line="360" w:lineRule="auto"/>
        <w:ind w:left="0"/>
        <w:rPr>
          <w:rFonts w:cs="Arial"/>
          <w:b w:val="0"/>
          <w:bCs/>
          <w:sz w:val="22"/>
          <w:szCs w:val="22"/>
        </w:rPr>
      </w:pPr>
    </w:p>
    <w:p w14:paraId="1F7CDC22" w14:textId="6C6E3208" w:rsidR="001C72C5" w:rsidRDefault="00253158" w:rsidP="00BF2C80">
      <w:pPr>
        <w:pStyle w:val="Heading1"/>
        <w:spacing w:line="360" w:lineRule="auto"/>
        <w:ind w:left="0"/>
        <w:rPr>
          <w:rFonts w:cs="Arial"/>
          <w:sz w:val="22"/>
          <w:szCs w:val="22"/>
        </w:rPr>
      </w:pPr>
      <w:r>
        <w:rPr>
          <w:rFonts w:cs="Arial"/>
          <w:sz w:val="22"/>
          <w:szCs w:val="22"/>
        </w:rPr>
        <w:t>Chapter 2 – Background Information and Analy</w:t>
      </w:r>
      <w:r w:rsidR="0005125E">
        <w:rPr>
          <w:rFonts w:cs="Arial"/>
          <w:sz w:val="22"/>
          <w:szCs w:val="22"/>
        </w:rPr>
        <w:t>sis</w:t>
      </w:r>
      <w:r w:rsidR="00A20576">
        <w:rPr>
          <w:rFonts w:cs="Arial"/>
          <w:sz w:val="22"/>
          <w:szCs w:val="22"/>
        </w:rPr>
        <w:t xml:space="preserve"> …………………………. Page 1</w:t>
      </w:r>
      <w:r w:rsidR="00C17D6E">
        <w:rPr>
          <w:rFonts w:cs="Arial"/>
          <w:sz w:val="22"/>
          <w:szCs w:val="22"/>
        </w:rPr>
        <w:t>2</w:t>
      </w:r>
    </w:p>
    <w:p w14:paraId="6619F197" w14:textId="5180A370" w:rsidR="00A20576" w:rsidRDefault="00A20576" w:rsidP="00BF2C80">
      <w:pPr>
        <w:pStyle w:val="Heading1"/>
        <w:spacing w:line="360" w:lineRule="auto"/>
        <w:ind w:left="0"/>
        <w:rPr>
          <w:rFonts w:cs="Arial"/>
          <w:b w:val="0"/>
          <w:bCs/>
          <w:sz w:val="22"/>
          <w:szCs w:val="22"/>
        </w:rPr>
      </w:pPr>
      <w:r>
        <w:rPr>
          <w:rFonts w:cs="Arial"/>
          <w:sz w:val="22"/>
          <w:szCs w:val="22"/>
        </w:rPr>
        <w:tab/>
      </w:r>
      <w:r>
        <w:rPr>
          <w:rFonts w:cs="Arial"/>
          <w:b w:val="0"/>
          <w:bCs/>
          <w:sz w:val="22"/>
          <w:szCs w:val="22"/>
        </w:rPr>
        <w:t>2.1 Introduction ……………………………………………………………… Page 1</w:t>
      </w:r>
      <w:r w:rsidR="00C17D6E">
        <w:rPr>
          <w:rFonts w:cs="Arial"/>
          <w:b w:val="0"/>
          <w:bCs/>
          <w:sz w:val="22"/>
          <w:szCs w:val="22"/>
        </w:rPr>
        <w:t>2</w:t>
      </w:r>
    </w:p>
    <w:p w14:paraId="357CB55E" w14:textId="7197DB90" w:rsidR="00A20576" w:rsidRDefault="00A20576" w:rsidP="00BF2C80">
      <w:pPr>
        <w:pStyle w:val="Heading1"/>
        <w:spacing w:line="360" w:lineRule="auto"/>
        <w:ind w:left="0"/>
        <w:rPr>
          <w:rFonts w:cs="Arial"/>
          <w:b w:val="0"/>
          <w:bCs/>
          <w:sz w:val="22"/>
          <w:szCs w:val="22"/>
        </w:rPr>
      </w:pPr>
      <w:r>
        <w:rPr>
          <w:rFonts w:cs="Arial"/>
          <w:b w:val="0"/>
          <w:bCs/>
          <w:sz w:val="22"/>
          <w:szCs w:val="22"/>
        </w:rPr>
        <w:tab/>
        <w:t>2.2 Historical Background …………………………………………………. Page 1</w:t>
      </w:r>
      <w:r w:rsidR="00C17D6E">
        <w:rPr>
          <w:rFonts w:cs="Arial"/>
          <w:b w:val="0"/>
          <w:bCs/>
          <w:sz w:val="22"/>
          <w:szCs w:val="22"/>
        </w:rPr>
        <w:t>2</w:t>
      </w:r>
    </w:p>
    <w:p w14:paraId="40AC415F" w14:textId="468A5F0E" w:rsidR="00A20576" w:rsidRDefault="00A20576" w:rsidP="00BF2C80">
      <w:pPr>
        <w:pStyle w:val="Heading1"/>
        <w:spacing w:line="360" w:lineRule="auto"/>
        <w:ind w:left="0"/>
        <w:rPr>
          <w:rFonts w:cs="Arial"/>
          <w:b w:val="0"/>
          <w:bCs/>
          <w:sz w:val="22"/>
          <w:szCs w:val="22"/>
        </w:rPr>
      </w:pPr>
      <w:r>
        <w:rPr>
          <w:rFonts w:cs="Arial"/>
          <w:b w:val="0"/>
          <w:bCs/>
          <w:sz w:val="22"/>
          <w:szCs w:val="22"/>
        </w:rPr>
        <w:tab/>
        <w:t>2.3 Theo</w:t>
      </w:r>
      <w:r w:rsidR="004A33CD">
        <w:rPr>
          <w:rFonts w:cs="Arial"/>
          <w:b w:val="0"/>
          <w:bCs/>
          <w:sz w:val="22"/>
          <w:szCs w:val="22"/>
        </w:rPr>
        <w:t>retical Background ……………………………………………</w:t>
      </w:r>
      <w:proofErr w:type="gramStart"/>
      <w:r w:rsidR="004A33CD">
        <w:rPr>
          <w:rFonts w:cs="Arial"/>
          <w:b w:val="0"/>
          <w:bCs/>
          <w:sz w:val="22"/>
          <w:szCs w:val="22"/>
        </w:rPr>
        <w:t>…..</w:t>
      </w:r>
      <w:proofErr w:type="gramEnd"/>
      <w:r w:rsidR="004A33CD">
        <w:rPr>
          <w:rFonts w:cs="Arial"/>
          <w:b w:val="0"/>
          <w:bCs/>
          <w:sz w:val="22"/>
          <w:szCs w:val="22"/>
        </w:rPr>
        <w:t xml:space="preserve"> Page 1</w:t>
      </w:r>
      <w:r w:rsidR="00C17D6E">
        <w:rPr>
          <w:rFonts w:cs="Arial"/>
          <w:b w:val="0"/>
          <w:bCs/>
          <w:sz w:val="22"/>
          <w:szCs w:val="22"/>
        </w:rPr>
        <w:t>4</w:t>
      </w:r>
    </w:p>
    <w:p w14:paraId="4D52317C" w14:textId="10BF9463" w:rsidR="004A33CD" w:rsidRDefault="004A33CD" w:rsidP="00BF2C80">
      <w:pPr>
        <w:pStyle w:val="Heading1"/>
        <w:spacing w:line="360" w:lineRule="auto"/>
        <w:ind w:left="0"/>
        <w:rPr>
          <w:rFonts w:cs="Arial"/>
          <w:b w:val="0"/>
          <w:bCs/>
          <w:sz w:val="22"/>
          <w:szCs w:val="22"/>
        </w:rPr>
      </w:pPr>
      <w:r>
        <w:rPr>
          <w:rFonts w:cs="Arial"/>
          <w:b w:val="0"/>
          <w:bCs/>
          <w:sz w:val="22"/>
          <w:szCs w:val="22"/>
        </w:rPr>
        <w:tab/>
        <w:t>2.4 International Context …………………………………………………… Page</w:t>
      </w:r>
      <w:r w:rsidR="00E72F5B">
        <w:rPr>
          <w:rFonts w:cs="Arial"/>
          <w:b w:val="0"/>
          <w:bCs/>
          <w:sz w:val="22"/>
          <w:szCs w:val="22"/>
        </w:rPr>
        <w:t xml:space="preserve"> 1</w:t>
      </w:r>
      <w:r w:rsidR="00C17D6E">
        <w:rPr>
          <w:rFonts w:cs="Arial"/>
          <w:b w:val="0"/>
          <w:bCs/>
          <w:sz w:val="22"/>
          <w:szCs w:val="22"/>
        </w:rPr>
        <w:t>5</w:t>
      </w:r>
    </w:p>
    <w:p w14:paraId="6A032996" w14:textId="1084F2CC" w:rsidR="00E72F5B" w:rsidRDefault="00E72F5B" w:rsidP="00BF2C80">
      <w:pPr>
        <w:pStyle w:val="Heading1"/>
        <w:spacing w:line="360" w:lineRule="auto"/>
        <w:ind w:left="0"/>
        <w:rPr>
          <w:rFonts w:cs="Arial"/>
          <w:b w:val="0"/>
          <w:bCs/>
          <w:sz w:val="22"/>
          <w:szCs w:val="22"/>
        </w:rPr>
      </w:pPr>
      <w:r>
        <w:rPr>
          <w:rFonts w:cs="Arial"/>
          <w:b w:val="0"/>
          <w:bCs/>
          <w:sz w:val="22"/>
          <w:szCs w:val="22"/>
        </w:rPr>
        <w:tab/>
        <w:t>2.5 National/Local Context ………………………………………………… Page 1</w:t>
      </w:r>
      <w:r w:rsidR="00C17D6E">
        <w:rPr>
          <w:rFonts w:cs="Arial"/>
          <w:b w:val="0"/>
          <w:bCs/>
          <w:sz w:val="22"/>
          <w:szCs w:val="22"/>
        </w:rPr>
        <w:t>7</w:t>
      </w:r>
    </w:p>
    <w:p w14:paraId="0E3524E9" w14:textId="3EE8E637" w:rsidR="00E72F5B" w:rsidRDefault="00E72F5B" w:rsidP="00BF2C80">
      <w:pPr>
        <w:pStyle w:val="Heading1"/>
        <w:spacing w:line="360" w:lineRule="auto"/>
        <w:ind w:left="0"/>
        <w:rPr>
          <w:rFonts w:cs="Arial"/>
          <w:b w:val="0"/>
          <w:bCs/>
          <w:sz w:val="22"/>
          <w:szCs w:val="22"/>
        </w:rPr>
      </w:pPr>
      <w:r>
        <w:rPr>
          <w:rFonts w:cs="Arial"/>
          <w:b w:val="0"/>
          <w:bCs/>
          <w:sz w:val="22"/>
          <w:szCs w:val="22"/>
        </w:rPr>
        <w:tab/>
      </w:r>
      <w:r w:rsidR="00B92DC8">
        <w:rPr>
          <w:rFonts w:cs="Arial"/>
          <w:b w:val="0"/>
          <w:bCs/>
          <w:sz w:val="22"/>
          <w:szCs w:val="22"/>
        </w:rPr>
        <w:t>2.6 Conclusion ……………………………………………………………… Page 1</w:t>
      </w:r>
      <w:r w:rsidR="00FA1A17">
        <w:rPr>
          <w:rFonts w:cs="Arial"/>
          <w:b w:val="0"/>
          <w:bCs/>
          <w:sz w:val="22"/>
          <w:szCs w:val="22"/>
        </w:rPr>
        <w:t>8</w:t>
      </w:r>
    </w:p>
    <w:p w14:paraId="3BDE9D11" w14:textId="77777777" w:rsidR="007E100E" w:rsidRDefault="007E100E" w:rsidP="00BF2C80">
      <w:pPr>
        <w:pStyle w:val="Heading1"/>
        <w:spacing w:line="360" w:lineRule="auto"/>
        <w:ind w:left="0"/>
        <w:rPr>
          <w:rFonts w:cs="Arial"/>
          <w:b w:val="0"/>
          <w:bCs/>
          <w:sz w:val="22"/>
          <w:szCs w:val="22"/>
        </w:rPr>
      </w:pPr>
    </w:p>
    <w:p w14:paraId="7B1FC121" w14:textId="1F353942" w:rsidR="00B92DC8" w:rsidRDefault="00B92DC8" w:rsidP="00BF2C80">
      <w:pPr>
        <w:pStyle w:val="Heading1"/>
        <w:spacing w:line="360" w:lineRule="auto"/>
        <w:ind w:left="0"/>
        <w:rPr>
          <w:rFonts w:cs="Arial"/>
          <w:sz w:val="22"/>
          <w:szCs w:val="22"/>
        </w:rPr>
      </w:pPr>
      <w:r>
        <w:rPr>
          <w:rFonts w:cs="Arial"/>
          <w:sz w:val="22"/>
          <w:szCs w:val="22"/>
        </w:rPr>
        <w:t xml:space="preserve">Chapter 3 </w:t>
      </w:r>
      <w:r w:rsidR="009A6CC6">
        <w:rPr>
          <w:rFonts w:cs="Arial"/>
          <w:sz w:val="22"/>
          <w:szCs w:val="22"/>
        </w:rPr>
        <w:t>–</w:t>
      </w:r>
      <w:r>
        <w:rPr>
          <w:rFonts w:cs="Arial"/>
          <w:sz w:val="22"/>
          <w:szCs w:val="22"/>
        </w:rPr>
        <w:t xml:space="preserve"> </w:t>
      </w:r>
      <w:r w:rsidR="009A6CC6">
        <w:rPr>
          <w:rFonts w:cs="Arial"/>
          <w:sz w:val="22"/>
          <w:szCs w:val="22"/>
        </w:rPr>
        <w:t xml:space="preserve">Methods and Search Strategy ……………………………………. Page </w:t>
      </w:r>
      <w:r w:rsidR="00FA1A17">
        <w:rPr>
          <w:rFonts w:cs="Arial"/>
          <w:sz w:val="22"/>
          <w:szCs w:val="22"/>
        </w:rPr>
        <w:t>20</w:t>
      </w:r>
    </w:p>
    <w:p w14:paraId="7157B2DC" w14:textId="0821C4DB" w:rsidR="009A6CC6" w:rsidRDefault="00482B7B" w:rsidP="00BF2C80">
      <w:pPr>
        <w:pStyle w:val="Heading1"/>
        <w:spacing w:line="360" w:lineRule="auto"/>
        <w:ind w:left="0"/>
        <w:rPr>
          <w:rFonts w:cs="Arial"/>
          <w:b w:val="0"/>
          <w:bCs/>
          <w:sz w:val="22"/>
          <w:szCs w:val="22"/>
        </w:rPr>
      </w:pPr>
      <w:r>
        <w:rPr>
          <w:rFonts w:cs="Arial"/>
          <w:b w:val="0"/>
          <w:bCs/>
          <w:sz w:val="22"/>
          <w:szCs w:val="22"/>
        </w:rPr>
        <w:tab/>
        <w:t xml:space="preserve">3.1 Introduction ……………………………………………………………… Page </w:t>
      </w:r>
      <w:r w:rsidR="00FA1A17">
        <w:rPr>
          <w:rFonts w:cs="Arial"/>
          <w:b w:val="0"/>
          <w:bCs/>
          <w:sz w:val="22"/>
          <w:szCs w:val="22"/>
        </w:rPr>
        <w:t>20</w:t>
      </w:r>
    </w:p>
    <w:p w14:paraId="2B400B9C" w14:textId="5C13729E" w:rsidR="00482B7B" w:rsidRDefault="00482B7B" w:rsidP="00BF2C80">
      <w:pPr>
        <w:pStyle w:val="Heading1"/>
        <w:spacing w:line="360" w:lineRule="auto"/>
        <w:ind w:left="0"/>
        <w:rPr>
          <w:rFonts w:cs="Arial"/>
          <w:b w:val="0"/>
          <w:bCs/>
          <w:sz w:val="22"/>
          <w:szCs w:val="22"/>
        </w:rPr>
      </w:pPr>
      <w:r>
        <w:rPr>
          <w:rFonts w:cs="Arial"/>
          <w:b w:val="0"/>
          <w:bCs/>
          <w:sz w:val="22"/>
          <w:szCs w:val="22"/>
        </w:rPr>
        <w:tab/>
        <w:t>3.2 Search St</w:t>
      </w:r>
      <w:r w:rsidR="00847F08">
        <w:rPr>
          <w:rFonts w:cs="Arial"/>
          <w:b w:val="0"/>
          <w:bCs/>
          <w:sz w:val="22"/>
          <w:szCs w:val="22"/>
        </w:rPr>
        <w:t xml:space="preserve">rategy ………………………………………………………… Page </w:t>
      </w:r>
      <w:r w:rsidR="00FA1A17">
        <w:rPr>
          <w:rFonts w:cs="Arial"/>
          <w:b w:val="0"/>
          <w:bCs/>
          <w:sz w:val="22"/>
          <w:szCs w:val="22"/>
        </w:rPr>
        <w:t>20</w:t>
      </w:r>
    </w:p>
    <w:p w14:paraId="0F96B3E9" w14:textId="782565B5" w:rsidR="00847F08" w:rsidRDefault="00847F08" w:rsidP="00BF2C80">
      <w:pPr>
        <w:pStyle w:val="Heading1"/>
        <w:spacing w:line="360" w:lineRule="auto"/>
        <w:ind w:left="0"/>
        <w:rPr>
          <w:rFonts w:cs="Arial"/>
          <w:b w:val="0"/>
          <w:bCs/>
          <w:sz w:val="22"/>
          <w:szCs w:val="22"/>
        </w:rPr>
      </w:pPr>
      <w:r>
        <w:rPr>
          <w:rFonts w:cs="Arial"/>
          <w:b w:val="0"/>
          <w:bCs/>
          <w:sz w:val="22"/>
          <w:szCs w:val="22"/>
        </w:rPr>
        <w:tab/>
        <w:t>3.3 Searching for information ……………………………………………… Page</w:t>
      </w:r>
      <w:r w:rsidR="00ED7575">
        <w:rPr>
          <w:rFonts w:cs="Arial"/>
          <w:b w:val="0"/>
          <w:bCs/>
          <w:sz w:val="22"/>
          <w:szCs w:val="22"/>
        </w:rPr>
        <w:t xml:space="preserve"> 2</w:t>
      </w:r>
      <w:r w:rsidR="008105C5">
        <w:rPr>
          <w:rFonts w:cs="Arial"/>
          <w:b w:val="0"/>
          <w:bCs/>
          <w:sz w:val="22"/>
          <w:szCs w:val="22"/>
        </w:rPr>
        <w:t>1</w:t>
      </w:r>
    </w:p>
    <w:p w14:paraId="15D232F9" w14:textId="50D9C174" w:rsidR="00ED7575" w:rsidRDefault="00ED7575" w:rsidP="00BF2C80">
      <w:pPr>
        <w:pStyle w:val="Heading1"/>
        <w:spacing w:line="360" w:lineRule="auto"/>
        <w:ind w:left="0"/>
        <w:rPr>
          <w:rFonts w:cs="Arial"/>
          <w:b w:val="0"/>
          <w:bCs/>
          <w:sz w:val="22"/>
          <w:szCs w:val="22"/>
        </w:rPr>
      </w:pPr>
      <w:r>
        <w:rPr>
          <w:rFonts w:cs="Arial"/>
          <w:b w:val="0"/>
          <w:bCs/>
          <w:sz w:val="22"/>
          <w:szCs w:val="22"/>
        </w:rPr>
        <w:tab/>
        <w:t>3.4 Research Validation ……………………………………………………</w:t>
      </w:r>
      <w:r w:rsidR="00BC156B">
        <w:rPr>
          <w:rFonts w:cs="Arial"/>
          <w:b w:val="0"/>
          <w:bCs/>
          <w:sz w:val="22"/>
          <w:szCs w:val="22"/>
        </w:rPr>
        <w:t>.</w:t>
      </w:r>
      <w:r>
        <w:rPr>
          <w:rFonts w:cs="Arial"/>
          <w:b w:val="0"/>
          <w:bCs/>
          <w:sz w:val="22"/>
          <w:szCs w:val="22"/>
        </w:rPr>
        <w:t xml:space="preserve"> Page 2</w:t>
      </w:r>
      <w:r w:rsidR="008105C5">
        <w:rPr>
          <w:rFonts w:cs="Arial"/>
          <w:b w:val="0"/>
          <w:bCs/>
          <w:sz w:val="22"/>
          <w:szCs w:val="22"/>
        </w:rPr>
        <w:t>1</w:t>
      </w:r>
    </w:p>
    <w:p w14:paraId="68CF2388" w14:textId="4CDF584E" w:rsidR="00ED7575" w:rsidRDefault="00ED7575" w:rsidP="00BF2C80">
      <w:pPr>
        <w:pStyle w:val="Heading1"/>
        <w:spacing w:line="360" w:lineRule="auto"/>
        <w:ind w:left="0"/>
        <w:rPr>
          <w:rFonts w:cs="Arial"/>
          <w:b w:val="0"/>
          <w:bCs/>
          <w:sz w:val="22"/>
          <w:szCs w:val="22"/>
        </w:rPr>
      </w:pPr>
      <w:r>
        <w:rPr>
          <w:rFonts w:cs="Arial"/>
          <w:b w:val="0"/>
          <w:bCs/>
          <w:sz w:val="22"/>
          <w:szCs w:val="22"/>
        </w:rPr>
        <w:tab/>
      </w:r>
      <w:r w:rsidR="007548C7">
        <w:rPr>
          <w:rFonts w:cs="Arial"/>
          <w:b w:val="0"/>
          <w:bCs/>
          <w:sz w:val="22"/>
          <w:szCs w:val="22"/>
        </w:rPr>
        <w:t>3.5 Inclusion</w:t>
      </w:r>
      <w:r w:rsidR="00A86CD6">
        <w:rPr>
          <w:rFonts w:cs="Arial"/>
          <w:b w:val="0"/>
          <w:bCs/>
          <w:sz w:val="22"/>
          <w:szCs w:val="22"/>
        </w:rPr>
        <w:t xml:space="preserve"> and Exclusion Criteria ……………………………………</w:t>
      </w:r>
      <w:r w:rsidR="00BC156B">
        <w:rPr>
          <w:rFonts w:cs="Arial"/>
          <w:b w:val="0"/>
          <w:bCs/>
          <w:sz w:val="22"/>
          <w:szCs w:val="22"/>
        </w:rPr>
        <w:t>.</w:t>
      </w:r>
      <w:r w:rsidR="00A86CD6">
        <w:rPr>
          <w:rFonts w:cs="Arial"/>
          <w:b w:val="0"/>
          <w:bCs/>
          <w:sz w:val="22"/>
          <w:szCs w:val="22"/>
        </w:rPr>
        <w:t>… Page 2</w:t>
      </w:r>
      <w:r w:rsidR="008105C5">
        <w:rPr>
          <w:rFonts w:cs="Arial"/>
          <w:b w:val="0"/>
          <w:bCs/>
          <w:sz w:val="22"/>
          <w:szCs w:val="22"/>
        </w:rPr>
        <w:t>2</w:t>
      </w:r>
    </w:p>
    <w:p w14:paraId="752F388A" w14:textId="5F223748" w:rsidR="00A86CD6" w:rsidRDefault="00A86CD6" w:rsidP="00BF2C80">
      <w:pPr>
        <w:pStyle w:val="Heading1"/>
        <w:spacing w:line="360" w:lineRule="auto"/>
        <w:ind w:left="0"/>
        <w:rPr>
          <w:rFonts w:cs="Arial"/>
          <w:b w:val="0"/>
          <w:bCs/>
          <w:sz w:val="22"/>
          <w:szCs w:val="22"/>
        </w:rPr>
      </w:pPr>
      <w:r>
        <w:rPr>
          <w:rFonts w:cs="Arial"/>
          <w:b w:val="0"/>
          <w:bCs/>
          <w:sz w:val="22"/>
          <w:szCs w:val="22"/>
        </w:rPr>
        <w:tab/>
        <w:t>3.6 Analysis Research ……………………………………………………...</w:t>
      </w:r>
      <w:r w:rsidR="007159A3">
        <w:rPr>
          <w:rFonts w:cs="Arial"/>
          <w:b w:val="0"/>
          <w:bCs/>
          <w:sz w:val="22"/>
          <w:szCs w:val="22"/>
        </w:rPr>
        <w:t xml:space="preserve"> Page 2</w:t>
      </w:r>
      <w:r w:rsidR="008105C5">
        <w:rPr>
          <w:rFonts w:cs="Arial"/>
          <w:b w:val="0"/>
          <w:bCs/>
          <w:sz w:val="22"/>
          <w:szCs w:val="22"/>
        </w:rPr>
        <w:t>2</w:t>
      </w:r>
    </w:p>
    <w:p w14:paraId="1CD8CA94" w14:textId="7752F62E" w:rsidR="007159A3" w:rsidRDefault="007159A3" w:rsidP="00BF2C80">
      <w:pPr>
        <w:pStyle w:val="Heading1"/>
        <w:spacing w:line="360" w:lineRule="auto"/>
        <w:ind w:left="0"/>
        <w:rPr>
          <w:rFonts w:cs="Arial"/>
          <w:b w:val="0"/>
          <w:bCs/>
          <w:sz w:val="22"/>
          <w:szCs w:val="22"/>
        </w:rPr>
      </w:pPr>
      <w:r>
        <w:rPr>
          <w:rFonts w:cs="Arial"/>
          <w:b w:val="0"/>
          <w:bCs/>
          <w:sz w:val="22"/>
          <w:szCs w:val="22"/>
        </w:rPr>
        <w:tab/>
        <w:t>3.7 Ethical Considerations …………………………………………………. Page 2</w:t>
      </w:r>
      <w:r w:rsidR="008105C5">
        <w:rPr>
          <w:rFonts w:cs="Arial"/>
          <w:b w:val="0"/>
          <w:bCs/>
          <w:sz w:val="22"/>
          <w:szCs w:val="22"/>
        </w:rPr>
        <w:t>3</w:t>
      </w:r>
    </w:p>
    <w:p w14:paraId="2536D9F3" w14:textId="5B5F86A8" w:rsidR="007159A3" w:rsidRDefault="007159A3" w:rsidP="00BF2C80">
      <w:pPr>
        <w:pStyle w:val="Heading1"/>
        <w:spacing w:line="360" w:lineRule="auto"/>
        <w:ind w:left="0"/>
        <w:rPr>
          <w:rFonts w:cs="Arial"/>
          <w:b w:val="0"/>
          <w:bCs/>
          <w:sz w:val="22"/>
          <w:szCs w:val="22"/>
        </w:rPr>
      </w:pPr>
      <w:r>
        <w:rPr>
          <w:rFonts w:cs="Arial"/>
          <w:b w:val="0"/>
          <w:bCs/>
          <w:sz w:val="22"/>
          <w:szCs w:val="22"/>
        </w:rPr>
        <w:tab/>
      </w:r>
      <w:r w:rsidR="00E078B3">
        <w:rPr>
          <w:rFonts w:cs="Arial"/>
          <w:b w:val="0"/>
          <w:bCs/>
          <w:sz w:val="22"/>
          <w:szCs w:val="22"/>
        </w:rPr>
        <w:t>3.8 Conclusion ………………………………………………………………. Page 2</w:t>
      </w:r>
      <w:r w:rsidR="008105C5">
        <w:rPr>
          <w:rFonts w:cs="Arial"/>
          <w:b w:val="0"/>
          <w:bCs/>
          <w:sz w:val="22"/>
          <w:szCs w:val="22"/>
        </w:rPr>
        <w:t>3</w:t>
      </w:r>
    </w:p>
    <w:p w14:paraId="38E8CDB4" w14:textId="77777777" w:rsidR="007E100E" w:rsidRDefault="007E100E" w:rsidP="00BF2C80">
      <w:pPr>
        <w:pStyle w:val="Heading1"/>
        <w:spacing w:line="360" w:lineRule="auto"/>
        <w:ind w:left="0"/>
        <w:rPr>
          <w:rFonts w:cs="Arial"/>
          <w:b w:val="0"/>
          <w:bCs/>
          <w:sz w:val="22"/>
          <w:szCs w:val="22"/>
        </w:rPr>
      </w:pPr>
    </w:p>
    <w:p w14:paraId="3FA6F5A6" w14:textId="3154EE03" w:rsidR="00E078B3" w:rsidRDefault="00E078B3" w:rsidP="00BF2C80">
      <w:pPr>
        <w:pStyle w:val="Heading1"/>
        <w:spacing w:line="360" w:lineRule="auto"/>
        <w:ind w:left="0"/>
        <w:rPr>
          <w:rFonts w:cs="Arial"/>
          <w:sz w:val="22"/>
          <w:szCs w:val="22"/>
        </w:rPr>
      </w:pPr>
      <w:r>
        <w:rPr>
          <w:rFonts w:cs="Arial"/>
          <w:sz w:val="22"/>
          <w:szCs w:val="22"/>
        </w:rPr>
        <w:t xml:space="preserve">Chapter 4 </w:t>
      </w:r>
      <w:r w:rsidR="002B26C1">
        <w:rPr>
          <w:rFonts w:cs="Arial"/>
          <w:sz w:val="22"/>
          <w:szCs w:val="22"/>
        </w:rPr>
        <w:t>–</w:t>
      </w:r>
      <w:r>
        <w:rPr>
          <w:rFonts w:cs="Arial"/>
          <w:sz w:val="22"/>
          <w:szCs w:val="22"/>
        </w:rPr>
        <w:t xml:space="preserve"> </w:t>
      </w:r>
      <w:r w:rsidR="002B26C1">
        <w:rPr>
          <w:rFonts w:cs="Arial"/>
          <w:sz w:val="22"/>
          <w:szCs w:val="22"/>
        </w:rPr>
        <w:t>Findings and Discussion …………………………………………. Page 2</w:t>
      </w:r>
      <w:r w:rsidR="003412E4">
        <w:rPr>
          <w:rFonts w:cs="Arial"/>
          <w:sz w:val="22"/>
          <w:szCs w:val="22"/>
        </w:rPr>
        <w:t>4</w:t>
      </w:r>
    </w:p>
    <w:p w14:paraId="433ED763" w14:textId="673F5253" w:rsidR="002B26C1" w:rsidRDefault="002B26C1" w:rsidP="00BF2C80">
      <w:pPr>
        <w:pStyle w:val="Heading1"/>
        <w:spacing w:line="360" w:lineRule="auto"/>
        <w:ind w:left="0"/>
        <w:rPr>
          <w:rFonts w:cs="Arial"/>
          <w:b w:val="0"/>
          <w:bCs/>
          <w:sz w:val="22"/>
          <w:szCs w:val="22"/>
        </w:rPr>
      </w:pPr>
      <w:r>
        <w:rPr>
          <w:rFonts w:cs="Arial"/>
          <w:sz w:val="22"/>
          <w:szCs w:val="22"/>
        </w:rPr>
        <w:tab/>
      </w:r>
      <w:r>
        <w:rPr>
          <w:rFonts w:cs="Arial"/>
          <w:b w:val="0"/>
          <w:bCs/>
          <w:sz w:val="22"/>
          <w:szCs w:val="22"/>
        </w:rPr>
        <w:t>4.1 Introduction ……………………………………………………………… Page 2</w:t>
      </w:r>
      <w:r w:rsidR="003412E4">
        <w:rPr>
          <w:rFonts w:cs="Arial"/>
          <w:b w:val="0"/>
          <w:bCs/>
          <w:sz w:val="22"/>
          <w:szCs w:val="22"/>
        </w:rPr>
        <w:t>4</w:t>
      </w:r>
    </w:p>
    <w:p w14:paraId="0FA92887" w14:textId="34CFAE0C" w:rsidR="002B26C1" w:rsidRDefault="002B26C1" w:rsidP="00BF2C80">
      <w:pPr>
        <w:pStyle w:val="Heading1"/>
        <w:spacing w:line="360" w:lineRule="auto"/>
        <w:ind w:left="0"/>
        <w:rPr>
          <w:rFonts w:cs="Arial"/>
          <w:b w:val="0"/>
          <w:bCs/>
          <w:sz w:val="22"/>
          <w:szCs w:val="22"/>
        </w:rPr>
      </w:pPr>
      <w:r>
        <w:rPr>
          <w:rFonts w:cs="Arial"/>
          <w:b w:val="0"/>
          <w:bCs/>
          <w:sz w:val="22"/>
          <w:szCs w:val="22"/>
        </w:rPr>
        <w:tab/>
        <w:t>4.2 Thematic Analysis ……………………………………………………… Page 2</w:t>
      </w:r>
      <w:r w:rsidR="003412E4">
        <w:rPr>
          <w:rFonts w:cs="Arial"/>
          <w:b w:val="0"/>
          <w:bCs/>
          <w:sz w:val="22"/>
          <w:szCs w:val="22"/>
        </w:rPr>
        <w:t>4</w:t>
      </w:r>
    </w:p>
    <w:p w14:paraId="5896422A" w14:textId="368550BE" w:rsidR="002B26C1" w:rsidRDefault="002B26C1" w:rsidP="00BF2C80">
      <w:pPr>
        <w:pStyle w:val="Heading1"/>
        <w:spacing w:line="360" w:lineRule="auto"/>
        <w:ind w:left="0"/>
        <w:rPr>
          <w:rFonts w:cs="Arial"/>
          <w:b w:val="0"/>
          <w:bCs/>
          <w:sz w:val="22"/>
          <w:szCs w:val="22"/>
        </w:rPr>
      </w:pPr>
      <w:r>
        <w:rPr>
          <w:rFonts w:cs="Arial"/>
          <w:b w:val="0"/>
          <w:bCs/>
          <w:sz w:val="22"/>
          <w:szCs w:val="22"/>
        </w:rPr>
        <w:tab/>
        <w:t>4.3</w:t>
      </w:r>
      <w:r w:rsidR="0056571F">
        <w:rPr>
          <w:rFonts w:cs="Arial"/>
          <w:b w:val="0"/>
          <w:bCs/>
          <w:sz w:val="22"/>
          <w:szCs w:val="22"/>
        </w:rPr>
        <w:t xml:space="preserve"> Theme 1: Communication barriers and language needs ………</w:t>
      </w:r>
      <w:proofErr w:type="gramStart"/>
      <w:r w:rsidR="0056571F">
        <w:rPr>
          <w:rFonts w:cs="Arial"/>
          <w:b w:val="0"/>
          <w:bCs/>
          <w:sz w:val="22"/>
          <w:szCs w:val="22"/>
        </w:rPr>
        <w:t>…</w:t>
      </w:r>
      <w:r w:rsidR="00FC0816">
        <w:rPr>
          <w:rFonts w:cs="Arial"/>
          <w:b w:val="0"/>
          <w:bCs/>
          <w:sz w:val="22"/>
          <w:szCs w:val="22"/>
        </w:rPr>
        <w:t>.</w:t>
      </w:r>
      <w:r w:rsidR="0056571F">
        <w:rPr>
          <w:rFonts w:cs="Arial"/>
          <w:b w:val="0"/>
          <w:bCs/>
          <w:sz w:val="22"/>
          <w:szCs w:val="22"/>
        </w:rPr>
        <w:t>.</w:t>
      </w:r>
      <w:proofErr w:type="gramEnd"/>
      <w:r w:rsidR="0056571F">
        <w:rPr>
          <w:rFonts w:cs="Arial"/>
          <w:b w:val="0"/>
          <w:bCs/>
          <w:sz w:val="22"/>
          <w:szCs w:val="22"/>
        </w:rPr>
        <w:t xml:space="preserve"> Page </w:t>
      </w:r>
      <w:r w:rsidR="00FC0816">
        <w:rPr>
          <w:rFonts w:cs="Arial"/>
          <w:b w:val="0"/>
          <w:bCs/>
          <w:sz w:val="22"/>
          <w:szCs w:val="22"/>
        </w:rPr>
        <w:t>2</w:t>
      </w:r>
      <w:r w:rsidR="003412E4">
        <w:rPr>
          <w:rFonts w:cs="Arial"/>
          <w:b w:val="0"/>
          <w:bCs/>
          <w:sz w:val="22"/>
          <w:szCs w:val="22"/>
        </w:rPr>
        <w:t>4</w:t>
      </w:r>
    </w:p>
    <w:p w14:paraId="4E329D5F" w14:textId="02165821" w:rsidR="00FC0816" w:rsidRDefault="00FC0816" w:rsidP="00BF2C80">
      <w:pPr>
        <w:pStyle w:val="Heading1"/>
        <w:spacing w:line="360" w:lineRule="auto"/>
        <w:ind w:left="0"/>
        <w:rPr>
          <w:rFonts w:cs="Arial"/>
          <w:b w:val="0"/>
          <w:bCs/>
          <w:sz w:val="22"/>
          <w:szCs w:val="22"/>
        </w:rPr>
      </w:pPr>
      <w:r>
        <w:rPr>
          <w:rFonts w:cs="Arial"/>
          <w:b w:val="0"/>
          <w:bCs/>
          <w:sz w:val="22"/>
          <w:szCs w:val="22"/>
        </w:rPr>
        <w:tab/>
        <w:t xml:space="preserve">4.4 Theme 2: Mistrust and inequalities in service access ……………… Page </w:t>
      </w:r>
      <w:r w:rsidR="00E32E44">
        <w:rPr>
          <w:rFonts w:cs="Arial"/>
          <w:b w:val="0"/>
          <w:bCs/>
          <w:sz w:val="22"/>
          <w:szCs w:val="22"/>
        </w:rPr>
        <w:t>2</w:t>
      </w:r>
      <w:r w:rsidR="003412E4">
        <w:rPr>
          <w:rFonts w:cs="Arial"/>
          <w:b w:val="0"/>
          <w:bCs/>
          <w:sz w:val="22"/>
          <w:szCs w:val="22"/>
        </w:rPr>
        <w:t>7</w:t>
      </w:r>
    </w:p>
    <w:p w14:paraId="051732D0" w14:textId="5B79F988" w:rsidR="00E32E44" w:rsidRDefault="00E32E44" w:rsidP="00E831D8">
      <w:pPr>
        <w:pStyle w:val="Heading1"/>
        <w:spacing w:line="360" w:lineRule="auto"/>
        <w:ind w:left="0"/>
        <w:rPr>
          <w:rFonts w:cs="Arial"/>
          <w:b w:val="0"/>
          <w:bCs/>
          <w:sz w:val="22"/>
          <w:szCs w:val="22"/>
        </w:rPr>
      </w:pPr>
      <w:r>
        <w:rPr>
          <w:rFonts w:cs="Arial"/>
          <w:b w:val="0"/>
          <w:bCs/>
          <w:sz w:val="22"/>
          <w:szCs w:val="22"/>
        </w:rPr>
        <w:tab/>
        <w:t>4.5 Theme 3: Workforce training and cultural competence</w:t>
      </w:r>
      <w:r w:rsidR="00E831D8">
        <w:rPr>
          <w:rFonts w:cs="Arial"/>
          <w:b w:val="0"/>
          <w:bCs/>
          <w:sz w:val="22"/>
          <w:szCs w:val="22"/>
        </w:rPr>
        <w:t xml:space="preserve"> …</w:t>
      </w:r>
      <w:r w:rsidR="00001B58">
        <w:rPr>
          <w:rFonts w:cs="Arial"/>
          <w:b w:val="0"/>
          <w:bCs/>
          <w:sz w:val="22"/>
          <w:szCs w:val="22"/>
        </w:rPr>
        <w:t>…………. Page 3</w:t>
      </w:r>
      <w:r w:rsidR="003412E4">
        <w:rPr>
          <w:rFonts w:cs="Arial"/>
          <w:b w:val="0"/>
          <w:bCs/>
          <w:sz w:val="22"/>
          <w:szCs w:val="22"/>
        </w:rPr>
        <w:t>1</w:t>
      </w:r>
    </w:p>
    <w:p w14:paraId="2522F18A" w14:textId="27565862" w:rsidR="00001B58" w:rsidRDefault="00001B58" w:rsidP="00E831D8">
      <w:pPr>
        <w:pStyle w:val="Heading1"/>
        <w:spacing w:line="360" w:lineRule="auto"/>
        <w:ind w:left="0"/>
        <w:rPr>
          <w:rFonts w:cs="Arial"/>
          <w:b w:val="0"/>
          <w:bCs/>
          <w:sz w:val="22"/>
          <w:szCs w:val="22"/>
        </w:rPr>
      </w:pPr>
      <w:r>
        <w:rPr>
          <w:rFonts w:cs="Arial"/>
          <w:b w:val="0"/>
          <w:bCs/>
          <w:sz w:val="22"/>
          <w:szCs w:val="22"/>
        </w:rPr>
        <w:tab/>
        <w:t>4.6 Chapter Conclusion ……………………………………………………. Page 3</w:t>
      </w:r>
      <w:r w:rsidR="006B5B1E">
        <w:rPr>
          <w:rFonts w:cs="Arial"/>
          <w:b w:val="0"/>
          <w:bCs/>
          <w:sz w:val="22"/>
          <w:szCs w:val="22"/>
        </w:rPr>
        <w:t>5</w:t>
      </w:r>
    </w:p>
    <w:p w14:paraId="5F3E506E" w14:textId="77777777" w:rsidR="007E100E" w:rsidRDefault="007E100E" w:rsidP="00E831D8">
      <w:pPr>
        <w:pStyle w:val="Heading1"/>
        <w:spacing w:line="360" w:lineRule="auto"/>
        <w:ind w:left="0"/>
        <w:rPr>
          <w:rFonts w:cs="Arial"/>
          <w:b w:val="0"/>
          <w:bCs/>
          <w:sz w:val="22"/>
          <w:szCs w:val="22"/>
        </w:rPr>
      </w:pPr>
    </w:p>
    <w:p w14:paraId="4848DCD3" w14:textId="77777777" w:rsidR="007E100E" w:rsidRDefault="007E100E" w:rsidP="00E831D8">
      <w:pPr>
        <w:pStyle w:val="Heading1"/>
        <w:spacing w:line="360" w:lineRule="auto"/>
        <w:ind w:left="0"/>
        <w:rPr>
          <w:rFonts w:cs="Arial"/>
          <w:b w:val="0"/>
          <w:bCs/>
          <w:sz w:val="22"/>
          <w:szCs w:val="22"/>
        </w:rPr>
      </w:pPr>
    </w:p>
    <w:p w14:paraId="753ED9FC" w14:textId="626E7F18" w:rsidR="00001B58" w:rsidRDefault="00BB0BF5" w:rsidP="00E831D8">
      <w:pPr>
        <w:pStyle w:val="Heading1"/>
        <w:spacing w:line="360" w:lineRule="auto"/>
        <w:ind w:left="0"/>
        <w:rPr>
          <w:rFonts w:cs="Arial"/>
          <w:sz w:val="22"/>
          <w:szCs w:val="22"/>
        </w:rPr>
      </w:pPr>
      <w:r>
        <w:rPr>
          <w:rFonts w:cs="Arial"/>
          <w:sz w:val="22"/>
          <w:szCs w:val="22"/>
        </w:rPr>
        <w:lastRenderedPageBreak/>
        <w:t>Chapter 5 – Conclusion And Recommendations ……………………………. Page</w:t>
      </w:r>
      <w:r w:rsidR="0034422C">
        <w:rPr>
          <w:rFonts w:cs="Arial"/>
          <w:sz w:val="22"/>
          <w:szCs w:val="22"/>
        </w:rPr>
        <w:t xml:space="preserve"> 3</w:t>
      </w:r>
      <w:r w:rsidR="00B03C2E">
        <w:rPr>
          <w:rFonts w:cs="Arial"/>
          <w:sz w:val="22"/>
          <w:szCs w:val="22"/>
        </w:rPr>
        <w:t>5</w:t>
      </w:r>
    </w:p>
    <w:p w14:paraId="0CF47726" w14:textId="03212BDC" w:rsidR="0034422C" w:rsidRDefault="0034422C" w:rsidP="00E831D8">
      <w:pPr>
        <w:pStyle w:val="Heading1"/>
        <w:spacing w:line="360" w:lineRule="auto"/>
        <w:ind w:left="0"/>
        <w:rPr>
          <w:rFonts w:cs="Arial"/>
          <w:b w:val="0"/>
          <w:bCs/>
          <w:sz w:val="22"/>
          <w:szCs w:val="22"/>
        </w:rPr>
      </w:pPr>
      <w:r>
        <w:rPr>
          <w:rFonts w:cs="Arial"/>
          <w:sz w:val="22"/>
          <w:szCs w:val="22"/>
        </w:rPr>
        <w:tab/>
      </w:r>
      <w:r>
        <w:rPr>
          <w:rFonts w:cs="Arial"/>
          <w:b w:val="0"/>
          <w:bCs/>
          <w:sz w:val="22"/>
          <w:szCs w:val="22"/>
        </w:rPr>
        <w:t>5.1 Overall conclusion ……………………………………………………… Page 3</w:t>
      </w:r>
      <w:r w:rsidR="00B03C2E">
        <w:rPr>
          <w:rFonts w:cs="Arial"/>
          <w:b w:val="0"/>
          <w:bCs/>
          <w:sz w:val="22"/>
          <w:szCs w:val="22"/>
        </w:rPr>
        <w:t>5</w:t>
      </w:r>
    </w:p>
    <w:p w14:paraId="700B3139" w14:textId="49CAB220" w:rsidR="00E9697A" w:rsidRDefault="00E9697A" w:rsidP="00E831D8">
      <w:pPr>
        <w:pStyle w:val="Heading1"/>
        <w:spacing w:line="360" w:lineRule="auto"/>
        <w:ind w:left="0"/>
        <w:rPr>
          <w:rFonts w:cs="Arial"/>
          <w:b w:val="0"/>
          <w:bCs/>
          <w:sz w:val="22"/>
          <w:szCs w:val="22"/>
        </w:rPr>
      </w:pPr>
      <w:r>
        <w:rPr>
          <w:rFonts w:cs="Arial"/>
          <w:b w:val="0"/>
          <w:bCs/>
          <w:sz w:val="22"/>
          <w:szCs w:val="22"/>
        </w:rPr>
        <w:tab/>
        <w:t>5.2</w:t>
      </w:r>
      <w:r w:rsidR="00B80EF3">
        <w:rPr>
          <w:rFonts w:cs="Arial"/>
          <w:b w:val="0"/>
          <w:bCs/>
          <w:sz w:val="22"/>
          <w:szCs w:val="22"/>
        </w:rPr>
        <w:t xml:space="preserve"> </w:t>
      </w:r>
      <w:r w:rsidR="00963B60">
        <w:rPr>
          <w:rFonts w:cs="Arial"/>
          <w:b w:val="0"/>
          <w:bCs/>
          <w:sz w:val="22"/>
          <w:szCs w:val="22"/>
        </w:rPr>
        <w:t>Recommendations ……………………………………………………… Page 3</w:t>
      </w:r>
      <w:r w:rsidR="00B03C2E">
        <w:rPr>
          <w:rFonts w:cs="Arial"/>
          <w:b w:val="0"/>
          <w:bCs/>
          <w:sz w:val="22"/>
          <w:szCs w:val="22"/>
        </w:rPr>
        <w:t>6</w:t>
      </w:r>
    </w:p>
    <w:p w14:paraId="5CA3B022" w14:textId="764A062A" w:rsidR="00963B60" w:rsidRDefault="00963B60" w:rsidP="00E831D8">
      <w:pPr>
        <w:pStyle w:val="Heading1"/>
        <w:spacing w:line="360" w:lineRule="auto"/>
        <w:ind w:left="0"/>
        <w:rPr>
          <w:rFonts w:cs="Arial"/>
          <w:b w:val="0"/>
          <w:bCs/>
          <w:sz w:val="22"/>
          <w:szCs w:val="22"/>
        </w:rPr>
      </w:pPr>
      <w:r>
        <w:rPr>
          <w:rFonts w:cs="Arial"/>
          <w:b w:val="0"/>
          <w:bCs/>
          <w:sz w:val="22"/>
          <w:szCs w:val="22"/>
        </w:rPr>
        <w:tab/>
        <w:t>5.2.1 Recommendation</w:t>
      </w:r>
      <w:r w:rsidR="00464987">
        <w:rPr>
          <w:rFonts w:cs="Arial"/>
          <w:b w:val="0"/>
          <w:bCs/>
          <w:sz w:val="22"/>
          <w:szCs w:val="22"/>
        </w:rPr>
        <w:t xml:space="preserve"> </w:t>
      </w:r>
      <w:r>
        <w:rPr>
          <w:rFonts w:cs="Arial"/>
          <w:b w:val="0"/>
          <w:bCs/>
          <w:sz w:val="22"/>
          <w:szCs w:val="22"/>
        </w:rPr>
        <w:t>1</w:t>
      </w:r>
      <w:r w:rsidR="00890F30">
        <w:rPr>
          <w:rFonts w:cs="Arial"/>
          <w:b w:val="0"/>
          <w:bCs/>
          <w:sz w:val="22"/>
          <w:szCs w:val="22"/>
        </w:rPr>
        <w:t>: Mandatory</w:t>
      </w:r>
      <w:r w:rsidR="00464987">
        <w:rPr>
          <w:rFonts w:cs="Arial"/>
          <w:b w:val="0"/>
          <w:bCs/>
          <w:sz w:val="22"/>
          <w:szCs w:val="22"/>
        </w:rPr>
        <w:t xml:space="preserve"> cultural competence and communication</w:t>
      </w:r>
    </w:p>
    <w:p w14:paraId="305F592C" w14:textId="71508883" w:rsidR="00464987" w:rsidRDefault="00464987" w:rsidP="00E831D8">
      <w:pPr>
        <w:pStyle w:val="Heading1"/>
        <w:spacing w:line="360" w:lineRule="auto"/>
        <w:ind w:left="0"/>
        <w:rPr>
          <w:rFonts w:cs="Arial"/>
          <w:b w:val="0"/>
          <w:bCs/>
          <w:sz w:val="22"/>
          <w:szCs w:val="22"/>
        </w:rPr>
      </w:pPr>
      <w:r>
        <w:rPr>
          <w:rFonts w:cs="Arial"/>
          <w:b w:val="0"/>
          <w:bCs/>
          <w:sz w:val="22"/>
          <w:szCs w:val="22"/>
        </w:rPr>
        <w:tab/>
      </w:r>
      <w:r>
        <w:rPr>
          <w:rFonts w:cs="Arial"/>
          <w:b w:val="0"/>
          <w:bCs/>
          <w:sz w:val="22"/>
          <w:szCs w:val="22"/>
        </w:rPr>
        <w:tab/>
        <w:t>Training ……………………………………………………………… Page 3</w:t>
      </w:r>
      <w:r w:rsidR="00B03C2E">
        <w:rPr>
          <w:rFonts w:cs="Arial"/>
          <w:b w:val="0"/>
          <w:bCs/>
          <w:sz w:val="22"/>
          <w:szCs w:val="22"/>
        </w:rPr>
        <w:t>6</w:t>
      </w:r>
    </w:p>
    <w:p w14:paraId="4D0C29FE" w14:textId="40C60FC9" w:rsidR="00464987" w:rsidRDefault="00DE5E21" w:rsidP="00E831D8">
      <w:pPr>
        <w:pStyle w:val="Heading1"/>
        <w:spacing w:line="360" w:lineRule="auto"/>
        <w:ind w:left="0"/>
        <w:rPr>
          <w:rFonts w:cs="Arial"/>
          <w:b w:val="0"/>
          <w:bCs/>
          <w:sz w:val="22"/>
          <w:szCs w:val="22"/>
        </w:rPr>
      </w:pPr>
      <w:r>
        <w:rPr>
          <w:rFonts w:cs="Arial"/>
          <w:b w:val="0"/>
          <w:bCs/>
          <w:sz w:val="22"/>
          <w:szCs w:val="22"/>
        </w:rPr>
        <w:tab/>
        <w:t>5.2.2 Recommendation 2:</w:t>
      </w:r>
      <w:r w:rsidR="005554C3">
        <w:rPr>
          <w:rFonts w:cs="Arial"/>
          <w:b w:val="0"/>
          <w:bCs/>
          <w:sz w:val="22"/>
          <w:szCs w:val="22"/>
        </w:rPr>
        <w:t xml:space="preserve"> Strengthening community partnerships and</w:t>
      </w:r>
    </w:p>
    <w:p w14:paraId="54E54855" w14:textId="7D543A6E" w:rsidR="005554C3" w:rsidRDefault="00FF3072" w:rsidP="00E831D8">
      <w:pPr>
        <w:pStyle w:val="Heading1"/>
        <w:spacing w:line="360" w:lineRule="auto"/>
        <w:ind w:left="0"/>
        <w:rPr>
          <w:rFonts w:cs="Arial"/>
          <w:b w:val="0"/>
          <w:bCs/>
          <w:sz w:val="22"/>
          <w:szCs w:val="22"/>
        </w:rPr>
      </w:pPr>
      <w:r>
        <w:rPr>
          <w:rFonts w:cs="Arial"/>
          <w:b w:val="0"/>
          <w:bCs/>
          <w:sz w:val="22"/>
          <w:szCs w:val="22"/>
        </w:rPr>
        <w:tab/>
        <w:t>Co-designed outreach ……………………………………………………… Page 3</w:t>
      </w:r>
      <w:r w:rsidR="00080B6C">
        <w:rPr>
          <w:rFonts w:cs="Arial"/>
          <w:b w:val="0"/>
          <w:bCs/>
          <w:sz w:val="22"/>
          <w:szCs w:val="22"/>
        </w:rPr>
        <w:t>6</w:t>
      </w:r>
    </w:p>
    <w:p w14:paraId="4B18BB56" w14:textId="04E78F5B" w:rsidR="00FF3072" w:rsidRDefault="00FF3072" w:rsidP="00E831D8">
      <w:pPr>
        <w:pStyle w:val="Heading1"/>
        <w:spacing w:line="360" w:lineRule="auto"/>
        <w:ind w:left="0"/>
        <w:rPr>
          <w:rFonts w:cs="Arial"/>
          <w:b w:val="0"/>
          <w:bCs/>
          <w:sz w:val="22"/>
          <w:szCs w:val="22"/>
        </w:rPr>
      </w:pPr>
      <w:r>
        <w:rPr>
          <w:rFonts w:cs="Arial"/>
          <w:b w:val="0"/>
          <w:bCs/>
          <w:sz w:val="22"/>
          <w:szCs w:val="22"/>
        </w:rPr>
        <w:tab/>
      </w:r>
      <w:r w:rsidR="00751CE7">
        <w:rPr>
          <w:rFonts w:cs="Arial"/>
          <w:b w:val="0"/>
          <w:bCs/>
          <w:sz w:val="22"/>
          <w:szCs w:val="22"/>
        </w:rPr>
        <w:t>5.2.3 Recommendation 3: Embedding</w:t>
      </w:r>
      <w:r w:rsidR="00515CEB">
        <w:rPr>
          <w:rFonts w:cs="Arial"/>
          <w:b w:val="0"/>
          <w:bCs/>
          <w:sz w:val="22"/>
          <w:szCs w:val="22"/>
        </w:rPr>
        <w:t xml:space="preserve"> accountability through policy</w:t>
      </w:r>
    </w:p>
    <w:p w14:paraId="5B68C37C" w14:textId="30DCD650" w:rsidR="00515CEB" w:rsidRDefault="00515CEB" w:rsidP="00E831D8">
      <w:pPr>
        <w:pStyle w:val="Heading1"/>
        <w:spacing w:line="360" w:lineRule="auto"/>
        <w:ind w:left="0"/>
        <w:rPr>
          <w:rFonts w:cs="Arial"/>
          <w:b w:val="0"/>
          <w:bCs/>
          <w:sz w:val="22"/>
          <w:szCs w:val="22"/>
        </w:rPr>
      </w:pPr>
      <w:r>
        <w:rPr>
          <w:rFonts w:cs="Arial"/>
          <w:b w:val="0"/>
          <w:bCs/>
          <w:sz w:val="22"/>
          <w:szCs w:val="22"/>
        </w:rPr>
        <w:tab/>
      </w:r>
      <w:r>
        <w:rPr>
          <w:rFonts w:cs="Arial"/>
          <w:b w:val="0"/>
          <w:bCs/>
          <w:sz w:val="22"/>
          <w:szCs w:val="22"/>
        </w:rPr>
        <w:tab/>
        <w:t>And regulation</w:t>
      </w:r>
      <w:r w:rsidR="00F5714C">
        <w:rPr>
          <w:rFonts w:cs="Arial"/>
          <w:b w:val="0"/>
          <w:bCs/>
          <w:sz w:val="22"/>
          <w:szCs w:val="22"/>
        </w:rPr>
        <w:t xml:space="preserve"> ………………………………………………………. Page 3</w:t>
      </w:r>
      <w:r w:rsidR="00080B6C">
        <w:rPr>
          <w:rFonts w:cs="Arial"/>
          <w:b w:val="0"/>
          <w:bCs/>
          <w:sz w:val="22"/>
          <w:szCs w:val="22"/>
        </w:rPr>
        <w:t>7</w:t>
      </w:r>
    </w:p>
    <w:p w14:paraId="29E768EB" w14:textId="2D5F385A" w:rsidR="00F5714C" w:rsidRDefault="00F5714C" w:rsidP="00E831D8">
      <w:pPr>
        <w:pStyle w:val="Heading1"/>
        <w:spacing w:line="360" w:lineRule="auto"/>
        <w:ind w:left="0"/>
        <w:rPr>
          <w:rFonts w:cs="Arial"/>
          <w:b w:val="0"/>
          <w:bCs/>
          <w:sz w:val="22"/>
          <w:szCs w:val="22"/>
        </w:rPr>
      </w:pPr>
      <w:r>
        <w:rPr>
          <w:rFonts w:cs="Arial"/>
          <w:b w:val="0"/>
          <w:bCs/>
          <w:sz w:val="22"/>
          <w:szCs w:val="22"/>
        </w:rPr>
        <w:tab/>
        <w:t>5.2.4 Recommendation 4: Expanding workforce diversity and leadership</w:t>
      </w:r>
    </w:p>
    <w:p w14:paraId="0F60DD27" w14:textId="3491D122" w:rsidR="00F5714C" w:rsidRDefault="00F5714C" w:rsidP="00E831D8">
      <w:pPr>
        <w:pStyle w:val="Heading1"/>
        <w:spacing w:line="360" w:lineRule="auto"/>
        <w:ind w:left="0"/>
        <w:rPr>
          <w:rFonts w:cs="Arial"/>
          <w:b w:val="0"/>
          <w:bCs/>
          <w:sz w:val="22"/>
          <w:szCs w:val="22"/>
        </w:rPr>
      </w:pPr>
      <w:r>
        <w:rPr>
          <w:rFonts w:cs="Arial"/>
          <w:b w:val="0"/>
          <w:bCs/>
          <w:sz w:val="22"/>
          <w:szCs w:val="22"/>
        </w:rPr>
        <w:tab/>
      </w:r>
      <w:r>
        <w:rPr>
          <w:rFonts w:cs="Arial"/>
          <w:b w:val="0"/>
          <w:bCs/>
          <w:sz w:val="22"/>
          <w:szCs w:val="22"/>
        </w:rPr>
        <w:tab/>
      </w:r>
      <w:r w:rsidR="00D70363">
        <w:rPr>
          <w:rFonts w:cs="Arial"/>
          <w:b w:val="0"/>
          <w:bCs/>
          <w:sz w:val="22"/>
          <w:szCs w:val="22"/>
        </w:rPr>
        <w:t>Representation ……………………………………………………… Page 3</w:t>
      </w:r>
      <w:r w:rsidR="00080B6C">
        <w:rPr>
          <w:rFonts w:cs="Arial"/>
          <w:b w:val="0"/>
          <w:bCs/>
          <w:sz w:val="22"/>
          <w:szCs w:val="22"/>
        </w:rPr>
        <w:t>8</w:t>
      </w:r>
    </w:p>
    <w:p w14:paraId="3832D857" w14:textId="4111CA61" w:rsidR="00D70363" w:rsidRDefault="00D70363" w:rsidP="00E831D8">
      <w:pPr>
        <w:pStyle w:val="Heading1"/>
        <w:spacing w:line="360" w:lineRule="auto"/>
        <w:ind w:left="0"/>
        <w:rPr>
          <w:rFonts w:cs="Arial"/>
          <w:b w:val="0"/>
          <w:bCs/>
          <w:sz w:val="22"/>
          <w:szCs w:val="22"/>
        </w:rPr>
      </w:pPr>
      <w:r>
        <w:rPr>
          <w:rFonts w:cs="Arial"/>
          <w:b w:val="0"/>
          <w:bCs/>
          <w:sz w:val="22"/>
          <w:szCs w:val="22"/>
        </w:rPr>
        <w:tab/>
        <w:t xml:space="preserve">5.2.5 </w:t>
      </w:r>
      <w:r w:rsidR="00E72693">
        <w:rPr>
          <w:rFonts w:cs="Arial"/>
          <w:b w:val="0"/>
          <w:bCs/>
          <w:sz w:val="22"/>
          <w:szCs w:val="22"/>
        </w:rPr>
        <w:t xml:space="preserve">Recommendation 5: </w:t>
      </w:r>
      <w:r w:rsidR="00B21C7C">
        <w:rPr>
          <w:rFonts w:cs="Arial"/>
          <w:b w:val="0"/>
          <w:bCs/>
          <w:sz w:val="22"/>
          <w:szCs w:val="22"/>
        </w:rPr>
        <w:t xml:space="preserve">Integrating cultural competence into </w:t>
      </w:r>
      <w:r w:rsidR="008D11C1">
        <w:rPr>
          <w:rFonts w:cs="Arial"/>
          <w:b w:val="0"/>
          <w:bCs/>
          <w:sz w:val="22"/>
          <w:szCs w:val="22"/>
        </w:rPr>
        <w:t>professional</w:t>
      </w:r>
    </w:p>
    <w:p w14:paraId="7CC7BFBD" w14:textId="77018FF6" w:rsidR="00B21C7C" w:rsidRDefault="00B21C7C" w:rsidP="00E831D8">
      <w:pPr>
        <w:pStyle w:val="Heading1"/>
        <w:spacing w:line="360" w:lineRule="auto"/>
        <w:ind w:left="0"/>
        <w:rPr>
          <w:rFonts w:cs="Arial"/>
          <w:b w:val="0"/>
          <w:bCs/>
          <w:sz w:val="22"/>
          <w:szCs w:val="22"/>
        </w:rPr>
      </w:pPr>
      <w:r>
        <w:rPr>
          <w:rFonts w:cs="Arial"/>
          <w:b w:val="0"/>
          <w:bCs/>
          <w:sz w:val="22"/>
          <w:szCs w:val="22"/>
        </w:rPr>
        <w:tab/>
      </w:r>
      <w:r>
        <w:rPr>
          <w:rFonts w:cs="Arial"/>
          <w:b w:val="0"/>
          <w:bCs/>
          <w:sz w:val="22"/>
          <w:szCs w:val="22"/>
        </w:rPr>
        <w:tab/>
      </w:r>
      <w:r w:rsidR="008D11C1">
        <w:rPr>
          <w:rFonts w:cs="Arial"/>
          <w:b w:val="0"/>
          <w:bCs/>
          <w:sz w:val="22"/>
          <w:szCs w:val="22"/>
        </w:rPr>
        <w:t>Accreditation and policy reform …………………………………</w:t>
      </w:r>
      <w:proofErr w:type="gramStart"/>
      <w:r w:rsidR="008D11C1">
        <w:rPr>
          <w:rFonts w:cs="Arial"/>
          <w:b w:val="0"/>
          <w:bCs/>
          <w:sz w:val="22"/>
          <w:szCs w:val="22"/>
        </w:rPr>
        <w:t>…..</w:t>
      </w:r>
      <w:proofErr w:type="gramEnd"/>
      <w:r w:rsidR="008D11C1">
        <w:rPr>
          <w:rFonts w:cs="Arial"/>
          <w:b w:val="0"/>
          <w:bCs/>
          <w:sz w:val="22"/>
          <w:szCs w:val="22"/>
        </w:rPr>
        <w:t xml:space="preserve"> Page 3</w:t>
      </w:r>
      <w:r w:rsidR="00080B6C">
        <w:rPr>
          <w:rFonts w:cs="Arial"/>
          <w:b w:val="0"/>
          <w:bCs/>
          <w:sz w:val="22"/>
          <w:szCs w:val="22"/>
        </w:rPr>
        <w:t>8</w:t>
      </w:r>
    </w:p>
    <w:p w14:paraId="0FE186B2" w14:textId="2A366A3C" w:rsidR="008D11C1" w:rsidRDefault="00724FA3" w:rsidP="00E831D8">
      <w:pPr>
        <w:pStyle w:val="Heading1"/>
        <w:spacing w:line="360" w:lineRule="auto"/>
        <w:ind w:left="0"/>
        <w:rPr>
          <w:rFonts w:cs="Arial"/>
          <w:b w:val="0"/>
          <w:bCs/>
          <w:sz w:val="22"/>
          <w:szCs w:val="22"/>
        </w:rPr>
      </w:pPr>
      <w:r>
        <w:rPr>
          <w:rFonts w:cs="Arial"/>
          <w:b w:val="0"/>
          <w:bCs/>
          <w:sz w:val="22"/>
          <w:szCs w:val="22"/>
        </w:rPr>
        <w:tab/>
        <w:t>Reflective summary …………………………………………………………. Page 3</w:t>
      </w:r>
      <w:r w:rsidR="00080B6C">
        <w:rPr>
          <w:rFonts w:cs="Arial"/>
          <w:b w:val="0"/>
          <w:bCs/>
          <w:sz w:val="22"/>
          <w:szCs w:val="22"/>
        </w:rPr>
        <w:t>9</w:t>
      </w:r>
    </w:p>
    <w:p w14:paraId="45F12DD7" w14:textId="77777777" w:rsidR="007E100E" w:rsidRDefault="007E100E" w:rsidP="00E831D8">
      <w:pPr>
        <w:pStyle w:val="Heading1"/>
        <w:spacing w:line="360" w:lineRule="auto"/>
        <w:ind w:left="0"/>
        <w:rPr>
          <w:rFonts w:cs="Arial"/>
          <w:b w:val="0"/>
          <w:bCs/>
          <w:sz w:val="22"/>
          <w:szCs w:val="22"/>
        </w:rPr>
      </w:pPr>
    </w:p>
    <w:p w14:paraId="1D624798" w14:textId="7CD2AEDE" w:rsidR="00724FA3" w:rsidRDefault="00724FA3" w:rsidP="00E831D8">
      <w:pPr>
        <w:pStyle w:val="Heading1"/>
        <w:spacing w:line="360" w:lineRule="auto"/>
        <w:ind w:left="0"/>
        <w:rPr>
          <w:rFonts w:cs="Arial"/>
          <w:sz w:val="22"/>
          <w:szCs w:val="22"/>
        </w:rPr>
      </w:pPr>
      <w:r>
        <w:rPr>
          <w:rFonts w:cs="Arial"/>
          <w:sz w:val="22"/>
          <w:szCs w:val="22"/>
        </w:rPr>
        <w:t>Chapter 6</w:t>
      </w:r>
      <w:r w:rsidR="00113A23">
        <w:rPr>
          <w:rFonts w:cs="Arial"/>
          <w:sz w:val="22"/>
          <w:szCs w:val="22"/>
        </w:rPr>
        <w:t xml:space="preserve"> – References and </w:t>
      </w:r>
      <w:r w:rsidR="00D528FF">
        <w:rPr>
          <w:rFonts w:cs="Arial"/>
          <w:sz w:val="22"/>
          <w:szCs w:val="22"/>
        </w:rPr>
        <w:t>Appendices</w:t>
      </w:r>
      <w:r w:rsidR="00113A23">
        <w:rPr>
          <w:rFonts w:cs="Arial"/>
          <w:sz w:val="22"/>
          <w:szCs w:val="22"/>
        </w:rPr>
        <w:t xml:space="preserve">………………………………………… Page </w:t>
      </w:r>
      <w:r w:rsidR="002C1801">
        <w:rPr>
          <w:rFonts w:cs="Arial"/>
          <w:sz w:val="22"/>
          <w:szCs w:val="22"/>
        </w:rPr>
        <w:t>40</w:t>
      </w:r>
    </w:p>
    <w:p w14:paraId="34A2CE6D" w14:textId="63069C8F" w:rsidR="00113A23" w:rsidRDefault="001F6B75" w:rsidP="00E831D8">
      <w:pPr>
        <w:pStyle w:val="Heading1"/>
        <w:spacing w:line="360" w:lineRule="auto"/>
        <w:ind w:left="0"/>
        <w:rPr>
          <w:rFonts w:cs="Arial"/>
          <w:b w:val="0"/>
          <w:bCs/>
          <w:sz w:val="22"/>
          <w:szCs w:val="22"/>
        </w:rPr>
      </w:pPr>
      <w:r>
        <w:rPr>
          <w:rFonts w:cs="Arial"/>
          <w:sz w:val="22"/>
          <w:szCs w:val="22"/>
        </w:rPr>
        <w:tab/>
      </w:r>
      <w:r>
        <w:rPr>
          <w:rFonts w:cs="Arial"/>
          <w:b w:val="0"/>
          <w:bCs/>
          <w:sz w:val="22"/>
          <w:szCs w:val="22"/>
        </w:rPr>
        <w:t xml:space="preserve">Source Tracking table (Appendix A) </w:t>
      </w:r>
      <w:r w:rsidR="00D528FF">
        <w:rPr>
          <w:rFonts w:cs="Arial"/>
          <w:b w:val="0"/>
          <w:bCs/>
          <w:sz w:val="22"/>
          <w:szCs w:val="22"/>
        </w:rPr>
        <w:t xml:space="preserve">………………………………………. Page </w:t>
      </w:r>
      <w:r w:rsidR="002C1801">
        <w:rPr>
          <w:rFonts w:cs="Arial"/>
          <w:b w:val="0"/>
          <w:bCs/>
          <w:sz w:val="22"/>
          <w:szCs w:val="22"/>
        </w:rPr>
        <w:t>40</w:t>
      </w:r>
    </w:p>
    <w:p w14:paraId="69ED7F4A" w14:textId="141AABD3" w:rsidR="00D528FF" w:rsidRDefault="00D528FF" w:rsidP="00E831D8">
      <w:pPr>
        <w:pStyle w:val="Heading1"/>
        <w:spacing w:line="360" w:lineRule="auto"/>
        <w:ind w:left="0"/>
        <w:rPr>
          <w:rFonts w:cs="Arial"/>
          <w:b w:val="0"/>
          <w:bCs/>
          <w:sz w:val="22"/>
          <w:szCs w:val="22"/>
        </w:rPr>
      </w:pPr>
      <w:r>
        <w:rPr>
          <w:rFonts w:cs="Arial"/>
          <w:b w:val="0"/>
          <w:bCs/>
          <w:sz w:val="22"/>
          <w:szCs w:val="22"/>
        </w:rPr>
        <w:tab/>
        <w:t>Project Summary Table (appendix B) …………………………………</w:t>
      </w:r>
      <w:proofErr w:type="gramStart"/>
      <w:r>
        <w:rPr>
          <w:rFonts w:cs="Arial"/>
          <w:b w:val="0"/>
          <w:bCs/>
          <w:sz w:val="22"/>
          <w:szCs w:val="22"/>
        </w:rPr>
        <w:t>…..</w:t>
      </w:r>
      <w:proofErr w:type="gramEnd"/>
      <w:r>
        <w:rPr>
          <w:rFonts w:cs="Arial"/>
          <w:b w:val="0"/>
          <w:bCs/>
          <w:sz w:val="22"/>
          <w:szCs w:val="22"/>
        </w:rPr>
        <w:t xml:space="preserve"> Page 4</w:t>
      </w:r>
      <w:r w:rsidR="002C1801">
        <w:rPr>
          <w:rFonts w:cs="Arial"/>
          <w:b w:val="0"/>
          <w:bCs/>
          <w:sz w:val="22"/>
          <w:szCs w:val="22"/>
        </w:rPr>
        <w:t>3</w:t>
      </w:r>
    </w:p>
    <w:p w14:paraId="71C2F358" w14:textId="1B9DFB23" w:rsidR="00D528FF" w:rsidRDefault="000E2ADD" w:rsidP="00E831D8">
      <w:pPr>
        <w:pStyle w:val="Heading1"/>
        <w:spacing w:line="360" w:lineRule="auto"/>
        <w:ind w:left="0"/>
        <w:rPr>
          <w:rFonts w:cs="Arial"/>
          <w:b w:val="0"/>
          <w:bCs/>
          <w:sz w:val="22"/>
          <w:szCs w:val="22"/>
        </w:rPr>
      </w:pPr>
      <w:r>
        <w:rPr>
          <w:rFonts w:cs="Arial"/>
          <w:b w:val="0"/>
          <w:bCs/>
          <w:sz w:val="22"/>
          <w:szCs w:val="22"/>
        </w:rPr>
        <w:tab/>
        <w:t>6.1 References ………………………………………………………………. Page 4</w:t>
      </w:r>
      <w:r w:rsidR="002C1801">
        <w:rPr>
          <w:rFonts w:cs="Arial"/>
          <w:b w:val="0"/>
          <w:bCs/>
          <w:sz w:val="22"/>
          <w:szCs w:val="22"/>
        </w:rPr>
        <w:t>5</w:t>
      </w:r>
    </w:p>
    <w:p w14:paraId="3BF8F24F" w14:textId="5874A0FB" w:rsidR="00D528FF" w:rsidRPr="001F6B75" w:rsidRDefault="00D528FF" w:rsidP="00E831D8">
      <w:pPr>
        <w:pStyle w:val="Heading1"/>
        <w:spacing w:line="360" w:lineRule="auto"/>
        <w:ind w:left="0"/>
        <w:rPr>
          <w:rFonts w:cs="Arial"/>
          <w:b w:val="0"/>
          <w:bCs/>
          <w:sz w:val="22"/>
          <w:szCs w:val="22"/>
        </w:rPr>
      </w:pPr>
      <w:r>
        <w:rPr>
          <w:rFonts w:cs="Arial"/>
          <w:b w:val="0"/>
          <w:bCs/>
          <w:sz w:val="22"/>
          <w:szCs w:val="22"/>
        </w:rPr>
        <w:tab/>
      </w:r>
    </w:p>
    <w:p w14:paraId="3AC6C395" w14:textId="77777777" w:rsidR="00464987" w:rsidRPr="0034422C" w:rsidRDefault="00464987" w:rsidP="00E831D8">
      <w:pPr>
        <w:pStyle w:val="Heading1"/>
        <w:spacing w:line="360" w:lineRule="auto"/>
        <w:ind w:left="0"/>
        <w:rPr>
          <w:rFonts w:cs="Arial"/>
          <w:b w:val="0"/>
          <w:bCs/>
          <w:sz w:val="22"/>
          <w:szCs w:val="22"/>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2A6CDD3C" w14:textId="77777777" w:rsidR="00E078B3" w:rsidRDefault="00E078B3" w:rsidP="009A6B32">
      <w:pPr>
        <w:pStyle w:val="Heading1"/>
        <w:ind w:left="0"/>
        <w:rPr>
          <w:u w:val="single"/>
        </w:rPr>
      </w:pPr>
    </w:p>
    <w:p w14:paraId="3290BC49" w14:textId="77777777" w:rsidR="000E2ADD" w:rsidRDefault="000E2ADD" w:rsidP="009A6B32">
      <w:pPr>
        <w:pStyle w:val="Heading1"/>
        <w:ind w:left="0"/>
        <w:rPr>
          <w:u w:val="single"/>
        </w:rPr>
      </w:pPr>
    </w:p>
    <w:p w14:paraId="49A121D5" w14:textId="77777777" w:rsidR="000E2ADD" w:rsidRDefault="000E2ADD" w:rsidP="009A6B32">
      <w:pPr>
        <w:pStyle w:val="Heading1"/>
        <w:ind w:left="0"/>
        <w:rPr>
          <w:u w:val="single"/>
        </w:rPr>
      </w:pPr>
    </w:p>
    <w:p w14:paraId="52F84370" w14:textId="77777777" w:rsidR="007E100E" w:rsidRDefault="007E100E" w:rsidP="009A6B32">
      <w:pPr>
        <w:pStyle w:val="Heading1"/>
        <w:ind w:left="0"/>
        <w:rPr>
          <w:u w:val="single"/>
        </w:rPr>
      </w:pPr>
    </w:p>
    <w:p w14:paraId="58452D18" w14:textId="420EF5CB" w:rsidR="00730C3C" w:rsidRPr="00C76785" w:rsidRDefault="00730C3C" w:rsidP="009A6B32">
      <w:pPr>
        <w:pStyle w:val="Heading1"/>
        <w:ind w:left="0"/>
        <w:rPr>
          <w:u w:val="single"/>
        </w:rPr>
      </w:pPr>
      <w:r w:rsidRPr="00C76785">
        <w:rPr>
          <w:u w:val="single"/>
        </w:rPr>
        <w:lastRenderedPageBreak/>
        <w:t>C</w:t>
      </w:r>
      <w:r w:rsidR="00C76785">
        <w:rPr>
          <w:u w:val="single"/>
        </w:rPr>
        <w:t>hapter</w:t>
      </w:r>
      <w:r w:rsidRPr="00C76785">
        <w:rPr>
          <w:u w:val="single"/>
        </w:rPr>
        <w:t xml:space="preserve"> 1: Introduction </w:t>
      </w:r>
    </w:p>
    <w:p w14:paraId="69941E5D" w14:textId="77777777" w:rsidR="00EF6341" w:rsidRPr="00EF6341" w:rsidRDefault="00EF6341" w:rsidP="00EF6341">
      <w:pPr>
        <w:pStyle w:val="BodyText"/>
        <w:spacing w:line="360" w:lineRule="auto"/>
        <w:rPr>
          <w:rFonts w:ascii="Aptos" w:hAnsi="Aptos"/>
        </w:rPr>
      </w:pPr>
    </w:p>
    <w:p w14:paraId="7EB24CC9" w14:textId="121275A0" w:rsidR="00BD2909" w:rsidRPr="008F5C4E" w:rsidRDefault="00BD2909" w:rsidP="00762064">
      <w:pPr>
        <w:pStyle w:val="Heading2"/>
        <w:rPr>
          <w:color w:val="auto"/>
          <w:sz w:val="28"/>
          <w:szCs w:val="28"/>
        </w:rPr>
      </w:pPr>
      <w:r w:rsidRPr="008F5C4E">
        <w:rPr>
          <w:rStyle w:val="normaltextrun"/>
          <w:rFonts w:ascii="Arial" w:hAnsi="Arial" w:cs="Arial"/>
          <w:b/>
          <w:bCs/>
          <w:color w:val="auto"/>
          <w:sz w:val="28"/>
          <w:szCs w:val="28"/>
          <w:u w:val="single"/>
        </w:rPr>
        <w:t xml:space="preserve">1.1 Introduction </w:t>
      </w:r>
    </w:p>
    <w:p w14:paraId="788D766B" w14:textId="751860A0" w:rsidR="00E50BF5" w:rsidRPr="00E50BF5" w:rsidRDefault="00E50BF5" w:rsidP="00E50BF5">
      <w:pPr>
        <w:pStyle w:val="paragraph"/>
        <w:spacing w:after="0" w:afterAutospacing="0" w:line="360" w:lineRule="auto"/>
        <w:textAlignment w:val="baseline"/>
        <w:rPr>
          <w:rFonts w:ascii="Arial" w:hAnsi="Arial" w:cs="Arial"/>
          <w:sz w:val="22"/>
          <w:szCs w:val="22"/>
        </w:rPr>
      </w:pPr>
      <w:r w:rsidRPr="00E50BF5">
        <w:rPr>
          <w:rFonts w:ascii="Arial" w:hAnsi="Arial" w:cs="Arial"/>
          <w:sz w:val="22"/>
          <w:szCs w:val="22"/>
        </w:rPr>
        <w:t>The delivery of end-of-life (EOL) care is a fundamental component of health and social care practice, grounded in principles of dignity, compassion, and person-centred support. However, in multicultural societies such as the UK, there is growing concern that current EOL care models often fail to meet the cultural and spiritual needs of ethnic minority communities (</w:t>
      </w:r>
      <w:proofErr w:type="spellStart"/>
      <w:r w:rsidRPr="00E50BF5">
        <w:rPr>
          <w:rFonts w:ascii="Arial" w:hAnsi="Arial" w:cs="Arial"/>
          <w:sz w:val="22"/>
          <w:szCs w:val="22"/>
        </w:rPr>
        <w:t>Calanzani</w:t>
      </w:r>
      <w:proofErr w:type="spellEnd"/>
      <w:r w:rsidRPr="00E50BF5">
        <w:rPr>
          <w:rFonts w:ascii="Arial" w:hAnsi="Arial" w:cs="Arial"/>
          <w:sz w:val="22"/>
          <w:szCs w:val="22"/>
        </w:rPr>
        <w:t>, Koffman and Higginson, 2013). As the UK population becomes increasingly diverse, the importance of culturally competent care has become a central issue in both policy and practice. Research has shown that individuals from minority ethnic backgrounds face multiple barriers to accessing equitable EOL services, including language difficulties, lack of culturally aware practitioners, institutional bias, and inadequate service adaptation (Koffman et al., 2008; Marie Curie, 20</w:t>
      </w:r>
      <w:r w:rsidR="00D82F0B">
        <w:rPr>
          <w:rFonts w:ascii="Arial" w:hAnsi="Arial" w:cs="Arial"/>
          <w:sz w:val="22"/>
          <w:szCs w:val="22"/>
        </w:rPr>
        <w:t>19</w:t>
      </w:r>
      <w:r w:rsidRPr="00E50BF5">
        <w:rPr>
          <w:rFonts w:ascii="Arial" w:hAnsi="Arial" w:cs="Arial"/>
          <w:sz w:val="22"/>
          <w:szCs w:val="22"/>
        </w:rPr>
        <w:t>). These disparities not only impact the quality of care received but may also exacerbate health inequalities at a critical life stage.</w:t>
      </w:r>
    </w:p>
    <w:p w14:paraId="0DBCD632" w14:textId="77777777" w:rsidR="00E50BF5" w:rsidRDefault="00E50BF5" w:rsidP="00E50BF5">
      <w:pPr>
        <w:pStyle w:val="paragraph"/>
        <w:spacing w:before="0" w:beforeAutospacing="0" w:after="0" w:afterAutospacing="0" w:line="360" w:lineRule="auto"/>
        <w:textAlignment w:val="baseline"/>
        <w:rPr>
          <w:rFonts w:ascii="Arial" w:hAnsi="Arial" w:cs="Arial"/>
          <w:sz w:val="22"/>
          <w:szCs w:val="22"/>
        </w:rPr>
      </w:pPr>
    </w:p>
    <w:p w14:paraId="1FA15220" w14:textId="36F9F61C" w:rsidR="00E50BF5" w:rsidRPr="00E50BF5" w:rsidRDefault="000B6688" w:rsidP="00E50BF5">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This dissertation aims</w:t>
      </w:r>
      <w:r w:rsidR="00E50BF5" w:rsidRPr="00E50BF5">
        <w:rPr>
          <w:rFonts w:ascii="Arial" w:hAnsi="Arial" w:cs="Arial"/>
          <w:sz w:val="22"/>
          <w:szCs w:val="22"/>
        </w:rPr>
        <w:t xml:space="preserve"> to explore the barriers to delivering culturally competent end-of-life care to ethnic minority communities in the UK. By examining </w:t>
      </w:r>
      <w:r>
        <w:rPr>
          <w:rFonts w:ascii="Arial" w:hAnsi="Arial" w:cs="Arial"/>
          <w:sz w:val="22"/>
          <w:szCs w:val="22"/>
        </w:rPr>
        <w:t>structural</w:t>
      </w:r>
      <w:r w:rsidR="00E50BF5" w:rsidRPr="00E50BF5">
        <w:rPr>
          <w:rFonts w:ascii="Arial" w:hAnsi="Arial" w:cs="Arial"/>
          <w:sz w:val="22"/>
          <w:szCs w:val="22"/>
        </w:rPr>
        <w:t xml:space="preserve">, communicative, and cultural challenges, the research </w:t>
      </w:r>
      <w:r>
        <w:rPr>
          <w:rFonts w:ascii="Arial" w:hAnsi="Arial" w:cs="Arial"/>
          <w:sz w:val="22"/>
          <w:szCs w:val="22"/>
        </w:rPr>
        <w:t>aims to highlight gaps in service provision and contribute to the development of improved practice and policy</w:t>
      </w:r>
      <w:r w:rsidR="00E50BF5" w:rsidRPr="00E50BF5">
        <w:rPr>
          <w:rFonts w:ascii="Arial" w:hAnsi="Arial" w:cs="Arial"/>
          <w:sz w:val="22"/>
          <w:szCs w:val="22"/>
        </w:rPr>
        <w:t>. It is anticipated that the findings will provide valuable insights for healthcare professionals, service managers, and policymakers seeking to deliver more inclusive and equitable palliative care. In doing so, the dissertation aspires to promote social justice and support the transformation of EOL care into a service that respects and reflects the diverse needs of all individuals.</w:t>
      </w:r>
    </w:p>
    <w:p w14:paraId="18072CD8"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6501BF4" w14:textId="1EA560B4" w:rsidR="00BD2909" w:rsidRPr="008F5C4E" w:rsidRDefault="00BD2909" w:rsidP="00BD2909">
      <w:pPr>
        <w:pStyle w:val="paragraph"/>
        <w:spacing w:before="0" w:beforeAutospacing="0" w:after="0" w:afterAutospacing="0" w:line="360" w:lineRule="auto"/>
        <w:textAlignment w:val="baseline"/>
        <w:rPr>
          <w:rFonts w:ascii="Aptos" w:hAnsi="Aptos" w:cs="Segoe UI"/>
          <w:color w:val="0F4761"/>
          <w:sz w:val="28"/>
          <w:szCs w:val="28"/>
        </w:rPr>
      </w:pPr>
      <w:r w:rsidRPr="008F5C4E">
        <w:rPr>
          <w:rStyle w:val="normaltextrun"/>
          <w:rFonts w:ascii="Arial" w:hAnsi="Arial" w:cs="Arial"/>
          <w:b/>
          <w:bCs/>
          <w:sz w:val="28"/>
          <w:szCs w:val="28"/>
          <w:u w:val="single"/>
        </w:rPr>
        <w:t>1.2 Definitions and Terminology</w:t>
      </w:r>
      <w:r w:rsidRPr="008F5C4E">
        <w:rPr>
          <w:rStyle w:val="normaltextrun"/>
          <w:rFonts w:ascii="Aptos" w:hAnsi="Aptos" w:cs="Arial"/>
          <w:sz w:val="28"/>
          <w:szCs w:val="28"/>
        </w:rPr>
        <w:t xml:space="preserve"> </w:t>
      </w:r>
    </w:p>
    <w:p w14:paraId="7D8ACD3D" w14:textId="18577696" w:rsidR="00D82F0B" w:rsidRPr="00D82F0B" w:rsidRDefault="00D82F0B" w:rsidP="00D82F0B">
      <w:pPr>
        <w:pStyle w:val="paragraph"/>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To ensure clarity and consistency throughout this dissertation, it is essential to define the key terms and concepts underpinning the research. The term “end-of-life care” (EOL care) refers to the support provided to individuals in the final stages of life, focusing on physical comfort, emotional well</w:t>
      </w:r>
      <w:r>
        <w:rPr>
          <w:rStyle w:val="normaltextrun"/>
          <w:rFonts w:ascii="Arial" w:hAnsi="Arial" w:cs="Arial"/>
          <w:sz w:val="22"/>
          <w:szCs w:val="22"/>
        </w:rPr>
        <w:t>-</w:t>
      </w:r>
      <w:r w:rsidRPr="00D82F0B">
        <w:rPr>
          <w:rStyle w:val="normaltextrun"/>
          <w:rFonts w:ascii="Arial" w:hAnsi="Arial" w:cs="Arial"/>
          <w:sz w:val="22"/>
          <w:szCs w:val="22"/>
        </w:rPr>
        <w:t>being, and the preservation of dignity (NICE, 20</w:t>
      </w:r>
      <w:r>
        <w:rPr>
          <w:rStyle w:val="normaltextrun"/>
          <w:rFonts w:ascii="Arial" w:hAnsi="Arial" w:cs="Arial"/>
          <w:sz w:val="22"/>
          <w:szCs w:val="22"/>
        </w:rPr>
        <w:t>21</w:t>
      </w:r>
      <w:r w:rsidRPr="00D82F0B">
        <w:rPr>
          <w:rStyle w:val="normaltextrun"/>
          <w:rFonts w:ascii="Arial" w:hAnsi="Arial" w:cs="Arial"/>
          <w:sz w:val="22"/>
          <w:szCs w:val="22"/>
        </w:rPr>
        <w:t xml:space="preserve">). EOL care may </w:t>
      </w:r>
      <w:r>
        <w:rPr>
          <w:rStyle w:val="normaltextrun"/>
          <w:rFonts w:ascii="Arial" w:hAnsi="Arial" w:cs="Arial"/>
          <w:sz w:val="22"/>
          <w:szCs w:val="22"/>
        </w:rPr>
        <w:t>occur</w:t>
      </w:r>
      <w:r w:rsidRPr="00D82F0B">
        <w:rPr>
          <w:rStyle w:val="normaltextrun"/>
          <w:rFonts w:ascii="Arial" w:hAnsi="Arial" w:cs="Arial"/>
          <w:sz w:val="22"/>
          <w:szCs w:val="22"/>
        </w:rPr>
        <w:t xml:space="preserve"> in hospitals, hospices, care homes, or individuals’ homes, and is often guided by palliative care principles.</w:t>
      </w:r>
    </w:p>
    <w:p w14:paraId="3930D1C6" w14:textId="2087AC2B" w:rsidR="00D82F0B" w:rsidRPr="00D82F0B" w:rsidRDefault="00D82F0B" w:rsidP="00D82F0B">
      <w:pPr>
        <w:pStyle w:val="paragraph"/>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 xml:space="preserve">Cultural competence is central to this study and is defined as the ability of health and social care professionals to provide care that is respectful of, and responsive to, the cultural and linguistic needs of service users (Papadopoulos, 2006). This involves awareness of one's </w:t>
      </w:r>
      <w:r w:rsidRPr="00D82F0B">
        <w:rPr>
          <w:rStyle w:val="normaltextrun"/>
          <w:rFonts w:ascii="Arial" w:hAnsi="Arial" w:cs="Arial"/>
          <w:sz w:val="22"/>
          <w:szCs w:val="22"/>
        </w:rPr>
        <w:lastRenderedPageBreak/>
        <w:t xml:space="preserve">own cultural worldview, knowledge of </w:t>
      </w:r>
      <w:r w:rsidR="005F27B6" w:rsidRPr="00D82F0B">
        <w:rPr>
          <w:rStyle w:val="normaltextrun"/>
          <w:rFonts w:ascii="Arial" w:hAnsi="Arial" w:cs="Arial"/>
          <w:sz w:val="22"/>
          <w:szCs w:val="22"/>
        </w:rPr>
        <w:t>diverse cultural</w:t>
      </w:r>
      <w:r w:rsidRPr="00D82F0B">
        <w:rPr>
          <w:rStyle w:val="normaltextrun"/>
          <w:rFonts w:ascii="Arial" w:hAnsi="Arial" w:cs="Arial"/>
          <w:sz w:val="22"/>
          <w:szCs w:val="22"/>
        </w:rPr>
        <w:t xml:space="preserve"> practices, and cross-cultural communication skills. Cultural competence is widely regarded as a key strategy in reducing health disparities (Betancourt et al., 2003).</w:t>
      </w:r>
    </w:p>
    <w:p w14:paraId="2B0CD4F4" w14:textId="63E5E5D0" w:rsidR="00D82F0B" w:rsidRPr="00D82F0B" w:rsidRDefault="00D82F0B" w:rsidP="00D82F0B">
      <w:pPr>
        <w:pStyle w:val="paragraph"/>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The phrase “ethnic minority communities” in this context refers to UK residents who identify with non-White British backgrounds, including but not limited to Black African, Black Caribbean, South Asian, Chinese, and mixed heritage groups (ONS, 202</w:t>
      </w:r>
      <w:r w:rsidR="00DC19FE">
        <w:rPr>
          <w:rStyle w:val="normaltextrun"/>
          <w:rFonts w:ascii="Arial" w:hAnsi="Arial" w:cs="Arial"/>
          <w:sz w:val="22"/>
          <w:szCs w:val="22"/>
        </w:rPr>
        <w:t>2</w:t>
      </w:r>
      <w:r w:rsidRPr="00D82F0B">
        <w:rPr>
          <w:rStyle w:val="normaltextrun"/>
          <w:rFonts w:ascii="Arial" w:hAnsi="Arial" w:cs="Arial"/>
          <w:sz w:val="22"/>
          <w:szCs w:val="22"/>
        </w:rPr>
        <w:t>). This dissertation acknowledges that ethnic minorities are not a homogeneous group and may have distinct religious, cultural, and linguistic needs.</w:t>
      </w:r>
    </w:p>
    <w:p w14:paraId="422624B6" w14:textId="77777777" w:rsidR="00D82F0B" w:rsidRPr="00D82F0B" w:rsidRDefault="00D82F0B" w:rsidP="00D82F0B">
      <w:pPr>
        <w:pStyle w:val="paragraph"/>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Acronyms and abbreviations used include:</w:t>
      </w:r>
    </w:p>
    <w:p w14:paraId="3D6090AB" w14:textId="77777777" w:rsidR="00D82F0B" w:rsidRDefault="00D82F0B" w:rsidP="00D82F0B">
      <w:pPr>
        <w:pStyle w:val="paragraph"/>
        <w:numPr>
          <w:ilvl w:val="0"/>
          <w:numId w:val="107"/>
        </w:numPr>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EOL: End-of-Life</w:t>
      </w:r>
    </w:p>
    <w:p w14:paraId="4F118E43" w14:textId="543982ED" w:rsidR="00D82F0B" w:rsidRPr="00D82F0B" w:rsidRDefault="00D82F0B" w:rsidP="00D82F0B">
      <w:pPr>
        <w:pStyle w:val="paragraph"/>
        <w:numPr>
          <w:ilvl w:val="0"/>
          <w:numId w:val="107"/>
        </w:numPr>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NHS: National Health Service</w:t>
      </w:r>
    </w:p>
    <w:p w14:paraId="563F5F53" w14:textId="77777777" w:rsidR="00D82F0B" w:rsidRDefault="00D82F0B" w:rsidP="00D82F0B">
      <w:pPr>
        <w:pStyle w:val="paragraph"/>
        <w:numPr>
          <w:ilvl w:val="0"/>
          <w:numId w:val="107"/>
        </w:numPr>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ICS: Integrated Care Systems</w:t>
      </w:r>
    </w:p>
    <w:p w14:paraId="483585D6" w14:textId="70144F9E" w:rsidR="00D82F0B" w:rsidRPr="00D82F0B" w:rsidRDefault="00D82F0B" w:rsidP="00D82F0B">
      <w:pPr>
        <w:pStyle w:val="paragraph"/>
        <w:numPr>
          <w:ilvl w:val="0"/>
          <w:numId w:val="107"/>
        </w:numPr>
        <w:spacing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BAME (no longer preferred, but sometimes used in policy): Black, Asian and Minority Ethnic</w:t>
      </w:r>
    </w:p>
    <w:p w14:paraId="3F1C6752" w14:textId="13708A1E" w:rsidR="00D82F0B" w:rsidRPr="00D82F0B" w:rsidRDefault="00D82F0B" w:rsidP="00D82F0B">
      <w:pPr>
        <w:pStyle w:val="paragraph"/>
        <w:spacing w:before="0" w:beforeAutospacing="0" w:after="0" w:afterAutospacing="0" w:line="360" w:lineRule="auto"/>
        <w:textAlignment w:val="baseline"/>
        <w:rPr>
          <w:rStyle w:val="normaltextrun"/>
          <w:rFonts w:ascii="Arial" w:hAnsi="Arial" w:cs="Arial"/>
          <w:sz w:val="22"/>
          <w:szCs w:val="22"/>
        </w:rPr>
      </w:pPr>
      <w:r w:rsidRPr="00D82F0B">
        <w:rPr>
          <w:rStyle w:val="normaltextrun"/>
          <w:rFonts w:ascii="Arial" w:hAnsi="Arial" w:cs="Arial"/>
          <w:sz w:val="22"/>
          <w:szCs w:val="22"/>
        </w:rPr>
        <w:t>Each of these terms will be used consistently to support a clear understanding of the subject matter.</w:t>
      </w:r>
    </w:p>
    <w:p w14:paraId="4BC66D2F" w14:textId="5869A78B" w:rsidR="00BD2909" w:rsidRPr="00BD2909" w:rsidRDefault="00BD2909" w:rsidP="00D82F0B">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165773A7" w14:textId="70B8E952" w:rsidR="00BD2909" w:rsidRPr="008F5C4E" w:rsidRDefault="00BD2909" w:rsidP="00BD2909">
      <w:pPr>
        <w:pStyle w:val="paragraph"/>
        <w:spacing w:before="0" w:beforeAutospacing="0" w:after="0" w:afterAutospacing="0" w:line="360" w:lineRule="auto"/>
        <w:textAlignment w:val="baseline"/>
        <w:rPr>
          <w:rFonts w:ascii="Arial" w:hAnsi="Arial" w:cs="Arial"/>
          <w:b/>
          <w:bCs/>
          <w:sz w:val="28"/>
          <w:szCs w:val="28"/>
          <w:u w:val="single"/>
        </w:rPr>
      </w:pPr>
      <w:r w:rsidRPr="008F5C4E">
        <w:rPr>
          <w:rStyle w:val="normaltextrun"/>
          <w:rFonts w:ascii="Arial" w:hAnsi="Arial" w:cs="Arial"/>
          <w:b/>
          <w:bCs/>
          <w:sz w:val="28"/>
          <w:szCs w:val="28"/>
          <w:u w:val="single"/>
        </w:rPr>
        <w:t>1.3 Rationale for Research</w:t>
      </w:r>
    </w:p>
    <w:p w14:paraId="4AC55AB9" w14:textId="77777777" w:rsidR="00F3390B" w:rsidRDefault="00F3390B" w:rsidP="00F3390B">
      <w:pPr>
        <w:pStyle w:val="paragraph"/>
        <w:spacing w:after="0" w:afterAutospacing="0" w:line="360" w:lineRule="auto"/>
        <w:textAlignment w:val="baseline"/>
        <w:rPr>
          <w:rFonts w:ascii="Arial" w:hAnsi="Arial" w:cs="Arial"/>
          <w:sz w:val="22"/>
          <w:szCs w:val="22"/>
        </w:rPr>
      </w:pPr>
      <w:r w:rsidRPr="00F3390B">
        <w:rPr>
          <w:rFonts w:ascii="Arial" w:hAnsi="Arial" w:cs="Arial"/>
          <w:sz w:val="22"/>
          <w:szCs w:val="22"/>
        </w:rPr>
        <w:t>The decision to explore barriers to culturally competent end-of-life care in the UK stems from a growing recognition of persistent health inequalities experienced by ethnic minority communities, particularly during the final stages of life. Despite national commitments to equality, evidence suggests that ethnic minority patients often receive inadequate or inappropriate care at end of life due to cultural misunderstandings, institutional bias, or language barriers (</w:t>
      </w:r>
      <w:proofErr w:type="spellStart"/>
      <w:r w:rsidRPr="00F3390B">
        <w:rPr>
          <w:rFonts w:ascii="Arial" w:hAnsi="Arial" w:cs="Arial"/>
          <w:sz w:val="22"/>
          <w:szCs w:val="22"/>
        </w:rPr>
        <w:t>Calanzani</w:t>
      </w:r>
      <w:proofErr w:type="spellEnd"/>
      <w:r w:rsidRPr="00F3390B">
        <w:rPr>
          <w:rFonts w:ascii="Arial" w:hAnsi="Arial" w:cs="Arial"/>
          <w:sz w:val="22"/>
          <w:szCs w:val="22"/>
        </w:rPr>
        <w:t>, Koffman and Higginson, 2013). This topic is not only socially significant but professionally relevant, as delivering equitable care is a central pillar of the NHS Long Term Plan (NHS England, 2019).</w:t>
      </w:r>
    </w:p>
    <w:p w14:paraId="2146887A" w14:textId="4A1FB356" w:rsidR="00F3390B" w:rsidRPr="00F3390B" w:rsidRDefault="00F3390B" w:rsidP="00F3390B">
      <w:pPr>
        <w:pStyle w:val="paragraph"/>
        <w:spacing w:after="0" w:afterAutospacing="0" w:line="360" w:lineRule="auto"/>
        <w:textAlignment w:val="baseline"/>
        <w:rPr>
          <w:rFonts w:ascii="Arial" w:hAnsi="Arial" w:cs="Arial"/>
          <w:sz w:val="22"/>
          <w:szCs w:val="22"/>
        </w:rPr>
      </w:pPr>
      <w:r w:rsidRPr="00F3390B">
        <w:rPr>
          <w:rFonts w:ascii="Arial" w:hAnsi="Arial" w:cs="Arial"/>
          <w:sz w:val="22"/>
          <w:szCs w:val="22"/>
        </w:rPr>
        <w:t>Recent literature acknowledges the need for more inclusive palliative care models; however, much of the research has been broad, with limited exploration of the lived experiences and preferences of specific communities (Marie Curie, 20</w:t>
      </w:r>
      <w:r w:rsidR="003F4644">
        <w:rPr>
          <w:rFonts w:ascii="Arial" w:hAnsi="Arial" w:cs="Arial"/>
          <w:sz w:val="22"/>
          <w:szCs w:val="22"/>
        </w:rPr>
        <w:t>19</w:t>
      </w:r>
      <w:r w:rsidRPr="00F3390B">
        <w:rPr>
          <w:rFonts w:ascii="Arial" w:hAnsi="Arial" w:cs="Arial"/>
          <w:sz w:val="22"/>
          <w:szCs w:val="22"/>
        </w:rPr>
        <w:t xml:space="preserve">). For instance, Gunaratnam (2013) argues that minority patients often feel excluded from mainstream services, while existing care frameworks may not reflect their religious or spiritual values. Although some studies have addressed cultural competence in nursing and social work, few have offered a </w:t>
      </w:r>
      <w:r w:rsidRPr="00F3390B">
        <w:rPr>
          <w:rFonts w:ascii="Arial" w:hAnsi="Arial" w:cs="Arial"/>
          <w:sz w:val="22"/>
          <w:szCs w:val="22"/>
        </w:rPr>
        <w:lastRenderedPageBreak/>
        <w:t>systematic analysis of how barriers manifest in practice, or how services can be adapted to meet diverse needs (Papadopoulos, 2006).</w:t>
      </w:r>
    </w:p>
    <w:p w14:paraId="0C00FAAD" w14:textId="77777777" w:rsidR="00F3390B" w:rsidRDefault="00F3390B" w:rsidP="00F3390B">
      <w:pPr>
        <w:pStyle w:val="paragraph"/>
        <w:spacing w:before="0" w:beforeAutospacing="0" w:after="0" w:afterAutospacing="0" w:line="360" w:lineRule="auto"/>
        <w:textAlignment w:val="baseline"/>
        <w:rPr>
          <w:rFonts w:ascii="Arial" w:hAnsi="Arial" w:cs="Arial"/>
          <w:sz w:val="22"/>
          <w:szCs w:val="22"/>
        </w:rPr>
      </w:pPr>
    </w:p>
    <w:p w14:paraId="4B39AF29" w14:textId="64A2CBA5" w:rsidR="00F3390B" w:rsidRDefault="00F3390B" w:rsidP="00F3390B">
      <w:pPr>
        <w:pStyle w:val="paragraph"/>
        <w:spacing w:before="0" w:beforeAutospacing="0" w:after="0" w:afterAutospacing="0" w:line="360" w:lineRule="auto"/>
        <w:textAlignment w:val="baseline"/>
        <w:rPr>
          <w:rFonts w:ascii="Arial" w:hAnsi="Arial" w:cs="Arial"/>
          <w:sz w:val="22"/>
          <w:szCs w:val="22"/>
        </w:rPr>
      </w:pPr>
      <w:r w:rsidRPr="00F3390B">
        <w:rPr>
          <w:rFonts w:ascii="Arial" w:hAnsi="Arial" w:cs="Arial"/>
          <w:sz w:val="22"/>
          <w:szCs w:val="22"/>
        </w:rPr>
        <w:t xml:space="preserve">This dissertation sets out to address this gap by critically analysing the structural, communicative, and cultural challenges that limit access to quality EOL care. The findings will inform future practice by highlighting the need for culturally sensitive training, inclusive </w:t>
      </w:r>
      <w:proofErr w:type="gramStart"/>
      <w:r w:rsidR="000B6688">
        <w:rPr>
          <w:rFonts w:ascii="Arial" w:hAnsi="Arial" w:cs="Arial"/>
          <w:sz w:val="22"/>
          <w:szCs w:val="22"/>
        </w:rPr>
        <w:t>policy-making</w:t>
      </w:r>
      <w:proofErr w:type="gramEnd"/>
      <w:r w:rsidR="000B6688">
        <w:rPr>
          <w:rFonts w:ascii="Arial" w:hAnsi="Arial" w:cs="Arial"/>
          <w:sz w:val="22"/>
          <w:szCs w:val="22"/>
        </w:rPr>
        <w:t>, and patient-centred</w:t>
      </w:r>
      <w:r w:rsidRPr="00F3390B">
        <w:rPr>
          <w:rFonts w:ascii="Arial" w:hAnsi="Arial" w:cs="Arial"/>
          <w:sz w:val="22"/>
          <w:szCs w:val="22"/>
        </w:rPr>
        <w:t xml:space="preserve"> service redesign</w:t>
      </w:r>
      <w:r w:rsidR="000B6688">
        <w:rPr>
          <w:rFonts w:ascii="Arial" w:hAnsi="Arial" w:cs="Arial"/>
          <w:sz w:val="22"/>
          <w:szCs w:val="22"/>
        </w:rPr>
        <w:t xml:space="preserve">, </w:t>
      </w:r>
      <w:r w:rsidRPr="00F3390B">
        <w:rPr>
          <w:rFonts w:ascii="Arial" w:hAnsi="Arial" w:cs="Arial"/>
          <w:sz w:val="22"/>
          <w:szCs w:val="22"/>
        </w:rPr>
        <w:t>thereby contributing to a fairer and more compassionate health and social care system.</w:t>
      </w:r>
    </w:p>
    <w:p w14:paraId="036241E0" w14:textId="77777777" w:rsidR="006E76BF" w:rsidRPr="00F3390B" w:rsidRDefault="006E76BF" w:rsidP="00F3390B">
      <w:pPr>
        <w:pStyle w:val="paragraph"/>
        <w:spacing w:before="0" w:beforeAutospacing="0" w:after="0" w:afterAutospacing="0" w:line="360" w:lineRule="auto"/>
        <w:textAlignment w:val="baseline"/>
        <w:rPr>
          <w:rFonts w:ascii="Arial" w:hAnsi="Arial" w:cs="Arial"/>
          <w:sz w:val="22"/>
          <w:szCs w:val="22"/>
        </w:rPr>
      </w:pPr>
    </w:p>
    <w:p w14:paraId="4BA38E43" w14:textId="3C65F685" w:rsidR="00E26110" w:rsidRPr="008F5C4E" w:rsidRDefault="00BD2909" w:rsidP="00BD2909">
      <w:pPr>
        <w:pStyle w:val="paragraph"/>
        <w:spacing w:before="0" w:beforeAutospacing="0" w:after="0" w:afterAutospacing="0" w:line="360" w:lineRule="auto"/>
        <w:textAlignment w:val="baseline"/>
        <w:rPr>
          <w:rFonts w:ascii="Arial" w:hAnsi="Arial" w:cs="Arial"/>
          <w:b/>
          <w:bCs/>
          <w:sz w:val="28"/>
          <w:szCs w:val="28"/>
          <w:u w:val="single"/>
        </w:rPr>
      </w:pPr>
      <w:r w:rsidRPr="008F5C4E">
        <w:rPr>
          <w:rStyle w:val="normaltextrun"/>
          <w:rFonts w:ascii="Arial" w:hAnsi="Arial" w:cs="Arial"/>
          <w:b/>
          <w:bCs/>
          <w:sz w:val="28"/>
          <w:szCs w:val="28"/>
          <w:u w:val="single"/>
        </w:rPr>
        <w:t>1.4 Aim and Objectives</w:t>
      </w:r>
    </w:p>
    <w:p w14:paraId="6F8550F9" w14:textId="77777777" w:rsidR="00E26110" w:rsidRDefault="00E26110" w:rsidP="00BD2909">
      <w:pPr>
        <w:pStyle w:val="paragraph"/>
        <w:spacing w:before="0" w:beforeAutospacing="0" w:after="0" w:afterAutospacing="0" w:line="360" w:lineRule="auto"/>
        <w:textAlignment w:val="baseline"/>
        <w:rPr>
          <w:rFonts w:ascii="Aptos" w:hAnsi="Aptos" w:cs="Segoe UI"/>
          <w:color w:val="0F4761"/>
          <w:sz w:val="16"/>
          <w:szCs w:val="16"/>
        </w:rPr>
      </w:pPr>
    </w:p>
    <w:p w14:paraId="7FA3F3C5" w14:textId="5C9587BD" w:rsidR="00BD2909" w:rsidRPr="00E26110" w:rsidRDefault="00BD2909" w:rsidP="00BD2909">
      <w:pPr>
        <w:pStyle w:val="paragraph"/>
        <w:spacing w:before="0" w:beforeAutospacing="0" w:after="0" w:afterAutospacing="0" w:line="360" w:lineRule="auto"/>
        <w:textAlignment w:val="baseline"/>
        <w:rPr>
          <w:rStyle w:val="eop"/>
          <w:rFonts w:ascii="Aptos" w:hAnsi="Aptos" w:cs="Segoe UI"/>
          <w:color w:val="0F4761"/>
          <w:sz w:val="16"/>
          <w:szCs w:val="16"/>
        </w:rPr>
      </w:pPr>
      <w:r w:rsidRPr="00BD2909">
        <w:rPr>
          <w:rStyle w:val="eop"/>
          <w:rFonts w:ascii="Aptos" w:hAnsi="Aptos" w:cs="Arial"/>
          <w:sz w:val="22"/>
          <w:szCs w:val="22"/>
        </w:rPr>
        <w:t> </w:t>
      </w:r>
      <w:r w:rsidR="00E130D1" w:rsidRPr="00E130D1">
        <w:rPr>
          <w:rStyle w:val="eop"/>
          <w:rFonts w:ascii="Arial" w:hAnsi="Arial" w:cs="Arial"/>
          <w:sz w:val="22"/>
          <w:szCs w:val="22"/>
        </w:rPr>
        <w:t xml:space="preserve">The </w:t>
      </w:r>
      <w:r w:rsidR="00E130D1">
        <w:rPr>
          <w:rStyle w:val="eop"/>
          <w:rFonts w:ascii="Arial" w:hAnsi="Arial" w:cs="Arial"/>
          <w:sz w:val="22"/>
          <w:szCs w:val="22"/>
        </w:rPr>
        <w:t>underlying</w:t>
      </w:r>
      <w:r w:rsidR="00E130D1" w:rsidRPr="00E130D1">
        <w:rPr>
          <w:rStyle w:val="eop"/>
          <w:rFonts w:ascii="Arial" w:hAnsi="Arial" w:cs="Arial"/>
          <w:sz w:val="22"/>
          <w:szCs w:val="22"/>
        </w:rPr>
        <w:t xml:space="preserve"> aim of this research is to explore the barriers to delivering culturally competent end-of-life (EOL) care to ethnic minority communities within the UK. This study is grounded in the recognition that, despite existing policy frameworks promoting equality and personalised care, significant disparities remain in how ethnic minority groups experience EOL services (</w:t>
      </w:r>
      <w:proofErr w:type="spellStart"/>
      <w:r w:rsidR="00E130D1" w:rsidRPr="00E130D1">
        <w:rPr>
          <w:rStyle w:val="eop"/>
          <w:rFonts w:ascii="Arial" w:hAnsi="Arial" w:cs="Arial"/>
          <w:sz w:val="22"/>
          <w:szCs w:val="22"/>
        </w:rPr>
        <w:t>Calanzani</w:t>
      </w:r>
      <w:proofErr w:type="spellEnd"/>
      <w:r w:rsidR="00E130D1" w:rsidRPr="00E130D1">
        <w:rPr>
          <w:rStyle w:val="eop"/>
          <w:rFonts w:ascii="Arial" w:hAnsi="Arial" w:cs="Arial"/>
          <w:sz w:val="22"/>
          <w:szCs w:val="22"/>
        </w:rPr>
        <w:t>, Koffman and Higginson, 2013). The research aims to build upon previous work by identifying key challenges at both systemic and practice levels, ultimately contributing to the development of more inclusive care strategies. By addressing this issue, the study seeks to support policy advancement, enhance practitioner training, and promote culturally safe EOL care practices</w:t>
      </w:r>
      <w:r w:rsidR="00E130D1" w:rsidRPr="00E130D1">
        <w:rPr>
          <w:rStyle w:val="eop"/>
          <w:rFonts w:ascii="Aptos" w:hAnsi="Aptos" w:cs="Arial"/>
          <w:sz w:val="22"/>
          <w:szCs w:val="22"/>
        </w:rPr>
        <w:t>.</w:t>
      </w:r>
    </w:p>
    <w:p w14:paraId="1AE2EFB9" w14:textId="77777777" w:rsidR="00E130D1" w:rsidRPr="00E130D1" w:rsidRDefault="00E130D1" w:rsidP="00E130D1">
      <w:pPr>
        <w:pStyle w:val="paragraph"/>
        <w:spacing w:after="0"/>
        <w:textAlignment w:val="baseline"/>
        <w:rPr>
          <w:rStyle w:val="eop"/>
          <w:rFonts w:ascii="Arial" w:hAnsi="Arial" w:cs="Arial"/>
          <w:sz w:val="22"/>
          <w:szCs w:val="22"/>
        </w:rPr>
      </w:pPr>
      <w:r w:rsidRPr="00E130D1">
        <w:rPr>
          <w:rStyle w:val="eop"/>
          <w:rFonts w:ascii="Arial" w:hAnsi="Arial" w:cs="Arial"/>
          <w:sz w:val="22"/>
          <w:szCs w:val="22"/>
        </w:rPr>
        <w:t>To guide the research, the following SMART objectives have been formulated:</w:t>
      </w:r>
    </w:p>
    <w:p w14:paraId="70650F68" w14:textId="7123B900" w:rsidR="00E130D1" w:rsidRPr="00E130D1" w:rsidRDefault="00E130D1" w:rsidP="00E130D1">
      <w:pPr>
        <w:pStyle w:val="paragraph"/>
        <w:numPr>
          <w:ilvl w:val="0"/>
          <w:numId w:val="109"/>
        </w:numPr>
        <w:spacing w:after="0" w:afterAutospacing="0" w:line="360" w:lineRule="auto"/>
        <w:ind w:left="714" w:hanging="357"/>
        <w:textAlignment w:val="baseline"/>
        <w:rPr>
          <w:rStyle w:val="eop"/>
          <w:rFonts w:ascii="Arial" w:hAnsi="Arial" w:cs="Arial"/>
          <w:sz w:val="22"/>
          <w:szCs w:val="22"/>
        </w:rPr>
      </w:pPr>
      <w:r w:rsidRPr="00E130D1">
        <w:rPr>
          <w:rStyle w:val="eop"/>
          <w:rFonts w:ascii="Arial" w:hAnsi="Arial" w:cs="Arial"/>
          <w:sz w:val="22"/>
          <w:szCs w:val="22"/>
        </w:rPr>
        <w:t>Objective 1</w:t>
      </w:r>
      <w:r>
        <w:rPr>
          <w:rStyle w:val="eop"/>
          <w:rFonts w:ascii="Arial" w:hAnsi="Arial" w:cs="Arial"/>
          <w:sz w:val="22"/>
          <w:szCs w:val="22"/>
        </w:rPr>
        <w:t xml:space="preserve">: </w:t>
      </w:r>
      <w:r w:rsidRPr="00E130D1">
        <w:rPr>
          <w:rStyle w:val="eop"/>
          <w:rFonts w:ascii="Arial" w:hAnsi="Arial" w:cs="Arial"/>
          <w:b/>
          <w:bCs/>
          <w:sz w:val="22"/>
          <w:szCs w:val="22"/>
        </w:rPr>
        <w:t>Specific &amp; Measurable:</w:t>
      </w:r>
      <w:r w:rsidRPr="00E130D1">
        <w:rPr>
          <w:rStyle w:val="eop"/>
          <w:rFonts w:ascii="Arial" w:hAnsi="Arial" w:cs="Arial"/>
          <w:sz w:val="22"/>
          <w:szCs w:val="22"/>
        </w:rPr>
        <w:t xml:space="preserve"> Define and examine the concept of culturally competent care within UK end-of-life services, with a focus on its application to ethnic minority communities (Papadopoulos, 2006).</w:t>
      </w:r>
    </w:p>
    <w:p w14:paraId="3EDC6032" w14:textId="26B7167C" w:rsidR="00E130D1" w:rsidRPr="00E130D1" w:rsidRDefault="00E130D1" w:rsidP="00E130D1">
      <w:pPr>
        <w:pStyle w:val="paragraph"/>
        <w:numPr>
          <w:ilvl w:val="0"/>
          <w:numId w:val="109"/>
        </w:numPr>
        <w:spacing w:after="0" w:afterAutospacing="0" w:line="360" w:lineRule="auto"/>
        <w:ind w:left="714" w:hanging="357"/>
        <w:textAlignment w:val="baseline"/>
        <w:rPr>
          <w:rStyle w:val="eop"/>
          <w:rFonts w:ascii="Arial" w:hAnsi="Arial" w:cs="Arial"/>
          <w:sz w:val="22"/>
          <w:szCs w:val="22"/>
        </w:rPr>
      </w:pPr>
      <w:r w:rsidRPr="00E130D1">
        <w:rPr>
          <w:rStyle w:val="eop"/>
          <w:rFonts w:ascii="Arial" w:hAnsi="Arial" w:cs="Arial"/>
          <w:sz w:val="22"/>
          <w:szCs w:val="22"/>
        </w:rPr>
        <w:t>Objective 2</w:t>
      </w:r>
      <w:r>
        <w:rPr>
          <w:rStyle w:val="eop"/>
          <w:rFonts w:ascii="Arial" w:hAnsi="Arial" w:cs="Arial"/>
          <w:sz w:val="22"/>
          <w:szCs w:val="22"/>
        </w:rPr>
        <w:t xml:space="preserve">: </w:t>
      </w:r>
      <w:r w:rsidRPr="00E130D1">
        <w:rPr>
          <w:rStyle w:val="eop"/>
          <w:rFonts w:ascii="Arial" w:hAnsi="Arial" w:cs="Arial"/>
          <w:b/>
          <w:bCs/>
          <w:sz w:val="22"/>
          <w:szCs w:val="22"/>
        </w:rPr>
        <w:t>Achievable:</w:t>
      </w:r>
      <w:r w:rsidRPr="00E130D1">
        <w:rPr>
          <w:rStyle w:val="eop"/>
          <w:rFonts w:ascii="Arial" w:hAnsi="Arial" w:cs="Arial"/>
          <w:sz w:val="22"/>
          <w:szCs w:val="22"/>
        </w:rPr>
        <w:t xml:space="preserve"> Analyse the structural, institutional, and communication-related barriers that hinder the delivery of culturally appropriate EOL care (Koffman et al., 2008).</w:t>
      </w:r>
    </w:p>
    <w:p w14:paraId="214EF3BB" w14:textId="562080AB" w:rsidR="00E130D1" w:rsidRPr="00E130D1" w:rsidRDefault="00E130D1" w:rsidP="00E130D1">
      <w:pPr>
        <w:pStyle w:val="paragraph"/>
        <w:numPr>
          <w:ilvl w:val="0"/>
          <w:numId w:val="109"/>
        </w:numPr>
        <w:spacing w:after="0" w:afterAutospacing="0" w:line="360" w:lineRule="auto"/>
        <w:ind w:left="714" w:hanging="357"/>
        <w:textAlignment w:val="baseline"/>
        <w:rPr>
          <w:rStyle w:val="eop"/>
          <w:rFonts w:ascii="Arial" w:hAnsi="Arial" w:cs="Arial"/>
          <w:sz w:val="22"/>
          <w:szCs w:val="22"/>
        </w:rPr>
      </w:pPr>
      <w:r w:rsidRPr="00E130D1">
        <w:rPr>
          <w:rStyle w:val="eop"/>
          <w:rFonts w:ascii="Arial" w:hAnsi="Arial" w:cs="Arial"/>
          <w:sz w:val="22"/>
          <w:szCs w:val="22"/>
        </w:rPr>
        <w:t>Objective 3</w:t>
      </w:r>
      <w:r>
        <w:rPr>
          <w:rStyle w:val="eop"/>
          <w:rFonts w:ascii="Arial" w:hAnsi="Arial" w:cs="Arial"/>
          <w:sz w:val="22"/>
          <w:szCs w:val="22"/>
        </w:rPr>
        <w:t xml:space="preserve">: </w:t>
      </w:r>
      <w:r w:rsidRPr="00E130D1">
        <w:rPr>
          <w:rStyle w:val="eop"/>
          <w:rFonts w:ascii="Arial" w:hAnsi="Arial" w:cs="Arial"/>
          <w:b/>
          <w:bCs/>
          <w:sz w:val="22"/>
          <w:szCs w:val="22"/>
        </w:rPr>
        <w:t>Relevant:</w:t>
      </w:r>
      <w:r w:rsidRPr="00E130D1">
        <w:rPr>
          <w:rStyle w:val="eop"/>
          <w:rFonts w:ascii="Arial" w:hAnsi="Arial" w:cs="Arial"/>
          <w:sz w:val="22"/>
          <w:szCs w:val="22"/>
        </w:rPr>
        <w:t xml:space="preserve"> Evaluate how current UK policies and professional practices address cultural </w:t>
      </w:r>
      <w:r w:rsidR="000B6688" w:rsidRPr="00E130D1">
        <w:rPr>
          <w:rStyle w:val="eop"/>
          <w:rFonts w:ascii="Arial" w:hAnsi="Arial" w:cs="Arial"/>
          <w:sz w:val="22"/>
          <w:szCs w:val="22"/>
        </w:rPr>
        <w:t>diversity and</w:t>
      </w:r>
      <w:r w:rsidRPr="00E130D1">
        <w:rPr>
          <w:rStyle w:val="eop"/>
          <w:rFonts w:ascii="Arial" w:hAnsi="Arial" w:cs="Arial"/>
          <w:sz w:val="22"/>
          <w:szCs w:val="22"/>
        </w:rPr>
        <w:t xml:space="preserve"> assess how national strategies such as The King’s Fund’s inclusion agenda shape access to care (Marie Curie, 2019; The King’s Fund, 2021).</w:t>
      </w:r>
    </w:p>
    <w:p w14:paraId="21177842" w14:textId="4B7292E9" w:rsidR="00E130D1" w:rsidRPr="00E130D1" w:rsidRDefault="00E130D1" w:rsidP="00E130D1">
      <w:pPr>
        <w:pStyle w:val="paragraph"/>
        <w:numPr>
          <w:ilvl w:val="0"/>
          <w:numId w:val="109"/>
        </w:numPr>
        <w:spacing w:before="0" w:beforeAutospacing="0" w:after="0" w:afterAutospacing="0" w:line="360" w:lineRule="auto"/>
        <w:ind w:left="714" w:hanging="357"/>
        <w:textAlignment w:val="baseline"/>
        <w:rPr>
          <w:rStyle w:val="eop"/>
          <w:rFonts w:ascii="Arial" w:hAnsi="Arial" w:cs="Arial"/>
          <w:sz w:val="22"/>
          <w:szCs w:val="22"/>
        </w:rPr>
      </w:pPr>
      <w:r w:rsidRPr="00E130D1">
        <w:rPr>
          <w:rStyle w:val="eop"/>
          <w:rFonts w:ascii="Arial" w:hAnsi="Arial" w:cs="Arial"/>
          <w:sz w:val="22"/>
          <w:szCs w:val="22"/>
        </w:rPr>
        <w:t>Objective 4</w:t>
      </w:r>
      <w:r>
        <w:rPr>
          <w:rStyle w:val="eop"/>
          <w:rFonts w:ascii="Arial" w:hAnsi="Arial" w:cs="Arial"/>
          <w:sz w:val="22"/>
          <w:szCs w:val="22"/>
        </w:rPr>
        <w:t xml:space="preserve">: </w:t>
      </w:r>
      <w:r w:rsidRPr="00E130D1">
        <w:rPr>
          <w:rStyle w:val="eop"/>
          <w:rFonts w:ascii="Arial" w:hAnsi="Arial" w:cs="Arial"/>
          <w:b/>
          <w:bCs/>
          <w:sz w:val="22"/>
          <w:szCs w:val="22"/>
        </w:rPr>
        <w:t>Time-bound:</w:t>
      </w:r>
      <w:r w:rsidRPr="00E130D1">
        <w:rPr>
          <w:rStyle w:val="eop"/>
          <w:rFonts w:ascii="Arial" w:hAnsi="Arial" w:cs="Arial"/>
          <w:sz w:val="22"/>
          <w:szCs w:val="22"/>
        </w:rPr>
        <w:t xml:space="preserve"> Provide evidence-based recommendations for improving culturally competent care in EOL services, drawing on recent UK literature and policy within the academic timeframe (Public Health England, 2019).</w:t>
      </w:r>
    </w:p>
    <w:p w14:paraId="3F6BAB84" w14:textId="77777777" w:rsidR="000C3FBA" w:rsidRDefault="000C3FBA" w:rsidP="00BD2909">
      <w:pPr>
        <w:pStyle w:val="paragraph"/>
        <w:spacing w:before="0" w:beforeAutospacing="0" w:after="0" w:afterAutospacing="0" w:line="360" w:lineRule="auto"/>
        <w:textAlignment w:val="baseline"/>
        <w:rPr>
          <w:rStyle w:val="eop"/>
          <w:rFonts w:ascii="Aptos" w:hAnsi="Aptos" w:cs="Arial"/>
          <w:sz w:val="22"/>
          <w:szCs w:val="22"/>
        </w:rPr>
      </w:pPr>
    </w:p>
    <w:p w14:paraId="4FCBBEC2" w14:textId="7B9C8A1E" w:rsidR="00BD2909" w:rsidRPr="008F5C4E" w:rsidRDefault="00BD2909" w:rsidP="00BD2909">
      <w:pPr>
        <w:pStyle w:val="paragraph"/>
        <w:spacing w:before="0" w:beforeAutospacing="0" w:after="0" w:afterAutospacing="0" w:line="360" w:lineRule="auto"/>
        <w:textAlignment w:val="baseline"/>
        <w:rPr>
          <w:rFonts w:ascii="Arial" w:hAnsi="Arial" w:cs="Arial"/>
          <w:b/>
          <w:bCs/>
          <w:sz w:val="28"/>
          <w:szCs w:val="28"/>
          <w:u w:val="single"/>
        </w:rPr>
      </w:pPr>
      <w:r w:rsidRPr="008F5C4E">
        <w:rPr>
          <w:rStyle w:val="normaltextrun"/>
          <w:rFonts w:ascii="Arial" w:hAnsi="Arial" w:cs="Arial"/>
          <w:b/>
          <w:bCs/>
          <w:sz w:val="28"/>
          <w:szCs w:val="28"/>
          <w:u w:val="single"/>
        </w:rPr>
        <w:lastRenderedPageBreak/>
        <w:t>1.</w:t>
      </w:r>
      <w:r w:rsidR="00B9486E" w:rsidRPr="008F5C4E">
        <w:rPr>
          <w:rStyle w:val="normaltextrun"/>
          <w:rFonts w:ascii="Arial" w:hAnsi="Arial" w:cs="Arial"/>
          <w:b/>
          <w:bCs/>
          <w:sz w:val="28"/>
          <w:szCs w:val="28"/>
          <w:u w:val="single"/>
        </w:rPr>
        <w:t xml:space="preserve">5 </w:t>
      </w:r>
      <w:r w:rsidRPr="008F5C4E">
        <w:rPr>
          <w:rStyle w:val="normaltextrun"/>
          <w:rFonts w:ascii="Arial" w:hAnsi="Arial" w:cs="Arial"/>
          <w:b/>
          <w:bCs/>
          <w:sz w:val="28"/>
          <w:szCs w:val="28"/>
          <w:u w:val="single"/>
        </w:rPr>
        <w:t xml:space="preserve">Conclusion </w:t>
      </w:r>
    </w:p>
    <w:p w14:paraId="3A092CD9" w14:textId="2B613937" w:rsidR="00CE1304" w:rsidRPr="00CE1304" w:rsidRDefault="00CE1304" w:rsidP="00CE1304">
      <w:pPr>
        <w:pStyle w:val="paragraph"/>
        <w:spacing w:after="0" w:afterAutospacing="0" w:line="360" w:lineRule="auto"/>
        <w:textAlignment w:val="baseline"/>
        <w:rPr>
          <w:rStyle w:val="eop"/>
          <w:rFonts w:ascii="Arial" w:hAnsi="Arial" w:cs="Arial"/>
          <w:sz w:val="22"/>
          <w:szCs w:val="22"/>
        </w:rPr>
      </w:pPr>
      <w:r w:rsidRPr="00CE1304">
        <w:rPr>
          <w:rStyle w:val="eop"/>
          <w:rFonts w:ascii="Arial" w:hAnsi="Arial" w:cs="Arial"/>
          <w:sz w:val="22"/>
          <w:szCs w:val="22"/>
        </w:rPr>
        <w:t>This chapter has introduced the central focus of the dissertation</w:t>
      </w:r>
      <w:r>
        <w:rPr>
          <w:rStyle w:val="eop"/>
          <w:rFonts w:ascii="Arial" w:hAnsi="Arial" w:cs="Arial"/>
          <w:sz w:val="22"/>
          <w:szCs w:val="22"/>
        </w:rPr>
        <w:t xml:space="preserve"> by </w:t>
      </w:r>
      <w:r w:rsidRPr="00CE1304">
        <w:rPr>
          <w:rStyle w:val="eop"/>
          <w:rFonts w:ascii="Arial" w:hAnsi="Arial" w:cs="Arial"/>
          <w:sz w:val="22"/>
          <w:szCs w:val="22"/>
        </w:rPr>
        <w:t>exploring the barriers to delivering culturally competent end-of-life (EOL) care to ethnic minority communities in the UK. The discussion began by outlining the relevance of EOL care within the broader health and social care context, emphasising the increasing importance of culturally responsive practice in a diverse society. Key terminology was defined to ensure conceptual clarity, and the rationale for the research was justified through an examination of current inequalities, gaps in service provision, and the limited attention given to the lived experiences of minority groups. The overarching aim and four SMART objectives were presented, highlighting the intention to generate practical, evidence-based recommendations for inclusive care.</w:t>
      </w:r>
    </w:p>
    <w:p w14:paraId="5DF5504E" w14:textId="77777777" w:rsidR="00CE1304" w:rsidRPr="00CE1304" w:rsidRDefault="00CE1304" w:rsidP="00CE1304">
      <w:pPr>
        <w:pStyle w:val="paragraph"/>
        <w:spacing w:after="0" w:afterAutospacing="0" w:line="360" w:lineRule="auto"/>
        <w:textAlignment w:val="baseline"/>
        <w:rPr>
          <w:rStyle w:val="eop"/>
          <w:rFonts w:ascii="Arial" w:hAnsi="Arial" w:cs="Arial"/>
          <w:sz w:val="22"/>
          <w:szCs w:val="22"/>
        </w:rPr>
      </w:pPr>
      <w:r w:rsidRPr="00CE1304">
        <w:rPr>
          <w:rStyle w:val="eop"/>
          <w:rFonts w:ascii="Arial" w:hAnsi="Arial" w:cs="Arial"/>
          <w:sz w:val="22"/>
          <w:szCs w:val="22"/>
        </w:rPr>
        <w:t>This study is timely and significant, given the pressing need to ensure that all individuals receive dignified and culturally appropriate support at the end of life. The research contributes not only to academic discourse but also to the ongoing development of socially just health and social care practice.</w:t>
      </w:r>
    </w:p>
    <w:p w14:paraId="31574B0E" w14:textId="77777777" w:rsidR="00CE1304" w:rsidRDefault="00CE1304" w:rsidP="00CE1304">
      <w:pPr>
        <w:pStyle w:val="paragraph"/>
        <w:spacing w:before="0" w:beforeAutospacing="0" w:after="0" w:afterAutospacing="0" w:line="360" w:lineRule="auto"/>
        <w:textAlignment w:val="baseline"/>
        <w:rPr>
          <w:rStyle w:val="eop"/>
          <w:rFonts w:ascii="Arial" w:hAnsi="Arial" w:cs="Arial"/>
          <w:sz w:val="22"/>
          <w:szCs w:val="22"/>
        </w:rPr>
      </w:pPr>
    </w:p>
    <w:p w14:paraId="034ABA9B" w14:textId="6292B5DA" w:rsidR="00BD2909" w:rsidRPr="00CE1304" w:rsidRDefault="00CE1304" w:rsidP="00CE1304">
      <w:pPr>
        <w:pStyle w:val="paragraph"/>
        <w:spacing w:before="0" w:beforeAutospacing="0" w:after="0" w:afterAutospacing="0" w:line="360" w:lineRule="auto"/>
        <w:textAlignment w:val="baseline"/>
        <w:rPr>
          <w:rStyle w:val="eop"/>
          <w:rFonts w:ascii="Arial" w:hAnsi="Arial" w:cs="Arial"/>
          <w:sz w:val="22"/>
          <w:szCs w:val="22"/>
        </w:rPr>
      </w:pPr>
      <w:r w:rsidRPr="00CE1304">
        <w:rPr>
          <w:rStyle w:val="eop"/>
          <w:rFonts w:ascii="Arial" w:hAnsi="Arial" w:cs="Arial"/>
          <w:sz w:val="22"/>
          <w:szCs w:val="22"/>
        </w:rPr>
        <w:t>The following chapter (Chapter 2) will provide an in-depth background and contextual analysis of the research topic. It will explore the historical, theoretical, and policy developments related to cultural competence and palliative care, drawing on national and international perspectives. This foundation will inform the subsequent thematic analysis and guide the critical discussion of findings in later chapters.</w:t>
      </w:r>
    </w:p>
    <w:p w14:paraId="6244CA48" w14:textId="77777777" w:rsidR="00CE1304" w:rsidRPr="00CE1304" w:rsidRDefault="00CE1304" w:rsidP="00CE1304">
      <w:pPr>
        <w:pStyle w:val="paragraph"/>
        <w:spacing w:before="0" w:beforeAutospacing="0" w:after="0" w:afterAutospacing="0" w:line="360" w:lineRule="auto"/>
        <w:textAlignment w:val="baseline"/>
        <w:rPr>
          <w:rFonts w:ascii="Arial" w:hAnsi="Arial" w:cs="Arial"/>
          <w:sz w:val="16"/>
          <w:szCs w:val="16"/>
        </w:rPr>
      </w:pPr>
    </w:p>
    <w:p w14:paraId="115C9163" w14:textId="77777777" w:rsidR="00730C3C" w:rsidRDefault="00730C3C"/>
    <w:p w14:paraId="47D34B52" w14:textId="22D09622" w:rsidR="00730C3C" w:rsidRDefault="00730C3C"/>
    <w:p w14:paraId="093E8F53" w14:textId="77777777" w:rsidR="00730C3C" w:rsidRDefault="00730C3C"/>
    <w:p w14:paraId="0DBC5AAB" w14:textId="77777777" w:rsidR="003135AD" w:rsidRDefault="003135AD"/>
    <w:p w14:paraId="69C79371" w14:textId="77777777" w:rsidR="006A4515" w:rsidRDefault="006A4515"/>
    <w:p w14:paraId="1E1A58B1" w14:textId="77777777" w:rsidR="00804B94" w:rsidRDefault="00804B94"/>
    <w:p w14:paraId="306843FC" w14:textId="77777777" w:rsidR="00CE1304" w:rsidRDefault="00CE1304" w:rsidP="000D0641">
      <w:pPr>
        <w:pStyle w:val="Heading1"/>
        <w:ind w:left="0"/>
        <w:rPr>
          <w:rFonts w:ascii="Aptos" w:hAnsi="Aptos"/>
        </w:rPr>
      </w:pPr>
    </w:p>
    <w:p w14:paraId="76D5BA82" w14:textId="77777777" w:rsidR="00CE1304" w:rsidRDefault="00CE1304" w:rsidP="000D0641">
      <w:pPr>
        <w:pStyle w:val="Heading1"/>
        <w:ind w:left="0"/>
        <w:rPr>
          <w:rFonts w:ascii="Aptos" w:hAnsi="Aptos"/>
        </w:rPr>
      </w:pPr>
    </w:p>
    <w:p w14:paraId="2284525E" w14:textId="77777777" w:rsidR="00CE1304" w:rsidRDefault="00CE1304" w:rsidP="000D0641">
      <w:pPr>
        <w:pStyle w:val="Heading1"/>
        <w:ind w:left="0"/>
        <w:rPr>
          <w:rFonts w:ascii="Aptos" w:hAnsi="Aptos"/>
        </w:rPr>
      </w:pPr>
    </w:p>
    <w:p w14:paraId="63737FB9" w14:textId="77777777" w:rsidR="00730251" w:rsidRDefault="00730251" w:rsidP="000D0641">
      <w:pPr>
        <w:pStyle w:val="Heading1"/>
        <w:ind w:left="0"/>
        <w:rPr>
          <w:rFonts w:ascii="Aptos" w:hAnsi="Aptos"/>
        </w:rPr>
      </w:pPr>
    </w:p>
    <w:p w14:paraId="5BDF09A8" w14:textId="77777777" w:rsidR="00432C21" w:rsidRDefault="00432C21" w:rsidP="000D0641">
      <w:pPr>
        <w:pStyle w:val="Heading1"/>
        <w:ind w:left="0"/>
        <w:rPr>
          <w:rFonts w:cs="Arial"/>
          <w:u w:val="single"/>
        </w:rPr>
      </w:pPr>
    </w:p>
    <w:p w14:paraId="33D4B98F" w14:textId="2F6F4CB8" w:rsidR="000D0641" w:rsidRPr="00C76785" w:rsidRDefault="000D0641" w:rsidP="000D0641">
      <w:pPr>
        <w:pStyle w:val="Heading1"/>
        <w:ind w:left="0"/>
        <w:rPr>
          <w:rFonts w:cs="Arial"/>
          <w:u w:val="single"/>
        </w:rPr>
      </w:pPr>
      <w:r w:rsidRPr="00C76785">
        <w:rPr>
          <w:rFonts w:cs="Arial"/>
          <w:u w:val="single"/>
        </w:rPr>
        <w:lastRenderedPageBreak/>
        <w:t>C</w:t>
      </w:r>
      <w:r w:rsidR="00C76785" w:rsidRPr="00C76785">
        <w:rPr>
          <w:rFonts w:cs="Arial"/>
          <w:u w:val="single"/>
        </w:rPr>
        <w:t>hapter</w:t>
      </w:r>
      <w:r w:rsidRPr="00C76785">
        <w:rPr>
          <w:rFonts w:cs="Arial"/>
          <w:u w:val="single"/>
        </w:rPr>
        <w:t xml:space="preserve"> 2 – </w:t>
      </w:r>
      <w:r w:rsidR="00BD2909" w:rsidRPr="00C76785">
        <w:rPr>
          <w:rFonts w:cs="Arial"/>
          <w:u w:val="single"/>
        </w:rPr>
        <w:t xml:space="preserve">Background </w:t>
      </w:r>
      <w:r w:rsidR="00F44833" w:rsidRPr="00C76785">
        <w:rPr>
          <w:rFonts w:cs="Arial"/>
          <w:u w:val="single"/>
        </w:rPr>
        <w:t xml:space="preserve">Information and </w:t>
      </w:r>
      <w:r w:rsidR="00BD2909" w:rsidRPr="00C76785">
        <w:rPr>
          <w:rFonts w:cs="Arial"/>
          <w:u w:val="single"/>
        </w:rPr>
        <w:t>Analysis</w:t>
      </w:r>
      <w:r w:rsidRPr="00C76785">
        <w:rPr>
          <w:rFonts w:cs="Arial"/>
          <w:u w:val="single"/>
        </w:rPr>
        <w:t xml:space="preserve"> </w:t>
      </w:r>
    </w:p>
    <w:p w14:paraId="7B994F37" w14:textId="77777777" w:rsidR="000B6688" w:rsidRDefault="00BD2909" w:rsidP="000B6688">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5C284EC5" w:rsidR="00BD2909" w:rsidRPr="00D8138B" w:rsidRDefault="00BD2909" w:rsidP="000B6688">
      <w:pPr>
        <w:pStyle w:val="paragraph"/>
        <w:spacing w:before="0" w:beforeAutospacing="0" w:after="0" w:afterAutospacing="0"/>
        <w:textAlignment w:val="baseline"/>
        <w:rPr>
          <w:rFonts w:ascii="Arial" w:hAnsi="Arial" w:cs="Arial"/>
          <w:b/>
          <w:bCs/>
          <w:sz w:val="28"/>
          <w:szCs w:val="28"/>
          <w:u w:val="single"/>
        </w:rPr>
      </w:pPr>
      <w:r w:rsidRPr="00D8138B">
        <w:rPr>
          <w:rStyle w:val="normaltextrun"/>
          <w:rFonts w:ascii="Arial" w:hAnsi="Arial" w:cs="Arial"/>
          <w:b/>
          <w:bCs/>
          <w:sz w:val="28"/>
          <w:szCs w:val="28"/>
          <w:u w:val="single"/>
        </w:rPr>
        <w:t xml:space="preserve">2.1 Introduction </w:t>
      </w:r>
    </w:p>
    <w:p w14:paraId="21C36DD5" w14:textId="77777777" w:rsidR="00EF5751" w:rsidRDefault="00BD2909" w:rsidP="00EF5751">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5B2DF5D" w14:textId="72C2444F" w:rsidR="00EF5751" w:rsidRPr="00EF5751" w:rsidRDefault="00EF5751" w:rsidP="00EF5751">
      <w:pPr>
        <w:pStyle w:val="paragraph"/>
        <w:spacing w:before="0" w:beforeAutospacing="0" w:after="0" w:afterAutospacing="0" w:line="360" w:lineRule="auto"/>
        <w:textAlignment w:val="baseline"/>
        <w:rPr>
          <w:rStyle w:val="normaltextrun"/>
          <w:rFonts w:ascii="Aptos" w:hAnsi="Aptos" w:cs="Segoe UI"/>
          <w:sz w:val="16"/>
          <w:szCs w:val="16"/>
        </w:rPr>
      </w:pPr>
      <w:r w:rsidRPr="00EF5751">
        <w:rPr>
          <w:rStyle w:val="normaltextrun"/>
          <w:rFonts w:ascii="Arial" w:hAnsi="Arial" w:cs="Arial"/>
          <w:sz w:val="22"/>
          <w:szCs w:val="22"/>
        </w:rPr>
        <w:t>The purpose of this chapter is to provide a comprehensive background and contextual framework for understanding the barriers to delivering culturally competent end-of-life (EOL) care to ethnic minority communities in the UK. Establishing this foundation is essential, as it allows for a deeper appreciation of the historical, theoretical, and policy-based factors that continue to influence health and social care practice in multicultural settings (Papadopoulos, 2006).</w:t>
      </w:r>
    </w:p>
    <w:p w14:paraId="0F0AB985" w14:textId="719BEBD3" w:rsidR="00EF5751" w:rsidRPr="00EF5751" w:rsidRDefault="00EF5751" w:rsidP="00EF5751">
      <w:pPr>
        <w:pStyle w:val="paragraph"/>
        <w:spacing w:after="0" w:afterAutospacing="0" w:line="360" w:lineRule="auto"/>
        <w:textAlignment w:val="baseline"/>
        <w:rPr>
          <w:rStyle w:val="normaltextrun"/>
          <w:rFonts w:ascii="Arial" w:hAnsi="Arial" w:cs="Arial"/>
          <w:sz w:val="22"/>
          <w:szCs w:val="22"/>
        </w:rPr>
      </w:pPr>
      <w:r w:rsidRPr="00EF5751">
        <w:rPr>
          <w:rStyle w:val="normaltextrun"/>
          <w:rFonts w:ascii="Arial" w:hAnsi="Arial" w:cs="Arial"/>
          <w:sz w:val="22"/>
          <w:szCs w:val="22"/>
        </w:rPr>
        <w:t>To begin with, the chapter outlines the historical development of cultural competence within the UK health and social care system. It then introduces key theoretical perspectives that have shaped current understanding and application of culturally appropriate care, particularly in palliative and EOL services. In addition, national and international approaches to cultural competence will be explored to provide comparative insights. Particular attention is given to the UK’s demographic changes, NHS policy developments, and the growing demand for inclusive service delivery (NHS England, 2019).</w:t>
      </w:r>
    </w:p>
    <w:p w14:paraId="503B3353" w14:textId="77777777" w:rsidR="00EF5751" w:rsidRDefault="00EF5751" w:rsidP="00EF5751">
      <w:pPr>
        <w:pStyle w:val="paragraph"/>
        <w:spacing w:before="0" w:beforeAutospacing="0" w:after="0" w:afterAutospacing="0" w:line="360" w:lineRule="auto"/>
        <w:textAlignment w:val="baseline"/>
        <w:rPr>
          <w:rStyle w:val="normaltextrun"/>
          <w:rFonts w:ascii="Arial" w:hAnsi="Arial" w:cs="Arial"/>
          <w:sz w:val="22"/>
          <w:szCs w:val="22"/>
        </w:rPr>
      </w:pPr>
    </w:p>
    <w:p w14:paraId="1CB98EA1" w14:textId="3A2FA0DE" w:rsidR="00EF5751" w:rsidRPr="00EF5751" w:rsidRDefault="00EF5751" w:rsidP="00EF5751">
      <w:pPr>
        <w:pStyle w:val="paragraph"/>
        <w:spacing w:before="0" w:beforeAutospacing="0" w:after="0" w:afterAutospacing="0" w:line="360" w:lineRule="auto"/>
        <w:textAlignment w:val="baseline"/>
        <w:rPr>
          <w:rStyle w:val="normaltextrun"/>
          <w:rFonts w:ascii="Arial" w:hAnsi="Arial" w:cs="Arial"/>
          <w:sz w:val="22"/>
          <w:szCs w:val="22"/>
        </w:rPr>
      </w:pPr>
      <w:r w:rsidRPr="00EF5751">
        <w:rPr>
          <w:rStyle w:val="normaltextrun"/>
          <w:rFonts w:ascii="Arial" w:hAnsi="Arial" w:cs="Arial"/>
          <w:sz w:val="22"/>
          <w:szCs w:val="22"/>
        </w:rPr>
        <w:t>By situating the topic within a wider context, this chapter aims to critically engage with the structures and ideologies that underpin current practice. This approach supports a more nuanced and evidence-based exploration of the barriers identified in later chapters. Ultimately, this chapter seeks to demonstrate that delivering culturally competent care is not simply a matter of personal sensitivity, but a systemic and ethical necessity for equitable EOL support.</w:t>
      </w:r>
    </w:p>
    <w:p w14:paraId="6FC393DC" w14:textId="611A0014" w:rsidR="00EF5751" w:rsidRPr="00EF5751" w:rsidRDefault="00EF5751" w:rsidP="00F44833">
      <w:pPr>
        <w:pStyle w:val="paragraph"/>
        <w:spacing w:before="0" w:beforeAutospacing="0" w:after="0" w:afterAutospacing="0" w:line="360" w:lineRule="auto"/>
        <w:textAlignment w:val="baseline"/>
        <w:rPr>
          <w:rStyle w:val="normaltextrun"/>
          <w:rFonts w:ascii="Arial" w:hAnsi="Arial" w:cs="Arial"/>
          <w:sz w:val="22"/>
          <w:szCs w:val="22"/>
        </w:rPr>
      </w:pPr>
    </w:p>
    <w:p w14:paraId="0AAAB744" w14:textId="6324CE06" w:rsidR="00BD2909" w:rsidRPr="00D8138B" w:rsidRDefault="00BD2909" w:rsidP="00F44833">
      <w:pPr>
        <w:pStyle w:val="paragraph"/>
        <w:spacing w:before="0" w:beforeAutospacing="0" w:after="0" w:afterAutospacing="0" w:line="360" w:lineRule="auto"/>
        <w:textAlignment w:val="baseline"/>
        <w:rPr>
          <w:rFonts w:ascii="Arial" w:hAnsi="Arial" w:cs="Arial"/>
          <w:b/>
          <w:bCs/>
          <w:sz w:val="28"/>
          <w:szCs w:val="28"/>
          <w:u w:val="single"/>
        </w:rPr>
      </w:pPr>
      <w:r w:rsidRPr="00D8138B">
        <w:rPr>
          <w:rStyle w:val="normaltextrun"/>
          <w:rFonts w:ascii="Arial" w:hAnsi="Arial" w:cs="Arial"/>
          <w:b/>
          <w:bCs/>
          <w:sz w:val="28"/>
          <w:szCs w:val="28"/>
          <w:u w:val="single"/>
        </w:rPr>
        <w:t xml:space="preserve">2.2 Historical Background </w:t>
      </w:r>
    </w:p>
    <w:p w14:paraId="2E37E5C8" w14:textId="3176FD47" w:rsidR="009F6397" w:rsidRDefault="009F6397" w:rsidP="009F6397">
      <w:pPr>
        <w:pStyle w:val="paragraph"/>
        <w:spacing w:before="0" w:beforeAutospacing="0" w:after="0" w:afterAutospacing="0" w:line="360" w:lineRule="auto"/>
        <w:textAlignment w:val="baseline"/>
        <w:rPr>
          <w:rStyle w:val="eop"/>
          <w:rFonts w:ascii="Aptos" w:eastAsia="Calibri Light" w:hAnsi="Aptos" w:cs="Arial"/>
          <w:sz w:val="22"/>
          <w:szCs w:val="22"/>
        </w:rPr>
      </w:pPr>
      <w:r w:rsidRPr="009F6397">
        <w:rPr>
          <w:rStyle w:val="eop"/>
          <w:rFonts w:ascii="Arial" w:eastAsia="Calibri Light" w:hAnsi="Arial" w:cs="Arial"/>
          <w:sz w:val="22"/>
          <w:szCs w:val="22"/>
        </w:rPr>
        <w:t>The concept of end-of-life (EOL) care has evolved significantly over the past century, shaped by changing societal attitudes, medical advancements, and growing recognition of the psychosocial and cultural dimensions of dying. Historically, death was a family and community event, often occurring at home. However, with the medicalisation of death in the 20th century, dying increasingly became a hospital-based experience, often dominated by clinical rather than compassionate care (Clark, 2016). This shift highlighted the need for a more person-centred and holistic approach, giving rise to the modern hospice and palliative care movements</w:t>
      </w:r>
      <w:r w:rsidRPr="009F6397">
        <w:rPr>
          <w:rStyle w:val="eop"/>
          <w:rFonts w:ascii="Aptos" w:eastAsia="Calibri Light" w:hAnsi="Aptos" w:cs="Arial"/>
          <w:sz w:val="22"/>
          <w:szCs w:val="22"/>
        </w:rPr>
        <w:t>.</w:t>
      </w:r>
    </w:p>
    <w:p w14:paraId="40A428B3" w14:textId="77777777"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p>
    <w:p w14:paraId="430238CE" w14:textId="005EEDFF" w:rsidR="009F6397" w:rsidRDefault="009F6397" w:rsidP="009F6397">
      <w:pPr>
        <w:pStyle w:val="paragraph"/>
        <w:spacing w:before="0" w:beforeAutospacing="0" w:after="0" w:afterAutospacing="0" w:line="360" w:lineRule="auto"/>
        <w:textAlignment w:val="baseline"/>
        <w:rPr>
          <w:rStyle w:val="eop"/>
          <w:rFonts w:ascii="Arial" w:eastAsia="Calibri Light" w:hAnsi="Arial" w:cs="Arial"/>
          <w:sz w:val="22"/>
          <w:szCs w:val="22"/>
        </w:rPr>
      </w:pPr>
      <w:r w:rsidRPr="009F6397">
        <w:rPr>
          <w:rStyle w:val="eop"/>
          <w:rFonts w:ascii="Arial" w:eastAsia="Calibri Light" w:hAnsi="Arial" w:cs="Arial"/>
          <w:sz w:val="22"/>
          <w:szCs w:val="22"/>
        </w:rPr>
        <w:lastRenderedPageBreak/>
        <w:t>A pivotal figure in this transformation was Dame Cicely Saunders, who founded St Christopher’s Hospice in 1967. Her work integrated physical, emotional, and spiritual care and introduced the concept of “total pain</w:t>
      </w:r>
      <w:r w:rsidR="00B109D0" w:rsidRPr="009F6397">
        <w:rPr>
          <w:rStyle w:val="eop"/>
          <w:rFonts w:ascii="Arial" w:eastAsia="Calibri Light" w:hAnsi="Arial" w:cs="Arial"/>
          <w:sz w:val="22"/>
          <w:szCs w:val="22"/>
        </w:rPr>
        <w:t>,”</w:t>
      </w:r>
      <w:r>
        <w:rPr>
          <w:rStyle w:val="eop"/>
          <w:rFonts w:ascii="Arial" w:eastAsia="Calibri Light" w:hAnsi="Arial" w:cs="Arial"/>
          <w:sz w:val="22"/>
          <w:szCs w:val="22"/>
        </w:rPr>
        <w:t xml:space="preserve"> </w:t>
      </w:r>
      <w:r w:rsidRPr="009F6397">
        <w:rPr>
          <w:rStyle w:val="eop"/>
          <w:rFonts w:ascii="Arial" w:eastAsia="Calibri Light" w:hAnsi="Arial" w:cs="Arial"/>
          <w:sz w:val="22"/>
          <w:szCs w:val="22"/>
        </w:rPr>
        <w:t>recognising that suffering at the end of life is multidimensional</w:t>
      </w:r>
      <w:r>
        <w:rPr>
          <w:rStyle w:val="eop"/>
          <w:rFonts w:ascii="Arial" w:eastAsia="Calibri Light" w:hAnsi="Arial" w:cs="Arial"/>
          <w:sz w:val="22"/>
          <w:szCs w:val="22"/>
        </w:rPr>
        <w:t xml:space="preserve"> </w:t>
      </w:r>
      <w:r w:rsidRPr="009F6397">
        <w:rPr>
          <w:rStyle w:val="eop"/>
          <w:rFonts w:ascii="Arial" w:eastAsia="Calibri Light" w:hAnsi="Arial" w:cs="Arial"/>
          <w:sz w:val="22"/>
          <w:szCs w:val="22"/>
        </w:rPr>
        <w:t>(Rhodes, 2017</w:t>
      </w:r>
      <w:r>
        <w:rPr>
          <w:rStyle w:val="eop"/>
          <w:rFonts w:ascii="Arial" w:eastAsia="Calibri Light" w:hAnsi="Arial" w:cs="Arial"/>
          <w:sz w:val="22"/>
          <w:szCs w:val="22"/>
        </w:rPr>
        <w:t xml:space="preserve">; </w:t>
      </w:r>
      <w:r w:rsidRPr="009F6397">
        <w:rPr>
          <w:rStyle w:val="eop"/>
          <w:rFonts w:ascii="Arial" w:eastAsia="Calibri Light" w:hAnsi="Arial" w:cs="Arial"/>
          <w:sz w:val="22"/>
          <w:szCs w:val="22"/>
        </w:rPr>
        <w:t>Saunders, 2001). Saunders’ influence helped establish palliative care as a recognised medical speciality and laid the groundwork for contemporary EOL care globally (Clark, 2007).</w:t>
      </w:r>
    </w:p>
    <w:p w14:paraId="275F4A41" w14:textId="77777777"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p>
    <w:p w14:paraId="58C8C451" w14:textId="3F07C00B" w:rsidR="00C06ACE" w:rsidRDefault="00C06ACE" w:rsidP="009F6397">
      <w:pPr>
        <w:pStyle w:val="paragraph"/>
        <w:spacing w:before="0" w:beforeAutospacing="0" w:after="0" w:afterAutospacing="0" w:line="360" w:lineRule="auto"/>
        <w:textAlignment w:val="baseline"/>
        <w:rPr>
          <w:rStyle w:val="eop"/>
          <w:rFonts w:ascii="Arial" w:eastAsia="Calibri Light" w:hAnsi="Arial" w:cs="Arial"/>
          <w:sz w:val="22"/>
          <w:szCs w:val="22"/>
        </w:rPr>
      </w:pPr>
      <w:r w:rsidRPr="00C06ACE">
        <w:rPr>
          <w:rStyle w:val="eop"/>
          <w:rFonts w:ascii="Arial" w:eastAsia="Calibri Light" w:hAnsi="Arial" w:cs="Arial"/>
          <w:sz w:val="22"/>
          <w:szCs w:val="22"/>
        </w:rPr>
        <w:t>Another key milestone was the publication of the Calman-Hine Report (1995), which emphasised equitable access to high-quality cancer and palliative care across all regions of the UK</w:t>
      </w:r>
      <w:r w:rsidR="006450A5">
        <w:rPr>
          <w:rStyle w:val="eop"/>
          <w:rFonts w:ascii="Arial" w:eastAsia="Calibri Light" w:hAnsi="Arial" w:cs="Arial"/>
          <w:sz w:val="22"/>
          <w:szCs w:val="22"/>
        </w:rPr>
        <w:t xml:space="preserve"> </w:t>
      </w:r>
      <w:r w:rsidR="006450A5" w:rsidRPr="006450A5">
        <w:rPr>
          <w:rStyle w:val="eop"/>
          <w:rFonts w:ascii="Arial" w:eastAsia="Calibri Light" w:hAnsi="Arial" w:cs="Arial"/>
          <w:sz w:val="22"/>
          <w:szCs w:val="22"/>
        </w:rPr>
        <w:t>(Haward, 2006)</w:t>
      </w:r>
      <w:r w:rsidR="006450A5">
        <w:rPr>
          <w:rStyle w:val="eop"/>
          <w:rFonts w:ascii="Arial" w:eastAsia="Calibri Light" w:hAnsi="Arial" w:cs="Arial"/>
          <w:sz w:val="22"/>
          <w:szCs w:val="22"/>
        </w:rPr>
        <w:t>.</w:t>
      </w:r>
      <w:r w:rsidRPr="00C06ACE">
        <w:rPr>
          <w:rStyle w:val="eop"/>
          <w:rFonts w:ascii="Arial" w:eastAsia="Calibri Light" w:hAnsi="Arial" w:cs="Arial"/>
          <w:sz w:val="22"/>
          <w:szCs w:val="22"/>
        </w:rPr>
        <w:t xml:space="preserve"> This was followed by national strategies</w:t>
      </w:r>
      <w:r w:rsidR="00CB27A6">
        <w:rPr>
          <w:rStyle w:val="eop"/>
          <w:rFonts w:ascii="Arial" w:eastAsia="Calibri Light" w:hAnsi="Arial" w:cs="Arial"/>
          <w:sz w:val="22"/>
          <w:szCs w:val="22"/>
        </w:rPr>
        <w:t>,</w:t>
      </w:r>
      <w:r w:rsidRPr="00C06ACE">
        <w:rPr>
          <w:rStyle w:val="eop"/>
          <w:rFonts w:ascii="Arial" w:eastAsia="Calibri Light" w:hAnsi="Arial" w:cs="Arial"/>
          <w:sz w:val="22"/>
          <w:szCs w:val="22"/>
        </w:rPr>
        <w:t xml:space="preserve"> including the </w:t>
      </w:r>
      <w:r w:rsidR="00CB27A6" w:rsidRPr="00C06ACE">
        <w:rPr>
          <w:rStyle w:val="eop"/>
          <w:rFonts w:ascii="Arial" w:eastAsia="Calibri Light" w:hAnsi="Arial" w:cs="Arial"/>
          <w:sz w:val="22"/>
          <w:szCs w:val="22"/>
        </w:rPr>
        <w:t>End-of-Life</w:t>
      </w:r>
      <w:r w:rsidRPr="00C06ACE">
        <w:rPr>
          <w:rStyle w:val="eop"/>
          <w:rFonts w:ascii="Arial" w:eastAsia="Calibri Light" w:hAnsi="Arial" w:cs="Arial"/>
          <w:sz w:val="22"/>
          <w:szCs w:val="22"/>
        </w:rPr>
        <w:t xml:space="preserve"> Care Strategy </w:t>
      </w:r>
      <w:r w:rsidR="00CB27A6" w:rsidRPr="00CB27A6">
        <w:rPr>
          <w:rStyle w:val="eop"/>
          <w:rFonts w:ascii="Arial" w:eastAsia="Calibri Light" w:hAnsi="Arial" w:cs="Arial"/>
          <w:sz w:val="22"/>
          <w:szCs w:val="22"/>
        </w:rPr>
        <w:t xml:space="preserve"> (Department of Health, 2008)</w:t>
      </w:r>
      <w:r w:rsidRPr="00C06ACE">
        <w:rPr>
          <w:rStyle w:val="eop"/>
          <w:rFonts w:ascii="Arial" w:eastAsia="Calibri Light" w:hAnsi="Arial" w:cs="Arial"/>
          <w:sz w:val="22"/>
          <w:szCs w:val="22"/>
        </w:rPr>
        <w:t>, which promoted the importance of patient choice, dignity, and culturally appropriate services. These policy efforts underscored the state's responsibility in ensuring inclusive care, particularly for underserved populations.</w:t>
      </w:r>
    </w:p>
    <w:p w14:paraId="482E9B47" w14:textId="77777777"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p>
    <w:p w14:paraId="782970BA" w14:textId="0E11491D"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r w:rsidRPr="00CB27A6">
        <w:rPr>
          <w:rStyle w:val="eop"/>
          <w:rFonts w:ascii="Arial" w:eastAsia="Calibri Light" w:hAnsi="Arial" w:cs="Arial"/>
          <w:sz w:val="22"/>
          <w:szCs w:val="22"/>
        </w:rPr>
        <w:t>Despite these advances, it was not until the early 2000s that discussions about cultural competence became more prominent in UK health discourse. The work of Papadopoulos (2006) was instrumental in conceptualising transcultural health and social care, advocating for the integration of cultural awareness into professional training. Her model emphasised the dynamic nature of cultural identity and its impact on service delivery. This approach has since informed both education and policy frameworks across health and social care sectors (Papadopoulos, 2018).</w:t>
      </w:r>
    </w:p>
    <w:p w14:paraId="628F2662" w14:textId="77777777"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p>
    <w:p w14:paraId="79513468" w14:textId="240CEB38"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r w:rsidRPr="00CB27A6">
        <w:rPr>
          <w:rStyle w:val="eop"/>
          <w:rFonts w:ascii="Arial" w:eastAsia="Calibri Light" w:hAnsi="Arial" w:cs="Arial"/>
          <w:sz w:val="22"/>
          <w:szCs w:val="22"/>
        </w:rPr>
        <w:t>Organisations such as Marie Curie and Hospice UK have also played crucial roles in highlighting cultural inequalities in EOL care. Marie Curie’s 2013 report on ethnic minority access to palliative care revealed persistent barriers such as language, stigma, and mistrust in services (</w:t>
      </w:r>
      <w:proofErr w:type="spellStart"/>
      <w:r w:rsidRPr="00CB27A6">
        <w:rPr>
          <w:rStyle w:val="eop"/>
          <w:rFonts w:ascii="Arial" w:eastAsia="Calibri Light" w:hAnsi="Arial" w:cs="Arial"/>
          <w:sz w:val="22"/>
          <w:szCs w:val="22"/>
        </w:rPr>
        <w:t>Calanzani</w:t>
      </w:r>
      <w:proofErr w:type="spellEnd"/>
      <w:r w:rsidRPr="00CB27A6">
        <w:rPr>
          <w:rStyle w:val="eop"/>
          <w:rFonts w:ascii="Arial" w:eastAsia="Calibri Light" w:hAnsi="Arial" w:cs="Arial"/>
          <w:sz w:val="22"/>
          <w:szCs w:val="22"/>
        </w:rPr>
        <w:t>, Koffman</w:t>
      </w:r>
      <w:r w:rsidR="00B8126D">
        <w:rPr>
          <w:rStyle w:val="eop"/>
          <w:rFonts w:ascii="Arial" w:eastAsia="Calibri Light" w:hAnsi="Arial" w:cs="Arial"/>
          <w:sz w:val="22"/>
          <w:szCs w:val="22"/>
        </w:rPr>
        <w:t>,</w:t>
      </w:r>
      <w:r w:rsidRPr="00CB27A6">
        <w:rPr>
          <w:rStyle w:val="eop"/>
          <w:rFonts w:ascii="Arial" w:eastAsia="Calibri Light" w:hAnsi="Arial" w:cs="Arial"/>
          <w:sz w:val="22"/>
          <w:szCs w:val="22"/>
        </w:rPr>
        <w:t xml:space="preserve"> and Higginson, 2013). These findings continue to influence service design and training across hospices and NHS trusts.</w:t>
      </w:r>
    </w:p>
    <w:p w14:paraId="5AC8E08D" w14:textId="77777777" w:rsidR="00CB27A6"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p>
    <w:p w14:paraId="3A6D3C32" w14:textId="28BB16AD" w:rsidR="00CB27A6" w:rsidRPr="009F6397" w:rsidRDefault="00CB27A6" w:rsidP="009F6397">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T</w:t>
      </w:r>
      <w:r w:rsidRPr="00CB27A6">
        <w:rPr>
          <w:rStyle w:val="eop"/>
          <w:rFonts w:ascii="Arial" w:eastAsia="Calibri Light" w:hAnsi="Arial" w:cs="Arial"/>
          <w:sz w:val="22"/>
          <w:szCs w:val="22"/>
        </w:rPr>
        <w:t>he development of EOL care in the UK reflects a gradual shift from institutional to holistic, person-centred models. Nevertheless, the integration of cultural competence remains incomplete, highlighting the need for continued research and reform. As this chapter demonstrates, both pioneering individuals and advocacy organisations have significantly shaped the evolution of this topic, although challenges persist in ensuring equitable care for all communities.</w:t>
      </w:r>
    </w:p>
    <w:p w14:paraId="4D42201B" w14:textId="3594F2EB" w:rsidR="00BD2909" w:rsidRPr="00F44833" w:rsidRDefault="00BD2909" w:rsidP="009F6397">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4861F22" w14:textId="77777777" w:rsidR="00C32FAA" w:rsidRDefault="00C32FAA" w:rsidP="00F44833">
      <w:pPr>
        <w:pStyle w:val="paragraph"/>
        <w:spacing w:before="0" w:beforeAutospacing="0" w:after="0" w:afterAutospacing="0" w:line="360" w:lineRule="auto"/>
        <w:textAlignment w:val="baseline"/>
        <w:rPr>
          <w:rStyle w:val="normaltextrun"/>
          <w:rFonts w:ascii="Arial" w:hAnsi="Arial" w:cs="Arial"/>
          <w:b/>
          <w:bCs/>
          <w:sz w:val="22"/>
          <w:szCs w:val="22"/>
          <w:u w:val="single"/>
        </w:rPr>
      </w:pPr>
    </w:p>
    <w:p w14:paraId="53722609" w14:textId="77777777" w:rsidR="00213C57" w:rsidRDefault="00213C57" w:rsidP="00F44833">
      <w:pPr>
        <w:pStyle w:val="paragraph"/>
        <w:spacing w:before="0" w:beforeAutospacing="0" w:after="0" w:afterAutospacing="0" w:line="360" w:lineRule="auto"/>
        <w:textAlignment w:val="baseline"/>
        <w:rPr>
          <w:rStyle w:val="normaltextrun"/>
          <w:rFonts w:ascii="Arial" w:hAnsi="Arial" w:cs="Arial"/>
          <w:b/>
          <w:bCs/>
          <w:sz w:val="22"/>
          <w:szCs w:val="22"/>
          <w:u w:val="single"/>
        </w:rPr>
      </w:pPr>
    </w:p>
    <w:p w14:paraId="7CD6820C" w14:textId="28F17DC1" w:rsidR="00BD2909" w:rsidRPr="00D8138B" w:rsidRDefault="00BD2909" w:rsidP="00F44833">
      <w:pPr>
        <w:pStyle w:val="paragraph"/>
        <w:spacing w:before="0" w:beforeAutospacing="0" w:after="0" w:afterAutospacing="0" w:line="360" w:lineRule="auto"/>
        <w:textAlignment w:val="baseline"/>
        <w:rPr>
          <w:rFonts w:ascii="Arial" w:hAnsi="Arial" w:cs="Arial"/>
          <w:b/>
          <w:bCs/>
          <w:sz w:val="28"/>
          <w:szCs w:val="28"/>
          <w:u w:val="single"/>
        </w:rPr>
      </w:pPr>
      <w:r w:rsidRPr="00D8138B">
        <w:rPr>
          <w:rStyle w:val="normaltextrun"/>
          <w:rFonts w:ascii="Arial" w:hAnsi="Arial" w:cs="Arial"/>
          <w:b/>
          <w:bCs/>
          <w:sz w:val="28"/>
          <w:szCs w:val="28"/>
          <w:u w:val="single"/>
        </w:rPr>
        <w:lastRenderedPageBreak/>
        <w:t xml:space="preserve">2.3 Theoretical Background </w:t>
      </w:r>
    </w:p>
    <w:p w14:paraId="1787DF7C" w14:textId="1E25F11D" w:rsidR="00BD2909" w:rsidRPr="00E26110" w:rsidRDefault="00A95479" w:rsidP="00F44833">
      <w:pPr>
        <w:pStyle w:val="paragraph"/>
        <w:spacing w:before="0" w:beforeAutospacing="0" w:after="0" w:afterAutospacing="0" w:line="360" w:lineRule="auto"/>
        <w:textAlignment w:val="baseline"/>
        <w:rPr>
          <w:rStyle w:val="eop"/>
          <w:rFonts w:ascii="Aptos" w:hAnsi="Aptos" w:cs="Segoe UI"/>
          <w:sz w:val="16"/>
          <w:szCs w:val="16"/>
        </w:rPr>
      </w:pPr>
      <w:r w:rsidRPr="00A95479">
        <w:rPr>
          <w:rStyle w:val="eop"/>
          <w:rFonts w:ascii="Arial" w:eastAsia="Calibri Light" w:hAnsi="Arial" w:cs="Arial"/>
          <w:sz w:val="22"/>
          <w:szCs w:val="22"/>
        </w:rPr>
        <w:t>This chapter draws on three key theoretical models that underpin the study of culturally competent end-of-life (EOL) care: Leininger’s Culture Care Theory, Campinha-Bacote’s Cultural Competence Model, and Papadopoulos’ Framework. These models provide essential frameworks for understanding how cultural awareness, sensitivity, and responsiveness can be developed and applied in healthcare practice</w:t>
      </w:r>
      <w:r w:rsidR="001A002A">
        <w:rPr>
          <w:rStyle w:val="eop"/>
          <w:rFonts w:ascii="Arial" w:eastAsia="Calibri Light" w:hAnsi="Arial" w:cs="Arial"/>
          <w:sz w:val="22"/>
          <w:szCs w:val="22"/>
        </w:rPr>
        <w:t xml:space="preserve"> </w:t>
      </w:r>
      <w:r w:rsidR="001A002A" w:rsidRPr="001A002A">
        <w:rPr>
          <w:rStyle w:val="eop"/>
          <w:rFonts w:ascii="Arial" w:eastAsia="Calibri Light" w:hAnsi="Arial" w:cs="Arial"/>
          <w:sz w:val="22"/>
          <w:szCs w:val="22"/>
        </w:rPr>
        <w:t>(NHS England, 2019)</w:t>
      </w:r>
      <w:r w:rsidR="001A002A">
        <w:rPr>
          <w:rStyle w:val="eop"/>
          <w:rFonts w:ascii="Arial" w:eastAsia="Calibri Light" w:hAnsi="Arial" w:cs="Arial"/>
          <w:sz w:val="22"/>
          <w:szCs w:val="22"/>
        </w:rPr>
        <w:t>.</w:t>
      </w:r>
    </w:p>
    <w:p w14:paraId="165CC773" w14:textId="77777777" w:rsidR="00A95479" w:rsidRPr="00B20C0B" w:rsidRDefault="00A95479" w:rsidP="00A95479">
      <w:pPr>
        <w:pStyle w:val="paragraph"/>
        <w:spacing w:after="0"/>
        <w:textAlignment w:val="baseline"/>
        <w:rPr>
          <w:rStyle w:val="eop"/>
          <w:rFonts w:ascii="Arial" w:eastAsia="Calibri Light" w:hAnsi="Arial" w:cs="Arial"/>
          <w:sz w:val="22"/>
          <w:szCs w:val="22"/>
          <w:u w:val="single"/>
        </w:rPr>
      </w:pPr>
      <w:r w:rsidRPr="00B20C0B">
        <w:rPr>
          <w:rStyle w:val="eop"/>
          <w:rFonts w:ascii="Arial" w:eastAsia="Calibri Light" w:hAnsi="Arial" w:cs="Arial"/>
          <w:sz w:val="22"/>
          <w:szCs w:val="22"/>
          <w:u w:val="single"/>
        </w:rPr>
        <w:t>Key Theories and Concepts</w:t>
      </w:r>
    </w:p>
    <w:p w14:paraId="5A0C9655" w14:textId="005C4B44" w:rsidR="00A95479" w:rsidRDefault="00A95479" w:rsidP="00A95479">
      <w:pPr>
        <w:pStyle w:val="paragraph"/>
        <w:spacing w:before="0" w:beforeAutospacing="0" w:after="0" w:afterAutospacing="0" w:line="360" w:lineRule="auto"/>
        <w:textAlignment w:val="baseline"/>
        <w:rPr>
          <w:rStyle w:val="eop"/>
          <w:rFonts w:ascii="Arial" w:eastAsia="Calibri Light" w:hAnsi="Arial" w:cs="Arial"/>
          <w:sz w:val="22"/>
          <w:szCs w:val="22"/>
        </w:rPr>
      </w:pPr>
      <w:r w:rsidRPr="00A95479">
        <w:rPr>
          <w:rStyle w:val="eop"/>
          <w:rFonts w:ascii="Arial" w:eastAsia="Calibri Light" w:hAnsi="Arial" w:cs="Arial"/>
          <w:sz w:val="22"/>
          <w:szCs w:val="22"/>
        </w:rPr>
        <w:t>Leininger’s Culture Care Theory is widely regarded as one of the foundational models in transcultural nursing. Developed in the 1970s, it posits that culturally congruent care occurs when health practices align with individuals’ cultural values, beliefs, and lifeways (Leininger and McFarland, 2002). Central to this model is the Sunrise Enabler, which illustrates how factors such as religion, kinship, education, and economic status influence care preferences.</w:t>
      </w:r>
    </w:p>
    <w:p w14:paraId="40FD57F1" w14:textId="3FD4FDC8" w:rsidR="00A95479" w:rsidRDefault="00A95479" w:rsidP="00A95479">
      <w:pPr>
        <w:pStyle w:val="paragraph"/>
        <w:spacing w:before="0" w:beforeAutospacing="0" w:after="0" w:afterAutospacing="0" w:line="360" w:lineRule="auto"/>
        <w:textAlignment w:val="baseline"/>
        <w:rPr>
          <w:rStyle w:val="eop"/>
          <w:rFonts w:ascii="Arial" w:eastAsia="Calibri Light" w:hAnsi="Arial" w:cs="Arial"/>
          <w:sz w:val="22"/>
          <w:szCs w:val="22"/>
        </w:rPr>
      </w:pPr>
      <w:r w:rsidRPr="00A95479">
        <w:rPr>
          <w:rStyle w:val="eop"/>
          <w:rFonts w:ascii="Arial" w:eastAsia="Calibri Light" w:hAnsi="Arial" w:cs="Arial"/>
          <w:sz w:val="22"/>
          <w:szCs w:val="22"/>
        </w:rPr>
        <w:t>Campinha-Bacote (2002) introduced a process-oriented model titled “The Process of Cultural Competence in the Delivery of Healthcare Services”, which consists of five interrelated constructs: cultural awareness, knowledge, skill, encounters, and desire. This model emphasises that cultural competence is a continuous journey, rather than an endpoint.</w:t>
      </w:r>
    </w:p>
    <w:p w14:paraId="7A192794" w14:textId="77777777" w:rsidR="00B9486E" w:rsidRDefault="00B9486E" w:rsidP="00A95479">
      <w:pPr>
        <w:pStyle w:val="paragraph"/>
        <w:spacing w:before="0" w:beforeAutospacing="0" w:after="0" w:afterAutospacing="0" w:line="360" w:lineRule="auto"/>
        <w:textAlignment w:val="baseline"/>
        <w:rPr>
          <w:rStyle w:val="eop"/>
          <w:rFonts w:ascii="Arial" w:eastAsia="Calibri Light" w:hAnsi="Arial" w:cs="Arial"/>
          <w:sz w:val="22"/>
          <w:szCs w:val="22"/>
        </w:rPr>
      </w:pPr>
    </w:p>
    <w:p w14:paraId="602AEC37" w14:textId="309FB616" w:rsidR="00CC5461" w:rsidRPr="00A95479" w:rsidRDefault="00D4667E" w:rsidP="00A95479">
      <w:pPr>
        <w:pStyle w:val="paragraph"/>
        <w:spacing w:before="0" w:beforeAutospacing="0" w:after="0" w:afterAutospacing="0" w:line="360" w:lineRule="auto"/>
        <w:textAlignment w:val="baseline"/>
        <w:rPr>
          <w:rStyle w:val="eop"/>
          <w:rFonts w:ascii="Arial" w:eastAsia="Calibri Light" w:hAnsi="Arial" w:cs="Arial"/>
          <w:sz w:val="22"/>
          <w:szCs w:val="22"/>
        </w:rPr>
      </w:pPr>
      <w:r w:rsidRPr="00D4667E">
        <w:rPr>
          <w:rStyle w:val="eop"/>
          <w:rFonts w:ascii="Arial" w:eastAsia="Calibri Light" w:hAnsi="Arial" w:cs="Arial"/>
          <w:sz w:val="22"/>
          <w:szCs w:val="22"/>
        </w:rPr>
        <w:t>The Papadopoulos, Tilki and Taylor Model (PTT) (200</w:t>
      </w:r>
      <w:r>
        <w:rPr>
          <w:rStyle w:val="eop"/>
          <w:rFonts w:ascii="Arial" w:eastAsia="Calibri Light" w:hAnsi="Arial" w:cs="Arial"/>
          <w:sz w:val="22"/>
          <w:szCs w:val="22"/>
        </w:rPr>
        <w:t>3</w:t>
      </w:r>
      <w:r w:rsidRPr="00D4667E">
        <w:rPr>
          <w:rStyle w:val="eop"/>
          <w:rFonts w:ascii="Arial" w:eastAsia="Calibri Light" w:hAnsi="Arial" w:cs="Arial"/>
          <w:sz w:val="22"/>
          <w:szCs w:val="22"/>
        </w:rPr>
        <w:t>) focuses on developing culturally competent practitioners through four stages: cultural awareness, cultural knowledge, cultural sensitivity, and cultural competence. Papadopoulos’ framework is particularly relevant to UK health and social care, as it aligns with the needs of an increasingly diverse population and addresses professional values and ethics.</w:t>
      </w:r>
    </w:p>
    <w:p w14:paraId="141B0037" w14:textId="77777777" w:rsidR="00D4667E" w:rsidRPr="00B20C0B" w:rsidRDefault="00D4667E" w:rsidP="00D4667E">
      <w:pPr>
        <w:pStyle w:val="paragraph"/>
        <w:spacing w:after="0"/>
        <w:textAlignment w:val="baseline"/>
        <w:rPr>
          <w:rStyle w:val="eop"/>
          <w:rFonts w:ascii="Arial" w:eastAsia="Calibri Light" w:hAnsi="Arial" w:cs="Arial"/>
          <w:sz w:val="22"/>
          <w:szCs w:val="22"/>
          <w:u w:val="single"/>
        </w:rPr>
      </w:pPr>
      <w:r w:rsidRPr="00B20C0B">
        <w:rPr>
          <w:rStyle w:val="eop"/>
          <w:rFonts w:ascii="Arial" w:eastAsia="Calibri Light" w:hAnsi="Arial" w:cs="Arial"/>
          <w:sz w:val="22"/>
          <w:szCs w:val="22"/>
          <w:u w:val="single"/>
        </w:rPr>
        <w:t>Application of Theories</w:t>
      </w:r>
    </w:p>
    <w:p w14:paraId="7B6F6A9E" w14:textId="6C1A7B6F" w:rsidR="00B8126D" w:rsidRDefault="00D4667E" w:rsidP="00D4667E">
      <w:pPr>
        <w:pStyle w:val="paragraph"/>
        <w:spacing w:before="0" w:beforeAutospacing="0" w:after="0" w:afterAutospacing="0" w:line="360" w:lineRule="auto"/>
        <w:textAlignment w:val="baseline"/>
        <w:rPr>
          <w:rStyle w:val="eop"/>
          <w:rFonts w:ascii="Arial" w:eastAsia="Calibri Light" w:hAnsi="Arial" w:cs="Arial"/>
          <w:sz w:val="22"/>
          <w:szCs w:val="22"/>
        </w:rPr>
      </w:pPr>
      <w:r w:rsidRPr="00D4667E">
        <w:rPr>
          <w:rStyle w:val="eop"/>
          <w:rFonts w:ascii="Arial" w:eastAsia="Calibri Light" w:hAnsi="Arial" w:cs="Arial"/>
          <w:sz w:val="22"/>
          <w:szCs w:val="22"/>
        </w:rPr>
        <w:t xml:space="preserve">Leininger’s model has been applied in various qualitative studies that explore EOL decision-making among culturally diverse patients. For instance, </w:t>
      </w:r>
      <w:r w:rsidR="00B640F2" w:rsidRPr="00B640F2">
        <w:rPr>
          <w:rStyle w:val="eop"/>
          <w:rFonts w:ascii="Arial" w:eastAsia="Calibri Light" w:hAnsi="Arial" w:cs="Arial"/>
          <w:sz w:val="22"/>
          <w:szCs w:val="22"/>
        </w:rPr>
        <w:t>McFarland and Wehbe-</w:t>
      </w:r>
      <w:proofErr w:type="spellStart"/>
      <w:r w:rsidR="00B640F2" w:rsidRPr="00B640F2">
        <w:rPr>
          <w:rStyle w:val="eop"/>
          <w:rFonts w:ascii="Arial" w:eastAsia="Calibri Light" w:hAnsi="Arial" w:cs="Arial"/>
          <w:sz w:val="22"/>
          <w:szCs w:val="22"/>
        </w:rPr>
        <w:t>Alamah</w:t>
      </w:r>
      <w:proofErr w:type="spellEnd"/>
      <w:r w:rsidR="00B640F2" w:rsidRPr="00B640F2">
        <w:rPr>
          <w:rStyle w:val="eop"/>
          <w:rFonts w:ascii="Arial" w:eastAsia="Calibri Light" w:hAnsi="Arial" w:cs="Arial"/>
          <w:sz w:val="22"/>
          <w:szCs w:val="22"/>
        </w:rPr>
        <w:t xml:space="preserve"> </w:t>
      </w:r>
      <w:r w:rsidR="00B640F2">
        <w:rPr>
          <w:rStyle w:val="eop"/>
          <w:rFonts w:ascii="Arial" w:eastAsia="Calibri Light" w:hAnsi="Arial" w:cs="Arial"/>
          <w:sz w:val="22"/>
          <w:szCs w:val="22"/>
        </w:rPr>
        <w:t>(</w:t>
      </w:r>
      <w:r w:rsidR="00B640F2" w:rsidRPr="00B640F2">
        <w:rPr>
          <w:rStyle w:val="eop"/>
          <w:rFonts w:ascii="Arial" w:eastAsia="Calibri Light" w:hAnsi="Arial" w:cs="Arial"/>
          <w:sz w:val="22"/>
          <w:szCs w:val="22"/>
        </w:rPr>
        <w:t>2020</w:t>
      </w:r>
      <w:r w:rsidR="00B640F2">
        <w:rPr>
          <w:rStyle w:val="eop"/>
          <w:rFonts w:ascii="Arial" w:eastAsia="Calibri Light" w:hAnsi="Arial" w:cs="Arial"/>
          <w:sz w:val="22"/>
          <w:szCs w:val="22"/>
        </w:rPr>
        <w:t xml:space="preserve">) </w:t>
      </w:r>
      <w:r w:rsidRPr="00D4667E">
        <w:rPr>
          <w:rStyle w:val="eop"/>
          <w:rFonts w:ascii="Arial" w:eastAsia="Calibri Light" w:hAnsi="Arial" w:cs="Arial"/>
          <w:sz w:val="22"/>
          <w:szCs w:val="22"/>
        </w:rPr>
        <w:t>used the theory to explore preferences around death rituals in South Asian communities, highlighting the importance of religious practices and family involvement.</w:t>
      </w:r>
    </w:p>
    <w:p w14:paraId="74839F00" w14:textId="77777777" w:rsidR="001A002A" w:rsidRDefault="001A002A" w:rsidP="00D4667E">
      <w:pPr>
        <w:pStyle w:val="paragraph"/>
        <w:spacing w:before="0" w:beforeAutospacing="0" w:after="0" w:afterAutospacing="0" w:line="360" w:lineRule="auto"/>
        <w:textAlignment w:val="baseline"/>
        <w:rPr>
          <w:rStyle w:val="eop"/>
          <w:rFonts w:ascii="Arial" w:eastAsia="Calibri Light" w:hAnsi="Arial" w:cs="Arial"/>
          <w:sz w:val="22"/>
          <w:szCs w:val="22"/>
        </w:rPr>
      </w:pPr>
    </w:p>
    <w:p w14:paraId="7ED9BA2F" w14:textId="77777777" w:rsidR="00B9486E" w:rsidRDefault="001A002A" w:rsidP="00D4667E">
      <w:pPr>
        <w:pStyle w:val="paragraph"/>
        <w:spacing w:before="0" w:beforeAutospacing="0" w:after="0" w:afterAutospacing="0" w:line="360" w:lineRule="auto"/>
        <w:textAlignment w:val="baseline"/>
        <w:rPr>
          <w:rStyle w:val="eop"/>
          <w:rFonts w:ascii="Arial" w:eastAsia="Calibri Light" w:hAnsi="Arial" w:cs="Arial"/>
          <w:sz w:val="22"/>
          <w:szCs w:val="22"/>
        </w:rPr>
      </w:pPr>
      <w:r w:rsidRPr="001A002A">
        <w:rPr>
          <w:rStyle w:val="eop"/>
          <w:rFonts w:ascii="Arial" w:eastAsia="Calibri Light" w:hAnsi="Arial" w:cs="Arial"/>
          <w:sz w:val="22"/>
          <w:szCs w:val="22"/>
        </w:rPr>
        <w:t xml:space="preserve">Campinha-Bacote’s framework is often applied in healthcare training programmes. Horvat et al. (2014) conducted a systematic review showing that interventions based on this model improve practitioner confidence and reduce cross-cultural misunderstandings. Similarly, </w:t>
      </w:r>
      <w:proofErr w:type="spellStart"/>
      <w:r w:rsidRPr="001A002A">
        <w:rPr>
          <w:rStyle w:val="eop"/>
          <w:rFonts w:ascii="Arial" w:eastAsia="Calibri Light" w:hAnsi="Arial" w:cs="Arial"/>
          <w:sz w:val="22"/>
          <w:szCs w:val="22"/>
        </w:rPr>
        <w:t>Bhui</w:t>
      </w:r>
      <w:proofErr w:type="spellEnd"/>
      <w:r w:rsidRPr="001A002A">
        <w:rPr>
          <w:rStyle w:val="eop"/>
          <w:rFonts w:ascii="Arial" w:eastAsia="Calibri Light" w:hAnsi="Arial" w:cs="Arial"/>
          <w:sz w:val="22"/>
          <w:szCs w:val="22"/>
        </w:rPr>
        <w:t xml:space="preserve"> et al. (2007) used the model to assess cultural competence in mental health settings, finding that cultural encounters were vital for developing empathy and reflective practice.</w:t>
      </w:r>
    </w:p>
    <w:p w14:paraId="27507BE8" w14:textId="39F81F68" w:rsidR="007D5F63" w:rsidRDefault="007D5F63" w:rsidP="00D4667E">
      <w:pPr>
        <w:pStyle w:val="paragraph"/>
        <w:spacing w:before="0" w:beforeAutospacing="0" w:after="0" w:afterAutospacing="0" w:line="360" w:lineRule="auto"/>
        <w:textAlignment w:val="baseline"/>
        <w:rPr>
          <w:rStyle w:val="eop"/>
          <w:rFonts w:ascii="Arial" w:eastAsia="Calibri Light" w:hAnsi="Arial" w:cs="Arial"/>
          <w:sz w:val="22"/>
          <w:szCs w:val="22"/>
        </w:rPr>
      </w:pPr>
      <w:r w:rsidRPr="007D5F63">
        <w:rPr>
          <w:rStyle w:val="eop"/>
          <w:rFonts w:ascii="Arial" w:eastAsia="Calibri Light" w:hAnsi="Arial" w:cs="Arial"/>
          <w:sz w:val="22"/>
          <w:szCs w:val="22"/>
        </w:rPr>
        <w:lastRenderedPageBreak/>
        <w:t xml:space="preserve">Papadopoulos’ model has been implemented in UK nursing education and policy development. Edge and </w:t>
      </w:r>
      <w:proofErr w:type="spellStart"/>
      <w:r w:rsidRPr="007D5F63">
        <w:rPr>
          <w:rStyle w:val="eop"/>
          <w:rFonts w:ascii="Arial" w:eastAsia="Calibri Light" w:hAnsi="Arial" w:cs="Arial"/>
          <w:sz w:val="22"/>
          <w:szCs w:val="22"/>
        </w:rPr>
        <w:t>MacKian</w:t>
      </w:r>
      <w:proofErr w:type="spellEnd"/>
      <w:r w:rsidRPr="007D5F63">
        <w:rPr>
          <w:rStyle w:val="eop"/>
          <w:rFonts w:ascii="Arial" w:eastAsia="Calibri Light" w:hAnsi="Arial" w:cs="Arial"/>
          <w:sz w:val="22"/>
          <w:szCs w:val="22"/>
        </w:rPr>
        <w:t xml:space="preserve"> (2010) employed the framework to explore why African-Caribbean individuals access palliative care services less frequently, finding that a lack of cultural sensitivity undermined trust in services. Moreover, Papadopoulos’ later work (2018) integrates compassion into cultural competence, promoting emotionally attuned care alongside technical skill.</w:t>
      </w:r>
    </w:p>
    <w:p w14:paraId="65CF0B82" w14:textId="77777777" w:rsidR="007D5F63" w:rsidRPr="00B20C0B" w:rsidRDefault="007D5F63" w:rsidP="007D5F63">
      <w:pPr>
        <w:pStyle w:val="paragraph"/>
        <w:spacing w:after="0"/>
        <w:textAlignment w:val="baseline"/>
        <w:rPr>
          <w:rStyle w:val="eop"/>
          <w:rFonts w:ascii="Arial" w:eastAsia="Calibri Light" w:hAnsi="Arial" w:cs="Arial"/>
          <w:sz w:val="22"/>
          <w:szCs w:val="22"/>
          <w:u w:val="single"/>
        </w:rPr>
      </w:pPr>
      <w:r w:rsidRPr="00B20C0B">
        <w:rPr>
          <w:rStyle w:val="eop"/>
          <w:rFonts w:ascii="Arial" w:eastAsia="Calibri Light" w:hAnsi="Arial" w:cs="Arial"/>
          <w:sz w:val="22"/>
          <w:szCs w:val="22"/>
          <w:u w:val="single"/>
        </w:rPr>
        <w:t>Critical Evaluation</w:t>
      </w:r>
    </w:p>
    <w:p w14:paraId="2FF7F113" w14:textId="52F956FD" w:rsidR="007D5F63" w:rsidRDefault="007D5F63" w:rsidP="007D5F63">
      <w:pPr>
        <w:pStyle w:val="paragraph"/>
        <w:spacing w:before="0" w:beforeAutospacing="0" w:after="0" w:afterAutospacing="0" w:line="360" w:lineRule="auto"/>
        <w:textAlignment w:val="baseline"/>
        <w:rPr>
          <w:rStyle w:val="eop"/>
          <w:rFonts w:ascii="Arial" w:eastAsia="Calibri Light" w:hAnsi="Arial" w:cs="Arial"/>
          <w:sz w:val="22"/>
          <w:szCs w:val="22"/>
        </w:rPr>
      </w:pPr>
      <w:r w:rsidRPr="007D5F63">
        <w:rPr>
          <w:rStyle w:val="eop"/>
          <w:rFonts w:ascii="Arial" w:eastAsia="Calibri Light" w:hAnsi="Arial" w:cs="Arial"/>
          <w:sz w:val="22"/>
          <w:szCs w:val="22"/>
        </w:rPr>
        <w:t>Each theory offers valuable insight into the complexities of delivering culturally competent care. Leininger’s theory was pioneering and remains influential, yet it has been critiqued for being too idealistic and not sufficiently accounting for structural inequalities or institutional racism (Narayanasamy, 2003). Furthermore, the model focuses primarily on nursing, limiting its direct applicability in multidisciplinary contexts.</w:t>
      </w:r>
    </w:p>
    <w:p w14:paraId="0BDC50FE" w14:textId="21CD979A" w:rsidR="002C7D9A" w:rsidRDefault="002C7D9A" w:rsidP="007D5F63">
      <w:pPr>
        <w:pStyle w:val="paragraph"/>
        <w:spacing w:before="0" w:beforeAutospacing="0" w:after="0" w:afterAutospacing="0" w:line="360" w:lineRule="auto"/>
        <w:textAlignment w:val="baseline"/>
        <w:rPr>
          <w:rStyle w:val="eop"/>
          <w:rFonts w:ascii="Arial" w:eastAsia="Calibri Light" w:hAnsi="Arial" w:cs="Arial"/>
          <w:sz w:val="22"/>
          <w:szCs w:val="22"/>
        </w:rPr>
      </w:pPr>
      <w:r w:rsidRPr="002C7D9A">
        <w:rPr>
          <w:rStyle w:val="eop"/>
          <w:rFonts w:ascii="Arial" w:eastAsia="Calibri Light" w:hAnsi="Arial" w:cs="Arial"/>
          <w:sz w:val="22"/>
          <w:szCs w:val="22"/>
        </w:rPr>
        <w:t xml:space="preserve">Campinha-Bacote’s model is praised for its simplicity and emphasis on continuous learning. However, critics argue that its linear structure may oversimplify the dynamic nature of cultural identity (Curtis, </w:t>
      </w:r>
      <w:proofErr w:type="spellStart"/>
      <w:r w:rsidRPr="002C7D9A">
        <w:rPr>
          <w:rStyle w:val="eop"/>
          <w:rFonts w:ascii="Arial" w:eastAsia="Calibri Light" w:hAnsi="Arial" w:cs="Arial"/>
          <w:sz w:val="22"/>
          <w:szCs w:val="22"/>
        </w:rPr>
        <w:t>Dreachslin</w:t>
      </w:r>
      <w:proofErr w:type="spellEnd"/>
      <w:r w:rsidRPr="002C7D9A">
        <w:rPr>
          <w:rStyle w:val="eop"/>
          <w:rFonts w:ascii="Arial" w:eastAsia="Calibri Light" w:hAnsi="Arial" w:cs="Arial"/>
          <w:sz w:val="22"/>
          <w:szCs w:val="22"/>
        </w:rPr>
        <w:t xml:space="preserve"> and </w:t>
      </w:r>
      <w:proofErr w:type="spellStart"/>
      <w:r w:rsidRPr="002C7D9A">
        <w:rPr>
          <w:rStyle w:val="eop"/>
          <w:rFonts w:ascii="Arial" w:eastAsia="Calibri Light" w:hAnsi="Arial" w:cs="Arial"/>
          <w:sz w:val="22"/>
          <w:szCs w:val="22"/>
        </w:rPr>
        <w:t>Sinioris</w:t>
      </w:r>
      <w:proofErr w:type="spellEnd"/>
      <w:r w:rsidRPr="002C7D9A">
        <w:rPr>
          <w:rStyle w:val="eop"/>
          <w:rFonts w:ascii="Arial" w:eastAsia="Calibri Light" w:hAnsi="Arial" w:cs="Arial"/>
          <w:sz w:val="22"/>
          <w:szCs w:val="22"/>
        </w:rPr>
        <w:t xml:space="preserve">, 2007). It also assumes that cultural desire exists among all professionals, which may not be the case in settings with implicit bias or </w:t>
      </w:r>
      <w:r>
        <w:rPr>
          <w:rStyle w:val="eop"/>
          <w:rFonts w:ascii="Arial" w:eastAsia="Calibri Light" w:hAnsi="Arial" w:cs="Arial"/>
          <w:sz w:val="22"/>
          <w:szCs w:val="22"/>
        </w:rPr>
        <w:t xml:space="preserve">a </w:t>
      </w:r>
      <w:r w:rsidRPr="002C7D9A">
        <w:rPr>
          <w:rStyle w:val="eop"/>
          <w:rFonts w:ascii="Arial" w:eastAsia="Calibri Light" w:hAnsi="Arial" w:cs="Arial"/>
          <w:sz w:val="22"/>
          <w:szCs w:val="22"/>
        </w:rPr>
        <w:t>lack of diversity training.</w:t>
      </w:r>
    </w:p>
    <w:p w14:paraId="0EE1D6CE" w14:textId="77777777" w:rsidR="002C7D9A" w:rsidRDefault="002C7D9A" w:rsidP="007D5F63">
      <w:pPr>
        <w:pStyle w:val="paragraph"/>
        <w:spacing w:before="0" w:beforeAutospacing="0" w:after="0" w:afterAutospacing="0" w:line="360" w:lineRule="auto"/>
        <w:textAlignment w:val="baseline"/>
        <w:rPr>
          <w:rStyle w:val="eop"/>
          <w:rFonts w:ascii="Arial" w:eastAsia="Calibri Light" w:hAnsi="Arial" w:cs="Arial"/>
          <w:sz w:val="22"/>
          <w:szCs w:val="22"/>
        </w:rPr>
      </w:pPr>
    </w:p>
    <w:p w14:paraId="0B8693DC" w14:textId="06F135ED" w:rsidR="002C7D9A" w:rsidRDefault="002C7D9A" w:rsidP="007D5F63">
      <w:pPr>
        <w:pStyle w:val="paragraph"/>
        <w:spacing w:before="0" w:beforeAutospacing="0" w:after="0" w:afterAutospacing="0" w:line="360" w:lineRule="auto"/>
        <w:textAlignment w:val="baseline"/>
        <w:rPr>
          <w:rStyle w:val="eop"/>
          <w:rFonts w:ascii="Arial" w:eastAsia="Calibri Light" w:hAnsi="Arial" w:cs="Arial"/>
          <w:sz w:val="22"/>
          <w:szCs w:val="22"/>
        </w:rPr>
      </w:pPr>
      <w:r w:rsidRPr="002C7D9A">
        <w:rPr>
          <w:rStyle w:val="eop"/>
          <w:rFonts w:ascii="Arial" w:eastAsia="Calibri Light" w:hAnsi="Arial" w:cs="Arial"/>
          <w:sz w:val="22"/>
          <w:szCs w:val="22"/>
        </w:rPr>
        <w:t>Papadopoulos’ framework is particularly suited to the UK context, addressing cultural, ethical, and structural issues. Nonetheless, the model is sometimes seen as too focused on individual practitioners, without fully addressing systemic barriers such as underrepresentation, discriminatory policy, or unequal resource allocation (</w:t>
      </w:r>
      <w:proofErr w:type="spellStart"/>
      <w:r w:rsidRPr="002C7D9A">
        <w:rPr>
          <w:rStyle w:val="eop"/>
          <w:rFonts w:ascii="Arial" w:eastAsia="Calibri Light" w:hAnsi="Arial" w:cs="Arial"/>
          <w:sz w:val="22"/>
          <w:szCs w:val="22"/>
        </w:rPr>
        <w:t>Nazroo</w:t>
      </w:r>
      <w:proofErr w:type="spellEnd"/>
      <w:r w:rsidRPr="002C7D9A">
        <w:rPr>
          <w:rStyle w:val="eop"/>
          <w:rFonts w:ascii="Arial" w:eastAsia="Calibri Light" w:hAnsi="Arial" w:cs="Arial"/>
          <w:sz w:val="22"/>
          <w:szCs w:val="22"/>
        </w:rPr>
        <w:t xml:space="preserve">, </w:t>
      </w:r>
      <w:proofErr w:type="spellStart"/>
      <w:r w:rsidRPr="002C7D9A">
        <w:rPr>
          <w:rStyle w:val="eop"/>
          <w:rFonts w:ascii="Arial" w:eastAsia="Calibri Light" w:hAnsi="Arial" w:cs="Arial"/>
          <w:sz w:val="22"/>
          <w:szCs w:val="22"/>
        </w:rPr>
        <w:t>Bhui</w:t>
      </w:r>
      <w:proofErr w:type="spellEnd"/>
      <w:r w:rsidRPr="002C7D9A">
        <w:rPr>
          <w:rStyle w:val="eop"/>
          <w:rFonts w:ascii="Arial" w:eastAsia="Calibri Light" w:hAnsi="Arial" w:cs="Arial"/>
          <w:sz w:val="22"/>
          <w:szCs w:val="22"/>
        </w:rPr>
        <w:t xml:space="preserve"> and Rhodes, 20</w:t>
      </w:r>
      <w:r>
        <w:rPr>
          <w:rStyle w:val="eop"/>
          <w:rFonts w:ascii="Arial" w:eastAsia="Calibri Light" w:hAnsi="Arial" w:cs="Arial"/>
          <w:sz w:val="22"/>
          <w:szCs w:val="22"/>
        </w:rPr>
        <w:t>19</w:t>
      </w:r>
      <w:r w:rsidRPr="002C7D9A">
        <w:rPr>
          <w:rStyle w:val="eop"/>
          <w:rFonts w:ascii="Arial" w:eastAsia="Calibri Light" w:hAnsi="Arial" w:cs="Arial"/>
          <w:sz w:val="22"/>
          <w:szCs w:val="22"/>
        </w:rPr>
        <w:t>).</w:t>
      </w:r>
    </w:p>
    <w:p w14:paraId="392FEA9D" w14:textId="77777777" w:rsidR="002C7D9A" w:rsidRDefault="002C7D9A" w:rsidP="002C7D9A">
      <w:pPr>
        <w:rPr>
          <w:rStyle w:val="eop"/>
          <w:rFonts w:ascii="Arial" w:eastAsia="Calibri Light" w:hAnsi="Arial" w:cs="Arial"/>
          <w:kern w:val="0"/>
          <w14:ligatures w14:val="none"/>
        </w:rPr>
      </w:pPr>
    </w:p>
    <w:p w14:paraId="0A59F645" w14:textId="41216517" w:rsidR="002C7D9A" w:rsidRPr="002C7D9A" w:rsidRDefault="002C7D9A" w:rsidP="002C7D9A">
      <w:pPr>
        <w:rPr>
          <w:rStyle w:val="eop"/>
          <w:rFonts w:ascii="Arial" w:eastAsia="Calibri Light" w:hAnsi="Arial" w:cs="Arial"/>
          <w:kern w:val="0"/>
          <w14:ligatures w14:val="none"/>
        </w:rPr>
      </w:pPr>
      <w:r>
        <w:rPr>
          <w:rStyle w:val="eop"/>
          <w:rFonts w:ascii="Arial" w:eastAsia="Calibri Light" w:hAnsi="Arial" w:cs="Arial"/>
          <w:kern w:val="0"/>
          <w14:ligatures w14:val="none"/>
        </w:rPr>
        <w:t>T</w:t>
      </w:r>
      <w:r w:rsidRPr="002C7D9A">
        <w:rPr>
          <w:rStyle w:val="eop"/>
          <w:rFonts w:ascii="Arial" w:eastAsia="Calibri Light" w:hAnsi="Arial" w:cs="Arial"/>
          <w:kern w:val="0"/>
          <w14:ligatures w14:val="none"/>
        </w:rPr>
        <w:t>hese three models collectively offer a multi-layered understanding of cultural competence in EOL care. By integrating patient-centred care principles with awareness of structural barriers, they serve as useful lenses through which to examine the gaps in culturally competent service provision. Despite their limitations, they provide the theoretical depth necessary to support meaningful change in practice.</w:t>
      </w:r>
    </w:p>
    <w:p w14:paraId="295A0A48" w14:textId="77777777" w:rsidR="00B8126D" w:rsidRPr="00F44833" w:rsidRDefault="00B8126D" w:rsidP="00F44833">
      <w:pPr>
        <w:pStyle w:val="paragraph"/>
        <w:spacing w:before="0" w:beforeAutospacing="0" w:after="0" w:afterAutospacing="0" w:line="360" w:lineRule="auto"/>
        <w:textAlignment w:val="baseline"/>
        <w:rPr>
          <w:rFonts w:ascii="Aptos" w:hAnsi="Aptos" w:cs="Segoe UI"/>
          <w:sz w:val="16"/>
          <w:szCs w:val="16"/>
        </w:rPr>
      </w:pPr>
    </w:p>
    <w:p w14:paraId="529565AC" w14:textId="3F4D207D" w:rsidR="00BD2909" w:rsidRPr="00D8138B" w:rsidRDefault="00BD2909" w:rsidP="00F44833">
      <w:pPr>
        <w:pStyle w:val="paragraph"/>
        <w:spacing w:before="0" w:beforeAutospacing="0" w:after="0" w:afterAutospacing="0" w:line="360" w:lineRule="auto"/>
        <w:textAlignment w:val="baseline"/>
        <w:rPr>
          <w:rFonts w:ascii="Arial" w:hAnsi="Arial" w:cs="Arial"/>
          <w:b/>
          <w:bCs/>
          <w:sz w:val="28"/>
          <w:szCs w:val="28"/>
          <w:u w:val="single"/>
        </w:rPr>
      </w:pPr>
      <w:r w:rsidRPr="00D8138B">
        <w:rPr>
          <w:rStyle w:val="normaltextrun"/>
          <w:rFonts w:ascii="Arial" w:hAnsi="Arial" w:cs="Arial"/>
          <w:b/>
          <w:bCs/>
          <w:sz w:val="28"/>
          <w:szCs w:val="28"/>
          <w:u w:val="single"/>
        </w:rPr>
        <w:t xml:space="preserve">2.4 International Context </w:t>
      </w:r>
    </w:p>
    <w:p w14:paraId="486A5837" w14:textId="10E539C2" w:rsidR="00BD2909" w:rsidRDefault="000B7F30" w:rsidP="00F44833">
      <w:pPr>
        <w:pStyle w:val="paragraph"/>
        <w:spacing w:before="0" w:beforeAutospacing="0" w:after="0" w:afterAutospacing="0" w:line="360" w:lineRule="auto"/>
        <w:textAlignment w:val="baseline"/>
        <w:rPr>
          <w:rStyle w:val="eop"/>
          <w:rFonts w:ascii="Arial" w:eastAsia="Calibri Light" w:hAnsi="Arial" w:cs="Arial"/>
          <w:sz w:val="22"/>
          <w:szCs w:val="22"/>
        </w:rPr>
      </w:pPr>
      <w:r w:rsidRPr="000B7F30">
        <w:rPr>
          <w:rStyle w:val="eop"/>
          <w:rFonts w:ascii="Arial" w:eastAsia="Calibri Light" w:hAnsi="Arial" w:cs="Arial"/>
          <w:sz w:val="22"/>
          <w:szCs w:val="22"/>
        </w:rPr>
        <w:t xml:space="preserve">The delivery of culturally competent end-of-life (EOL) care is increasingly recognised as a global imperative, particularly in nations with growing multicultural populations. While the UK continues to address disparities in service access and provision, other countries have developed distinct strategies to embed cultural sensitivity within palliative care systems. This </w:t>
      </w:r>
      <w:r w:rsidRPr="000B7F30">
        <w:rPr>
          <w:rStyle w:val="eop"/>
          <w:rFonts w:ascii="Arial" w:eastAsia="Calibri Light" w:hAnsi="Arial" w:cs="Arial"/>
          <w:sz w:val="22"/>
          <w:szCs w:val="22"/>
        </w:rPr>
        <w:lastRenderedPageBreak/>
        <w:t>section examines international approaches, offering comparative insight into both policy and practice.</w:t>
      </w:r>
    </w:p>
    <w:p w14:paraId="562B6797" w14:textId="77777777" w:rsidR="00FA4762" w:rsidRDefault="00FA4762"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1AA4545C" w14:textId="50BE3226" w:rsidR="000B7F30" w:rsidRDefault="000B7F30" w:rsidP="00F44833">
      <w:pPr>
        <w:pStyle w:val="paragraph"/>
        <w:spacing w:before="0" w:beforeAutospacing="0" w:after="0" w:afterAutospacing="0" w:line="360" w:lineRule="auto"/>
        <w:textAlignment w:val="baseline"/>
        <w:rPr>
          <w:rFonts w:ascii="Arial" w:hAnsi="Arial" w:cs="Arial"/>
          <w:sz w:val="22"/>
          <w:szCs w:val="22"/>
        </w:rPr>
      </w:pPr>
      <w:r w:rsidRPr="000B7F30">
        <w:rPr>
          <w:rFonts w:ascii="Arial" w:hAnsi="Arial" w:cs="Arial"/>
          <w:sz w:val="22"/>
          <w:szCs w:val="22"/>
        </w:rPr>
        <w:t>In Canada, culturally appropriate EOL care has become a national priority, particularly following the legalisation of Medical Assistance in Dying (</w:t>
      </w:r>
      <w:proofErr w:type="spellStart"/>
      <w:r w:rsidRPr="000B7F30">
        <w:rPr>
          <w:rFonts w:ascii="Arial" w:hAnsi="Arial" w:cs="Arial"/>
          <w:sz w:val="22"/>
          <w:szCs w:val="22"/>
        </w:rPr>
        <w:t>MAiD</w:t>
      </w:r>
      <w:proofErr w:type="spellEnd"/>
      <w:r w:rsidRPr="000B7F30">
        <w:rPr>
          <w:rFonts w:ascii="Arial" w:hAnsi="Arial" w:cs="Arial"/>
          <w:sz w:val="22"/>
          <w:szCs w:val="22"/>
        </w:rPr>
        <w:t>) in 2016</w:t>
      </w:r>
      <w:r>
        <w:rPr>
          <w:rFonts w:ascii="Arial" w:hAnsi="Arial" w:cs="Arial"/>
          <w:sz w:val="22"/>
          <w:szCs w:val="22"/>
        </w:rPr>
        <w:t xml:space="preserve"> </w:t>
      </w:r>
      <w:r w:rsidRPr="000B7F30">
        <w:rPr>
          <w:rFonts w:ascii="Arial" w:hAnsi="Arial" w:cs="Arial"/>
          <w:sz w:val="22"/>
          <w:szCs w:val="22"/>
        </w:rPr>
        <w:t>(Dignity in Dying, 2024)</w:t>
      </w:r>
      <w:r>
        <w:rPr>
          <w:rFonts w:ascii="Arial" w:hAnsi="Arial" w:cs="Arial"/>
          <w:sz w:val="22"/>
          <w:szCs w:val="22"/>
        </w:rPr>
        <w:t xml:space="preserve">. </w:t>
      </w:r>
      <w:r w:rsidRPr="000B7F30">
        <w:rPr>
          <w:rFonts w:ascii="Arial" w:hAnsi="Arial" w:cs="Arial"/>
          <w:sz w:val="22"/>
          <w:szCs w:val="22"/>
        </w:rPr>
        <w:t>The Canadian Hospice Palliative Care Association (CHPCA) emphasises culturally safe care as a core component of its guidelines, particularly for Indigenous and immigrant populations (CHPCA, 2020). A key initiative is the “Living My Culture” project, which documents diverse community perspectives on death, helping professionals deliver care that honours patient</w:t>
      </w:r>
      <w:r w:rsidR="00FA4762">
        <w:rPr>
          <w:rFonts w:ascii="Arial" w:hAnsi="Arial" w:cs="Arial"/>
          <w:sz w:val="22"/>
          <w:szCs w:val="22"/>
        </w:rPr>
        <w:t>s</w:t>
      </w:r>
      <w:r w:rsidRPr="000B7F30">
        <w:rPr>
          <w:rFonts w:ascii="Arial" w:hAnsi="Arial" w:cs="Arial"/>
          <w:sz w:val="22"/>
          <w:szCs w:val="22"/>
        </w:rPr>
        <w:t xml:space="preserve"> cultural values (Health Canada, 201</w:t>
      </w:r>
      <w:r w:rsidR="002C7B85">
        <w:rPr>
          <w:rFonts w:ascii="Arial" w:hAnsi="Arial" w:cs="Arial"/>
          <w:sz w:val="22"/>
          <w:szCs w:val="22"/>
        </w:rPr>
        <w:t xml:space="preserve">8; </w:t>
      </w:r>
      <w:r w:rsidR="00BC133A" w:rsidRPr="00BC133A">
        <w:rPr>
          <w:rFonts w:ascii="Arial" w:hAnsi="Arial" w:cs="Arial"/>
          <w:sz w:val="22"/>
          <w:szCs w:val="22"/>
        </w:rPr>
        <w:t>Livingmyculture.ca, 2016)</w:t>
      </w:r>
      <w:r w:rsidR="002C7B85">
        <w:rPr>
          <w:rFonts w:ascii="Arial" w:hAnsi="Arial" w:cs="Arial"/>
          <w:sz w:val="22"/>
          <w:szCs w:val="22"/>
        </w:rPr>
        <w:t>.</w:t>
      </w:r>
    </w:p>
    <w:p w14:paraId="363522B6" w14:textId="77777777" w:rsidR="00FA4762" w:rsidRDefault="00FA4762" w:rsidP="00F44833">
      <w:pPr>
        <w:pStyle w:val="paragraph"/>
        <w:spacing w:before="0" w:beforeAutospacing="0" w:after="0" w:afterAutospacing="0" w:line="360" w:lineRule="auto"/>
        <w:textAlignment w:val="baseline"/>
        <w:rPr>
          <w:rFonts w:ascii="Arial" w:hAnsi="Arial" w:cs="Arial"/>
          <w:sz w:val="22"/>
          <w:szCs w:val="22"/>
        </w:rPr>
      </w:pPr>
    </w:p>
    <w:p w14:paraId="4AE9056F" w14:textId="26A74EBA" w:rsidR="00FA4762" w:rsidRDefault="00FA4762" w:rsidP="00F44833">
      <w:pPr>
        <w:pStyle w:val="paragraph"/>
        <w:spacing w:before="0" w:beforeAutospacing="0" w:after="0" w:afterAutospacing="0" w:line="360" w:lineRule="auto"/>
        <w:textAlignment w:val="baseline"/>
        <w:rPr>
          <w:rFonts w:ascii="Arial" w:hAnsi="Arial" w:cs="Arial"/>
          <w:sz w:val="22"/>
          <w:szCs w:val="22"/>
        </w:rPr>
      </w:pPr>
      <w:r w:rsidRPr="00FA4762">
        <w:rPr>
          <w:rFonts w:ascii="Arial" w:hAnsi="Arial" w:cs="Arial"/>
          <w:sz w:val="22"/>
          <w:szCs w:val="22"/>
        </w:rPr>
        <w:t>Similarly, Australia has introduced the “Palliative Care for Culturally and Linguistically Diverse (CALD) Communities” framework</w:t>
      </w:r>
      <w:r w:rsidR="00271034">
        <w:rPr>
          <w:rFonts w:ascii="Arial" w:hAnsi="Arial" w:cs="Arial"/>
          <w:sz w:val="22"/>
          <w:szCs w:val="22"/>
        </w:rPr>
        <w:t xml:space="preserve"> </w:t>
      </w:r>
      <w:r w:rsidR="00271034" w:rsidRPr="00271034">
        <w:rPr>
          <w:rFonts w:ascii="Arial" w:hAnsi="Arial" w:cs="Arial"/>
          <w:sz w:val="22"/>
          <w:szCs w:val="22"/>
        </w:rPr>
        <w:t>(Palliative Care SA, 2023)</w:t>
      </w:r>
      <w:r w:rsidR="00271034">
        <w:rPr>
          <w:rFonts w:ascii="Arial" w:hAnsi="Arial" w:cs="Arial"/>
          <w:sz w:val="22"/>
          <w:szCs w:val="22"/>
        </w:rPr>
        <w:t>.</w:t>
      </w:r>
      <w:r w:rsidRPr="00FA4762">
        <w:rPr>
          <w:rFonts w:ascii="Arial" w:hAnsi="Arial" w:cs="Arial"/>
          <w:sz w:val="22"/>
          <w:szCs w:val="22"/>
        </w:rPr>
        <w:t xml:space="preserve"> This model prioritises interpreter access, culturally appropriate communication, and family-centred decision-making (PCA, 201</w:t>
      </w:r>
      <w:r>
        <w:rPr>
          <w:rFonts w:ascii="Arial" w:hAnsi="Arial" w:cs="Arial"/>
          <w:sz w:val="22"/>
          <w:szCs w:val="22"/>
        </w:rPr>
        <w:t>8</w:t>
      </w:r>
      <w:r w:rsidRPr="00FA4762">
        <w:rPr>
          <w:rFonts w:ascii="Arial" w:hAnsi="Arial" w:cs="Arial"/>
          <w:sz w:val="22"/>
          <w:szCs w:val="22"/>
        </w:rPr>
        <w:t xml:space="preserve">). Despite this, research suggests that gaps persist, particularly in rural areas where service accessibility remains a challenge for migrant communities </w:t>
      </w:r>
      <w:r w:rsidR="00271034" w:rsidRPr="00271034">
        <w:rPr>
          <w:rFonts w:ascii="Arial" w:hAnsi="Arial" w:cs="Arial"/>
          <w:sz w:val="22"/>
          <w:szCs w:val="22"/>
        </w:rPr>
        <w:t>(Vella, White and Livingston, 2022)</w:t>
      </w:r>
      <w:r w:rsidR="00271034">
        <w:rPr>
          <w:rFonts w:ascii="Arial" w:hAnsi="Arial" w:cs="Arial"/>
          <w:sz w:val="22"/>
          <w:szCs w:val="22"/>
        </w:rPr>
        <w:t>.</w:t>
      </w:r>
    </w:p>
    <w:p w14:paraId="1ADC4D12" w14:textId="77777777" w:rsidR="00452D7A" w:rsidRDefault="00452D7A" w:rsidP="00F44833">
      <w:pPr>
        <w:pStyle w:val="paragraph"/>
        <w:spacing w:before="0" w:beforeAutospacing="0" w:after="0" w:afterAutospacing="0" w:line="360" w:lineRule="auto"/>
        <w:textAlignment w:val="baseline"/>
        <w:rPr>
          <w:rFonts w:ascii="Arial" w:hAnsi="Arial" w:cs="Arial"/>
          <w:sz w:val="22"/>
          <w:szCs w:val="22"/>
        </w:rPr>
      </w:pPr>
    </w:p>
    <w:p w14:paraId="64E1C81A" w14:textId="629C6E6A" w:rsidR="00452D7A" w:rsidRDefault="00452D7A" w:rsidP="00F44833">
      <w:pPr>
        <w:pStyle w:val="paragraph"/>
        <w:spacing w:before="0" w:beforeAutospacing="0" w:after="0" w:afterAutospacing="0" w:line="360" w:lineRule="auto"/>
        <w:textAlignment w:val="baseline"/>
        <w:rPr>
          <w:rFonts w:ascii="Arial" w:hAnsi="Arial" w:cs="Arial"/>
          <w:sz w:val="22"/>
          <w:szCs w:val="22"/>
        </w:rPr>
      </w:pPr>
      <w:r w:rsidRPr="00452D7A">
        <w:rPr>
          <w:rFonts w:ascii="Arial" w:hAnsi="Arial" w:cs="Arial"/>
          <w:sz w:val="22"/>
          <w:szCs w:val="22"/>
        </w:rPr>
        <w:t>In contrast, the Netherlands offers a secular, liberal approach to EOL care, including legalised euthanasia. Although this framework reflects autonomy and choice, it has sparked debate regarding its cultural applicability, particularly for communities whose spiritual beliefs prohibit assisted dying (</w:t>
      </w:r>
      <w:proofErr w:type="spellStart"/>
      <w:r w:rsidRPr="00452D7A">
        <w:rPr>
          <w:rFonts w:ascii="Arial" w:hAnsi="Arial" w:cs="Arial"/>
          <w:sz w:val="22"/>
          <w:szCs w:val="22"/>
        </w:rPr>
        <w:t>Rietjens</w:t>
      </w:r>
      <w:proofErr w:type="spellEnd"/>
      <w:r w:rsidRPr="00452D7A">
        <w:rPr>
          <w:rFonts w:ascii="Arial" w:hAnsi="Arial" w:cs="Arial"/>
          <w:sz w:val="22"/>
          <w:szCs w:val="22"/>
        </w:rPr>
        <w:t xml:space="preserve"> et al., 20</w:t>
      </w:r>
      <w:r>
        <w:rPr>
          <w:rFonts w:ascii="Arial" w:hAnsi="Arial" w:cs="Arial"/>
          <w:sz w:val="22"/>
          <w:szCs w:val="22"/>
        </w:rPr>
        <w:t>09</w:t>
      </w:r>
      <w:r w:rsidRPr="00452D7A">
        <w:rPr>
          <w:rFonts w:ascii="Arial" w:hAnsi="Arial" w:cs="Arial"/>
          <w:sz w:val="22"/>
          <w:szCs w:val="22"/>
        </w:rPr>
        <w:t>). The Dutch experience highlights how broader societal values can influence policy but may unintentionally marginalise minority groups.</w:t>
      </w:r>
    </w:p>
    <w:p w14:paraId="6AE549C5" w14:textId="77777777" w:rsidR="00FA4762" w:rsidRDefault="00FA4762" w:rsidP="00F44833">
      <w:pPr>
        <w:pStyle w:val="paragraph"/>
        <w:spacing w:before="0" w:beforeAutospacing="0" w:after="0" w:afterAutospacing="0" w:line="360" w:lineRule="auto"/>
        <w:textAlignment w:val="baseline"/>
        <w:rPr>
          <w:rFonts w:ascii="Arial" w:hAnsi="Arial" w:cs="Arial"/>
          <w:sz w:val="22"/>
          <w:szCs w:val="22"/>
        </w:rPr>
      </w:pPr>
    </w:p>
    <w:p w14:paraId="23C2A9CE" w14:textId="26EEB765" w:rsidR="00FA4762" w:rsidRDefault="00452D7A" w:rsidP="00F44833">
      <w:pPr>
        <w:pStyle w:val="paragraph"/>
        <w:spacing w:before="0" w:beforeAutospacing="0" w:after="0" w:afterAutospacing="0" w:line="360" w:lineRule="auto"/>
        <w:textAlignment w:val="baseline"/>
        <w:rPr>
          <w:rFonts w:ascii="Arial" w:hAnsi="Arial" w:cs="Arial"/>
          <w:sz w:val="22"/>
          <w:szCs w:val="22"/>
        </w:rPr>
      </w:pPr>
      <w:r w:rsidRPr="00452D7A">
        <w:rPr>
          <w:rFonts w:ascii="Arial" w:hAnsi="Arial" w:cs="Arial"/>
          <w:sz w:val="22"/>
          <w:szCs w:val="22"/>
        </w:rPr>
        <w:t>A more integrative model is observed in New Zealand, where Māori health perspectives are embedded within mainstream palliative care</w:t>
      </w:r>
      <w:r>
        <w:rPr>
          <w:rFonts w:ascii="Arial" w:hAnsi="Arial" w:cs="Arial"/>
          <w:sz w:val="22"/>
          <w:szCs w:val="22"/>
        </w:rPr>
        <w:t xml:space="preserve"> </w:t>
      </w:r>
      <w:r w:rsidRPr="00452D7A">
        <w:rPr>
          <w:rFonts w:ascii="Arial" w:hAnsi="Arial" w:cs="Arial"/>
          <w:sz w:val="22"/>
          <w:szCs w:val="22"/>
        </w:rPr>
        <w:t>(Ministry of Health, 2024)</w:t>
      </w:r>
      <w:r>
        <w:rPr>
          <w:rFonts w:ascii="Arial" w:hAnsi="Arial" w:cs="Arial"/>
          <w:sz w:val="22"/>
          <w:szCs w:val="22"/>
        </w:rPr>
        <w:t xml:space="preserve">. </w:t>
      </w:r>
      <w:r w:rsidRPr="00452D7A">
        <w:rPr>
          <w:rFonts w:ascii="Arial" w:hAnsi="Arial" w:cs="Arial"/>
          <w:sz w:val="22"/>
          <w:szCs w:val="22"/>
        </w:rPr>
        <w:t>The Whānau Ora approach emphasises collective wellbeing, cultural identity, and spiritual care, reflecting a genuinely bicultural strategy (Ministry of Health, 201</w:t>
      </w:r>
      <w:r w:rsidR="00FB2DD0">
        <w:rPr>
          <w:rFonts w:ascii="Arial" w:hAnsi="Arial" w:cs="Arial"/>
          <w:sz w:val="22"/>
          <w:szCs w:val="22"/>
        </w:rPr>
        <w:t>1</w:t>
      </w:r>
      <w:r w:rsidRPr="00452D7A">
        <w:rPr>
          <w:rFonts w:ascii="Arial" w:hAnsi="Arial" w:cs="Arial"/>
          <w:sz w:val="22"/>
          <w:szCs w:val="22"/>
        </w:rPr>
        <w:t xml:space="preserve">). While praised for its inclusivity, critics note that implementation varies across health districts, revealing inconsistency in practice </w:t>
      </w:r>
      <w:r w:rsidR="00FB2DD0" w:rsidRPr="00FB2DD0">
        <w:rPr>
          <w:rFonts w:ascii="Arial" w:hAnsi="Arial" w:cs="Arial"/>
          <w:sz w:val="22"/>
          <w:szCs w:val="22"/>
        </w:rPr>
        <w:t>(Rhiannon Mihi Jones et al., 2023)</w:t>
      </w:r>
      <w:r w:rsidR="00FB2DD0">
        <w:rPr>
          <w:rFonts w:ascii="Arial" w:hAnsi="Arial" w:cs="Arial"/>
          <w:sz w:val="22"/>
          <w:szCs w:val="22"/>
        </w:rPr>
        <w:t>.</w:t>
      </w:r>
    </w:p>
    <w:p w14:paraId="78B567C4" w14:textId="77777777" w:rsidR="00FB2DD0" w:rsidRDefault="00FB2DD0" w:rsidP="00F44833">
      <w:pPr>
        <w:pStyle w:val="paragraph"/>
        <w:spacing w:before="0" w:beforeAutospacing="0" w:after="0" w:afterAutospacing="0" w:line="360" w:lineRule="auto"/>
        <w:textAlignment w:val="baseline"/>
        <w:rPr>
          <w:rFonts w:ascii="Arial" w:hAnsi="Arial" w:cs="Arial"/>
          <w:sz w:val="22"/>
          <w:szCs w:val="22"/>
        </w:rPr>
      </w:pPr>
    </w:p>
    <w:p w14:paraId="514A3B8F" w14:textId="03281055" w:rsidR="00FB2DD0" w:rsidRDefault="00FB2DD0" w:rsidP="00F44833">
      <w:pPr>
        <w:pStyle w:val="paragraph"/>
        <w:spacing w:before="0" w:beforeAutospacing="0" w:after="0" w:afterAutospacing="0" w:line="360" w:lineRule="auto"/>
        <w:textAlignment w:val="baseline"/>
        <w:rPr>
          <w:rFonts w:ascii="Arial" w:hAnsi="Arial" w:cs="Arial"/>
          <w:sz w:val="22"/>
          <w:szCs w:val="22"/>
        </w:rPr>
      </w:pPr>
      <w:r w:rsidRPr="00FB2DD0">
        <w:rPr>
          <w:rFonts w:ascii="Arial" w:hAnsi="Arial" w:cs="Arial"/>
          <w:sz w:val="22"/>
          <w:szCs w:val="22"/>
        </w:rPr>
        <w:t>Globally, organisations such as the World Health Organi</w:t>
      </w:r>
      <w:r w:rsidR="00815474">
        <w:rPr>
          <w:rFonts w:ascii="Arial" w:hAnsi="Arial" w:cs="Arial"/>
          <w:sz w:val="22"/>
          <w:szCs w:val="22"/>
        </w:rPr>
        <w:t>s</w:t>
      </w:r>
      <w:r w:rsidRPr="00FB2DD0">
        <w:rPr>
          <w:rFonts w:ascii="Arial" w:hAnsi="Arial" w:cs="Arial"/>
          <w:sz w:val="22"/>
          <w:szCs w:val="22"/>
        </w:rPr>
        <w:t>ation (WHO) have promoted culturally appropriate palliative care as a human right. The WHO’s 2014 resolution called on member states to integrate palliative care into national health systems, with explicit attention to cultural dimensions (WHO, 20</w:t>
      </w:r>
      <w:r w:rsidR="00667FC5">
        <w:rPr>
          <w:rFonts w:ascii="Arial" w:hAnsi="Arial" w:cs="Arial"/>
          <w:sz w:val="22"/>
          <w:szCs w:val="22"/>
        </w:rPr>
        <w:t>23</w:t>
      </w:r>
      <w:r w:rsidRPr="00FB2DD0">
        <w:rPr>
          <w:rFonts w:ascii="Arial" w:hAnsi="Arial" w:cs="Arial"/>
          <w:sz w:val="22"/>
          <w:szCs w:val="22"/>
        </w:rPr>
        <w:t>).</w:t>
      </w:r>
    </w:p>
    <w:p w14:paraId="5C478779" w14:textId="77777777" w:rsidR="00667FC5" w:rsidRDefault="00667FC5" w:rsidP="00F44833">
      <w:pPr>
        <w:pStyle w:val="paragraph"/>
        <w:spacing w:before="0" w:beforeAutospacing="0" w:after="0" w:afterAutospacing="0" w:line="360" w:lineRule="auto"/>
        <w:textAlignment w:val="baseline"/>
        <w:rPr>
          <w:rFonts w:ascii="Arial" w:hAnsi="Arial" w:cs="Arial"/>
          <w:sz w:val="22"/>
          <w:szCs w:val="22"/>
        </w:rPr>
      </w:pPr>
    </w:p>
    <w:p w14:paraId="0D0C348F" w14:textId="251BE4DC" w:rsidR="00667FC5" w:rsidRPr="000B7F30" w:rsidRDefault="00667FC5" w:rsidP="00F44833">
      <w:pPr>
        <w:pStyle w:val="paragraph"/>
        <w:spacing w:before="0" w:beforeAutospacing="0" w:after="0" w:afterAutospacing="0" w:line="360" w:lineRule="auto"/>
        <w:textAlignment w:val="baseline"/>
        <w:rPr>
          <w:rFonts w:ascii="Arial" w:hAnsi="Arial" w:cs="Arial"/>
          <w:sz w:val="22"/>
          <w:szCs w:val="22"/>
        </w:rPr>
      </w:pPr>
      <w:r w:rsidRPr="00667FC5">
        <w:rPr>
          <w:rFonts w:ascii="Arial" w:hAnsi="Arial" w:cs="Arial"/>
          <w:sz w:val="22"/>
          <w:szCs w:val="22"/>
        </w:rPr>
        <w:lastRenderedPageBreak/>
        <w:t>In summary, while international models differ based on legal, cultural, and political contexts, common themes emerge: the need for inclusive communication, culturally specific education, and active engagement with minority communities. These global practices provide valuable insight and offer transferable lessons that may guide improvements within the UK system.</w:t>
      </w:r>
    </w:p>
    <w:p w14:paraId="302C6B72"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3322C689" w14:textId="48326EE3" w:rsidR="00BD2909" w:rsidRPr="00DF7375" w:rsidRDefault="00BD2909" w:rsidP="00F44833">
      <w:pPr>
        <w:pStyle w:val="paragraph"/>
        <w:spacing w:before="0" w:beforeAutospacing="0" w:after="0" w:afterAutospacing="0" w:line="360" w:lineRule="auto"/>
        <w:textAlignment w:val="baseline"/>
        <w:rPr>
          <w:rFonts w:ascii="Arial" w:hAnsi="Arial" w:cs="Arial"/>
          <w:b/>
          <w:bCs/>
          <w:sz w:val="28"/>
          <w:szCs w:val="28"/>
          <w:u w:val="single"/>
        </w:rPr>
      </w:pPr>
      <w:r w:rsidRPr="00DF7375">
        <w:rPr>
          <w:rStyle w:val="normaltextrun"/>
          <w:rFonts w:ascii="Arial" w:hAnsi="Arial" w:cs="Arial"/>
          <w:b/>
          <w:bCs/>
          <w:sz w:val="28"/>
          <w:szCs w:val="28"/>
          <w:u w:val="single"/>
        </w:rPr>
        <w:t xml:space="preserve">2.5 National/Local UK Context </w:t>
      </w:r>
    </w:p>
    <w:p w14:paraId="5827529B" w14:textId="27EF4EE8" w:rsidR="00BD2909" w:rsidRPr="002C5AC8" w:rsidRDefault="002C5AC8" w:rsidP="00F44833">
      <w:pPr>
        <w:pStyle w:val="paragraph"/>
        <w:spacing w:before="0" w:beforeAutospacing="0" w:after="0" w:afterAutospacing="0" w:line="360" w:lineRule="auto"/>
        <w:textAlignment w:val="baseline"/>
        <w:rPr>
          <w:rFonts w:ascii="Arial" w:hAnsi="Arial" w:cs="Arial"/>
          <w:sz w:val="16"/>
          <w:szCs w:val="16"/>
        </w:rPr>
      </w:pPr>
      <w:r w:rsidRPr="002C5AC8">
        <w:rPr>
          <w:rStyle w:val="eop"/>
          <w:rFonts w:ascii="Arial" w:eastAsia="Calibri Light" w:hAnsi="Arial" w:cs="Arial"/>
          <w:sz w:val="22"/>
          <w:szCs w:val="22"/>
        </w:rPr>
        <w:t>In the United Kingdom, the delivery of end-of-life (EOL) care is shaped by core values of dignity, respect, and person-centredness. However, concerns have grown over the extent to which these principles are applied equitably to individuals from ethnic minority communities. While the NHS and its partners have introduced inclusive frameworks, evidence consistently shows that cultural competence remains underdeveloped across many services (</w:t>
      </w:r>
      <w:proofErr w:type="spellStart"/>
      <w:r w:rsidRPr="002C5AC8">
        <w:rPr>
          <w:rStyle w:val="eop"/>
          <w:rFonts w:ascii="Arial" w:eastAsia="Calibri Light" w:hAnsi="Arial" w:cs="Arial"/>
          <w:sz w:val="22"/>
          <w:szCs w:val="22"/>
        </w:rPr>
        <w:t>Calanzani</w:t>
      </w:r>
      <w:proofErr w:type="spellEnd"/>
      <w:r w:rsidRPr="002C5AC8">
        <w:rPr>
          <w:rStyle w:val="eop"/>
          <w:rFonts w:ascii="Arial" w:eastAsia="Calibri Light" w:hAnsi="Arial" w:cs="Arial"/>
          <w:sz w:val="22"/>
          <w:szCs w:val="22"/>
        </w:rPr>
        <w:t>, Koffman and Higginson, 2013).</w:t>
      </w:r>
      <w:r w:rsidR="00BD2909" w:rsidRPr="002C5AC8">
        <w:rPr>
          <w:rStyle w:val="eop"/>
          <w:rFonts w:ascii="Arial" w:eastAsia="Calibri Light" w:hAnsi="Arial" w:cs="Arial"/>
          <w:sz w:val="22"/>
          <w:szCs w:val="22"/>
        </w:rPr>
        <w:t> </w:t>
      </w:r>
    </w:p>
    <w:p w14:paraId="43C822F5" w14:textId="77777777" w:rsidR="002C5AC8" w:rsidRDefault="002C5AC8" w:rsidP="002C5AC8">
      <w:pPr>
        <w:pStyle w:val="paragraph"/>
        <w:spacing w:before="0" w:beforeAutospacing="0" w:after="0" w:afterAutospacing="0" w:line="360" w:lineRule="auto"/>
        <w:textAlignment w:val="baseline"/>
        <w:rPr>
          <w:rStyle w:val="eop"/>
          <w:rFonts w:ascii="Aptos" w:eastAsia="Calibri Light" w:hAnsi="Aptos" w:cs="Arial"/>
          <w:sz w:val="22"/>
          <w:szCs w:val="22"/>
        </w:rPr>
      </w:pPr>
    </w:p>
    <w:p w14:paraId="791D66C4" w14:textId="524DD547" w:rsidR="002C5AC8" w:rsidRDefault="002C5AC8" w:rsidP="002C5AC8">
      <w:pPr>
        <w:pStyle w:val="paragraph"/>
        <w:spacing w:before="0" w:beforeAutospacing="0" w:after="0" w:afterAutospacing="0" w:line="360" w:lineRule="auto"/>
        <w:textAlignment w:val="baseline"/>
        <w:rPr>
          <w:rStyle w:val="eop"/>
          <w:rFonts w:ascii="Arial" w:eastAsia="Calibri Light" w:hAnsi="Arial" w:cs="Arial"/>
          <w:sz w:val="22"/>
          <w:szCs w:val="22"/>
        </w:rPr>
      </w:pPr>
      <w:r w:rsidRPr="002C5AC8">
        <w:rPr>
          <w:rStyle w:val="eop"/>
          <w:rFonts w:ascii="Arial" w:eastAsia="Calibri Light" w:hAnsi="Arial" w:cs="Arial"/>
          <w:sz w:val="22"/>
          <w:szCs w:val="22"/>
        </w:rPr>
        <w:t>At a national level, the NHS Long Term Plan (2019) explicitly acknowledges the need to reduce health inequalities, calling for personalised care models that reflect the diverse backgrounds of patients. Similarly, the Core20PLUS5 strategy highlights ethnic minority communities as a priority population experiencing unequal access to quality care, including at end-of-life stages (NHS England, 202</w:t>
      </w:r>
      <w:r w:rsidR="00993255">
        <w:rPr>
          <w:rStyle w:val="eop"/>
          <w:rFonts w:ascii="Arial" w:eastAsia="Calibri Light" w:hAnsi="Arial" w:cs="Arial"/>
          <w:sz w:val="22"/>
          <w:szCs w:val="22"/>
        </w:rPr>
        <w:t>1</w:t>
      </w:r>
      <w:r w:rsidRPr="002C5AC8">
        <w:rPr>
          <w:rStyle w:val="eop"/>
          <w:rFonts w:ascii="Arial" w:eastAsia="Calibri Light" w:hAnsi="Arial" w:cs="Arial"/>
          <w:sz w:val="22"/>
          <w:szCs w:val="22"/>
        </w:rPr>
        <w:t xml:space="preserve">). The National Palliative and End of Life Care Partnership also </w:t>
      </w:r>
      <w:r w:rsidR="008B3432" w:rsidRPr="002C5AC8">
        <w:rPr>
          <w:rStyle w:val="eop"/>
          <w:rFonts w:ascii="Arial" w:eastAsia="Calibri Light" w:hAnsi="Arial" w:cs="Arial"/>
          <w:sz w:val="22"/>
          <w:szCs w:val="22"/>
        </w:rPr>
        <w:t>emphasise</w:t>
      </w:r>
      <w:r w:rsidRPr="002C5AC8">
        <w:rPr>
          <w:rStyle w:val="eop"/>
          <w:rFonts w:ascii="Arial" w:eastAsia="Calibri Light" w:hAnsi="Arial" w:cs="Arial"/>
          <w:sz w:val="22"/>
          <w:szCs w:val="22"/>
        </w:rPr>
        <w:t xml:space="preserve"> the right to culturally appropriate EOL care, advocating for co-designed services with local communities</w:t>
      </w:r>
      <w:r w:rsidR="00B2400D">
        <w:rPr>
          <w:rStyle w:val="eop"/>
          <w:rFonts w:ascii="Arial" w:eastAsia="Calibri Light" w:hAnsi="Arial" w:cs="Arial"/>
          <w:sz w:val="22"/>
          <w:szCs w:val="22"/>
        </w:rPr>
        <w:t xml:space="preserve"> </w:t>
      </w:r>
      <w:r w:rsidR="00B2400D" w:rsidRPr="00B2400D">
        <w:rPr>
          <w:rStyle w:val="eop"/>
          <w:rFonts w:ascii="Arial" w:eastAsia="Calibri Light" w:hAnsi="Arial" w:cs="Arial"/>
          <w:sz w:val="22"/>
          <w:szCs w:val="22"/>
        </w:rPr>
        <w:t>(Borgstrom, Jordan and Henry, 2023)</w:t>
      </w:r>
      <w:r w:rsidR="00B2400D">
        <w:rPr>
          <w:rStyle w:val="eop"/>
          <w:rFonts w:ascii="Arial" w:eastAsia="Calibri Light" w:hAnsi="Arial" w:cs="Arial"/>
          <w:sz w:val="22"/>
          <w:szCs w:val="22"/>
        </w:rPr>
        <w:t>.</w:t>
      </w:r>
    </w:p>
    <w:p w14:paraId="25EABFC6" w14:textId="77777777" w:rsidR="00B2400D" w:rsidRDefault="00B2400D" w:rsidP="002C5AC8">
      <w:pPr>
        <w:pStyle w:val="paragraph"/>
        <w:spacing w:before="0" w:beforeAutospacing="0" w:after="0" w:afterAutospacing="0" w:line="360" w:lineRule="auto"/>
        <w:textAlignment w:val="baseline"/>
        <w:rPr>
          <w:rStyle w:val="eop"/>
          <w:rFonts w:ascii="Arial" w:eastAsia="Calibri Light" w:hAnsi="Arial" w:cs="Arial"/>
          <w:sz w:val="22"/>
          <w:szCs w:val="22"/>
        </w:rPr>
      </w:pPr>
    </w:p>
    <w:p w14:paraId="5D76FF33" w14:textId="396B669B" w:rsidR="00B2400D" w:rsidRDefault="00B2400D" w:rsidP="002C5AC8">
      <w:pPr>
        <w:pStyle w:val="paragraph"/>
        <w:spacing w:before="0" w:beforeAutospacing="0" w:after="0" w:afterAutospacing="0" w:line="360" w:lineRule="auto"/>
        <w:textAlignment w:val="baseline"/>
        <w:rPr>
          <w:rStyle w:val="eop"/>
          <w:rFonts w:ascii="Arial" w:eastAsia="Calibri Light" w:hAnsi="Arial" w:cs="Arial"/>
          <w:sz w:val="22"/>
          <w:szCs w:val="22"/>
        </w:rPr>
      </w:pPr>
      <w:r w:rsidRPr="00B2400D">
        <w:rPr>
          <w:rStyle w:val="eop"/>
          <w:rFonts w:ascii="Arial" w:eastAsia="Calibri Light" w:hAnsi="Arial" w:cs="Arial"/>
          <w:sz w:val="22"/>
          <w:szCs w:val="22"/>
        </w:rPr>
        <w:t>Despite these commitments, implementation has been inconsistent. The Care Quality Commission (CQC</w:t>
      </w:r>
      <w:r>
        <w:rPr>
          <w:rStyle w:val="eop"/>
          <w:rFonts w:ascii="Arial" w:eastAsia="Calibri Light" w:hAnsi="Arial" w:cs="Arial"/>
          <w:sz w:val="22"/>
          <w:szCs w:val="22"/>
        </w:rPr>
        <w:t>,</w:t>
      </w:r>
      <w:r w:rsidRPr="00B2400D">
        <w:rPr>
          <w:rStyle w:val="eop"/>
          <w:rFonts w:ascii="Arial" w:eastAsia="Calibri Light" w:hAnsi="Arial" w:cs="Arial"/>
          <w:sz w:val="22"/>
          <w:szCs w:val="22"/>
        </w:rPr>
        <w:t>202</w:t>
      </w:r>
      <w:r>
        <w:rPr>
          <w:rStyle w:val="eop"/>
          <w:rFonts w:ascii="Arial" w:eastAsia="Calibri Light" w:hAnsi="Arial" w:cs="Arial"/>
          <w:sz w:val="22"/>
          <w:szCs w:val="22"/>
        </w:rPr>
        <w:t>3</w:t>
      </w:r>
      <w:r w:rsidRPr="00B2400D">
        <w:rPr>
          <w:rStyle w:val="eop"/>
          <w:rFonts w:ascii="Arial" w:eastAsia="Calibri Light" w:hAnsi="Arial" w:cs="Arial"/>
          <w:sz w:val="22"/>
          <w:szCs w:val="22"/>
        </w:rPr>
        <w:t>) reports that many palliative care providers still lack diversity in their workforce and fail to offer language support or staff training in cultural awareness. Furthermore, the NICE Quality Standard QS13 on EOL care (NICE, 20</w:t>
      </w:r>
      <w:r>
        <w:rPr>
          <w:rStyle w:val="eop"/>
          <w:rFonts w:ascii="Arial" w:eastAsia="Calibri Light" w:hAnsi="Arial" w:cs="Arial"/>
          <w:sz w:val="22"/>
          <w:szCs w:val="22"/>
        </w:rPr>
        <w:t>2</w:t>
      </w:r>
      <w:r w:rsidRPr="00B2400D">
        <w:rPr>
          <w:rStyle w:val="eop"/>
          <w:rFonts w:ascii="Arial" w:eastAsia="Calibri Light" w:hAnsi="Arial" w:cs="Arial"/>
          <w:sz w:val="22"/>
          <w:szCs w:val="22"/>
        </w:rPr>
        <w:t>1) encourages professionals to consider religious and cultural preferences but stops short of mandating training or service-level reforms.</w:t>
      </w:r>
    </w:p>
    <w:p w14:paraId="754C924B" w14:textId="77777777" w:rsidR="00A56780" w:rsidRDefault="00A56780" w:rsidP="002C5AC8">
      <w:pPr>
        <w:pStyle w:val="paragraph"/>
        <w:spacing w:before="0" w:beforeAutospacing="0" w:after="0" w:afterAutospacing="0" w:line="360" w:lineRule="auto"/>
        <w:textAlignment w:val="baseline"/>
        <w:rPr>
          <w:rStyle w:val="eop"/>
          <w:rFonts w:ascii="Arial" w:eastAsia="Calibri Light" w:hAnsi="Arial" w:cs="Arial"/>
          <w:sz w:val="22"/>
          <w:szCs w:val="22"/>
        </w:rPr>
      </w:pPr>
    </w:p>
    <w:p w14:paraId="1B97F074" w14:textId="4AEE3239" w:rsidR="00A56780" w:rsidRDefault="00A56780" w:rsidP="002C5AC8">
      <w:pPr>
        <w:pStyle w:val="paragraph"/>
        <w:spacing w:before="0" w:beforeAutospacing="0" w:after="0" w:afterAutospacing="0" w:line="360" w:lineRule="auto"/>
        <w:textAlignment w:val="baseline"/>
        <w:rPr>
          <w:rStyle w:val="eop"/>
          <w:rFonts w:ascii="Arial" w:eastAsia="Calibri Light" w:hAnsi="Arial" w:cs="Arial"/>
          <w:sz w:val="22"/>
          <w:szCs w:val="22"/>
        </w:rPr>
      </w:pPr>
      <w:r w:rsidRPr="00A56780">
        <w:rPr>
          <w:rStyle w:val="eop"/>
          <w:rFonts w:ascii="Arial" w:eastAsia="Calibri Light" w:hAnsi="Arial" w:cs="Arial"/>
          <w:sz w:val="22"/>
          <w:szCs w:val="22"/>
        </w:rPr>
        <w:t xml:space="preserve">At the policy level, the Equality Act 2010 </w:t>
      </w:r>
      <w:r>
        <w:rPr>
          <w:rStyle w:val="eop"/>
          <w:rFonts w:ascii="Arial" w:eastAsia="Calibri Light" w:hAnsi="Arial" w:cs="Arial"/>
          <w:sz w:val="22"/>
          <w:szCs w:val="22"/>
        </w:rPr>
        <w:t>provides the legal framework for addressing</w:t>
      </w:r>
      <w:r w:rsidRPr="00A56780">
        <w:rPr>
          <w:rStyle w:val="eop"/>
          <w:rFonts w:ascii="Arial" w:eastAsia="Calibri Light" w:hAnsi="Arial" w:cs="Arial"/>
          <w:sz w:val="22"/>
          <w:szCs w:val="22"/>
        </w:rPr>
        <w:t xml:space="preserve"> discrimination in health and social care</w:t>
      </w:r>
      <w:r w:rsidR="005E7C2A">
        <w:rPr>
          <w:rStyle w:val="eop"/>
          <w:rFonts w:ascii="Arial" w:eastAsia="Calibri Light" w:hAnsi="Arial" w:cs="Arial"/>
          <w:sz w:val="22"/>
          <w:szCs w:val="22"/>
        </w:rPr>
        <w:t xml:space="preserve"> </w:t>
      </w:r>
      <w:r w:rsidR="005E7C2A" w:rsidRPr="005E7C2A">
        <w:rPr>
          <w:rStyle w:val="eop"/>
          <w:rFonts w:ascii="Arial" w:eastAsia="Calibri Light" w:hAnsi="Arial" w:cs="Arial"/>
          <w:sz w:val="22"/>
          <w:szCs w:val="22"/>
        </w:rPr>
        <w:t>(Gov.UK, 2015)</w:t>
      </w:r>
      <w:r w:rsidR="005E7C2A">
        <w:rPr>
          <w:rStyle w:val="eop"/>
          <w:rFonts w:ascii="Arial" w:eastAsia="Calibri Light" w:hAnsi="Arial" w:cs="Arial"/>
          <w:sz w:val="22"/>
          <w:szCs w:val="22"/>
        </w:rPr>
        <w:t>.</w:t>
      </w:r>
      <w:r w:rsidRPr="00A56780">
        <w:rPr>
          <w:rStyle w:val="eop"/>
          <w:rFonts w:ascii="Arial" w:eastAsia="Calibri Light" w:hAnsi="Arial" w:cs="Arial"/>
          <w:sz w:val="22"/>
          <w:szCs w:val="22"/>
        </w:rPr>
        <w:t xml:space="preserve"> It </w:t>
      </w:r>
      <w:r>
        <w:rPr>
          <w:rStyle w:val="eop"/>
          <w:rFonts w:ascii="Arial" w:eastAsia="Calibri Light" w:hAnsi="Arial" w:cs="Arial"/>
          <w:sz w:val="22"/>
          <w:szCs w:val="22"/>
        </w:rPr>
        <w:t>requires public services to consider the needs of individuals from diverse racial, religious, and linguistic backgrounds</w:t>
      </w:r>
      <w:r w:rsidRPr="00A56780">
        <w:rPr>
          <w:rStyle w:val="eop"/>
          <w:rFonts w:ascii="Arial" w:eastAsia="Calibri Light" w:hAnsi="Arial" w:cs="Arial"/>
          <w:sz w:val="22"/>
          <w:szCs w:val="22"/>
        </w:rPr>
        <w:t xml:space="preserve"> under the Public Sector Equality Duty</w:t>
      </w:r>
      <w:r>
        <w:rPr>
          <w:rStyle w:val="eop"/>
          <w:rFonts w:ascii="Arial" w:eastAsia="Calibri Light" w:hAnsi="Arial" w:cs="Arial"/>
          <w:sz w:val="22"/>
          <w:szCs w:val="22"/>
        </w:rPr>
        <w:t xml:space="preserve"> </w:t>
      </w:r>
      <w:r w:rsidRPr="00A56780">
        <w:rPr>
          <w:rStyle w:val="eop"/>
          <w:rFonts w:ascii="Arial" w:eastAsia="Calibri Light" w:hAnsi="Arial" w:cs="Arial"/>
          <w:sz w:val="22"/>
          <w:szCs w:val="22"/>
        </w:rPr>
        <w:t>(Health, 2025). However, while the legal framework is robust, its practical application often depends on organisational priorities and resources (</w:t>
      </w:r>
      <w:proofErr w:type="spellStart"/>
      <w:r w:rsidRPr="00A56780">
        <w:rPr>
          <w:rStyle w:val="eop"/>
          <w:rFonts w:ascii="Arial" w:eastAsia="Calibri Light" w:hAnsi="Arial" w:cs="Arial"/>
          <w:sz w:val="22"/>
          <w:szCs w:val="22"/>
        </w:rPr>
        <w:t>Bécares</w:t>
      </w:r>
      <w:proofErr w:type="spellEnd"/>
      <w:r w:rsidRPr="00A56780">
        <w:rPr>
          <w:rStyle w:val="eop"/>
          <w:rFonts w:ascii="Arial" w:eastAsia="Calibri Light" w:hAnsi="Arial" w:cs="Arial"/>
          <w:sz w:val="22"/>
          <w:szCs w:val="22"/>
        </w:rPr>
        <w:t xml:space="preserve">, 2015). For example, smaller hospice providers may lack the infrastructure to </w:t>
      </w:r>
      <w:r w:rsidRPr="00A56780">
        <w:rPr>
          <w:rStyle w:val="eop"/>
          <w:rFonts w:ascii="Arial" w:eastAsia="Calibri Light" w:hAnsi="Arial" w:cs="Arial"/>
          <w:sz w:val="22"/>
          <w:szCs w:val="22"/>
        </w:rPr>
        <w:lastRenderedPageBreak/>
        <w:t>deliver culturally tailored care, relying instead on generic approaches that do not meet the nuanced needs of diverse populations (Hospice UK, 202</w:t>
      </w:r>
      <w:r w:rsidR="00E00D41">
        <w:rPr>
          <w:rStyle w:val="eop"/>
          <w:rFonts w:ascii="Arial" w:eastAsia="Calibri Light" w:hAnsi="Arial" w:cs="Arial"/>
          <w:sz w:val="22"/>
          <w:szCs w:val="22"/>
        </w:rPr>
        <w:t>4</w:t>
      </w:r>
      <w:r w:rsidRPr="00A56780">
        <w:rPr>
          <w:rStyle w:val="eop"/>
          <w:rFonts w:ascii="Arial" w:eastAsia="Calibri Light" w:hAnsi="Arial" w:cs="Arial"/>
          <w:sz w:val="22"/>
          <w:szCs w:val="22"/>
        </w:rPr>
        <w:t>).</w:t>
      </w:r>
    </w:p>
    <w:p w14:paraId="1E7D2DB6" w14:textId="77777777" w:rsidR="00E00D41" w:rsidRDefault="00E00D41" w:rsidP="002C5AC8">
      <w:pPr>
        <w:pStyle w:val="paragraph"/>
        <w:spacing w:before="0" w:beforeAutospacing="0" w:after="0" w:afterAutospacing="0" w:line="360" w:lineRule="auto"/>
        <w:textAlignment w:val="baseline"/>
        <w:rPr>
          <w:rStyle w:val="eop"/>
          <w:rFonts w:ascii="Arial" w:eastAsia="Calibri Light" w:hAnsi="Arial" w:cs="Arial"/>
          <w:sz w:val="22"/>
          <w:szCs w:val="22"/>
        </w:rPr>
      </w:pPr>
    </w:p>
    <w:p w14:paraId="591CD4FB" w14:textId="4E724218" w:rsidR="00E00D41" w:rsidRDefault="00E00D41" w:rsidP="002C5AC8">
      <w:pPr>
        <w:pStyle w:val="paragraph"/>
        <w:spacing w:before="0" w:beforeAutospacing="0" w:after="0" w:afterAutospacing="0" w:line="360" w:lineRule="auto"/>
        <w:textAlignment w:val="baseline"/>
        <w:rPr>
          <w:rStyle w:val="eop"/>
          <w:rFonts w:ascii="Arial" w:eastAsia="Calibri Light" w:hAnsi="Arial" w:cs="Arial"/>
          <w:sz w:val="22"/>
          <w:szCs w:val="22"/>
        </w:rPr>
      </w:pPr>
      <w:r w:rsidRPr="00E00D41">
        <w:rPr>
          <w:rStyle w:val="eop"/>
          <w:rFonts w:ascii="Arial" w:eastAsia="Calibri Light" w:hAnsi="Arial" w:cs="Arial"/>
          <w:sz w:val="22"/>
          <w:szCs w:val="22"/>
        </w:rPr>
        <w:t xml:space="preserve">Locally, there is growing interest in addressing these gaps. Some Integrated Care Systems (ICSs) have introduced community engagement strategies to better understand cultural barriers to EOL care. For instance, in Greater Manchester, the "Equal Access to Hospice Care" initiative partners with mosques and South Asian community groups to provide culturally appropriate information and support </w:t>
      </w:r>
      <w:r w:rsidRPr="00524E4C">
        <w:rPr>
          <w:rStyle w:val="eop"/>
          <w:rFonts w:ascii="Arial" w:eastAsia="Calibri Light" w:hAnsi="Arial" w:cs="Arial"/>
          <w:sz w:val="22"/>
          <w:szCs w:val="22"/>
        </w:rPr>
        <w:t>(</w:t>
      </w:r>
      <w:proofErr w:type="spellStart"/>
      <w:r w:rsidRPr="00524E4C">
        <w:rPr>
          <w:rStyle w:val="eop"/>
          <w:rFonts w:ascii="Arial" w:eastAsia="Calibri Light" w:hAnsi="Arial" w:cs="Arial"/>
          <w:sz w:val="22"/>
          <w:szCs w:val="22"/>
        </w:rPr>
        <w:t>GMHSCP,nd</w:t>
      </w:r>
      <w:proofErr w:type="spellEnd"/>
      <w:r w:rsidRPr="00524E4C">
        <w:rPr>
          <w:rStyle w:val="eop"/>
          <w:rFonts w:ascii="Arial" w:eastAsia="Calibri Light" w:hAnsi="Arial" w:cs="Arial"/>
          <w:sz w:val="22"/>
          <w:szCs w:val="22"/>
        </w:rPr>
        <w:t>).</w:t>
      </w:r>
      <w:r w:rsidRPr="00E00D41">
        <w:rPr>
          <w:rStyle w:val="eop"/>
          <w:rFonts w:ascii="Arial" w:eastAsia="Calibri Light" w:hAnsi="Arial" w:cs="Arial"/>
          <w:sz w:val="22"/>
          <w:szCs w:val="22"/>
        </w:rPr>
        <w:t xml:space="preserve"> Similarly, </w:t>
      </w:r>
      <w:r w:rsidR="00344CE2" w:rsidRPr="00E00D41">
        <w:rPr>
          <w:rStyle w:val="eop"/>
          <w:rFonts w:ascii="Arial" w:eastAsia="Calibri Light" w:hAnsi="Arial" w:cs="Arial"/>
          <w:sz w:val="22"/>
          <w:szCs w:val="22"/>
        </w:rPr>
        <w:t>South</w:t>
      </w:r>
      <w:r w:rsidR="00344CE2">
        <w:rPr>
          <w:rStyle w:val="eop"/>
          <w:rFonts w:ascii="Arial" w:eastAsia="Calibri Light" w:hAnsi="Arial" w:cs="Arial"/>
          <w:sz w:val="22"/>
          <w:szCs w:val="22"/>
        </w:rPr>
        <w:t>east</w:t>
      </w:r>
      <w:r w:rsidRPr="00E00D41">
        <w:rPr>
          <w:rStyle w:val="eop"/>
          <w:rFonts w:ascii="Arial" w:eastAsia="Calibri Light" w:hAnsi="Arial" w:cs="Arial"/>
          <w:sz w:val="22"/>
          <w:szCs w:val="22"/>
        </w:rPr>
        <w:t xml:space="preserve"> London ICS has piloted training programmes for staff on how to meet the spiritual and cultural needs of Black and African-Caribbean patients</w:t>
      </w:r>
      <w:r w:rsidR="00524E4C">
        <w:rPr>
          <w:rStyle w:val="eop"/>
          <w:rFonts w:ascii="Arial" w:eastAsia="Calibri Light" w:hAnsi="Arial" w:cs="Arial"/>
          <w:sz w:val="22"/>
          <w:szCs w:val="22"/>
        </w:rPr>
        <w:t xml:space="preserve"> </w:t>
      </w:r>
      <w:r w:rsidR="00524E4C" w:rsidRPr="00524E4C">
        <w:rPr>
          <w:rStyle w:val="eop"/>
          <w:rFonts w:ascii="Arial" w:eastAsia="Calibri Light" w:hAnsi="Arial" w:cs="Arial"/>
          <w:sz w:val="22"/>
          <w:szCs w:val="22"/>
        </w:rPr>
        <w:t xml:space="preserve">(SEL ICS, </w:t>
      </w:r>
      <w:proofErr w:type="spellStart"/>
      <w:r w:rsidR="00524E4C" w:rsidRPr="00524E4C">
        <w:rPr>
          <w:rStyle w:val="eop"/>
          <w:rFonts w:ascii="Arial" w:eastAsia="Calibri Light" w:hAnsi="Arial" w:cs="Arial"/>
          <w:sz w:val="22"/>
          <w:szCs w:val="22"/>
        </w:rPr>
        <w:t>nd</w:t>
      </w:r>
      <w:proofErr w:type="spellEnd"/>
      <w:r w:rsidR="00524E4C" w:rsidRPr="00524E4C">
        <w:rPr>
          <w:rStyle w:val="eop"/>
          <w:rFonts w:ascii="Arial" w:eastAsia="Calibri Light" w:hAnsi="Arial" w:cs="Arial"/>
          <w:sz w:val="22"/>
          <w:szCs w:val="22"/>
        </w:rPr>
        <w:t>).</w:t>
      </w:r>
      <w:r w:rsidR="00524E4C" w:rsidRPr="00E00D41">
        <w:rPr>
          <w:rStyle w:val="eop"/>
          <w:rFonts w:ascii="Arial" w:eastAsia="Calibri Light" w:hAnsi="Arial" w:cs="Arial"/>
          <w:sz w:val="22"/>
          <w:szCs w:val="22"/>
        </w:rPr>
        <w:t xml:space="preserve"> </w:t>
      </w:r>
      <w:r w:rsidRPr="00E00D41">
        <w:rPr>
          <w:rStyle w:val="eop"/>
          <w:rFonts w:ascii="Arial" w:eastAsia="Calibri Light" w:hAnsi="Arial" w:cs="Arial"/>
          <w:sz w:val="22"/>
          <w:szCs w:val="22"/>
        </w:rPr>
        <w:t xml:space="preserve"> These examples highlight that while national policy provides direction, local innovation plays a vital role in shaping culturally competent care.</w:t>
      </w:r>
    </w:p>
    <w:p w14:paraId="1F3C68BB" w14:textId="77777777" w:rsidR="00E00D41" w:rsidRDefault="00E00D41" w:rsidP="002C5AC8">
      <w:pPr>
        <w:pStyle w:val="paragraph"/>
        <w:spacing w:before="0" w:beforeAutospacing="0" w:after="0" w:afterAutospacing="0" w:line="360" w:lineRule="auto"/>
        <w:textAlignment w:val="baseline"/>
        <w:rPr>
          <w:rStyle w:val="eop"/>
          <w:rFonts w:ascii="Arial" w:eastAsia="Calibri Light" w:hAnsi="Arial" w:cs="Arial"/>
          <w:sz w:val="22"/>
          <w:szCs w:val="22"/>
        </w:rPr>
      </w:pPr>
    </w:p>
    <w:p w14:paraId="3FBAFAF7" w14:textId="14510D47" w:rsidR="00E00D41" w:rsidRDefault="00E00D41" w:rsidP="002C5AC8">
      <w:pPr>
        <w:pStyle w:val="paragraph"/>
        <w:spacing w:before="0" w:beforeAutospacing="0" w:after="0" w:afterAutospacing="0" w:line="360" w:lineRule="auto"/>
        <w:textAlignment w:val="baseline"/>
        <w:rPr>
          <w:rStyle w:val="eop"/>
          <w:rFonts w:ascii="Arial" w:eastAsia="Calibri Light" w:hAnsi="Arial" w:cs="Arial"/>
          <w:sz w:val="22"/>
          <w:szCs w:val="22"/>
        </w:rPr>
      </w:pPr>
      <w:r w:rsidRPr="00E00D41">
        <w:rPr>
          <w:rStyle w:val="eop"/>
          <w:rFonts w:ascii="Arial" w:eastAsia="Calibri Light" w:hAnsi="Arial" w:cs="Arial"/>
          <w:sz w:val="22"/>
          <w:szCs w:val="22"/>
        </w:rPr>
        <w:t>However, regional disparities remain. In rural areas or those with limited ethnic diversity, services may lack experience or resources to engage meaningfully with cultural needs (Public Health England, 2018). This variation underscores the importance of national oversight and funding mechanisms to ensure consistent practice across settings.</w:t>
      </w:r>
    </w:p>
    <w:p w14:paraId="697CDC93" w14:textId="77777777" w:rsidR="00044CE2" w:rsidRDefault="00044CE2" w:rsidP="002C5AC8">
      <w:pPr>
        <w:pStyle w:val="paragraph"/>
        <w:spacing w:before="0" w:beforeAutospacing="0" w:after="0" w:afterAutospacing="0" w:line="360" w:lineRule="auto"/>
        <w:textAlignment w:val="baseline"/>
        <w:rPr>
          <w:rStyle w:val="eop"/>
          <w:rFonts w:ascii="Arial" w:eastAsia="Calibri Light" w:hAnsi="Arial" w:cs="Arial"/>
          <w:sz w:val="22"/>
          <w:szCs w:val="22"/>
        </w:rPr>
      </w:pPr>
    </w:p>
    <w:p w14:paraId="4B825F57" w14:textId="05136FF4" w:rsidR="00044CE2" w:rsidRPr="002C5AC8" w:rsidRDefault="00044CE2" w:rsidP="002C5AC8">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T</w:t>
      </w:r>
      <w:r w:rsidRPr="00044CE2">
        <w:rPr>
          <w:rStyle w:val="eop"/>
          <w:rFonts w:ascii="Arial" w:eastAsia="Calibri Light" w:hAnsi="Arial" w:cs="Arial"/>
          <w:sz w:val="22"/>
          <w:szCs w:val="22"/>
        </w:rPr>
        <w:t>he UK has made important policy commitments toward delivering culturally competent EOL care. Nevertheless, translating national policy into local practice remains uneven. Continued investment, workforce training, and community collaboration are necessary to address these disparities and ensure that all individuals, regardless of background, receive care that honours their cultural identity.</w:t>
      </w:r>
    </w:p>
    <w:p w14:paraId="2C025237" w14:textId="77777777" w:rsidR="002C5AC8" w:rsidRPr="00F44833" w:rsidRDefault="002C5AC8" w:rsidP="002C5AC8">
      <w:pPr>
        <w:pStyle w:val="paragraph"/>
        <w:spacing w:before="0" w:beforeAutospacing="0" w:after="0" w:afterAutospacing="0" w:line="360" w:lineRule="auto"/>
        <w:textAlignment w:val="baseline"/>
        <w:rPr>
          <w:rFonts w:ascii="Aptos" w:hAnsi="Aptos" w:cs="Segoe UI"/>
          <w:sz w:val="16"/>
          <w:szCs w:val="16"/>
        </w:rPr>
      </w:pPr>
    </w:p>
    <w:p w14:paraId="508BC363" w14:textId="3E030EE0" w:rsidR="00BD2909" w:rsidRPr="00DF7375" w:rsidRDefault="00BD2909" w:rsidP="00F44833">
      <w:pPr>
        <w:pStyle w:val="paragraph"/>
        <w:spacing w:before="0" w:beforeAutospacing="0" w:after="0" w:afterAutospacing="0" w:line="360" w:lineRule="auto"/>
        <w:textAlignment w:val="baseline"/>
        <w:rPr>
          <w:rFonts w:ascii="Arial" w:hAnsi="Arial" w:cs="Arial"/>
          <w:b/>
          <w:bCs/>
          <w:sz w:val="28"/>
          <w:szCs w:val="28"/>
          <w:u w:val="single"/>
        </w:rPr>
      </w:pPr>
      <w:r w:rsidRPr="00DF7375">
        <w:rPr>
          <w:rStyle w:val="normaltextrun"/>
          <w:rFonts w:ascii="Arial" w:hAnsi="Arial" w:cs="Arial"/>
          <w:b/>
          <w:bCs/>
          <w:sz w:val="28"/>
          <w:szCs w:val="28"/>
          <w:u w:val="single"/>
        </w:rPr>
        <w:t xml:space="preserve">2.6 Conclusion </w:t>
      </w:r>
    </w:p>
    <w:p w14:paraId="742DD703" w14:textId="052AA66D" w:rsidR="002C512A" w:rsidRPr="002C512A" w:rsidRDefault="002C512A" w:rsidP="002C512A">
      <w:pPr>
        <w:pStyle w:val="paragraph"/>
        <w:spacing w:after="0" w:afterAutospacing="0" w:line="360" w:lineRule="auto"/>
        <w:textAlignment w:val="baseline"/>
        <w:rPr>
          <w:rStyle w:val="eop"/>
          <w:rFonts w:ascii="Arial" w:eastAsia="Calibri Light" w:hAnsi="Arial" w:cs="Arial"/>
          <w:sz w:val="22"/>
          <w:szCs w:val="22"/>
        </w:rPr>
      </w:pPr>
      <w:r w:rsidRPr="002C512A">
        <w:rPr>
          <w:rStyle w:val="eop"/>
          <w:rFonts w:ascii="Arial" w:eastAsia="Calibri Light" w:hAnsi="Arial" w:cs="Arial"/>
          <w:sz w:val="22"/>
          <w:szCs w:val="22"/>
        </w:rPr>
        <w:t>This chapter has provided a critical overview of the contextual foundations necessary to understand the barriers to culturally competent end-of-life (EOL) care for ethnic minority communities in the UK. The key areas explored include:</w:t>
      </w:r>
    </w:p>
    <w:p w14:paraId="6607ED87" w14:textId="77777777" w:rsidR="002C512A" w:rsidRPr="002C512A" w:rsidRDefault="002C512A" w:rsidP="002C512A">
      <w:pPr>
        <w:pStyle w:val="paragraph"/>
        <w:numPr>
          <w:ilvl w:val="0"/>
          <w:numId w:val="110"/>
        </w:numPr>
        <w:spacing w:after="0" w:afterAutospacing="0" w:line="360" w:lineRule="auto"/>
        <w:textAlignment w:val="baseline"/>
        <w:rPr>
          <w:rStyle w:val="eop"/>
          <w:rFonts w:ascii="Arial" w:eastAsia="Calibri Light" w:hAnsi="Arial" w:cs="Arial"/>
          <w:sz w:val="22"/>
          <w:szCs w:val="22"/>
        </w:rPr>
      </w:pPr>
      <w:r w:rsidRPr="00D82E3D">
        <w:rPr>
          <w:rStyle w:val="eop"/>
          <w:rFonts w:ascii="Arial" w:eastAsia="Calibri Light" w:hAnsi="Arial" w:cs="Arial"/>
          <w:b/>
          <w:bCs/>
          <w:sz w:val="22"/>
          <w:szCs w:val="22"/>
        </w:rPr>
        <w:t>Historical Context:</w:t>
      </w:r>
      <w:r w:rsidRPr="002C512A">
        <w:rPr>
          <w:rStyle w:val="eop"/>
          <w:rFonts w:ascii="Arial" w:eastAsia="Calibri Light" w:hAnsi="Arial" w:cs="Arial"/>
          <w:sz w:val="22"/>
          <w:szCs w:val="22"/>
        </w:rPr>
        <w:t xml:space="preserve"> Highlighted how EOL care evolved from medicalised models to person-centred approaches, influenced by key figures such as Dame Cicely Saunders.</w:t>
      </w:r>
    </w:p>
    <w:p w14:paraId="29DB5793" w14:textId="77777777" w:rsidR="002C512A" w:rsidRPr="002C512A" w:rsidRDefault="002C512A" w:rsidP="002C512A">
      <w:pPr>
        <w:pStyle w:val="paragraph"/>
        <w:numPr>
          <w:ilvl w:val="0"/>
          <w:numId w:val="110"/>
        </w:numPr>
        <w:spacing w:after="0" w:afterAutospacing="0" w:line="360" w:lineRule="auto"/>
        <w:textAlignment w:val="baseline"/>
        <w:rPr>
          <w:rStyle w:val="eop"/>
          <w:rFonts w:ascii="Arial" w:eastAsia="Calibri Light" w:hAnsi="Arial" w:cs="Arial"/>
          <w:sz w:val="22"/>
          <w:szCs w:val="22"/>
        </w:rPr>
      </w:pPr>
      <w:r w:rsidRPr="00D82E3D">
        <w:rPr>
          <w:rStyle w:val="eop"/>
          <w:rFonts w:ascii="Arial" w:eastAsia="Calibri Light" w:hAnsi="Arial" w:cs="Arial"/>
          <w:b/>
          <w:bCs/>
          <w:sz w:val="22"/>
          <w:szCs w:val="22"/>
        </w:rPr>
        <w:t>Theoretical Background:</w:t>
      </w:r>
      <w:r w:rsidRPr="002C512A">
        <w:rPr>
          <w:rStyle w:val="eop"/>
          <w:rFonts w:ascii="Arial" w:eastAsia="Calibri Light" w:hAnsi="Arial" w:cs="Arial"/>
          <w:sz w:val="22"/>
          <w:szCs w:val="22"/>
        </w:rPr>
        <w:t xml:space="preserve"> Discussed core models by Leininger, Campinha-Bacote, and Papadopoulos, evaluating their relevance and limitations in current practice.</w:t>
      </w:r>
    </w:p>
    <w:p w14:paraId="62128228" w14:textId="77777777" w:rsidR="002C512A" w:rsidRDefault="002C512A" w:rsidP="002C512A">
      <w:pPr>
        <w:pStyle w:val="paragraph"/>
        <w:numPr>
          <w:ilvl w:val="0"/>
          <w:numId w:val="110"/>
        </w:numPr>
        <w:spacing w:after="0" w:afterAutospacing="0" w:line="360" w:lineRule="auto"/>
        <w:textAlignment w:val="baseline"/>
        <w:rPr>
          <w:rStyle w:val="eop"/>
          <w:rFonts w:ascii="Arial" w:eastAsia="Calibri Light" w:hAnsi="Arial" w:cs="Arial"/>
          <w:sz w:val="22"/>
          <w:szCs w:val="22"/>
        </w:rPr>
      </w:pPr>
      <w:r w:rsidRPr="00D82E3D">
        <w:rPr>
          <w:rStyle w:val="eop"/>
          <w:rFonts w:ascii="Arial" w:eastAsia="Calibri Light" w:hAnsi="Arial" w:cs="Arial"/>
          <w:b/>
          <w:bCs/>
          <w:sz w:val="22"/>
          <w:szCs w:val="22"/>
        </w:rPr>
        <w:lastRenderedPageBreak/>
        <w:t>International Context:</w:t>
      </w:r>
      <w:r w:rsidRPr="002C512A">
        <w:rPr>
          <w:rStyle w:val="eop"/>
          <w:rFonts w:ascii="Arial" w:eastAsia="Calibri Light" w:hAnsi="Arial" w:cs="Arial"/>
          <w:sz w:val="22"/>
          <w:szCs w:val="22"/>
        </w:rPr>
        <w:t xml:space="preserve"> Compared global practices from countries like Canada, Australia, and New Zealand, identifying both transferable strategies and cultural challenges.</w:t>
      </w:r>
    </w:p>
    <w:p w14:paraId="7F6529C9" w14:textId="78BF6855" w:rsidR="002C512A" w:rsidRPr="002C512A" w:rsidRDefault="002C512A" w:rsidP="002C512A">
      <w:pPr>
        <w:pStyle w:val="paragraph"/>
        <w:numPr>
          <w:ilvl w:val="0"/>
          <w:numId w:val="110"/>
        </w:numPr>
        <w:spacing w:after="0" w:afterAutospacing="0" w:line="360" w:lineRule="auto"/>
        <w:textAlignment w:val="baseline"/>
        <w:rPr>
          <w:rStyle w:val="eop"/>
          <w:rFonts w:ascii="Arial" w:eastAsia="Calibri Light" w:hAnsi="Arial" w:cs="Arial"/>
          <w:sz w:val="22"/>
          <w:szCs w:val="22"/>
        </w:rPr>
      </w:pPr>
      <w:r w:rsidRPr="00D82E3D">
        <w:rPr>
          <w:rStyle w:val="eop"/>
          <w:rFonts w:ascii="Arial" w:eastAsia="Calibri Light" w:hAnsi="Arial" w:cs="Arial"/>
          <w:b/>
          <w:bCs/>
          <w:sz w:val="22"/>
          <w:szCs w:val="22"/>
        </w:rPr>
        <w:t>UK Policy and Practice:</w:t>
      </w:r>
      <w:r w:rsidRPr="002C512A">
        <w:rPr>
          <w:rStyle w:val="eop"/>
          <w:rFonts w:ascii="Arial" w:eastAsia="Calibri Light" w:hAnsi="Arial" w:cs="Arial"/>
          <w:sz w:val="22"/>
          <w:szCs w:val="22"/>
        </w:rPr>
        <w:t xml:space="preserve"> Reviewed national policies such as the NHS Long Term Plan and Core20PLUS5, alongside local initiatives, to reveal both progress and ongoing disparities in service delivery.</w:t>
      </w:r>
    </w:p>
    <w:p w14:paraId="2B3185DE" w14:textId="77777777" w:rsidR="002C512A" w:rsidRDefault="002C512A" w:rsidP="00D82E3D">
      <w:pPr>
        <w:pStyle w:val="paragraph"/>
        <w:spacing w:after="0" w:afterAutospacing="0" w:line="360" w:lineRule="auto"/>
        <w:textAlignment w:val="baseline"/>
        <w:rPr>
          <w:rStyle w:val="eop"/>
          <w:rFonts w:ascii="Arial" w:eastAsia="Calibri Light" w:hAnsi="Arial" w:cs="Arial"/>
          <w:sz w:val="22"/>
          <w:szCs w:val="22"/>
        </w:rPr>
      </w:pPr>
      <w:r w:rsidRPr="002C512A">
        <w:rPr>
          <w:rStyle w:val="eop"/>
          <w:rFonts w:ascii="Arial" w:eastAsia="Calibri Light" w:hAnsi="Arial" w:cs="Arial"/>
          <w:sz w:val="22"/>
          <w:szCs w:val="22"/>
        </w:rPr>
        <w:t>These sections collectively demonstrate that while the foundation for culturally competent care exists, real-world implementation remains uneven and complex.</w:t>
      </w:r>
    </w:p>
    <w:p w14:paraId="1DB8B49B" w14:textId="77777777" w:rsidR="005B2175" w:rsidRDefault="005B2175" w:rsidP="00D82E3D">
      <w:pPr>
        <w:pStyle w:val="paragraph"/>
        <w:spacing w:before="0" w:beforeAutospacing="0" w:after="0" w:afterAutospacing="0" w:line="360" w:lineRule="auto"/>
        <w:textAlignment w:val="baseline"/>
        <w:rPr>
          <w:rStyle w:val="eop"/>
          <w:rFonts w:ascii="Arial" w:eastAsia="Calibri Light" w:hAnsi="Arial" w:cs="Arial"/>
          <w:sz w:val="22"/>
          <w:szCs w:val="22"/>
        </w:rPr>
      </w:pPr>
    </w:p>
    <w:p w14:paraId="1CD397E1" w14:textId="3FAAFD00" w:rsidR="00BD2909" w:rsidRPr="002C512A" w:rsidRDefault="002C512A" w:rsidP="00D82E3D">
      <w:pPr>
        <w:pStyle w:val="paragraph"/>
        <w:spacing w:before="0" w:beforeAutospacing="0" w:after="0" w:afterAutospacing="0" w:line="360" w:lineRule="auto"/>
        <w:textAlignment w:val="baseline"/>
        <w:rPr>
          <w:rFonts w:ascii="Arial" w:hAnsi="Arial" w:cs="Arial"/>
          <w:sz w:val="16"/>
          <w:szCs w:val="16"/>
        </w:rPr>
      </w:pPr>
      <w:r w:rsidRPr="002C512A">
        <w:rPr>
          <w:rStyle w:val="eop"/>
          <w:rFonts w:ascii="Arial" w:eastAsia="Calibri Light" w:hAnsi="Arial" w:cs="Arial"/>
          <w:sz w:val="22"/>
          <w:szCs w:val="22"/>
        </w:rPr>
        <w:t>Looking ahead, the next chapter will present the methodological approach used in this study. The insights from this background will shape the selection of sources, the development of inclusion criteria, and the thematic analysis of relevant literature. This will ensure that the research is both grounded in existing knowledge and capable of addressing key gaps in culturally competent EOL care delivery.</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6AEB1E15" w:rsidR="00292A36" w:rsidRPr="00524E4C" w:rsidRDefault="00292A36" w:rsidP="0021364B">
      <w:pPr>
        <w:pStyle w:val="Heading1"/>
        <w:ind w:left="0"/>
        <w:rPr>
          <w:rFonts w:cs="Arial"/>
          <w:u w:val="single"/>
        </w:rPr>
      </w:pPr>
      <w:r w:rsidRPr="00524E4C">
        <w:rPr>
          <w:rFonts w:cs="Arial"/>
          <w:u w:val="single"/>
        </w:rPr>
        <w:lastRenderedPageBreak/>
        <w:t>C</w:t>
      </w:r>
      <w:r w:rsidR="00524E4C" w:rsidRPr="00524E4C">
        <w:rPr>
          <w:rFonts w:cs="Arial"/>
          <w:u w:val="single"/>
        </w:rPr>
        <w:t>hapter</w:t>
      </w:r>
      <w:r w:rsidRPr="00524E4C">
        <w:rPr>
          <w:rFonts w:cs="Arial"/>
          <w:u w:val="single"/>
        </w:rPr>
        <w:t xml:space="preserve"> 3 – </w:t>
      </w:r>
      <w:r w:rsidR="00E325CF" w:rsidRPr="00524E4C">
        <w:rPr>
          <w:rFonts w:cs="Arial"/>
          <w:u w:val="single"/>
        </w:rPr>
        <w:t>Methods and Search Strategy</w:t>
      </w:r>
    </w:p>
    <w:p w14:paraId="5A7AB555" w14:textId="1457057D" w:rsidR="003A66FD" w:rsidRDefault="003A66FD" w:rsidP="00E40B0D">
      <w:pPr>
        <w:pStyle w:val="Heading2"/>
        <w:rPr>
          <w:rFonts w:ascii="Arial" w:hAnsi="Arial" w:cs="Arial"/>
          <w:u w:val="single"/>
        </w:rPr>
      </w:pPr>
    </w:p>
    <w:p w14:paraId="27865DB4" w14:textId="374DDD3A" w:rsidR="00A424B1" w:rsidRPr="00DF7375" w:rsidRDefault="00A424B1" w:rsidP="00A424B1">
      <w:pPr>
        <w:rPr>
          <w:rFonts w:ascii="Arial" w:hAnsi="Arial" w:cs="Arial"/>
          <w:b/>
          <w:bCs/>
          <w:sz w:val="28"/>
          <w:szCs w:val="28"/>
          <w:u w:val="single"/>
        </w:rPr>
      </w:pPr>
      <w:r w:rsidRPr="00DF7375">
        <w:rPr>
          <w:rFonts w:ascii="Arial" w:hAnsi="Arial" w:cs="Arial"/>
          <w:b/>
          <w:bCs/>
          <w:sz w:val="28"/>
          <w:szCs w:val="28"/>
          <w:u w:val="single"/>
        </w:rPr>
        <w:t>3.1</w:t>
      </w:r>
      <w:r w:rsidR="00187BD5" w:rsidRPr="00DF7375">
        <w:rPr>
          <w:rFonts w:ascii="Arial" w:hAnsi="Arial" w:cs="Arial"/>
          <w:b/>
          <w:bCs/>
          <w:sz w:val="28"/>
          <w:szCs w:val="28"/>
          <w:u w:val="single"/>
        </w:rPr>
        <w:t xml:space="preserve"> Introduction</w:t>
      </w:r>
    </w:p>
    <w:p w14:paraId="3AF24661" w14:textId="17690EEF" w:rsidR="00527BBE" w:rsidRPr="00527BBE" w:rsidRDefault="0098397C" w:rsidP="00527BBE">
      <w:pPr>
        <w:pStyle w:val="NormalWeb"/>
        <w:spacing w:line="360" w:lineRule="auto"/>
        <w:rPr>
          <w:rStyle w:val="Strong"/>
          <w:rFonts w:ascii="Arial" w:eastAsia="Calibri Light" w:hAnsi="Arial" w:cs="Arial"/>
          <w:b w:val="0"/>
          <w:bCs w:val="0"/>
          <w:sz w:val="22"/>
          <w:szCs w:val="22"/>
        </w:rPr>
      </w:pPr>
      <w:r w:rsidRPr="0098397C">
        <w:rPr>
          <w:rStyle w:val="Strong"/>
          <w:rFonts w:ascii="Arial" w:eastAsia="Calibri Light" w:hAnsi="Arial" w:cs="Arial"/>
          <w:b w:val="0"/>
          <w:bCs w:val="0"/>
          <w:sz w:val="22"/>
          <w:szCs w:val="22"/>
        </w:rPr>
        <w:t>This chapter describes the methodological approach adopted to investigate barriers to culturally competent end-of-life (EOL) care for ethnic minority communities in the UK. Given the study’s aim to synthesise existing knowledge rather than collect primary data, a desk-based, literature-review methodology was selected. The chapter explains the structured search strategy, inclusion/exclusion criteria, validation procedures and thematic analysis used to generate the findings reported in Chapter 4. Employing a transparent, systematic approach enhances the credibility and reproducibility of desk-based research (Braun and Clarke, 2006; Nowell et al., 2017). The academic methodology poster produced earlier summarised these methods visually; this chapter expands on each stage and signposts the appendices (Appendix A: Source Tracking Table; Appendix B: CRAAP and coding summaries) that document the search log and coding process.</w:t>
      </w:r>
    </w:p>
    <w:p w14:paraId="4E076450" w14:textId="7B82D259" w:rsidR="00E300C8" w:rsidRPr="00DF7375" w:rsidRDefault="00187BD5" w:rsidP="00E300C8">
      <w:pPr>
        <w:pStyle w:val="NormalWeb"/>
        <w:spacing w:line="360" w:lineRule="auto"/>
        <w:rPr>
          <w:rFonts w:ascii="Arial" w:hAnsi="Arial" w:cs="Arial"/>
          <w:b/>
          <w:bCs/>
          <w:sz w:val="28"/>
          <w:szCs w:val="28"/>
          <w:u w:val="single"/>
        </w:rPr>
      </w:pPr>
      <w:r w:rsidRPr="00DF7375">
        <w:rPr>
          <w:rFonts w:ascii="Arial" w:hAnsi="Arial" w:cs="Arial"/>
          <w:b/>
          <w:bCs/>
          <w:sz w:val="28"/>
          <w:szCs w:val="28"/>
          <w:u w:val="single"/>
        </w:rPr>
        <w:t>3.2 – Search Strategy</w:t>
      </w:r>
    </w:p>
    <w:p w14:paraId="0CBF4D65" w14:textId="77777777" w:rsidR="007512BE" w:rsidRPr="003E56D8" w:rsidRDefault="007512BE" w:rsidP="007512BE">
      <w:pPr>
        <w:rPr>
          <w:rFonts w:ascii="Arial" w:hAnsi="Arial" w:cs="Arial"/>
        </w:rPr>
      </w:pPr>
      <w:r w:rsidRPr="003E56D8">
        <w:rPr>
          <w:rFonts w:ascii="Arial" w:hAnsi="Arial" w:cs="Arial"/>
        </w:rPr>
        <w:t>The search strategy was developed to ensure a systematic, transparent, and replicable process for identifying relevant literature on culturally competent end-of-life (EOL) care among ethnic minority communities in the UK. Keywords were derived directly from the research title and refined through preliminary scoping. Primary terms included “end-of-life care,” “cultural competence,” “ethnic minority communities,” and “health inequalities.” To ensure comprehensive coverage, professional and theoretical synonyms such as “palliative care,” “transcultural nursing,” “cross-cultural communication,” and “diversity in hospice care” were also incorporated (Hart, 2018).</w:t>
      </w:r>
    </w:p>
    <w:p w14:paraId="460F0128" w14:textId="77777777" w:rsidR="007512BE" w:rsidRPr="003E56D8" w:rsidRDefault="007512BE" w:rsidP="007512BE">
      <w:pPr>
        <w:rPr>
          <w:rFonts w:ascii="Arial" w:hAnsi="Arial" w:cs="Arial"/>
        </w:rPr>
      </w:pPr>
      <w:r w:rsidRPr="003E56D8">
        <w:rPr>
          <w:rFonts w:ascii="Arial" w:hAnsi="Arial" w:cs="Arial"/>
        </w:rPr>
        <w:t>Boolean operators were applied to refine the search results and enhance precision. The use of AND connected major concepts (e.g., “cultural competence AND end-of-life care AND UK”), while OR broadened the search to include related terms (e.g., “minority OR ethnic groups”). The operator NOT was used selectively to exclude irrelevant studies, such as those focusing on paediatric or acute hospital care (Booth, Sutton and Papaioannou, 2016).</w:t>
      </w:r>
    </w:p>
    <w:p w14:paraId="11998E69" w14:textId="77777777" w:rsidR="007512BE" w:rsidRPr="003E56D8" w:rsidRDefault="007512BE" w:rsidP="007512BE">
      <w:pPr>
        <w:rPr>
          <w:rFonts w:ascii="Arial" w:hAnsi="Arial" w:cs="Arial"/>
        </w:rPr>
      </w:pPr>
      <w:r w:rsidRPr="003E56D8">
        <w:rPr>
          <w:rFonts w:ascii="Arial" w:hAnsi="Arial" w:cs="Arial"/>
        </w:rPr>
        <w:t>A structured search plan was maintained throughout the research process. Each search term, database, and inclusion decision was recorded in a research log, providing an audit trail to support transparency and replicability. This structured and methodical approach ensured consistency across databases and minimised selection bias (Aveyard, 2018).</w:t>
      </w:r>
    </w:p>
    <w:p w14:paraId="4AF912CF" w14:textId="77777777" w:rsidR="007512BE" w:rsidRPr="003E56D8" w:rsidRDefault="007512BE" w:rsidP="007512BE">
      <w:pPr>
        <w:rPr>
          <w:rFonts w:ascii="Arial" w:hAnsi="Arial" w:cs="Arial"/>
        </w:rPr>
      </w:pPr>
    </w:p>
    <w:p w14:paraId="04E79797" w14:textId="50535FAC" w:rsidR="00324093" w:rsidRPr="003E56D8" w:rsidRDefault="007512BE" w:rsidP="007512BE">
      <w:pPr>
        <w:rPr>
          <w:rFonts w:ascii="Arial" w:hAnsi="Arial" w:cs="Arial"/>
        </w:rPr>
      </w:pPr>
      <w:r w:rsidRPr="003E56D8">
        <w:rPr>
          <w:rFonts w:ascii="Arial" w:hAnsi="Arial" w:cs="Arial"/>
        </w:rPr>
        <w:t>Overall, the search strategy laid the foundation for a rigorous literature review, enabling the identification of high-quality, peer-reviewed evidence aligned with the dissertation’s research objectives.</w:t>
      </w:r>
    </w:p>
    <w:p w14:paraId="507B2733" w14:textId="77777777" w:rsidR="00A5566F" w:rsidRDefault="00A5566F" w:rsidP="00B575E2">
      <w:pPr>
        <w:rPr>
          <w:rFonts w:ascii="Arial" w:hAnsi="Arial" w:cs="Arial"/>
          <w:b/>
          <w:bCs/>
          <w:u w:val="single"/>
        </w:rPr>
      </w:pPr>
    </w:p>
    <w:p w14:paraId="31F70A37" w14:textId="24579EFD" w:rsidR="00324093" w:rsidRPr="00C900A9" w:rsidRDefault="007537C4" w:rsidP="00B575E2">
      <w:pPr>
        <w:rPr>
          <w:rFonts w:ascii="Arial" w:hAnsi="Arial" w:cs="Arial"/>
          <w:b/>
          <w:bCs/>
          <w:sz w:val="28"/>
          <w:szCs w:val="28"/>
          <w:u w:val="single"/>
        </w:rPr>
      </w:pPr>
      <w:r w:rsidRPr="00C900A9">
        <w:rPr>
          <w:rFonts w:ascii="Arial" w:hAnsi="Arial" w:cs="Arial"/>
          <w:b/>
          <w:bCs/>
          <w:sz w:val="28"/>
          <w:szCs w:val="28"/>
          <w:u w:val="single"/>
        </w:rPr>
        <w:t>3.3 – Searching for information</w:t>
      </w:r>
    </w:p>
    <w:p w14:paraId="087B60F2" w14:textId="5B8ED2DA" w:rsidR="00AA699E" w:rsidRPr="00AA699E" w:rsidRDefault="00AA699E" w:rsidP="00AA699E">
      <w:pPr>
        <w:pStyle w:val="Heading2"/>
        <w:jc w:val="left"/>
        <w:rPr>
          <w:rFonts w:ascii="Arial" w:hAnsi="Arial" w:cs="Arial"/>
          <w:color w:val="auto"/>
        </w:rPr>
      </w:pPr>
      <w:r w:rsidRPr="00AA699E">
        <w:rPr>
          <w:rFonts w:ascii="Arial" w:hAnsi="Arial" w:cs="Arial"/>
          <w:color w:val="auto"/>
        </w:rPr>
        <w:t>A structured and systematic search strategy was implemented to ensure that the selected sources were credible, relevant, and aligned with the research aim. Databases including PubMed, CINAHL, PsycINFO, MEDLINE, Google Scholar, and the UWTSD Library Catalogue were used, as they provide access to high-quality peer-reviewed research in health and social care (Aveyard, 2018). To complement academic evidence, grey literature such as reports from NHS England, Hospice UK, and Marie Curie was included to capture policy and practice perspectives not always represented in academic journals (Ridley, 2012).</w:t>
      </w:r>
      <w:r w:rsidR="007E40A6">
        <w:rPr>
          <w:rFonts w:ascii="Arial" w:hAnsi="Arial" w:cs="Arial"/>
          <w:color w:val="auto"/>
        </w:rPr>
        <w:t>2</w:t>
      </w:r>
    </w:p>
    <w:p w14:paraId="0042DD3D" w14:textId="77777777" w:rsidR="00AA699E" w:rsidRPr="00AA699E" w:rsidRDefault="00AA699E" w:rsidP="00AA699E">
      <w:pPr>
        <w:pStyle w:val="Heading2"/>
        <w:jc w:val="left"/>
        <w:rPr>
          <w:rFonts w:ascii="Arial" w:hAnsi="Arial" w:cs="Arial"/>
          <w:color w:val="auto"/>
        </w:rPr>
      </w:pPr>
    </w:p>
    <w:p w14:paraId="202E2A6B" w14:textId="4A79C0CC" w:rsidR="00AA699E" w:rsidRPr="00AA699E" w:rsidRDefault="00AA699E" w:rsidP="00AA699E">
      <w:pPr>
        <w:pStyle w:val="Heading2"/>
        <w:jc w:val="left"/>
        <w:rPr>
          <w:rFonts w:ascii="Arial" w:hAnsi="Arial" w:cs="Arial"/>
          <w:color w:val="auto"/>
        </w:rPr>
      </w:pPr>
      <w:r w:rsidRPr="00AA699E">
        <w:rPr>
          <w:rFonts w:ascii="Arial" w:hAnsi="Arial" w:cs="Arial"/>
          <w:color w:val="auto"/>
        </w:rPr>
        <w:t>Filters were applied to refine searches to studies published between 20</w:t>
      </w:r>
      <w:r w:rsidR="006D61F9">
        <w:rPr>
          <w:rFonts w:ascii="Arial" w:hAnsi="Arial" w:cs="Arial"/>
          <w:color w:val="auto"/>
        </w:rPr>
        <w:t>05</w:t>
      </w:r>
      <w:r w:rsidRPr="00AA699E">
        <w:rPr>
          <w:rFonts w:ascii="Arial" w:hAnsi="Arial" w:cs="Arial"/>
          <w:color w:val="auto"/>
        </w:rPr>
        <w:t xml:space="preserve"> and 202</w:t>
      </w:r>
      <w:r w:rsidR="006D61F9">
        <w:rPr>
          <w:rFonts w:ascii="Arial" w:hAnsi="Arial" w:cs="Arial"/>
          <w:color w:val="auto"/>
        </w:rPr>
        <w:t xml:space="preserve">5 </w:t>
      </w:r>
      <w:r w:rsidR="00814921">
        <w:rPr>
          <w:rFonts w:ascii="Arial" w:hAnsi="Arial" w:cs="Arial"/>
          <w:color w:val="auto"/>
        </w:rPr>
        <w:t xml:space="preserve">(past 20 years) </w:t>
      </w:r>
      <w:r w:rsidRPr="00AA699E">
        <w:rPr>
          <w:rFonts w:ascii="Arial" w:hAnsi="Arial" w:cs="Arial"/>
          <w:color w:val="auto"/>
        </w:rPr>
        <w:t>in English, with priority given to UK-based research while including relevant international comparisons. Boolean operators and controlled vocabulary terms were used to connect related keywords, such as “end-of-life care OR palliative care” AND “cultural competence AND ethnic minority communities” (Hart, 2018).</w:t>
      </w:r>
    </w:p>
    <w:p w14:paraId="261DFE03" w14:textId="77777777" w:rsidR="00AA699E" w:rsidRPr="00AA699E" w:rsidRDefault="00AA699E" w:rsidP="00AA699E">
      <w:pPr>
        <w:pStyle w:val="Heading2"/>
        <w:jc w:val="left"/>
        <w:rPr>
          <w:rFonts w:ascii="Arial" w:hAnsi="Arial" w:cs="Arial"/>
          <w:color w:val="auto"/>
        </w:rPr>
      </w:pPr>
    </w:p>
    <w:p w14:paraId="34462843" w14:textId="67A68CF8" w:rsidR="00AA699E" w:rsidRDefault="00AA699E" w:rsidP="00AA699E">
      <w:pPr>
        <w:pStyle w:val="Heading2"/>
        <w:jc w:val="left"/>
        <w:rPr>
          <w:rFonts w:ascii="Arial" w:hAnsi="Arial" w:cs="Arial"/>
          <w:color w:val="auto"/>
        </w:rPr>
      </w:pPr>
      <w:r w:rsidRPr="00AA699E">
        <w:rPr>
          <w:rFonts w:ascii="Arial" w:hAnsi="Arial" w:cs="Arial"/>
          <w:color w:val="auto"/>
        </w:rPr>
        <w:t>The search process was iterative, with results refined after reviewing abstracts for relevance. A detailed Source Tracking Table (Appendix A) recorded databases, search terms, and inclusion or exclusion decisions. This ensured transparency, replicability, and rigour throughout the review, supporting the credibility of the thematic analysis presented in Chapter 4.</w:t>
      </w:r>
    </w:p>
    <w:p w14:paraId="05C31EEE" w14:textId="77777777" w:rsidR="00AA699E" w:rsidRDefault="00AA699E" w:rsidP="006476D7">
      <w:pPr>
        <w:pStyle w:val="Heading2"/>
        <w:jc w:val="left"/>
        <w:rPr>
          <w:rFonts w:ascii="Arial" w:hAnsi="Arial" w:cs="Arial"/>
          <w:color w:val="auto"/>
        </w:rPr>
      </w:pPr>
    </w:p>
    <w:p w14:paraId="2BCF3EAE" w14:textId="7B66A3C7" w:rsidR="006476D7" w:rsidRPr="007E40A6" w:rsidRDefault="006476D7" w:rsidP="006476D7">
      <w:pPr>
        <w:pStyle w:val="Heading2"/>
        <w:jc w:val="left"/>
        <w:rPr>
          <w:rFonts w:ascii="Arial" w:hAnsi="Arial" w:cs="Arial"/>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40A6">
        <w:rPr>
          <w:rFonts w:ascii="Arial" w:hAnsi="Arial" w:cs="Arial"/>
          <w:b/>
          <w:bCs/>
          <w:color w:val="auto"/>
          <w:sz w:val="28"/>
          <w:szCs w:val="28"/>
          <w:u w:val="single"/>
        </w:rPr>
        <w:t xml:space="preserve">3.4 - Research Validation </w:t>
      </w:r>
    </w:p>
    <w:p w14:paraId="41C7A12E" w14:textId="77777777" w:rsidR="008C1DC0" w:rsidRDefault="00FB1F07" w:rsidP="00FB1F07">
      <w:pPr>
        <w:rPr>
          <w:rFonts w:ascii="Arial" w:hAnsi="Arial" w:cs="Arial"/>
        </w:rPr>
      </w:pPr>
      <w:r w:rsidRPr="00FB1F07">
        <w:rPr>
          <w:rFonts w:ascii="Arial" w:hAnsi="Arial" w:cs="Arial"/>
        </w:rPr>
        <w:t>Source credibility and relevance were ensured through a two-stage appraisal process. Initially, skimming techniques were applied, reviewing titles, abstracts, introductions, and conclusions to determine whether studies addressed cultural competence and end-of-life (EOL) care within a UK or comparable context (Ridley, 2012).</w:t>
      </w:r>
    </w:p>
    <w:p w14:paraId="18A76805" w14:textId="4B02B431" w:rsidR="00FB1F07" w:rsidRPr="00FB1F07" w:rsidRDefault="00FB1F07" w:rsidP="00FB1F07">
      <w:pPr>
        <w:rPr>
          <w:rFonts w:ascii="Arial" w:hAnsi="Arial" w:cs="Arial"/>
        </w:rPr>
      </w:pPr>
      <w:r w:rsidRPr="00FB1F07">
        <w:rPr>
          <w:rFonts w:ascii="Arial" w:hAnsi="Arial" w:cs="Arial"/>
        </w:rPr>
        <w:lastRenderedPageBreak/>
        <w:t>Following this, the CRAAP test—assessing Currency, Relevance, Authority, Accuracy, and Purpose—was systematically applied (Booth, Sutton and Papaioannou, 2016). Priority was given to recent, peer-reviewed, and contextually relevant sources, particularly those reflecting UK health and social care practice. A summary of this evaluation is presented in Appendix B, demonstrating methodological transparency.</w:t>
      </w:r>
    </w:p>
    <w:p w14:paraId="2E97CD11" w14:textId="7AC0ECD8" w:rsidR="00497DF2" w:rsidRPr="00FB1F07" w:rsidRDefault="00FB1F07" w:rsidP="00FB1F07">
      <w:pPr>
        <w:rPr>
          <w:rFonts w:ascii="Arial" w:hAnsi="Arial" w:cs="Arial"/>
        </w:rPr>
      </w:pPr>
      <w:r w:rsidRPr="00FB1F07">
        <w:rPr>
          <w:rFonts w:ascii="Arial" w:hAnsi="Arial" w:cs="Arial"/>
        </w:rPr>
        <w:t>Decision-making was guided by the appraisal outcomes: for instance, NHS England and Hospice UK reports were included due to their policy authority and contemporary relevance, while older international studies lacking UK applicability were excluded, ensuring that all selected literature directly supported the thematic analysis (Aveyard, 2018).</w:t>
      </w:r>
    </w:p>
    <w:p w14:paraId="72C02C3D" w14:textId="139483F6" w:rsidR="002E409C" w:rsidRPr="00224123" w:rsidRDefault="00C17A49" w:rsidP="002E409C">
      <w:pPr>
        <w:rPr>
          <w:rFonts w:ascii="Arial" w:hAnsi="Arial" w:cs="Arial"/>
          <w:sz w:val="28"/>
          <w:szCs w:val="28"/>
        </w:rPr>
      </w:pPr>
      <w:r w:rsidRPr="00EC27DE">
        <w:rPr>
          <w:rFonts w:ascii="Arial" w:hAnsi="Arial" w:cs="Arial"/>
          <w:b/>
          <w:bCs/>
          <w:u w:val="single"/>
        </w:rPr>
        <w:br/>
      </w:r>
      <w:r w:rsidR="002E409C" w:rsidRPr="00224123">
        <w:rPr>
          <w:rFonts w:ascii="Arial" w:hAnsi="Arial" w:cs="Arial"/>
          <w:b/>
          <w:bCs/>
          <w:sz w:val="28"/>
          <w:szCs w:val="28"/>
          <w:u w:val="single"/>
        </w:rPr>
        <w:t>3.5 – Inclusion and Exclusion Criteria</w:t>
      </w:r>
    </w:p>
    <w:p w14:paraId="7AEFF78B" w14:textId="7741F6B3" w:rsidR="005241C9" w:rsidRPr="00524E4C" w:rsidRDefault="005241C9" w:rsidP="005241C9">
      <w:pPr>
        <w:pStyle w:val="Heading2"/>
        <w:jc w:val="left"/>
        <w:rPr>
          <w:rFonts w:ascii="Arial" w:hAnsi="Arial" w:cs="Arial"/>
          <w:color w:val="auto"/>
          <w:sz w:val="22"/>
          <w:szCs w:val="22"/>
        </w:rPr>
      </w:pPr>
      <w:r w:rsidRPr="00524E4C">
        <w:rPr>
          <w:rFonts w:ascii="Arial" w:hAnsi="Arial" w:cs="Arial"/>
          <w:color w:val="auto"/>
          <w:sz w:val="22"/>
          <w:szCs w:val="22"/>
        </w:rPr>
        <w:t>To maintain academic rigour, clear inclusion and exclusion criteria were established prior to reviewing the literature. Inclusion criteria encompassed peer-reviewed journal articles, government and organisational reports, and policy documents published within the past twenty years (2005</w:t>
      </w:r>
      <w:r w:rsidR="00E34BA9" w:rsidRPr="00524E4C">
        <w:rPr>
          <w:rFonts w:ascii="Arial" w:hAnsi="Arial" w:cs="Arial"/>
          <w:color w:val="auto"/>
          <w:sz w:val="22"/>
          <w:szCs w:val="22"/>
        </w:rPr>
        <w:t xml:space="preserve"> - </w:t>
      </w:r>
      <w:r w:rsidRPr="00524E4C">
        <w:rPr>
          <w:rFonts w:ascii="Arial" w:hAnsi="Arial" w:cs="Arial"/>
          <w:color w:val="auto"/>
          <w:sz w:val="22"/>
          <w:szCs w:val="22"/>
        </w:rPr>
        <w:t>2025). Priority was given to UK-based studies, with selective use of international research where cross-cultural insights were transferable to the UK context. Studies explicitly addressing end-of-life (EOL) care, cultural competence, or ethnic minority communities were central to selection (Aveyard, 2018).</w:t>
      </w:r>
    </w:p>
    <w:p w14:paraId="71A24E54" w14:textId="77777777" w:rsidR="00524E4C" w:rsidRPr="00524E4C" w:rsidRDefault="00524E4C" w:rsidP="005241C9">
      <w:pPr>
        <w:pStyle w:val="Heading2"/>
        <w:jc w:val="left"/>
        <w:rPr>
          <w:rFonts w:ascii="Arial" w:hAnsi="Arial" w:cs="Arial"/>
          <w:color w:val="auto"/>
          <w:sz w:val="22"/>
          <w:szCs w:val="22"/>
        </w:rPr>
      </w:pPr>
    </w:p>
    <w:p w14:paraId="7673C356" w14:textId="2C16615F" w:rsidR="005241C9" w:rsidRPr="00524E4C" w:rsidRDefault="005241C9" w:rsidP="005241C9">
      <w:pPr>
        <w:pStyle w:val="Heading2"/>
        <w:jc w:val="left"/>
        <w:rPr>
          <w:rFonts w:ascii="Arial" w:hAnsi="Arial" w:cs="Arial"/>
          <w:color w:val="auto"/>
          <w:sz w:val="22"/>
          <w:szCs w:val="22"/>
        </w:rPr>
      </w:pPr>
      <w:r w:rsidRPr="00524E4C">
        <w:rPr>
          <w:rFonts w:ascii="Arial" w:hAnsi="Arial" w:cs="Arial"/>
          <w:color w:val="auto"/>
          <w:sz w:val="22"/>
          <w:szCs w:val="22"/>
        </w:rPr>
        <w:t>Conversely, exclusion criteria ruled out sources that were outdated, non-peer-reviewed, opinion-based, or written in languages other than English. International studies lacking contextual relevance to UK practice were also excluded (Ridley, 2012).</w:t>
      </w:r>
    </w:p>
    <w:p w14:paraId="581490E7" w14:textId="77777777" w:rsidR="00C37B29" w:rsidRPr="00524E4C" w:rsidRDefault="00C37B29" w:rsidP="005241C9">
      <w:pPr>
        <w:pStyle w:val="Heading2"/>
        <w:jc w:val="left"/>
        <w:rPr>
          <w:rFonts w:ascii="Arial" w:hAnsi="Arial" w:cs="Arial"/>
          <w:color w:val="auto"/>
          <w:sz w:val="22"/>
          <w:szCs w:val="22"/>
        </w:rPr>
      </w:pPr>
    </w:p>
    <w:p w14:paraId="01A5598C" w14:textId="6B452E78" w:rsidR="0021364B" w:rsidRPr="00524E4C" w:rsidRDefault="005241C9" w:rsidP="005241C9">
      <w:pPr>
        <w:pStyle w:val="Heading2"/>
        <w:jc w:val="left"/>
        <w:rPr>
          <w:rFonts w:ascii="Arial" w:hAnsi="Arial" w:cs="Arial"/>
          <w:color w:val="auto"/>
          <w:sz w:val="22"/>
          <w:szCs w:val="22"/>
        </w:rPr>
      </w:pPr>
      <w:r w:rsidRPr="00524E4C">
        <w:rPr>
          <w:rFonts w:ascii="Arial" w:hAnsi="Arial" w:cs="Arial"/>
          <w:color w:val="auto"/>
          <w:sz w:val="22"/>
          <w:szCs w:val="22"/>
        </w:rPr>
        <w:t>This structured approach ensured both relevance and credibility, reducing bias while maintaining a comprehensive evidence base. It aligns with Booth, Sutton, and Papaioannou’s (2016) guidance on applying transparent criteria to strengthen reliability in systematic literature reviews.</w:t>
      </w:r>
    </w:p>
    <w:p w14:paraId="4C3F9F72" w14:textId="77777777" w:rsidR="00C37B29" w:rsidRPr="00524E4C" w:rsidRDefault="00C37B29" w:rsidP="00C37B29"/>
    <w:p w14:paraId="20639E29" w14:textId="77777777" w:rsidR="00524E4C" w:rsidRPr="00740C5D" w:rsidRDefault="00B30991" w:rsidP="00524E4C">
      <w:pPr>
        <w:rPr>
          <w:rFonts w:ascii="Arial" w:hAnsi="Arial" w:cs="Arial"/>
          <w:b/>
          <w:bCs/>
          <w:sz w:val="28"/>
          <w:szCs w:val="28"/>
          <w:u w:val="single"/>
        </w:rPr>
      </w:pPr>
      <w:r w:rsidRPr="00740C5D">
        <w:rPr>
          <w:rFonts w:ascii="Arial" w:hAnsi="Arial" w:cs="Arial"/>
          <w:b/>
          <w:bCs/>
          <w:sz w:val="28"/>
          <w:szCs w:val="28"/>
          <w:u w:val="single"/>
        </w:rPr>
        <w:t>3.6 – Analysing research</w:t>
      </w:r>
    </w:p>
    <w:p w14:paraId="473CAD18" w14:textId="77777777" w:rsidR="00524E4C" w:rsidRDefault="00B254A8" w:rsidP="00524E4C">
      <w:pPr>
        <w:rPr>
          <w:rFonts w:ascii="Arial" w:hAnsi="Arial" w:cs="Arial"/>
        </w:rPr>
      </w:pPr>
      <w:r w:rsidRPr="00B254A8">
        <w:rPr>
          <w:rFonts w:ascii="Arial" w:hAnsi="Arial" w:cs="Arial"/>
        </w:rPr>
        <w:t>A thematic coding approach was adopted to analyse the selected literature, guided by Braun and Clarke’s (2006) six-phase framework. Each source was reviewed in depth to identify recurring concepts, challenges, and expressions related to cultural competence and end-of-</w:t>
      </w:r>
      <w:r w:rsidRPr="00B254A8">
        <w:rPr>
          <w:rFonts w:ascii="Arial" w:hAnsi="Arial" w:cs="Arial"/>
        </w:rPr>
        <w:lastRenderedPageBreak/>
        <w:t>life (EOL) care. These recurring elements were then transformed into initial codes, providing a structured means of categorising the data systematically (Ridley, 2012).</w:t>
      </w:r>
    </w:p>
    <w:p w14:paraId="247E744C" w14:textId="1A0B86BC" w:rsidR="00B254A8" w:rsidRPr="00524E4C" w:rsidRDefault="00B254A8" w:rsidP="00524E4C">
      <w:pPr>
        <w:rPr>
          <w:rFonts w:ascii="Arial" w:hAnsi="Arial" w:cs="Arial"/>
          <w:b/>
          <w:bCs/>
          <w:u w:val="single"/>
        </w:rPr>
      </w:pPr>
      <w:r w:rsidRPr="00B254A8">
        <w:rPr>
          <w:rFonts w:ascii="Arial" w:hAnsi="Arial" w:cs="Arial"/>
        </w:rPr>
        <w:t>During theme development, related codes were clustered into broader conceptual categories that reflected the study’s research objectives. For instance, individual codes such as language barriers and interpretation gaps evolved into the overarching theme of communication challenges, while service distrust and limited awareness of hospice care contributed to the theme of mistrust and inequalities in service access. This iterative process ensured both the frequency and conceptual significance of ideas were captured across the literature (Nowell et al., 2017).</w:t>
      </w:r>
    </w:p>
    <w:p w14:paraId="22403B76" w14:textId="77777777" w:rsidR="00B254A8" w:rsidRPr="00B254A8" w:rsidRDefault="00B254A8" w:rsidP="00B254A8">
      <w:pPr>
        <w:pStyle w:val="Heading2"/>
        <w:rPr>
          <w:rFonts w:ascii="Arial" w:hAnsi="Arial" w:cs="Arial"/>
          <w:color w:val="auto"/>
          <w:sz w:val="22"/>
          <w:szCs w:val="22"/>
        </w:rPr>
      </w:pPr>
    </w:p>
    <w:p w14:paraId="34D844F4" w14:textId="2FEB0CE7" w:rsidR="00B01396" w:rsidRPr="00B254A8" w:rsidRDefault="00B254A8" w:rsidP="00B254A8">
      <w:pPr>
        <w:pStyle w:val="Heading2"/>
        <w:rPr>
          <w:rFonts w:ascii="Arial" w:hAnsi="Arial" w:cs="Arial"/>
          <w:color w:val="auto"/>
          <w:sz w:val="22"/>
          <w:szCs w:val="22"/>
        </w:rPr>
      </w:pPr>
      <w:r w:rsidRPr="00B254A8">
        <w:rPr>
          <w:rFonts w:ascii="Arial" w:hAnsi="Arial" w:cs="Arial"/>
          <w:color w:val="auto"/>
          <w:sz w:val="22"/>
          <w:szCs w:val="22"/>
        </w:rPr>
        <w:t xml:space="preserve">To enhance transparency and reliability, a coded summary table was maintained (see Appendix </w:t>
      </w:r>
      <w:r w:rsidR="00C51442">
        <w:rPr>
          <w:rFonts w:ascii="Arial" w:hAnsi="Arial" w:cs="Arial"/>
          <w:color w:val="auto"/>
          <w:sz w:val="22"/>
          <w:szCs w:val="22"/>
        </w:rPr>
        <w:t>B</w:t>
      </w:r>
      <w:r w:rsidRPr="00B254A8">
        <w:rPr>
          <w:rFonts w:ascii="Arial" w:hAnsi="Arial" w:cs="Arial"/>
          <w:color w:val="auto"/>
          <w:sz w:val="22"/>
          <w:szCs w:val="22"/>
        </w:rPr>
        <w:t>), detailing the progression from codes to final themes. This systematic organisation created a clear audit trail, ensuring that the analytical process remained replicable and providing a strong foundation for presenting the final themes and findings discussed in Chapter 4.</w:t>
      </w:r>
    </w:p>
    <w:p w14:paraId="5905A224" w14:textId="77777777" w:rsidR="00B254A8" w:rsidRDefault="00B254A8" w:rsidP="00B254A8"/>
    <w:p w14:paraId="0E915A52" w14:textId="595AE4DE" w:rsidR="00C378EF" w:rsidRPr="00740C5D" w:rsidRDefault="007472A7" w:rsidP="00C378EF">
      <w:pPr>
        <w:rPr>
          <w:rFonts w:ascii="Arial" w:hAnsi="Arial" w:cs="Arial"/>
          <w:b/>
          <w:bCs/>
          <w:sz w:val="28"/>
          <w:szCs w:val="28"/>
          <w:u w:val="single"/>
        </w:rPr>
      </w:pPr>
      <w:r w:rsidRPr="00740C5D">
        <w:rPr>
          <w:rFonts w:ascii="Arial" w:hAnsi="Arial" w:cs="Arial"/>
          <w:b/>
          <w:bCs/>
          <w:sz w:val="28"/>
          <w:szCs w:val="28"/>
          <w:u w:val="single"/>
        </w:rPr>
        <w:t>3.7</w:t>
      </w:r>
      <w:r w:rsidR="00491DF8" w:rsidRPr="00740C5D">
        <w:rPr>
          <w:rFonts w:ascii="Arial" w:hAnsi="Arial" w:cs="Arial"/>
          <w:b/>
          <w:bCs/>
          <w:sz w:val="28"/>
          <w:szCs w:val="28"/>
          <w:u w:val="single"/>
        </w:rPr>
        <w:t xml:space="preserve"> - </w:t>
      </w:r>
      <w:r w:rsidRPr="00740C5D">
        <w:rPr>
          <w:rFonts w:ascii="Arial" w:hAnsi="Arial" w:cs="Arial"/>
          <w:b/>
          <w:bCs/>
          <w:sz w:val="28"/>
          <w:szCs w:val="28"/>
          <w:u w:val="single"/>
        </w:rPr>
        <w:t>Ethical considerations</w:t>
      </w:r>
    </w:p>
    <w:p w14:paraId="6BA01052" w14:textId="5D3327F9" w:rsidR="00C378EF" w:rsidRPr="00C378EF" w:rsidRDefault="00C378EF" w:rsidP="00C378EF">
      <w:pPr>
        <w:rPr>
          <w:rFonts w:ascii="Arial" w:hAnsi="Arial" w:cs="Arial"/>
          <w:b/>
          <w:bCs/>
          <w:u w:val="single"/>
        </w:rPr>
      </w:pPr>
      <w:r w:rsidRPr="00C378EF">
        <w:rPr>
          <w:rFonts w:ascii="Arial" w:hAnsi="Arial" w:cs="Arial"/>
        </w:rPr>
        <w:t>As this dissertation is based entirely on secondary research, no primary data collection was undertaken; therefore, issues such as participant consent and confidentiality were not applicable (Aveyard, 2018). Ethical integrity was maintained through accurate citation of all sources, adherence to the Harvard referencing system, and avoidance of plagiarism or misrepresentation of authors’ ideas (Hart, 2018). Transparency and fairness guided the literature selection process, with clear justification for inclusion and exclusion decisions. This systematic and reflective approach minimised researcher bias, thereby strengthening the overall credibility, trustworthiness, and ethical integrity of the findings (Booth, Sutton, and Papaioannou, 2016).</w:t>
      </w:r>
    </w:p>
    <w:p w14:paraId="321A2512" w14:textId="77777777" w:rsidR="00C378EF" w:rsidRDefault="00C378EF" w:rsidP="00E325CF">
      <w:pPr>
        <w:pStyle w:val="Heading2"/>
        <w:rPr>
          <w:rFonts w:ascii="Arial" w:hAnsi="Arial" w:cs="Arial"/>
          <w:b/>
          <w:bCs/>
          <w:color w:val="auto"/>
          <w:sz w:val="22"/>
          <w:szCs w:val="22"/>
          <w:u w:val="single"/>
        </w:rPr>
      </w:pPr>
    </w:p>
    <w:p w14:paraId="7F51675F" w14:textId="6DF383F4" w:rsidR="00292A36" w:rsidRPr="00901CB4" w:rsidRDefault="00E325CF" w:rsidP="00E325CF">
      <w:pPr>
        <w:pStyle w:val="Heading2"/>
        <w:rPr>
          <w:rFonts w:ascii="Arial" w:hAnsi="Arial" w:cs="Arial"/>
          <w:b/>
          <w:bCs/>
          <w:color w:val="auto"/>
          <w:sz w:val="28"/>
          <w:szCs w:val="28"/>
          <w:u w:val="single"/>
        </w:rPr>
      </w:pPr>
      <w:r w:rsidRPr="00901CB4">
        <w:rPr>
          <w:rFonts w:ascii="Arial" w:hAnsi="Arial" w:cs="Arial"/>
          <w:b/>
          <w:bCs/>
          <w:color w:val="auto"/>
          <w:sz w:val="28"/>
          <w:szCs w:val="28"/>
          <w:u w:val="single"/>
        </w:rPr>
        <w:t>3.8</w:t>
      </w:r>
      <w:r w:rsidR="002C1410" w:rsidRPr="00901CB4">
        <w:rPr>
          <w:rFonts w:ascii="Arial" w:hAnsi="Arial" w:cs="Arial"/>
          <w:b/>
          <w:bCs/>
          <w:color w:val="auto"/>
          <w:sz w:val="28"/>
          <w:szCs w:val="28"/>
          <w:u w:val="single"/>
        </w:rPr>
        <w:t xml:space="preserve"> - </w:t>
      </w:r>
      <w:r w:rsidR="00292A36" w:rsidRPr="00901CB4">
        <w:rPr>
          <w:rFonts w:ascii="Arial" w:hAnsi="Arial" w:cs="Arial"/>
          <w:b/>
          <w:bCs/>
          <w:color w:val="auto"/>
          <w:sz w:val="28"/>
          <w:szCs w:val="28"/>
          <w:u w:val="single"/>
        </w:rPr>
        <w:t xml:space="preserve">Conclusion </w:t>
      </w:r>
    </w:p>
    <w:p w14:paraId="7F8BD393" w14:textId="77777777" w:rsidR="005446BF" w:rsidRPr="00EF0C0B" w:rsidRDefault="005446BF" w:rsidP="005446BF">
      <w:pPr>
        <w:pStyle w:val="ListParagraph"/>
        <w:rPr>
          <w:rFonts w:ascii="Arial" w:hAnsi="Arial" w:cs="Arial"/>
        </w:rPr>
      </w:pPr>
    </w:p>
    <w:p w14:paraId="090366FD" w14:textId="6DFDB104" w:rsidR="00861248" w:rsidRPr="00861248" w:rsidRDefault="00861248" w:rsidP="00861248">
      <w:pPr>
        <w:rPr>
          <w:rFonts w:ascii="Arial" w:hAnsi="Arial" w:cs="Arial"/>
        </w:rPr>
      </w:pPr>
      <w:r w:rsidRPr="00861248">
        <w:rPr>
          <w:rFonts w:ascii="Arial" w:hAnsi="Arial" w:cs="Arial"/>
        </w:rPr>
        <w:t xml:space="preserve">This chapter outlined the methods used to identify, evaluate, and analyse literature for this dissertation. A systematic search strategy ensured that relevant and credible sources were located, while the application of inclusion and exclusion </w:t>
      </w:r>
      <w:r w:rsidR="008B3432" w:rsidRPr="00861248">
        <w:rPr>
          <w:rFonts w:ascii="Arial" w:hAnsi="Arial" w:cs="Arial"/>
        </w:rPr>
        <w:t>criteria-maintained</w:t>
      </w:r>
      <w:r w:rsidRPr="00861248">
        <w:rPr>
          <w:rFonts w:ascii="Arial" w:hAnsi="Arial" w:cs="Arial"/>
        </w:rPr>
        <w:t xml:space="preserve"> focus and quality. Validation processes, including the CRAAP test, safeguarded reliability, and a thematic coding </w:t>
      </w:r>
      <w:r w:rsidRPr="00861248">
        <w:rPr>
          <w:rFonts w:ascii="Arial" w:hAnsi="Arial" w:cs="Arial"/>
        </w:rPr>
        <w:lastRenderedPageBreak/>
        <w:t>approach was employed to draw out recurring patterns across the literature (Braun and Clarke, 2006).</w:t>
      </w:r>
    </w:p>
    <w:p w14:paraId="73898CB8" w14:textId="2E6CD628" w:rsidR="001F19A6" w:rsidRPr="00861248" w:rsidRDefault="00861248" w:rsidP="00861248">
      <w:pPr>
        <w:rPr>
          <w:rFonts w:ascii="Arial" w:hAnsi="Arial" w:cs="Arial"/>
        </w:rPr>
      </w:pPr>
      <w:r w:rsidRPr="00861248">
        <w:rPr>
          <w:rFonts w:ascii="Arial" w:hAnsi="Arial" w:cs="Arial"/>
        </w:rPr>
        <w:t>Chapter 4 will now present these findings, organised into clear themes. Each theme will be critically discussed in relation to the research question, emphasising their significance for understanding barriers to culturally competent end-of-life care.</w:t>
      </w:r>
    </w:p>
    <w:p w14:paraId="61351FA8" w14:textId="77777777" w:rsidR="00DD60E3" w:rsidRDefault="00DD60E3" w:rsidP="00636D9A">
      <w:pPr>
        <w:pStyle w:val="Heading1"/>
        <w:ind w:left="0"/>
        <w:rPr>
          <w:rFonts w:ascii="Aptos" w:hAnsi="Aptos"/>
        </w:rPr>
      </w:pPr>
    </w:p>
    <w:p w14:paraId="3E27A013" w14:textId="1242D1B3" w:rsidR="001C3AF6" w:rsidRPr="00524E4C" w:rsidRDefault="001C3AF6" w:rsidP="00524E4C">
      <w:pPr>
        <w:rPr>
          <w:rFonts w:ascii="Arial" w:hAnsi="Arial" w:cs="Arial"/>
          <w:b/>
          <w:bCs/>
          <w:sz w:val="32"/>
          <w:szCs w:val="32"/>
          <w:u w:val="single"/>
        </w:rPr>
      </w:pPr>
      <w:r w:rsidRPr="00524E4C">
        <w:rPr>
          <w:rFonts w:ascii="Arial" w:hAnsi="Arial" w:cs="Arial"/>
          <w:b/>
          <w:bCs/>
          <w:sz w:val="32"/>
          <w:szCs w:val="32"/>
          <w:u w:val="single"/>
        </w:rPr>
        <w:t>C</w:t>
      </w:r>
      <w:r w:rsidR="00524E4C">
        <w:rPr>
          <w:rFonts w:ascii="Arial" w:hAnsi="Arial" w:cs="Arial"/>
          <w:b/>
          <w:bCs/>
          <w:sz w:val="32"/>
          <w:szCs w:val="32"/>
          <w:u w:val="single"/>
        </w:rPr>
        <w:t>hapter</w:t>
      </w:r>
      <w:r w:rsidRPr="00524E4C">
        <w:rPr>
          <w:rFonts w:ascii="Arial" w:hAnsi="Arial" w:cs="Arial"/>
          <w:b/>
          <w:bCs/>
          <w:sz w:val="32"/>
          <w:szCs w:val="32"/>
          <w:u w:val="single"/>
        </w:rPr>
        <w:t xml:space="preserve"> 4 – Findings and Discussion</w:t>
      </w:r>
    </w:p>
    <w:p w14:paraId="0CB43921" w14:textId="6E6591A4" w:rsidR="001C3AF6" w:rsidRPr="009A6B5C" w:rsidRDefault="001C3AF6" w:rsidP="003B1E32">
      <w:pPr>
        <w:pStyle w:val="Heading2"/>
        <w:rPr>
          <w:rFonts w:ascii="Arial" w:hAnsi="Arial" w:cs="Arial"/>
          <w:b/>
          <w:bCs/>
          <w:color w:val="auto"/>
          <w:sz w:val="28"/>
          <w:szCs w:val="28"/>
          <w:u w:val="single"/>
        </w:rPr>
      </w:pPr>
      <w:r w:rsidRPr="009A6B5C">
        <w:rPr>
          <w:rFonts w:ascii="Arial" w:hAnsi="Arial" w:cs="Arial"/>
          <w:b/>
          <w:bCs/>
          <w:color w:val="auto"/>
          <w:sz w:val="28"/>
          <w:szCs w:val="28"/>
          <w:u w:val="single"/>
        </w:rPr>
        <w:t>4.1 –</w:t>
      </w:r>
      <w:r w:rsidR="00636D9A" w:rsidRPr="009A6B5C">
        <w:rPr>
          <w:rFonts w:ascii="Arial" w:hAnsi="Arial" w:cs="Arial"/>
          <w:b/>
          <w:bCs/>
          <w:color w:val="auto"/>
          <w:sz w:val="28"/>
          <w:szCs w:val="28"/>
          <w:u w:val="single"/>
        </w:rPr>
        <w:t xml:space="preserve"> </w:t>
      </w:r>
      <w:r w:rsidRPr="009A6B5C">
        <w:rPr>
          <w:rFonts w:ascii="Arial" w:hAnsi="Arial" w:cs="Arial"/>
          <w:b/>
          <w:bCs/>
          <w:color w:val="auto"/>
          <w:sz w:val="28"/>
          <w:szCs w:val="28"/>
          <w:u w:val="single"/>
        </w:rPr>
        <w:t xml:space="preserve">Introduction </w:t>
      </w:r>
    </w:p>
    <w:p w14:paraId="367F223F" w14:textId="4C83D986" w:rsidR="00636D9A" w:rsidRPr="00C45933" w:rsidRDefault="00C45933" w:rsidP="00614C3A">
      <w:pPr>
        <w:pStyle w:val="Heading1"/>
        <w:spacing w:line="360" w:lineRule="auto"/>
        <w:ind w:left="0"/>
        <w:rPr>
          <w:rFonts w:cs="Arial"/>
          <w:b w:val="0"/>
          <w:bCs/>
          <w:sz w:val="22"/>
          <w:szCs w:val="22"/>
        </w:rPr>
      </w:pPr>
      <w:r w:rsidRPr="00C45933">
        <w:rPr>
          <w:rFonts w:cs="Arial"/>
          <w:b w:val="0"/>
          <w:bCs/>
          <w:sz w:val="22"/>
          <w:szCs w:val="22"/>
        </w:rPr>
        <w:t>This chapter presents the findings of the literature analysis, structured around three core themes: communication barriers and language needs, mistrust and inequalities in service access, and workforce training in cultural competence. Each theme is critically evaluated in relation to the research aim of exploring barriers to culturally competent end-of-life care for ethnic minority communities in the UK. Evidence is drawn from peer-reviewed studies, national policies, and organisational reports to provide a comprehensive analysis (Braun and Clarke, 2006; NHS England, 2019). These findings establish the foundation for the discussion in Chapter 5, where implications will be explored in greater depth (Ridley, 2012).</w:t>
      </w:r>
    </w:p>
    <w:p w14:paraId="3742F707" w14:textId="77777777" w:rsidR="00921806" w:rsidRDefault="00921806" w:rsidP="003B1E32">
      <w:pPr>
        <w:pStyle w:val="Heading2"/>
      </w:pPr>
    </w:p>
    <w:p w14:paraId="49AC5888" w14:textId="22E1667C" w:rsidR="001C3AF6" w:rsidRPr="004C72AB" w:rsidRDefault="001C3AF6" w:rsidP="003B1E32">
      <w:pPr>
        <w:pStyle w:val="Heading2"/>
        <w:rPr>
          <w:rFonts w:ascii="Arial" w:hAnsi="Arial" w:cs="Arial"/>
          <w:b/>
          <w:bCs/>
          <w:color w:val="auto"/>
          <w:sz w:val="28"/>
          <w:szCs w:val="28"/>
          <w:u w:val="single"/>
        </w:rPr>
      </w:pPr>
      <w:r w:rsidRPr="004C72AB">
        <w:rPr>
          <w:rFonts w:ascii="Arial" w:hAnsi="Arial" w:cs="Arial"/>
          <w:b/>
          <w:bCs/>
          <w:color w:val="auto"/>
          <w:sz w:val="28"/>
          <w:szCs w:val="28"/>
          <w:u w:val="single"/>
        </w:rPr>
        <w:t xml:space="preserve">4.2 – Thematic Analysis </w:t>
      </w:r>
    </w:p>
    <w:p w14:paraId="5304F1D5" w14:textId="282B9B82" w:rsidR="00574525" w:rsidRPr="00941DD5" w:rsidRDefault="00574525" w:rsidP="00941DD5">
      <w:pPr>
        <w:pStyle w:val="Heading1"/>
        <w:spacing w:line="360" w:lineRule="auto"/>
        <w:ind w:left="0"/>
        <w:rPr>
          <w:b w:val="0"/>
          <w:bCs/>
          <w:sz w:val="22"/>
          <w:szCs w:val="22"/>
          <w:highlight w:val="yellow"/>
        </w:rPr>
      </w:pPr>
      <w:r w:rsidRPr="00574525">
        <w:rPr>
          <w:b w:val="0"/>
          <w:bCs/>
          <w:sz w:val="22"/>
          <w:szCs w:val="22"/>
        </w:rPr>
        <w:t>Thematic analysis is a qualitative method used to identify, analyse, and interpret recurring patterns or themes within data (Braun and Clarke, 2006). In this dissertation, secondary literature was applied to extract and categorise key issues influencing the delivery of culturally competent end-of-life (EOL) care to ethnic minority communities. Each source was reviewed for recurrent ideas, coded systematically, and compared for thematic coherence (Nowell et al., 2017). The coding and synthesis process, summarised in Appendix A, enabled the development of three interrelated themes. These themes were derived directly from the coded summary table presented in Appendix B, ensuring a transparent and traceable link between the analytic process and the final thematic structure. The resulting themes</w:t>
      </w:r>
      <w:r>
        <w:rPr>
          <w:b w:val="0"/>
          <w:bCs/>
          <w:sz w:val="22"/>
          <w:szCs w:val="22"/>
        </w:rPr>
        <w:t xml:space="preserve"> -</w:t>
      </w:r>
      <w:r w:rsidR="00DD46CF">
        <w:rPr>
          <w:b w:val="0"/>
          <w:bCs/>
          <w:sz w:val="22"/>
          <w:szCs w:val="22"/>
        </w:rPr>
        <w:t xml:space="preserve"> </w:t>
      </w:r>
      <w:r w:rsidRPr="00574525">
        <w:rPr>
          <w:b w:val="0"/>
          <w:bCs/>
          <w:sz w:val="22"/>
          <w:szCs w:val="22"/>
        </w:rPr>
        <w:t>communication barriers and language needs, mistrust and inequalities in service access, and workforce training and cultural competence</w:t>
      </w:r>
      <w:r w:rsidR="00382EB9">
        <w:rPr>
          <w:b w:val="0"/>
          <w:bCs/>
          <w:sz w:val="22"/>
          <w:szCs w:val="22"/>
        </w:rPr>
        <w:t xml:space="preserve"> </w:t>
      </w:r>
      <w:r w:rsidRPr="00574525">
        <w:rPr>
          <w:b w:val="0"/>
          <w:bCs/>
          <w:sz w:val="22"/>
          <w:szCs w:val="22"/>
        </w:rPr>
        <w:t>are explored in the sections that follow.</w:t>
      </w:r>
    </w:p>
    <w:p w14:paraId="5BAD32EB" w14:textId="77777777" w:rsidR="00065983" w:rsidRDefault="00065983" w:rsidP="00582509">
      <w:pPr>
        <w:pStyle w:val="Heading2"/>
        <w:rPr>
          <w:rFonts w:ascii="Arial" w:hAnsi="Arial" w:cs="Arial"/>
          <w:b/>
          <w:bCs/>
          <w:color w:val="auto"/>
          <w:u w:val="single"/>
        </w:rPr>
      </w:pPr>
    </w:p>
    <w:p w14:paraId="166B67D8" w14:textId="77777777" w:rsidR="004B5944" w:rsidRPr="004B5944" w:rsidRDefault="004B5944" w:rsidP="004B5944"/>
    <w:p w14:paraId="258466FF" w14:textId="69855C97" w:rsidR="00D70B92" w:rsidRPr="004A6AE6" w:rsidRDefault="001C3AF6" w:rsidP="00582509">
      <w:pPr>
        <w:pStyle w:val="Heading2"/>
        <w:rPr>
          <w:rFonts w:ascii="Arial" w:hAnsi="Arial" w:cs="Arial"/>
          <w:b/>
          <w:bCs/>
          <w:color w:val="auto"/>
          <w:sz w:val="28"/>
          <w:szCs w:val="28"/>
          <w:u w:val="single"/>
        </w:rPr>
      </w:pPr>
      <w:r w:rsidRPr="004A6AE6">
        <w:rPr>
          <w:rFonts w:ascii="Arial" w:hAnsi="Arial" w:cs="Arial"/>
          <w:b/>
          <w:bCs/>
          <w:color w:val="auto"/>
          <w:sz w:val="28"/>
          <w:szCs w:val="28"/>
          <w:u w:val="single"/>
        </w:rPr>
        <w:lastRenderedPageBreak/>
        <w:t>4.3 – Theme 1</w:t>
      </w:r>
      <w:r w:rsidR="00582509" w:rsidRPr="004A6AE6">
        <w:rPr>
          <w:rFonts w:ascii="Arial" w:hAnsi="Arial" w:cs="Arial"/>
          <w:b/>
          <w:bCs/>
          <w:color w:val="auto"/>
          <w:sz w:val="28"/>
          <w:szCs w:val="28"/>
          <w:u w:val="single"/>
        </w:rPr>
        <w:t xml:space="preserve"> - </w:t>
      </w:r>
      <w:r w:rsidR="00034D64" w:rsidRPr="004A6AE6">
        <w:rPr>
          <w:rFonts w:ascii="Arial" w:hAnsi="Arial" w:cs="Arial"/>
          <w:b/>
          <w:bCs/>
          <w:color w:val="auto"/>
          <w:sz w:val="28"/>
          <w:szCs w:val="28"/>
          <w:u w:val="single"/>
        </w:rPr>
        <w:t>Communication Barriers and Language Needs</w:t>
      </w:r>
    </w:p>
    <w:p w14:paraId="47B75506" w14:textId="77777777" w:rsidR="00D70B92" w:rsidRDefault="007063BA" w:rsidP="00D70B92">
      <w:pPr>
        <w:pStyle w:val="Heading1"/>
        <w:jc w:val="center"/>
        <w:rPr>
          <w:rFonts w:ascii="Aptos" w:hAnsi="Aptos"/>
        </w:rPr>
      </w:pPr>
      <w:r w:rsidRPr="007063BA">
        <w:rPr>
          <w:rFonts w:ascii="Aptos" w:hAnsi="Aptos"/>
        </w:rPr>
        <w:t xml:space="preserve"> </w:t>
      </w:r>
    </w:p>
    <w:p w14:paraId="500B049C" w14:textId="182FA20F" w:rsidR="000327C2" w:rsidRPr="00A571A9" w:rsidRDefault="00D66A18" w:rsidP="000327C2">
      <w:pPr>
        <w:pStyle w:val="Heading1"/>
        <w:ind w:left="0"/>
        <w:rPr>
          <w:rFonts w:cs="Arial"/>
          <w:b w:val="0"/>
          <w:bCs/>
          <w:sz w:val="22"/>
          <w:szCs w:val="22"/>
          <w:u w:val="single"/>
        </w:rPr>
      </w:pPr>
      <w:r w:rsidRPr="00A571A9">
        <w:rPr>
          <w:rFonts w:cs="Arial"/>
          <w:b w:val="0"/>
          <w:bCs/>
          <w:sz w:val="22"/>
          <w:szCs w:val="22"/>
          <w:u w:val="single"/>
        </w:rPr>
        <w:t>Definition</w:t>
      </w:r>
      <w:r w:rsidR="00352B29">
        <w:rPr>
          <w:rFonts w:cs="Arial"/>
          <w:b w:val="0"/>
          <w:bCs/>
          <w:sz w:val="22"/>
          <w:szCs w:val="22"/>
          <w:u w:val="single"/>
        </w:rPr>
        <w:t xml:space="preserve"> </w:t>
      </w:r>
    </w:p>
    <w:p w14:paraId="4E998819" w14:textId="77777777" w:rsidR="000327C2" w:rsidRDefault="000327C2" w:rsidP="000327C2">
      <w:pPr>
        <w:pStyle w:val="Heading1"/>
        <w:ind w:left="0"/>
        <w:rPr>
          <w:rFonts w:cs="Arial"/>
          <w:b w:val="0"/>
          <w:bCs/>
          <w:sz w:val="22"/>
          <w:szCs w:val="22"/>
          <w:u w:val="single"/>
        </w:rPr>
      </w:pPr>
    </w:p>
    <w:p w14:paraId="2D0D3DCE" w14:textId="77777777" w:rsidR="00C457AB" w:rsidRDefault="00AA63D0" w:rsidP="000327C2">
      <w:pPr>
        <w:pStyle w:val="Heading1"/>
        <w:spacing w:line="360" w:lineRule="auto"/>
        <w:ind w:left="0"/>
        <w:rPr>
          <w:rFonts w:cs="Arial"/>
          <w:b w:val="0"/>
          <w:bCs/>
          <w:sz w:val="22"/>
          <w:szCs w:val="22"/>
        </w:rPr>
      </w:pPr>
      <w:r w:rsidRPr="006550E6">
        <w:rPr>
          <w:rFonts w:cs="Arial"/>
          <w:b w:val="0"/>
          <w:bCs/>
          <w:sz w:val="22"/>
          <w:szCs w:val="22"/>
        </w:rPr>
        <w:t xml:space="preserve">Communication barriers in healthcare refer to obstacles that prevent accurate and compassionate information exchange between patients, families, and professionals. These may stem from linguistic differences, lack of trained interpreters, reliance on family members, or cultural norms that influence truth-telling and decision-making (Kai et al., 2007). Within end-of-life (EOL) care, these challenges are particularly acute due to the emotional and ethical complexity of discussing prognosis, withdrawal of treatment, or religious preferences (Higginson et al., 2016). </w:t>
      </w:r>
    </w:p>
    <w:p w14:paraId="1AF27322" w14:textId="77777777" w:rsidR="00C457AB" w:rsidRDefault="00C457AB" w:rsidP="000327C2">
      <w:pPr>
        <w:pStyle w:val="Heading1"/>
        <w:spacing w:line="360" w:lineRule="auto"/>
        <w:ind w:left="0"/>
        <w:rPr>
          <w:rFonts w:cs="Arial"/>
          <w:b w:val="0"/>
          <w:bCs/>
          <w:sz w:val="22"/>
          <w:szCs w:val="22"/>
        </w:rPr>
      </w:pPr>
    </w:p>
    <w:p w14:paraId="4E275AEA" w14:textId="7008C174" w:rsidR="008C2B24" w:rsidRPr="006550E6" w:rsidRDefault="00AA63D0" w:rsidP="000327C2">
      <w:pPr>
        <w:pStyle w:val="Heading1"/>
        <w:spacing w:line="360" w:lineRule="auto"/>
        <w:ind w:left="0"/>
        <w:rPr>
          <w:rFonts w:cs="Arial"/>
          <w:b w:val="0"/>
          <w:bCs/>
          <w:sz w:val="22"/>
          <w:szCs w:val="22"/>
        </w:rPr>
      </w:pPr>
      <w:r w:rsidRPr="006550E6">
        <w:rPr>
          <w:rFonts w:cs="Arial"/>
          <w:b w:val="0"/>
          <w:bCs/>
          <w:sz w:val="22"/>
          <w:szCs w:val="22"/>
        </w:rPr>
        <w:t>The concept of “language needs” extends beyond literal translation; it includes the need to convey meaning within culturally embedded expressions, idioms, and values (</w:t>
      </w:r>
      <w:proofErr w:type="spellStart"/>
      <w:r w:rsidRPr="006550E6">
        <w:rPr>
          <w:rFonts w:cs="Arial"/>
          <w:b w:val="0"/>
          <w:bCs/>
          <w:sz w:val="22"/>
          <w:szCs w:val="22"/>
        </w:rPr>
        <w:t>Szczepura</w:t>
      </w:r>
      <w:proofErr w:type="spellEnd"/>
      <w:r w:rsidRPr="006550E6">
        <w:rPr>
          <w:rFonts w:cs="Arial"/>
          <w:b w:val="0"/>
          <w:bCs/>
          <w:sz w:val="22"/>
          <w:szCs w:val="22"/>
        </w:rPr>
        <w:t>, 2005; Oyinkansola Ojo-</w:t>
      </w:r>
      <w:proofErr w:type="spellStart"/>
      <w:r w:rsidRPr="006550E6">
        <w:rPr>
          <w:rFonts w:cs="Arial"/>
          <w:b w:val="0"/>
          <w:bCs/>
          <w:sz w:val="22"/>
          <w:szCs w:val="22"/>
        </w:rPr>
        <w:t>Aromokudu</w:t>
      </w:r>
      <w:proofErr w:type="spellEnd"/>
      <w:r w:rsidRPr="006550E6">
        <w:rPr>
          <w:rFonts w:cs="Arial"/>
          <w:b w:val="0"/>
          <w:bCs/>
          <w:sz w:val="22"/>
          <w:szCs w:val="22"/>
        </w:rPr>
        <w:t xml:space="preserve"> et al., 2023). Recent studies further reveal that minority patients often feel marginalised in EOL discussions, citing inadequate cultural understanding and lack of linguistic support as major barriers (Engel et al., 2023).</w:t>
      </w:r>
    </w:p>
    <w:p w14:paraId="3A2E1B6A" w14:textId="77777777" w:rsidR="00BA7E30" w:rsidRPr="006550E6" w:rsidRDefault="00BA7E30" w:rsidP="000327C2">
      <w:pPr>
        <w:pStyle w:val="Heading1"/>
        <w:spacing w:line="360" w:lineRule="auto"/>
        <w:ind w:left="0"/>
        <w:rPr>
          <w:rFonts w:cs="Arial"/>
          <w:b w:val="0"/>
          <w:bCs/>
          <w:sz w:val="22"/>
          <w:szCs w:val="22"/>
        </w:rPr>
      </w:pPr>
    </w:p>
    <w:p w14:paraId="140E261B" w14:textId="2FFFBF4B" w:rsidR="00BA7E30" w:rsidRPr="00BA7E30" w:rsidRDefault="00BA7E30" w:rsidP="00BA7E30">
      <w:pPr>
        <w:pStyle w:val="Heading1"/>
        <w:ind w:left="0"/>
        <w:rPr>
          <w:rFonts w:cs="Arial"/>
          <w:b w:val="0"/>
          <w:bCs/>
          <w:sz w:val="22"/>
          <w:szCs w:val="22"/>
          <w:u w:val="single"/>
        </w:rPr>
      </w:pPr>
      <w:r w:rsidRPr="00BA7E30">
        <w:rPr>
          <w:rFonts w:cs="Arial"/>
          <w:b w:val="0"/>
          <w:bCs/>
          <w:sz w:val="22"/>
          <w:szCs w:val="22"/>
          <w:u w:val="single"/>
        </w:rPr>
        <w:t>Background Information</w:t>
      </w:r>
      <w:r w:rsidR="00FA4A9B">
        <w:rPr>
          <w:rFonts w:cs="Arial"/>
          <w:b w:val="0"/>
          <w:bCs/>
          <w:sz w:val="22"/>
          <w:szCs w:val="22"/>
          <w:u w:val="single"/>
        </w:rPr>
        <w:t xml:space="preserve">  </w:t>
      </w:r>
    </w:p>
    <w:p w14:paraId="4DC6B2BA" w14:textId="77777777" w:rsidR="003A11DB" w:rsidRDefault="003A11DB" w:rsidP="00BA7E30">
      <w:pPr>
        <w:pStyle w:val="Heading1"/>
        <w:spacing w:line="360" w:lineRule="auto"/>
        <w:ind w:left="0"/>
        <w:rPr>
          <w:rFonts w:cs="Arial"/>
          <w:b w:val="0"/>
          <w:bCs/>
          <w:sz w:val="22"/>
          <w:szCs w:val="22"/>
        </w:rPr>
      </w:pPr>
    </w:p>
    <w:p w14:paraId="58541A2D" w14:textId="530C3F8F" w:rsidR="003A11DB" w:rsidRDefault="003A11DB" w:rsidP="003A11DB">
      <w:pPr>
        <w:pStyle w:val="Heading1"/>
        <w:spacing w:line="360" w:lineRule="auto"/>
        <w:ind w:left="0"/>
        <w:rPr>
          <w:rFonts w:cs="Arial"/>
          <w:b w:val="0"/>
          <w:bCs/>
          <w:sz w:val="22"/>
          <w:szCs w:val="22"/>
        </w:rPr>
      </w:pPr>
      <w:r w:rsidRPr="003A11DB">
        <w:rPr>
          <w:rFonts w:cs="Arial"/>
          <w:b w:val="0"/>
          <w:bCs/>
          <w:sz w:val="22"/>
          <w:szCs w:val="22"/>
        </w:rPr>
        <w:t xml:space="preserve">It is increasingly recognised that linguistic diversity in the UK presents both opportunities and challenges for healthcare delivery. With over </w:t>
      </w:r>
      <w:r w:rsidR="00675906">
        <w:rPr>
          <w:rFonts w:cs="Arial"/>
          <w:b w:val="0"/>
          <w:bCs/>
          <w:sz w:val="22"/>
          <w:szCs w:val="22"/>
        </w:rPr>
        <w:t xml:space="preserve">three hundred </w:t>
      </w:r>
      <w:r w:rsidRPr="003A11DB">
        <w:rPr>
          <w:rFonts w:cs="Arial"/>
          <w:b w:val="0"/>
          <w:bCs/>
          <w:sz w:val="22"/>
          <w:szCs w:val="22"/>
        </w:rPr>
        <w:t>languages spoken nationally (Baker and Eversley, 2000), communication support has become a key determinant of equitable access to care. Historically, services relied on family members to interpret clinical information, a practice now criticised for ethical and confidentiality concerns (Brown et al., 2016; Flores, 2005). The Accessible Information Standard (NHS England, 2016) sought to formalise procedures for identifying and recording communication needs, yet implementation remains inconsistent, particularly across hospice settings (NHS England, 2025).</w:t>
      </w:r>
    </w:p>
    <w:p w14:paraId="2F4F93E5" w14:textId="77777777" w:rsidR="00F36225" w:rsidRPr="003A11DB" w:rsidRDefault="00F36225" w:rsidP="003A11DB">
      <w:pPr>
        <w:pStyle w:val="Heading1"/>
        <w:spacing w:line="360" w:lineRule="auto"/>
        <w:ind w:left="0"/>
        <w:rPr>
          <w:rFonts w:cs="Arial"/>
          <w:b w:val="0"/>
          <w:bCs/>
          <w:sz w:val="22"/>
          <w:szCs w:val="22"/>
        </w:rPr>
      </w:pPr>
    </w:p>
    <w:p w14:paraId="149E66C2" w14:textId="33C5850A" w:rsidR="003A11DB" w:rsidRDefault="003A11DB" w:rsidP="003A11DB">
      <w:pPr>
        <w:pStyle w:val="Heading1"/>
        <w:spacing w:line="360" w:lineRule="auto"/>
        <w:ind w:left="0"/>
        <w:rPr>
          <w:rFonts w:cs="Arial"/>
          <w:b w:val="0"/>
          <w:bCs/>
          <w:sz w:val="22"/>
          <w:szCs w:val="22"/>
        </w:rPr>
      </w:pPr>
      <w:r w:rsidRPr="003A11DB">
        <w:rPr>
          <w:rFonts w:cs="Arial"/>
          <w:b w:val="0"/>
          <w:bCs/>
          <w:sz w:val="22"/>
          <w:szCs w:val="22"/>
        </w:rPr>
        <w:t>Evidence suggests that while policy frameworks exist, they are frequently under-resourced or inadequately prioritised (Hospice UK, 2021). Many staff lack both the confidence and time to address complex linguistic needs. As a result, patients from minority communities may face delays in referrals, misunderstandings about treatment options, and diminished autonomy during the final stages of life.</w:t>
      </w:r>
    </w:p>
    <w:p w14:paraId="593F91A9" w14:textId="77777777" w:rsidR="004B43AF" w:rsidRDefault="004B43AF" w:rsidP="00BA7E30">
      <w:pPr>
        <w:pStyle w:val="Heading1"/>
        <w:spacing w:line="360" w:lineRule="auto"/>
        <w:ind w:left="0"/>
        <w:rPr>
          <w:rFonts w:cs="Arial"/>
          <w:b w:val="0"/>
          <w:bCs/>
          <w:sz w:val="22"/>
          <w:szCs w:val="22"/>
        </w:rPr>
      </w:pPr>
    </w:p>
    <w:p w14:paraId="3714FC50" w14:textId="1D5EA81D" w:rsidR="00BA7E30" w:rsidRPr="004301AD" w:rsidRDefault="00BA7E30" w:rsidP="00BA7E30">
      <w:pPr>
        <w:pStyle w:val="Heading1"/>
        <w:ind w:left="0"/>
        <w:rPr>
          <w:rFonts w:cs="Arial"/>
          <w:b w:val="0"/>
          <w:bCs/>
          <w:sz w:val="22"/>
          <w:szCs w:val="22"/>
        </w:rPr>
      </w:pPr>
      <w:r w:rsidRPr="00BA7E30">
        <w:rPr>
          <w:rFonts w:cs="Arial"/>
          <w:b w:val="0"/>
          <w:bCs/>
          <w:sz w:val="22"/>
          <w:szCs w:val="22"/>
          <w:u w:val="single"/>
        </w:rPr>
        <w:t>Impact on Research Question</w:t>
      </w:r>
      <w:r w:rsidR="004301AD">
        <w:rPr>
          <w:rFonts w:cs="Arial"/>
          <w:b w:val="0"/>
          <w:bCs/>
          <w:sz w:val="22"/>
          <w:szCs w:val="22"/>
          <w:u w:val="single"/>
        </w:rPr>
        <w:t xml:space="preserve"> </w:t>
      </w:r>
    </w:p>
    <w:p w14:paraId="3B20478E" w14:textId="77777777" w:rsidR="00BA7E30" w:rsidRPr="00BA7E30" w:rsidRDefault="00BA7E30" w:rsidP="00BA7E30">
      <w:pPr>
        <w:pStyle w:val="Heading1"/>
        <w:rPr>
          <w:rFonts w:cs="Arial"/>
          <w:b w:val="0"/>
          <w:bCs/>
          <w:sz w:val="22"/>
          <w:szCs w:val="22"/>
        </w:rPr>
      </w:pPr>
    </w:p>
    <w:p w14:paraId="4FDCEF6C" w14:textId="112E0F57" w:rsidR="00600554" w:rsidRDefault="00BA7E30" w:rsidP="00BA7E30">
      <w:pPr>
        <w:pStyle w:val="Heading1"/>
        <w:spacing w:line="360" w:lineRule="auto"/>
        <w:ind w:left="0"/>
        <w:rPr>
          <w:rFonts w:cs="Arial"/>
          <w:b w:val="0"/>
          <w:bCs/>
          <w:sz w:val="22"/>
          <w:szCs w:val="22"/>
        </w:rPr>
      </w:pPr>
      <w:r w:rsidRPr="00BA7E30">
        <w:rPr>
          <w:rFonts w:cs="Arial"/>
          <w:b w:val="0"/>
          <w:bCs/>
          <w:sz w:val="22"/>
          <w:szCs w:val="22"/>
        </w:rPr>
        <w:t xml:space="preserve">It is worth emphasising that communication lies at the heart of culturally competent care. </w:t>
      </w:r>
      <w:r w:rsidRPr="00BA7E30">
        <w:rPr>
          <w:rFonts w:cs="Arial"/>
          <w:b w:val="0"/>
          <w:bCs/>
          <w:sz w:val="22"/>
          <w:szCs w:val="22"/>
        </w:rPr>
        <w:lastRenderedPageBreak/>
        <w:t>Miscommunication can result in reduced understanding of diagnosis, inappropriate treatment decisions, and delayed referrals to palliative services</w:t>
      </w:r>
      <w:r w:rsidRPr="00506F23">
        <w:rPr>
          <w:rFonts w:cs="Arial"/>
          <w:b w:val="0"/>
          <w:bCs/>
          <w:sz w:val="22"/>
          <w:szCs w:val="22"/>
        </w:rPr>
        <w:t xml:space="preserve"> (Meier et al., 2016). </w:t>
      </w:r>
      <w:r w:rsidRPr="00BA7E30">
        <w:rPr>
          <w:rFonts w:cs="Arial"/>
          <w:b w:val="0"/>
          <w:bCs/>
          <w:sz w:val="22"/>
          <w:szCs w:val="22"/>
        </w:rPr>
        <w:t>For ethnic minority communities, poor communication frequently exacerbates mistrust, reinforcing perceptions that services are unresponsive to their needs (Koffman et al., 2007). This theme, therefore, directly impacts the research question by illustrating how ineffective communication undermines equitable access to EOL care. Without overcoming such barriers, the principle of patient-centred care remains unfulfilled (Papadopoulos, 2006).</w:t>
      </w:r>
    </w:p>
    <w:p w14:paraId="7DB30799" w14:textId="33328BDB" w:rsidR="00600554" w:rsidRPr="007666EF" w:rsidRDefault="00600554" w:rsidP="00600554">
      <w:pPr>
        <w:pStyle w:val="Heading1"/>
        <w:ind w:left="0"/>
        <w:rPr>
          <w:rFonts w:cs="Arial"/>
          <w:b w:val="0"/>
          <w:bCs/>
          <w:sz w:val="22"/>
          <w:szCs w:val="22"/>
        </w:rPr>
      </w:pPr>
      <w:r w:rsidRPr="00600554">
        <w:rPr>
          <w:rFonts w:cs="Arial"/>
          <w:b w:val="0"/>
          <w:bCs/>
          <w:sz w:val="22"/>
          <w:szCs w:val="22"/>
          <w:u w:val="single"/>
        </w:rPr>
        <w:t>Statistical Information</w:t>
      </w:r>
      <w:r w:rsidR="00E403A0">
        <w:rPr>
          <w:rFonts w:cs="Arial"/>
          <w:b w:val="0"/>
          <w:bCs/>
          <w:sz w:val="22"/>
          <w:szCs w:val="22"/>
          <w:u w:val="single"/>
        </w:rPr>
        <w:t xml:space="preserve"> </w:t>
      </w:r>
    </w:p>
    <w:p w14:paraId="7BBCCCD1" w14:textId="77777777" w:rsidR="00E403A0" w:rsidRDefault="00E403A0" w:rsidP="00600554">
      <w:pPr>
        <w:pStyle w:val="Heading1"/>
        <w:ind w:left="0"/>
        <w:rPr>
          <w:rFonts w:cs="Arial"/>
          <w:b w:val="0"/>
          <w:bCs/>
          <w:sz w:val="22"/>
          <w:szCs w:val="22"/>
          <w:u w:val="single"/>
        </w:rPr>
      </w:pPr>
    </w:p>
    <w:p w14:paraId="1F2F6203" w14:textId="77777777" w:rsidR="00B9750D" w:rsidRDefault="00E403A0" w:rsidP="00E403A0">
      <w:pPr>
        <w:pStyle w:val="Heading1"/>
        <w:spacing w:line="360" w:lineRule="auto"/>
        <w:ind w:left="0"/>
        <w:rPr>
          <w:rFonts w:cs="Arial"/>
          <w:b w:val="0"/>
          <w:bCs/>
          <w:sz w:val="22"/>
          <w:szCs w:val="22"/>
        </w:rPr>
      </w:pPr>
      <w:r w:rsidRPr="00E403A0">
        <w:rPr>
          <w:rFonts w:cs="Arial"/>
          <w:b w:val="0"/>
          <w:bCs/>
          <w:sz w:val="22"/>
          <w:szCs w:val="22"/>
        </w:rPr>
        <w:t xml:space="preserve">According to the 2011 Census, over 860,000 people in England and Wales reported limited or no English proficiency, with the largest concentrations in London, Birmingham, and Manchester (ONS, 2013). Public Health England (2018) found that individuals with limited English proficiency are significantly less likely to receive timely referrals to palliative services. </w:t>
      </w:r>
    </w:p>
    <w:p w14:paraId="56D9350B" w14:textId="77777777" w:rsidR="00F36225" w:rsidRDefault="00F36225" w:rsidP="00E403A0">
      <w:pPr>
        <w:pStyle w:val="Heading1"/>
        <w:spacing w:line="360" w:lineRule="auto"/>
        <w:ind w:left="0"/>
        <w:rPr>
          <w:rFonts w:cs="Arial"/>
          <w:b w:val="0"/>
          <w:bCs/>
          <w:sz w:val="22"/>
          <w:szCs w:val="22"/>
        </w:rPr>
      </w:pPr>
    </w:p>
    <w:p w14:paraId="493BBBAC" w14:textId="7B5DC19A" w:rsidR="00E403A0" w:rsidRPr="00E403A0" w:rsidRDefault="00E403A0" w:rsidP="00E403A0">
      <w:pPr>
        <w:pStyle w:val="Heading1"/>
        <w:spacing w:line="360" w:lineRule="auto"/>
        <w:ind w:left="0"/>
        <w:rPr>
          <w:rFonts w:cs="Arial"/>
          <w:b w:val="0"/>
          <w:bCs/>
          <w:sz w:val="22"/>
          <w:szCs w:val="22"/>
        </w:rPr>
      </w:pPr>
      <w:r w:rsidRPr="00E403A0">
        <w:rPr>
          <w:rFonts w:cs="Arial"/>
          <w:b w:val="0"/>
          <w:bCs/>
          <w:sz w:val="22"/>
          <w:szCs w:val="22"/>
        </w:rPr>
        <w:t xml:space="preserve">A Marie Curie (2022) survey revealed that only 36% of UK hospices consistently provide professional interpreters, with many relying on informal arrangements. During the COVID-19 pandemic, language gaps widened, as shown by </w:t>
      </w:r>
      <w:proofErr w:type="spellStart"/>
      <w:r w:rsidRPr="00E403A0">
        <w:rPr>
          <w:rFonts w:cs="Arial"/>
          <w:b w:val="0"/>
          <w:bCs/>
          <w:sz w:val="22"/>
          <w:szCs w:val="22"/>
        </w:rPr>
        <w:t>Gerchow</w:t>
      </w:r>
      <w:proofErr w:type="spellEnd"/>
      <w:r w:rsidRPr="00E403A0">
        <w:rPr>
          <w:rFonts w:cs="Arial"/>
          <w:b w:val="0"/>
          <w:bCs/>
          <w:sz w:val="22"/>
          <w:szCs w:val="22"/>
        </w:rPr>
        <w:t xml:space="preserve"> et al. (2021), who reported that ethnic minority patients were disproportionately disadvantaged in EOL communication. Collectively, these data highlight a persistent gap between policy intent and practical provision, underscoring how structural underinvestment perpetuates health inequality.</w:t>
      </w:r>
    </w:p>
    <w:p w14:paraId="649AF4F7" w14:textId="77777777" w:rsidR="00012874" w:rsidRDefault="00012874" w:rsidP="00012874">
      <w:pPr>
        <w:pStyle w:val="Heading1"/>
        <w:ind w:left="0"/>
        <w:rPr>
          <w:rFonts w:cs="Arial"/>
          <w:b w:val="0"/>
          <w:bCs/>
          <w:sz w:val="22"/>
          <w:szCs w:val="22"/>
        </w:rPr>
      </w:pPr>
    </w:p>
    <w:p w14:paraId="42D4A744" w14:textId="2330FE94" w:rsidR="00B2132B" w:rsidRPr="00B9750D" w:rsidRDefault="00B2132B" w:rsidP="00012874">
      <w:pPr>
        <w:pStyle w:val="Heading1"/>
        <w:ind w:left="0"/>
        <w:rPr>
          <w:rFonts w:cs="Arial"/>
          <w:b w:val="0"/>
          <w:bCs/>
          <w:sz w:val="22"/>
          <w:szCs w:val="22"/>
        </w:rPr>
      </w:pPr>
      <w:r w:rsidRPr="00012874">
        <w:rPr>
          <w:rFonts w:cs="Arial"/>
          <w:b w:val="0"/>
          <w:bCs/>
          <w:sz w:val="22"/>
          <w:szCs w:val="22"/>
          <w:u w:val="single"/>
        </w:rPr>
        <w:t>Theories, Policies, and Legislation</w:t>
      </w:r>
      <w:r w:rsidR="00B9750D">
        <w:rPr>
          <w:rFonts w:cs="Arial"/>
          <w:b w:val="0"/>
          <w:bCs/>
          <w:sz w:val="22"/>
          <w:szCs w:val="22"/>
          <w:u w:val="single"/>
        </w:rPr>
        <w:t xml:space="preserve"> </w:t>
      </w:r>
    </w:p>
    <w:p w14:paraId="30D00C47" w14:textId="77777777" w:rsidR="008D067A" w:rsidRDefault="008D067A" w:rsidP="00012874">
      <w:pPr>
        <w:pStyle w:val="Heading1"/>
        <w:ind w:left="0"/>
        <w:rPr>
          <w:rFonts w:cs="Arial"/>
          <w:b w:val="0"/>
          <w:bCs/>
          <w:sz w:val="22"/>
          <w:szCs w:val="22"/>
          <w:u w:val="single"/>
        </w:rPr>
      </w:pPr>
    </w:p>
    <w:p w14:paraId="40BD6290" w14:textId="77777777" w:rsidR="0016629A" w:rsidRPr="0016629A" w:rsidRDefault="0016629A" w:rsidP="0016629A">
      <w:pPr>
        <w:pStyle w:val="Heading1"/>
        <w:spacing w:line="360" w:lineRule="auto"/>
        <w:ind w:left="0"/>
        <w:rPr>
          <w:rFonts w:cs="Arial"/>
          <w:b w:val="0"/>
          <w:bCs/>
          <w:sz w:val="22"/>
          <w:szCs w:val="22"/>
        </w:rPr>
      </w:pPr>
      <w:r w:rsidRPr="0016629A">
        <w:rPr>
          <w:rFonts w:cs="Arial"/>
          <w:b w:val="0"/>
          <w:bCs/>
          <w:sz w:val="22"/>
          <w:szCs w:val="22"/>
        </w:rPr>
        <w:t>Leininger’s Culture Care Theory posits that culturally congruent care cannot occur without communication aligned with patients’ beliefs and worldviews (Riquelme, 2013). Similarly, Papadopoulos’ Cultural Competence Model identifies communication as a fundamental domain, requiring adaptability to linguistic and cultural contexts (Papadopoulos, 2006).</w:t>
      </w:r>
    </w:p>
    <w:p w14:paraId="0B4EA470" w14:textId="77777777" w:rsidR="00B9750D" w:rsidRDefault="00B9750D" w:rsidP="0016629A">
      <w:pPr>
        <w:pStyle w:val="Heading1"/>
        <w:spacing w:line="360" w:lineRule="auto"/>
        <w:ind w:left="0"/>
        <w:rPr>
          <w:rFonts w:cs="Arial"/>
          <w:b w:val="0"/>
          <w:bCs/>
          <w:sz w:val="22"/>
          <w:szCs w:val="22"/>
        </w:rPr>
      </w:pPr>
    </w:p>
    <w:p w14:paraId="4E293C44" w14:textId="279B4910" w:rsidR="008D067A" w:rsidRPr="008D067A" w:rsidRDefault="0016629A" w:rsidP="0016629A">
      <w:pPr>
        <w:pStyle w:val="Heading1"/>
        <w:spacing w:line="360" w:lineRule="auto"/>
        <w:ind w:left="0"/>
        <w:rPr>
          <w:rFonts w:cs="Arial"/>
          <w:b w:val="0"/>
          <w:bCs/>
          <w:sz w:val="22"/>
          <w:szCs w:val="22"/>
        </w:rPr>
      </w:pPr>
      <w:r w:rsidRPr="0016629A">
        <w:rPr>
          <w:rFonts w:cs="Arial"/>
          <w:b w:val="0"/>
          <w:bCs/>
          <w:sz w:val="22"/>
          <w:szCs w:val="22"/>
        </w:rPr>
        <w:t>The Equality Act 2010 and the Accessible Information Standard (2016) provide the legislative framework for inclusive communication, while the NHS Long Term Plan (2019) reinforces commitments to reduce inequalities. Yet, Care Quality Commission (CQC, 2022) reports demonstrate marked variation in implementation. Some hospices have pioneered multilingual outreach, while others fail to meet even minimum accessibility standards. This inconsistency reflects a wider policy–practice gap, where legal obligations exist but systemic capacity to deliver them remains fragmented.</w:t>
      </w:r>
    </w:p>
    <w:p w14:paraId="2457A968" w14:textId="77777777" w:rsidR="003D50C4" w:rsidRDefault="003D50C4" w:rsidP="00012874">
      <w:pPr>
        <w:pStyle w:val="Heading1"/>
        <w:spacing w:line="360" w:lineRule="auto"/>
        <w:ind w:left="0"/>
        <w:rPr>
          <w:rFonts w:cs="Arial"/>
          <w:b w:val="0"/>
          <w:bCs/>
          <w:sz w:val="22"/>
          <w:szCs w:val="22"/>
        </w:rPr>
      </w:pPr>
    </w:p>
    <w:p w14:paraId="2435D627" w14:textId="77777777" w:rsidR="002C3DC7" w:rsidRDefault="002C3DC7" w:rsidP="00012874">
      <w:pPr>
        <w:pStyle w:val="Heading1"/>
        <w:spacing w:line="360" w:lineRule="auto"/>
        <w:ind w:left="0"/>
        <w:rPr>
          <w:rFonts w:cs="Arial"/>
          <w:b w:val="0"/>
          <w:bCs/>
          <w:sz w:val="22"/>
          <w:szCs w:val="22"/>
        </w:rPr>
      </w:pPr>
    </w:p>
    <w:p w14:paraId="0A1114CB" w14:textId="77777777" w:rsidR="00C457AB" w:rsidRDefault="00C457AB" w:rsidP="00012874">
      <w:pPr>
        <w:pStyle w:val="Heading1"/>
        <w:spacing w:line="360" w:lineRule="auto"/>
        <w:ind w:left="0"/>
        <w:rPr>
          <w:rFonts w:cs="Arial"/>
          <w:b w:val="0"/>
          <w:bCs/>
          <w:sz w:val="22"/>
          <w:szCs w:val="22"/>
        </w:rPr>
      </w:pPr>
    </w:p>
    <w:p w14:paraId="094184F5" w14:textId="1181DB6C" w:rsidR="00695953" w:rsidRPr="00BA6055" w:rsidRDefault="00695953" w:rsidP="00695953">
      <w:pPr>
        <w:pStyle w:val="Heading1"/>
        <w:spacing w:line="360" w:lineRule="auto"/>
        <w:ind w:left="0"/>
        <w:rPr>
          <w:rFonts w:cs="Arial"/>
          <w:b w:val="0"/>
          <w:bCs/>
          <w:sz w:val="22"/>
          <w:szCs w:val="22"/>
        </w:rPr>
      </w:pPr>
      <w:r w:rsidRPr="00DE46A3">
        <w:rPr>
          <w:rFonts w:cs="Arial"/>
          <w:b w:val="0"/>
          <w:bCs/>
          <w:sz w:val="22"/>
          <w:szCs w:val="22"/>
          <w:u w:val="single"/>
        </w:rPr>
        <w:lastRenderedPageBreak/>
        <w:t>Implications</w:t>
      </w:r>
      <w:r w:rsidR="00BA6055">
        <w:rPr>
          <w:rFonts w:cs="Arial"/>
          <w:b w:val="0"/>
          <w:bCs/>
          <w:sz w:val="22"/>
          <w:szCs w:val="22"/>
          <w:u w:val="single"/>
        </w:rPr>
        <w:t xml:space="preserve"> </w:t>
      </w:r>
    </w:p>
    <w:p w14:paraId="1DCCC0CD" w14:textId="77777777" w:rsidR="003A4B04" w:rsidRPr="003A4B04" w:rsidRDefault="003A4B04" w:rsidP="00BA6055">
      <w:pPr>
        <w:pStyle w:val="Heading1"/>
        <w:spacing w:line="360" w:lineRule="auto"/>
        <w:ind w:left="0"/>
        <w:rPr>
          <w:rFonts w:cs="Arial"/>
          <w:b w:val="0"/>
          <w:bCs/>
          <w:sz w:val="22"/>
          <w:szCs w:val="22"/>
        </w:rPr>
      </w:pPr>
      <w:r w:rsidRPr="003A4B04">
        <w:rPr>
          <w:rFonts w:cs="Arial"/>
          <w:b w:val="0"/>
          <w:bCs/>
          <w:sz w:val="22"/>
          <w:szCs w:val="22"/>
        </w:rPr>
        <w:t>The implications of communication barriers are multifaceted. Insufficient interpreting services jeopardise informed consent and compromise ethical care, as patients may agree to procedures they do not fully understand (</w:t>
      </w:r>
      <w:proofErr w:type="spellStart"/>
      <w:r w:rsidRPr="003A4B04">
        <w:rPr>
          <w:rFonts w:cs="Arial"/>
          <w:b w:val="0"/>
          <w:bCs/>
          <w:sz w:val="22"/>
          <w:szCs w:val="22"/>
        </w:rPr>
        <w:t>Gatrad</w:t>
      </w:r>
      <w:proofErr w:type="spellEnd"/>
      <w:r w:rsidRPr="003A4B04">
        <w:rPr>
          <w:rFonts w:cs="Arial"/>
          <w:b w:val="0"/>
          <w:bCs/>
          <w:sz w:val="22"/>
          <w:szCs w:val="22"/>
        </w:rPr>
        <w:t xml:space="preserve"> and Sheikh, 2002). Families often experience distress when crucial information is lost or misrepresented (Moss et al., 2022). Systemically, poor communication sustains inequality by discouraging minority communities from accessing hospice services (Engel et al., 2023).</w:t>
      </w:r>
    </w:p>
    <w:p w14:paraId="530D4C77" w14:textId="77777777" w:rsidR="003A4B04" w:rsidRPr="003A4B04" w:rsidRDefault="003A4B04" w:rsidP="00BA6055">
      <w:pPr>
        <w:pStyle w:val="Heading1"/>
        <w:spacing w:line="360" w:lineRule="auto"/>
        <w:rPr>
          <w:rFonts w:cs="Arial"/>
          <w:b w:val="0"/>
          <w:bCs/>
          <w:sz w:val="22"/>
          <w:szCs w:val="22"/>
        </w:rPr>
      </w:pPr>
    </w:p>
    <w:p w14:paraId="058768BB" w14:textId="403B62D2" w:rsidR="003A4B04" w:rsidRPr="003A4B04" w:rsidRDefault="003A4B04" w:rsidP="00BA6055">
      <w:pPr>
        <w:pStyle w:val="Heading1"/>
        <w:spacing w:line="360" w:lineRule="auto"/>
        <w:ind w:left="0"/>
        <w:rPr>
          <w:rFonts w:cs="Arial"/>
          <w:b w:val="0"/>
          <w:bCs/>
          <w:sz w:val="22"/>
          <w:szCs w:val="22"/>
        </w:rPr>
      </w:pPr>
      <w:r w:rsidRPr="003A4B04">
        <w:rPr>
          <w:rFonts w:cs="Arial"/>
          <w:b w:val="0"/>
          <w:bCs/>
          <w:sz w:val="22"/>
          <w:szCs w:val="22"/>
        </w:rPr>
        <w:t>However, investment in interpreter provision and culturally adapted communication strategies has been shown to improve outcomes. Flores (2005) found that professional interpreters enhance satisfaction and accuracy, while Marie Curie (2023) demonstrated that multilingual outreach increased engagement in advance care planning. These studies affirm that barriers are not inevitable but remediable with sufficient policy attention and resources.</w:t>
      </w:r>
    </w:p>
    <w:p w14:paraId="319667B2" w14:textId="77777777" w:rsidR="00695953" w:rsidRDefault="00695953" w:rsidP="00695953">
      <w:pPr>
        <w:pStyle w:val="Heading1"/>
        <w:spacing w:line="360" w:lineRule="auto"/>
        <w:ind w:left="221"/>
        <w:rPr>
          <w:rFonts w:cs="Arial"/>
          <w:b w:val="0"/>
          <w:bCs/>
          <w:sz w:val="22"/>
          <w:szCs w:val="22"/>
        </w:rPr>
      </w:pPr>
    </w:p>
    <w:p w14:paraId="3DF4709A" w14:textId="40D31142" w:rsidR="00875B7F" w:rsidRPr="00A01155" w:rsidRDefault="00875B7F" w:rsidP="00875B7F">
      <w:pPr>
        <w:pStyle w:val="Heading1"/>
        <w:ind w:left="0"/>
        <w:rPr>
          <w:rFonts w:cs="Arial"/>
          <w:b w:val="0"/>
          <w:bCs/>
          <w:sz w:val="22"/>
          <w:szCs w:val="22"/>
        </w:rPr>
      </w:pPr>
      <w:r w:rsidRPr="00875B7F">
        <w:rPr>
          <w:rFonts w:cs="Arial"/>
          <w:b w:val="0"/>
          <w:bCs/>
          <w:sz w:val="22"/>
          <w:szCs w:val="22"/>
          <w:u w:val="single"/>
        </w:rPr>
        <w:t>Examples and Case Studies</w:t>
      </w:r>
      <w:r w:rsidR="00A01155">
        <w:rPr>
          <w:rFonts w:cs="Arial"/>
          <w:b w:val="0"/>
          <w:bCs/>
          <w:sz w:val="22"/>
          <w:szCs w:val="22"/>
          <w:u w:val="single"/>
        </w:rPr>
        <w:t xml:space="preserve"> </w:t>
      </w:r>
    </w:p>
    <w:p w14:paraId="165106D9" w14:textId="77777777" w:rsidR="00472DCD" w:rsidRDefault="00472DCD" w:rsidP="00875B7F">
      <w:pPr>
        <w:pStyle w:val="Heading1"/>
        <w:ind w:left="0"/>
        <w:rPr>
          <w:rFonts w:cs="Arial"/>
          <w:b w:val="0"/>
          <w:bCs/>
          <w:sz w:val="22"/>
          <w:szCs w:val="22"/>
        </w:rPr>
      </w:pPr>
    </w:p>
    <w:p w14:paraId="5B399A6D" w14:textId="77777777" w:rsidR="008F23A4" w:rsidRPr="008F23A4" w:rsidRDefault="008F23A4" w:rsidP="008F23A4">
      <w:pPr>
        <w:pStyle w:val="Heading1"/>
        <w:spacing w:line="360" w:lineRule="auto"/>
        <w:ind w:left="0"/>
        <w:rPr>
          <w:rFonts w:cs="Arial"/>
          <w:b w:val="0"/>
          <w:bCs/>
          <w:sz w:val="22"/>
          <w:szCs w:val="22"/>
        </w:rPr>
      </w:pPr>
      <w:r w:rsidRPr="008F23A4">
        <w:rPr>
          <w:rFonts w:cs="Arial"/>
          <w:b w:val="0"/>
          <w:bCs/>
          <w:sz w:val="22"/>
          <w:szCs w:val="22"/>
        </w:rPr>
        <w:t>A qualitative study in East London revealed that South Asian families frequently acted as interpreters during EOL consultations, often omitting distressing details to protect loved ones, thereby limiting informed consent (Koffman et al., 2008). This highlights how familial mediation, combined with limited institutional support, can inadvertently reduce patient autonomy.</w:t>
      </w:r>
    </w:p>
    <w:p w14:paraId="4BE638BD" w14:textId="77777777" w:rsidR="008F23A4" w:rsidRPr="008F23A4" w:rsidRDefault="008F23A4" w:rsidP="008F23A4">
      <w:pPr>
        <w:pStyle w:val="Heading1"/>
        <w:spacing w:line="360" w:lineRule="auto"/>
        <w:rPr>
          <w:rFonts w:cs="Arial"/>
          <w:b w:val="0"/>
          <w:bCs/>
          <w:sz w:val="22"/>
          <w:szCs w:val="22"/>
        </w:rPr>
      </w:pPr>
    </w:p>
    <w:p w14:paraId="36871ABB" w14:textId="5A1B8F23" w:rsidR="00C4424E" w:rsidRDefault="008F23A4" w:rsidP="008F23A4">
      <w:pPr>
        <w:pStyle w:val="Heading1"/>
        <w:spacing w:line="360" w:lineRule="auto"/>
        <w:ind w:left="0"/>
        <w:rPr>
          <w:rFonts w:cs="Arial"/>
          <w:b w:val="0"/>
          <w:bCs/>
          <w:sz w:val="22"/>
          <w:szCs w:val="22"/>
        </w:rPr>
      </w:pPr>
      <w:r w:rsidRPr="008F23A4">
        <w:rPr>
          <w:rFonts w:cs="Arial"/>
          <w:b w:val="0"/>
          <w:bCs/>
          <w:sz w:val="22"/>
          <w:szCs w:val="22"/>
        </w:rPr>
        <w:t>Conversely, a Birmingham hospice that introduced professional interpreters and partnered with mosques and community groups achieved marked improvements in patient satisfaction and participation in care planning (Marie Curie, 2019). Likewise, Hospice UK (2021) employed multilingual outreach ambassadors to support Somali and Bangladeshi communities, improving access yet struggling with funding sustainability. Collectively, these examples demonstrate that although communication barriers are deeply embedded, culturally responsive and well-funded strategies can lead to measurable progress.</w:t>
      </w:r>
    </w:p>
    <w:p w14:paraId="1DF542C1" w14:textId="77777777" w:rsidR="00DA555E" w:rsidRDefault="00DA555E" w:rsidP="00DA555E">
      <w:pPr>
        <w:pStyle w:val="Heading1"/>
        <w:ind w:left="0"/>
        <w:rPr>
          <w:rFonts w:cs="Arial"/>
          <w:b w:val="0"/>
          <w:bCs/>
          <w:sz w:val="22"/>
          <w:szCs w:val="22"/>
          <w:u w:val="single"/>
        </w:rPr>
      </w:pPr>
    </w:p>
    <w:p w14:paraId="6CB07A82" w14:textId="65E90274" w:rsidR="00DA555E" w:rsidRPr="00001A2F" w:rsidRDefault="00DA555E" w:rsidP="00DA555E">
      <w:pPr>
        <w:pStyle w:val="Heading1"/>
        <w:ind w:left="0"/>
        <w:rPr>
          <w:rFonts w:cs="Arial"/>
          <w:b w:val="0"/>
          <w:bCs/>
          <w:sz w:val="22"/>
          <w:szCs w:val="22"/>
        </w:rPr>
      </w:pPr>
      <w:r w:rsidRPr="00DA555E">
        <w:rPr>
          <w:rFonts w:cs="Arial"/>
          <w:b w:val="0"/>
          <w:bCs/>
          <w:sz w:val="22"/>
          <w:szCs w:val="22"/>
          <w:u w:val="single"/>
        </w:rPr>
        <w:t>Connections to Other Themes</w:t>
      </w:r>
      <w:r w:rsidR="00001A2F">
        <w:rPr>
          <w:rFonts w:cs="Arial"/>
          <w:b w:val="0"/>
          <w:bCs/>
          <w:sz w:val="22"/>
          <w:szCs w:val="22"/>
          <w:u w:val="single"/>
        </w:rPr>
        <w:t xml:space="preserve"> </w:t>
      </w:r>
    </w:p>
    <w:p w14:paraId="5EF97E1A" w14:textId="77777777" w:rsidR="00543A09" w:rsidRDefault="00543A09" w:rsidP="00DA555E">
      <w:pPr>
        <w:pStyle w:val="Heading1"/>
        <w:ind w:left="0"/>
        <w:rPr>
          <w:rFonts w:cs="Arial"/>
          <w:b w:val="0"/>
          <w:bCs/>
          <w:sz w:val="22"/>
          <w:szCs w:val="22"/>
        </w:rPr>
      </w:pPr>
    </w:p>
    <w:p w14:paraId="6220401C" w14:textId="587207E7" w:rsidR="00543A09" w:rsidRPr="00543A09" w:rsidRDefault="00001A2F" w:rsidP="00001A2F">
      <w:pPr>
        <w:pStyle w:val="Heading1"/>
        <w:spacing w:line="360" w:lineRule="auto"/>
        <w:ind w:left="0"/>
        <w:rPr>
          <w:rFonts w:cs="Arial"/>
          <w:b w:val="0"/>
          <w:bCs/>
          <w:sz w:val="22"/>
          <w:szCs w:val="22"/>
        </w:rPr>
      </w:pPr>
      <w:r w:rsidRPr="00001A2F">
        <w:rPr>
          <w:rFonts w:cs="Arial"/>
          <w:b w:val="0"/>
          <w:bCs/>
          <w:sz w:val="22"/>
          <w:szCs w:val="22"/>
        </w:rPr>
        <w:t xml:space="preserve">Communication barriers are closely intertwined with both mistrust (Theme 2) and workforce competence (Theme 3). As ineffective dialogue fuels scepticism towards health institutions, mistrust becomes self-perpetuating among marginalised groups (Koffman et al., 2007). Furthermore, the ability to overcome such barriers depends heavily on the cultural competence of healthcare professionals (Papadopoulos, 2006). Without adequate training in interpreting services or cross-cultural dialogue, systemic reform remains superficial. </w:t>
      </w:r>
      <w:r w:rsidRPr="00001A2F">
        <w:rPr>
          <w:rFonts w:cs="Arial"/>
          <w:b w:val="0"/>
          <w:bCs/>
          <w:sz w:val="22"/>
          <w:szCs w:val="22"/>
        </w:rPr>
        <w:lastRenderedPageBreak/>
        <w:t>Communication, therefore, serves as the connective tissue uniting the dissertation’s broader analysis of trust, equity, and professional accountability, setting the foundation for the subsequent themes.</w:t>
      </w:r>
      <w:r w:rsidR="00BF66CE">
        <w:rPr>
          <w:rFonts w:cs="Arial"/>
          <w:b w:val="0"/>
          <w:bCs/>
          <w:sz w:val="22"/>
          <w:szCs w:val="22"/>
        </w:rPr>
        <w:t xml:space="preserve"> </w:t>
      </w:r>
      <w:r w:rsidR="00BF66CE" w:rsidRPr="00BF66CE">
        <w:rPr>
          <w:rFonts w:cs="Arial"/>
          <w:b w:val="0"/>
          <w:bCs/>
          <w:sz w:val="22"/>
          <w:szCs w:val="22"/>
        </w:rPr>
        <w:t>This theme therefore</w:t>
      </w:r>
      <w:r w:rsidR="008E7633">
        <w:rPr>
          <w:rFonts w:cs="Arial"/>
          <w:b w:val="0"/>
          <w:bCs/>
          <w:sz w:val="22"/>
          <w:szCs w:val="22"/>
        </w:rPr>
        <w:t>,</w:t>
      </w:r>
      <w:r w:rsidR="00BF66CE" w:rsidRPr="00BF66CE">
        <w:rPr>
          <w:rFonts w:cs="Arial"/>
          <w:b w:val="0"/>
          <w:bCs/>
          <w:sz w:val="22"/>
          <w:szCs w:val="22"/>
        </w:rPr>
        <w:t xml:space="preserve"> contributes directly to the research aim by demonstrating how communication barriers significantly restrict the delivery of culturally competent end-of-life care for ethnic minority communities in the UK.</w:t>
      </w:r>
    </w:p>
    <w:p w14:paraId="4C87E107" w14:textId="77777777" w:rsidR="00543A09" w:rsidRDefault="00543A09" w:rsidP="00441CB3">
      <w:pPr>
        <w:pStyle w:val="Heading1"/>
        <w:spacing w:line="360" w:lineRule="auto"/>
        <w:ind w:left="0"/>
        <w:rPr>
          <w:rFonts w:cs="Arial"/>
          <w:b w:val="0"/>
          <w:bCs/>
          <w:sz w:val="22"/>
          <w:szCs w:val="22"/>
        </w:rPr>
      </w:pPr>
    </w:p>
    <w:p w14:paraId="3A9F98D5" w14:textId="15CC0A22" w:rsidR="00E97343" w:rsidRPr="00D7365D" w:rsidRDefault="00E97343" w:rsidP="00441CB3">
      <w:pPr>
        <w:pStyle w:val="Heading1"/>
        <w:spacing w:line="360" w:lineRule="auto"/>
        <w:ind w:left="0"/>
        <w:rPr>
          <w:rFonts w:cs="Arial"/>
          <w:sz w:val="28"/>
          <w:szCs w:val="28"/>
          <w:u w:val="single"/>
        </w:rPr>
      </w:pPr>
      <w:r w:rsidRPr="00D7365D">
        <w:rPr>
          <w:rFonts w:cs="Arial"/>
          <w:sz w:val="28"/>
          <w:szCs w:val="28"/>
          <w:u w:val="single"/>
        </w:rPr>
        <w:t xml:space="preserve">4.4 – Theme 2 </w:t>
      </w:r>
      <w:r w:rsidR="00441CB3" w:rsidRPr="00D7365D">
        <w:rPr>
          <w:rFonts w:cs="Arial"/>
          <w:sz w:val="28"/>
          <w:szCs w:val="28"/>
          <w:u w:val="single"/>
        </w:rPr>
        <w:t>Mistrust and Inequalities in Service Access</w:t>
      </w:r>
    </w:p>
    <w:p w14:paraId="5986B80E" w14:textId="77777777" w:rsidR="005B4BA9" w:rsidRDefault="005B4BA9" w:rsidP="005B4BA9">
      <w:pPr>
        <w:pStyle w:val="Heading1"/>
        <w:ind w:left="0"/>
        <w:rPr>
          <w:rFonts w:cs="Arial"/>
          <w:sz w:val="22"/>
          <w:szCs w:val="22"/>
          <w:u w:val="single"/>
        </w:rPr>
      </w:pPr>
    </w:p>
    <w:p w14:paraId="295620AB" w14:textId="0EB4FEF8" w:rsidR="005B4BA9" w:rsidRDefault="005B4BA9" w:rsidP="002F5FC2">
      <w:pPr>
        <w:pStyle w:val="Heading1"/>
        <w:spacing w:line="360" w:lineRule="auto"/>
        <w:ind w:left="0"/>
        <w:rPr>
          <w:rFonts w:cs="Arial"/>
          <w:b w:val="0"/>
          <w:bCs/>
          <w:sz w:val="22"/>
          <w:szCs w:val="22"/>
          <w:u w:val="single"/>
        </w:rPr>
      </w:pPr>
      <w:r w:rsidRPr="002F5FC2">
        <w:rPr>
          <w:rFonts w:cs="Arial"/>
          <w:b w:val="0"/>
          <w:bCs/>
          <w:sz w:val="22"/>
          <w:szCs w:val="22"/>
          <w:u w:val="single"/>
        </w:rPr>
        <w:t xml:space="preserve">Definition </w:t>
      </w:r>
    </w:p>
    <w:p w14:paraId="089D3EE8" w14:textId="77777777" w:rsidR="004637B0" w:rsidRDefault="004637B0" w:rsidP="00B00D2F">
      <w:pPr>
        <w:pStyle w:val="Heading1"/>
        <w:ind w:left="0"/>
        <w:rPr>
          <w:rFonts w:cs="Arial"/>
          <w:b w:val="0"/>
          <w:bCs/>
          <w:sz w:val="22"/>
          <w:szCs w:val="22"/>
        </w:rPr>
      </w:pPr>
    </w:p>
    <w:p w14:paraId="27EFBC62" w14:textId="77777777" w:rsidR="00AB549D" w:rsidRPr="00AB549D" w:rsidRDefault="00AB549D" w:rsidP="00AB549D">
      <w:pPr>
        <w:pStyle w:val="Heading1"/>
        <w:spacing w:line="360" w:lineRule="auto"/>
        <w:ind w:left="0"/>
        <w:rPr>
          <w:rFonts w:cs="Arial"/>
          <w:b w:val="0"/>
          <w:bCs/>
          <w:sz w:val="22"/>
          <w:szCs w:val="22"/>
        </w:rPr>
      </w:pPr>
      <w:r w:rsidRPr="00AB549D">
        <w:rPr>
          <w:rFonts w:cs="Arial"/>
          <w:b w:val="0"/>
          <w:bCs/>
          <w:sz w:val="22"/>
          <w:szCs w:val="22"/>
        </w:rPr>
        <w:t>Mistrust in healthcare refers to a lack of confidence in the fairness, integrity, or competence of professionals and institutions. Among minority ethnic communities, it often arises from experiences of discrimination, cultural insensitivity, and exclusion from shared decision-making (Mbabazi et al., 2022). In end-of-life (EOL) care, such mistrust may manifest as reluctance to engage with hospices, avoidance of advance care planning, or reliance on family and faith-based support (Dosani et al., 2020).</w:t>
      </w:r>
    </w:p>
    <w:p w14:paraId="331ACF4C" w14:textId="77777777" w:rsidR="00AB549D" w:rsidRPr="00AB549D" w:rsidRDefault="00AB549D" w:rsidP="00AB549D">
      <w:pPr>
        <w:pStyle w:val="Heading1"/>
        <w:spacing w:line="360" w:lineRule="auto"/>
        <w:rPr>
          <w:rFonts w:cs="Arial"/>
          <w:b w:val="0"/>
          <w:bCs/>
          <w:sz w:val="22"/>
          <w:szCs w:val="22"/>
        </w:rPr>
      </w:pPr>
    </w:p>
    <w:p w14:paraId="23846AB1" w14:textId="268F6C54" w:rsidR="004637B0" w:rsidRDefault="00AB549D" w:rsidP="00AB549D">
      <w:pPr>
        <w:pStyle w:val="Heading1"/>
        <w:spacing w:line="360" w:lineRule="auto"/>
        <w:ind w:left="0"/>
        <w:rPr>
          <w:rFonts w:cs="Arial"/>
          <w:b w:val="0"/>
          <w:bCs/>
          <w:sz w:val="22"/>
          <w:szCs w:val="22"/>
        </w:rPr>
      </w:pPr>
      <w:r w:rsidRPr="00AB549D">
        <w:rPr>
          <w:rFonts w:cs="Arial"/>
          <w:b w:val="0"/>
          <w:bCs/>
          <w:sz w:val="22"/>
          <w:szCs w:val="22"/>
        </w:rPr>
        <w:t>Inequalities in access are defined as systematic differences in the availability, quality, and uptake of services between ethnic groups, resulting in disproportionate burdens and poorer outcomes (Public Health England, 2018). This dissertation contends that mistrust and inequality are mutually reinforcing—cultural misunderstanding fosters disengagement, which perpetuates unequal access (</w:t>
      </w:r>
      <w:proofErr w:type="spellStart"/>
      <w:r w:rsidRPr="00AB549D">
        <w:rPr>
          <w:rFonts w:cs="Arial"/>
          <w:b w:val="0"/>
          <w:bCs/>
          <w:sz w:val="22"/>
          <w:szCs w:val="22"/>
        </w:rPr>
        <w:t>Calanzani</w:t>
      </w:r>
      <w:proofErr w:type="spellEnd"/>
      <w:r w:rsidRPr="00AB549D">
        <w:rPr>
          <w:rFonts w:cs="Arial"/>
          <w:b w:val="0"/>
          <w:bCs/>
          <w:sz w:val="22"/>
          <w:szCs w:val="22"/>
        </w:rPr>
        <w:t xml:space="preserve"> et al., 2013).</w:t>
      </w:r>
    </w:p>
    <w:p w14:paraId="547F7AEF" w14:textId="77777777" w:rsidR="004637B0" w:rsidRDefault="004637B0" w:rsidP="00B00D2F">
      <w:pPr>
        <w:pStyle w:val="Heading1"/>
        <w:ind w:left="0"/>
        <w:rPr>
          <w:rFonts w:cs="Arial"/>
          <w:b w:val="0"/>
          <w:bCs/>
          <w:sz w:val="22"/>
          <w:szCs w:val="22"/>
        </w:rPr>
      </w:pPr>
    </w:p>
    <w:p w14:paraId="1F79D2F4" w14:textId="69A02417" w:rsidR="00B00D2F" w:rsidRPr="00A57268" w:rsidRDefault="00B00D2F" w:rsidP="00B00D2F">
      <w:pPr>
        <w:pStyle w:val="Heading1"/>
        <w:ind w:left="0"/>
        <w:rPr>
          <w:rFonts w:cs="Arial"/>
          <w:b w:val="0"/>
          <w:bCs/>
          <w:sz w:val="22"/>
          <w:szCs w:val="22"/>
        </w:rPr>
      </w:pPr>
      <w:r w:rsidRPr="00B00D2F">
        <w:rPr>
          <w:rFonts w:cs="Arial"/>
          <w:b w:val="0"/>
          <w:bCs/>
          <w:sz w:val="22"/>
          <w:szCs w:val="22"/>
          <w:u w:val="single"/>
        </w:rPr>
        <w:t>Background Information</w:t>
      </w:r>
      <w:r w:rsidR="00A57268">
        <w:rPr>
          <w:rFonts w:cs="Arial"/>
          <w:b w:val="0"/>
          <w:bCs/>
          <w:sz w:val="22"/>
          <w:szCs w:val="22"/>
          <w:u w:val="single"/>
        </w:rPr>
        <w:t xml:space="preserve"> </w:t>
      </w:r>
    </w:p>
    <w:p w14:paraId="1F9EAC3D" w14:textId="77777777" w:rsidR="00B00D2F" w:rsidRPr="00B00D2F" w:rsidRDefault="00B00D2F" w:rsidP="00B00D2F">
      <w:pPr>
        <w:pStyle w:val="Heading1"/>
        <w:rPr>
          <w:rFonts w:cs="Arial"/>
          <w:b w:val="0"/>
          <w:bCs/>
          <w:sz w:val="22"/>
          <w:szCs w:val="22"/>
        </w:rPr>
      </w:pPr>
    </w:p>
    <w:p w14:paraId="4DB8E841" w14:textId="77777777" w:rsidR="00FC1DB4" w:rsidRPr="00FC1DB4" w:rsidRDefault="00FC1DB4" w:rsidP="00FC1DB4">
      <w:pPr>
        <w:pStyle w:val="Heading1"/>
        <w:spacing w:line="360" w:lineRule="auto"/>
        <w:ind w:left="0"/>
        <w:rPr>
          <w:rFonts w:cs="Arial"/>
          <w:b w:val="0"/>
          <w:bCs/>
          <w:sz w:val="22"/>
          <w:szCs w:val="22"/>
        </w:rPr>
      </w:pPr>
      <w:r w:rsidRPr="00FC1DB4">
        <w:rPr>
          <w:rFonts w:cs="Arial"/>
          <w:b w:val="0"/>
          <w:bCs/>
          <w:sz w:val="22"/>
          <w:szCs w:val="22"/>
        </w:rPr>
        <w:t>Inequalities in healthcare access for ethnic minorities in the UK have long-standing structural roots. Early studies identified how language and cultural barriers contributed to exclusion from mainstream care (</w:t>
      </w:r>
      <w:proofErr w:type="spellStart"/>
      <w:r w:rsidRPr="00FC1DB4">
        <w:rPr>
          <w:rFonts w:cs="Arial"/>
          <w:b w:val="0"/>
          <w:bCs/>
          <w:sz w:val="22"/>
          <w:szCs w:val="22"/>
        </w:rPr>
        <w:t>Szczepura</w:t>
      </w:r>
      <w:proofErr w:type="spellEnd"/>
      <w:r w:rsidRPr="00FC1DB4">
        <w:rPr>
          <w:rFonts w:cs="Arial"/>
          <w:b w:val="0"/>
          <w:bCs/>
          <w:sz w:val="22"/>
          <w:szCs w:val="22"/>
        </w:rPr>
        <w:t>, 2005). Despite policy efforts, disparities persist across health and social care (Salway et al., 2016).</w:t>
      </w:r>
    </w:p>
    <w:p w14:paraId="49B2E36C" w14:textId="77777777" w:rsidR="00FC1DB4" w:rsidRPr="00FC1DB4" w:rsidRDefault="00FC1DB4" w:rsidP="00FC1DB4">
      <w:pPr>
        <w:pStyle w:val="Heading1"/>
        <w:spacing w:line="360" w:lineRule="auto"/>
        <w:rPr>
          <w:rFonts w:cs="Arial"/>
          <w:b w:val="0"/>
          <w:bCs/>
          <w:sz w:val="22"/>
          <w:szCs w:val="22"/>
        </w:rPr>
      </w:pPr>
    </w:p>
    <w:p w14:paraId="6ECB8FF5" w14:textId="77777777" w:rsidR="00FC1DB4" w:rsidRPr="00FC1DB4" w:rsidRDefault="00FC1DB4" w:rsidP="00FC1DB4">
      <w:pPr>
        <w:pStyle w:val="Heading1"/>
        <w:spacing w:line="360" w:lineRule="auto"/>
        <w:ind w:left="0"/>
        <w:rPr>
          <w:rFonts w:cs="Arial"/>
          <w:b w:val="0"/>
          <w:bCs/>
          <w:sz w:val="22"/>
          <w:szCs w:val="22"/>
        </w:rPr>
      </w:pPr>
      <w:r w:rsidRPr="00FC1DB4">
        <w:rPr>
          <w:rFonts w:cs="Arial"/>
          <w:b w:val="0"/>
          <w:bCs/>
          <w:sz w:val="22"/>
          <w:szCs w:val="22"/>
        </w:rPr>
        <w:t>Evidence suggests that mistrust is a key mechanism sustaining these disparities. Negative experiences such as stereotyping, limited recognition of religious or cultural needs, and inadequate communication reinforce perceptions of bias and neglect (Chipman et al., 2024). Within EOL care, this is evident in the persistent underrepresentation of minority groups in hospice populations, even where need is higher (</w:t>
      </w:r>
      <w:proofErr w:type="spellStart"/>
      <w:r w:rsidRPr="00FC1DB4">
        <w:rPr>
          <w:rFonts w:cs="Arial"/>
          <w:b w:val="0"/>
          <w:bCs/>
          <w:sz w:val="22"/>
          <w:szCs w:val="22"/>
        </w:rPr>
        <w:t>Etkind</w:t>
      </w:r>
      <w:proofErr w:type="spellEnd"/>
      <w:r w:rsidRPr="00FC1DB4">
        <w:rPr>
          <w:rFonts w:cs="Arial"/>
          <w:b w:val="0"/>
          <w:bCs/>
          <w:sz w:val="22"/>
          <w:szCs w:val="22"/>
        </w:rPr>
        <w:t xml:space="preserve"> et al., 2017).</w:t>
      </w:r>
    </w:p>
    <w:p w14:paraId="125E8F29" w14:textId="77777777" w:rsidR="00FC1DB4" w:rsidRPr="00FC1DB4" w:rsidRDefault="00FC1DB4" w:rsidP="00FC1DB4">
      <w:pPr>
        <w:pStyle w:val="Heading1"/>
        <w:spacing w:line="360" w:lineRule="auto"/>
        <w:rPr>
          <w:rFonts w:cs="Arial"/>
          <w:b w:val="0"/>
          <w:bCs/>
          <w:sz w:val="22"/>
          <w:szCs w:val="22"/>
        </w:rPr>
      </w:pPr>
    </w:p>
    <w:p w14:paraId="4FF51CE2" w14:textId="50A6D3C3" w:rsidR="00303B1A" w:rsidRDefault="00FC1DB4" w:rsidP="00FC1DB4">
      <w:pPr>
        <w:pStyle w:val="Heading1"/>
        <w:spacing w:line="360" w:lineRule="auto"/>
        <w:ind w:left="0"/>
        <w:rPr>
          <w:rFonts w:cs="Arial"/>
          <w:b w:val="0"/>
          <w:bCs/>
          <w:sz w:val="22"/>
          <w:szCs w:val="22"/>
        </w:rPr>
      </w:pPr>
      <w:r w:rsidRPr="00FC1DB4">
        <w:rPr>
          <w:rFonts w:cs="Arial"/>
          <w:b w:val="0"/>
          <w:bCs/>
          <w:sz w:val="22"/>
          <w:szCs w:val="22"/>
        </w:rPr>
        <w:t xml:space="preserve">While the Equality Act (2010) and NHS Long Term Plan (2019) seek to promote fairness, implementation remains inconsistent. Scholars argue that equity-focused rhetoric is </w:t>
      </w:r>
      <w:r w:rsidRPr="00FC1DB4">
        <w:rPr>
          <w:rFonts w:cs="Arial"/>
          <w:b w:val="0"/>
          <w:bCs/>
          <w:sz w:val="22"/>
          <w:szCs w:val="22"/>
        </w:rPr>
        <w:lastRenderedPageBreak/>
        <w:t>undermined by limited resources, workforce gaps, and insufficient community engagement (Public Health England, 2018; Hospice UK, 2021). These findings demonstrate that mistrust and inequality are not isolated problems but symptoms of systemic failure.</w:t>
      </w:r>
    </w:p>
    <w:p w14:paraId="7A478642" w14:textId="77777777" w:rsidR="00E50AC9" w:rsidRDefault="00E50AC9" w:rsidP="005C13DD">
      <w:pPr>
        <w:pStyle w:val="Heading1"/>
        <w:spacing w:line="360" w:lineRule="auto"/>
        <w:ind w:left="0"/>
        <w:rPr>
          <w:rFonts w:cs="Arial"/>
          <w:b w:val="0"/>
          <w:bCs/>
          <w:sz w:val="22"/>
          <w:szCs w:val="22"/>
        </w:rPr>
      </w:pPr>
    </w:p>
    <w:p w14:paraId="00ADF9C9" w14:textId="0EA675A0" w:rsidR="00303B1A" w:rsidRPr="005E7B7B" w:rsidRDefault="00303B1A" w:rsidP="00303B1A">
      <w:pPr>
        <w:pStyle w:val="Heading1"/>
        <w:ind w:left="0"/>
        <w:rPr>
          <w:rFonts w:cs="Arial"/>
          <w:b w:val="0"/>
          <w:bCs/>
          <w:sz w:val="22"/>
          <w:szCs w:val="22"/>
        </w:rPr>
      </w:pPr>
      <w:r w:rsidRPr="00303B1A">
        <w:rPr>
          <w:rFonts w:cs="Arial"/>
          <w:b w:val="0"/>
          <w:bCs/>
          <w:sz w:val="22"/>
          <w:szCs w:val="22"/>
          <w:u w:val="single"/>
        </w:rPr>
        <w:t>Impact on Research Question</w:t>
      </w:r>
      <w:r w:rsidR="002C72BB">
        <w:rPr>
          <w:rFonts w:cs="Arial"/>
          <w:b w:val="0"/>
          <w:bCs/>
          <w:sz w:val="22"/>
          <w:szCs w:val="22"/>
          <w:u w:val="single"/>
        </w:rPr>
        <w:t xml:space="preserve"> </w:t>
      </w:r>
    </w:p>
    <w:p w14:paraId="104E958B" w14:textId="77777777" w:rsidR="002C72BB" w:rsidRPr="00303B1A" w:rsidRDefault="002C72BB" w:rsidP="00303B1A">
      <w:pPr>
        <w:pStyle w:val="Heading1"/>
        <w:ind w:left="0"/>
        <w:rPr>
          <w:rFonts w:cs="Arial"/>
          <w:b w:val="0"/>
          <w:bCs/>
          <w:sz w:val="22"/>
          <w:szCs w:val="22"/>
          <w:u w:val="single"/>
        </w:rPr>
      </w:pPr>
    </w:p>
    <w:p w14:paraId="62E4BFCF" w14:textId="77777777" w:rsidR="005A1930" w:rsidRPr="005A1930" w:rsidRDefault="005A1930" w:rsidP="005A1930">
      <w:pPr>
        <w:pStyle w:val="Heading1"/>
        <w:spacing w:line="360" w:lineRule="auto"/>
        <w:ind w:left="0"/>
        <w:rPr>
          <w:rFonts w:cs="Arial"/>
          <w:b w:val="0"/>
          <w:bCs/>
          <w:sz w:val="22"/>
          <w:szCs w:val="22"/>
        </w:rPr>
      </w:pPr>
      <w:r w:rsidRPr="005A1930">
        <w:rPr>
          <w:rFonts w:cs="Arial"/>
          <w:b w:val="0"/>
          <w:bCs/>
          <w:sz w:val="22"/>
          <w:szCs w:val="22"/>
        </w:rPr>
        <w:t>This theme directly advances the research aim by showing how mistrust and inequality hinder culturally competent EOL care. Mistrust is not simply an individual perception but a collective response to systemic failings such as poor communication and lack of cultural representation (Mbabazi et al., 2022).</w:t>
      </w:r>
    </w:p>
    <w:p w14:paraId="7C9F6002" w14:textId="77777777" w:rsidR="005A1930" w:rsidRPr="005A1930" w:rsidRDefault="005A1930" w:rsidP="005A1930">
      <w:pPr>
        <w:pStyle w:val="Heading1"/>
        <w:spacing w:line="360" w:lineRule="auto"/>
        <w:rPr>
          <w:rFonts w:cs="Arial"/>
          <w:b w:val="0"/>
          <w:bCs/>
          <w:sz w:val="22"/>
          <w:szCs w:val="22"/>
        </w:rPr>
      </w:pPr>
    </w:p>
    <w:p w14:paraId="09331794" w14:textId="77777777" w:rsidR="005A1930" w:rsidRPr="005A1930" w:rsidRDefault="005A1930" w:rsidP="005A1930">
      <w:pPr>
        <w:pStyle w:val="Heading1"/>
        <w:spacing w:line="360" w:lineRule="auto"/>
        <w:ind w:left="0"/>
        <w:rPr>
          <w:rFonts w:cs="Arial"/>
          <w:b w:val="0"/>
          <w:bCs/>
          <w:sz w:val="22"/>
          <w:szCs w:val="22"/>
        </w:rPr>
      </w:pPr>
      <w:r w:rsidRPr="005A1930">
        <w:rPr>
          <w:rFonts w:cs="Arial"/>
          <w:b w:val="0"/>
          <w:bCs/>
          <w:sz w:val="22"/>
          <w:szCs w:val="22"/>
        </w:rPr>
        <w:t>Evidence indicates that mistrust discourages minority families from engaging with hospices, leading to delayed referrals, minimal advance care planning, and increased reliance on informal networks (Dosani et al., 2020). Patients often enter services only at crisis points, reducing care options and outcomes (</w:t>
      </w:r>
      <w:proofErr w:type="spellStart"/>
      <w:r w:rsidRPr="005A1930">
        <w:rPr>
          <w:rFonts w:cs="Arial"/>
          <w:b w:val="0"/>
          <w:bCs/>
          <w:sz w:val="22"/>
          <w:szCs w:val="22"/>
        </w:rPr>
        <w:t>Etkind</w:t>
      </w:r>
      <w:proofErr w:type="spellEnd"/>
      <w:r w:rsidRPr="005A1930">
        <w:rPr>
          <w:rFonts w:cs="Arial"/>
          <w:b w:val="0"/>
          <w:bCs/>
          <w:sz w:val="22"/>
          <w:szCs w:val="22"/>
        </w:rPr>
        <w:t xml:space="preserve"> et al., 2017). These dynamics erode the foundation of patient-centred care—individuals may withhold preferences or refuse services perceived as culturally incompatible (</w:t>
      </w:r>
      <w:proofErr w:type="spellStart"/>
      <w:r w:rsidRPr="005A1930">
        <w:rPr>
          <w:rFonts w:cs="Arial"/>
          <w:b w:val="0"/>
          <w:bCs/>
          <w:sz w:val="22"/>
          <w:szCs w:val="22"/>
        </w:rPr>
        <w:t>Gatrad</w:t>
      </w:r>
      <w:proofErr w:type="spellEnd"/>
      <w:r w:rsidRPr="005A1930">
        <w:rPr>
          <w:rFonts w:cs="Arial"/>
          <w:b w:val="0"/>
          <w:bCs/>
          <w:sz w:val="22"/>
          <w:szCs w:val="22"/>
        </w:rPr>
        <w:t xml:space="preserve"> and Sheikh, 2002).</w:t>
      </w:r>
    </w:p>
    <w:p w14:paraId="081C3D25" w14:textId="77777777" w:rsidR="005A1930" w:rsidRPr="005A1930" w:rsidRDefault="005A1930" w:rsidP="005A1930">
      <w:pPr>
        <w:pStyle w:val="Heading1"/>
        <w:spacing w:line="360" w:lineRule="auto"/>
        <w:rPr>
          <w:rFonts w:cs="Arial"/>
          <w:b w:val="0"/>
          <w:bCs/>
          <w:sz w:val="22"/>
          <w:szCs w:val="22"/>
        </w:rPr>
      </w:pPr>
    </w:p>
    <w:p w14:paraId="29C4E372" w14:textId="3E6266A5" w:rsidR="002C72BB" w:rsidRDefault="005A1930" w:rsidP="005A1930">
      <w:pPr>
        <w:pStyle w:val="Heading1"/>
        <w:spacing w:line="360" w:lineRule="auto"/>
        <w:ind w:left="0"/>
        <w:rPr>
          <w:rFonts w:cs="Arial"/>
          <w:b w:val="0"/>
          <w:bCs/>
          <w:sz w:val="22"/>
          <w:szCs w:val="22"/>
        </w:rPr>
      </w:pPr>
      <w:r w:rsidRPr="005A1930">
        <w:rPr>
          <w:rFonts w:cs="Arial"/>
          <w:b w:val="0"/>
          <w:bCs/>
          <w:sz w:val="22"/>
          <w:szCs w:val="22"/>
        </w:rPr>
        <w:t>Overall, mistrust and inequality weaken confidence in EOL care and highlight the urgent need for culturally informed service delivery.</w:t>
      </w:r>
    </w:p>
    <w:p w14:paraId="51B5195D" w14:textId="77777777" w:rsidR="001274BA" w:rsidRDefault="001274BA" w:rsidP="001919D1">
      <w:pPr>
        <w:pStyle w:val="Heading1"/>
        <w:ind w:left="0"/>
        <w:rPr>
          <w:rFonts w:cs="Arial"/>
          <w:b w:val="0"/>
          <w:bCs/>
          <w:sz w:val="22"/>
          <w:szCs w:val="22"/>
          <w:u w:val="single"/>
        </w:rPr>
      </w:pPr>
    </w:p>
    <w:p w14:paraId="268907EC" w14:textId="2BC04C31" w:rsidR="001919D1" w:rsidRPr="001919D1" w:rsidRDefault="001919D1" w:rsidP="001919D1">
      <w:pPr>
        <w:pStyle w:val="Heading1"/>
        <w:ind w:left="0"/>
        <w:rPr>
          <w:rFonts w:cs="Arial"/>
          <w:b w:val="0"/>
          <w:bCs/>
          <w:sz w:val="22"/>
          <w:szCs w:val="22"/>
          <w:u w:val="single"/>
        </w:rPr>
      </w:pPr>
      <w:r w:rsidRPr="001919D1">
        <w:rPr>
          <w:rFonts w:cs="Arial"/>
          <w:b w:val="0"/>
          <w:bCs/>
          <w:sz w:val="22"/>
          <w:szCs w:val="22"/>
          <w:u w:val="single"/>
        </w:rPr>
        <w:t xml:space="preserve">Statistical Information </w:t>
      </w:r>
    </w:p>
    <w:p w14:paraId="7201C1F9" w14:textId="77777777" w:rsidR="001919D1" w:rsidRPr="001919D1" w:rsidRDefault="001919D1" w:rsidP="001919D1">
      <w:pPr>
        <w:pStyle w:val="Heading1"/>
        <w:rPr>
          <w:rFonts w:cs="Arial"/>
          <w:b w:val="0"/>
          <w:bCs/>
          <w:sz w:val="22"/>
          <w:szCs w:val="22"/>
        </w:rPr>
      </w:pPr>
    </w:p>
    <w:p w14:paraId="3F3EB47A" w14:textId="77777777" w:rsidR="00307D29" w:rsidRPr="00307D29" w:rsidRDefault="00307D29" w:rsidP="00307D29">
      <w:pPr>
        <w:pStyle w:val="Heading1"/>
        <w:spacing w:line="360" w:lineRule="auto"/>
        <w:ind w:left="0"/>
        <w:rPr>
          <w:rFonts w:cs="Arial"/>
          <w:b w:val="0"/>
          <w:bCs/>
          <w:sz w:val="22"/>
          <w:szCs w:val="22"/>
        </w:rPr>
      </w:pPr>
      <w:r w:rsidRPr="00307D29">
        <w:rPr>
          <w:rFonts w:cs="Arial"/>
          <w:b w:val="0"/>
          <w:bCs/>
          <w:sz w:val="22"/>
          <w:szCs w:val="22"/>
        </w:rPr>
        <w:t>Quantitative data clearly illustrate these inequalities. The Office for National Statistics (2021) reported that Black and Asian communities experience higher mortality from chronic conditions yet remain underrepresented in hospices. Hospice UK (2021) found that although minority groups comprise over 14% of the population in urban areas, they represent only 2–3% of hospice users, compared with over 85% of White British patients.</w:t>
      </w:r>
    </w:p>
    <w:p w14:paraId="639E730D" w14:textId="77777777" w:rsidR="00307D29" w:rsidRPr="00307D29" w:rsidRDefault="00307D29" w:rsidP="00307D29">
      <w:pPr>
        <w:pStyle w:val="Heading1"/>
        <w:spacing w:line="360" w:lineRule="auto"/>
        <w:rPr>
          <w:rFonts w:cs="Arial"/>
          <w:b w:val="0"/>
          <w:bCs/>
          <w:sz w:val="22"/>
          <w:szCs w:val="22"/>
        </w:rPr>
      </w:pPr>
    </w:p>
    <w:p w14:paraId="418473CA" w14:textId="50B0A58B" w:rsidR="00AE13A8" w:rsidRDefault="00307D29" w:rsidP="00307D29">
      <w:pPr>
        <w:pStyle w:val="Heading1"/>
        <w:spacing w:line="360" w:lineRule="auto"/>
        <w:ind w:left="0"/>
        <w:rPr>
          <w:rFonts w:cs="Arial"/>
          <w:b w:val="0"/>
          <w:bCs/>
          <w:sz w:val="22"/>
          <w:szCs w:val="22"/>
        </w:rPr>
      </w:pPr>
      <w:r w:rsidRPr="00307D29">
        <w:rPr>
          <w:rFonts w:cs="Arial"/>
          <w:b w:val="0"/>
          <w:bCs/>
          <w:sz w:val="22"/>
          <w:szCs w:val="22"/>
        </w:rPr>
        <w:t>Similarly, Public Health England (2018) identified disparities in referrals and pain management. Ali and Watson (2018) observed that the COVID-19 pandemic intensified these inequities by limiting access to palliative discussions. National data also often fail to disaggregate ethnicity consistently, masking the true scale of the problem (Salway et al., 2016). Collectively, these figures demonstrate that mistrust and inequality are measurable, persistent, and systemic, underscoring the need to embed cultural competence within palliative care.</w:t>
      </w:r>
    </w:p>
    <w:p w14:paraId="07FFD3FB" w14:textId="77777777" w:rsidR="00307D29" w:rsidRDefault="00307D29" w:rsidP="00307D29">
      <w:pPr>
        <w:pStyle w:val="Heading1"/>
        <w:spacing w:line="360" w:lineRule="auto"/>
        <w:ind w:left="0"/>
        <w:rPr>
          <w:rFonts w:cs="Arial"/>
          <w:b w:val="0"/>
          <w:bCs/>
          <w:sz w:val="22"/>
          <w:szCs w:val="22"/>
        </w:rPr>
      </w:pPr>
    </w:p>
    <w:p w14:paraId="50218C65" w14:textId="77777777" w:rsidR="00C457AB" w:rsidRDefault="00C457AB" w:rsidP="00307D29">
      <w:pPr>
        <w:pStyle w:val="Heading1"/>
        <w:spacing w:line="360" w:lineRule="auto"/>
        <w:ind w:left="0"/>
        <w:rPr>
          <w:rFonts w:cs="Arial"/>
          <w:b w:val="0"/>
          <w:bCs/>
          <w:sz w:val="22"/>
          <w:szCs w:val="22"/>
        </w:rPr>
      </w:pPr>
    </w:p>
    <w:p w14:paraId="2A4C82D2" w14:textId="7AC660F3" w:rsidR="0040366A" w:rsidRPr="0040366A" w:rsidRDefault="0040366A" w:rsidP="00AE13A8">
      <w:pPr>
        <w:pStyle w:val="Heading1"/>
        <w:spacing w:line="360" w:lineRule="auto"/>
        <w:ind w:left="0"/>
        <w:rPr>
          <w:rFonts w:cs="Arial"/>
          <w:b w:val="0"/>
          <w:bCs/>
          <w:sz w:val="22"/>
          <w:szCs w:val="22"/>
          <w:u w:val="single"/>
        </w:rPr>
      </w:pPr>
      <w:r w:rsidRPr="0040366A">
        <w:rPr>
          <w:rFonts w:cs="Arial"/>
          <w:b w:val="0"/>
          <w:bCs/>
          <w:sz w:val="22"/>
          <w:szCs w:val="22"/>
          <w:u w:val="single"/>
        </w:rPr>
        <w:lastRenderedPageBreak/>
        <w:t>Theories, Policies, and Legislation</w:t>
      </w:r>
      <w:r w:rsidR="00D34F15">
        <w:rPr>
          <w:rFonts w:cs="Arial"/>
          <w:b w:val="0"/>
          <w:bCs/>
          <w:sz w:val="22"/>
          <w:szCs w:val="22"/>
          <w:u w:val="single"/>
        </w:rPr>
        <w:t xml:space="preserve"> </w:t>
      </w:r>
    </w:p>
    <w:p w14:paraId="54437C2B" w14:textId="77777777" w:rsidR="0040366A" w:rsidRPr="0040366A" w:rsidRDefault="0040366A" w:rsidP="0091415F">
      <w:pPr>
        <w:pStyle w:val="Heading1"/>
        <w:ind w:left="0"/>
        <w:rPr>
          <w:rFonts w:cs="Arial"/>
          <w:b w:val="0"/>
          <w:bCs/>
          <w:sz w:val="22"/>
          <w:szCs w:val="22"/>
        </w:rPr>
      </w:pPr>
    </w:p>
    <w:p w14:paraId="45A5423F" w14:textId="77777777" w:rsidR="0091415F" w:rsidRPr="0091415F" w:rsidRDefault="0091415F" w:rsidP="0091415F">
      <w:pPr>
        <w:pStyle w:val="Heading1"/>
        <w:spacing w:line="360" w:lineRule="auto"/>
        <w:ind w:left="0"/>
        <w:rPr>
          <w:rFonts w:cs="Arial"/>
          <w:b w:val="0"/>
          <w:bCs/>
          <w:sz w:val="22"/>
          <w:szCs w:val="22"/>
        </w:rPr>
      </w:pPr>
      <w:r w:rsidRPr="0091415F">
        <w:rPr>
          <w:rFonts w:cs="Arial"/>
          <w:b w:val="0"/>
          <w:bCs/>
          <w:sz w:val="22"/>
          <w:szCs w:val="22"/>
        </w:rPr>
        <w:t xml:space="preserve">Critical Race Theory (CRT) provides a robust framework for understanding mistrust and inequalities, emphasising that racism and exclusion are embedded within institutional systems rather than isolated incidents (Ford and </w:t>
      </w:r>
      <w:proofErr w:type="spellStart"/>
      <w:r w:rsidRPr="0091415F">
        <w:rPr>
          <w:rFonts w:cs="Arial"/>
          <w:b w:val="0"/>
          <w:bCs/>
          <w:sz w:val="22"/>
          <w:szCs w:val="22"/>
        </w:rPr>
        <w:t>Airhihenbuwa</w:t>
      </w:r>
      <w:proofErr w:type="spellEnd"/>
      <w:r w:rsidRPr="0091415F">
        <w:rPr>
          <w:rFonts w:cs="Arial"/>
          <w:b w:val="0"/>
          <w:bCs/>
          <w:sz w:val="22"/>
          <w:szCs w:val="22"/>
        </w:rPr>
        <w:t>, 2010). Complementing this, Papadopoulos’ Cultural Competence Model (2018) highlights that trust-building requires sustained awareness, reflection, and engagement with diverse communities.</w:t>
      </w:r>
    </w:p>
    <w:p w14:paraId="6FEB3FDA" w14:textId="77777777" w:rsidR="0091415F" w:rsidRPr="0091415F" w:rsidRDefault="0091415F" w:rsidP="0091415F">
      <w:pPr>
        <w:pStyle w:val="Heading1"/>
        <w:spacing w:line="360" w:lineRule="auto"/>
        <w:rPr>
          <w:rFonts w:cs="Arial"/>
          <w:b w:val="0"/>
          <w:bCs/>
          <w:sz w:val="22"/>
          <w:szCs w:val="22"/>
        </w:rPr>
      </w:pPr>
    </w:p>
    <w:p w14:paraId="6A269816" w14:textId="2EFD8DA6" w:rsidR="00CF3D95" w:rsidRDefault="0091415F" w:rsidP="0091415F">
      <w:pPr>
        <w:pStyle w:val="Heading1"/>
        <w:spacing w:line="360" w:lineRule="auto"/>
        <w:ind w:left="0"/>
        <w:rPr>
          <w:rFonts w:cs="Arial"/>
          <w:b w:val="0"/>
          <w:bCs/>
          <w:sz w:val="22"/>
          <w:szCs w:val="22"/>
        </w:rPr>
      </w:pPr>
      <w:r w:rsidRPr="0091415F">
        <w:rPr>
          <w:rFonts w:cs="Arial"/>
          <w:b w:val="0"/>
          <w:bCs/>
          <w:sz w:val="22"/>
          <w:szCs w:val="22"/>
        </w:rPr>
        <w:t>Legislatively, the Equality Act 2010 and Health and Social Care Act 2012 mandate equal access and non-discrimination, while the NHS Long Term Plan (2019) and CQC (2021) frameworks reinforce equity across care provision. However, as Salway et al. (2016) and Hospice UK (2021) argue, policy alone is insufficient. Without investment in training and structural accountability, equality goals remain unfulfilled. Thus, advancing cultural competence is central to rebuilding trust and closing access gaps.</w:t>
      </w:r>
    </w:p>
    <w:p w14:paraId="1FA80C28" w14:textId="77777777" w:rsidR="0091415F" w:rsidRDefault="0091415F" w:rsidP="0040366A">
      <w:pPr>
        <w:pStyle w:val="Heading1"/>
        <w:spacing w:line="360" w:lineRule="auto"/>
        <w:ind w:left="0"/>
        <w:rPr>
          <w:rFonts w:cs="Arial"/>
          <w:b w:val="0"/>
          <w:bCs/>
          <w:sz w:val="22"/>
          <w:szCs w:val="22"/>
        </w:rPr>
      </w:pPr>
    </w:p>
    <w:p w14:paraId="47676585" w14:textId="238E80A1" w:rsidR="00E87CE7" w:rsidRPr="004E4A3C" w:rsidRDefault="00E87CE7" w:rsidP="00E87CE7">
      <w:pPr>
        <w:pStyle w:val="Heading1"/>
        <w:ind w:left="0"/>
        <w:rPr>
          <w:rFonts w:cs="Arial"/>
          <w:b w:val="0"/>
          <w:bCs/>
          <w:sz w:val="22"/>
          <w:szCs w:val="22"/>
        </w:rPr>
      </w:pPr>
      <w:r w:rsidRPr="00E87CE7">
        <w:rPr>
          <w:rFonts w:cs="Arial"/>
          <w:b w:val="0"/>
          <w:bCs/>
          <w:sz w:val="22"/>
          <w:szCs w:val="22"/>
          <w:u w:val="single"/>
        </w:rPr>
        <w:t xml:space="preserve">Implications </w:t>
      </w:r>
      <w:r w:rsidR="004E4A3C">
        <w:rPr>
          <w:rFonts w:cs="Arial"/>
          <w:b w:val="0"/>
          <w:bCs/>
          <w:sz w:val="22"/>
          <w:szCs w:val="22"/>
          <w:u w:val="single"/>
        </w:rPr>
        <w:t xml:space="preserve"> </w:t>
      </w:r>
    </w:p>
    <w:p w14:paraId="64AE8704" w14:textId="77777777" w:rsidR="00E87CE7" w:rsidRDefault="00E87CE7" w:rsidP="004E4A3C">
      <w:pPr>
        <w:pStyle w:val="Heading1"/>
        <w:ind w:left="0"/>
        <w:rPr>
          <w:rFonts w:cs="Arial"/>
          <w:b w:val="0"/>
          <w:bCs/>
          <w:sz w:val="22"/>
          <w:szCs w:val="22"/>
        </w:rPr>
      </w:pPr>
    </w:p>
    <w:p w14:paraId="1913FFDD" w14:textId="77777777" w:rsidR="00F51F3C" w:rsidRPr="00F51F3C" w:rsidRDefault="00F51F3C" w:rsidP="00F51F3C">
      <w:pPr>
        <w:pStyle w:val="Heading1"/>
        <w:spacing w:line="360" w:lineRule="auto"/>
        <w:ind w:left="0"/>
        <w:rPr>
          <w:rFonts w:cs="Arial"/>
          <w:b w:val="0"/>
          <w:bCs/>
          <w:sz w:val="22"/>
          <w:szCs w:val="22"/>
        </w:rPr>
      </w:pPr>
      <w:r w:rsidRPr="00F51F3C">
        <w:rPr>
          <w:rFonts w:cs="Arial"/>
          <w:b w:val="0"/>
          <w:bCs/>
          <w:sz w:val="22"/>
          <w:szCs w:val="22"/>
        </w:rPr>
        <w:t>The implications of mistrust and inequality are profound. On the negative side, lack of trust deters service use, leading to late referrals and limited care options (Koffman et al., 2007). Families often carry the emotional and practical burden of care, while patients risk receiving treatment that conflicts with their cultural or spiritual values (</w:t>
      </w:r>
      <w:proofErr w:type="spellStart"/>
      <w:r w:rsidRPr="00F51F3C">
        <w:rPr>
          <w:rFonts w:cs="Arial"/>
          <w:b w:val="0"/>
          <w:bCs/>
          <w:sz w:val="22"/>
          <w:szCs w:val="22"/>
        </w:rPr>
        <w:t>Gatrad</w:t>
      </w:r>
      <w:proofErr w:type="spellEnd"/>
      <w:r w:rsidRPr="00F51F3C">
        <w:rPr>
          <w:rFonts w:cs="Arial"/>
          <w:b w:val="0"/>
          <w:bCs/>
          <w:sz w:val="22"/>
          <w:szCs w:val="22"/>
        </w:rPr>
        <w:t xml:space="preserve"> and Sheikh, 2002). Inadequate access to pain management and emotional support further compounds these disadvantages (Public Health England, 2018).</w:t>
      </w:r>
    </w:p>
    <w:p w14:paraId="2F4B85D9" w14:textId="77777777" w:rsidR="00F51F3C" w:rsidRPr="00F51F3C" w:rsidRDefault="00F51F3C" w:rsidP="00F51F3C">
      <w:pPr>
        <w:pStyle w:val="Heading1"/>
        <w:spacing w:line="360" w:lineRule="auto"/>
        <w:rPr>
          <w:rFonts w:cs="Arial"/>
          <w:b w:val="0"/>
          <w:bCs/>
          <w:sz w:val="22"/>
          <w:szCs w:val="22"/>
        </w:rPr>
      </w:pPr>
    </w:p>
    <w:p w14:paraId="46B6E9AC" w14:textId="7F5A9106" w:rsidR="004E4A3C" w:rsidRDefault="00F51F3C" w:rsidP="00F51F3C">
      <w:pPr>
        <w:pStyle w:val="Heading1"/>
        <w:spacing w:line="360" w:lineRule="auto"/>
        <w:ind w:left="0"/>
        <w:rPr>
          <w:rFonts w:cs="Arial"/>
          <w:b w:val="0"/>
          <w:bCs/>
          <w:sz w:val="22"/>
          <w:szCs w:val="22"/>
        </w:rPr>
      </w:pPr>
      <w:r w:rsidRPr="00F51F3C">
        <w:rPr>
          <w:rFonts w:cs="Arial"/>
          <w:b w:val="0"/>
          <w:bCs/>
          <w:sz w:val="22"/>
          <w:szCs w:val="22"/>
        </w:rPr>
        <w:t>Positively, studies show that trust can be restored through sustained community engagement and culturally attuned care. Collaborations with faith leaders have increased participation in hospice services (Hospice UK, 2021), and outreach initiatives such as multilingual campaigns have encouraged earlier engagement (Marie Curie, 2019). Yet, as Salway et al. (2016) caution, these efforts often remain fragmented, with short-term funding limiting long-term impact. Sustainable change requires integration into mainstream service provision.</w:t>
      </w:r>
    </w:p>
    <w:p w14:paraId="3348516E" w14:textId="77777777" w:rsidR="00F51F3C" w:rsidRDefault="00F51F3C" w:rsidP="00F733CC">
      <w:pPr>
        <w:pStyle w:val="Heading1"/>
        <w:ind w:left="0"/>
        <w:rPr>
          <w:rFonts w:cs="Arial"/>
          <w:b w:val="0"/>
          <w:bCs/>
          <w:sz w:val="22"/>
          <w:szCs w:val="22"/>
        </w:rPr>
      </w:pPr>
    </w:p>
    <w:p w14:paraId="1033C76C" w14:textId="7945A3C6" w:rsidR="00F733CC" w:rsidRPr="00F733CC" w:rsidRDefault="00F733CC" w:rsidP="00F733CC">
      <w:pPr>
        <w:pStyle w:val="Heading1"/>
        <w:ind w:left="0"/>
        <w:rPr>
          <w:rFonts w:cs="Arial"/>
          <w:b w:val="0"/>
          <w:bCs/>
          <w:sz w:val="22"/>
          <w:szCs w:val="22"/>
          <w:u w:val="single"/>
        </w:rPr>
      </w:pPr>
      <w:r w:rsidRPr="00F733CC">
        <w:rPr>
          <w:rFonts w:cs="Arial"/>
          <w:b w:val="0"/>
          <w:bCs/>
          <w:sz w:val="22"/>
          <w:szCs w:val="22"/>
          <w:u w:val="single"/>
        </w:rPr>
        <w:t>Examples and Case Studies</w:t>
      </w:r>
      <w:r w:rsidR="00E548BD">
        <w:rPr>
          <w:rFonts w:cs="Arial"/>
          <w:b w:val="0"/>
          <w:bCs/>
          <w:sz w:val="22"/>
          <w:szCs w:val="22"/>
          <w:u w:val="single"/>
        </w:rPr>
        <w:t xml:space="preserve"> </w:t>
      </w:r>
    </w:p>
    <w:p w14:paraId="2D762758" w14:textId="77777777" w:rsidR="00F733CC" w:rsidRPr="00F733CC" w:rsidRDefault="00F733CC" w:rsidP="00F733CC">
      <w:pPr>
        <w:pStyle w:val="Heading1"/>
        <w:rPr>
          <w:rFonts w:cs="Arial"/>
          <w:b w:val="0"/>
          <w:bCs/>
          <w:sz w:val="22"/>
          <w:szCs w:val="22"/>
        </w:rPr>
      </w:pPr>
    </w:p>
    <w:p w14:paraId="14B96559" w14:textId="2644DA32" w:rsidR="008755ED" w:rsidRPr="008755ED" w:rsidRDefault="008755ED" w:rsidP="008755ED">
      <w:pPr>
        <w:pStyle w:val="Heading1"/>
        <w:spacing w:line="360" w:lineRule="auto"/>
        <w:ind w:left="0"/>
        <w:rPr>
          <w:rFonts w:cs="Arial"/>
          <w:b w:val="0"/>
          <w:bCs/>
          <w:sz w:val="22"/>
          <w:szCs w:val="22"/>
        </w:rPr>
      </w:pPr>
      <w:r w:rsidRPr="008755ED">
        <w:rPr>
          <w:rFonts w:cs="Arial"/>
          <w:b w:val="0"/>
          <w:bCs/>
          <w:sz w:val="22"/>
          <w:szCs w:val="22"/>
        </w:rPr>
        <w:t>Empirical examples demonstrate how mistrust can be mitigated through culturally competent initiatives. The Breaking Down Barriers project (Hospice UK, 2021) collaborated with Black and Asian communities in Birmingham and Leicester, showing that co-designed outreach increased service uptake and awareness, though concerns about funding continuity</w:t>
      </w:r>
      <w:r w:rsidR="004C6A20">
        <w:rPr>
          <w:rFonts w:cs="Arial"/>
          <w:b w:val="0"/>
          <w:bCs/>
          <w:sz w:val="22"/>
          <w:szCs w:val="22"/>
        </w:rPr>
        <w:t xml:space="preserve"> </w:t>
      </w:r>
      <w:r w:rsidRPr="008755ED">
        <w:rPr>
          <w:rFonts w:cs="Arial"/>
          <w:b w:val="0"/>
          <w:bCs/>
          <w:sz w:val="22"/>
          <w:szCs w:val="22"/>
        </w:rPr>
        <w:t>persisted.</w:t>
      </w:r>
    </w:p>
    <w:p w14:paraId="2771BF9B" w14:textId="77777777" w:rsidR="008755ED" w:rsidRPr="008755ED" w:rsidRDefault="008755ED" w:rsidP="008755ED">
      <w:pPr>
        <w:pStyle w:val="Heading1"/>
        <w:spacing w:line="360" w:lineRule="auto"/>
        <w:rPr>
          <w:rFonts w:cs="Arial"/>
          <w:b w:val="0"/>
          <w:bCs/>
          <w:sz w:val="22"/>
          <w:szCs w:val="22"/>
        </w:rPr>
      </w:pPr>
    </w:p>
    <w:p w14:paraId="51D06098" w14:textId="77777777" w:rsidR="008755ED" w:rsidRPr="008755ED" w:rsidRDefault="008755ED" w:rsidP="008755ED">
      <w:pPr>
        <w:pStyle w:val="Heading1"/>
        <w:spacing w:line="360" w:lineRule="auto"/>
        <w:ind w:left="0"/>
        <w:rPr>
          <w:rFonts w:cs="Arial"/>
          <w:b w:val="0"/>
          <w:bCs/>
          <w:sz w:val="22"/>
          <w:szCs w:val="22"/>
        </w:rPr>
      </w:pPr>
      <w:r w:rsidRPr="008755ED">
        <w:rPr>
          <w:rFonts w:cs="Arial"/>
          <w:b w:val="0"/>
          <w:bCs/>
          <w:sz w:val="22"/>
          <w:szCs w:val="22"/>
        </w:rPr>
        <w:t>Similarly, Marie Curie’s Equity and Access Programme (2019) in Bradford found that faith-led partnerships and multilingual resources improved early referrals and patient confidence in statutory care. Respect for cultural identity proved key to rebuilding trust.</w:t>
      </w:r>
    </w:p>
    <w:p w14:paraId="748B5856" w14:textId="77777777" w:rsidR="008755ED" w:rsidRDefault="008755ED" w:rsidP="008755ED">
      <w:pPr>
        <w:pStyle w:val="Heading1"/>
        <w:spacing w:line="360" w:lineRule="auto"/>
        <w:ind w:left="0"/>
        <w:rPr>
          <w:rFonts w:cs="Arial"/>
          <w:b w:val="0"/>
          <w:bCs/>
          <w:sz w:val="22"/>
          <w:szCs w:val="22"/>
        </w:rPr>
      </w:pPr>
    </w:p>
    <w:p w14:paraId="434E617B" w14:textId="3326DA24" w:rsidR="008A4A7B" w:rsidRDefault="008755ED" w:rsidP="008755ED">
      <w:pPr>
        <w:pStyle w:val="Heading1"/>
        <w:spacing w:line="360" w:lineRule="auto"/>
        <w:ind w:left="0"/>
        <w:rPr>
          <w:rFonts w:cs="Arial"/>
          <w:b w:val="0"/>
          <w:bCs/>
          <w:sz w:val="22"/>
          <w:szCs w:val="22"/>
        </w:rPr>
      </w:pPr>
      <w:r w:rsidRPr="008755ED">
        <w:rPr>
          <w:rFonts w:cs="Arial"/>
          <w:b w:val="0"/>
          <w:bCs/>
          <w:sz w:val="22"/>
          <w:szCs w:val="22"/>
        </w:rPr>
        <w:t>A comparative example from Canada showed that incorporating Indigenous elders into palliative care planning enhanced cultural safety and service acceptance (Browne et al., 2009). This cross-context evidence reinforces that community-led, culturally grounded approaches are essential for inclusive care.</w:t>
      </w:r>
    </w:p>
    <w:p w14:paraId="5B860AE2" w14:textId="77777777" w:rsidR="00BC14B3" w:rsidRDefault="00BC14B3" w:rsidP="005F6C4F">
      <w:pPr>
        <w:pStyle w:val="Heading1"/>
        <w:ind w:left="0"/>
        <w:rPr>
          <w:rFonts w:cs="Arial"/>
          <w:b w:val="0"/>
          <w:bCs/>
          <w:sz w:val="22"/>
          <w:szCs w:val="22"/>
          <w:u w:val="single"/>
        </w:rPr>
      </w:pPr>
    </w:p>
    <w:p w14:paraId="3D155134" w14:textId="45229A4B" w:rsidR="005F6C4F" w:rsidRPr="005F6C4F" w:rsidRDefault="005F6C4F" w:rsidP="005F6C4F">
      <w:pPr>
        <w:pStyle w:val="Heading1"/>
        <w:ind w:left="0"/>
        <w:rPr>
          <w:rFonts w:cs="Arial"/>
          <w:b w:val="0"/>
          <w:bCs/>
          <w:sz w:val="22"/>
          <w:szCs w:val="22"/>
          <w:u w:val="single"/>
        </w:rPr>
      </w:pPr>
      <w:r w:rsidRPr="005F6C4F">
        <w:rPr>
          <w:rFonts w:cs="Arial"/>
          <w:b w:val="0"/>
          <w:bCs/>
          <w:sz w:val="22"/>
          <w:szCs w:val="22"/>
          <w:u w:val="single"/>
        </w:rPr>
        <w:t>Connections to Other Themes</w:t>
      </w:r>
      <w:r w:rsidR="00133A4A">
        <w:rPr>
          <w:rFonts w:cs="Arial"/>
          <w:b w:val="0"/>
          <w:bCs/>
          <w:sz w:val="22"/>
          <w:szCs w:val="22"/>
          <w:u w:val="single"/>
        </w:rPr>
        <w:t xml:space="preserve"> </w:t>
      </w:r>
    </w:p>
    <w:p w14:paraId="75D8FF5F" w14:textId="77777777" w:rsidR="005F6C4F" w:rsidRPr="005F6C4F" w:rsidRDefault="005F6C4F" w:rsidP="005F6C4F">
      <w:pPr>
        <w:pStyle w:val="Heading1"/>
        <w:rPr>
          <w:rFonts w:cs="Arial"/>
          <w:b w:val="0"/>
          <w:bCs/>
          <w:sz w:val="22"/>
          <w:szCs w:val="22"/>
        </w:rPr>
      </w:pPr>
    </w:p>
    <w:p w14:paraId="39F2E2DA" w14:textId="4DDE160B" w:rsidR="00E04FBD" w:rsidRPr="00E04FBD" w:rsidRDefault="00E04FBD" w:rsidP="00E04FBD">
      <w:pPr>
        <w:pStyle w:val="Heading1"/>
        <w:spacing w:line="360" w:lineRule="auto"/>
        <w:ind w:left="0"/>
        <w:rPr>
          <w:rFonts w:cs="Arial"/>
          <w:b w:val="0"/>
          <w:bCs/>
          <w:sz w:val="22"/>
          <w:szCs w:val="22"/>
        </w:rPr>
      </w:pPr>
      <w:r w:rsidRPr="00E04FBD">
        <w:rPr>
          <w:rFonts w:cs="Arial"/>
          <w:b w:val="0"/>
          <w:bCs/>
          <w:sz w:val="22"/>
          <w:szCs w:val="22"/>
        </w:rPr>
        <w:t xml:space="preserve">This theme </w:t>
      </w:r>
      <w:r w:rsidR="003652A7">
        <w:rPr>
          <w:rFonts w:cs="Arial"/>
          <w:b w:val="0"/>
          <w:bCs/>
          <w:sz w:val="22"/>
          <w:szCs w:val="22"/>
        </w:rPr>
        <w:t>is closely related to</w:t>
      </w:r>
      <w:r w:rsidRPr="00E04FBD">
        <w:rPr>
          <w:rFonts w:cs="Arial"/>
          <w:b w:val="0"/>
          <w:bCs/>
          <w:sz w:val="22"/>
          <w:szCs w:val="22"/>
        </w:rPr>
        <w:t xml:space="preserve"> Theme 1</w:t>
      </w:r>
      <w:r w:rsidR="00352D6E">
        <w:rPr>
          <w:rFonts w:cs="Arial"/>
          <w:b w:val="0"/>
          <w:bCs/>
          <w:sz w:val="22"/>
          <w:szCs w:val="22"/>
        </w:rPr>
        <w:t xml:space="preserve"> - </w:t>
      </w:r>
      <w:r w:rsidRPr="00E04FBD">
        <w:rPr>
          <w:rFonts w:cs="Arial"/>
          <w:b w:val="0"/>
          <w:bCs/>
          <w:sz w:val="22"/>
          <w:szCs w:val="22"/>
        </w:rPr>
        <w:t>Communication Barriers and Language Needs, as ineffective communication often forms the root of mistrust. When patients cannot fully express or comprehend care discussions, they may perceive services as indifferent or exclusionary (Koffman et al., 2007).</w:t>
      </w:r>
    </w:p>
    <w:p w14:paraId="35F5A255" w14:textId="77777777" w:rsidR="00E04FBD" w:rsidRPr="00E04FBD" w:rsidRDefault="00E04FBD" w:rsidP="00E04FBD">
      <w:pPr>
        <w:pStyle w:val="Heading1"/>
        <w:spacing w:line="360" w:lineRule="auto"/>
        <w:rPr>
          <w:rFonts w:cs="Arial"/>
          <w:b w:val="0"/>
          <w:bCs/>
          <w:sz w:val="22"/>
          <w:szCs w:val="22"/>
        </w:rPr>
      </w:pPr>
    </w:p>
    <w:p w14:paraId="6B6F667F" w14:textId="62218339" w:rsidR="00223286" w:rsidRDefault="00E04FBD" w:rsidP="00E04FBD">
      <w:pPr>
        <w:pStyle w:val="Heading1"/>
        <w:spacing w:line="360" w:lineRule="auto"/>
        <w:ind w:left="0"/>
        <w:rPr>
          <w:rFonts w:cs="Arial"/>
          <w:b w:val="0"/>
          <w:bCs/>
          <w:sz w:val="22"/>
          <w:szCs w:val="22"/>
        </w:rPr>
      </w:pPr>
      <w:r w:rsidRPr="00E04FBD">
        <w:rPr>
          <w:rFonts w:cs="Arial"/>
          <w:b w:val="0"/>
          <w:bCs/>
          <w:sz w:val="22"/>
          <w:szCs w:val="22"/>
        </w:rPr>
        <w:t xml:space="preserve">It also </w:t>
      </w:r>
      <w:r w:rsidR="00E9560C">
        <w:rPr>
          <w:rFonts w:cs="Arial"/>
          <w:b w:val="0"/>
          <w:bCs/>
          <w:sz w:val="22"/>
          <w:szCs w:val="22"/>
        </w:rPr>
        <w:t>closely links with Theme 3 - Workforce Training and Cultural Competence, as staff diversity, empathy, and cultural awareness are pivotal to building trust</w:t>
      </w:r>
      <w:r w:rsidRPr="00E04FBD">
        <w:rPr>
          <w:rFonts w:cs="Arial"/>
          <w:b w:val="0"/>
          <w:bCs/>
          <w:sz w:val="22"/>
          <w:szCs w:val="22"/>
        </w:rPr>
        <w:t>. Inadequate preparation perpetuates Eurocentric care models, further marginalising minority patients (Papadopoulos, 2006). Together, these themes demonstrate that communication, trust, and workforce competence must operate interdependently to achieve equitable, culturally responsive EOL care.</w:t>
      </w:r>
      <w:r w:rsidR="00E9560C">
        <w:rPr>
          <w:rFonts w:cs="Arial"/>
          <w:b w:val="0"/>
          <w:bCs/>
          <w:sz w:val="22"/>
          <w:szCs w:val="22"/>
        </w:rPr>
        <w:t xml:space="preserve"> </w:t>
      </w:r>
      <w:r w:rsidR="00E9560C" w:rsidRPr="00E9560C">
        <w:rPr>
          <w:rFonts w:cs="Arial"/>
          <w:b w:val="0"/>
          <w:bCs/>
          <w:sz w:val="22"/>
          <w:szCs w:val="22"/>
        </w:rPr>
        <w:t>In doing so, this theme strengthens the overall aim of the dissertation by evidencing how mistrust and systemic inequalities continue to undermine culturally competent and equitable end-of-life care for minority groups.</w:t>
      </w:r>
    </w:p>
    <w:p w14:paraId="67C36F98" w14:textId="77777777" w:rsidR="00223286" w:rsidRDefault="00223286" w:rsidP="00F02147">
      <w:pPr>
        <w:pStyle w:val="Heading1"/>
        <w:spacing w:line="360" w:lineRule="auto"/>
        <w:ind w:left="0"/>
        <w:rPr>
          <w:rFonts w:cs="Arial"/>
          <w:b w:val="0"/>
          <w:bCs/>
          <w:sz w:val="22"/>
          <w:szCs w:val="22"/>
        </w:rPr>
      </w:pPr>
    </w:p>
    <w:p w14:paraId="22F26B03" w14:textId="77777777" w:rsidR="00223286" w:rsidRDefault="00223286" w:rsidP="00F02147">
      <w:pPr>
        <w:pStyle w:val="Heading1"/>
        <w:spacing w:line="360" w:lineRule="auto"/>
        <w:ind w:left="0"/>
        <w:rPr>
          <w:rFonts w:cs="Arial"/>
          <w:b w:val="0"/>
          <w:bCs/>
          <w:sz w:val="22"/>
          <w:szCs w:val="22"/>
        </w:rPr>
      </w:pPr>
    </w:p>
    <w:p w14:paraId="0D8B4DA0" w14:textId="658B9277" w:rsidR="00636D9A" w:rsidRPr="002B52CC" w:rsidRDefault="000E1473" w:rsidP="003034FB">
      <w:pPr>
        <w:pStyle w:val="Heading1"/>
        <w:spacing w:line="360" w:lineRule="auto"/>
        <w:ind w:left="0"/>
        <w:rPr>
          <w:rFonts w:cs="Arial"/>
          <w:sz w:val="28"/>
          <w:szCs w:val="28"/>
          <w:u w:val="single"/>
        </w:rPr>
      </w:pPr>
      <w:r w:rsidRPr="002B52CC">
        <w:rPr>
          <w:rFonts w:cs="Arial"/>
          <w:sz w:val="28"/>
          <w:szCs w:val="28"/>
          <w:u w:val="single"/>
        </w:rPr>
        <w:t>4.5 – Theme 3  – Workforce Training and Cultural Competence (Policy and Service Provision Gaps)</w:t>
      </w:r>
    </w:p>
    <w:p w14:paraId="27C28DE0" w14:textId="77777777" w:rsidR="00D44796" w:rsidRDefault="00D44796" w:rsidP="003034FB">
      <w:pPr>
        <w:pStyle w:val="Heading1"/>
        <w:spacing w:line="360" w:lineRule="auto"/>
        <w:ind w:left="0"/>
        <w:rPr>
          <w:rFonts w:cs="Arial"/>
          <w:sz w:val="22"/>
          <w:szCs w:val="22"/>
          <w:u w:val="single"/>
        </w:rPr>
      </w:pPr>
    </w:p>
    <w:p w14:paraId="334562CC" w14:textId="0F951204" w:rsidR="003034FB" w:rsidRPr="003034FB" w:rsidRDefault="003034FB" w:rsidP="003034FB">
      <w:pPr>
        <w:pStyle w:val="Heading1"/>
        <w:spacing w:line="360" w:lineRule="auto"/>
        <w:ind w:left="0"/>
        <w:rPr>
          <w:rFonts w:cs="Arial"/>
          <w:b w:val="0"/>
          <w:bCs/>
          <w:sz w:val="22"/>
          <w:szCs w:val="22"/>
        </w:rPr>
      </w:pPr>
      <w:r w:rsidRPr="006868C7">
        <w:rPr>
          <w:rFonts w:cs="Arial"/>
          <w:b w:val="0"/>
          <w:bCs/>
          <w:sz w:val="22"/>
          <w:szCs w:val="22"/>
          <w:u w:val="single"/>
        </w:rPr>
        <w:t>Definition</w:t>
      </w:r>
      <w:r w:rsidRPr="003034FB">
        <w:rPr>
          <w:rFonts w:cs="Arial"/>
          <w:b w:val="0"/>
          <w:bCs/>
          <w:sz w:val="22"/>
          <w:szCs w:val="22"/>
        </w:rPr>
        <w:t xml:space="preserve"> </w:t>
      </w:r>
    </w:p>
    <w:p w14:paraId="07EBEDAD" w14:textId="477F0B87" w:rsidR="003034FB" w:rsidRPr="003034FB" w:rsidRDefault="009D61CD" w:rsidP="009D61CD">
      <w:pPr>
        <w:pStyle w:val="Heading1"/>
        <w:spacing w:line="360" w:lineRule="auto"/>
        <w:ind w:left="0"/>
        <w:rPr>
          <w:rFonts w:cs="Arial"/>
          <w:b w:val="0"/>
          <w:bCs/>
          <w:sz w:val="22"/>
          <w:szCs w:val="22"/>
        </w:rPr>
      </w:pPr>
      <w:r w:rsidRPr="009D61CD">
        <w:rPr>
          <w:rFonts w:cs="Arial"/>
          <w:b w:val="0"/>
          <w:bCs/>
          <w:sz w:val="22"/>
          <w:szCs w:val="22"/>
        </w:rPr>
        <w:t>Workforce training and cultural competence refer to the ongoing process by which health and social care professionals acquire the knowledge, skills, and attitudes required to deliver equitable, person-centred care across diverse populations. Papadopoulos (2006) conceptualises cultural competence as comprising four interrelated components</w:t>
      </w:r>
      <w:r w:rsidR="0067769A">
        <w:rPr>
          <w:rFonts w:cs="Arial"/>
          <w:b w:val="0"/>
          <w:bCs/>
          <w:sz w:val="22"/>
          <w:szCs w:val="22"/>
        </w:rPr>
        <w:t xml:space="preserve"> - </w:t>
      </w:r>
      <w:r w:rsidRPr="009D61CD">
        <w:rPr>
          <w:rFonts w:cs="Arial"/>
          <w:b w:val="0"/>
          <w:bCs/>
          <w:sz w:val="22"/>
          <w:szCs w:val="22"/>
        </w:rPr>
        <w:t>awareness, knowledge, sensitivity, and competence</w:t>
      </w:r>
      <w:r w:rsidR="00B30D24">
        <w:rPr>
          <w:rFonts w:cs="Arial"/>
          <w:b w:val="0"/>
          <w:bCs/>
          <w:sz w:val="22"/>
          <w:szCs w:val="22"/>
        </w:rPr>
        <w:t xml:space="preserve">, </w:t>
      </w:r>
      <w:r w:rsidR="0028021C" w:rsidRPr="009D61CD">
        <w:rPr>
          <w:rFonts w:cs="Arial"/>
          <w:b w:val="0"/>
          <w:bCs/>
          <w:sz w:val="22"/>
          <w:szCs w:val="22"/>
        </w:rPr>
        <w:t>which</w:t>
      </w:r>
      <w:r w:rsidRPr="009D61CD">
        <w:rPr>
          <w:rFonts w:cs="Arial"/>
          <w:b w:val="0"/>
          <w:bCs/>
          <w:sz w:val="22"/>
          <w:szCs w:val="22"/>
        </w:rPr>
        <w:t xml:space="preserve"> enable practitioners to appreciate how culture shapes health beliefs and end-of-life (EOL) preferences. Beyond </w:t>
      </w:r>
      <w:r w:rsidRPr="009D61CD">
        <w:rPr>
          <w:rFonts w:cs="Arial"/>
          <w:b w:val="0"/>
          <w:bCs/>
          <w:sz w:val="22"/>
          <w:szCs w:val="22"/>
        </w:rPr>
        <w:lastRenderedPageBreak/>
        <w:t>factual understanding, it also involves cultural humility</w:t>
      </w:r>
      <w:r w:rsidR="00B30D24">
        <w:rPr>
          <w:rFonts w:cs="Arial"/>
          <w:b w:val="0"/>
          <w:bCs/>
          <w:sz w:val="22"/>
          <w:szCs w:val="22"/>
        </w:rPr>
        <w:t xml:space="preserve">, </w:t>
      </w:r>
      <w:r w:rsidRPr="009D61CD">
        <w:rPr>
          <w:rFonts w:cs="Arial"/>
          <w:b w:val="0"/>
          <w:bCs/>
          <w:sz w:val="22"/>
          <w:szCs w:val="22"/>
        </w:rPr>
        <w:t>the capacity to recognise personal bias and engage respectfully with difference (</w:t>
      </w:r>
      <w:proofErr w:type="spellStart"/>
      <w:r w:rsidRPr="009D61CD">
        <w:rPr>
          <w:rFonts w:cs="Arial"/>
          <w:b w:val="0"/>
          <w:bCs/>
          <w:sz w:val="22"/>
          <w:szCs w:val="22"/>
        </w:rPr>
        <w:t>Tervalon</w:t>
      </w:r>
      <w:proofErr w:type="spellEnd"/>
      <w:r w:rsidRPr="009D61CD">
        <w:rPr>
          <w:rFonts w:cs="Arial"/>
          <w:b w:val="0"/>
          <w:bCs/>
          <w:sz w:val="22"/>
          <w:szCs w:val="22"/>
        </w:rPr>
        <w:t xml:space="preserve"> and Murray-García, 1998). Within EOL care, culturally competent training equips practitioners to meet patient’</w:t>
      </w:r>
      <w:r w:rsidR="00B30D24">
        <w:rPr>
          <w:rFonts w:cs="Arial"/>
          <w:b w:val="0"/>
          <w:bCs/>
          <w:sz w:val="22"/>
          <w:szCs w:val="22"/>
        </w:rPr>
        <w:t>s</w:t>
      </w:r>
      <w:r w:rsidRPr="009D61CD">
        <w:rPr>
          <w:rFonts w:cs="Arial"/>
          <w:b w:val="0"/>
          <w:bCs/>
          <w:sz w:val="22"/>
          <w:szCs w:val="22"/>
        </w:rPr>
        <w:t xml:space="preserve"> cultural, spiritual, and linguistic needs, ensuring dignity, inclusion, and equality (</w:t>
      </w:r>
      <w:proofErr w:type="spellStart"/>
      <w:r w:rsidRPr="009D61CD">
        <w:rPr>
          <w:rFonts w:cs="Arial"/>
          <w:b w:val="0"/>
          <w:bCs/>
          <w:sz w:val="22"/>
          <w:szCs w:val="22"/>
        </w:rPr>
        <w:t>Kaihlanen</w:t>
      </w:r>
      <w:proofErr w:type="spellEnd"/>
      <w:r w:rsidRPr="009D61CD">
        <w:rPr>
          <w:rFonts w:cs="Arial"/>
          <w:b w:val="0"/>
          <w:bCs/>
          <w:sz w:val="22"/>
          <w:szCs w:val="22"/>
        </w:rPr>
        <w:t xml:space="preserve"> et al., 2019). It is therefore both an ethical duty and a practical framework for reducing systemic inequalities in service provision.</w:t>
      </w:r>
    </w:p>
    <w:p w14:paraId="2276D8B9" w14:textId="77777777" w:rsidR="00EC3473" w:rsidRDefault="00EC3473" w:rsidP="003034FB">
      <w:pPr>
        <w:pStyle w:val="Heading1"/>
        <w:spacing w:line="360" w:lineRule="auto"/>
        <w:ind w:left="0"/>
        <w:rPr>
          <w:rFonts w:cs="Arial"/>
          <w:b w:val="0"/>
          <w:bCs/>
          <w:sz w:val="22"/>
          <w:szCs w:val="22"/>
        </w:rPr>
      </w:pPr>
    </w:p>
    <w:p w14:paraId="699FCD1A" w14:textId="77777777" w:rsidR="004609C6" w:rsidRDefault="004609C6" w:rsidP="00EC3473">
      <w:pPr>
        <w:pStyle w:val="Heading1"/>
        <w:ind w:left="0"/>
        <w:rPr>
          <w:rFonts w:cs="Arial"/>
          <w:b w:val="0"/>
          <w:bCs/>
          <w:sz w:val="22"/>
          <w:szCs w:val="22"/>
          <w:u w:val="single"/>
        </w:rPr>
      </w:pPr>
    </w:p>
    <w:p w14:paraId="071F3AD3" w14:textId="701C07A1" w:rsidR="00EC3473" w:rsidRPr="00AD738D" w:rsidRDefault="00EC3473" w:rsidP="00EC3473">
      <w:pPr>
        <w:pStyle w:val="Heading1"/>
        <w:ind w:left="0"/>
        <w:rPr>
          <w:rFonts w:cs="Arial"/>
          <w:b w:val="0"/>
          <w:bCs/>
          <w:sz w:val="22"/>
          <w:szCs w:val="22"/>
        </w:rPr>
      </w:pPr>
      <w:r w:rsidRPr="00AD738D">
        <w:rPr>
          <w:rFonts w:cs="Arial"/>
          <w:b w:val="0"/>
          <w:bCs/>
          <w:sz w:val="22"/>
          <w:szCs w:val="22"/>
          <w:u w:val="single"/>
        </w:rPr>
        <w:t>Background Information</w:t>
      </w:r>
      <w:r w:rsidRPr="00AD738D">
        <w:rPr>
          <w:rFonts w:cs="Arial"/>
          <w:b w:val="0"/>
          <w:bCs/>
          <w:sz w:val="22"/>
          <w:szCs w:val="22"/>
        </w:rPr>
        <w:t xml:space="preserve"> </w:t>
      </w:r>
    </w:p>
    <w:p w14:paraId="54205AB0" w14:textId="77777777" w:rsidR="00EC3473" w:rsidRPr="00AD738D" w:rsidRDefault="00EC3473" w:rsidP="00EC3473">
      <w:pPr>
        <w:pStyle w:val="Heading1"/>
        <w:rPr>
          <w:rFonts w:cs="Arial"/>
          <w:b w:val="0"/>
          <w:bCs/>
          <w:sz w:val="22"/>
          <w:szCs w:val="22"/>
        </w:rPr>
      </w:pPr>
    </w:p>
    <w:p w14:paraId="7CA08E26" w14:textId="1E77CBBA" w:rsidR="004A3AC3" w:rsidRPr="004A3AC3" w:rsidRDefault="004A3AC3" w:rsidP="004A3AC3">
      <w:pPr>
        <w:rPr>
          <w:rFonts w:ascii="Arial" w:hAnsi="Arial" w:cs="Arial"/>
          <w:bCs/>
        </w:rPr>
      </w:pPr>
      <w:r w:rsidRPr="004A3AC3">
        <w:rPr>
          <w:rFonts w:ascii="Arial" w:hAnsi="Arial" w:cs="Arial"/>
          <w:bCs/>
        </w:rPr>
        <w:t>The development of cultural competence within the UK health workforce has paralleled broader shifts toward equality and diversity in public services. Historically, EOL care in Britain was grounded in Western biomedical models that prioritised uniform service delivery, often neglecting cultural variation (Gott et al., 2013). However, increasing ethnic diversity</w:t>
      </w:r>
      <w:r>
        <w:rPr>
          <w:rFonts w:ascii="Arial" w:hAnsi="Arial" w:cs="Arial"/>
          <w:bCs/>
        </w:rPr>
        <w:t xml:space="preserve">, </w:t>
      </w:r>
      <w:r w:rsidRPr="004A3AC3">
        <w:rPr>
          <w:rFonts w:ascii="Arial" w:hAnsi="Arial" w:cs="Arial"/>
          <w:bCs/>
        </w:rPr>
        <w:t>particularly following post-war immigration</w:t>
      </w:r>
      <w:r w:rsidR="005A5F02">
        <w:rPr>
          <w:rFonts w:ascii="Arial" w:hAnsi="Arial" w:cs="Arial"/>
          <w:bCs/>
        </w:rPr>
        <w:t>,</w:t>
      </w:r>
      <w:r>
        <w:rPr>
          <w:rFonts w:ascii="Arial" w:hAnsi="Arial" w:cs="Arial"/>
          <w:bCs/>
        </w:rPr>
        <w:t xml:space="preserve"> </w:t>
      </w:r>
      <w:r w:rsidRPr="004A3AC3">
        <w:rPr>
          <w:rFonts w:ascii="Arial" w:hAnsi="Arial" w:cs="Arial"/>
          <w:bCs/>
        </w:rPr>
        <w:t>exposed disparities and prompted a policy emphasis on cultural inclusion in professional training (Salway et al., 2016).</w:t>
      </w:r>
    </w:p>
    <w:p w14:paraId="0985D055" w14:textId="77777777" w:rsidR="004A3AC3" w:rsidRPr="004A3AC3" w:rsidRDefault="004A3AC3" w:rsidP="004A3AC3">
      <w:pPr>
        <w:rPr>
          <w:rFonts w:ascii="Arial" w:hAnsi="Arial" w:cs="Arial"/>
          <w:bCs/>
        </w:rPr>
      </w:pPr>
      <w:r w:rsidRPr="004A3AC3">
        <w:rPr>
          <w:rFonts w:ascii="Arial" w:hAnsi="Arial" w:cs="Arial"/>
          <w:bCs/>
        </w:rPr>
        <w:t>Early responses, such as the Delivering Race Equality in Mental Health Care (Department of Health, 2005) strategy, laid the foundations for workforce education on cultural awareness. Subsequent initiatives from the NHS Leadership Academy and Skills for Care sought to embed cultural competence within staff development frameworks (Papadopoulos, 2006). Yet, evaluations continue to reveal fragmented implementation and limited impact (</w:t>
      </w:r>
      <w:proofErr w:type="spellStart"/>
      <w:r w:rsidRPr="004A3AC3">
        <w:rPr>
          <w:rFonts w:ascii="Arial" w:hAnsi="Arial" w:cs="Arial"/>
          <w:bCs/>
        </w:rPr>
        <w:t>Kaihlanen</w:t>
      </w:r>
      <w:proofErr w:type="spellEnd"/>
      <w:r w:rsidRPr="004A3AC3">
        <w:rPr>
          <w:rFonts w:ascii="Arial" w:hAnsi="Arial" w:cs="Arial"/>
          <w:bCs/>
        </w:rPr>
        <w:t xml:space="preserve"> et al., 2019).</w:t>
      </w:r>
    </w:p>
    <w:p w14:paraId="1304B664" w14:textId="77777777" w:rsidR="005A5F02" w:rsidRDefault="004A3AC3" w:rsidP="00A52EF8">
      <w:pPr>
        <w:rPr>
          <w:rFonts w:ascii="Arial" w:hAnsi="Arial" w:cs="Arial"/>
          <w:bCs/>
        </w:rPr>
      </w:pPr>
      <w:r w:rsidRPr="004A3AC3">
        <w:rPr>
          <w:rFonts w:ascii="Arial" w:hAnsi="Arial" w:cs="Arial"/>
          <w:bCs/>
        </w:rPr>
        <w:t>In EOL care specifically, professionals often express uncertainty about adapting care to meet religious rituals or communication preferences, illustrating the persistent gap between inclusive policy rhetoric and daily practice (Koffman et al., 2007). This historical trajectory underscores why strengthening workforce competence remains pivotal to achieving equity and dignity in EOL care.</w:t>
      </w:r>
    </w:p>
    <w:p w14:paraId="44B2DB07" w14:textId="1BC8C0D8" w:rsidR="00A52EF8" w:rsidRPr="005A5F02" w:rsidRDefault="00A52EF8" w:rsidP="00A52EF8">
      <w:pPr>
        <w:rPr>
          <w:rFonts w:ascii="Arial" w:hAnsi="Arial" w:cs="Arial"/>
          <w:bCs/>
        </w:rPr>
      </w:pPr>
      <w:r w:rsidRPr="00A52EF8">
        <w:rPr>
          <w:rFonts w:ascii="Arial" w:eastAsia="Calibri Light" w:hAnsi="Arial" w:cs="Arial"/>
          <w:bCs/>
          <w:kern w:val="0"/>
          <w:u w:val="single"/>
          <w:lang w:eastAsia="en-GB" w:bidi="en-GB"/>
          <w14:ligatures w14:val="none"/>
        </w:rPr>
        <w:t>Impact on Research Question</w:t>
      </w:r>
      <w:r w:rsidRPr="00A52EF8">
        <w:rPr>
          <w:rFonts w:ascii="Arial" w:eastAsia="Calibri Light" w:hAnsi="Arial" w:cs="Arial"/>
          <w:bCs/>
          <w:kern w:val="0"/>
          <w:lang w:eastAsia="en-GB" w:bidi="en-GB"/>
          <w14:ligatures w14:val="none"/>
        </w:rPr>
        <w:t xml:space="preserve"> </w:t>
      </w:r>
    </w:p>
    <w:p w14:paraId="24A9661D" w14:textId="77777777" w:rsidR="00CA009F" w:rsidRPr="00CA009F" w:rsidRDefault="00CA009F" w:rsidP="00CA009F">
      <w:pPr>
        <w:rPr>
          <w:rFonts w:ascii="Arial" w:eastAsia="Calibri Light" w:hAnsi="Arial" w:cs="Arial"/>
          <w:bCs/>
          <w:kern w:val="0"/>
          <w:lang w:eastAsia="en-GB" w:bidi="en-GB"/>
          <w14:ligatures w14:val="none"/>
        </w:rPr>
      </w:pPr>
      <w:r w:rsidRPr="00CA009F">
        <w:rPr>
          <w:rFonts w:ascii="Arial" w:eastAsia="Calibri Light" w:hAnsi="Arial" w:cs="Arial"/>
          <w:bCs/>
          <w:kern w:val="0"/>
          <w:lang w:eastAsia="en-GB" w:bidi="en-GB"/>
          <w14:ligatures w14:val="none"/>
        </w:rPr>
        <w:t>Workforce training and cultural competence are central to addressing the barriers faced by ethnic minority communities in accessing EOL care. This theme directly supports the dissertation’s research aim by demonstrating that inadequate training perpetuates systemic inequities. When practitioners lack awareness of cultural and spiritual dimensions of dying, care becomes standardised rather than individualised, reinforcing mistrust and disengagement (Koffman et al., 2007).</w:t>
      </w:r>
    </w:p>
    <w:p w14:paraId="309F9A0F" w14:textId="6FC243CE" w:rsidR="00CA009F" w:rsidRDefault="00CA009F" w:rsidP="00CA009F">
      <w:pPr>
        <w:rPr>
          <w:rFonts w:ascii="Arial" w:eastAsia="Calibri Light" w:hAnsi="Arial" w:cs="Arial"/>
          <w:bCs/>
          <w:kern w:val="0"/>
          <w:lang w:eastAsia="en-GB" w:bidi="en-GB"/>
          <w14:ligatures w14:val="none"/>
        </w:rPr>
      </w:pPr>
      <w:r w:rsidRPr="00CA009F">
        <w:rPr>
          <w:rFonts w:ascii="Arial" w:eastAsia="Calibri Light" w:hAnsi="Arial" w:cs="Arial"/>
          <w:bCs/>
          <w:kern w:val="0"/>
          <w:lang w:eastAsia="en-GB" w:bidi="en-GB"/>
          <w14:ligatures w14:val="none"/>
        </w:rPr>
        <w:t xml:space="preserve">Despite progressive equality frameworks such as the Workforce Race Equality Standard (WRES) and NHS Long Term Plan (2019), consistent integration of cultural competence into </w:t>
      </w:r>
      <w:r w:rsidRPr="00CA009F">
        <w:rPr>
          <w:rFonts w:ascii="Arial" w:eastAsia="Calibri Light" w:hAnsi="Arial" w:cs="Arial"/>
          <w:bCs/>
          <w:kern w:val="0"/>
          <w:lang w:eastAsia="en-GB" w:bidi="en-GB"/>
          <w14:ligatures w14:val="none"/>
        </w:rPr>
        <w:lastRenderedPageBreak/>
        <w:t xml:space="preserve">professional standards remains limited (NHS England, 2021). This inconsistency reveals that structural reform, rather than short-term education, is needed. As </w:t>
      </w:r>
      <w:proofErr w:type="spellStart"/>
      <w:r w:rsidRPr="00CA009F">
        <w:rPr>
          <w:rFonts w:ascii="Arial" w:eastAsia="Calibri Light" w:hAnsi="Arial" w:cs="Arial"/>
          <w:bCs/>
          <w:kern w:val="0"/>
          <w:lang w:eastAsia="en-GB" w:bidi="en-GB"/>
          <w14:ligatures w14:val="none"/>
        </w:rPr>
        <w:t>Kaihlanen</w:t>
      </w:r>
      <w:proofErr w:type="spellEnd"/>
      <w:r w:rsidRPr="00CA009F">
        <w:rPr>
          <w:rFonts w:ascii="Arial" w:eastAsia="Calibri Light" w:hAnsi="Arial" w:cs="Arial"/>
          <w:bCs/>
          <w:kern w:val="0"/>
          <w:lang w:eastAsia="en-GB" w:bidi="en-GB"/>
          <w14:ligatures w14:val="none"/>
        </w:rPr>
        <w:t xml:space="preserve"> et al. (2019) argue, sustainable competence requires embedding reflective practice and organisational accountability. Examining the workforce dimension thus deepens understanding of how policy ambition often fails to translate into culturally safe and equitable care for minority populations.</w:t>
      </w:r>
    </w:p>
    <w:p w14:paraId="6E3AB384" w14:textId="77777777" w:rsidR="00FE74C1" w:rsidRDefault="00FE74C1" w:rsidP="006A7EED">
      <w:pPr>
        <w:rPr>
          <w:rFonts w:ascii="Arial" w:eastAsia="Calibri Light" w:hAnsi="Arial" w:cs="Arial"/>
          <w:bCs/>
          <w:kern w:val="0"/>
          <w:lang w:eastAsia="en-GB" w:bidi="en-GB"/>
          <w14:ligatures w14:val="none"/>
        </w:rPr>
      </w:pPr>
    </w:p>
    <w:p w14:paraId="0AC10019" w14:textId="10FD59E4" w:rsidR="006A7EED" w:rsidRPr="006A7EED" w:rsidRDefault="006A7EED" w:rsidP="006A7EED">
      <w:pPr>
        <w:rPr>
          <w:rFonts w:ascii="Arial" w:eastAsia="Calibri Light" w:hAnsi="Arial" w:cs="Arial"/>
          <w:bCs/>
          <w:kern w:val="0"/>
          <w:lang w:eastAsia="en-GB" w:bidi="en-GB"/>
          <w14:ligatures w14:val="none"/>
        </w:rPr>
      </w:pPr>
      <w:r w:rsidRPr="00E36FDD">
        <w:rPr>
          <w:rFonts w:ascii="Arial" w:eastAsia="Calibri Light" w:hAnsi="Arial" w:cs="Arial" w:hint="eastAsia"/>
          <w:bCs/>
          <w:kern w:val="0"/>
          <w:u w:val="single"/>
          <w:lang w:eastAsia="en-GB" w:bidi="en-GB"/>
          <w14:ligatures w14:val="none"/>
        </w:rPr>
        <w:t xml:space="preserve">Statistical Information </w:t>
      </w:r>
    </w:p>
    <w:p w14:paraId="199645C7" w14:textId="6C3628D5" w:rsidR="00916150" w:rsidRDefault="00916150" w:rsidP="003F39AF">
      <w:pPr>
        <w:rPr>
          <w:rFonts w:ascii="Arial" w:eastAsia="Calibri Light" w:hAnsi="Arial" w:cs="Arial"/>
          <w:bCs/>
          <w:kern w:val="0"/>
          <w:lang w:eastAsia="en-GB" w:bidi="en-GB"/>
          <w14:ligatures w14:val="none"/>
        </w:rPr>
      </w:pPr>
      <w:r w:rsidRPr="00916150">
        <w:rPr>
          <w:rFonts w:ascii="Arial" w:eastAsia="Calibri Light" w:hAnsi="Arial" w:cs="Arial"/>
          <w:bCs/>
          <w:kern w:val="0"/>
          <w:lang w:eastAsia="en-GB" w:bidi="en-GB"/>
          <w14:ligatures w14:val="none"/>
        </w:rPr>
        <w:t>Recent evidence highlights persistent disparities in workforce preparedness. According to WRES data, ethnic minority staff make up approximately 22% of the NHS workforce but remain underrepresented in senior leadership roles and are 1.7 times more likely to experience workplace discrimination (NHS England, 2019). Such inequalities compromise both staff wellbeing and patient trust (Salway et al., 2016). Moreover, only 36% of healthcare organisations have implemented structured cultural competence training in the past five years (Skills for Care, 2024). These figures demonstrate a clear disconnect between national equality commitments and everyday professional development, with the absence of mandatory, standardised training continuing to hinder equitable EOL provision.</w:t>
      </w:r>
    </w:p>
    <w:p w14:paraId="48B8B094" w14:textId="6090370B" w:rsidR="003F39AF" w:rsidRPr="003F39AF" w:rsidRDefault="003F39AF" w:rsidP="003F39AF">
      <w:pPr>
        <w:rPr>
          <w:rFonts w:ascii="Arial" w:eastAsia="Calibri Light" w:hAnsi="Arial" w:cs="Arial"/>
          <w:bCs/>
          <w:kern w:val="0"/>
          <w:lang w:eastAsia="en-GB" w:bidi="en-GB"/>
          <w14:ligatures w14:val="none"/>
        </w:rPr>
      </w:pPr>
      <w:r w:rsidRPr="003F39AF">
        <w:rPr>
          <w:rFonts w:ascii="Arial" w:eastAsia="Calibri Light" w:hAnsi="Arial" w:cs="Arial" w:hint="eastAsia"/>
          <w:bCs/>
          <w:kern w:val="0"/>
          <w:u w:val="single"/>
          <w:lang w:eastAsia="en-GB" w:bidi="en-GB"/>
          <w14:ligatures w14:val="none"/>
        </w:rPr>
        <w:t>Theories, Policies, and Legislation</w:t>
      </w:r>
      <w:r w:rsidRPr="003F39AF">
        <w:rPr>
          <w:rFonts w:ascii="Arial" w:eastAsia="Calibri Light" w:hAnsi="Arial" w:cs="Arial" w:hint="eastAsia"/>
          <w:bCs/>
          <w:kern w:val="0"/>
          <w:lang w:eastAsia="en-GB" w:bidi="en-GB"/>
          <w14:ligatures w14:val="none"/>
        </w:rPr>
        <w:t xml:space="preserve"> </w:t>
      </w:r>
    </w:p>
    <w:p w14:paraId="6E6CB7FF" w14:textId="77777777" w:rsidR="00A261C2" w:rsidRDefault="003F39AF" w:rsidP="003F39AF">
      <w:pPr>
        <w:rPr>
          <w:rFonts w:ascii="Arial" w:eastAsia="Calibri Light" w:hAnsi="Arial" w:cs="Arial"/>
          <w:bCs/>
          <w:kern w:val="0"/>
          <w:lang w:eastAsia="en-GB" w:bidi="en-GB"/>
          <w14:ligatures w14:val="none"/>
        </w:rPr>
      </w:pPr>
      <w:r w:rsidRPr="003F39AF">
        <w:rPr>
          <w:rFonts w:ascii="Arial" w:eastAsia="Calibri Light" w:hAnsi="Arial" w:cs="Arial"/>
          <w:bCs/>
          <w:kern w:val="0"/>
          <w:lang w:eastAsia="en-GB" w:bidi="en-GB"/>
          <w14:ligatures w14:val="none"/>
        </w:rPr>
        <w:t xml:space="preserve">Theoretical frameworks provide crucial insight into how training and organisational reform can address cultural disparities. Papadopoulos’ Cultural Competence Model (2006) emphasises that genuine competence evolves through awareness, knowledge, sensitivity, and reflective practice. Complementing this, </w:t>
      </w:r>
      <w:proofErr w:type="spellStart"/>
      <w:r w:rsidRPr="003F39AF">
        <w:rPr>
          <w:rFonts w:ascii="Arial" w:eastAsia="Calibri Light" w:hAnsi="Arial" w:cs="Arial"/>
          <w:bCs/>
          <w:kern w:val="0"/>
          <w:lang w:eastAsia="en-GB" w:bidi="en-GB"/>
          <w14:ligatures w14:val="none"/>
        </w:rPr>
        <w:t>Tervalon</w:t>
      </w:r>
      <w:proofErr w:type="spellEnd"/>
      <w:r w:rsidRPr="003F39AF">
        <w:rPr>
          <w:rFonts w:ascii="Arial" w:eastAsia="Calibri Light" w:hAnsi="Arial" w:cs="Arial"/>
          <w:bCs/>
          <w:kern w:val="0"/>
          <w:lang w:eastAsia="en-GB" w:bidi="en-GB"/>
          <w14:ligatures w14:val="none"/>
        </w:rPr>
        <w:t xml:space="preserve"> and Murray-García’s (1998) concept of cultural humility stresses an ongoing process of self-reflection and respect for lived experiences rather than a fixed skillset. These frameworks align with UK equality policies, including the Equality Act (2010) and Health and Social Care Act (2012), which legally enshrine equity and non-discrimination. </w:t>
      </w:r>
    </w:p>
    <w:p w14:paraId="65EB2472" w14:textId="74C96D22" w:rsidR="003F39AF" w:rsidRDefault="003F39AF" w:rsidP="003F39AF">
      <w:pPr>
        <w:rPr>
          <w:rFonts w:ascii="Arial" w:eastAsia="Calibri Light" w:hAnsi="Arial" w:cs="Arial"/>
          <w:bCs/>
          <w:kern w:val="0"/>
          <w:lang w:eastAsia="en-GB" w:bidi="en-GB"/>
          <w14:ligatures w14:val="none"/>
        </w:rPr>
      </w:pPr>
      <w:r w:rsidRPr="003F39AF">
        <w:rPr>
          <w:rFonts w:ascii="Arial" w:eastAsia="Calibri Light" w:hAnsi="Arial" w:cs="Arial"/>
          <w:bCs/>
          <w:kern w:val="0"/>
          <w:lang w:eastAsia="en-GB" w:bidi="en-GB"/>
          <w14:ligatures w14:val="none"/>
        </w:rPr>
        <w:t xml:space="preserve">Moreover, the NHS Long Term Plan (2019) and WRES </w:t>
      </w:r>
      <w:r w:rsidR="007B22A1" w:rsidRPr="007B22A1">
        <w:rPr>
          <w:rFonts w:ascii="Arial" w:eastAsia="Calibri Light" w:hAnsi="Arial" w:cs="Arial"/>
          <w:bCs/>
          <w:kern w:val="0"/>
          <w:lang w:eastAsia="en-GB" w:bidi="en-GB"/>
          <w14:ligatures w14:val="none"/>
        </w:rPr>
        <w:t>(NHS England, 2023)</w:t>
      </w:r>
      <w:r w:rsidRPr="003F39AF">
        <w:rPr>
          <w:rFonts w:ascii="Arial" w:eastAsia="Calibri Light" w:hAnsi="Arial" w:cs="Arial"/>
          <w:bCs/>
          <w:kern w:val="0"/>
          <w:lang w:eastAsia="en-GB" w:bidi="en-GB"/>
          <w14:ligatures w14:val="none"/>
        </w:rPr>
        <w:t xml:space="preserve"> advocate for workforce diversity and cultural inclusion. However, the practical impact of these frameworks is limited by inconsistent implementation, financial constraints, and insufficient leadership accountability (Hospice UK, 2021). The resulting policy-practice divide continues to marginalise minority service users</w:t>
      </w:r>
      <w:r w:rsidR="00BB2276">
        <w:rPr>
          <w:rFonts w:ascii="Arial" w:eastAsia="Calibri Light" w:hAnsi="Arial" w:cs="Arial"/>
          <w:bCs/>
          <w:kern w:val="0"/>
          <w:lang w:eastAsia="en-GB" w:bidi="en-GB"/>
          <w14:ligatures w14:val="none"/>
        </w:rPr>
        <w:t>.</w:t>
      </w:r>
    </w:p>
    <w:p w14:paraId="39B0D1FC" w14:textId="5A29D2BE" w:rsidR="002F793B" w:rsidRPr="002F793B" w:rsidRDefault="002F793B" w:rsidP="002F793B">
      <w:pPr>
        <w:rPr>
          <w:rFonts w:ascii="Arial" w:eastAsia="Calibri Light" w:hAnsi="Arial" w:cs="Arial"/>
          <w:bCs/>
          <w:kern w:val="0"/>
          <w:lang w:eastAsia="en-GB" w:bidi="en-GB"/>
          <w14:ligatures w14:val="none"/>
        </w:rPr>
      </w:pPr>
      <w:r w:rsidRPr="002F793B">
        <w:rPr>
          <w:rFonts w:ascii="Arial" w:eastAsia="Calibri Light" w:hAnsi="Arial" w:cs="Arial" w:hint="eastAsia"/>
          <w:bCs/>
          <w:kern w:val="0"/>
          <w:u w:val="single"/>
          <w:lang w:eastAsia="en-GB" w:bidi="en-GB"/>
          <w14:ligatures w14:val="none"/>
        </w:rPr>
        <w:t xml:space="preserve">Implications </w:t>
      </w:r>
    </w:p>
    <w:p w14:paraId="1DF997E7" w14:textId="215CDDF3" w:rsidR="002F793B" w:rsidRDefault="002F793B" w:rsidP="002F793B">
      <w:pPr>
        <w:rPr>
          <w:rFonts w:ascii="Arial" w:eastAsia="Calibri Light" w:hAnsi="Arial" w:cs="Arial"/>
          <w:bCs/>
          <w:kern w:val="0"/>
          <w:lang w:eastAsia="en-GB" w:bidi="en-GB"/>
          <w14:ligatures w14:val="none"/>
        </w:rPr>
      </w:pPr>
      <w:r w:rsidRPr="002F793B">
        <w:rPr>
          <w:rFonts w:ascii="Arial" w:eastAsia="Calibri Light" w:hAnsi="Arial" w:cs="Arial"/>
          <w:bCs/>
          <w:kern w:val="0"/>
          <w:lang w:eastAsia="en-GB" w:bidi="en-GB"/>
          <w14:ligatures w14:val="none"/>
        </w:rPr>
        <w:t xml:space="preserve">The implications of inadequate workforce cultural competence are both systemic and ethical. On one hand, limited training perpetuates inequities, reinforcing the marginalisation and </w:t>
      </w:r>
      <w:r w:rsidRPr="002F793B">
        <w:rPr>
          <w:rFonts w:ascii="Arial" w:eastAsia="Calibri Light" w:hAnsi="Arial" w:cs="Arial"/>
          <w:bCs/>
          <w:kern w:val="0"/>
          <w:lang w:eastAsia="en-GB" w:bidi="en-GB"/>
          <w14:ligatures w14:val="none"/>
        </w:rPr>
        <w:lastRenderedPageBreak/>
        <w:t>mistrust of minority service users (Koffman et al., 2014). On the other</w:t>
      </w:r>
      <w:r w:rsidR="00EE7E8C">
        <w:rPr>
          <w:rFonts w:ascii="Arial" w:eastAsia="Calibri Light" w:hAnsi="Arial" w:cs="Arial"/>
          <w:bCs/>
          <w:kern w:val="0"/>
          <w:lang w:eastAsia="en-GB" w:bidi="en-GB"/>
          <w14:ligatures w14:val="none"/>
        </w:rPr>
        <w:t xml:space="preserve"> hand</w:t>
      </w:r>
      <w:r w:rsidRPr="002F793B">
        <w:rPr>
          <w:rFonts w:ascii="Arial" w:eastAsia="Calibri Light" w:hAnsi="Arial" w:cs="Arial"/>
          <w:bCs/>
          <w:kern w:val="0"/>
          <w:lang w:eastAsia="en-GB" w:bidi="en-GB"/>
          <w14:ligatures w14:val="none"/>
        </w:rPr>
        <w:t>, comprehensive cultural competence initiatives enhance staff confidence, improve patient satisfaction, and reduce service inequalities (</w:t>
      </w:r>
      <w:proofErr w:type="spellStart"/>
      <w:r w:rsidRPr="002F793B">
        <w:rPr>
          <w:rFonts w:ascii="Arial" w:eastAsia="Calibri Light" w:hAnsi="Arial" w:cs="Arial"/>
          <w:bCs/>
          <w:kern w:val="0"/>
          <w:lang w:eastAsia="en-GB" w:bidi="en-GB"/>
          <w14:ligatures w14:val="none"/>
        </w:rPr>
        <w:t>Kaihlanen</w:t>
      </w:r>
      <w:proofErr w:type="spellEnd"/>
      <w:r w:rsidRPr="002F793B">
        <w:rPr>
          <w:rFonts w:ascii="Arial" w:eastAsia="Calibri Light" w:hAnsi="Arial" w:cs="Arial"/>
          <w:bCs/>
          <w:kern w:val="0"/>
          <w:lang w:eastAsia="en-GB" w:bidi="en-GB"/>
          <w14:ligatures w14:val="none"/>
        </w:rPr>
        <w:t xml:space="preserve"> et al., 2019). Nevertheless, isolated workshops are insufficient to transform deep-rooted institutional attitudes. Sustainable progress requires embedding cultural humility within professional standards and making reflective learning a continual process. Without this shift, equality frameworks risk remaining performative, failing to translate policy ambition into meaningful, compassionate EOL care for diverse populations.</w:t>
      </w:r>
    </w:p>
    <w:p w14:paraId="68DE2338" w14:textId="77777777" w:rsidR="00D72B22" w:rsidRDefault="00D72B22" w:rsidP="00382C13">
      <w:pPr>
        <w:rPr>
          <w:rFonts w:ascii="Arial" w:eastAsia="Calibri Light" w:hAnsi="Arial" w:cs="Arial"/>
          <w:bCs/>
          <w:kern w:val="0"/>
          <w:u w:val="single"/>
          <w:lang w:eastAsia="en-GB" w:bidi="en-GB"/>
          <w14:ligatures w14:val="none"/>
        </w:rPr>
      </w:pPr>
    </w:p>
    <w:p w14:paraId="6DEEBC34" w14:textId="56FB0619" w:rsidR="00382C13" w:rsidRPr="00382C13" w:rsidRDefault="00382C13" w:rsidP="00382C13">
      <w:pPr>
        <w:rPr>
          <w:rFonts w:ascii="Arial" w:eastAsia="Calibri Light" w:hAnsi="Arial" w:cs="Arial"/>
          <w:bCs/>
          <w:kern w:val="0"/>
          <w:lang w:eastAsia="en-GB" w:bidi="en-GB"/>
          <w14:ligatures w14:val="none"/>
        </w:rPr>
      </w:pPr>
      <w:r w:rsidRPr="00382C13">
        <w:rPr>
          <w:rFonts w:ascii="Arial" w:eastAsia="Calibri Light" w:hAnsi="Arial" w:cs="Arial" w:hint="eastAsia"/>
          <w:bCs/>
          <w:kern w:val="0"/>
          <w:u w:val="single"/>
          <w:lang w:eastAsia="en-GB" w:bidi="en-GB"/>
          <w14:ligatures w14:val="none"/>
        </w:rPr>
        <w:t>Examples and Case Studies</w:t>
      </w:r>
      <w:r w:rsidRPr="00382C13">
        <w:rPr>
          <w:rFonts w:ascii="Arial" w:eastAsia="Calibri Light" w:hAnsi="Arial" w:cs="Arial" w:hint="eastAsia"/>
          <w:bCs/>
          <w:kern w:val="0"/>
          <w:lang w:eastAsia="en-GB" w:bidi="en-GB"/>
          <w14:ligatures w14:val="none"/>
        </w:rPr>
        <w:t xml:space="preserve"> </w:t>
      </w:r>
    </w:p>
    <w:p w14:paraId="79C18A06" w14:textId="445F99B2" w:rsidR="00382C13" w:rsidRDefault="00382C13" w:rsidP="00382C13">
      <w:pPr>
        <w:rPr>
          <w:rFonts w:ascii="Arial" w:eastAsia="Calibri Light" w:hAnsi="Arial" w:cs="Arial"/>
          <w:bCs/>
          <w:kern w:val="0"/>
          <w:lang w:eastAsia="en-GB" w:bidi="en-GB"/>
          <w14:ligatures w14:val="none"/>
        </w:rPr>
      </w:pPr>
      <w:r w:rsidRPr="00382C13">
        <w:rPr>
          <w:rFonts w:ascii="Arial" w:eastAsia="Calibri Light" w:hAnsi="Arial" w:cs="Arial"/>
          <w:bCs/>
          <w:kern w:val="0"/>
          <w:lang w:eastAsia="en-GB" w:bidi="en-GB"/>
          <w14:ligatures w14:val="none"/>
        </w:rPr>
        <w:t>The Mary Seacole Leadership Programme provides an instructive example of culturally responsive leadership development. Evaluations found that participants gained improved self-awareness and communication skills, strengthening their capacity to challenge bias and lead inclusively (NHS Leadership Academy, 202</w:t>
      </w:r>
      <w:r w:rsidR="001A6CCF">
        <w:rPr>
          <w:rFonts w:ascii="Arial" w:eastAsia="Calibri Light" w:hAnsi="Arial" w:cs="Arial"/>
          <w:bCs/>
          <w:kern w:val="0"/>
          <w:lang w:eastAsia="en-GB" w:bidi="en-GB"/>
          <w14:ligatures w14:val="none"/>
        </w:rPr>
        <w:t>3</w:t>
      </w:r>
      <w:r w:rsidRPr="00382C13">
        <w:rPr>
          <w:rFonts w:ascii="Arial" w:eastAsia="Calibri Light" w:hAnsi="Arial" w:cs="Arial"/>
          <w:bCs/>
          <w:kern w:val="0"/>
          <w:lang w:eastAsia="en-GB" w:bidi="en-GB"/>
          <w14:ligatures w14:val="none"/>
        </w:rPr>
        <w:t>). Similarly, Hospice UK’s Equity in Hospice Care Project demonstrated that targeted staff training in Birmingham hospices increased confidence when supporting families from South Asian and Black communities (Hospice UK, 2021). However, both initiatives were limited by short-term funding and inconsistent national adoption. Comparative studies in Australia indicate that integrating cultural safety into accreditation standards achieves more sustainable impact (Curtis et al., 2019). These cases underscore the need for systemic, nationwide commitment to cultural competence in healthcare education.</w:t>
      </w:r>
    </w:p>
    <w:p w14:paraId="40A61956" w14:textId="1DB527B2" w:rsidR="00476553" w:rsidRPr="00476553" w:rsidRDefault="00476553" w:rsidP="00476553">
      <w:pPr>
        <w:rPr>
          <w:rFonts w:ascii="Arial" w:eastAsia="Calibri Light" w:hAnsi="Arial" w:cs="Arial"/>
          <w:bCs/>
          <w:kern w:val="0"/>
          <w:lang w:eastAsia="en-GB" w:bidi="en-GB"/>
          <w14:ligatures w14:val="none"/>
        </w:rPr>
      </w:pPr>
      <w:r w:rsidRPr="00476553">
        <w:rPr>
          <w:rFonts w:ascii="Arial" w:eastAsia="Calibri Light" w:hAnsi="Arial" w:cs="Arial" w:hint="eastAsia"/>
          <w:bCs/>
          <w:kern w:val="0"/>
          <w:u w:val="single"/>
          <w:lang w:eastAsia="en-GB" w:bidi="en-GB"/>
          <w14:ligatures w14:val="none"/>
        </w:rPr>
        <w:t>Connections to Other Themes</w:t>
      </w:r>
      <w:r w:rsidRPr="00476553">
        <w:rPr>
          <w:rFonts w:ascii="Arial" w:eastAsia="Calibri Light" w:hAnsi="Arial" w:cs="Arial" w:hint="eastAsia"/>
          <w:bCs/>
          <w:kern w:val="0"/>
          <w:lang w:eastAsia="en-GB" w:bidi="en-GB"/>
          <w14:ligatures w14:val="none"/>
        </w:rPr>
        <w:t xml:space="preserve"> </w:t>
      </w:r>
    </w:p>
    <w:p w14:paraId="12DE3DE9" w14:textId="77777777" w:rsidR="00A261C2" w:rsidRDefault="00476553" w:rsidP="00476553">
      <w:pPr>
        <w:rPr>
          <w:rFonts w:ascii="Arial" w:eastAsia="Calibri Light" w:hAnsi="Arial" w:cs="Arial"/>
          <w:bCs/>
          <w:kern w:val="0"/>
          <w:lang w:eastAsia="en-GB" w:bidi="en-GB"/>
          <w14:ligatures w14:val="none"/>
        </w:rPr>
      </w:pPr>
      <w:r w:rsidRPr="00476553">
        <w:rPr>
          <w:rFonts w:ascii="Arial" w:eastAsia="Calibri Light" w:hAnsi="Arial" w:cs="Arial"/>
          <w:bCs/>
          <w:kern w:val="0"/>
          <w:lang w:eastAsia="en-GB" w:bidi="en-GB"/>
          <w14:ligatures w14:val="none"/>
        </w:rPr>
        <w:t xml:space="preserve">This theme is interwoven with earlier discussions on communication barriers and mistrust in service users. As explored previously, ineffective communication can foster uncertainty and disengagement, while mistrust erodes the foundation for compassionate, person-centred care (Koffman et al., 2014). Workforce training provides the mechanism through which these issues can be addressed, as culturally competent practitioners are better equipped to communicate respectfully and rebuild trust (Papadopoulos, 2006). </w:t>
      </w:r>
    </w:p>
    <w:p w14:paraId="38ACF99E" w14:textId="5BDB9B36" w:rsidR="00476553" w:rsidRPr="00AD738D" w:rsidRDefault="00476553" w:rsidP="00476553">
      <w:pPr>
        <w:rPr>
          <w:rFonts w:ascii="Arial" w:eastAsia="Calibri Light" w:hAnsi="Arial" w:cs="Arial"/>
          <w:bCs/>
          <w:kern w:val="0"/>
          <w:lang w:eastAsia="en-GB" w:bidi="en-GB"/>
          <w14:ligatures w14:val="none"/>
        </w:rPr>
      </w:pPr>
      <w:r w:rsidRPr="00476553">
        <w:rPr>
          <w:rFonts w:ascii="Arial" w:eastAsia="Calibri Light" w:hAnsi="Arial" w:cs="Arial"/>
          <w:bCs/>
          <w:kern w:val="0"/>
          <w:lang w:eastAsia="en-GB" w:bidi="en-GB"/>
          <w14:ligatures w14:val="none"/>
        </w:rPr>
        <w:t>Furthermore, the alignment of professional training with inclusive policy goals links directly to broader systemic reform. This intersection highlights that communication, trust, and training operate as mutually reinforcing components of equity in EOL care. Together, these themes demonstrate that culturally competent care must evolve from isolated initiatives into an integrated organisational ethos grounded in respect, empathy, and accountability.</w:t>
      </w:r>
      <w:r w:rsidR="00BD6DF6">
        <w:rPr>
          <w:rFonts w:ascii="Arial" w:eastAsia="Calibri Light" w:hAnsi="Arial" w:cs="Arial"/>
          <w:bCs/>
          <w:kern w:val="0"/>
          <w:lang w:eastAsia="en-GB" w:bidi="en-GB"/>
          <w14:ligatures w14:val="none"/>
        </w:rPr>
        <w:t xml:space="preserve"> </w:t>
      </w:r>
      <w:r w:rsidR="00BD6DF6" w:rsidRPr="00BD6DF6">
        <w:rPr>
          <w:rFonts w:ascii="Arial" w:eastAsia="Calibri Light" w:hAnsi="Arial" w:cs="Arial"/>
          <w:bCs/>
          <w:kern w:val="0"/>
          <w:lang w:eastAsia="en-GB" w:bidi="en-GB"/>
          <w14:ligatures w14:val="none"/>
        </w:rPr>
        <w:t xml:space="preserve">This theme therefore advances the research aim by highlighting how workforce training and organisational </w:t>
      </w:r>
      <w:r w:rsidR="00BD6DF6" w:rsidRPr="00BD6DF6">
        <w:rPr>
          <w:rFonts w:ascii="Arial" w:eastAsia="Calibri Light" w:hAnsi="Arial" w:cs="Arial"/>
          <w:bCs/>
          <w:kern w:val="0"/>
          <w:lang w:eastAsia="en-GB" w:bidi="en-GB"/>
          <w14:ligatures w14:val="none"/>
        </w:rPr>
        <w:lastRenderedPageBreak/>
        <w:t>competence are essential to overcoming structural barriers and achieving culturally responsive end-of-life care.</w:t>
      </w:r>
    </w:p>
    <w:p w14:paraId="3DC4FFCE" w14:textId="77777777" w:rsidR="006B5B1E" w:rsidRDefault="006B5B1E" w:rsidP="003034FB">
      <w:pPr>
        <w:pStyle w:val="Heading1"/>
        <w:spacing w:line="360" w:lineRule="auto"/>
        <w:ind w:left="0"/>
        <w:rPr>
          <w:rFonts w:cs="Arial"/>
          <w:sz w:val="22"/>
          <w:szCs w:val="22"/>
          <w:u w:val="single"/>
        </w:rPr>
      </w:pPr>
    </w:p>
    <w:p w14:paraId="436EC484" w14:textId="7EA087BA" w:rsidR="002865F5" w:rsidRPr="00D7365D" w:rsidRDefault="000C1032" w:rsidP="00636D9A">
      <w:pPr>
        <w:rPr>
          <w:rFonts w:ascii="Arial" w:hAnsi="Arial" w:cs="Arial"/>
          <w:b/>
          <w:bCs/>
          <w:sz w:val="28"/>
          <w:szCs w:val="28"/>
          <w:u w:val="single"/>
        </w:rPr>
      </w:pPr>
      <w:r w:rsidRPr="00D7365D">
        <w:rPr>
          <w:rFonts w:ascii="Arial" w:hAnsi="Arial" w:cs="Arial"/>
          <w:b/>
          <w:bCs/>
          <w:sz w:val="28"/>
          <w:szCs w:val="28"/>
          <w:u w:val="single"/>
        </w:rPr>
        <w:t xml:space="preserve">4.6 – Chapter Conclusion </w:t>
      </w:r>
    </w:p>
    <w:p w14:paraId="37EE8287" w14:textId="6F96143D" w:rsidR="001F3307" w:rsidRPr="001F3307" w:rsidRDefault="001F3307" w:rsidP="001F3307">
      <w:pPr>
        <w:rPr>
          <w:rFonts w:ascii="Arial" w:hAnsi="Arial" w:cs="Arial"/>
        </w:rPr>
      </w:pPr>
      <w:r w:rsidRPr="001F3307">
        <w:rPr>
          <w:rFonts w:ascii="Arial" w:hAnsi="Arial" w:cs="Arial"/>
        </w:rPr>
        <w:t>The evidence presented in this chapter has demonstrated that the barriers to delivering culturally competent end-of-life (EOL) care are deeply embedded within communication processes, institutional structures, and workforce practices. The thematic analysis of communication barriers, mistrust and inequalities in service access, and workforce training has revealed a cyclical relationship between these factors</w:t>
      </w:r>
      <w:r w:rsidR="002E3194">
        <w:rPr>
          <w:rFonts w:ascii="Arial" w:hAnsi="Arial" w:cs="Arial"/>
        </w:rPr>
        <w:t xml:space="preserve">, </w:t>
      </w:r>
      <w:r w:rsidRPr="001F3307">
        <w:rPr>
          <w:rFonts w:ascii="Arial" w:hAnsi="Arial" w:cs="Arial"/>
        </w:rPr>
        <w:t>each reinforcing the other and collectively constraining equitable care delivery for ethnic minority communities.</w:t>
      </w:r>
    </w:p>
    <w:p w14:paraId="5DAE02AB" w14:textId="77777777" w:rsidR="001F3307" w:rsidRPr="001F3307" w:rsidRDefault="001F3307" w:rsidP="001F3307">
      <w:pPr>
        <w:rPr>
          <w:rFonts w:ascii="Arial" w:hAnsi="Arial" w:cs="Arial"/>
        </w:rPr>
      </w:pPr>
      <w:r w:rsidRPr="001F3307">
        <w:rPr>
          <w:rFonts w:ascii="Arial" w:hAnsi="Arial" w:cs="Arial"/>
        </w:rPr>
        <w:t>Theme 1 established that the absence of effective communication mechanisms, including professional interpreting and culturally sensitive dialogue, undermines understanding, consent, and trust. Theme 2 illustrated how historical exclusion and unequal access perpetuate perceptions of institutional bias, leading to disengagement from EOL services. Theme 3 further highlighted that without consistent cultural competence training, policies promoting inclusion remain aspirational rather than transformative.</w:t>
      </w:r>
    </w:p>
    <w:p w14:paraId="6202539E" w14:textId="6C1CA052" w:rsidR="00DD6232" w:rsidRDefault="001F3307" w:rsidP="00371BFD">
      <w:pPr>
        <w:rPr>
          <w:rFonts w:ascii="Arial" w:hAnsi="Arial" w:cs="Arial"/>
        </w:rPr>
      </w:pPr>
      <w:r w:rsidRPr="001F3307">
        <w:rPr>
          <w:rFonts w:ascii="Arial" w:hAnsi="Arial" w:cs="Arial"/>
        </w:rPr>
        <w:t>Taken together, these findings emphasise that achieving cultural competence requires systemic reform underpinned by accountability, continuous professional development, and genuine partnership with diverse communities. The following chapter will build upon this foundation by critically evaluating the current literature on culturally competent practice and proposing evidence-based strategies to strengthen policy implementation, workforce development, and equitable service design across the health and social care sector.</w:t>
      </w:r>
    </w:p>
    <w:p w14:paraId="649027A6" w14:textId="77777777" w:rsidR="00997767" w:rsidRPr="00371BFD" w:rsidRDefault="00997767" w:rsidP="00371BFD">
      <w:pPr>
        <w:rPr>
          <w:rFonts w:ascii="Arial" w:hAnsi="Arial" w:cs="Arial"/>
        </w:rPr>
      </w:pPr>
    </w:p>
    <w:p w14:paraId="519EB35A" w14:textId="4F296F57" w:rsidR="00636D9A" w:rsidRPr="00524E4C" w:rsidRDefault="00636D9A" w:rsidP="00636D9A">
      <w:pPr>
        <w:pStyle w:val="Heading1"/>
        <w:ind w:left="0"/>
        <w:rPr>
          <w:rFonts w:cs="Arial"/>
          <w:u w:val="single"/>
        </w:rPr>
      </w:pPr>
      <w:r w:rsidRPr="00524E4C">
        <w:rPr>
          <w:rFonts w:cs="Arial"/>
          <w:u w:val="single"/>
        </w:rPr>
        <w:t>C</w:t>
      </w:r>
      <w:r w:rsidR="00524E4C">
        <w:rPr>
          <w:rFonts w:cs="Arial"/>
          <w:u w:val="single"/>
        </w:rPr>
        <w:t>hapter</w:t>
      </w:r>
      <w:r w:rsidRPr="00524E4C">
        <w:rPr>
          <w:rFonts w:cs="Arial"/>
          <w:u w:val="single"/>
        </w:rPr>
        <w:t xml:space="preserve"> 5 – Conclusion and Recommendations </w:t>
      </w:r>
    </w:p>
    <w:p w14:paraId="5053749D" w14:textId="77777777" w:rsidR="00636D9A" w:rsidRPr="005C5E80" w:rsidRDefault="00636D9A" w:rsidP="00636D9A"/>
    <w:p w14:paraId="2C633CBA" w14:textId="57FC243C" w:rsidR="00636D9A" w:rsidRPr="00D7365D" w:rsidRDefault="00636D9A" w:rsidP="003B1E32">
      <w:pPr>
        <w:pStyle w:val="Heading2"/>
        <w:rPr>
          <w:rFonts w:ascii="Arial" w:hAnsi="Arial" w:cs="Arial"/>
          <w:b/>
          <w:bCs/>
          <w:color w:val="auto"/>
          <w:sz w:val="28"/>
          <w:szCs w:val="28"/>
          <w:u w:val="single"/>
        </w:rPr>
      </w:pPr>
      <w:r w:rsidRPr="00D7365D">
        <w:rPr>
          <w:rFonts w:ascii="Arial" w:hAnsi="Arial" w:cs="Arial"/>
          <w:b/>
          <w:bCs/>
          <w:color w:val="auto"/>
          <w:sz w:val="28"/>
          <w:szCs w:val="28"/>
          <w:u w:val="single"/>
        </w:rPr>
        <w:t xml:space="preserve">5.1 – Overall Conclusion </w:t>
      </w:r>
    </w:p>
    <w:p w14:paraId="2448946D" w14:textId="77777777" w:rsidR="00EC4803" w:rsidRPr="00EC4803" w:rsidRDefault="00EC4803" w:rsidP="00EC4803">
      <w:pPr>
        <w:rPr>
          <w:rFonts w:ascii="Arial" w:hAnsi="Arial" w:cs="Arial"/>
          <w:u w:val="single"/>
        </w:rPr>
      </w:pPr>
      <w:r w:rsidRPr="00EC4803">
        <w:rPr>
          <w:rFonts w:ascii="Arial" w:hAnsi="Arial" w:cs="Arial"/>
          <w:u w:val="single"/>
        </w:rPr>
        <w:t>Purpose of the Conclusion</w:t>
      </w:r>
    </w:p>
    <w:p w14:paraId="7C6CE5CE" w14:textId="46B2CFB7" w:rsidR="00885CBC" w:rsidRDefault="00EC4803" w:rsidP="00EC4803">
      <w:pPr>
        <w:rPr>
          <w:rFonts w:ascii="Arial" w:hAnsi="Arial" w:cs="Arial"/>
        </w:rPr>
      </w:pPr>
      <w:r w:rsidRPr="00EC4803">
        <w:rPr>
          <w:rFonts w:ascii="Arial" w:hAnsi="Arial" w:cs="Arial"/>
        </w:rPr>
        <w:t>This conclusion summarises the key findings and outcomes of the dissertation, which explored the barriers to delivering culturally competent end-of-life (EOL) care for ethnic minority communities in the United Kingdom. The study revealed that communication barriers, mistrust, and workforce training deficiencies collectively contribute to persistent inequalities in EOL care (Public Health England, 2018).</w:t>
      </w:r>
    </w:p>
    <w:p w14:paraId="35504DAA" w14:textId="77777777" w:rsidR="0002743F" w:rsidRPr="0002743F" w:rsidRDefault="0002743F" w:rsidP="0002743F">
      <w:pPr>
        <w:rPr>
          <w:rFonts w:ascii="Arial" w:hAnsi="Arial" w:cs="Arial"/>
          <w:u w:val="single"/>
        </w:rPr>
      </w:pPr>
      <w:r w:rsidRPr="0002743F">
        <w:rPr>
          <w:rFonts w:ascii="Arial" w:hAnsi="Arial" w:cs="Arial"/>
          <w:u w:val="single"/>
        </w:rPr>
        <w:lastRenderedPageBreak/>
        <w:t>Summary of Key Findings</w:t>
      </w:r>
    </w:p>
    <w:p w14:paraId="4143A61D" w14:textId="3E86EF6E" w:rsidR="0002743F" w:rsidRDefault="0002743F" w:rsidP="0002743F">
      <w:pPr>
        <w:rPr>
          <w:rFonts w:ascii="Arial" w:hAnsi="Arial" w:cs="Arial"/>
        </w:rPr>
      </w:pPr>
      <w:r w:rsidRPr="0002743F">
        <w:rPr>
          <w:rFonts w:ascii="Arial" w:hAnsi="Arial" w:cs="Arial"/>
        </w:rPr>
        <w:t>The research demonstrated that poor communication undermines informed decision-making, while historical exclusion fosters mistrust and disengagement from services (Koffman et al., 2007). Furthermore, insufficient workforce training and inconsistent policy implementation continue to restrict culturally responsive care (Hospice UK, 2021). These findings confirm that despite equality-focused legislation, progress remains uneven and often symbolic rather than transformative (Papadopoulos, 2018).</w:t>
      </w:r>
    </w:p>
    <w:p w14:paraId="19A62B77" w14:textId="77777777" w:rsidR="00F72F45" w:rsidRPr="00F72F45" w:rsidRDefault="00F72F45" w:rsidP="00F72F45">
      <w:pPr>
        <w:rPr>
          <w:rFonts w:ascii="Arial" w:hAnsi="Arial" w:cs="Arial"/>
          <w:u w:val="single"/>
        </w:rPr>
      </w:pPr>
      <w:r w:rsidRPr="00F72F45">
        <w:rPr>
          <w:rFonts w:ascii="Arial" w:hAnsi="Arial" w:cs="Arial"/>
          <w:u w:val="single"/>
        </w:rPr>
        <w:t>Addressing the Aim and Objectives</w:t>
      </w:r>
    </w:p>
    <w:p w14:paraId="63DCA153" w14:textId="1980FF64" w:rsidR="002F680B" w:rsidRDefault="00F72F45" w:rsidP="00F72F45">
      <w:pPr>
        <w:rPr>
          <w:rFonts w:ascii="Arial" w:hAnsi="Arial" w:cs="Arial"/>
        </w:rPr>
      </w:pPr>
      <w:r w:rsidRPr="00F72F45">
        <w:rPr>
          <w:rFonts w:ascii="Arial" w:hAnsi="Arial" w:cs="Arial"/>
        </w:rPr>
        <w:t>The research aim</w:t>
      </w:r>
      <w:r w:rsidR="00B04AE4">
        <w:rPr>
          <w:rFonts w:ascii="Arial" w:hAnsi="Arial" w:cs="Arial"/>
        </w:rPr>
        <w:t xml:space="preserve">s </w:t>
      </w:r>
      <w:r w:rsidRPr="00F72F45">
        <w:rPr>
          <w:rFonts w:ascii="Arial" w:hAnsi="Arial" w:cs="Arial"/>
        </w:rPr>
        <w:t>to evaluate the barriers to culturally competent EOL care</w:t>
      </w:r>
      <w:r w:rsidR="00B04AE4">
        <w:rPr>
          <w:rFonts w:ascii="Arial" w:hAnsi="Arial" w:cs="Arial"/>
        </w:rPr>
        <w:t xml:space="preserve">, </w:t>
      </w:r>
      <w:r w:rsidR="00B4547A">
        <w:rPr>
          <w:rFonts w:ascii="Arial" w:hAnsi="Arial" w:cs="Arial"/>
        </w:rPr>
        <w:t xml:space="preserve">which </w:t>
      </w:r>
      <w:r w:rsidRPr="00F72F45">
        <w:rPr>
          <w:rFonts w:ascii="Arial" w:hAnsi="Arial" w:cs="Arial"/>
        </w:rPr>
        <w:t>has been achieved. Each objective was addressed through thematic analysis and critical synthesis, demonstrating that trust, communication, and professional competence are essential to equitable practice (</w:t>
      </w:r>
      <w:proofErr w:type="spellStart"/>
      <w:r w:rsidRPr="00F72F45">
        <w:rPr>
          <w:rFonts w:ascii="Arial" w:hAnsi="Arial" w:cs="Arial"/>
        </w:rPr>
        <w:t>Kaihlanen</w:t>
      </w:r>
      <w:proofErr w:type="spellEnd"/>
      <w:r w:rsidRPr="00F72F45">
        <w:rPr>
          <w:rFonts w:ascii="Arial" w:hAnsi="Arial" w:cs="Arial"/>
        </w:rPr>
        <w:t xml:space="preserve"> et al., 2019).</w:t>
      </w:r>
    </w:p>
    <w:p w14:paraId="1B8753C5" w14:textId="77777777" w:rsidR="00B04AE4" w:rsidRPr="00B04AE4" w:rsidRDefault="00B04AE4" w:rsidP="00B04AE4">
      <w:pPr>
        <w:rPr>
          <w:rFonts w:ascii="Arial" w:hAnsi="Arial" w:cs="Arial"/>
          <w:u w:val="single"/>
        </w:rPr>
      </w:pPr>
      <w:r w:rsidRPr="00B04AE4">
        <w:rPr>
          <w:rFonts w:ascii="Arial" w:hAnsi="Arial" w:cs="Arial"/>
          <w:u w:val="single"/>
        </w:rPr>
        <w:t>Final Reflection</w:t>
      </w:r>
    </w:p>
    <w:p w14:paraId="3628F6DF" w14:textId="161129E7" w:rsidR="00292A36" w:rsidRDefault="00B04AE4">
      <w:pPr>
        <w:rPr>
          <w:rFonts w:ascii="Arial" w:hAnsi="Arial" w:cs="Arial"/>
        </w:rPr>
      </w:pPr>
      <w:r w:rsidRPr="00B04AE4">
        <w:rPr>
          <w:rFonts w:ascii="Arial" w:hAnsi="Arial" w:cs="Arial"/>
        </w:rPr>
        <w:t>In conclusion, the dissertation establishes that cultural competence is both an ethical obligation and a professional standard vital to ensuring inclusive and compassionate EOL care</w:t>
      </w:r>
      <w:r w:rsidR="00DD6232">
        <w:rPr>
          <w:rFonts w:ascii="Arial" w:hAnsi="Arial" w:cs="Arial"/>
        </w:rPr>
        <w:t>.</w:t>
      </w:r>
    </w:p>
    <w:p w14:paraId="19D9724B" w14:textId="77777777" w:rsidR="00DD6232" w:rsidRPr="0061287B" w:rsidRDefault="00DD6232">
      <w:pPr>
        <w:rPr>
          <w:rFonts w:ascii="Arial" w:hAnsi="Arial" w:cs="Arial"/>
        </w:rPr>
      </w:pPr>
    </w:p>
    <w:p w14:paraId="15C66980" w14:textId="77CA0AB8" w:rsidR="0078521E" w:rsidRPr="00112E01" w:rsidRDefault="00636D9A" w:rsidP="0078521E">
      <w:pPr>
        <w:pStyle w:val="Heading2"/>
        <w:rPr>
          <w:rFonts w:ascii="Arial" w:hAnsi="Arial" w:cs="Arial"/>
          <w:b/>
          <w:bCs/>
          <w:color w:val="auto"/>
          <w:sz w:val="28"/>
          <w:szCs w:val="28"/>
          <w:u w:val="single"/>
        </w:rPr>
      </w:pPr>
      <w:r w:rsidRPr="00112E01">
        <w:rPr>
          <w:rFonts w:ascii="Arial" w:hAnsi="Arial" w:cs="Arial"/>
          <w:b/>
          <w:bCs/>
          <w:color w:val="auto"/>
          <w:sz w:val="28"/>
          <w:szCs w:val="28"/>
          <w:u w:val="single"/>
        </w:rPr>
        <w:t>5.</w:t>
      </w:r>
      <w:r w:rsidR="005C5E80" w:rsidRPr="00112E01">
        <w:rPr>
          <w:rFonts w:ascii="Arial" w:hAnsi="Arial" w:cs="Arial"/>
          <w:b/>
          <w:bCs/>
          <w:color w:val="auto"/>
          <w:sz w:val="28"/>
          <w:szCs w:val="28"/>
          <w:u w:val="single"/>
        </w:rPr>
        <w:t>2</w:t>
      </w:r>
      <w:r w:rsidRPr="00112E01">
        <w:rPr>
          <w:rFonts w:ascii="Arial" w:hAnsi="Arial" w:cs="Arial"/>
          <w:b/>
          <w:bCs/>
          <w:color w:val="auto"/>
          <w:sz w:val="28"/>
          <w:szCs w:val="28"/>
          <w:u w:val="single"/>
        </w:rPr>
        <w:t xml:space="preserve"> – </w:t>
      </w:r>
      <w:r w:rsidR="005C5E80" w:rsidRPr="00112E01">
        <w:rPr>
          <w:rFonts w:ascii="Arial" w:hAnsi="Arial" w:cs="Arial"/>
          <w:b/>
          <w:bCs/>
          <w:color w:val="auto"/>
          <w:sz w:val="28"/>
          <w:szCs w:val="28"/>
          <w:u w:val="single"/>
        </w:rPr>
        <w:t>Recommendations</w:t>
      </w:r>
      <w:r w:rsidRPr="00112E01">
        <w:rPr>
          <w:rFonts w:ascii="Arial" w:hAnsi="Arial" w:cs="Arial"/>
          <w:b/>
          <w:bCs/>
          <w:color w:val="auto"/>
          <w:sz w:val="28"/>
          <w:szCs w:val="28"/>
          <w:u w:val="single"/>
        </w:rPr>
        <w:t xml:space="preserve"> </w:t>
      </w:r>
    </w:p>
    <w:p w14:paraId="28F571CA" w14:textId="39108F81" w:rsidR="00937B59" w:rsidRDefault="00D208B8" w:rsidP="005C5E80">
      <w:pPr>
        <w:rPr>
          <w:rFonts w:ascii="Arial" w:hAnsi="Arial" w:cs="Arial"/>
        </w:rPr>
      </w:pPr>
      <w:r w:rsidRPr="00D208B8">
        <w:rPr>
          <w:rFonts w:ascii="Arial" w:hAnsi="Arial" w:cs="Arial"/>
        </w:rPr>
        <w:t xml:space="preserve">This section presents five interrelated recommendations designed to enhance culturally competent end-of-life (EOL) care for ethnic minority communities in the United Kingdom. Grounded in the key findings of this dissertation, these recommendations emphasise practical, theory-informed approaches that address barriers of communication, mistrust, and workforce capacity. Each proposal aligns with relevant legislation and theoretical frameworks, particularly Papadopoulos’ (2006) Cultural Competence Model, </w:t>
      </w:r>
      <w:proofErr w:type="spellStart"/>
      <w:r w:rsidRPr="00D208B8">
        <w:rPr>
          <w:rFonts w:ascii="Arial" w:hAnsi="Arial" w:cs="Arial"/>
        </w:rPr>
        <w:t>Tervalon</w:t>
      </w:r>
      <w:proofErr w:type="spellEnd"/>
      <w:r w:rsidRPr="00D208B8">
        <w:rPr>
          <w:rFonts w:ascii="Arial" w:hAnsi="Arial" w:cs="Arial"/>
        </w:rPr>
        <w:t xml:space="preserve"> and Murray-García’s (1998) concept of cultural humility, and Critical Race Theory (Ford and </w:t>
      </w:r>
      <w:proofErr w:type="spellStart"/>
      <w:r w:rsidRPr="00D208B8">
        <w:rPr>
          <w:rFonts w:ascii="Arial" w:hAnsi="Arial" w:cs="Arial"/>
        </w:rPr>
        <w:t>Airhihenbuwa</w:t>
      </w:r>
      <w:proofErr w:type="spellEnd"/>
      <w:r w:rsidRPr="00D208B8">
        <w:rPr>
          <w:rFonts w:ascii="Arial" w:hAnsi="Arial" w:cs="Arial"/>
        </w:rPr>
        <w:t>, 2010), ensuring both ethical and operational feasibility.</w:t>
      </w:r>
    </w:p>
    <w:p w14:paraId="42B629D4" w14:textId="4B52034D" w:rsidR="002B79D3" w:rsidRPr="00112E01" w:rsidRDefault="002B79D3" w:rsidP="002B79D3">
      <w:pPr>
        <w:rPr>
          <w:rFonts w:ascii="Arial" w:hAnsi="Arial" w:cs="Arial"/>
          <w:b/>
          <w:bCs/>
          <w:sz w:val="28"/>
          <w:szCs w:val="28"/>
          <w:u w:val="single"/>
        </w:rPr>
      </w:pPr>
      <w:r w:rsidRPr="00112E01">
        <w:rPr>
          <w:rFonts w:ascii="Arial" w:hAnsi="Arial" w:cs="Arial"/>
          <w:b/>
          <w:bCs/>
          <w:sz w:val="28"/>
          <w:szCs w:val="28"/>
          <w:u w:val="single"/>
        </w:rPr>
        <w:t>5.2.1</w:t>
      </w:r>
      <w:r w:rsidR="00F307D2" w:rsidRPr="00112E01">
        <w:rPr>
          <w:rFonts w:ascii="Arial" w:hAnsi="Arial" w:cs="Arial"/>
          <w:b/>
          <w:bCs/>
          <w:sz w:val="28"/>
          <w:szCs w:val="28"/>
          <w:u w:val="single"/>
        </w:rPr>
        <w:t xml:space="preserve"> - </w:t>
      </w:r>
      <w:r w:rsidRPr="00112E01">
        <w:rPr>
          <w:rFonts w:ascii="Arial" w:hAnsi="Arial" w:cs="Arial"/>
          <w:b/>
          <w:bCs/>
          <w:sz w:val="28"/>
          <w:szCs w:val="28"/>
          <w:u w:val="single"/>
        </w:rPr>
        <w:t>Recommendation 1: Mandatory Cultural Competence and Communication Training</w:t>
      </w:r>
    </w:p>
    <w:p w14:paraId="1E20C274" w14:textId="7EF27DEA" w:rsidR="0038169D" w:rsidRDefault="0038169D" w:rsidP="002B79D3">
      <w:pPr>
        <w:rPr>
          <w:rFonts w:ascii="Arial" w:hAnsi="Arial" w:cs="Arial"/>
        </w:rPr>
      </w:pPr>
      <w:r w:rsidRPr="0038169D">
        <w:rPr>
          <w:rFonts w:ascii="Arial" w:hAnsi="Arial" w:cs="Arial"/>
        </w:rPr>
        <w:t>This recommendation directly addresses the communication barriers identified in Theme 1, particularly the lack of consistent interpreter provision and culturally nuanced communication, which the findings show significantly restrict equitable access to end-of-life care.</w:t>
      </w:r>
    </w:p>
    <w:p w14:paraId="6012FB2E" w14:textId="46C8BDA8" w:rsidR="00210401" w:rsidRDefault="002B79D3" w:rsidP="002B79D3">
      <w:pPr>
        <w:rPr>
          <w:rFonts w:ascii="Arial" w:hAnsi="Arial" w:cs="Arial"/>
        </w:rPr>
      </w:pPr>
      <w:r w:rsidRPr="002B79D3">
        <w:rPr>
          <w:rFonts w:ascii="Arial" w:hAnsi="Arial" w:cs="Arial"/>
        </w:rPr>
        <w:t xml:space="preserve">A priority recommendation is the national implementation of structured, mandatory cultural competence and communication training across all levels of palliative and hospice care. </w:t>
      </w:r>
      <w:r w:rsidRPr="002B79D3">
        <w:rPr>
          <w:rFonts w:ascii="Arial" w:hAnsi="Arial" w:cs="Arial"/>
        </w:rPr>
        <w:lastRenderedPageBreak/>
        <w:t>Despite policy recognition of diversity and equality (Equality Act, 2010; NHS Long Term Plan, 2019), evidence suggests that only 36% of organisations deliver such training consistently (Skills for Care, 2024). Embedding Papadopoulos’ (2006) model into workforce development would promote cultural awareness, knowledge, sensitivity, and reflective practice</w:t>
      </w:r>
      <w:r w:rsidR="00D70511">
        <w:rPr>
          <w:rFonts w:ascii="Arial" w:hAnsi="Arial" w:cs="Arial"/>
        </w:rPr>
        <w:t>,</w:t>
      </w:r>
      <w:r w:rsidR="005D4645">
        <w:rPr>
          <w:rFonts w:ascii="Arial" w:hAnsi="Arial" w:cs="Arial"/>
        </w:rPr>
        <w:t xml:space="preserve"> </w:t>
      </w:r>
      <w:r w:rsidRPr="002B79D3">
        <w:rPr>
          <w:rFonts w:ascii="Arial" w:hAnsi="Arial" w:cs="Arial"/>
        </w:rPr>
        <w:t>core components of competent care.</w:t>
      </w:r>
    </w:p>
    <w:p w14:paraId="0A6614E8" w14:textId="7ED8D6DF" w:rsidR="000F04AC" w:rsidRDefault="002B161B" w:rsidP="002B79D3">
      <w:pPr>
        <w:rPr>
          <w:rFonts w:ascii="Arial" w:hAnsi="Arial" w:cs="Arial"/>
        </w:rPr>
      </w:pPr>
      <w:r w:rsidRPr="002B161B">
        <w:rPr>
          <w:rFonts w:ascii="Arial" w:hAnsi="Arial" w:cs="Arial"/>
        </w:rPr>
        <w:t>Training should be co-produced with service users, community representatives, and faith leaders to ensure authenticity and contextual relevance. Continuous professional development modules could be integrated into revalidation requirements for nurses and allied professionals, as well as induction for new staff. Barriers include time constraints and financial limitations; however, these can be mitigated through e-learning, blended approaches, and dedicated NHS England funding streams.</w:t>
      </w:r>
    </w:p>
    <w:p w14:paraId="4BFE829D" w14:textId="0F364F03" w:rsidR="0094279E" w:rsidRDefault="00B835BB" w:rsidP="002B79D3">
      <w:pPr>
        <w:rPr>
          <w:rFonts w:ascii="Arial" w:hAnsi="Arial" w:cs="Arial"/>
        </w:rPr>
      </w:pPr>
      <w:r w:rsidRPr="00B835BB">
        <w:rPr>
          <w:rFonts w:ascii="Arial" w:hAnsi="Arial" w:cs="Arial"/>
          <w:b/>
          <w:bCs/>
        </w:rPr>
        <w:t>Projected impact:</w:t>
      </w:r>
      <w:r w:rsidRPr="00B835BB">
        <w:rPr>
          <w:rFonts w:ascii="Arial" w:hAnsi="Arial" w:cs="Arial"/>
        </w:rPr>
        <w:t xml:space="preserve"> </w:t>
      </w:r>
      <w:r w:rsidR="00C55212" w:rsidRPr="00C55212">
        <w:rPr>
          <w:rFonts w:ascii="Arial" w:hAnsi="Arial" w:cs="Arial"/>
        </w:rPr>
        <w:t>Embedding cultural competence as a professional standard would enhance communication quality, rebuild trust, and reduce disparities in EOL decision-making (</w:t>
      </w:r>
      <w:proofErr w:type="spellStart"/>
      <w:r w:rsidR="00C55212" w:rsidRPr="00C55212">
        <w:rPr>
          <w:rFonts w:ascii="Arial" w:hAnsi="Arial" w:cs="Arial"/>
        </w:rPr>
        <w:t>Kaihlanen</w:t>
      </w:r>
      <w:proofErr w:type="spellEnd"/>
      <w:r w:rsidR="00C55212" w:rsidRPr="00C55212">
        <w:rPr>
          <w:rFonts w:ascii="Arial" w:hAnsi="Arial" w:cs="Arial"/>
        </w:rPr>
        <w:t xml:space="preserve"> et al., 2019).</w:t>
      </w:r>
    </w:p>
    <w:p w14:paraId="22EEA833" w14:textId="77777777" w:rsidR="004A144B" w:rsidRDefault="004A144B" w:rsidP="00EC3E24">
      <w:pPr>
        <w:rPr>
          <w:rFonts w:ascii="Arial" w:hAnsi="Arial" w:cs="Arial"/>
          <w:b/>
          <w:bCs/>
          <w:u w:val="single"/>
        </w:rPr>
      </w:pPr>
    </w:p>
    <w:p w14:paraId="2F09B773" w14:textId="61AB326A" w:rsidR="00EC3E24" w:rsidRPr="00112E01" w:rsidRDefault="00EC3E24" w:rsidP="00EC3E24">
      <w:pPr>
        <w:rPr>
          <w:rFonts w:ascii="Arial" w:hAnsi="Arial" w:cs="Arial"/>
          <w:b/>
          <w:bCs/>
          <w:sz w:val="28"/>
          <w:szCs w:val="28"/>
          <w:u w:val="single"/>
        </w:rPr>
      </w:pPr>
      <w:r w:rsidRPr="00112E01">
        <w:rPr>
          <w:rFonts w:ascii="Arial" w:hAnsi="Arial" w:cs="Arial"/>
          <w:b/>
          <w:bCs/>
          <w:sz w:val="28"/>
          <w:szCs w:val="28"/>
          <w:u w:val="single"/>
        </w:rPr>
        <w:t>5.2.2</w:t>
      </w:r>
      <w:r w:rsidR="00F307D2" w:rsidRPr="00112E01">
        <w:rPr>
          <w:rFonts w:ascii="Arial" w:hAnsi="Arial" w:cs="Arial"/>
          <w:b/>
          <w:bCs/>
          <w:sz w:val="28"/>
          <w:szCs w:val="28"/>
          <w:u w:val="single"/>
        </w:rPr>
        <w:t xml:space="preserve"> - </w:t>
      </w:r>
      <w:r w:rsidRPr="00112E01">
        <w:rPr>
          <w:rFonts w:ascii="Arial" w:hAnsi="Arial" w:cs="Arial"/>
          <w:b/>
          <w:bCs/>
          <w:sz w:val="28"/>
          <w:szCs w:val="28"/>
          <w:u w:val="single"/>
        </w:rPr>
        <w:t>Recommendation 2: Strengthening Community Partnerships and Co-Designed Outreach</w:t>
      </w:r>
    </w:p>
    <w:p w14:paraId="2E2BDB62" w14:textId="0BF2FDFA" w:rsidR="00CE36B9" w:rsidRDefault="00CE36B9" w:rsidP="00EC3E24">
      <w:pPr>
        <w:rPr>
          <w:rFonts w:ascii="Arial" w:hAnsi="Arial" w:cs="Arial"/>
        </w:rPr>
      </w:pPr>
      <w:r w:rsidRPr="00CE36B9">
        <w:rPr>
          <w:rFonts w:ascii="Arial" w:hAnsi="Arial" w:cs="Arial"/>
        </w:rPr>
        <w:t>This recommendation builds upon the mistrust and service inequalities outlined in Theme 2, where perceptions of bias, limited representation and poor engagement were shown to deter minority communities from accessing palliative services</w:t>
      </w:r>
      <w:r w:rsidR="00212E40">
        <w:rPr>
          <w:rFonts w:ascii="Arial" w:hAnsi="Arial" w:cs="Arial"/>
        </w:rPr>
        <w:t>.</w:t>
      </w:r>
    </w:p>
    <w:p w14:paraId="5307275E" w14:textId="0C8A3BFC" w:rsidR="00E23562" w:rsidRPr="00382C58" w:rsidRDefault="00EC3E24" w:rsidP="00EC3E24">
      <w:pPr>
        <w:rPr>
          <w:rFonts w:ascii="Arial" w:hAnsi="Arial" w:cs="Arial"/>
        </w:rPr>
      </w:pPr>
      <w:r w:rsidRPr="00EC3E24">
        <w:rPr>
          <w:rFonts w:ascii="Arial" w:hAnsi="Arial" w:cs="Arial"/>
        </w:rPr>
        <w:t>Building trust with ethnic minority communities requires sustained collaboration rather than episodic engagement. It is therefore recommended that hospices and EOL services establish long-term community partnerships and co-designed outreach programmes with faith organisations, cultural associations, and local leaders. Evidence from Hospice UK’s Breaking Down Barriers project (2021) and Marie Curie’s Equity and Access initiative (2019) shows that community-led collaboration increases awareness, trust, and service uptake.</w:t>
      </w:r>
    </w:p>
    <w:p w14:paraId="38775DC4" w14:textId="32ACBA5C" w:rsidR="00382C58" w:rsidRDefault="00CA4DB8" w:rsidP="005C5E80">
      <w:pPr>
        <w:rPr>
          <w:rFonts w:ascii="Arial" w:hAnsi="Arial" w:cs="Arial"/>
        </w:rPr>
      </w:pPr>
      <w:r w:rsidRPr="005E3BF7">
        <w:rPr>
          <w:rFonts w:ascii="Arial" w:hAnsi="Arial" w:cs="Arial"/>
        </w:rPr>
        <w:t xml:space="preserve">By aligning with </w:t>
      </w:r>
      <w:proofErr w:type="spellStart"/>
      <w:r w:rsidRPr="005E3BF7">
        <w:rPr>
          <w:rFonts w:ascii="Arial" w:hAnsi="Arial" w:cs="Arial"/>
        </w:rPr>
        <w:t>Tervalon</w:t>
      </w:r>
      <w:proofErr w:type="spellEnd"/>
      <w:r w:rsidRPr="005E3BF7">
        <w:rPr>
          <w:rFonts w:ascii="Arial" w:hAnsi="Arial" w:cs="Arial"/>
        </w:rPr>
        <w:t xml:space="preserve"> and Murray-García’s (1998) principles of cultural humility, practitioners can move from tokenistic consultation toward genuine shared ownership of care design. Barriers include mistrust of statutory institutions and limited </w:t>
      </w:r>
      <w:r w:rsidR="005E3BF7">
        <w:rPr>
          <w:rFonts w:ascii="Arial" w:hAnsi="Arial" w:cs="Arial"/>
        </w:rPr>
        <w:t>continuity of funding</w:t>
      </w:r>
      <w:r w:rsidRPr="005E3BF7">
        <w:rPr>
          <w:rFonts w:ascii="Arial" w:hAnsi="Arial" w:cs="Arial"/>
        </w:rPr>
        <w:t>. These can be addressed through transparent engagement strategies, the appointment of community liaison officers, and targeted funding from Integrated Care Boards (ICBs) to sustain engagement beyond pilot projects.</w:t>
      </w:r>
    </w:p>
    <w:p w14:paraId="6E438FBB" w14:textId="769528B5" w:rsidR="005E3BF7" w:rsidRDefault="00B835BB" w:rsidP="005C5E80">
      <w:pPr>
        <w:rPr>
          <w:rFonts w:ascii="Arial" w:hAnsi="Arial" w:cs="Arial"/>
        </w:rPr>
      </w:pPr>
      <w:bookmarkStart w:id="0" w:name="_Hlk210900830"/>
      <w:r w:rsidRPr="00B835BB">
        <w:rPr>
          <w:rFonts w:ascii="Arial" w:hAnsi="Arial" w:cs="Arial"/>
          <w:b/>
          <w:bCs/>
        </w:rPr>
        <w:lastRenderedPageBreak/>
        <w:t>Projected impact:</w:t>
      </w:r>
      <w:r w:rsidRPr="00B835BB">
        <w:rPr>
          <w:rFonts w:ascii="Arial" w:hAnsi="Arial" w:cs="Arial"/>
        </w:rPr>
        <w:t xml:space="preserve"> </w:t>
      </w:r>
      <w:bookmarkEnd w:id="0"/>
      <w:r w:rsidRPr="00B835BB">
        <w:rPr>
          <w:rFonts w:ascii="Arial" w:hAnsi="Arial" w:cs="Arial"/>
        </w:rPr>
        <w:t>This approach would directly improve early referral rates, enhance the cultural safety of EOL discussions, and strengthen public confidence in palliative services.</w:t>
      </w:r>
    </w:p>
    <w:p w14:paraId="5D1AF75D" w14:textId="0D09DFAC" w:rsidR="00661468" w:rsidRPr="00112E01" w:rsidRDefault="00661468" w:rsidP="00661468">
      <w:pPr>
        <w:rPr>
          <w:rFonts w:ascii="Arial" w:hAnsi="Arial" w:cs="Arial"/>
          <w:b/>
          <w:bCs/>
          <w:sz w:val="28"/>
          <w:szCs w:val="28"/>
          <w:u w:val="single"/>
        </w:rPr>
      </w:pPr>
      <w:r w:rsidRPr="00112E01">
        <w:rPr>
          <w:rFonts w:ascii="Arial" w:hAnsi="Arial" w:cs="Arial"/>
          <w:b/>
          <w:bCs/>
          <w:sz w:val="28"/>
          <w:szCs w:val="28"/>
          <w:u w:val="single"/>
        </w:rPr>
        <w:t>5.2.3</w:t>
      </w:r>
      <w:r w:rsidR="00F307D2" w:rsidRPr="00112E01">
        <w:rPr>
          <w:rFonts w:ascii="Arial" w:hAnsi="Arial" w:cs="Arial"/>
          <w:b/>
          <w:bCs/>
          <w:sz w:val="28"/>
          <w:szCs w:val="28"/>
          <w:u w:val="single"/>
        </w:rPr>
        <w:t xml:space="preserve"> - </w:t>
      </w:r>
      <w:r w:rsidRPr="00112E01">
        <w:rPr>
          <w:rFonts w:ascii="Arial" w:hAnsi="Arial" w:cs="Arial"/>
          <w:b/>
          <w:bCs/>
          <w:sz w:val="28"/>
          <w:szCs w:val="28"/>
          <w:u w:val="single"/>
        </w:rPr>
        <w:t xml:space="preserve"> Recommendation 3: Embedding Accountability through Policy and Regulation</w:t>
      </w:r>
    </w:p>
    <w:p w14:paraId="6DF377A5" w14:textId="706106DB" w:rsidR="004A144B" w:rsidRDefault="00661468" w:rsidP="00661468">
      <w:pPr>
        <w:rPr>
          <w:rFonts w:ascii="Arial" w:hAnsi="Arial" w:cs="Arial"/>
        </w:rPr>
      </w:pPr>
      <w:r w:rsidRPr="00661468">
        <w:rPr>
          <w:rFonts w:ascii="Arial" w:hAnsi="Arial" w:cs="Arial"/>
        </w:rPr>
        <w:t>For cultural competence to be meaningful, it must be underpinned by measurable accountability. It is therefore recommended that the Care Quality Commission (CQC) incorporate cultural competence standards into its inspection frameworks for palliative and hospice care. Metrics could include the presence of multilingual materials, interpreter use, community engagement outcomes, and staff diversity data.</w:t>
      </w:r>
    </w:p>
    <w:p w14:paraId="62CA4029" w14:textId="64BCA015" w:rsidR="00F45CC2" w:rsidRDefault="00F45CC2" w:rsidP="00661468">
      <w:pPr>
        <w:rPr>
          <w:rFonts w:ascii="Arial" w:hAnsi="Arial" w:cs="Arial"/>
        </w:rPr>
      </w:pPr>
      <w:r w:rsidRPr="00F45CC2">
        <w:rPr>
          <w:rFonts w:ascii="Arial" w:hAnsi="Arial" w:cs="Arial"/>
        </w:rPr>
        <w:t xml:space="preserve">This recommendation aligns with Critical Race Theory (Ford and </w:t>
      </w:r>
      <w:proofErr w:type="spellStart"/>
      <w:r w:rsidRPr="00F45CC2">
        <w:rPr>
          <w:rFonts w:ascii="Arial" w:hAnsi="Arial" w:cs="Arial"/>
        </w:rPr>
        <w:t>Airhihenbuwa</w:t>
      </w:r>
      <w:proofErr w:type="spellEnd"/>
      <w:r w:rsidRPr="00F45CC2">
        <w:rPr>
          <w:rFonts w:ascii="Arial" w:hAnsi="Arial" w:cs="Arial"/>
        </w:rPr>
        <w:t>, 2010), which asserts that institutional change requires structural accountability to dismantle systemic inequities. Current legislation, including the Equality Act (2010) and the Health and Social Care Act (2012), provides a legal basis, yet enforcement remains inconsistent (Hospice UK, 2021). Incorporating cultural competence indicators into CQC ratings would create a clear incentive for organisations to prioritise inclusive practice.</w:t>
      </w:r>
    </w:p>
    <w:p w14:paraId="3AAD04F7" w14:textId="77777777" w:rsidR="00F65DF7" w:rsidRPr="00F65DF7" w:rsidRDefault="00F65DF7" w:rsidP="00F65DF7">
      <w:pPr>
        <w:rPr>
          <w:rFonts w:ascii="Arial" w:hAnsi="Arial" w:cs="Arial"/>
        </w:rPr>
      </w:pPr>
      <w:r w:rsidRPr="00F65DF7">
        <w:rPr>
          <w:rFonts w:ascii="Arial" w:hAnsi="Arial" w:cs="Arial"/>
        </w:rPr>
        <w:t>Barriers include data collection challenges and organisational resistance. These could be mitigated through national data standardisation (NHS England, 2023) and linking funding incentives to performance outcomes.</w:t>
      </w:r>
    </w:p>
    <w:p w14:paraId="241ECC7E" w14:textId="2B2DD2FB" w:rsidR="005702F5" w:rsidRDefault="00F65DF7" w:rsidP="00F65DF7">
      <w:pPr>
        <w:rPr>
          <w:rFonts w:ascii="Arial" w:hAnsi="Arial" w:cs="Arial"/>
        </w:rPr>
      </w:pPr>
      <w:r w:rsidRPr="00F65DF7">
        <w:rPr>
          <w:rFonts w:ascii="Arial" w:hAnsi="Arial" w:cs="Arial"/>
          <w:b/>
          <w:bCs/>
        </w:rPr>
        <w:t>Projected impact</w:t>
      </w:r>
      <w:r w:rsidRPr="00F65DF7">
        <w:rPr>
          <w:rFonts w:ascii="Arial" w:hAnsi="Arial" w:cs="Arial"/>
        </w:rPr>
        <w:t>: Embedding accountability would ensure that cultural competence is not optional but integral to quality and safety in EOL care provision.</w:t>
      </w:r>
    </w:p>
    <w:p w14:paraId="5E291996" w14:textId="77777777" w:rsidR="00112E01" w:rsidRDefault="00112E01" w:rsidP="00CA0B93">
      <w:pPr>
        <w:rPr>
          <w:rFonts w:ascii="Arial" w:hAnsi="Arial" w:cs="Arial"/>
          <w:b/>
          <w:bCs/>
          <w:u w:val="single"/>
        </w:rPr>
      </w:pPr>
    </w:p>
    <w:p w14:paraId="225EF822" w14:textId="4EE2738F" w:rsidR="00CA0B93" w:rsidRPr="00112E01" w:rsidRDefault="00CA0B93" w:rsidP="00CA0B93">
      <w:pPr>
        <w:rPr>
          <w:rFonts w:ascii="Arial" w:hAnsi="Arial" w:cs="Arial"/>
          <w:b/>
          <w:bCs/>
          <w:sz w:val="28"/>
          <w:szCs w:val="28"/>
          <w:u w:val="single"/>
        </w:rPr>
      </w:pPr>
      <w:r w:rsidRPr="00112E01">
        <w:rPr>
          <w:rFonts w:ascii="Arial" w:hAnsi="Arial" w:cs="Arial"/>
          <w:b/>
          <w:bCs/>
          <w:sz w:val="28"/>
          <w:szCs w:val="28"/>
          <w:u w:val="single"/>
        </w:rPr>
        <w:t>5.2.4</w:t>
      </w:r>
      <w:r w:rsidR="00F307D2" w:rsidRPr="00112E01">
        <w:rPr>
          <w:rFonts w:ascii="Arial" w:hAnsi="Arial" w:cs="Arial"/>
          <w:b/>
          <w:bCs/>
          <w:sz w:val="28"/>
          <w:szCs w:val="28"/>
          <w:u w:val="single"/>
        </w:rPr>
        <w:t xml:space="preserve"> -</w:t>
      </w:r>
      <w:r w:rsidR="00112E01">
        <w:rPr>
          <w:rFonts w:ascii="Arial" w:hAnsi="Arial" w:cs="Arial"/>
          <w:b/>
          <w:bCs/>
          <w:sz w:val="28"/>
          <w:szCs w:val="28"/>
          <w:u w:val="single"/>
        </w:rPr>
        <w:t xml:space="preserve"> </w:t>
      </w:r>
      <w:r w:rsidRPr="00112E01">
        <w:rPr>
          <w:rFonts w:ascii="Arial" w:hAnsi="Arial" w:cs="Arial"/>
          <w:b/>
          <w:bCs/>
          <w:sz w:val="28"/>
          <w:szCs w:val="28"/>
          <w:u w:val="single"/>
        </w:rPr>
        <w:t>Recommendation 4: Expanding</w:t>
      </w:r>
      <w:r w:rsidR="00F307D2" w:rsidRPr="00112E01">
        <w:rPr>
          <w:rFonts w:ascii="Arial" w:hAnsi="Arial" w:cs="Arial"/>
          <w:b/>
          <w:bCs/>
          <w:sz w:val="28"/>
          <w:szCs w:val="28"/>
          <w:u w:val="single"/>
        </w:rPr>
        <w:t xml:space="preserve"> </w:t>
      </w:r>
      <w:r w:rsidRPr="00112E01">
        <w:rPr>
          <w:rFonts w:ascii="Arial" w:hAnsi="Arial" w:cs="Arial"/>
          <w:b/>
          <w:bCs/>
          <w:sz w:val="28"/>
          <w:szCs w:val="28"/>
          <w:u w:val="single"/>
        </w:rPr>
        <w:t>Workforce Diversity and</w:t>
      </w:r>
      <w:r w:rsidR="00F307D2" w:rsidRPr="00112E01">
        <w:rPr>
          <w:rFonts w:ascii="Arial" w:hAnsi="Arial" w:cs="Arial"/>
          <w:b/>
          <w:bCs/>
          <w:sz w:val="28"/>
          <w:szCs w:val="28"/>
          <w:u w:val="single"/>
        </w:rPr>
        <w:t xml:space="preserve"> </w:t>
      </w:r>
      <w:r w:rsidRPr="00112E01">
        <w:rPr>
          <w:rFonts w:ascii="Arial" w:hAnsi="Arial" w:cs="Arial"/>
          <w:b/>
          <w:bCs/>
          <w:sz w:val="28"/>
          <w:szCs w:val="28"/>
          <w:u w:val="single"/>
        </w:rPr>
        <w:t>Leadership Representation</w:t>
      </w:r>
    </w:p>
    <w:p w14:paraId="2115C9A3" w14:textId="47FE1FE4" w:rsidR="00FC2573" w:rsidRDefault="00FC2573" w:rsidP="00CA0B93">
      <w:pPr>
        <w:rPr>
          <w:rFonts w:ascii="Arial" w:hAnsi="Arial" w:cs="Arial"/>
        </w:rPr>
      </w:pPr>
      <w:r w:rsidRPr="00FC2573">
        <w:rPr>
          <w:rFonts w:ascii="Arial" w:hAnsi="Arial" w:cs="Arial"/>
        </w:rPr>
        <w:t>This cross-cutting recommendation reflects the interconnected nature of all three themes, recognising that sustainable improvements require simultaneous action across communication, trust-building and professional training</w:t>
      </w:r>
    </w:p>
    <w:p w14:paraId="485BD92C" w14:textId="1EFB1308" w:rsidR="000A3F1B" w:rsidRDefault="00CA0B93" w:rsidP="00CA0B93">
      <w:pPr>
        <w:rPr>
          <w:rFonts w:ascii="Arial" w:hAnsi="Arial" w:cs="Arial"/>
        </w:rPr>
      </w:pPr>
      <w:r w:rsidRPr="00CA0B93">
        <w:rPr>
          <w:rFonts w:ascii="Arial" w:hAnsi="Arial" w:cs="Arial"/>
        </w:rPr>
        <w:t>Diversity within the healthcare workforce is essential to improving culturally responsive care. The Workforce Race Equality Standard (WRES) (NHS England, 2021) highlights that ethnic minority staff remain underrepresented in senior roles and disproportionately experience workplace discrimination. This lack of representation undermines inclusion and limits the profession’s capacity to model cultural competence authentically.</w:t>
      </w:r>
    </w:p>
    <w:p w14:paraId="3ADA75DF" w14:textId="67672A75" w:rsidR="00F46609" w:rsidRDefault="00837C11" w:rsidP="00CA0B93">
      <w:pPr>
        <w:rPr>
          <w:rFonts w:ascii="Arial" w:hAnsi="Arial" w:cs="Arial"/>
        </w:rPr>
      </w:pPr>
      <w:r w:rsidRPr="00837C11">
        <w:rPr>
          <w:rFonts w:ascii="Arial" w:hAnsi="Arial" w:cs="Arial"/>
        </w:rPr>
        <w:lastRenderedPageBreak/>
        <w:t>It is therefore recommended that recruitment, retention, and promotion strategies actively target underrepresented groups. Initiatives such as the Mary Seacole Leadership Programme (NHS Leadership Academy, 2023) should be scaled nationally to cultivate diverse leadership pipelines and promote role models who reflect the communities they serve. Barriers include systemic bias, limited mentorship, and leadership inertia; however, these can be mitigated through transparent selection processes, sponsorship schemes, and anti-racist leadership training (Curtis et al., 2019).</w:t>
      </w:r>
    </w:p>
    <w:p w14:paraId="4A118922" w14:textId="4DB61A08" w:rsidR="00D61C45" w:rsidRDefault="00D30F79" w:rsidP="00CA0B93">
      <w:pPr>
        <w:rPr>
          <w:rFonts w:ascii="Arial" w:hAnsi="Arial" w:cs="Arial"/>
        </w:rPr>
      </w:pPr>
      <w:r w:rsidRPr="00D30F79">
        <w:rPr>
          <w:rFonts w:ascii="Arial" w:hAnsi="Arial" w:cs="Arial"/>
          <w:b/>
          <w:bCs/>
        </w:rPr>
        <w:t>Projected impact:</w:t>
      </w:r>
      <w:r w:rsidRPr="00D30F79">
        <w:rPr>
          <w:rFonts w:ascii="Arial" w:hAnsi="Arial" w:cs="Arial"/>
        </w:rPr>
        <w:t xml:space="preserve"> A more diverse and empowered leadership structure would not only enhance decision-making and innovation but also foster an organisational culture that values equity, empathy, and inclusion across all levels of EOL care.</w:t>
      </w:r>
    </w:p>
    <w:p w14:paraId="072064C0" w14:textId="36083B15" w:rsidR="00D977FA" w:rsidRPr="00112E01" w:rsidRDefault="00D977FA" w:rsidP="00D977FA">
      <w:pPr>
        <w:rPr>
          <w:rFonts w:ascii="Arial" w:hAnsi="Arial" w:cs="Arial"/>
          <w:b/>
          <w:bCs/>
          <w:sz w:val="28"/>
          <w:szCs w:val="28"/>
          <w:u w:val="single"/>
        </w:rPr>
      </w:pPr>
      <w:r w:rsidRPr="00112E01">
        <w:rPr>
          <w:rFonts w:ascii="Arial" w:hAnsi="Arial" w:cs="Arial"/>
          <w:b/>
          <w:bCs/>
          <w:sz w:val="28"/>
          <w:szCs w:val="28"/>
          <w:u w:val="single"/>
        </w:rPr>
        <w:t>5.2.5 - Recommendation 5: Integrating Cultural Competence into Professional Accreditation and Policy Reform</w:t>
      </w:r>
    </w:p>
    <w:p w14:paraId="66A283C5" w14:textId="1E0FAEAF" w:rsidR="009B1B31" w:rsidRDefault="009B1B31" w:rsidP="00D977FA">
      <w:pPr>
        <w:rPr>
          <w:rFonts w:ascii="Arial" w:hAnsi="Arial" w:cs="Arial"/>
        </w:rPr>
      </w:pPr>
      <w:r w:rsidRPr="009B1B31">
        <w:rPr>
          <w:rFonts w:ascii="Arial" w:hAnsi="Arial" w:cs="Arial"/>
        </w:rPr>
        <w:t>This final recommendation responds to the policy and service provision gaps revealed across Themes 1</w:t>
      </w:r>
      <w:r w:rsidR="005361C7">
        <w:rPr>
          <w:rFonts w:ascii="Arial" w:hAnsi="Arial" w:cs="Arial"/>
        </w:rPr>
        <w:t xml:space="preserve"> - </w:t>
      </w:r>
      <w:r w:rsidRPr="009B1B31">
        <w:rPr>
          <w:rFonts w:ascii="Arial" w:hAnsi="Arial" w:cs="Arial"/>
        </w:rPr>
        <w:t>3, reinforcing the need for system-level reform that embeds cultural competence into commissioning, regulation, and national service standards</w:t>
      </w:r>
    </w:p>
    <w:p w14:paraId="00B0208C" w14:textId="175B0CAF" w:rsidR="00D30F79" w:rsidRDefault="005361C7" w:rsidP="00D977FA">
      <w:pPr>
        <w:rPr>
          <w:rFonts w:ascii="Arial" w:hAnsi="Arial" w:cs="Arial"/>
        </w:rPr>
      </w:pPr>
      <w:r>
        <w:rPr>
          <w:rFonts w:ascii="Arial" w:hAnsi="Arial" w:cs="Arial"/>
        </w:rPr>
        <w:t>T</w:t>
      </w:r>
      <w:r w:rsidR="00D977FA" w:rsidRPr="00D977FA">
        <w:rPr>
          <w:rFonts w:ascii="Arial" w:hAnsi="Arial" w:cs="Arial"/>
        </w:rPr>
        <w:t xml:space="preserve">o ensure sustainability, cultural competence should be embedded </w:t>
      </w:r>
      <w:r w:rsidR="0049307F">
        <w:rPr>
          <w:rFonts w:ascii="Arial" w:hAnsi="Arial" w:cs="Arial"/>
        </w:rPr>
        <w:t>in</w:t>
      </w:r>
      <w:r w:rsidR="00D977FA" w:rsidRPr="00D977FA">
        <w:rPr>
          <w:rFonts w:ascii="Arial" w:hAnsi="Arial" w:cs="Arial"/>
        </w:rPr>
        <w:t xml:space="preserve"> national accreditation and policy frameworks. Professional bodies such as the Nursing and Midwifery Council (NMC) and Health and Care Professions Council (HCPC) should require evidence of cultural competence for revalidation and registration renewal. This would align with broader equality policies (NHS Long Term Plan, 2019) and position cultural responsiveness as a measurable element of professional excellence.</w:t>
      </w:r>
    </w:p>
    <w:p w14:paraId="2230A1DB" w14:textId="77777777" w:rsidR="00FF1DE3" w:rsidRDefault="00BE2545" w:rsidP="00D977FA">
      <w:pPr>
        <w:rPr>
          <w:rFonts w:ascii="Arial" w:hAnsi="Arial" w:cs="Arial"/>
        </w:rPr>
      </w:pPr>
      <w:r w:rsidRPr="00BE2545">
        <w:rPr>
          <w:rFonts w:ascii="Arial" w:hAnsi="Arial" w:cs="Arial"/>
        </w:rPr>
        <w:t>Furthermore, NHS England could establish a national Cultural Competence Implementation Framework to guide standardised practice across Integrated Care Systems (ICSs). Barriers include curriculum overcrowding and variable local implementation; these can be overcome through modular integration within existing training standards and national guidance dissemination.</w:t>
      </w:r>
    </w:p>
    <w:p w14:paraId="20684A68" w14:textId="45211BB4" w:rsidR="00BE2545" w:rsidRDefault="00FF1DE3" w:rsidP="00D977FA">
      <w:pPr>
        <w:rPr>
          <w:rFonts w:ascii="Arial" w:hAnsi="Arial" w:cs="Arial"/>
        </w:rPr>
      </w:pPr>
      <w:r w:rsidRPr="00FF1DE3">
        <w:rPr>
          <w:rFonts w:ascii="Arial" w:hAnsi="Arial" w:cs="Arial"/>
          <w:b/>
          <w:bCs/>
        </w:rPr>
        <w:t>Projected impact:</w:t>
      </w:r>
      <w:r w:rsidRPr="00FF1DE3">
        <w:rPr>
          <w:rFonts w:ascii="Arial" w:hAnsi="Arial" w:cs="Arial"/>
        </w:rPr>
        <w:t xml:space="preserve"> This structural embedding would ensure that cultural competence evolves from an optional focus area into a professional and policy requirement, ensuring sustainability and consistent practice across healthcare systems.</w:t>
      </w:r>
    </w:p>
    <w:p w14:paraId="35C537A3" w14:textId="629A923A" w:rsidR="003258D0" w:rsidRPr="00112E01" w:rsidRDefault="003258D0" w:rsidP="003258D0">
      <w:pPr>
        <w:rPr>
          <w:rFonts w:ascii="Arial" w:hAnsi="Arial" w:cs="Arial"/>
          <w:b/>
          <w:bCs/>
          <w:sz w:val="28"/>
          <w:szCs w:val="28"/>
          <w:u w:val="single"/>
        </w:rPr>
      </w:pPr>
      <w:r w:rsidRPr="00112E01">
        <w:rPr>
          <w:rFonts w:ascii="Arial" w:hAnsi="Arial" w:cs="Arial"/>
          <w:b/>
          <w:bCs/>
          <w:sz w:val="28"/>
          <w:szCs w:val="28"/>
          <w:u w:val="single"/>
        </w:rPr>
        <w:t>Reflective Summary</w:t>
      </w:r>
    </w:p>
    <w:p w14:paraId="16DD2A6E" w14:textId="3D6C961D" w:rsidR="00382C58" w:rsidRDefault="00503FB1" w:rsidP="00503FB1">
      <w:pPr>
        <w:rPr>
          <w:rFonts w:ascii="Arial" w:hAnsi="Arial" w:cs="Arial"/>
        </w:rPr>
      </w:pPr>
      <w:r w:rsidRPr="00531AA2">
        <w:rPr>
          <w:rFonts w:ascii="Arial" w:hAnsi="Arial" w:cs="Arial"/>
        </w:rPr>
        <w:t xml:space="preserve">This dissertation has shown that delivering culturally competent end-of-life (EOL) care for ethnic minority communities in the United Kingdom depends on systemic reform across </w:t>
      </w:r>
      <w:r w:rsidRPr="00531AA2">
        <w:rPr>
          <w:rFonts w:ascii="Arial" w:hAnsi="Arial" w:cs="Arial"/>
        </w:rPr>
        <w:lastRenderedPageBreak/>
        <w:t>professional training, policy, and service delivery. The findings revealed that communication barriers, mistrust, and limited workforce preparation are interrelated issues rooted in institutional structures rather than isolated shortcomings (Salway et al., 2016).</w:t>
      </w:r>
    </w:p>
    <w:p w14:paraId="74CB1FC6" w14:textId="76291455" w:rsidR="00531AA2" w:rsidRDefault="000E587F" w:rsidP="00503FB1">
      <w:pPr>
        <w:rPr>
          <w:rFonts w:ascii="Arial" w:hAnsi="Arial" w:cs="Arial"/>
        </w:rPr>
      </w:pPr>
      <w:r w:rsidRPr="000E587F">
        <w:rPr>
          <w:rFonts w:ascii="Arial" w:hAnsi="Arial" w:cs="Arial"/>
        </w:rPr>
        <w:t>The recommendations proposed</w:t>
      </w:r>
      <w:r>
        <w:rPr>
          <w:rFonts w:ascii="Arial" w:hAnsi="Arial" w:cs="Arial"/>
        </w:rPr>
        <w:t xml:space="preserve"> </w:t>
      </w:r>
      <w:r w:rsidRPr="000E587F">
        <w:rPr>
          <w:rFonts w:ascii="Arial" w:hAnsi="Arial" w:cs="Arial"/>
        </w:rPr>
        <w:t>mandatory cultural competence education, community partnerships, leadership accountability, and integration of competence into accreditation frameworks</w:t>
      </w:r>
      <w:r>
        <w:rPr>
          <w:rFonts w:ascii="Arial" w:hAnsi="Arial" w:cs="Arial"/>
        </w:rPr>
        <w:t>, offering</w:t>
      </w:r>
      <w:r w:rsidRPr="000E587F">
        <w:rPr>
          <w:rFonts w:ascii="Arial" w:hAnsi="Arial" w:cs="Arial"/>
        </w:rPr>
        <w:t xml:space="preserve"> practical strategies for achieving equity in care. These align with Papadopoulos’ (2006) Cultural Competence Model, </w:t>
      </w:r>
      <w:proofErr w:type="spellStart"/>
      <w:r w:rsidRPr="000E587F">
        <w:rPr>
          <w:rFonts w:ascii="Arial" w:hAnsi="Arial" w:cs="Arial"/>
        </w:rPr>
        <w:t>Tervalon</w:t>
      </w:r>
      <w:proofErr w:type="spellEnd"/>
      <w:r w:rsidRPr="000E587F">
        <w:rPr>
          <w:rFonts w:ascii="Arial" w:hAnsi="Arial" w:cs="Arial"/>
        </w:rPr>
        <w:t xml:space="preserve"> and Murray-García’s (1998) concept of cultural humility, and Critical Race Theory (Ford and </w:t>
      </w:r>
      <w:proofErr w:type="spellStart"/>
      <w:r w:rsidRPr="000E587F">
        <w:rPr>
          <w:rFonts w:ascii="Arial" w:hAnsi="Arial" w:cs="Arial"/>
        </w:rPr>
        <w:t>Airhihenbuwa</w:t>
      </w:r>
      <w:proofErr w:type="spellEnd"/>
      <w:r w:rsidRPr="000E587F">
        <w:rPr>
          <w:rFonts w:ascii="Arial" w:hAnsi="Arial" w:cs="Arial"/>
        </w:rPr>
        <w:t>, 2010), which collectively emphasise that genuine inclusivity requires both reflective self-awareness and organisational transformation.</w:t>
      </w:r>
    </w:p>
    <w:p w14:paraId="56D8216E" w14:textId="749EB261" w:rsidR="005111C7" w:rsidRDefault="0002563D" w:rsidP="00503FB1">
      <w:pPr>
        <w:rPr>
          <w:rFonts w:ascii="Arial" w:hAnsi="Arial" w:cs="Arial"/>
        </w:rPr>
      </w:pPr>
      <w:r w:rsidRPr="0002563D">
        <w:rPr>
          <w:rFonts w:ascii="Arial" w:hAnsi="Arial" w:cs="Arial"/>
        </w:rPr>
        <w:t>Reflecting on the research process, it became clear that cultural competence must move beyond policy rhetoric to become an embedded professional standard underpinned by measurable outcomes. However, persistent challenges such as workforce shortages, inconsistent implementation, and limited funding continue to hinder progress (Hospice UK, 2021). Overcoming these requires sustained investment, cross-sector collaboration, and authentic engagement with minority communities.</w:t>
      </w:r>
    </w:p>
    <w:p w14:paraId="1911620D" w14:textId="5FB2AE12" w:rsidR="0083771F" w:rsidRDefault="00E46C74" w:rsidP="00503FB1">
      <w:pPr>
        <w:rPr>
          <w:rFonts w:ascii="Arial" w:hAnsi="Arial" w:cs="Arial"/>
        </w:rPr>
      </w:pPr>
      <w:r>
        <w:rPr>
          <w:rFonts w:ascii="Arial" w:hAnsi="Arial" w:cs="Arial"/>
        </w:rPr>
        <w:t>T</w:t>
      </w:r>
      <w:r w:rsidRPr="00E46C74">
        <w:rPr>
          <w:rFonts w:ascii="Arial" w:hAnsi="Arial" w:cs="Arial"/>
        </w:rPr>
        <w:t>his study concludes that cultural competence is fundamental</w:t>
      </w:r>
      <w:r w:rsidR="0027382E">
        <w:rPr>
          <w:rFonts w:ascii="Arial" w:hAnsi="Arial" w:cs="Arial"/>
        </w:rPr>
        <w:t xml:space="preserve">, </w:t>
      </w:r>
      <w:r w:rsidRPr="00E46C74">
        <w:rPr>
          <w:rFonts w:ascii="Arial" w:hAnsi="Arial" w:cs="Arial"/>
        </w:rPr>
        <w:t>not supplementary</w:t>
      </w:r>
      <w:r w:rsidR="0027382E">
        <w:rPr>
          <w:rFonts w:ascii="Arial" w:hAnsi="Arial" w:cs="Arial"/>
        </w:rPr>
        <w:t xml:space="preserve"> </w:t>
      </w:r>
      <w:r w:rsidRPr="00E46C74">
        <w:rPr>
          <w:rFonts w:ascii="Arial" w:hAnsi="Arial" w:cs="Arial"/>
        </w:rPr>
        <w:t xml:space="preserve">to ethical and person-centred EOL care. By fostering humility, empathy, and accountability at every level, health and social care </w:t>
      </w:r>
      <w:proofErr w:type="gramStart"/>
      <w:r w:rsidR="00CF498D">
        <w:rPr>
          <w:rFonts w:ascii="Arial" w:hAnsi="Arial" w:cs="Arial"/>
        </w:rPr>
        <w:t>services</w:t>
      </w:r>
      <w:proofErr w:type="gramEnd"/>
      <w:r w:rsidRPr="00E46C74">
        <w:rPr>
          <w:rFonts w:ascii="Arial" w:hAnsi="Arial" w:cs="Arial"/>
        </w:rPr>
        <w:t xml:space="preserve"> can begin to dismantle systemic inequalities and deliver compassionate, inclusive care that truly reflects the diversity of modern Britain.</w:t>
      </w:r>
    </w:p>
    <w:p w14:paraId="3E70FCAE" w14:textId="77777777" w:rsidR="009238EE" w:rsidRPr="00531AA2" w:rsidRDefault="009238EE" w:rsidP="00503FB1">
      <w:pPr>
        <w:rPr>
          <w:rFonts w:ascii="Arial" w:hAnsi="Arial" w:cs="Arial"/>
        </w:rPr>
      </w:pPr>
    </w:p>
    <w:p w14:paraId="5B31692B" w14:textId="77777777" w:rsidR="00382C58" w:rsidRDefault="00382C58" w:rsidP="005C5E80"/>
    <w:p w14:paraId="3C678FF3" w14:textId="77777777" w:rsidR="00382C58" w:rsidRPr="005C5E80" w:rsidRDefault="00382C58" w:rsidP="005C5E80"/>
    <w:p w14:paraId="020B1B1C" w14:textId="77777777" w:rsidR="000400E4" w:rsidRDefault="000400E4"/>
    <w:p w14:paraId="65F969F3" w14:textId="77777777" w:rsidR="000400E4" w:rsidRDefault="000400E4"/>
    <w:p w14:paraId="213636C9" w14:textId="77777777" w:rsidR="002F4611" w:rsidRDefault="002F4611"/>
    <w:p w14:paraId="3D3F10A6" w14:textId="77777777" w:rsidR="002F4611" w:rsidRDefault="002F4611"/>
    <w:p w14:paraId="797E1561" w14:textId="77777777" w:rsidR="001F576C" w:rsidRDefault="001F576C"/>
    <w:p w14:paraId="2FD718A8" w14:textId="77777777" w:rsidR="001F576C" w:rsidRDefault="001F576C"/>
    <w:p w14:paraId="64AC9AFE" w14:textId="77777777" w:rsidR="00112E01" w:rsidRDefault="00112E01" w:rsidP="00112E01">
      <w:pPr>
        <w:pStyle w:val="Heading1"/>
        <w:ind w:left="0"/>
        <w:rPr>
          <w:rFonts w:cs="Arial"/>
          <w:u w:val="single"/>
        </w:rPr>
      </w:pPr>
    </w:p>
    <w:p w14:paraId="0739B132" w14:textId="7FC5DC97" w:rsidR="0034427B" w:rsidRPr="0078521E" w:rsidRDefault="00211184" w:rsidP="00112E01">
      <w:pPr>
        <w:pStyle w:val="Heading1"/>
        <w:ind w:left="0"/>
        <w:jc w:val="center"/>
        <w:rPr>
          <w:rFonts w:cs="Arial"/>
          <w:u w:val="single"/>
        </w:rPr>
      </w:pPr>
      <w:r w:rsidRPr="0078521E">
        <w:rPr>
          <w:rFonts w:cs="Arial"/>
          <w:u w:val="single"/>
        </w:rPr>
        <w:lastRenderedPageBreak/>
        <w:t>CHAPTER 6 – References and Appendices</w:t>
      </w:r>
    </w:p>
    <w:p w14:paraId="7B511722" w14:textId="77777777" w:rsidR="0078521E" w:rsidRDefault="0078521E" w:rsidP="00112E01">
      <w:pPr>
        <w:pStyle w:val="Heading1"/>
        <w:ind w:left="0"/>
        <w:jc w:val="center"/>
        <w:rPr>
          <w:rFonts w:cs="Arial"/>
          <w:b w:val="0"/>
          <w:bCs/>
        </w:rPr>
      </w:pPr>
    </w:p>
    <w:p w14:paraId="5FCE8D54" w14:textId="55FA385C" w:rsidR="00012F07" w:rsidRPr="0034427B" w:rsidRDefault="0034427B" w:rsidP="00112E01">
      <w:pPr>
        <w:pStyle w:val="Heading1"/>
        <w:ind w:left="0"/>
        <w:jc w:val="center"/>
        <w:rPr>
          <w:rFonts w:cs="Arial"/>
          <w:b w:val="0"/>
          <w:bCs/>
        </w:rPr>
      </w:pPr>
      <w:r w:rsidRPr="0034427B">
        <w:rPr>
          <w:rFonts w:cs="Arial"/>
          <w:b w:val="0"/>
          <w:bCs/>
        </w:rPr>
        <w:t>S</w:t>
      </w:r>
      <w:r w:rsidR="00944E47" w:rsidRPr="0034427B">
        <w:rPr>
          <w:rFonts w:cs="Arial"/>
          <w:b w:val="0"/>
          <w:bCs/>
        </w:rPr>
        <w:t>ource tracking table</w:t>
      </w:r>
      <w:r w:rsidR="0078521E">
        <w:rPr>
          <w:rFonts w:cs="Arial"/>
          <w:b w:val="0"/>
          <w:bCs/>
        </w:rPr>
        <w:t xml:space="preserve"> - </w:t>
      </w:r>
      <w:r w:rsidRPr="0034427B">
        <w:rPr>
          <w:rFonts w:cs="Arial"/>
          <w:b w:val="0"/>
          <w:bCs/>
        </w:rPr>
        <w:t>Appendix</w:t>
      </w:r>
      <w:r w:rsidR="00012F07" w:rsidRPr="0034427B">
        <w:rPr>
          <w:rFonts w:cs="Arial"/>
          <w:b w:val="0"/>
          <w:bCs/>
        </w:rPr>
        <w:t xml:space="preserve"> A</w:t>
      </w:r>
    </w:p>
    <w:p w14:paraId="428F38B3" w14:textId="77777777" w:rsidR="0034427B" w:rsidRPr="00595312" w:rsidRDefault="0034427B" w:rsidP="00595312">
      <w:pPr>
        <w:pStyle w:val="Heading1"/>
        <w:ind w:left="0"/>
        <w:rPr>
          <w:rFonts w:ascii="Aptos" w:hAnsi="Aptos"/>
        </w:rPr>
      </w:pPr>
    </w:p>
    <w:p w14:paraId="5E8AA8E7" w14:textId="77777777" w:rsidR="000321D4" w:rsidRPr="00470427" w:rsidRDefault="000321D4" w:rsidP="000321D4">
      <w:pPr>
        <w:pStyle w:val="Heading1"/>
        <w:rPr>
          <w:rFonts w:ascii="Aptos" w:hAnsi="Aptos"/>
          <w:sz w:val="34"/>
          <w:szCs w:val="34"/>
        </w:rPr>
      </w:pPr>
      <w:r w:rsidRPr="00470427">
        <w:rPr>
          <w:rFonts w:ascii="Aptos" w:hAnsi="Aptos"/>
          <w:sz w:val="34"/>
          <w:szCs w:val="34"/>
        </w:rPr>
        <w:t xml:space="preserve">BMHP6020 Independent Project Source Tracking Table </w:t>
      </w:r>
      <w:r w:rsidRPr="00470427">
        <w:rPr>
          <w:rFonts w:ascii="Aptos" w:hAnsi="Aptos"/>
          <w:sz w:val="34"/>
          <w:szCs w:val="34"/>
        </w:rPr>
        <w:br/>
      </w:r>
    </w:p>
    <w:tbl>
      <w:tblPr>
        <w:tblStyle w:val="TableGrid"/>
        <w:tblW w:w="11057" w:type="dxa"/>
        <w:tblInd w:w="-1139" w:type="dxa"/>
        <w:tblLayout w:type="fixed"/>
        <w:tblLook w:val="04A0" w:firstRow="1" w:lastRow="0" w:firstColumn="1" w:lastColumn="0" w:noHBand="0" w:noVBand="1"/>
      </w:tblPr>
      <w:tblGrid>
        <w:gridCol w:w="992"/>
        <w:gridCol w:w="1560"/>
        <w:gridCol w:w="2126"/>
        <w:gridCol w:w="2410"/>
        <w:gridCol w:w="1843"/>
        <w:gridCol w:w="2126"/>
      </w:tblGrid>
      <w:tr w:rsidR="000321D4" w:rsidRPr="00470427" w14:paraId="13622C2A" w14:textId="77777777" w:rsidTr="00F37680">
        <w:trPr>
          <w:trHeight w:val="818"/>
        </w:trPr>
        <w:tc>
          <w:tcPr>
            <w:tcW w:w="992" w:type="dxa"/>
          </w:tcPr>
          <w:p w14:paraId="087E9BC9" w14:textId="77777777" w:rsidR="000321D4" w:rsidRPr="00470427" w:rsidRDefault="000321D4" w:rsidP="00F37680">
            <w:pPr>
              <w:jc w:val="center"/>
              <w:rPr>
                <w:b/>
                <w:bCs/>
                <w:sz w:val="24"/>
                <w:szCs w:val="24"/>
              </w:rPr>
            </w:pPr>
            <w:r w:rsidRPr="00470427">
              <w:rPr>
                <w:rFonts w:ascii="Segoe UI Emoji" w:hAnsi="Segoe UI Emoji" w:cs="Segoe UI Emoji"/>
                <w:b/>
                <w:bCs/>
                <w:sz w:val="24"/>
                <w:szCs w:val="24"/>
              </w:rPr>
              <w:t>✅</w:t>
            </w:r>
            <w:r w:rsidRPr="00470427">
              <w:rPr>
                <w:b/>
                <w:bCs/>
                <w:sz w:val="24"/>
                <w:szCs w:val="24"/>
              </w:rPr>
              <w:t xml:space="preserve"> Saved?</w:t>
            </w:r>
          </w:p>
        </w:tc>
        <w:tc>
          <w:tcPr>
            <w:tcW w:w="1560" w:type="dxa"/>
          </w:tcPr>
          <w:p w14:paraId="7C2B16C7" w14:textId="77777777" w:rsidR="000321D4" w:rsidRPr="00470427" w:rsidRDefault="000321D4" w:rsidP="00F37680">
            <w:pPr>
              <w:jc w:val="center"/>
              <w:rPr>
                <w:b/>
                <w:bCs/>
                <w:sz w:val="24"/>
                <w:szCs w:val="24"/>
              </w:rPr>
            </w:pPr>
            <w:r w:rsidRPr="00470427">
              <w:rPr>
                <w:b/>
                <w:bCs/>
                <w:sz w:val="24"/>
                <w:szCs w:val="24"/>
              </w:rPr>
              <w:t>Author &amp; Year</w:t>
            </w:r>
          </w:p>
        </w:tc>
        <w:tc>
          <w:tcPr>
            <w:tcW w:w="2126" w:type="dxa"/>
          </w:tcPr>
          <w:p w14:paraId="1C15C94E" w14:textId="77777777" w:rsidR="000321D4" w:rsidRPr="00470427" w:rsidRDefault="000321D4" w:rsidP="00F37680">
            <w:pPr>
              <w:jc w:val="center"/>
              <w:rPr>
                <w:b/>
                <w:bCs/>
                <w:sz w:val="24"/>
                <w:szCs w:val="24"/>
              </w:rPr>
            </w:pPr>
            <w:r w:rsidRPr="00470427">
              <w:rPr>
                <w:b/>
                <w:bCs/>
                <w:sz w:val="24"/>
                <w:szCs w:val="24"/>
              </w:rPr>
              <w:t>Title</w:t>
            </w:r>
          </w:p>
        </w:tc>
        <w:tc>
          <w:tcPr>
            <w:tcW w:w="2410" w:type="dxa"/>
          </w:tcPr>
          <w:p w14:paraId="0AD8764D" w14:textId="77777777" w:rsidR="000321D4" w:rsidRPr="00470427" w:rsidRDefault="000321D4" w:rsidP="00F37680">
            <w:pPr>
              <w:jc w:val="center"/>
              <w:rPr>
                <w:b/>
                <w:bCs/>
                <w:sz w:val="24"/>
                <w:szCs w:val="24"/>
              </w:rPr>
            </w:pPr>
            <w:r w:rsidRPr="00470427">
              <w:rPr>
                <w:b/>
                <w:bCs/>
                <w:sz w:val="24"/>
                <w:szCs w:val="24"/>
              </w:rPr>
              <w:t>Summary</w:t>
            </w:r>
          </w:p>
        </w:tc>
        <w:tc>
          <w:tcPr>
            <w:tcW w:w="1843" w:type="dxa"/>
          </w:tcPr>
          <w:p w14:paraId="2D3F2DF5" w14:textId="77777777" w:rsidR="000321D4" w:rsidRPr="00470427" w:rsidRDefault="000321D4" w:rsidP="00F37680">
            <w:pPr>
              <w:jc w:val="center"/>
              <w:rPr>
                <w:b/>
                <w:bCs/>
                <w:sz w:val="24"/>
                <w:szCs w:val="24"/>
              </w:rPr>
            </w:pPr>
            <w:r w:rsidRPr="00470427">
              <w:rPr>
                <w:b/>
                <w:bCs/>
                <w:sz w:val="24"/>
                <w:szCs w:val="24"/>
              </w:rPr>
              <w:t>CRAAP Notes</w:t>
            </w:r>
          </w:p>
        </w:tc>
        <w:tc>
          <w:tcPr>
            <w:tcW w:w="2126" w:type="dxa"/>
          </w:tcPr>
          <w:p w14:paraId="6BD2DC81" w14:textId="77777777" w:rsidR="000321D4" w:rsidRPr="00470427" w:rsidRDefault="000321D4" w:rsidP="00F37680">
            <w:pPr>
              <w:jc w:val="center"/>
              <w:rPr>
                <w:b/>
                <w:bCs/>
                <w:sz w:val="24"/>
                <w:szCs w:val="24"/>
              </w:rPr>
            </w:pPr>
            <w:r w:rsidRPr="00470427">
              <w:rPr>
                <w:b/>
                <w:bCs/>
                <w:sz w:val="24"/>
                <w:szCs w:val="24"/>
              </w:rPr>
              <w:t>File Name / Link</w:t>
            </w:r>
            <w:r>
              <w:rPr>
                <w:b/>
                <w:bCs/>
                <w:sz w:val="24"/>
                <w:szCs w:val="24"/>
              </w:rPr>
              <w:t xml:space="preserve"> to Source </w:t>
            </w:r>
          </w:p>
        </w:tc>
      </w:tr>
      <w:tr w:rsidR="000321D4" w:rsidRPr="00470427" w14:paraId="26669686" w14:textId="77777777" w:rsidTr="00F37680">
        <w:trPr>
          <w:trHeight w:val="614"/>
        </w:trPr>
        <w:tc>
          <w:tcPr>
            <w:tcW w:w="992" w:type="dxa"/>
          </w:tcPr>
          <w:p w14:paraId="3844FEEE" w14:textId="77777777" w:rsidR="000321D4" w:rsidRPr="00877C4A" w:rsidRDefault="000321D4" w:rsidP="00F37680">
            <w:pPr>
              <w:rPr>
                <w:sz w:val="24"/>
                <w:szCs w:val="24"/>
              </w:rPr>
            </w:pPr>
            <w:r w:rsidRPr="00470427">
              <w:rPr>
                <w:sz w:val="24"/>
                <w:szCs w:val="24"/>
              </w:rPr>
              <w:t xml:space="preserve"> </w:t>
            </w:r>
            <w:r>
              <w:rPr>
                <w:sz w:val="24"/>
                <w:szCs w:val="24"/>
              </w:rPr>
              <w:t>Yes</w:t>
            </w:r>
          </w:p>
        </w:tc>
        <w:tc>
          <w:tcPr>
            <w:tcW w:w="1560" w:type="dxa"/>
          </w:tcPr>
          <w:p w14:paraId="49F4C8BA" w14:textId="77777777" w:rsidR="000321D4" w:rsidRPr="00A73C37" w:rsidRDefault="000321D4" w:rsidP="00F37680">
            <w:pPr>
              <w:rPr>
                <w:rFonts w:ascii="Arial" w:hAnsi="Arial" w:cs="Arial"/>
                <w:sz w:val="18"/>
                <w:szCs w:val="18"/>
              </w:rPr>
            </w:pPr>
            <w:r w:rsidRPr="00A73C37">
              <w:rPr>
                <w:rFonts w:ascii="Arial" w:hAnsi="Arial" w:cs="Arial"/>
                <w:sz w:val="18"/>
                <w:szCs w:val="18"/>
              </w:rPr>
              <w:t xml:space="preserve"> Hospice UK (2021)</w:t>
            </w:r>
          </w:p>
        </w:tc>
        <w:tc>
          <w:tcPr>
            <w:tcW w:w="2126" w:type="dxa"/>
          </w:tcPr>
          <w:p w14:paraId="4EC5605C" w14:textId="77777777" w:rsidR="000321D4" w:rsidRPr="00A73C37" w:rsidRDefault="000321D4" w:rsidP="00F37680">
            <w:pPr>
              <w:rPr>
                <w:rFonts w:ascii="Arial" w:hAnsi="Arial" w:cs="Arial"/>
                <w:sz w:val="18"/>
                <w:szCs w:val="18"/>
              </w:rPr>
            </w:pPr>
            <w:r w:rsidRPr="00A73C37">
              <w:rPr>
                <w:rFonts w:ascii="Arial" w:hAnsi="Arial" w:cs="Arial"/>
                <w:sz w:val="18"/>
                <w:szCs w:val="18"/>
              </w:rPr>
              <w:t>Breaking Down Barriers: Supporting Culturally Competent Hospice Care</w:t>
            </w:r>
          </w:p>
        </w:tc>
        <w:tc>
          <w:tcPr>
            <w:tcW w:w="2410" w:type="dxa"/>
          </w:tcPr>
          <w:p w14:paraId="050E8CA1" w14:textId="77777777" w:rsidR="000321D4" w:rsidRPr="00A73C37" w:rsidRDefault="000321D4" w:rsidP="00F37680">
            <w:pPr>
              <w:rPr>
                <w:rFonts w:ascii="Arial" w:hAnsi="Arial" w:cs="Arial"/>
                <w:sz w:val="18"/>
                <w:szCs w:val="18"/>
              </w:rPr>
            </w:pPr>
            <w:r w:rsidRPr="00A73C37">
              <w:rPr>
                <w:rFonts w:ascii="Arial" w:hAnsi="Arial" w:cs="Arial"/>
                <w:sz w:val="18"/>
                <w:szCs w:val="18"/>
              </w:rPr>
              <w:t>National report exploring persistent inequalities in hospice access for ethnic minorities and offering practical recommendations for inclusive practice.</w:t>
            </w:r>
          </w:p>
        </w:tc>
        <w:tc>
          <w:tcPr>
            <w:tcW w:w="1843" w:type="dxa"/>
          </w:tcPr>
          <w:p w14:paraId="1A35C2D9" w14:textId="77777777" w:rsidR="000321D4" w:rsidRPr="00A73C37" w:rsidRDefault="000321D4" w:rsidP="00F37680">
            <w:pPr>
              <w:rPr>
                <w:rFonts w:ascii="Arial" w:hAnsi="Arial" w:cs="Arial"/>
                <w:sz w:val="18"/>
                <w:szCs w:val="18"/>
              </w:rPr>
            </w:pPr>
            <w:r w:rsidRPr="00A73C37">
              <w:rPr>
                <w:rFonts w:ascii="Arial" w:hAnsi="Arial" w:cs="Arial"/>
                <w:sz w:val="18"/>
                <w:szCs w:val="18"/>
              </w:rPr>
              <w:t>Current (2021); Authoritative (national charity); Accurate data; Policy relevance</w:t>
            </w:r>
          </w:p>
        </w:tc>
        <w:tc>
          <w:tcPr>
            <w:tcW w:w="2126" w:type="dxa"/>
          </w:tcPr>
          <w:p w14:paraId="1B80C7D1" w14:textId="77777777" w:rsidR="000321D4" w:rsidRPr="00A73C37" w:rsidRDefault="000321D4" w:rsidP="00F37680">
            <w:pPr>
              <w:rPr>
                <w:rFonts w:ascii="Arial" w:hAnsi="Arial" w:cs="Arial"/>
                <w:sz w:val="18"/>
                <w:szCs w:val="18"/>
              </w:rPr>
            </w:pPr>
            <w:r w:rsidRPr="00A73C37">
              <w:rPr>
                <w:rFonts w:ascii="Arial" w:hAnsi="Arial" w:cs="Arial"/>
                <w:sz w:val="18"/>
                <w:szCs w:val="18"/>
              </w:rPr>
              <w:t xml:space="preserve"> HospiceUK_BreakingDownBarriers.pdf</w:t>
            </w:r>
          </w:p>
          <w:p w14:paraId="367E4D41" w14:textId="77777777" w:rsidR="000321D4" w:rsidRPr="00A73C37" w:rsidRDefault="000321D4" w:rsidP="00F37680">
            <w:pPr>
              <w:rPr>
                <w:rFonts w:ascii="Arial" w:hAnsi="Arial" w:cs="Arial"/>
                <w:sz w:val="18"/>
                <w:szCs w:val="18"/>
              </w:rPr>
            </w:pPr>
          </w:p>
        </w:tc>
      </w:tr>
      <w:tr w:rsidR="000321D4" w:rsidRPr="00470427" w14:paraId="34E66991" w14:textId="77777777" w:rsidTr="00F37680">
        <w:trPr>
          <w:trHeight w:val="614"/>
        </w:trPr>
        <w:tc>
          <w:tcPr>
            <w:tcW w:w="992" w:type="dxa"/>
          </w:tcPr>
          <w:p w14:paraId="48A95956" w14:textId="77777777" w:rsidR="000321D4" w:rsidRPr="002923AF" w:rsidRDefault="000321D4" w:rsidP="00F37680">
            <w:pPr>
              <w:rPr>
                <w:rFonts w:ascii="Arial" w:hAnsi="Arial" w:cs="Arial"/>
                <w:sz w:val="18"/>
                <w:szCs w:val="18"/>
              </w:rPr>
            </w:pPr>
            <w:r w:rsidRPr="002923AF">
              <w:rPr>
                <w:rFonts w:ascii="Arial" w:hAnsi="Arial" w:cs="Arial"/>
                <w:sz w:val="18"/>
                <w:szCs w:val="18"/>
              </w:rPr>
              <w:t>Yes</w:t>
            </w:r>
          </w:p>
        </w:tc>
        <w:tc>
          <w:tcPr>
            <w:tcW w:w="1560" w:type="dxa"/>
          </w:tcPr>
          <w:p w14:paraId="23D51D19" w14:textId="77777777" w:rsidR="000321D4" w:rsidRPr="002923AF" w:rsidRDefault="000321D4" w:rsidP="00F37680">
            <w:pPr>
              <w:rPr>
                <w:rFonts w:ascii="Arial" w:hAnsi="Arial" w:cs="Arial"/>
                <w:sz w:val="18"/>
                <w:szCs w:val="18"/>
              </w:rPr>
            </w:pPr>
            <w:r w:rsidRPr="002923AF">
              <w:rPr>
                <w:rFonts w:ascii="Arial" w:hAnsi="Arial" w:cs="Arial"/>
                <w:sz w:val="18"/>
                <w:szCs w:val="18"/>
              </w:rPr>
              <w:t>Dosani et al. (2020)</w:t>
            </w:r>
          </w:p>
        </w:tc>
        <w:tc>
          <w:tcPr>
            <w:tcW w:w="2126" w:type="dxa"/>
          </w:tcPr>
          <w:p w14:paraId="41CA0E4A" w14:textId="77777777" w:rsidR="000321D4" w:rsidRPr="002923AF" w:rsidRDefault="000321D4" w:rsidP="00F37680">
            <w:pPr>
              <w:rPr>
                <w:rFonts w:ascii="Arial" w:hAnsi="Arial" w:cs="Arial"/>
                <w:sz w:val="18"/>
                <w:szCs w:val="18"/>
              </w:rPr>
            </w:pPr>
            <w:r w:rsidRPr="002923AF">
              <w:rPr>
                <w:rFonts w:ascii="Arial" w:hAnsi="Arial" w:cs="Arial"/>
                <w:sz w:val="18"/>
                <w:szCs w:val="18"/>
              </w:rPr>
              <w:t>Faith, Family and End-of-Life Care among Minority Ethnic Groups in Britain</w:t>
            </w:r>
          </w:p>
        </w:tc>
        <w:tc>
          <w:tcPr>
            <w:tcW w:w="2410" w:type="dxa"/>
          </w:tcPr>
          <w:p w14:paraId="7F930E49" w14:textId="77777777" w:rsidR="000321D4" w:rsidRPr="002923AF" w:rsidRDefault="000321D4" w:rsidP="00F37680">
            <w:pPr>
              <w:rPr>
                <w:rFonts w:ascii="Arial" w:hAnsi="Arial" w:cs="Arial"/>
                <w:sz w:val="18"/>
                <w:szCs w:val="18"/>
              </w:rPr>
            </w:pPr>
            <w:r w:rsidRPr="002923AF">
              <w:rPr>
                <w:rFonts w:ascii="Arial" w:hAnsi="Arial" w:cs="Arial"/>
                <w:sz w:val="18"/>
                <w:szCs w:val="18"/>
              </w:rPr>
              <w:t>Qualitative study analysing how cultural and faith values shape preferences and mistrust of hospices within minority communities.</w:t>
            </w:r>
          </w:p>
        </w:tc>
        <w:tc>
          <w:tcPr>
            <w:tcW w:w="1843" w:type="dxa"/>
          </w:tcPr>
          <w:p w14:paraId="47980BD1" w14:textId="77777777" w:rsidR="000321D4" w:rsidRPr="002923AF" w:rsidRDefault="000321D4" w:rsidP="00F37680">
            <w:pPr>
              <w:rPr>
                <w:rFonts w:ascii="Arial" w:hAnsi="Arial" w:cs="Arial"/>
                <w:sz w:val="18"/>
                <w:szCs w:val="18"/>
              </w:rPr>
            </w:pPr>
            <w:r w:rsidRPr="002923AF">
              <w:rPr>
                <w:rFonts w:ascii="Arial" w:hAnsi="Arial" w:cs="Arial"/>
                <w:sz w:val="18"/>
                <w:szCs w:val="18"/>
              </w:rPr>
              <w:t>Recent (2020); Peer-reviewed; UK context; Accurate qualitative data</w:t>
            </w:r>
          </w:p>
        </w:tc>
        <w:tc>
          <w:tcPr>
            <w:tcW w:w="2126" w:type="dxa"/>
          </w:tcPr>
          <w:p w14:paraId="2F0A3029" w14:textId="77777777" w:rsidR="000321D4" w:rsidRPr="002923AF" w:rsidRDefault="000321D4" w:rsidP="00F37680">
            <w:pPr>
              <w:rPr>
                <w:rFonts w:ascii="Arial" w:hAnsi="Arial" w:cs="Arial"/>
                <w:sz w:val="18"/>
                <w:szCs w:val="18"/>
              </w:rPr>
            </w:pPr>
            <w:r w:rsidRPr="002923AF">
              <w:rPr>
                <w:rFonts w:ascii="Arial" w:hAnsi="Arial" w:cs="Arial"/>
                <w:sz w:val="18"/>
                <w:szCs w:val="18"/>
              </w:rPr>
              <w:t>Dosani_2020_FaithFamily_EOL.pdf</w:t>
            </w:r>
          </w:p>
        </w:tc>
      </w:tr>
      <w:tr w:rsidR="000321D4" w:rsidRPr="00470427" w14:paraId="0BC9AB23" w14:textId="77777777" w:rsidTr="00F37680">
        <w:trPr>
          <w:trHeight w:val="614"/>
        </w:trPr>
        <w:tc>
          <w:tcPr>
            <w:tcW w:w="992" w:type="dxa"/>
          </w:tcPr>
          <w:p w14:paraId="066C9CE5" w14:textId="77777777" w:rsidR="000321D4" w:rsidRPr="00430660" w:rsidRDefault="000321D4" w:rsidP="00F37680">
            <w:pPr>
              <w:rPr>
                <w:rFonts w:ascii="Arial" w:hAnsi="Arial" w:cs="Arial"/>
                <w:sz w:val="18"/>
                <w:szCs w:val="18"/>
              </w:rPr>
            </w:pPr>
            <w:r w:rsidRPr="00430660">
              <w:rPr>
                <w:rFonts w:ascii="Arial" w:hAnsi="Arial" w:cs="Arial"/>
                <w:sz w:val="18"/>
                <w:szCs w:val="18"/>
              </w:rPr>
              <w:t>Yes</w:t>
            </w:r>
          </w:p>
        </w:tc>
        <w:tc>
          <w:tcPr>
            <w:tcW w:w="1560" w:type="dxa"/>
          </w:tcPr>
          <w:p w14:paraId="0FCBC008" w14:textId="77777777" w:rsidR="000321D4" w:rsidRPr="00430660" w:rsidRDefault="000321D4" w:rsidP="00F37680">
            <w:pPr>
              <w:rPr>
                <w:rFonts w:ascii="Arial" w:hAnsi="Arial" w:cs="Arial"/>
                <w:sz w:val="18"/>
                <w:szCs w:val="18"/>
              </w:rPr>
            </w:pPr>
            <w:r w:rsidRPr="00430660">
              <w:rPr>
                <w:rFonts w:ascii="Arial" w:hAnsi="Arial" w:cs="Arial"/>
                <w:sz w:val="18"/>
                <w:szCs w:val="18"/>
              </w:rPr>
              <w:t>Papadopoulos (2018)</w:t>
            </w:r>
          </w:p>
        </w:tc>
        <w:tc>
          <w:tcPr>
            <w:tcW w:w="2126" w:type="dxa"/>
          </w:tcPr>
          <w:p w14:paraId="1692A749" w14:textId="77777777" w:rsidR="000321D4" w:rsidRPr="00430660" w:rsidRDefault="000321D4" w:rsidP="00F37680">
            <w:pPr>
              <w:rPr>
                <w:rFonts w:ascii="Arial" w:hAnsi="Arial" w:cs="Arial"/>
                <w:sz w:val="18"/>
                <w:szCs w:val="18"/>
              </w:rPr>
            </w:pPr>
            <w:r w:rsidRPr="00430660">
              <w:rPr>
                <w:rFonts w:ascii="Arial" w:hAnsi="Arial" w:cs="Arial"/>
                <w:sz w:val="18"/>
                <w:szCs w:val="18"/>
              </w:rPr>
              <w:t>Cultural Competence in Health and Social Care: Frameworks for Practice</w:t>
            </w:r>
          </w:p>
        </w:tc>
        <w:tc>
          <w:tcPr>
            <w:tcW w:w="2410" w:type="dxa"/>
          </w:tcPr>
          <w:p w14:paraId="13284DB9" w14:textId="77777777" w:rsidR="000321D4" w:rsidRPr="00430660" w:rsidRDefault="000321D4" w:rsidP="00F37680">
            <w:pPr>
              <w:rPr>
                <w:rFonts w:ascii="Arial" w:hAnsi="Arial" w:cs="Arial"/>
                <w:sz w:val="18"/>
                <w:szCs w:val="18"/>
              </w:rPr>
            </w:pPr>
            <w:r w:rsidRPr="00430660">
              <w:rPr>
                <w:rFonts w:ascii="Arial" w:hAnsi="Arial" w:cs="Arial"/>
                <w:sz w:val="18"/>
                <w:szCs w:val="18"/>
              </w:rPr>
              <w:t>Book establishing the four-stage model of cultural competence, widely adopted in UK professional training and policy.</w:t>
            </w:r>
          </w:p>
        </w:tc>
        <w:tc>
          <w:tcPr>
            <w:tcW w:w="1843" w:type="dxa"/>
          </w:tcPr>
          <w:p w14:paraId="0C3A8083" w14:textId="77777777" w:rsidR="000321D4" w:rsidRPr="00430660" w:rsidRDefault="000321D4" w:rsidP="00F37680">
            <w:pPr>
              <w:rPr>
                <w:rFonts w:ascii="Arial" w:hAnsi="Arial" w:cs="Arial"/>
                <w:sz w:val="18"/>
                <w:szCs w:val="18"/>
              </w:rPr>
            </w:pPr>
            <w:r w:rsidRPr="00430660">
              <w:rPr>
                <w:rFonts w:ascii="Arial" w:hAnsi="Arial" w:cs="Arial"/>
                <w:sz w:val="18"/>
                <w:szCs w:val="18"/>
              </w:rPr>
              <w:t>Authoritative academic text; High relevance to training theme</w:t>
            </w:r>
          </w:p>
        </w:tc>
        <w:tc>
          <w:tcPr>
            <w:tcW w:w="2126" w:type="dxa"/>
          </w:tcPr>
          <w:p w14:paraId="3B60CDF3" w14:textId="77777777" w:rsidR="000321D4" w:rsidRPr="00430660" w:rsidRDefault="000321D4" w:rsidP="00F37680">
            <w:pPr>
              <w:rPr>
                <w:rFonts w:ascii="Arial" w:hAnsi="Arial" w:cs="Arial"/>
                <w:sz w:val="18"/>
                <w:szCs w:val="18"/>
              </w:rPr>
            </w:pPr>
            <w:r w:rsidRPr="00430660">
              <w:rPr>
                <w:rFonts w:ascii="Arial" w:hAnsi="Arial" w:cs="Arial"/>
                <w:sz w:val="18"/>
                <w:szCs w:val="18"/>
              </w:rPr>
              <w:t>Papadopoulos_2018_CulturalCompetence.pdf</w:t>
            </w:r>
          </w:p>
        </w:tc>
      </w:tr>
      <w:tr w:rsidR="000321D4" w:rsidRPr="00470427" w14:paraId="1126D553" w14:textId="77777777" w:rsidTr="00F37680">
        <w:trPr>
          <w:trHeight w:val="614"/>
        </w:trPr>
        <w:tc>
          <w:tcPr>
            <w:tcW w:w="992" w:type="dxa"/>
          </w:tcPr>
          <w:p w14:paraId="52B7189C" w14:textId="77777777" w:rsidR="000321D4" w:rsidRPr="00A8423D" w:rsidRDefault="000321D4" w:rsidP="00F37680">
            <w:pPr>
              <w:rPr>
                <w:rFonts w:ascii="Arial" w:hAnsi="Arial" w:cs="Arial"/>
                <w:sz w:val="18"/>
                <w:szCs w:val="18"/>
              </w:rPr>
            </w:pPr>
            <w:r w:rsidRPr="00A8423D">
              <w:rPr>
                <w:rFonts w:ascii="Arial" w:hAnsi="Arial" w:cs="Arial"/>
                <w:sz w:val="18"/>
                <w:szCs w:val="18"/>
              </w:rPr>
              <w:t>Yes</w:t>
            </w:r>
          </w:p>
        </w:tc>
        <w:tc>
          <w:tcPr>
            <w:tcW w:w="1560" w:type="dxa"/>
          </w:tcPr>
          <w:p w14:paraId="5537E9AB" w14:textId="77777777" w:rsidR="000321D4" w:rsidRPr="00A8423D" w:rsidRDefault="000321D4" w:rsidP="00F37680">
            <w:pPr>
              <w:rPr>
                <w:rFonts w:ascii="Arial" w:hAnsi="Arial" w:cs="Arial"/>
                <w:sz w:val="18"/>
                <w:szCs w:val="18"/>
              </w:rPr>
            </w:pPr>
            <w:r w:rsidRPr="00A8423D">
              <w:rPr>
                <w:rFonts w:ascii="Arial" w:hAnsi="Arial" w:cs="Arial"/>
                <w:sz w:val="18"/>
                <w:szCs w:val="18"/>
              </w:rPr>
              <w:t>Marie Curie (2019)</w:t>
            </w:r>
          </w:p>
        </w:tc>
        <w:tc>
          <w:tcPr>
            <w:tcW w:w="2126" w:type="dxa"/>
          </w:tcPr>
          <w:p w14:paraId="5D0C2C85" w14:textId="77777777" w:rsidR="000321D4" w:rsidRPr="00A8423D" w:rsidRDefault="000321D4" w:rsidP="00F37680">
            <w:pPr>
              <w:rPr>
                <w:rFonts w:ascii="Arial" w:hAnsi="Arial" w:cs="Arial"/>
                <w:sz w:val="18"/>
                <w:szCs w:val="18"/>
              </w:rPr>
            </w:pPr>
            <w:r w:rsidRPr="00A8423D">
              <w:rPr>
                <w:rFonts w:ascii="Arial" w:hAnsi="Arial" w:cs="Arial"/>
                <w:sz w:val="18"/>
                <w:szCs w:val="18"/>
              </w:rPr>
              <w:t>Equity and Access to Hospice and Palliative Care for BAME Communities</w:t>
            </w:r>
          </w:p>
        </w:tc>
        <w:tc>
          <w:tcPr>
            <w:tcW w:w="2410" w:type="dxa"/>
          </w:tcPr>
          <w:p w14:paraId="3714DDA2" w14:textId="77777777" w:rsidR="000321D4" w:rsidRPr="00A8423D" w:rsidRDefault="000321D4" w:rsidP="00F37680">
            <w:pPr>
              <w:rPr>
                <w:rFonts w:ascii="Arial" w:hAnsi="Arial" w:cs="Arial"/>
                <w:sz w:val="18"/>
                <w:szCs w:val="18"/>
              </w:rPr>
            </w:pPr>
            <w:r w:rsidRPr="00A8423D">
              <w:rPr>
                <w:rFonts w:ascii="Arial" w:hAnsi="Arial" w:cs="Arial"/>
                <w:sz w:val="18"/>
                <w:szCs w:val="18"/>
              </w:rPr>
              <w:t>Evaluation showing improved service engagement through community outreach and multilingual support.</w:t>
            </w:r>
          </w:p>
        </w:tc>
        <w:tc>
          <w:tcPr>
            <w:tcW w:w="1843" w:type="dxa"/>
          </w:tcPr>
          <w:p w14:paraId="3687583C" w14:textId="77777777" w:rsidR="000321D4" w:rsidRPr="00A8423D" w:rsidRDefault="000321D4" w:rsidP="00F37680">
            <w:pPr>
              <w:rPr>
                <w:rFonts w:ascii="Arial" w:hAnsi="Arial" w:cs="Arial"/>
                <w:sz w:val="18"/>
                <w:szCs w:val="18"/>
              </w:rPr>
            </w:pPr>
            <w:r w:rsidRPr="00A8423D">
              <w:rPr>
                <w:rFonts w:ascii="Arial" w:hAnsi="Arial" w:cs="Arial"/>
                <w:sz w:val="18"/>
                <w:szCs w:val="18"/>
              </w:rPr>
              <w:t>National charity- Reliable program evaluation; Empirical findings</w:t>
            </w:r>
          </w:p>
        </w:tc>
        <w:tc>
          <w:tcPr>
            <w:tcW w:w="2126" w:type="dxa"/>
          </w:tcPr>
          <w:p w14:paraId="0150BB1C" w14:textId="77777777" w:rsidR="000321D4" w:rsidRPr="00A8423D" w:rsidRDefault="000321D4" w:rsidP="00F37680">
            <w:pPr>
              <w:rPr>
                <w:rFonts w:ascii="Arial" w:hAnsi="Arial" w:cs="Arial"/>
                <w:sz w:val="18"/>
                <w:szCs w:val="18"/>
              </w:rPr>
            </w:pPr>
            <w:r w:rsidRPr="00A8423D">
              <w:rPr>
                <w:rFonts w:ascii="Arial" w:hAnsi="Arial" w:cs="Arial"/>
                <w:sz w:val="18"/>
                <w:szCs w:val="18"/>
              </w:rPr>
              <w:t>MarieCurie_2019_EquityAccess.pdf</w:t>
            </w:r>
          </w:p>
        </w:tc>
      </w:tr>
      <w:tr w:rsidR="000321D4" w:rsidRPr="00470427" w14:paraId="75433391" w14:textId="77777777" w:rsidTr="00F37680">
        <w:trPr>
          <w:trHeight w:val="614"/>
        </w:trPr>
        <w:tc>
          <w:tcPr>
            <w:tcW w:w="992" w:type="dxa"/>
          </w:tcPr>
          <w:p w14:paraId="19D294D1" w14:textId="77777777" w:rsidR="000321D4" w:rsidRPr="00777C91" w:rsidRDefault="000321D4" w:rsidP="00F37680">
            <w:pPr>
              <w:rPr>
                <w:rFonts w:ascii="Arial" w:hAnsi="Arial" w:cs="Arial"/>
                <w:sz w:val="18"/>
                <w:szCs w:val="18"/>
              </w:rPr>
            </w:pPr>
            <w:r w:rsidRPr="00777C91">
              <w:rPr>
                <w:rFonts w:ascii="Arial" w:hAnsi="Arial" w:cs="Arial"/>
                <w:sz w:val="18"/>
                <w:szCs w:val="18"/>
              </w:rPr>
              <w:t>Yes</w:t>
            </w:r>
          </w:p>
        </w:tc>
        <w:tc>
          <w:tcPr>
            <w:tcW w:w="1560" w:type="dxa"/>
          </w:tcPr>
          <w:p w14:paraId="3EA3D5BA" w14:textId="77777777" w:rsidR="000321D4" w:rsidRPr="00777C91" w:rsidRDefault="000321D4" w:rsidP="00F37680">
            <w:pPr>
              <w:rPr>
                <w:rFonts w:ascii="Arial" w:hAnsi="Arial" w:cs="Arial"/>
                <w:sz w:val="18"/>
                <w:szCs w:val="18"/>
              </w:rPr>
            </w:pPr>
            <w:r w:rsidRPr="00777C91">
              <w:rPr>
                <w:rFonts w:ascii="Arial" w:hAnsi="Arial" w:cs="Arial"/>
                <w:sz w:val="18"/>
                <w:szCs w:val="18"/>
              </w:rPr>
              <w:t>Salway et al. (2016)</w:t>
            </w:r>
          </w:p>
        </w:tc>
        <w:tc>
          <w:tcPr>
            <w:tcW w:w="2126" w:type="dxa"/>
          </w:tcPr>
          <w:p w14:paraId="2E4B20D1" w14:textId="77777777" w:rsidR="000321D4" w:rsidRPr="00777C91" w:rsidRDefault="000321D4" w:rsidP="00F37680">
            <w:pPr>
              <w:rPr>
                <w:rFonts w:ascii="Arial" w:hAnsi="Arial" w:cs="Arial"/>
                <w:sz w:val="18"/>
                <w:szCs w:val="18"/>
              </w:rPr>
            </w:pPr>
            <w:r w:rsidRPr="00777C91">
              <w:rPr>
                <w:rFonts w:ascii="Arial" w:hAnsi="Arial" w:cs="Arial"/>
                <w:sz w:val="18"/>
                <w:szCs w:val="18"/>
              </w:rPr>
              <w:t>Addressing Ethnic Inequalities in Health: Barriers and Enablers in Policy Implementation</w:t>
            </w:r>
          </w:p>
        </w:tc>
        <w:tc>
          <w:tcPr>
            <w:tcW w:w="2410" w:type="dxa"/>
          </w:tcPr>
          <w:p w14:paraId="1336C4CD" w14:textId="77777777" w:rsidR="000321D4" w:rsidRPr="00777C91" w:rsidRDefault="000321D4" w:rsidP="00F37680">
            <w:pPr>
              <w:rPr>
                <w:rFonts w:ascii="Arial" w:hAnsi="Arial" w:cs="Arial"/>
                <w:sz w:val="18"/>
                <w:szCs w:val="18"/>
              </w:rPr>
            </w:pPr>
            <w:r w:rsidRPr="00777C91">
              <w:rPr>
                <w:rFonts w:ascii="Arial" w:hAnsi="Arial" w:cs="Arial"/>
                <w:sz w:val="18"/>
                <w:szCs w:val="18"/>
              </w:rPr>
              <w:t>Policy analysis identifying why equality legislation has not eliminated health disparities for ethnic minorities.</w:t>
            </w:r>
          </w:p>
        </w:tc>
        <w:tc>
          <w:tcPr>
            <w:tcW w:w="1843" w:type="dxa"/>
          </w:tcPr>
          <w:p w14:paraId="37289BE7" w14:textId="77777777" w:rsidR="000321D4" w:rsidRPr="00777C91" w:rsidRDefault="000321D4" w:rsidP="00F37680">
            <w:pPr>
              <w:rPr>
                <w:rFonts w:ascii="Arial" w:hAnsi="Arial" w:cs="Arial"/>
                <w:sz w:val="18"/>
                <w:szCs w:val="18"/>
              </w:rPr>
            </w:pPr>
            <w:r w:rsidRPr="00777C91">
              <w:rPr>
                <w:rFonts w:ascii="Arial" w:hAnsi="Arial" w:cs="Arial"/>
                <w:sz w:val="18"/>
                <w:szCs w:val="18"/>
              </w:rPr>
              <w:t>Peer-reviewed; UK policy focus; Accurate analysis</w:t>
            </w:r>
          </w:p>
        </w:tc>
        <w:tc>
          <w:tcPr>
            <w:tcW w:w="2126" w:type="dxa"/>
          </w:tcPr>
          <w:p w14:paraId="2BF1C5EF" w14:textId="77777777" w:rsidR="000321D4" w:rsidRPr="00777C91" w:rsidRDefault="000321D4" w:rsidP="00F37680">
            <w:pPr>
              <w:rPr>
                <w:rFonts w:ascii="Arial" w:hAnsi="Arial" w:cs="Arial"/>
                <w:sz w:val="18"/>
                <w:szCs w:val="18"/>
              </w:rPr>
            </w:pPr>
            <w:r w:rsidRPr="00777C91">
              <w:rPr>
                <w:rFonts w:ascii="Arial" w:hAnsi="Arial" w:cs="Arial"/>
                <w:sz w:val="18"/>
                <w:szCs w:val="18"/>
              </w:rPr>
              <w:t>Salway_2016_EthnicInequalities.pdf</w:t>
            </w:r>
          </w:p>
        </w:tc>
      </w:tr>
      <w:tr w:rsidR="000321D4" w:rsidRPr="00470427" w14:paraId="2D0D1A8C" w14:textId="77777777" w:rsidTr="00F37680">
        <w:trPr>
          <w:trHeight w:val="614"/>
        </w:trPr>
        <w:tc>
          <w:tcPr>
            <w:tcW w:w="992" w:type="dxa"/>
          </w:tcPr>
          <w:p w14:paraId="2E1E4866" w14:textId="77777777" w:rsidR="000321D4" w:rsidRPr="00777C91" w:rsidRDefault="000321D4" w:rsidP="00F37680">
            <w:pPr>
              <w:rPr>
                <w:rFonts w:ascii="Arial" w:hAnsi="Arial" w:cs="Arial"/>
                <w:sz w:val="18"/>
                <w:szCs w:val="18"/>
              </w:rPr>
            </w:pPr>
            <w:r w:rsidRPr="00777C91">
              <w:rPr>
                <w:rFonts w:ascii="Arial" w:hAnsi="Arial" w:cs="Arial"/>
                <w:sz w:val="18"/>
                <w:szCs w:val="18"/>
              </w:rPr>
              <w:t>Yes</w:t>
            </w:r>
          </w:p>
        </w:tc>
        <w:tc>
          <w:tcPr>
            <w:tcW w:w="1560" w:type="dxa"/>
          </w:tcPr>
          <w:p w14:paraId="5ACC3B4F" w14:textId="77777777" w:rsidR="000321D4" w:rsidRPr="00777C91" w:rsidRDefault="000321D4" w:rsidP="00F37680">
            <w:pPr>
              <w:rPr>
                <w:rFonts w:ascii="Arial" w:hAnsi="Arial" w:cs="Arial"/>
                <w:sz w:val="18"/>
                <w:szCs w:val="18"/>
              </w:rPr>
            </w:pPr>
            <w:proofErr w:type="spellStart"/>
            <w:r w:rsidRPr="00777C91">
              <w:rPr>
                <w:rFonts w:ascii="Arial" w:hAnsi="Arial" w:cs="Arial"/>
                <w:sz w:val="18"/>
                <w:szCs w:val="18"/>
              </w:rPr>
              <w:t>Kaihlanen</w:t>
            </w:r>
            <w:proofErr w:type="spellEnd"/>
            <w:r w:rsidRPr="00777C91">
              <w:rPr>
                <w:rFonts w:ascii="Arial" w:hAnsi="Arial" w:cs="Arial"/>
                <w:sz w:val="18"/>
                <w:szCs w:val="18"/>
              </w:rPr>
              <w:t xml:space="preserve"> et al. (2019)</w:t>
            </w:r>
          </w:p>
        </w:tc>
        <w:tc>
          <w:tcPr>
            <w:tcW w:w="2126" w:type="dxa"/>
          </w:tcPr>
          <w:p w14:paraId="680C1FC3" w14:textId="77777777" w:rsidR="000321D4" w:rsidRPr="00777C91" w:rsidRDefault="000321D4" w:rsidP="00F37680">
            <w:pPr>
              <w:rPr>
                <w:rFonts w:ascii="Arial" w:hAnsi="Arial" w:cs="Arial"/>
                <w:sz w:val="18"/>
                <w:szCs w:val="18"/>
              </w:rPr>
            </w:pPr>
            <w:r w:rsidRPr="00777C91">
              <w:rPr>
                <w:rFonts w:ascii="Arial" w:hAnsi="Arial" w:cs="Arial"/>
                <w:sz w:val="18"/>
                <w:szCs w:val="18"/>
              </w:rPr>
              <w:t>Promoting Cultural Competence in Healthcare Education: A Systematic Review</w:t>
            </w:r>
          </w:p>
        </w:tc>
        <w:tc>
          <w:tcPr>
            <w:tcW w:w="2410" w:type="dxa"/>
          </w:tcPr>
          <w:p w14:paraId="342B626B" w14:textId="77777777" w:rsidR="000321D4" w:rsidRPr="00777C91" w:rsidRDefault="000321D4" w:rsidP="00F37680">
            <w:pPr>
              <w:rPr>
                <w:rFonts w:ascii="Arial" w:hAnsi="Arial" w:cs="Arial"/>
                <w:sz w:val="18"/>
                <w:szCs w:val="18"/>
              </w:rPr>
            </w:pPr>
            <w:r w:rsidRPr="00777C91">
              <w:rPr>
                <w:rFonts w:ascii="Arial" w:hAnsi="Arial" w:cs="Arial"/>
                <w:sz w:val="18"/>
                <w:szCs w:val="18"/>
              </w:rPr>
              <w:t>Review evaluating cultural-competence training outcomes for healthcare staff and implications for UK practice.</w:t>
            </w:r>
          </w:p>
        </w:tc>
        <w:tc>
          <w:tcPr>
            <w:tcW w:w="1843" w:type="dxa"/>
          </w:tcPr>
          <w:p w14:paraId="7F6B6FE5" w14:textId="77777777" w:rsidR="000321D4" w:rsidRPr="00777C91" w:rsidRDefault="000321D4" w:rsidP="00F37680">
            <w:pPr>
              <w:rPr>
                <w:rFonts w:ascii="Arial" w:hAnsi="Arial" w:cs="Arial"/>
                <w:sz w:val="18"/>
                <w:szCs w:val="18"/>
              </w:rPr>
            </w:pPr>
            <w:r w:rsidRPr="00777C91">
              <w:rPr>
                <w:rFonts w:ascii="Arial" w:hAnsi="Arial" w:cs="Arial"/>
                <w:sz w:val="18"/>
                <w:szCs w:val="18"/>
              </w:rPr>
              <w:t>Recent; Peer-reviewed; Cross-European relevance</w:t>
            </w:r>
          </w:p>
        </w:tc>
        <w:tc>
          <w:tcPr>
            <w:tcW w:w="2126" w:type="dxa"/>
          </w:tcPr>
          <w:p w14:paraId="57B099E7" w14:textId="77777777" w:rsidR="000321D4" w:rsidRPr="00777C91" w:rsidRDefault="000321D4" w:rsidP="00F37680">
            <w:pPr>
              <w:rPr>
                <w:rFonts w:ascii="Arial" w:hAnsi="Arial" w:cs="Arial"/>
                <w:sz w:val="18"/>
                <w:szCs w:val="18"/>
              </w:rPr>
            </w:pPr>
            <w:r w:rsidRPr="00777C91">
              <w:rPr>
                <w:rFonts w:ascii="Arial" w:hAnsi="Arial" w:cs="Arial"/>
                <w:sz w:val="18"/>
                <w:szCs w:val="18"/>
              </w:rPr>
              <w:t>Kaihlanen_2019_CulturalCompetenceTraining.pdf</w:t>
            </w:r>
          </w:p>
        </w:tc>
      </w:tr>
      <w:tr w:rsidR="000321D4" w:rsidRPr="00470427" w14:paraId="7936612B" w14:textId="77777777" w:rsidTr="00F37680">
        <w:trPr>
          <w:trHeight w:val="614"/>
        </w:trPr>
        <w:tc>
          <w:tcPr>
            <w:tcW w:w="992" w:type="dxa"/>
          </w:tcPr>
          <w:p w14:paraId="6AC0285A" w14:textId="77777777" w:rsidR="000321D4" w:rsidRPr="00794BE2" w:rsidRDefault="000321D4" w:rsidP="00F37680">
            <w:pPr>
              <w:rPr>
                <w:rFonts w:ascii="Arial" w:hAnsi="Arial" w:cs="Arial"/>
                <w:sz w:val="18"/>
                <w:szCs w:val="18"/>
              </w:rPr>
            </w:pPr>
            <w:r w:rsidRPr="00794BE2">
              <w:rPr>
                <w:rFonts w:ascii="Arial" w:hAnsi="Arial" w:cs="Arial"/>
                <w:sz w:val="18"/>
                <w:szCs w:val="18"/>
              </w:rPr>
              <w:lastRenderedPageBreak/>
              <w:t>Yes</w:t>
            </w:r>
          </w:p>
        </w:tc>
        <w:tc>
          <w:tcPr>
            <w:tcW w:w="1560" w:type="dxa"/>
          </w:tcPr>
          <w:p w14:paraId="68D8E713" w14:textId="77777777" w:rsidR="000321D4" w:rsidRPr="00794BE2" w:rsidRDefault="000321D4" w:rsidP="00F37680">
            <w:pPr>
              <w:rPr>
                <w:rFonts w:ascii="Arial" w:hAnsi="Arial" w:cs="Arial"/>
                <w:sz w:val="18"/>
                <w:szCs w:val="18"/>
              </w:rPr>
            </w:pPr>
            <w:r w:rsidRPr="00794BE2">
              <w:rPr>
                <w:rFonts w:ascii="Arial" w:hAnsi="Arial" w:cs="Arial"/>
                <w:sz w:val="18"/>
                <w:szCs w:val="18"/>
              </w:rPr>
              <w:t>Public Health England (2018)</w:t>
            </w:r>
          </w:p>
        </w:tc>
        <w:tc>
          <w:tcPr>
            <w:tcW w:w="2126" w:type="dxa"/>
          </w:tcPr>
          <w:p w14:paraId="6425B0B2" w14:textId="77777777" w:rsidR="000321D4" w:rsidRPr="00794BE2" w:rsidRDefault="000321D4" w:rsidP="00F37680">
            <w:pPr>
              <w:rPr>
                <w:rFonts w:ascii="Arial" w:hAnsi="Arial" w:cs="Arial"/>
                <w:sz w:val="18"/>
                <w:szCs w:val="18"/>
              </w:rPr>
            </w:pPr>
            <w:r w:rsidRPr="00794BE2">
              <w:rPr>
                <w:rFonts w:ascii="Arial" w:hAnsi="Arial" w:cs="Arial"/>
                <w:sz w:val="18"/>
                <w:szCs w:val="18"/>
              </w:rPr>
              <w:t>Health Equity Report: Focus on Ethnicity</w:t>
            </w:r>
          </w:p>
        </w:tc>
        <w:tc>
          <w:tcPr>
            <w:tcW w:w="2410" w:type="dxa"/>
          </w:tcPr>
          <w:p w14:paraId="14F892FB" w14:textId="77777777" w:rsidR="000321D4" w:rsidRPr="00794BE2" w:rsidRDefault="000321D4" w:rsidP="00F37680">
            <w:pPr>
              <w:rPr>
                <w:rFonts w:ascii="Arial" w:hAnsi="Arial" w:cs="Arial"/>
                <w:sz w:val="18"/>
                <w:szCs w:val="18"/>
              </w:rPr>
            </w:pPr>
            <w:r w:rsidRPr="00794BE2">
              <w:rPr>
                <w:rFonts w:ascii="Arial" w:hAnsi="Arial" w:cs="Arial"/>
                <w:sz w:val="18"/>
                <w:szCs w:val="18"/>
              </w:rPr>
              <w:t>Government report providing national statistics on disparities in healthcare outcomes and service access.</w:t>
            </w:r>
          </w:p>
        </w:tc>
        <w:tc>
          <w:tcPr>
            <w:tcW w:w="1843" w:type="dxa"/>
          </w:tcPr>
          <w:p w14:paraId="1F2B5365" w14:textId="77777777" w:rsidR="000321D4" w:rsidRPr="00794BE2" w:rsidRDefault="000321D4" w:rsidP="00F37680">
            <w:pPr>
              <w:rPr>
                <w:rFonts w:ascii="Arial" w:hAnsi="Arial" w:cs="Arial"/>
                <w:sz w:val="18"/>
                <w:szCs w:val="18"/>
              </w:rPr>
            </w:pPr>
            <w:r w:rsidRPr="00794BE2">
              <w:rPr>
                <w:rFonts w:ascii="Arial" w:hAnsi="Arial" w:cs="Arial"/>
                <w:sz w:val="18"/>
                <w:szCs w:val="18"/>
              </w:rPr>
              <w:t>Official data source; Accurate; Highly relevant to inequalities</w:t>
            </w:r>
          </w:p>
        </w:tc>
        <w:tc>
          <w:tcPr>
            <w:tcW w:w="2126" w:type="dxa"/>
          </w:tcPr>
          <w:p w14:paraId="5C2B039C" w14:textId="77777777" w:rsidR="000321D4" w:rsidRPr="00794BE2" w:rsidRDefault="000321D4" w:rsidP="00F37680">
            <w:pPr>
              <w:rPr>
                <w:rFonts w:ascii="Arial" w:hAnsi="Arial" w:cs="Arial"/>
                <w:sz w:val="18"/>
                <w:szCs w:val="18"/>
              </w:rPr>
            </w:pPr>
            <w:r w:rsidRPr="00794BE2">
              <w:rPr>
                <w:rFonts w:ascii="Arial" w:hAnsi="Arial" w:cs="Arial"/>
                <w:sz w:val="18"/>
                <w:szCs w:val="18"/>
              </w:rPr>
              <w:t>PHE_2018_HealthEquity.pdf</w:t>
            </w:r>
          </w:p>
        </w:tc>
      </w:tr>
      <w:tr w:rsidR="000321D4" w:rsidRPr="007047F6" w14:paraId="19AFCD6D" w14:textId="77777777" w:rsidTr="00F37680">
        <w:trPr>
          <w:trHeight w:val="645"/>
        </w:trPr>
        <w:tc>
          <w:tcPr>
            <w:tcW w:w="992" w:type="dxa"/>
          </w:tcPr>
          <w:p w14:paraId="363AA53C" w14:textId="77777777" w:rsidR="000321D4" w:rsidRPr="007047F6" w:rsidRDefault="000321D4" w:rsidP="00F37680">
            <w:pPr>
              <w:rPr>
                <w:rFonts w:ascii="Arial" w:hAnsi="Arial" w:cs="Arial"/>
                <w:sz w:val="18"/>
                <w:szCs w:val="18"/>
              </w:rPr>
            </w:pPr>
            <w:r w:rsidRPr="007047F6">
              <w:rPr>
                <w:rFonts w:ascii="Arial" w:hAnsi="Arial" w:cs="Arial"/>
                <w:sz w:val="18"/>
                <w:szCs w:val="18"/>
              </w:rPr>
              <w:t>Yes</w:t>
            </w:r>
          </w:p>
        </w:tc>
        <w:tc>
          <w:tcPr>
            <w:tcW w:w="1560" w:type="dxa"/>
          </w:tcPr>
          <w:p w14:paraId="02E1B6F5" w14:textId="77777777" w:rsidR="000321D4" w:rsidRPr="007047F6" w:rsidRDefault="000321D4" w:rsidP="00F37680">
            <w:pPr>
              <w:rPr>
                <w:rFonts w:ascii="Arial" w:hAnsi="Arial" w:cs="Arial"/>
                <w:sz w:val="18"/>
                <w:szCs w:val="18"/>
              </w:rPr>
            </w:pPr>
            <w:proofErr w:type="spellStart"/>
            <w:r w:rsidRPr="007047F6">
              <w:rPr>
                <w:rFonts w:ascii="Arial" w:hAnsi="Arial" w:cs="Arial"/>
                <w:sz w:val="18"/>
                <w:szCs w:val="18"/>
              </w:rPr>
              <w:t>Etkind</w:t>
            </w:r>
            <w:proofErr w:type="spellEnd"/>
            <w:r w:rsidRPr="007047F6">
              <w:rPr>
                <w:rFonts w:ascii="Arial" w:hAnsi="Arial" w:cs="Arial"/>
                <w:sz w:val="18"/>
                <w:szCs w:val="18"/>
              </w:rPr>
              <w:t xml:space="preserve"> et al. (2017)</w:t>
            </w:r>
          </w:p>
        </w:tc>
        <w:tc>
          <w:tcPr>
            <w:tcW w:w="2126" w:type="dxa"/>
          </w:tcPr>
          <w:p w14:paraId="28348569" w14:textId="77777777" w:rsidR="000321D4" w:rsidRPr="007047F6" w:rsidRDefault="000321D4" w:rsidP="00F37680">
            <w:pPr>
              <w:rPr>
                <w:rFonts w:ascii="Arial" w:hAnsi="Arial" w:cs="Arial"/>
                <w:sz w:val="18"/>
                <w:szCs w:val="18"/>
              </w:rPr>
            </w:pPr>
            <w:r w:rsidRPr="007047F6">
              <w:rPr>
                <w:rFonts w:ascii="Arial" w:hAnsi="Arial" w:cs="Arial"/>
                <w:sz w:val="18"/>
                <w:szCs w:val="18"/>
              </w:rPr>
              <w:t>Patterns of Palliative Care Use among Ethnic Minorities in the UK</w:t>
            </w:r>
          </w:p>
        </w:tc>
        <w:tc>
          <w:tcPr>
            <w:tcW w:w="2410" w:type="dxa"/>
          </w:tcPr>
          <w:p w14:paraId="01EECDAA" w14:textId="77777777" w:rsidR="000321D4" w:rsidRPr="007047F6" w:rsidRDefault="000321D4" w:rsidP="00F37680">
            <w:pPr>
              <w:rPr>
                <w:rFonts w:ascii="Arial" w:hAnsi="Arial" w:cs="Arial"/>
                <w:sz w:val="18"/>
                <w:szCs w:val="18"/>
              </w:rPr>
            </w:pPr>
            <w:r w:rsidRPr="007047F6">
              <w:rPr>
                <w:rFonts w:ascii="Arial" w:hAnsi="Arial" w:cs="Arial"/>
                <w:sz w:val="18"/>
                <w:szCs w:val="18"/>
              </w:rPr>
              <w:t>Quantitative analysis showing ethnic minority under-representation in hospice use despite higher palliative need.</w:t>
            </w:r>
          </w:p>
        </w:tc>
        <w:tc>
          <w:tcPr>
            <w:tcW w:w="1843" w:type="dxa"/>
          </w:tcPr>
          <w:p w14:paraId="4154A5EF" w14:textId="77777777" w:rsidR="000321D4" w:rsidRPr="007047F6" w:rsidRDefault="000321D4" w:rsidP="00F37680">
            <w:pPr>
              <w:rPr>
                <w:rFonts w:ascii="Arial" w:hAnsi="Arial" w:cs="Arial"/>
                <w:sz w:val="18"/>
                <w:szCs w:val="18"/>
              </w:rPr>
            </w:pPr>
            <w:r w:rsidRPr="007047F6">
              <w:rPr>
                <w:rFonts w:ascii="Arial" w:hAnsi="Arial" w:cs="Arial"/>
                <w:sz w:val="18"/>
                <w:szCs w:val="18"/>
              </w:rPr>
              <w:t>Peer-reviewed; Empirical UK study; Accurate data</w:t>
            </w:r>
          </w:p>
        </w:tc>
        <w:tc>
          <w:tcPr>
            <w:tcW w:w="2126" w:type="dxa"/>
          </w:tcPr>
          <w:p w14:paraId="676E9DFC" w14:textId="77777777" w:rsidR="000321D4" w:rsidRPr="007047F6" w:rsidRDefault="000321D4" w:rsidP="00F37680">
            <w:pPr>
              <w:rPr>
                <w:rFonts w:ascii="Arial" w:hAnsi="Arial" w:cs="Arial"/>
                <w:sz w:val="18"/>
                <w:szCs w:val="18"/>
              </w:rPr>
            </w:pPr>
            <w:r w:rsidRPr="007047F6">
              <w:rPr>
                <w:rFonts w:ascii="Arial" w:hAnsi="Arial" w:cs="Arial"/>
                <w:sz w:val="18"/>
                <w:szCs w:val="18"/>
              </w:rPr>
              <w:t>Etkind_2017_PalliativePatterns.pdf</w:t>
            </w:r>
          </w:p>
        </w:tc>
      </w:tr>
      <w:tr w:rsidR="000321D4" w:rsidRPr="006642F1" w14:paraId="79184D76" w14:textId="77777777" w:rsidTr="00F37680">
        <w:trPr>
          <w:trHeight w:val="1623"/>
        </w:trPr>
        <w:tc>
          <w:tcPr>
            <w:tcW w:w="992" w:type="dxa"/>
          </w:tcPr>
          <w:p w14:paraId="08689243" w14:textId="77777777" w:rsidR="000321D4" w:rsidRPr="006642F1" w:rsidRDefault="000321D4" w:rsidP="00F37680">
            <w:pPr>
              <w:rPr>
                <w:rFonts w:ascii="Arial" w:hAnsi="Arial" w:cs="Arial"/>
                <w:sz w:val="18"/>
                <w:szCs w:val="18"/>
              </w:rPr>
            </w:pPr>
            <w:r w:rsidRPr="006642F1">
              <w:rPr>
                <w:rFonts w:ascii="Arial" w:hAnsi="Arial" w:cs="Arial"/>
                <w:sz w:val="18"/>
                <w:szCs w:val="18"/>
              </w:rPr>
              <w:t>Yes</w:t>
            </w:r>
          </w:p>
        </w:tc>
        <w:tc>
          <w:tcPr>
            <w:tcW w:w="1560" w:type="dxa"/>
          </w:tcPr>
          <w:p w14:paraId="2EBFC8A4" w14:textId="77777777" w:rsidR="000321D4" w:rsidRPr="006642F1" w:rsidRDefault="000321D4" w:rsidP="00F37680">
            <w:pPr>
              <w:rPr>
                <w:rFonts w:ascii="Arial" w:hAnsi="Arial" w:cs="Arial"/>
                <w:sz w:val="18"/>
                <w:szCs w:val="18"/>
              </w:rPr>
            </w:pPr>
            <w:r w:rsidRPr="006642F1">
              <w:rPr>
                <w:rFonts w:ascii="Arial" w:hAnsi="Arial" w:cs="Arial"/>
                <w:sz w:val="18"/>
                <w:szCs w:val="18"/>
              </w:rPr>
              <w:t xml:space="preserve">Ford &amp; </w:t>
            </w:r>
            <w:proofErr w:type="spellStart"/>
            <w:r w:rsidRPr="006642F1">
              <w:rPr>
                <w:rFonts w:ascii="Arial" w:hAnsi="Arial" w:cs="Arial"/>
                <w:sz w:val="18"/>
                <w:szCs w:val="18"/>
              </w:rPr>
              <w:t>Airhihenbuwa</w:t>
            </w:r>
            <w:proofErr w:type="spellEnd"/>
            <w:r w:rsidRPr="006642F1">
              <w:rPr>
                <w:rFonts w:ascii="Arial" w:hAnsi="Arial" w:cs="Arial"/>
                <w:sz w:val="18"/>
                <w:szCs w:val="18"/>
              </w:rPr>
              <w:t xml:space="preserve"> (2010)</w:t>
            </w:r>
          </w:p>
        </w:tc>
        <w:tc>
          <w:tcPr>
            <w:tcW w:w="2126" w:type="dxa"/>
          </w:tcPr>
          <w:p w14:paraId="0E810D2E" w14:textId="77777777" w:rsidR="000321D4" w:rsidRPr="006642F1" w:rsidRDefault="000321D4" w:rsidP="00F37680">
            <w:pPr>
              <w:rPr>
                <w:rFonts w:ascii="Arial" w:hAnsi="Arial" w:cs="Arial"/>
                <w:sz w:val="18"/>
                <w:szCs w:val="18"/>
              </w:rPr>
            </w:pPr>
            <w:r w:rsidRPr="006642F1">
              <w:rPr>
                <w:rFonts w:ascii="Arial" w:hAnsi="Arial" w:cs="Arial"/>
                <w:sz w:val="18"/>
                <w:szCs w:val="18"/>
              </w:rPr>
              <w:t>Critical Race Theory, Race Equity and Public Health</w:t>
            </w:r>
          </w:p>
        </w:tc>
        <w:tc>
          <w:tcPr>
            <w:tcW w:w="2410" w:type="dxa"/>
          </w:tcPr>
          <w:p w14:paraId="07E349C6" w14:textId="77777777" w:rsidR="000321D4" w:rsidRPr="006642F1" w:rsidRDefault="000321D4" w:rsidP="00F37680">
            <w:pPr>
              <w:rPr>
                <w:rFonts w:ascii="Arial" w:hAnsi="Arial" w:cs="Arial"/>
                <w:sz w:val="18"/>
                <w:szCs w:val="18"/>
              </w:rPr>
            </w:pPr>
            <w:r w:rsidRPr="006642F1">
              <w:rPr>
                <w:rFonts w:ascii="Arial" w:hAnsi="Arial" w:cs="Arial"/>
                <w:sz w:val="18"/>
                <w:szCs w:val="18"/>
              </w:rPr>
              <w:t>Foundational paper applying CRT to health inequities, framing mistrust as structurally produced.</w:t>
            </w:r>
          </w:p>
        </w:tc>
        <w:tc>
          <w:tcPr>
            <w:tcW w:w="1843" w:type="dxa"/>
          </w:tcPr>
          <w:p w14:paraId="3591DCEA" w14:textId="77777777" w:rsidR="000321D4" w:rsidRPr="006642F1" w:rsidRDefault="000321D4" w:rsidP="00F37680">
            <w:pPr>
              <w:rPr>
                <w:rFonts w:ascii="Arial" w:hAnsi="Arial" w:cs="Arial"/>
                <w:sz w:val="18"/>
                <w:szCs w:val="18"/>
              </w:rPr>
            </w:pPr>
            <w:r w:rsidRPr="006642F1">
              <w:rPr>
                <w:rFonts w:ascii="Arial" w:hAnsi="Arial" w:cs="Arial"/>
                <w:sz w:val="18"/>
                <w:szCs w:val="18"/>
              </w:rPr>
              <w:t>Seminal theory; Still current conceptually; Authoritative academic source</w:t>
            </w:r>
          </w:p>
        </w:tc>
        <w:tc>
          <w:tcPr>
            <w:tcW w:w="2126" w:type="dxa"/>
          </w:tcPr>
          <w:p w14:paraId="37D4C863" w14:textId="77777777" w:rsidR="000321D4" w:rsidRPr="006642F1" w:rsidRDefault="000321D4" w:rsidP="00F37680">
            <w:pPr>
              <w:rPr>
                <w:rFonts w:ascii="Arial" w:hAnsi="Arial" w:cs="Arial"/>
                <w:sz w:val="18"/>
                <w:szCs w:val="18"/>
              </w:rPr>
            </w:pPr>
            <w:r w:rsidRPr="006642F1">
              <w:rPr>
                <w:rFonts w:ascii="Arial" w:hAnsi="Arial" w:cs="Arial"/>
                <w:sz w:val="18"/>
                <w:szCs w:val="18"/>
              </w:rPr>
              <w:t>Ford_Airhihenbuwa_2010_CRT.pdf</w:t>
            </w:r>
          </w:p>
        </w:tc>
      </w:tr>
      <w:tr w:rsidR="000321D4" w:rsidRPr="00470427" w14:paraId="0787EBD3" w14:textId="77777777" w:rsidTr="00F37680">
        <w:trPr>
          <w:trHeight w:val="614"/>
        </w:trPr>
        <w:tc>
          <w:tcPr>
            <w:tcW w:w="992" w:type="dxa"/>
          </w:tcPr>
          <w:p w14:paraId="34609D5B" w14:textId="77777777" w:rsidR="000321D4" w:rsidRPr="00056E76" w:rsidRDefault="000321D4" w:rsidP="00F37680">
            <w:pPr>
              <w:rPr>
                <w:rFonts w:ascii="Arial" w:hAnsi="Arial" w:cs="Arial"/>
                <w:sz w:val="18"/>
                <w:szCs w:val="18"/>
              </w:rPr>
            </w:pPr>
            <w:r w:rsidRPr="00056E76">
              <w:rPr>
                <w:rFonts w:ascii="Arial" w:hAnsi="Arial" w:cs="Arial"/>
                <w:sz w:val="18"/>
                <w:szCs w:val="18"/>
              </w:rPr>
              <w:t>Yes</w:t>
            </w:r>
          </w:p>
        </w:tc>
        <w:tc>
          <w:tcPr>
            <w:tcW w:w="1560" w:type="dxa"/>
          </w:tcPr>
          <w:p w14:paraId="79817EB4" w14:textId="77777777" w:rsidR="000321D4" w:rsidRPr="00056E76" w:rsidRDefault="000321D4" w:rsidP="00F37680">
            <w:pPr>
              <w:rPr>
                <w:rFonts w:ascii="Arial" w:hAnsi="Arial" w:cs="Arial"/>
                <w:sz w:val="18"/>
                <w:szCs w:val="18"/>
              </w:rPr>
            </w:pPr>
            <w:proofErr w:type="spellStart"/>
            <w:r w:rsidRPr="00056E76">
              <w:rPr>
                <w:rFonts w:ascii="Arial" w:hAnsi="Arial" w:cs="Arial"/>
                <w:sz w:val="18"/>
                <w:szCs w:val="18"/>
              </w:rPr>
              <w:t>Tervalon</w:t>
            </w:r>
            <w:proofErr w:type="spellEnd"/>
            <w:r w:rsidRPr="00056E76">
              <w:rPr>
                <w:rFonts w:ascii="Arial" w:hAnsi="Arial" w:cs="Arial"/>
                <w:sz w:val="18"/>
                <w:szCs w:val="18"/>
              </w:rPr>
              <w:t xml:space="preserve"> &amp; Murray-García (1998)</w:t>
            </w:r>
          </w:p>
        </w:tc>
        <w:tc>
          <w:tcPr>
            <w:tcW w:w="2126" w:type="dxa"/>
          </w:tcPr>
          <w:p w14:paraId="77E6A6A4" w14:textId="77777777" w:rsidR="000321D4" w:rsidRPr="00056E76" w:rsidRDefault="000321D4" w:rsidP="00F37680">
            <w:pPr>
              <w:rPr>
                <w:rFonts w:ascii="Arial" w:hAnsi="Arial" w:cs="Arial"/>
                <w:sz w:val="18"/>
                <w:szCs w:val="18"/>
              </w:rPr>
            </w:pPr>
            <w:r w:rsidRPr="00056E76">
              <w:rPr>
                <w:rFonts w:ascii="Arial" w:hAnsi="Arial" w:cs="Arial"/>
                <w:sz w:val="18"/>
                <w:szCs w:val="18"/>
              </w:rPr>
              <w:t>Cultural Humility versus Cultural Competence: A Critical Distinction in Healthcare Education</w:t>
            </w:r>
          </w:p>
        </w:tc>
        <w:tc>
          <w:tcPr>
            <w:tcW w:w="2410" w:type="dxa"/>
          </w:tcPr>
          <w:p w14:paraId="6693C71B" w14:textId="77777777" w:rsidR="000321D4" w:rsidRPr="00056E76" w:rsidRDefault="000321D4" w:rsidP="00F37680">
            <w:pPr>
              <w:rPr>
                <w:rFonts w:ascii="Arial" w:hAnsi="Arial" w:cs="Arial"/>
                <w:sz w:val="18"/>
                <w:szCs w:val="18"/>
              </w:rPr>
            </w:pPr>
            <w:r w:rsidRPr="00056E76">
              <w:rPr>
                <w:rFonts w:ascii="Arial" w:hAnsi="Arial" w:cs="Arial"/>
                <w:sz w:val="18"/>
                <w:szCs w:val="18"/>
              </w:rPr>
              <w:t>Classic paper introducing “cultural humility” as a lifelong reflective practice essential to competence.</w:t>
            </w:r>
          </w:p>
        </w:tc>
        <w:tc>
          <w:tcPr>
            <w:tcW w:w="1843" w:type="dxa"/>
          </w:tcPr>
          <w:p w14:paraId="4E4A3571" w14:textId="77777777" w:rsidR="000321D4" w:rsidRPr="00056E76" w:rsidRDefault="000321D4" w:rsidP="00F37680">
            <w:pPr>
              <w:rPr>
                <w:rFonts w:ascii="Arial" w:hAnsi="Arial" w:cs="Arial"/>
                <w:sz w:val="18"/>
                <w:szCs w:val="18"/>
              </w:rPr>
            </w:pPr>
            <w:r w:rsidRPr="00056E76">
              <w:rPr>
                <w:rFonts w:ascii="Arial" w:hAnsi="Arial" w:cs="Arial"/>
                <w:sz w:val="18"/>
                <w:szCs w:val="18"/>
              </w:rPr>
              <w:t>Highly cited; Theoretical relevance; Accurate conceptual source</w:t>
            </w:r>
          </w:p>
        </w:tc>
        <w:tc>
          <w:tcPr>
            <w:tcW w:w="2126" w:type="dxa"/>
          </w:tcPr>
          <w:p w14:paraId="0FF119B4" w14:textId="77777777" w:rsidR="000321D4" w:rsidRPr="00056E76" w:rsidRDefault="000321D4" w:rsidP="00F37680">
            <w:pPr>
              <w:rPr>
                <w:rFonts w:ascii="Arial" w:hAnsi="Arial" w:cs="Arial"/>
                <w:sz w:val="18"/>
                <w:szCs w:val="18"/>
              </w:rPr>
            </w:pPr>
            <w:r w:rsidRPr="00056E76">
              <w:rPr>
                <w:rFonts w:ascii="Arial" w:hAnsi="Arial" w:cs="Arial"/>
                <w:sz w:val="18"/>
                <w:szCs w:val="18"/>
              </w:rPr>
              <w:t>Tervalon_1998_CulturalHumility.pdf</w:t>
            </w:r>
          </w:p>
          <w:p w14:paraId="2F73C637" w14:textId="77777777" w:rsidR="000321D4" w:rsidRPr="00056E76" w:rsidRDefault="000321D4" w:rsidP="00F37680">
            <w:pPr>
              <w:rPr>
                <w:rFonts w:ascii="Arial" w:hAnsi="Arial" w:cs="Arial"/>
                <w:sz w:val="18"/>
                <w:szCs w:val="18"/>
              </w:rPr>
            </w:pPr>
          </w:p>
        </w:tc>
      </w:tr>
      <w:tr w:rsidR="000321D4" w:rsidRPr="00470427" w14:paraId="3EA51151" w14:textId="77777777" w:rsidTr="00F37680">
        <w:trPr>
          <w:trHeight w:val="614"/>
        </w:trPr>
        <w:tc>
          <w:tcPr>
            <w:tcW w:w="992" w:type="dxa"/>
          </w:tcPr>
          <w:p w14:paraId="046EA7D7" w14:textId="77777777" w:rsidR="000321D4" w:rsidRPr="00DF4196" w:rsidRDefault="000321D4" w:rsidP="00F37680">
            <w:pPr>
              <w:rPr>
                <w:rFonts w:ascii="Arial" w:hAnsi="Arial" w:cs="Arial"/>
                <w:sz w:val="18"/>
                <w:szCs w:val="18"/>
              </w:rPr>
            </w:pPr>
            <w:r w:rsidRPr="00DF4196">
              <w:rPr>
                <w:rFonts w:ascii="Arial" w:hAnsi="Arial" w:cs="Arial"/>
                <w:sz w:val="18"/>
                <w:szCs w:val="18"/>
              </w:rPr>
              <w:t>Yes</w:t>
            </w:r>
          </w:p>
        </w:tc>
        <w:tc>
          <w:tcPr>
            <w:tcW w:w="1560" w:type="dxa"/>
          </w:tcPr>
          <w:p w14:paraId="2429A0B3" w14:textId="77777777" w:rsidR="000321D4" w:rsidRPr="00DF4196" w:rsidRDefault="000321D4" w:rsidP="00F37680">
            <w:pPr>
              <w:rPr>
                <w:rFonts w:ascii="Arial" w:hAnsi="Arial" w:cs="Arial"/>
                <w:sz w:val="18"/>
                <w:szCs w:val="18"/>
              </w:rPr>
            </w:pPr>
            <w:r w:rsidRPr="00DF4196">
              <w:rPr>
                <w:rFonts w:ascii="Arial" w:hAnsi="Arial" w:cs="Arial"/>
                <w:sz w:val="18"/>
                <w:szCs w:val="18"/>
              </w:rPr>
              <w:t>Chipman et al. (2024)</w:t>
            </w:r>
          </w:p>
        </w:tc>
        <w:tc>
          <w:tcPr>
            <w:tcW w:w="2126" w:type="dxa"/>
          </w:tcPr>
          <w:p w14:paraId="6C06B257" w14:textId="77777777" w:rsidR="000321D4" w:rsidRPr="00DF4196" w:rsidRDefault="000321D4" w:rsidP="00F37680">
            <w:pPr>
              <w:rPr>
                <w:rFonts w:ascii="Arial" w:hAnsi="Arial" w:cs="Arial"/>
                <w:sz w:val="18"/>
                <w:szCs w:val="18"/>
              </w:rPr>
            </w:pPr>
            <w:r w:rsidRPr="00DF4196">
              <w:rPr>
                <w:rFonts w:ascii="Arial" w:hAnsi="Arial" w:cs="Arial"/>
                <w:sz w:val="18"/>
                <w:szCs w:val="18"/>
              </w:rPr>
              <w:t>Perceived Discrimination and Mistrust in UK Palliative Care Settings</w:t>
            </w:r>
          </w:p>
        </w:tc>
        <w:tc>
          <w:tcPr>
            <w:tcW w:w="2410" w:type="dxa"/>
          </w:tcPr>
          <w:p w14:paraId="57F4A01A" w14:textId="77777777" w:rsidR="000321D4" w:rsidRPr="00DF4196" w:rsidRDefault="000321D4" w:rsidP="00F37680">
            <w:pPr>
              <w:rPr>
                <w:rFonts w:ascii="Arial" w:hAnsi="Arial" w:cs="Arial"/>
                <w:sz w:val="18"/>
                <w:szCs w:val="18"/>
              </w:rPr>
            </w:pPr>
            <w:r w:rsidRPr="00DF4196">
              <w:rPr>
                <w:rFonts w:ascii="Arial" w:hAnsi="Arial" w:cs="Arial"/>
                <w:sz w:val="18"/>
                <w:szCs w:val="18"/>
              </w:rPr>
              <w:t>Empirical study linking perceived bias and communication failures to reduced hospice engagement among minority patients.</w:t>
            </w:r>
          </w:p>
        </w:tc>
        <w:tc>
          <w:tcPr>
            <w:tcW w:w="1843" w:type="dxa"/>
          </w:tcPr>
          <w:p w14:paraId="5EAEDFE2" w14:textId="77777777" w:rsidR="000321D4" w:rsidRPr="00DF4196" w:rsidRDefault="000321D4" w:rsidP="00F37680">
            <w:pPr>
              <w:rPr>
                <w:rFonts w:ascii="Arial" w:hAnsi="Arial" w:cs="Arial"/>
                <w:sz w:val="18"/>
                <w:szCs w:val="18"/>
              </w:rPr>
            </w:pPr>
            <w:r w:rsidRPr="00DF4196">
              <w:rPr>
                <w:rFonts w:ascii="Arial" w:hAnsi="Arial" w:cs="Arial"/>
                <w:sz w:val="18"/>
                <w:szCs w:val="18"/>
              </w:rPr>
              <w:t>Recent (2024); Peer-reviewed; Strong relevance to mistrust theme</w:t>
            </w:r>
          </w:p>
        </w:tc>
        <w:tc>
          <w:tcPr>
            <w:tcW w:w="2126" w:type="dxa"/>
          </w:tcPr>
          <w:p w14:paraId="75CFC427" w14:textId="77777777" w:rsidR="000321D4" w:rsidRPr="00DF4196" w:rsidRDefault="000321D4" w:rsidP="00F37680">
            <w:pPr>
              <w:rPr>
                <w:rFonts w:ascii="Arial" w:hAnsi="Arial" w:cs="Arial"/>
                <w:sz w:val="18"/>
                <w:szCs w:val="18"/>
              </w:rPr>
            </w:pPr>
            <w:r w:rsidRPr="00DF4196">
              <w:rPr>
                <w:rFonts w:ascii="Arial" w:hAnsi="Arial" w:cs="Arial"/>
                <w:sz w:val="18"/>
                <w:szCs w:val="18"/>
              </w:rPr>
              <w:t>Chipman_2024_MistrustPalliative.pdf</w:t>
            </w:r>
          </w:p>
        </w:tc>
      </w:tr>
      <w:tr w:rsidR="000321D4" w:rsidRPr="00470427" w14:paraId="0477AB10" w14:textId="77777777" w:rsidTr="00F37680">
        <w:trPr>
          <w:trHeight w:val="614"/>
        </w:trPr>
        <w:tc>
          <w:tcPr>
            <w:tcW w:w="992" w:type="dxa"/>
          </w:tcPr>
          <w:p w14:paraId="5D9621B9" w14:textId="77777777" w:rsidR="000321D4" w:rsidRPr="00266309" w:rsidRDefault="000321D4" w:rsidP="00F37680">
            <w:pPr>
              <w:rPr>
                <w:rFonts w:ascii="Arial" w:hAnsi="Arial" w:cs="Arial"/>
                <w:sz w:val="18"/>
                <w:szCs w:val="18"/>
              </w:rPr>
            </w:pPr>
            <w:r w:rsidRPr="00266309">
              <w:rPr>
                <w:rFonts w:ascii="Arial" w:hAnsi="Arial" w:cs="Arial"/>
                <w:sz w:val="18"/>
                <w:szCs w:val="18"/>
              </w:rPr>
              <w:t>Yes</w:t>
            </w:r>
          </w:p>
        </w:tc>
        <w:tc>
          <w:tcPr>
            <w:tcW w:w="1560" w:type="dxa"/>
          </w:tcPr>
          <w:p w14:paraId="6398931E" w14:textId="77777777" w:rsidR="000321D4" w:rsidRPr="00266309" w:rsidRDefault="000321D4" w:rsidP="00F37680">
            <w:pPr>
              <w:rPr>
                <w:rFonts w:ascii="Arial" w:hAnsi="Arial" w:cs="Arial"/>
                <w:sz w:val="18"/>
                <w:szCs w:val="18"/>
              </w:rPr>
            </w:pPr>
            <w:r w:rsidRPr="00266309">
              <w:rPr>
                <w:rFonts w:ascii="Arial" w:hAnsi="Arial" w:cs="Arial"/>
                <w:sz w:val="18"/>
                <w:szCs w:val="18"/>
              </w:rPr>
              <w:t>Hospice UK (2023)</w:t>
            </w:r>
          </w:p>
        </w:tc>
        <w:tc>
          <w:tcPr>
            <w:tcW w:w="2126" w:type="dxa"/>
          </w:tcPr>
          <w:p w14:paraId="6F50C8BA" w14:textId="77777777" w:rsidR="000321D4" w:rsidRPr="00266309" w:rsidRDefault="000321D4" w:rsidP="00F37680">
            <w:pPr>
              <w:rPr>
                <w:rFonts w:ascii="Arial" w:hAnsi="Arial" w:cs="Arial"/>
                <w:sz w:val="18"/>
                <w:szCs w:val="18"/>
              </w:rPr>
            </w:pPr>
            <w:r w:rsidRPr="00266309">
              <w:rPr>
                <w:rFonts w:ascii="Arial" w:hAnsi="Arial" w:cs="Arial"/>
                <w:sz w:val="18"/>
                <w:szCs w:val="18"/>
              </w:rPr>
              <w:t>Equity in Hospice Care Project – Evaluation Report</w:t>
            </w:r>
          </w:p>
        </w:tc>
        <w:tc>
          <w:tcPr>
            <w:tcW w:w="2410" w:type="dxa"/>
          </w:tcPr>
          <w:p w14:paraId="093177D1" w14:textId="77777777" w:rsidR="000321D4" w:rsidRPr="00266309" w:rsidRDefault="000321D4" w:rsidP="00F37680">
            <w:pPr>
              <w:rPr>
                <w:rFonts w:ascii="Arial" w:hAnsi="Arial" w:cs="Arial"/>
                <w:sz w:val="18"/>
                <w:szCs w:val="18"/>
              </w:rPr>
            </w:pPr>
            <w:r w:rsidRPr="00266309">
              <w:rPr>
                <w:rFonts w:ascii="Arial" w:hAnsi="Arial" w:cs="Arial"/>
                <w:sz w:val="18"/>
                <w:szCs w:val="18"/>
              </w:rPr>
              <w:t>Demonstrates impact of targeted cultural-competence training on staff confidence and minority patient satisfaction.</w:t>
            </w:r>
          </w:p>
        </w:tc>
        <w:tc>
          <w:tcPr>
            <w:tcW w:w="1843" w:type="dxa"/>
          </w:tcPr>
          <w:p w14:paraId="49CE444C" w14:textId="77777777" w:rsidR="000321D4" w:rsidRPr="00266309" w:rsidRDefault="000321D4" w:rsidP="00F37680">
            <w:pPr>
              <w:rPr>
                <w:rFonts w:ascii="Arial" w:hAnsi="Arial" w:cs="Arial"/>
                <w:sz w:val="18"/>
                <w:szCs w:val="18"/>
              </w:rPr>
            </w:pPr>
            <w:r w:rsidRPr="00266309">
              <w:rPr>
                <w:rFonts w:ascii="Arial" w:hAnsi="Arial" w:cs="Arial"/>
                <w:sz w:val="18"/>
                <w:szCs w:val="18"/>
              </w:rPr>
              <w:t>Current; National evaluation; Empirical findings; Accurate</w:t>
            </w:r>
          </w:p>
        </w:tc>
        <w:tc>
          <w:tcPr>
            <w:tcW w:w="2126" w:type="dxa"/>
          </w:tcPr>
          <w:p w14:paraId="091EFA5E" w14:textId="77777777" w:rsidR="000321D4" w:rsidRPr="00266309" w:rsidRDefault="000321D4" w:rsidP="00F37680">
            <w:pPr>
              <w:rPr>
                <w:rFonts w:ascii="Arial" w:hAnsi="Arial" w:cs="Arial"/>
                <w:sz w:val="18"/>
                <w:szCs w:val="18"/>
              </w:rPr>
            </w:pPr>
            <w:r w:rsidRPr="00266309">
              <w:rPr>
                <w:rFonts w:ascii="Arial" w:hAnsi="Arial" w:cs="Arial"/>
                <w:sz w:val="18"/>
                <w:szCs w:val="18"/>
              </w:rPr>
              <w:t>HospiceUK_2023_EquityCare.pdf</w:t>
            </w:r>
          </w:p>
        </w:tc>
      </w:tr>
      <w:tr w:rsidR="000321D4" w:rsidRPr="00470427" w14:paraId="7E072F00" w14:textId="77777777" w:rsidTr="00F37680">
        <w:trPr>
          <w:trHeight w:val="614"/>
        </w:trPr>
        <w:tc>
          <w:tcPr>
            <w:tcW w:w="992" w:type="dxa"/>
          </w:tcPr>
          <w:p w14:paraId="7DEA4027" w14:textId="77777777" w:rsidR="000321D4" w:rsidRPr="00D31ACC" w:rsidRDefault="000321D4" w:rsidP="00F37680">
            <w:pPr>
              <w:rPr>
                <w:rFonts w:ascii="Arial" w:hAnsi="Arial" w:cs="Arial"/>
                <w:sz w:val="18"/>
                <w:szCs w:val="18"/>
              </w:rPr>
            </w:pPr>
            <w:r w:rsidRPr="00D31ACC">
              <w:rPr>
                <w:rFonts w:ascii="Arial" w:hAnsi="Arial" w:cs="Arial"/>
                <w:sz w:val="18"/>
                <w:szCs w:val="18"/>
              </w:rPr>
              <w:t>Yes</w:t>
            </w:r>
          </w:p>
        </w:tc>
        <w:tc>
          <w:tcPr>
            <w:tcW w:w="1560" w:type="dxa"/>
          </w:tcPr>
          <w:p w14:paraId="1EAC12FA" w14:textId="77777777" w:rsidR="000321D4" w:rsidRPr="00D31ACC" w:rsidRDefault="000321D4" w:rsidP="00F37680">
            <w:pPr>
              <w:rPr>
                <w:rFonts w:ascii="Arial" w:hAnsi="Arial" w:cs="Arial"/>
                <w:sz w:val="18"/>
                <w:szCs w:val="18"/>
              </w:rPr>
            </w:pPr>
            <w:r w:rsidRPr="00D31ACC">
              <w:rPr>
                <w:rFonts w:ascii="Arial" w:hAnsi="Arial" w:cs="Arial"/>
                <w:sz w:val="18"/>
                <w:szCs w:val="18"/>
              </w:rPr>
              <w:t>Skills for Care (2024)</w:t>
            </w:r>
          </w:p>
        </w:tc>
        <w:tc>
          <w:tcPr>
            <w:tcW w:w="2126" w:type="dxa"/>
          </w:tcPr>
          <w:p w14:paraId="4A60CF92" w14:textId="77777777" w:rsidR="000321D4" w:rsidRPr="00D31ACC" w:rsidRDefault="000321D4" w:rsidP="00F37680">
            <w:pPr>
              <w:rPr>
                <w:rFonts w:ascii="Arial" w:hAnsi="Arial" w:cs="Arial"/>
                <w:sz w:val="18"/>
                <w:szCs w:val="18"/>
              </w:rPr>
            </w:pPr>
            <w:r w:rsidRPr="00D31ACC">
              <w:rPr>
                <w:rFonts w:ascii="Arial" w:hAnsi="Arial" w:cs="Arial"/>
                <w:sz w:val="18"/>
                <w:szCs w:val="18"/>
              </w:rPr>
              <w:t>Cultural Competence in Social Care Workforce Development</w:t>
            </w:r>
          </w:p>
        </w:tc>
        <w:tc>
          <w:tcPr>
            <w:tcW w:w="2410" w:type="dxa"/>
          </w:tcPr>
          <w:p w14:paraId="7F07EA34" w14:textId="77777777" w:rsidR="000321D4" w:rsidRPr="00D31ACC" w:rsidRDefault="000321D4" w:rsidP="00F37680">
            <w:pPr>
              <w:rPr>
                <w:rFonts w:ascii="Arial" w:hAnsi="Arial" w:cs="Arial"/>
                <w:sz w:val="18"/>
                <w:szCs w:val="18"/>
              </w:rPr>
            </w:pPr>
            <w:r w:rsidRPr="00D31ACC">
              <w:rPr>
                <w:rFonts w:ascii="Arial" w:hAnsi="Arial" w:cs="Arial"/>
                <w:sz w:val="18"/>
                <w:szCs w:val="18"/>
              </w:rPr>
              <w:t>Policy briefing analyses current training provision and identify</w:t>
            </w:r>
            <w:r>
              <w:rPr>
                <w:rFonts w:ascii="Arial" w:hAnsi="Arial" w:cs="Arial"/>
                <w:sz w:val="18"/>
                <w:szCs w:val="18"/>
              </w:rPr>
              <w:t xml:space="preserve"> </w:t>
            </w:r>
            <w:r w:rsidRPr="00D31ACC">
              <w:rPr>
                <w:rFonts w:ascii="Arial" w:hAnsi="Arial" w:cs="Arial"/>
                <w:sz w:val="18"/>
                <w:szCs w:val="18"/>
              </w:rPr>
              <w:t>gaps in practitioner preparedness.</w:t>
            </w:r>
          </w:p>
        </w:tc>
        <w:tc>
          <w:tcPr>
            <w:tcW w:w="1843" w:type="dxa"/>
          </w:tcPr>
          <w:p w14:paraId="6DB0C8BF" w14:textId="77777777" w:rsidR="000321D4" w:rsidRPr="00D31ACC" w:rsidRDefault="000321D4" w:rsidP="00F37680">
            <w:pPr>
              <w:rPr>
                <w:rFonts w:ascii="Arial" w:hAnsi="Arial" w:cs="Arial"/>
                <w:sz w:val="18"/>
                <w:szCs w:val="18"/>
              </w:rPr>
            </w:pPr>
            <w:r w:rsidRPr="00D31ACC">
              <w:rPr>
                <w:rFonts w:ascii="Arial" w:hAnsi="Arial" w:cs="Arial"/>
                <w:sz w:val="18"/>
                <w:szCs w:val="18"/>
              </w:rPr>
              <w:t>Recent (2024); Authoritative sector source; Practical implications</w:t>
            </w:r>
          </w:p>
        </w:tc>
        <w:tc>
          <w:tcPr>
            <w:tcW w:w="2126" w:type="dxa"/>
          </w:tcPr>
          <w:p w14:paraId="32122AF8" w14:textId="77777777" w:rsidR="000321D4" w:rsidRPr="00D31ACC" w:rsidRDefault="000321D4" w:rsidP="00F37680">
            <w:pPr>
              <w:rPr>
                <w:rFonts w:ascii="Arial" w:hAnsi="Arial" w:cs="Arial"/>
                <w:sz w:val="18"/>
                <w:szCs w:val="18"/>
              </w:rPr>
            </w:pPr>
            <w:r w:rsidRPr="00D31ACC">
              <w:rPr>
                <w:rFonts w:ascii="Arial" w:hAnsi="Arial" w:cs="Arial"/>
                <w:sz w:val="18"/>
                <w:szCs w:val="18"/>
              </w:rPr>
              <w:t>SkillsforCare_2024_CulturalCompetence.pdf</w:t>
            </w:r>
          </w:p>
        </w:tc>
      </w:tr>
      <w:tr w:rsidR="000321D4" w:rsidRPr="00470427" w14:paraId="7B81CFE8" w14:textId="77777777" w:rsidTr="00F37680">
        <w:trPr>
          <w:trHeight w:val="614"/>
        </w:trPr>
        <w:tc>
          <w:tcPr>
            <w:tcW w:w="992" w:type="dxa"/>
          </w:tcPr>
          <w:p w14:paraId="74A31B11" w14:textId="77777777" w:rsidR="000321D4" w:rsidRPr="00B051F2" w:rsidRDefault="000321D4" w:rsidP="00F37680">
            <w:pPr>
              <w:rPr>
                <w:rFonts w:ascii="Arial" w:hAnsi="Arial" w:cs="Arial"/>
                <w:sz w:val="18"/>
                <w:szCs w:val="18"/>
              </w:rPr>
            </w:pPr>
            <w:r w:rsidRPr="00B051F2">
              <w:rPr>
                <w:rFonts w:ascii="Arial" w:hAnsi="Arial" w:cs="Arial"/>
                <w:sz w:val="18"/>
                <w:szCs w:val="18"/>
              </w:rPr>
              <w:t>Yes</w:t>
            </w:r>
          </w:p>
        </w:tc>
        <w:tc>
          <w:tcPr>
            <w:tcW w:w="1560" w:type="dxa"/>
          </w:tcPr>
          <w:p w14:paraId="305255FC" w14:textId="77777777" w:rsidR="000321D4" w:rsidRPr="00B051F2" w:rsidRDefault="000321D4" w:rsidP="00F37680">
            <w:pPr>
              <w:rPr>
                <w:rFonts w:ascii="Arial" w:hAnsi="Arial" w:cs="Arial"/>
                <w:sz w:val="18"/>
                <w:szCs w:val="18"/>
              </w:rPr>
            </w:pPr>
            <w:r w:rsidRPr="00B051F2">
              <w:rPr>
                <w:rFonts w:ascii="Arial" w:hAnsi="Arial" w:cs="Arial"/>
                <w:sz w:val="18"/>
                <w:szCs w:val="18"/>
              </w:rPr>
              <w:t>NHS England (2023)</w:t>
            </w:r>
          </w:p>
        </w:tc>
        <w:tc>
          <w:tcPr>
            <w:tcW w:w="2126" w:type="dxa"/>
          </w:tcPr>
          <w:p w14:paraId="61B9734B" w14:textId="77777777" w:rsidR="000321D4" w:rsidRPr="00B051F2" w:rsidRDefault="000321D4" w:rsidP="00F37680">
            <w:pPr>
              <w:rPr>
                <w:rFonts w:ascii="Arial" w:hAnsi="Arial" w:cs="Arial"/>
                <w:sz w:val="18"/>
                <w:szCs w:val="18"/>
              </w:rPr>
            </w:pPr>
            <w:r w:rsidRPr="00B051F2">
              <w:rPr>
                <w:rFonts w:ascii="Arial" w:hAnsi="Arial" w:cs="Arial"/>
                <w:sz w:val="18"/>
                <w:szCs w:val="18"/>
              </w:rPr>
              <w:t>Workforce Race Equality Standard (WRES) Report</w:t>
            </w:r>
          </w:p>
        </w:tc>
        <w:tc>
          <w:tcPr>
            <w:tcW w:w="2410" w:type="dxa"/>
          </w:tcPr>
          <w:p w14:paraId="228900C7" w14:textId="77777777" w:rsidR="000321D4" w:rsidRPr="00B051F2" w:rsidRDefault="000321D4" w:rsidP="00F37680">
            <w:pPr>
              <w:rPr>
                <w:rFonts w:ascii="Arial" w:hAnsi="Arial" w:cs="Arial"/>
                <w:sz w:val="18"/>
                <w:szCs w:val="18"/>
              </w:rPr>
            </w:pPr>
            <w:r w:rsidRPr="00B051F2">
              <w:rPr>
                <w:rFonts w:ascii="Arial" w:hAnsi="Arial" w:cs="Arial"/>
                <w:sz w:val="18"/>
                <w:szCs w:val="18"/>
              </w:rPr>
              <w:t>National monitoring report revealing persistent inequalities in NHS workforce representation and discrimination.</w:t>
            </w:r>
          </w:p>
        </w:tc>
        <w:tc>
          <w:tcPr>
            <w:tcW w:w="1843" w:type="dxa"/>
          </w:tcPr>
          <w:p w14:paraId="7CEFA7C8" w14:textId="77777777" w:rsidR="000321D4" w:rsidRPr="00B051F2" w:rsidRDefault="000321D4" w:rsidP="00F37680">
            <w:pPr>
              <w:rPr>
                <w:rFonts w:ascii="Arial" w:hAnsi="Arial" w:cs="Arial"/>
                <w:sz w:val="18"/>
                <w:szCs w:val="18"/>
              </w:rPr>
            </w:pPr>
            <w:r w:rsidRPr="00B051F2">
              <w:rPr>
                <w:rFonts w:ascii="Arial" w:hAnsi="Arial" w:cs="Arial"/>
                <w:sz w:val="18"/>
                <w:szCs w:val="18"/>
              </w:rPr>
              <w:t>Official document; Accurate data; Relevance to training and equity</w:t>
            </w:r>
          </w:p>
        </w:tc>
        <w:tc>
          <w:tcPr>
            <w:tcW w:w="2126" w:type="dxa"/>
          </w:tcPr>
          <w:p w14:paraId="1104AD87" w14:textId="77777777" w:rsidR="000321D4" w:rsidRPr="00B051F2" w:rsidRDefault="000321D4" w:rsidP="00F37680">
            <w:pPr>
              <w:rPr>
                <w:rFonts w:ascii="Arial" w:hAnsi="Arial" w:cs="Arial"/>
                <w:sz w:val="18"/>
                <w:szCs w:val="18"/>
              </w:rPr>
            </w:pPr>
            <w:r w:rsidRPr="00B051F2">
              <w:rPr>
                <w:rFonts w:ascii="Arial" w:hAnsi="Arial" w:cs="Arial"/>
                <w:sz w:val="18"/>
                <w:szCs w:val="18"/>
              </w:rPr>
              <w:t>NHS_England_2023_WRES.pdf</w:t>
            </w:r>
          </w:p>
        </w:tc>
      </w:tr>
      <w:tr w:rsidR="000321D4" w:rsidRPr="00470427" w14:paraId="7F4FC383" w14:textId="77777777" w:rsidTr="00F37680">
        <w:trPr>
          <w:trHeight w:val="614"/>
        </w:trPr>
        <w:tc>
          <w:tcPr>
            <w:tcW w:w="992" w:type="dxa"/>
          </w:tcPr>
          <w:p w14:paraId="42B3A6C6" w14:textId="77777777" w:rsidR="000321D4" w:rsidRDefault="000321D4" w:rsidP="00F37680">
            <w:pPr>
              <w:rPr>
                <w:rFonts w:ascii="Arial" w:hAnsi="Arial" w:cs="Arial"/>
                <w:sz w:val="18"/>
                <w:szCs w:val="18"/>
              </w:rPr>
            </w:pPr>
            <w:r w:rsidRPr="00B051F2">
              <w:rPr>
                <w:rFonts w:ascii="Arial" w:hAnsi="Arial" w:cs="Arial"/>
                <w:sz w:val="18"/>
                <w:szCs w:val="18"/>
              </w:rPr>
              <w:t>Yes</w:t>
            </w:r>
          </w:p>
          <w:p w14:paraId="22A88D3E" w14:textId="77777777" w:rsidR="00E82B75" w:rsidRPr="00E82B75" w:rsidRDefault="00E82B75" w:rsidP="00E82B75">
            <w:pPr>
              <w:rPr>
                <w:rFonts w:ascii="Arial" w:hAnsi="Arial" w:cs="Arial"/>
                <w:sz w:val="18"/>
                <w:szCs w:val="18"/>
              </w:rPr>
            </w:pPr>
          </w:p>
          <w:p w14:paraId="11C2FA6E" w14:textId="77777777" w:rsidR="00E82B75" w:rsidRPr="00E82B75" w:rsidRDefault="00E82B75" w:rsidP="00E82B75">
            <w:pPr>
              <w:rPr>
                <w:rFonts w:ascii="Arial" w:hAnsi="Arial" w:cs="Arial"/>
                <w:sz w:val="18"/>
                <w:szCs w:val="18"/>
              </w:rPr>
            </w:pPr>
          </w:p>
          <w:p w14:paraId="38286B85" w14:textId="77777777" w:rsidR="00E82B75" w:rsidRDefault="00E82B75" w:rsidP="00E82B75">
            <w:pPr>
              <w:rPr>
                <w:rFonts w:ascii="Arial" w:hAnsi="Arial" w:cs="Arial"/>
                <w:sz w:val="18"/>
                <w:szCs w:val="18"/>
              </w:rPr>
            </w:pPr>
          </w:p>
          <w:p w14:paraId="14F1052A" w14:textId="77777777" w:rsidR="00E82B75" w:rsidRDefault="00E82B75" w:rsidP="00E82B75">
            <w:pPr>
              <w:rPr>
                <w:rFonts w:ascii="Arial" w:hAnsi="Arial" w:cs="Arial"/>
                <w:sz w:val="18"/>
                <w:szCs w:val="18"/>
              </w:rPr>
            </w:pPr>
          </w:p>
          <w:p w14:paraId="3E11FC81" w14:textId="77777777" w:rsidR="0034427B" w:rsidRPr="00E82B75" w:rsidRDefault="0034427B" w:rsidP="00E82B75">
            <w:pPr>
              <w:rPr>
                <w:rFonts w:ascii="Arial" w:hAnsi="Arial" w:cs="Arial"/>
                <w:sz w:val="18"/>
                <w:szCs w:val="18"/>
              </w:rPr>
            </w:pPr>
          </w:p>
        </w:tc>
        <w:tc>
          <w:tcPr>
            <w:tcW w:w="1560" w:type="dxa"/>
          </w:tcPr>
          <w:p w14:paraId="5310B934" w14:textId="77777777" w:rsidR="000321D4" w:rsidRPr="00B051F2" w:rsidRDefault="000321D4" w:rsidP="00F37680">
            <w:pPr>
              <w:rPr>
                <w:rFonts w:ascii="Arial" w:hAnsi="Arial" w:cs="Arial"/>
                <w:sz w:val="18"/>
                <w:szCs w:val="18"/>
              </w:rPr>
            </w:pPr>
            <w:r w:rsidRPr="00B051F2">
              <w:rPr>
                <w:rFonts w:ascii="Arial" w:hAnsi="Arial" w:cs="Arial"/>
                <w:sz w:val="18"/>
                <w:szCs w:val="18"/>
              </w:rPr>
              <w:lastRenderedPageBreak/>
              <w:t>Marie Curie (2022)</w:t>
            </w:r>
          </w:p>
        </w:tc>
        <w:tc>
          <w:tcPr>
            <w:tcW w:w="2126" w:type="dxa"/>
          </w:tcPr>
          <w:p w14:paraId="439DDFA6" w14:textId="77777777" w:rsidR="000321D4" w:rsidRPr="00B051F2" w:rsidRDefault="000321D4" w:rsidP="00F37680">
            <w:pPr>
              <w:rPr>
                <w:rFonts w:ascii="Arial" w:hAnsi="Arial" w:cs="Arial"/>
                <w:sz w:val="18"/>
                <w:szCs w:val="18"/>
              </w:rPr>
            </w:pPr>
            <w:r w:rsidRPr="00B051F2">
              <w:rPr>
                <w:rFonts w:ascii="Arial" w:hAnsi="Arial" w:cs="Arial"/>
                <w:sz w:val="18"/>
                <w:szCs w:val="18"/>
              </w:rPr>
              <w:t>Dying in the Margins: Inequalities in End-of-Life Care Across Ethnic Communities</w:t>
            </w:r>
          </w:p>
        </w:tc>
        <w:tc>
          <w:tcPr>
            <w:tcW w:w="2410" w:type="dxa"/>
          </w:tcPr>
          <w:p w14:paraId="1A99C264" w14:textId="488035F3" w:rsidR="00B676D7" w:rsidRPr="00B051F2" w:rsidRDefault="000321D4" w:rsidP="00F37680">
            <w:pPr>
              <w:rPr>
                <w:rFonts w:ascii="Arial" w:hAnsi="Arial" w:cs="Arial"/>
                <w:sz w:val="18"/>
                <w:szCs w:val="18"/>
              </w:rPr>
            </w:pPr>
            <w:r w:rsidRPr="00B051F2">
              <w:rPr>
                <w:rFonts w:ascii="Arial" w:hAnsi="Arial" w:cs="Arial"/>
                <w:sz w:val="18"/>
                <w:szCs w:val="18"/>
              </w:rPr>
              <w:t xml:space="preserve">Mixed-methods UK study exposing systemic service gaps and the compounding </w:t>
            </w:r>
            <w:r w:rsidRPr="00B051F2">
              <w:rPr>
                <w:rFonts w:ascii="Arial" w:hAnsi="Arial" w:cs="Arial"/>
                <w:sz w:val="18"/>
                <w:szCs w:val="18"/>
              </w:rPr>
              <w:lastRenderedPageBreak/>
              <w:t>effect of mistrust and</w:t>
            </w:r>
            <w:r w:rsidR="00BC4F99">
              <w:rPr>
                <w:rFonts w:ascii="Arial" w:hAnsi="Arial" w:cs="Arial"/>
                <w:sz w:val="18"/>
                <w:szCs w:val="18"/>
              </w:rPr>
              <w:t xml:space="preserve"> </w:t>
            </w:r>
            <w:r w:rsidRPr="00B051F2">
              <w:rPr>
                <w:rFonts w:ascii="Arial" w:hAnsi="Arial" w:cs="Arial"/>
                <w:sz w:val="18"/>
                <w:szCs w:val="18"/>
              </w:rPr>
              <w:t>communication barriers.</w:t>
            </w:r>
          </w:p>
        </w:tc>
        <w:tc>
          <w:tcPr>
            <w:tcW w:w="1843" w:type="dxa"/>
          </w:tcPr>
          <w:p w14:paraId="17C33D10" w14:textId="77777777" w:rsidR="000321D4" w:rsidRPr="00B051F2" w:rsidRDefault="000321D4" w:rsidP="00F37680">
            <w:pPr>
              <w:rPr>
                <w:rFonts w:ascii="Arial" w:hAnsi="Arial" w:cs="Arial"/>
                <w:sz w:val="18"/>
                <w:szCs w:val="18"/>
              </w:rPr>
            </w:pPr>
            <w:r w:rsidRPr="00B051F2">
              <w:rPr>
                <w:rFonts w:ascii="Arial" w:hAnsi="Arial" w:cs="Arial"/>
                <w:sz w:val="18"/>
                <w:szCs w:val="18"/>
              </w:rPr>
              <w:lastRenderedPageBreak/>
              <w:t>Recent; Empirical; National relevance; Accurate and reliable</w:t>
            </w:r>
          </w:p>
        </w:tc>
        <w:tc>
          <w:tcPr>
            <w:tcW w:w="2126" w:type="dxa"/>
          </w:tcPr>
          <w:p w14:paraId="380A5446" w14:textId="77777777" w:rsidR="000321D4" w:rsidRPr="00B051F2" w:rsidRDefault="000321D4" w:rsidP="00F37680">
            <w:pPr>
              <w:rPr>
                <w:rFonts w:ascii="Arial" w:hAnsi="Arial" w:cs="Arial"/>
                <w:sz w:val="18"/>
                <w:szCs w:val="18"/>
              </w:rPr>
            </w:pPr>
            <w:r w:rsidRPr="00B051F2">
              <w:rPr>
                <w:rFonts w:ascii="Arial" w:hAnsi="Arial" w:cs="Arial"/>
                <w:sz w:val="18"/>
                <w:szCs w:val="18"/>
              </w:rPr>
              <w:t>MarieCurie_2022_DyingInMargins.pdf</w:t>
            </w:r>
          </w:p>
        </w:tc>
      </w:tr>
    </w:tbl>
    <w:tbl>
      <w:tblPr>
        <w:tblStyle w:val="TableGrid"/>
        <w:tblpPr w:leftFromText="180" w:rightFromText="180" w:vertAnchor="text" w:horzAnchor="margin" w:tblpXSpec="center" w:tblpY="-2079"/>
        <w:tblW w:w="11619" w:type="dxa"/>
        <w:tblLayout w:type="fixed"/>
        <w:tblLook w:val="04A0" w:firstRow="1" w:lastRow="0" w:firstColumn="1" w:lastColumn="0" w:noHBand="0" w:noVBand="1"/>
      </w:tblPr>
      <w:tblGrid>
        <w:gridCol w:w="1129"/>
        <w:gridCol w:w="1276"/>
        <w:gridCol w:w="1134"/>
        <w:gridCol w:w="1276"/>
        <w:gridCol w:w="1701"/>
        <w:gridCol w:w="1701"/>
        <w:gridCol w:w="1559"/>
        <w:gridCol w:w="1843"/>
      </w:tblGrid>
      <w:tr w:rsidR="00E82B75" w14:paraId="79135C36" w14:textId="77777777" w:rsidTr="00FD0956">
        <w:trPr>
          <w:trHeight w:val="1124"/>
        </w:trPr>
        <w:tc>
          <w:tcPr>
            <w:tcW w:w="11619" w:type="dxa"/>
            <w:gridSpan w:val="8"/>
          </w:tcPr>
          <w:p w14:paraId="295D52AE" w14:textId="30EE4EE0" w:rsidR="00E82B75" w:rsidRPr="00342C78" w:rsidRDefault="0034427B" w:rsidP="00E82B75">
            <w:pPr>
              <w:pStyle w:val="Heading1"/>
              <w:jc w:val="center"/>
              <w:rPr>
                <w:b w:val="0"/>
                <w:bCs/>
              </w:rPr>
            </w:pPr>
            <w:r>
              <w:rPr>
                <w:bCs/>
              </w:rPr>
              <w:lastRenderedPageBreak/>
              <w:t xml:space="preserve">Appendix B - </w:t>
            </w:r>
            <w:r w:rsidR="00E82B75" w:rsidRPr="00342C78">
              <w:rPr>
                <w:bCs/>
              </w:rPr>
              <w:t xml:space="preserve">BMHP6020 Independent Project </w:t>
            </w:r>
            <w:r w:rsidR="00E82B75">
              <w:rPr>
                <w:bCs/>
              </w:rPr>
              <w:t>Results Summary</w:t>
            </w:r>
            <w:r w:rsidR="00E82B75" w:rsidRPr="00342C78">
              <w:rPr>
                <w:bCs/>
              </w:rPr>
              <w:t xml:space="preserve"> Table</w:t>
            </w:r>
          </w:p>
          <w:p w14:paraId="22C84BDF" w14:textId="77777777" w:rsidR="00E82B75" w:rsidRPr="00342C78" w:rsidRDefault="00E82B75" w:rsidP="00BC4F99">
            <w:pPr>
              <w:jc w:val="center"/>
              <w:rPr>
                <w:b/>
                <w:bCs/>
              </w:rPr>
            </w:pPr>
          </w:p>
        </w:tc>
      </w:tr>
      <w:tr w:rsidR="00BC4F99" w14:paraId="0FCDEDE6" w14:textId="77777777" w:rsidTr="00BC4F99">
        <w:trPr>
          <w:trHeight w:val="1124"/>
        </w:trPr>
        <w:tc>
          <w:tcPr>
            <w:tcW w:w="1129" w:type="dxa"/>
          </w:tcPr>
          <w:p w14:paraId="392300FF" w14:textId="77777777" w:rsidR="00BC4F99" w:rsidRPr="00342C78" w:rsidRDefault="00BC4F99" w:rsidP="00BC4F99">
            <w:pPr>
              <w:jc w:val="center"/>
              <w:rPr>
                <w:b/>
                <w:bCs/>
              </w:rPr>
            </w:pPr>
            <w:r w:rsidRPr="00342C78">
              <w:rPr>
                <w:b/>
                <w:bCs/>
              </w:rPr>
              <w:t>Author &amp; Year</w:t>
            </w:r>
          </w:p>
        </w:tc>
        <w:tc>
          <w:tcPr>
            <w:tcW w:w="1276" w:type="dxa"/>
          </w:tcPr>
          <w:p w14:paraId="0EEA0145" w14:textId="77777777" w:rsidR="00BC4F99" w:rsidRPr="00342C78" w:rsidRDefault="00BC4F99" w:rsidP="00BC4F99">
            <w:pPr>
              <w:jc w:val="center"/>
              <w:rPr>
                <w:b/>
                <w:bCs/>
              </w:rPr>
            </w:pPr>
            <w:r w:rsidRPr="00342C78">
              <w:rPr>
                <w:b/>
                <w:bCs/>
              </w:rPr>
              <w:t>Article Title</w:t>
            </w:r>
          </w:p>
        </w:tc>
        <w:tc>
          <w:tcPr>
            <w:tcW w:w="1134" w:type="dxa"/>
          </w:tcPr>
          <w:p w14:paraId="423F643F" w14:textId="77777777" w:rsidR="00BC4F99" w:rsidRPr="00342C78" w:rsidRDefault="00BC4F99" w:rsidP="00BC4F99">
            <w:pPr>
              <w:jc w:val="center"/>
              <w:rPr>
                <w:b/>
                <w:bCs/>
              </w:rPr>
            </w:pPr>
            <w:r w:rsidRPr="00342C78">
              <w:rPr>
                <w:b/>
                <w:bCs/>
              </w:rPr>
              <w:t>Type of Study</w:t>
            </w:r>
          </w:p>
        </w:tc>
        <w:tc>
          <w:tcPr>
            <w:tcW w:w="1276" w:type="dxa"/>
          </w:tcPr>
          <w:p w14:paraId="14F596DC" w14:textId="77777777" w:rsidR="00BC4F99" w:rsidRPr="00342C78" w:rsidRDefault="00BC4F99" w:rsidP="00BC4F99">
            <w:pPr>
              <w:jc w:val="center"/>
              <w:rPr>
                <w:b/>
                <w:bCs/>
              </w:rPr>
            </w:pPr>
            <w:r w:rsidRPr="00342C78">
              <w:rPr>
                <w:b/>
                <w:bCs/>
              </w:rPr>
              <w:t>Research Method &amp; Sample Size</w:t>
            </w:r>
          </w:p>
        </w:tc>
        <w:tc>
          <w:tcPr>
            <w:tcW w:w="1701" w:type="dxa"/>
          </w:tcPr>
          <w:p w14:paraId="2CA944D3" w14:textId="77777777" w:rsidR="00BC4F99" w:rsidRPr="00342C78" w:rsidRDefault="00BC4F99" w:rsidP="00BC4F99">
            <w:pPr>
              <w:jc w:val="center"/>
              <w:rPr>
                <w:b/>
                <w:bCs/>
              </w:rPr>
            </w:pPr>
            <w:r w:rsidRPr="00342C78">
              <w:rPr>
                <w:b/>
                <w:bCs/>
              </w:rPr>
              <w:t>Strengths &amp; Limitations</w:t>
            </w:r>
          </w:p>
        </w:tc>
        <w:tc>
          <w:tcPr>
            <w:tcW w:w="1701" w:type="dxa"/>
          </w:tcPr>
          <w:p w14:paraId="74C21064" w14:textId="77777777" w:rsidR="00BC4F99" w:rsidRPr="00342C78" w:rsidRDefault="00BC4F99" w:rsidP="00BC4F99">
            <w:pPr>
              <w:jc w:val="center"/>
              <w:rPr>
                <w:b/>
                <w:bCs/>
              </w:rPr>
            </w:pPr>
            <w:r w:rsidRPr="00342C78">
              <w:rPr>
                <w:b/>
                <w:bCs/>
              </w:rPr>
              <w:t>Main Findings</w:t>
            </w:r>
          </w:p>
        </w:tc>
        <w:tc>
          <w:tcPr>
            <w:tcW w:w="1559" w:type="dxa"/>
          </w:tcPr>
          <w:p w14:paraId="53FBBFF1" w14:textId="77777777" w:rsidR="00BC4F99" w:rsidRPr="00342C78" w:rsidRDefault="00BC4F99" w:rsidP="00BC4F99">
            <w:pPr>
              <w:jc w:val="center"/>
              <w:rPr>
                <w:b/>
                <w:bCs/>
              </w:rPr>
            </w:pPr>
            <w:r w:rsidRPr="00342C78">
              <w:rPr>
                <w:b/>
                <w:bCs/>
              </w:rPr>
              <w:t>Keywords &amp; Codes</w:t>
            </w:r>
          </w:p>
        </w:tc>
        <w:tc>
          <w:tcPr>
            <w:tcW w:w="1843" w:type="dxa"/>
          </w:tcPr>
          <w:p w14:paraId="7BFF64E0" w14:textId="77777777" w:rsidR="00BC4F99" w:rsidRPr="00342C78" w:rsidRDefault="00BC4F99" w:rsidP="00BC4F99">
            <w:pPr>
              <w:jc w:val="center"/>
              <w:rPr>
                <w:b/>
                <w:bCs/>
              </w:rPr>
            </w:pPr>
            <w:r w:rsidRPr="00342C78">
              <w:rPr>
                <w:b/>
                <w:bCs/>
              </w:rPr>
              <w:t>Notes and Comments</w:t>
            </w:r>
          </w:p>
        </w:tc>
      </w:tr>
      <w:tr w:rsidR="00BC4F99" w14:paraId="635AC24E" w14:textId="77777777" w:rsidTr="00BC4F99">
        <w:trPr>
          <w:trHeight w:val="642"/>
        </w:trPr>
        <w:tc>
          <w:tcPr>
            <w:tcW w:w="1129" w:type="dxa"/>
          </w:tcPr>
          <w:p w14:paraId="6A2C423B" w14:textId="77777777" w:rsidR="00BC4F99" w:rsidRPr="002735EF" w:rsidRDefault="00BC4F99" w:rsidP="00BC4F99">
            <w:pPr>
              <w:rPr>
                <w:rFonts w:ascii="Arial" w:hAnsi="Arial" w:cs="Arial"/>
                <w:sz w:val="18"/>
                <w:szCs w:val="18"/>
              </w:rPr>
            </w:pPr>
            <w:r w:rsidRPr="002735EF">
              <w:rPr>
                <w:rFonts w:ascii="Arial" w:hAnsi="Arial" w:cs="Arial"/>
                <w:sz w:val="18"/>
                <w:szCs w:val="18"/>
              </w:rPr>
              <w:t>Kai et al. (2007)</w:t>
            </w:r>
          </w:p>
        </w:tc>
        <w:tc>
          <w:tcPr>
            <w:tcW w:w="1276" w:type="dxa"/>
          </w:tcPr>
          <w:p w14:paraId="3EF5BBAF" w14:textId="77777777" w:rsidR="00BC4F99" w:rsidRPr="002735EF" w:rsidRDefault="00BC4F99" w:rsidP="00BC4F99">
            <w:pPr>
              <w:rPr>
                <w:rFonts w:ascii="Arial" w:hAnsi="Arial" w:cs="Arial"/>
                <w:sz w:val="18"/>
                <w:szCs w:val="18"/>
              </w:rPr>
            </w:pPr>
            <w:r w:rsidRPr="002735EF">
              <w:rPr>
                <w:rFonts w:ascii="Arial" w:hAnsi="Arial" w:cs="Arial"/>
                <w:sz w:val="18"/>
                <w:szCs w:val="18"/>
              </w:rPr>
              <w:t>Professional uncertainty and disempowerment responding to ethnic diversity in health care</w:t>
            </w:r>
          </w:p>
        </w:tc>
        <w:tc>
          <w:tcPr>
            <w:tcW w:w="1134" w:type="dxa"/>
          </w:tcPr>
          <w:p w14:paraId="742DF1C7" w14:textId="77777777" w:rsidR="00BC4F99" w:rsidRPr="002735EF" w:rsidRDefault="00BC4F99" w:rsidP="00BC4F99">
            <w:pPr>
              <w:rPr>
                <w:rFonts w:ascii="Arial" w:hAnsi="Arial" w:cs="Arial"/>
                <w:sz w:val="18"/>
                <w:szCs w:val="18"/>
              </w:rPr>
            </w:pPr>
            <w:r w:rsidRPr="002735EF">
              <w:rPr>
                <w:rFonts w:ascii="Arial" w:hAnsi="Arial" w:cs="Arial"/>
                <w:sz w:val="18"/>
                <w:szCs w:val="18"/>
              </w:rPr>
              <w:t>Qualitative study</w:t>
            </w:r>
          </w:p>
        </w:tc>
        <w:tc>
          <w:tcPr>
            <w:tcW w:w="1276" w:type="dxa"/>
          </w:tcPr>
          <w:p w14:paraId="21A14AE4" w14:textId="77777777" w:rsidR="00BC4F99" w:rsidRPr="002735EF" w:rsidRDefault="00BC4F99" w:rsidP="00BC4F99">
            <w:pPr>
              <w:rPr>
                <w:rFonts w:ascii="Arial" w:hAnsi="Arial" w:cs="Arial"/>
                <w:sz w:val="18"/>
                <w:szCs w:val="18"/>
              </w:rPr>
            </w:pPr>
            <w:r w:rsidRPr="002735EF">
              <w:rPr>
                <w:rFonts w:ascii="Arial" w:hAnsi="Arial" w:cs="Arial"/>
                <w:sz w:val="18"/>
                <w:szCs w:val="18"/>
              </w:rPr>
              <w:t>Semi-structured interviews with 48 general practitioners (UK)</w:t>
            </w:r>
          </w:p>
        </w:tc>
        <w:tc>
          <w:tcPr>
            <w:tcW w:w="1701" w:type="dxa"/>
          </w:tcPr>
          <w:p w14:paraId="43C2E060" w14:textId="77777777" w:rsidR="00BC4F99" w:rsidRPr="002735EF" w:rsidRDefault="00BC4F99" w:rsidP="00BC4F99">
            <w:pPr>
              <w:rPr>
                <w:rFonts w:ascii="Arial" w:hAnsi="Arial" w:cs="Arial"/>
                <w:sz w:val="18"/>
                <w:szCs w:val="18"/>
              </w:rPr>
            </w:pPr>
            <w:r w:rsidRPr="002735EF">
              <w:rPr>
                <w:rFonts w:ascii="Arial" w:hAnsi="Arial" w:cs="Arial"/>
                <w:sz w:val="18"/>
                <w:szCs w:val="18"/>
              </w:rPr>
              <w:t xml:space="preserve">Strength: Offers in-depth insight into </w:t>
            </w:r>
            <w:proofErr w:type="gramStart"/>
            <w:r w:rsidRPr="002735EF">
              <w:rPr>
                <w:rFonts w:ascii="Arial" w:hAnsi="Arial" w:cs="Arial"/>
                <w:sz w:val="18"/>
                <w:szCs w:val="18"/>
              </w:rPr>
              <w:t>professionals</w:t>
            </w:r>
            <w:proofErr w:type="gramEnd"/>
            <w:r w:rsidRPr="002735EF">
              <w:rPr>
                <w:rFonts w:ascii="Arial" w:hAnsi="Arial" w:cs="Arial"/>
                <w:sz w:val="18"/>
                <w:szCs w:val="18"/>
              </w:rPr>
              <w:t xml:space="preserve"> uncertainty regarding cross-cultural care. Limitation: Limited generalisability.</w:t>
            </w:r>
          </w:p>
        </w:tc>
        <w:tc>
          <w:tcPr>
            <w:tcW w:w="1701" w:type="dxa"/>
          </w:tcPr>
          <w:p w14:paraId="26268AA9" w14:textId="77777777" w:rsidR="00BC4F99" w:rsidRPr="002735EF" w:rsidRDefault="00BC4F99" w:rsidP="00BC4F99">
            <w:pPr>
              <w:rPr>
                <w:rFonts w:ascii="Arial" w:hAnsi="Arial" w:cs="Arial"/>
                <w:sz w:val="18"/>
                <w:szCs w:val="18"/>
              </w:rPr>
            </w:pPr>
            <w:r w:rsidRPr="002735EF">
              <w:rPr>
                <w:rFonts w:ascii="Arial" w:hAnsi="Arial" w:cs="Arial"/>
                <w:sz w:val="18"/>
                <w:szCs w:val="18"/>
              </w:rPr>
              <w:t>Professionals lacked confidence in addressing cultural and language differences, often avoiding sensitive discussions.</w:t>
            </w:r>
          </w:p>
        </w:tc>
        <w:tc>
          <w:tcPr>
            <w:tcW w:w="1559" w:type="dxa"/>
          </w:tcPr>
          <w:p w14:paraId="2FA22952" w14:textId="77777777" w:rsidR="00BC4F99" w:rsidRPr="002735EF" w:rsidRDefault="00BC4F99" w:rsidP="00BC4F99">
            <w:pPr>
              <w:rPr>
                <w:rFonts w:ascii="Arial" w:hAnsi="Arial" w:cs="Arial"/>
                <w:sz w:val="18"/>
                <w:szCs w:val="18"/>
              </w:rPr>
            </w:pPr>
            <w:r w:rsidRPr="002735EF">
              <w:rPr>
                <w:rFonts w:ascii="Arial" w:hAnsi="Arial" w:cs="Arial"/>
                <w:sz w:val="18"/>
                <w:szCs w:val="18"/>
              </w:rPr>
              <w:t>Communication barriers, cultural diversity, GP perceptions</w:t>
            </w:r>
          </w:p>
        </w:tc>
        <w:tc>
          <w:tcPr>
            <w:tcW w:w="1843" w:type="dxa"/>
          </w:tcPr>
          <w:p w14:paraId="7B1803E8" w14:textId="77777777" w:rsidR="00BC4F99" w:rsidRPr="002735EF" w:rsidRDefault="00BC4F99" w:rsidP="00BC4F99">
            <w:pPr>
              <w:rPr>
                <w:rFonts w:ascii="Arial" w:hAnsi="Arial" w:cs="Arial"/>
                <w:sz w:val="18"/>
                <w:szCs w:val="18"/>
              </w:rPr>
            </w:pPr>
            <w:r w:rsidRPr="002735EF">
              <w:rPr>
                <w:rFonts w:ascii="Arial" w:hAnsi="Arial" w:cs="Arial"/>
                <w:sz w:val="18"/>
                <w:szCs w:val="18"/>
              </w:rPr>
              <w:t>Supports Theme 1 – highlights inadequate professional confidence and language gaps leading to miscommunication in EOL care.</w:t>
            </w:r>
          </w:p>
        </w:tc>
      </w:tr>
      <w:tr w:rsidR="00BC4F99" w14:paraId="5301A648" w14:textId="77777777" w:rsidTr="00BC4F99">
        <w:trPr>
          <w:trHeight w:val="610"/>
        </w:trPr>
        <w:tc>
          <w:tcPr>
            <w:tcW w:w="1129" w:type="dxa"/>
          </w:tcPr>
          <w:p w14:paraId="2BDD2140" w14:textId="77777777" w:rsidR="00BC4F99" w:rsidRPr="002735EF" w:rsidRDefault="00BC4F99" w:rsidP="00BC4F99">
            <w:pPr>
              <w:rPr>
                <w:rFonts w:ascii="Arial" w:hAnsi="Arial" w:cs="Arial"/>
                <w:sz w:val="18"/>
                <w:szCs w:val="18"/>
              </w:rPr>
            </w:pPr>
            <w:r w:rsidRPr="002735EF">
              <w:rPr>
                <w:rFonts w:ascii="Arial" w:hAnsi="Arial" w:cs="Arial"/>
                <w:sz w:val="18"/>
                <w:szCs w:val="18"/>
              </w:rPr>
              <w:t>Higginson et al. (2016)</w:t>
            </w:r>
          </w:p>
        </w:tc>
        <w:tc>
          <w:tcPr>
            <w:tcW w:w="1276" w:type="dxa"/>
          </w:tcPr>
          <w:p w14:paraId="5D5151D7" w14:textId="77777777" w:rsidR="00BC4F99" w:rsidRPr="002735EF" w:rsidRDefault="00BC4F99" w:rsidP="00BC4F99">
            <w:pPr>
              <w:rPr>
                <w:rFonts w:ascii="Arial" w:hAnsi="Arial" w:cs="Arial"/>
                <w:sz w:val="18"/>
                <w:szCs w:val="18"/>
              </w:rPr>
            </w:pPr>
            <w:r w:rsidRPr="002735EF">
              <w:rPr>
                <w:rFonts w:ascii="Arial" w:hAnsi="Arial" w:cs="Arial"/>
                <w:sz w:val="18"/>
                <w:szCs w:val="18"/>
              </w:rPr>
              <w:t>Access to palliative care by ethnic minority groups in the UK</w:t>
            </w:r>
          </w:p>
        </w:tc>
        <w:tc>
          <w:tcPr>
            <w:tcW w:w="1134" w:type="dxa"/>
          </w:tcPr>
          <w:p w14:paraId="13BD8AC9" w14:textId="77777777" w:rsidR="00BC4F99" w:rsidRPr="002735EF" w:rsidRDefault="00BC4F99" w:rsidP="00BC4F99">
            <w:pPr>
              <w:rPr>
                <w:rFonts w:ascii="Arial" w:hAnsi="Arial" w:cs="Arial"/>
                <w:sz w:val="18"/>
                <w:szCs w:val="18"/>
              </w:rPr>
            </w:pPr>
            <w:r w:rsidRPr="002735EF">
              <w:rPr>
                <w:rFonts w:ascii="Arial" w:hAnsi="Arial" w:cs="Arial"/>
                <w:sz w:val="18"/>
                <w:szCs w:val="18"/>
              </w:rPr>
              <w:t>Mixed methods</w:t>
            </w:r>
          </w:p>
        </w:tc>
        <w:tc>
          <w:tcPr>
            <w:tcW w:w="1276" w:type="dxa"/>
          </w:tcPr>
          <w:p w14:paraId="69820726" w14:textId="77777777" w:rsidR="00BC4F99" w:rsidRPr="002735EF" w:rsidRDefault="00BC4F99" w:rsidP="00BC4F99">
            <w:pPr>
              <w:rPr>
                <w:rFonts w:ascii="Arial" w:hAnsi="Arial" w:cs="Arial"/>
                <w:sz w:val="18"/>
                <w:szCs w:val="18"/>
              </w:rPr>
            </w:pPr>
            <w:r w:rsidRPr="002735EF">
              <w:rPr>
                <w:rFonts w:ascii="Arial" w:hAnsi="Arial" w:cs="Arial"/>
                <w:sz w:val="18"/>
                <w:szCs w:val="18"/>
              </w:rPr>
              <w:t>Quantitative national dataset &amp; qualitative interviews</w:t>
            </w:r>
          </w:p>
        </w:tc>
        <w:tc>
          <w:tcPr>
            <w:tcW w:w="1701" w:type="dxa"/>
          </w:tcPr>
          <w:p w14:paraId="3C593D9B" w14:textId="77777777" w:rsidR="00BC4F99" w:rsidRPr="002735EF" w:rsidRDefault="00BC4F99" w:rsidP="00BC4F99">
            <w:pPr>
              <w:rPr>
                <w:rFonts w:ascii="Arial" w:hAnsi="Arial" w:cs="Arial"/>
                <w:sz w:val="18"/>
                <w:szCs w:val="18"/>
              </w:rPr>
            </w:pPr>
            <w:r w:rsidRPr="002735EF">
              <w:rPr>
                <w:rFonts w:ascii="Arial" w:hAnsi="Arial" w:cs="Arial"/>
                <w:sz w:val="18"/>
                <w:szCs w:val="18"/>
              </w:rPr>
              <w:t>Strength: comprehensive national scope; Limitation: limited qualitative depth</w:t>
            </w:r>
          </w:p>
        </w:tc>
        <w:tc>
          <w:tcPr>
            <w:tcW w:w="1701" w:type="dxa"/>
          </w:tcPr>
          <w:p w14:paraId="469D465D" w14:textId="77777777" w:rsidR="00BC4F99" w:rsidRPr="002735EF" w:rsidRDefault="00BC4F99" w:rsidP="00BC4F99">
            <w:pPr>
              <w:rPr>
                <w:rFonts w:ascii="Arial" w:hAnsi="Arial" w:cs="Arial"/>
                <w:sz w:val="18"/>
                <w:szCs w:val="18"/>
              </w:rPr>
            </w:pPr>
            <w:r w:rsidRPr="002735EF">
              <w:rPr>
                <w:rFonts w:ascii="Arial" w:hAnsi="Arial" w:cs="Arial"/>
                <w:sz w:val="18"/>
                <w:szCs w:val="18"/>
              </w:rPr>
              <w:t xml:space="preserve">Ethnic minorities are underrepresented in EOL services; communication barriers </w:t>
            </w:r>
            <w:r>
              <w:rPr>
                <w:rFonts w:ascii="Arial" w:hAnsi="Arial" w:cs="Arial"/>
                <w:sz w:val="18"/>
                <w:szCs w:val="18"/>
              </w:rPr>
              <w:t xml:space="preserve">are </w:t>
            </w:r>
            <w:r w:rsidRPr="002735EF">
              <w:rPr>
                <w:rFonts w:ascii="Arial" w:hAnsi="Arial" w:cs="Arial"/>
                <w:sz w:val="18"/>
                <w:szCs w:val="18"/>
              </w:rPr>
              <w:t>identified as key obstacles.</w:t>
            </w:r>
          </w:p>
        </w:tc>
        <w:tc>
          <w:tcPr>
            <w:tcW w:w="1559" w:type="dxa"/>
          </w:tcPr>
          <w:p w14:paraId="1AA13C92" w14:textId="77777777" w:rsidR="00BC4F99" w:rsidRPr="002735EF" w:rsidRDefault="00BC4F99" w:rsidP="00BC4F99">
            <w:pPr>
              <w:rPr>
                <w:rFonts w:ascii="Arial" w:hAnsi="Arial" w:cs="Arial"/>
                <w:sz w:val="18"/>
                <w:szCs w:val="18"/>
              </w:rPr>
            </w:pPr>
            <w:r w:rsidRPr="002735EF">
              <w:rPr>
                <w:rFonts w:ascii="Arial" w:hAnsi="Arial" w:cs="Arial"/>
                <w:sz w:val="18"/>
                <w:szCs w:val="18"/>
              </w:rPr>
              <w:t>End-of-life care; equity; inclusion</w:t>
            </w:r>
          </w:p>
        </w:tc>
        <w:tc>
          <w:tcPr>
            <w:tcW w:w="1843" w:type="dxa"/>
          </w:tcPr>
          <w:p w14:paraId="369D7E43" w14:textId="77777777" w:rsidR="00BC4F99" w:rsidRPr="002735EF" w:rsidRDefault="00BC4F99" w:rsidP="00BC4F99">
            <w:pPr>
              <w:rPr>
                <w:rFonts w:ascii="Arial" w:hAnsi="Arial" w:cs="Arial"/>
                <w:sz w:val="18"/>
                <w:szCs w:val="18"/>
              </w:rPr>
            </w:pPr>
            <w:r w:rsidRPr="00625060">
              <w:rPr>
                <w:rFonts w:ascii="Arial" w:hAnsi="Arial" w:cs="Arial"/>
                <w:sz w:val="18"/>
                <w:szCs w:val="18"/>
              </w:rPr>
              <w:t>Reinforces Theme 1, highlighting systemic communication failures and inequalities discussed in Chapter 4.</w:t>
            </w:r>
          </w:p>
        </w:tc>
      </w:tr>
      <w:tr w:rsidR="00BC4F99" w14:paraId="3040BFB1" w14:textId="77777777" w:rsidTr="00BC4F99">
        <w:trPr>
          <w:trHeight w:val="610"/>
        </w:trPr>
        <w:tc>
          <w:tcPr>
            <w:tcW w:w="1129" w:type="dxa"/>
          </w:tcPr>
          <w:p w14:paraId="0154FF1D" w14:textId="77777777" w:rsidR="00BC4F99" w:rsidRPr="003D1424" w:rsidRDefault="00BC4F99" w:rsidP="00BC4F99">
            <w:pPr>
              <w:rPr>
                <w:sz w:val="18"/>
                <w:szCs w:val="18"/>
              </w:rPr>
            </w:pPr>
            <w:proofErr w:type="spellStart"/>
            <w:r w:rsidRPr="003D1424">
              <w:rPr>
                <w:sz w:val="18"/>
                <w:szCs w:val="18"/>
              </w:rPr>
              <w:t>Szczepura</w:t>
            </w:r>
            <w:proofErr w:type="spellEnd"/>
            <w:r w:rsidRPr="003D1424">
              <w:rPr>
                <w:sz w:val="18"/>
                <w:szCs w:val="18"/>
              </w:rPr>
              <w:t xml:space="preserve"> (2005)</w:t>
            </w:r>
          </w:p>
        </w:tc>
        <w:tc>
          <w:tcPr>
            <w:tcW w:w="1276" w:type="dxa"/>
          </w:tcPr>
          <w:p w14:paraId="34CB9EAD" w14:textId="77777777" w:rsidR="00BC4F99" w:rsidRPr="00B70E2D" w:rsidRDefault="00BC4F99" w:rsidP="00BC4F99">
            <w:pPr>
              <w:rPr>
                <w:rFonts w:ascii="Arial" w:hAnsi="Arial" w:cs="Arial"/>
                <w:sz w:val="18"/>
                <w:szCs w:val="18"/>
              </w:rPr>
            </w:pPr>
            <w:r w:rsidRPr="00B70E2D">
              <w:rPr>
                <w:rFonts w:ascii="Arial" w:hAnsi="Arial" w:cs="Arial"/>
                <w:sz w:val="18"/>
                <w:szCs w:val="18"/>
              </w:rPr>
              <w:t>Access to health care for ethnic minority populations</w:t>
            </w:r>
          </w:p>
        </w:tc>
        <w:tc>
          <w:tcPr>
            <w:tcW w:w="1134" w:type="dxa"/>
          </w:tcPr>
          <w:p w14:paraId="029333F6" w14:textId="77777777" w:rsidR="00BC4F99" w:rsidRDefault="00BC4F99" w:rsidP="00BC4F99">
            <w:pPr>
              <w:rPr>
                <w:rFonts w:ascii="Arial" w:hAnsi="Arial" w:cs="Arial"/>
                <w:sz w:val="18"/>
                <w:szCs w:val="18"/>
              </w:rPr>
            </w:pPr>
            <w:r w:rsidRPr="00ED52E3">
              <w:rPr>
                <w:rFonts w:ascii="Arial" w:hAnsi="Arial" w:cs="Arial"/>
                <w:sz w:val="18"/>
                <w:szCs w:val="18"/>
              </w:rPr>
              <w:t xml:space="preserve">Systematic </w:t>
            </w:r>
          </w:p>
          <w:p w14:paraId="643D0C90" w14:textId="77777777" w:rsidR="00BC4F99" w:rsidRPr="00ED52E3" w:rsidRDefault="00BC4F99" w:rsidP="00BC4F99">
            <w:pPr>
              <w:rPr>
                <w:rFonts w:ascii="Arial" w:hAnsi="Arial" w:cs="Arial"/>
                <w:sz w:val="18"/>
                <w:szCs w:val="18"/>
              </w:rPr>
            </w:pPr>
            <w:r w:rsidRPr="00ED52E3">
              <w:rPr>
                <w:rFonts w:ascii="Arial" w:hAnsi="Arial" w:cs="Arial"/>
                <w:sz w:val="18"/>
                <w:szCs w:val="18"/>
              </w:rPr>
              <w:t>review</w:t>
            </w:r>
          </w:p>
        </w:tc>
        <w:tc>
          <w:tcPr>
            <w:tcW w:w="1276" w:type="dxa"/>
          </w:tcPr>
          <w:p w14:paraId="1517EE9C" w14:textId="77777777" w:rsidR="00BC4F99" w:rsidRPr="001220EA" w:rsidRDefault="00BC4F99" w:rsidP="00BC4F99">
            <w:pPr>
              <w:rPr>
                <w:rFonts w:ascii="Arial" w:hAnsi="Arial" w:cs="Arial"/>
                <w:sz w:val="18"/>
                <w:szCs w:val="18"/>
              </w:rPr>
            </w:pPr>
            <w:r w:rsidRPr="001220EA">
              <w:rPr>
                <w:rFonts w:ascii="Arial" w:hAnsi="Arial" w:cs="Arial"/>
                <w:sz w:val="18"/>
                <w:szCs w:val="18"/>
              </w:rPr>
              <w:t>Review of UK healthcare access literature</w:t>
            </w:r>
          </w:p>
        </w:tc>
        <w:tc>
          <w:tcPr>
            <w:tcW w:w="1701" w:type="dxa"/>
          </w:tcPr>
          <w:p w14:paraId="522993E3" w14:textId="77777777" w:rsidR="00BC4F99" w:rsidRPr="001D3036" w:rsidRDefault="00BC4F99" w:rsidP="00BC4F99">
            <w:pPr>
              <w:rPr>
                <w:rFonts w:ascii="Arial" w:hAnsi="Arial" w:cs="Arial"/>
                <w:sz w:val="18"/>
                <w:szCs w:val="18"/>
              </w:rPr>
            </w:pPr>
            <w:r w:rsidRPr="001D3036">
              <w:rPr>
                <w:rFonts w:ascii="Arial" w:hAnsi="Arial" w:cs="Arial"/>
                <w:sz w:val="18"/>
                <w:szCs w:val="18"/>
              </w:rPr>
              <w:t>Strength: foundational evidence; Limitation: dated but still relevant</w:t>
            </w:r>
          </w:p>
        </w:tc>
        <w:tc>
          <w:tcPr>
            <w:tcW w:w="1701" w:type="dxa"/>
          </w:tcPr>
          <w:p w14:paraId="201B54AB" w14:textId="77777777" w:rsidR="00BC4F99" w:rsidRPr="001D3036" w:rsidRDefault="00BC4F99" w:rsidP="00BC4F99">
            <w:pPr>
              <w:rPr>
                <w:rFonts w:ascii="Arial" w:hAnsi="Arial" w:cs="Arial"/>
                <w:sz w:val="18"/>
                <w:szCs w:val="18"/>
              </w:rPr>
            </w:pPr>
            <w:r w:rsidRPr="001D3036">
              <w:rPr>
                <w:rFonts w:ascii="Arial" w:hAnsi="Arial" w:cs="Arial"/>
                <w:sz w:val="18"/>
                <w:szCs w:val="18"/>
              </w:rPr>
              <w:t>Identified persistent language and cultural barriers to care access.</w:t>
            </w:r>
          </w:p>
        </w:tc>
        <w:tc>
          <w:tcPr>
            <w:tcW w:w="1559" w:type="dxa"/>
          </w:tcPr>
          <w:p w14:paraId="538BD87F" w14:textId="77777777" w:rsidR="00BC4F99" w:rsidRPr="001D3036" w:rsidRDefault="00BC4F99" w:rsidP="00BC4F99">
            <w:pPr>
              <w:rPr>
                <w:rFonts w:ascii="Arial" w:hAnsi="Arial" w:cs="Arial"/>
                <w:sz w:val="18"/>
                <w:szCs w:val="18"/>
              </w:rPr>
            </w:pPr>
            <w:r w:rsidRPr="001D3036">
              <w:rPr>
                <w:rFonts w:ascii="Arial" w:hAnsi="Arial" w:cs="Arial"/>
                <w:sz w:val="18"/>
                <w:szCs w:val="18"/>
              </w:rPr>
              <w:t>Inequality</w:t>
            </w:r>
            <w:r>
              <w:rPr>
                <w:rFonts w:ascii="Arial" w:hAnsi="Arial" w:cs="Arial"/>
                <w:sz w:val="18"/>
                <w:szCs w:val="18"/>
              </w:rPr>
              <w:t xml:space="preserve">, </w:t>
            </w:r>
            <w:r w:rsidRPr="001D3036">
              <w:rPr>
                <w:rFonts w:ascii="Arial" w:hAnsi="Arial" w:cs="Arial"/>
                <w:sz w:val="18"/>
                <w:szCs w:val="18"/>
              </w:rPr>
              <w:t>language needs</w:t>
            </w:r>
            <w:r>
              <w:rPr>
                <w:rFonts w:ascii="Arial" w:hAnsi="Arial" w:cs="Arial"/>
                <w:sz w:val="18"/>
                <w:szCs w:val="18"/>
              </w:rPr>
              <w:t>,</w:t>
            </w:r>
            <w:r w:rsidRPr="001D3036">
              <w:rPr>
                <w:rFonts w:ascii="Arial" w:hAnsi="Arial" w:cs="Arial"/>
                <w:sz w:val="18"/>
                <w:szCs w:val="18"/>
              </w:rPr>
              <w:t xml:space="preserve"> exclusion</w:t>
            </w:r>
          </w:p>
        </w:tc>
        <w:tc>
          <w:tcPr>
            <w:tcW w:w="1843" w:type="dxa"/>
          </w:tcPr>
          <w:p w14:paraId="36FD58B4" w14:textId="77777777" w:rsidR="00BC4F99" w:rsidRPr="001D3036" w:rsidRDefault="00BC4F99" w:rsidP="00BC4F99">
            <w:pPr>
              <w:rPr>
                <w:rFonts w:ascii="Arial" w:hAnsi="Arial" w:cs="Arial"/>
                <w:sz w:val="18"/>
                <w:szCs w:val="18"/>
              </w:rPr>
            </w:pPr>
            <w:r w:rsidRPr="001D3036">
              <w:rPr>
                <w:rFonts w:ascii="Arial" w:hAnsi="Arial" w:cs="Arial"/>
                <w:sz w:val="18"/>
                <w:szCs w:val="18"/>
              </w:rPr>
              <w:t>Provides historical background to Theme 1 and Theme 2, informing Chapter 4’s contextual analysis.</w:t>
            </w:r>
          </w:p>
        </w:tc>
      </w:tr>
      <w:tr w:rsidR="00BC4F99" w14:paraId="679E1E31" w14:textId="77777777" w:rsidTr="00BC4F99">
        <w:trPr>
          <w:trHeight w:val="610"/>
        </w:trPr>
        <w:tc>
          <w:tcPr>
            <w:tcW w:w="1129" w:type="dxa"/>
          </w:tcPr>
          <w:p w14:paraId="3F06BC06" w14:textId="77777777" w:rsidR="00BC4F99" w:rsidRPr="009F7A67" w:rsidRDefault="00BC4F99" w:rsidP="00BC4F99">
            <w:pPr>
              <w:rPr>
                <w:rFonts w:ascii="Arial" w:hAnsi="Arial" w:cs="Arial"/>
                <w:sz w:val="18"/>
                <w:szCs w:val="18"/>
              </w:rPr>
            </w:pPr>
            <w:r w:rsidRPr="009F7A67">
              <w:rPr>
                <w:rFonts w:ascii="Arial" w:hAnsi="Arial" w:cs="Arial"/>
                <w:sz w:val="18"/>
                <w:szCs w:val="18"/>
              </w:rPr>
              <w:t>Mbabazi et al. (2022)</w:t>
            </w:r>
          </w:p>
        </w:tc>
        <w:tc>
          <w:tcPr>
            <w:tcW w:w="1276" w:type="dxa"/>
          </w:tcPr>
          <w:p w14:paraId="0067FA0A" w14:textId="77777777" w:rsidR="00BC4F99" w:rsidRPr="009F7A67" w:rsidRDefault="00BC4F99" w:rsidP="00BC4F99">
            <w:pPr>
              <w:rPr>
                <w:rFonts w:ascii="Arial" w:hAnsi="Arial" w:cs="Arial"/>
                <w:sz w:val="18"/>
                <w:szCs w:val="18"/>
              </w:rPr>
            </w:pPr>
            <w:r w:rsidRPr="009F7A67">
              <w:rPr>
                <w:rFonts w:ascii="Arial" w:hAnsi="Arial" w:cs="Arial"/>
                <w:sz w:val="18"/>
                <w:szCs w:val="18"/>
              </w:rPr>
              <w:t>Understanding mistrust in healthcare systems among ethnic minorities</w:t>
            </w:r>
          </w:p>
        </w:tc>
        <w:tc>
          <w:tcPr>
            <w:tcW w:w="1134" w:type="dxa"/>
          </w:tcPr>
          <w:p w14:paraId="2FF00C87" w14:textId="77777777" w:rsidR="00BC4F99" w:rsidRPr="00622C75" w:rsidRDefault="00BC4F99" w:rsidP="00BC4F99">
            <w:pPr>
              <w:rPr>
                <w:rFonts w:ascii="Arial" w:hAnsi="Arial" w:cs="Arial"/>
                <w:sz w:val="18"/>
                <w:szCs w:val="18"/>
              </w:rPr>
            </w:pPr>
            <w:r w:rsidRPr="00622C75">
              <w:rPr>
                <w:rFonts w:ascii="Arial" w:hAnsi="Arial" w:cs="Arial"/>
                <w:sz w:val="18"/>
                <w:szCs w:val="18"/>
              </w:rPr>
              <w:t>Qualitative</w:t>
            </w:r>
          </w:p>
        </w:tc>
        <w:tc>
          <w:tcPr>
            <w:tcW w:w="1276" w:type="dxa"/>
          </w:tcPr>
          <w:p w14:paraId="271D680B" w14:textId="77777777" w:rsidR="00BC4F99" w:rsidRPr="00622C75" w:rsidRDefault="00BC4F99" w:rsidP="00BC4F99">
            <w:pPr>
              <w:rPr>
                <w:rFonts w:ascii="Arial" w:hAnsi="Arial" w:cs="Arial"/>
                <w:sz w:val="18"/>
                <w:szCs w:val="18"/>
              </w:rPr>
            </w:pPr>
            <w:r w:rsidRPr="00622C75">
              <w:rPr>
                <w:rFonts w:ascii="Arial" w:hAnsi="Arial" w:cs="Arial"/>
                <w:sz w:val="18"/>
                <w:szCs w:val="18"/>
              </w:rPr>
              <w:t>Interviews with 60 participants from diverse ethnic backgrounds</w:t>
            </w:r>
          </w:p>
        </w:tc>
        <w:tc>
          <w:tcPr>
            <w:tcW w:w="1701" w:type="dxa"/>
          </w:tcPr>
          <w:p w14:paraId="2E2D3D6C" w14:textId="77777777" w:rsidR="00BC4F99" w:rsidRPr="00622C75" w:rsidRDefault="00BC4F99" w:rsidP="00BC4F99">
            <w:pPr>
              <w:rPr>
                <w:rFonts w:ascii="Arial" w:hAnsi="Arial" w:cs="Arial"/>
                <w:sz w:val="18"/>
                <w:szCs w:val="18"/>
              </w:rPr>
            </w:pPr>
            <w:r w:rsidRPr="00622C75">
              <w:rPr>
                <w:rFonts w:ascii="Arial" w:hAnsi="Arial" w:cs="Arial"/>
                <w:sz w:val="18"/>
                <w:szCs w:val="18"/>
              </w:rPr>
              <w:t>Strength: diverse participant sample; Limitation: focused on urban populations only</w:t>
            </w:r>
          </w:p>
        </w:tc>
        <w:tc>
          <w:tcPr>
            <w:tcW w:w="1701" w:type="dxa"/>
          </w:tcPr>
          <w:p w14:paraId="189A2065" w14:textId="77777777" w:rsidR="00BC4F99" w:rsidRPr="00622C75" w:rsidRDefault="00BC4F99" w:rsidP="00BC4F99">
            <w:pPr>
              <w:rPr>
                <w:rFonts w:ascii="Arial" w:hAnsi="Arial" w:cs="Arial"/>
                <w:sz w:val="18"/>
                <w:szCs w:val="18"/>
              </w:rPr>
            </w:pPr>
            <w:r w:rsidRPr="00622C75">
              <w:rPr>
                <w:rFonts w:ascii="Arial" w:hAnsi="Arial" w:cs="Arial"/>
                <w:sz w:val="18"/>
                <w:szCs w:val="18"/>
              </w:rPr>
              <w:t>Mistrust rooted in prior discrimination and perceived institutional neglect.</w:t>
            </w:r>
          </w:p>
        </w:tc>
        <w:tc>
          <w:tcPr>
            <w:tcW w:w="1559" w:type="dxa"/>
          </w:tcPr>
          <w:p w14:paraId="6BD97318" w14:textId="77777777" w:rsidR="00BC4F99" w:rsidRPr="00622C75" w:rsidRDefault="00BC4F99" w:rsidP="00BC4F99">
            <w:pPr>
              <w:rPr>
                <w:rFonts w:ascii="Arial" w:hAnsi="Arial" w:cs="Arial"/>
                <w:sz w:val="18"/>
                <w:szCs w:val="18"/>
              </w:rPr>
            </w:pPr>
            <w:r w:rsidRPr="00622C75">
              <w:rPr>
                <w:rFonts w:ascii="Arial" w:hAnsi="Arial" w:cs="Arial"/>
                <w:sz w:val="18"/>
                <w:szCs w:val="18"/>
              </w:rPr>
              <w:t>Mistrust</w:t>
            </w:r>
            <w:r>
              <w:rPr>
                <w:rFonts w:ascii="Arial" w:hAnsi="Arial" w:cs="Arial"/>
                <w:sz w:val="18"/>
                <w:szCs w:val="18"/>
              </w:rPr>
              <w:t xml:space="preserve">, </w:t>
            </w:r>
            <w:r w:rsidRPr="00622C75">
              <w:rPr>
                <w:rFonts w:ascii="Arial" w:hAnsi="Arial" w:cs="Arial"/>
                <w:sz w:val="18"/>
                <w:szCs w:val="18"/>
              </w:rPr>
              <w:t>discrimination</w:t>
            </w:r>
            <w:r>
              <w:rPr>
                <w:rFonts w:ascii="Arial" w:hAnsi="Arial" w:cs="Arial"/>
                <w:sz w:val="18"/>
                <w:szCs w:val="18"/>
              </w:rPr>
              <w:t>,</w:t>
            </w:r>
            <w:r w:rsidRPr="00622C75">
              <w:rPr>
                <w:rFonts w:ascii="Arial" w:hAnsi="Arial" w:cs="Arial"/>
                <w:sz w:val="18"/>
                <w:szCs w:val="18"/>
              </w:rPr>
              <w:t xml:space="preserve"> </w:t>
            </w:r>
            <w:r>
              <w:rPr>
                <w:rFonts w:ascii="Arial" w:hAnsi="Arial" w:cs="Arial"/>
                <w:sz w:val="18"/>
                <w:szCs w:val="18"/>
              </w:rPr>
              <w:t xml:space="preserve">and </w:t>
            </w:r>
            <w:r w:rsidRPr="00622C75">
              <w:rPr>
                <w:rFonts w:ascii="Arial" w:hAnsi="Arial" w:cs="Arial"/>
                <w:sz w:val="18"/>
                <w:szCs w:val="18"/>
              </w:rPr>
              <w:t>exclusion</w:t>
            </w:r>
          </w:p>
        </w:tc>
        <w:tc>
          <w:tcPr>
            <w:tcW w:w="1843" w:type="dxa"/>
          </w:tcPr>
          <w:p w14:paraId="10214699" w14:textId="77777777" w:rsidR="00BC4F99" w:rsidRPr="00622C75" w:rsidRDefault="00BC4F99" w:rsidP="00BC4F99">
            <w:pPr>
              <w:rPr>
                <w:rFonts w:ascii="Arial" w:hAnsi="Arial" w:cs="Arial"/>
                <w:sz w:val="18"/>
                <w:szCs w:val="18"/>
              </w:rPr>
            </w:pPr>
            <w:r w:rsidRPr="00622C75">
              <w:rPr>
                <w:rFonts w:ascii="Arial" w:hAnsi="Arial" w:cs="Arial"/>
                <w:sz w:val="18"/>
                <w:szCs w:val="18"/>
              </w:rPr>
              <w:t>Central to Theme 2 (Mistrust and Inequalities)</w:t>
            </w:r>
            <w:r>
              <w:rPr>
                <w:rFonts w:ascii="Arial" w:hAnsi="Arial" w:cs="Arial"/>
                <w:sz w:val="18"/>
                <w:szCs w:val="18"/>
              </w:rPr>
              <w:t xml:space="preserve"> -</w:t>
            </w:r>
            <w:r w:rsidRPr="00622C75">
              <w:rPr>
                <w:rFonts w:ascii="Arial" w:hAnsi="Arial" w:cs="Arial"/>
                <w:sz w:val="18"/>
                <w:szCs w:val="18"/>
              </w:rPr>
              <w:t>informs analysis of structural barriers to trust in Chapter 4.</w:t>
            </w:r>
          </w:p>
        </w:tc>
      </w:tr>
      <w:tr w:rsidR="00BC4F99" w14:paraId="435D74D9" w14:textId="77777777" w:rsidTr="00BC4F99">
        <w:trPr>
          <w:trHeight w:val="610"/>
        </w:trPr>
        <w:tc>
          <w:tcPr>
            <w:tcW w:w="1129" w:type="dxa"/>
          </w:tcPr>
          <w:p w14:paraId="37F92A00" w14:textId="77777777" w:rsidR="00BC4F99" w:rsidRPr="00622C75" w:rsidRDefault="00BC4F99" w:rsidP="00BC4F99">
            <w:pPr>
              <w:rPr>
                <w:rFonts w:ascii="Arial" w:hAnsi="Arial" w:cs="Arial"/>
                <w:sz w:val="18"/>
                <w:szCs w:val="18"/>
              </w:rPr>
            </w:pPr>
            <w:r w:rsidRPr="00FC3245">
              <w:rPr>
                <w:rFonts w:ascii="Arial" w:hAnsi="Arial" w:cs="Arial"/>
                <w:sz w:val="18"/>
                <w:szCs w:val="18"/>
              </w:rPr>
              <w:t>Dosani et al. (2020)</w:t>
            </w:r>
          </w:p>
        </w:tc>
        <w:tc>
          <w:tcPr>
            <w:tcW w:w="1276" w:type="dxa"/>
          </w:tcPr>
          <w:p w14:paraId="6CCD0090" w14:textId="77777777" w:rsidR="00BC4F99" w:rsidRPr="003F45A0" w:rsidRDefault="00BC4F99" w:rsidP="00BC4F99">
            <w:pPr>
              <w:rPr>
                <w:rFonts w:ascii="Arial" w:hAnsi="Arial" w:cs="Arial"/>
                <w:sz w:val="18"/>
                <w:szCs w:val="18"/>
              </w:rPr>
            </w:pPr>
            <w:r w:rsidRPr="003F45A0">
              <w:rPr>
                <w:rFonts w:ascii="Arial" w:hAnsi="Arial" w:cs="Arial"/>
                <w:sz w:val="18"/>
                <w:szCs w:val="18"/>
              </w:rPr>
              <w:t>Faith and mistrust: End-of-life care among minority groups</w:t>
            </w:r>
          </w:p>
        </w:tc>
        <w:tc>
          <w:tcPr>
            <w:tcW w:w="1134" w:type="dxa"/>
          </w:tcPr>
          <w:p w14:paraId="0F9B87DB" w14:textId="77777777" w:rsidR="00BC4F99" w:rsidRPr="003F45A0" w:rsidRDefault="00BC4F99" w:rsidP="00BC4F99">
            <w:pPr>
              <w:rPr>
                <w:rFonts w:ascii="Arial" w:hAnsi="Arial" w:cs="Arial"/>
                <w:sz w:val="18"/>
                <w:szCs w:val="18"/>
              </w:rPr>
            </w:pPr>
            <w:r w:rsidRPr="003F45A0">
              <w:rPr>
                <w:rFonts w:ascii="Arial" w:hAnsi="Arial" w:cs="Arial"/>
                <w:sz w:val="18"/>
                <w:szCs w:val="18"/>
              </w:rPr>
              <w:t>Case study</w:t>
            </w:r>
          </w:p>
        </w:tc>
        <w:tc>
          <w:tcPr>
            <w:tcW w:w="1276" w:type="dxa"/>
          </w:tcPr>
          <w:p w14:paraId="5CB793A1" w14:textId="77777777" w:rsidR="00BC4F99" w:rsidRPr="003F45A0" w:rsidRDefault="00BC4F99" w:rsidP="00BC4F99">
            <w:pPr>
              <w:rPr>
                <w:rFonts w:ascii="Arial" w:hAnsi="Arial" w:cs="Arial"/>
                <w:sz w:val="18"/>
                <w:szCs w:val="18"/>
              </w:rPr>
            </w:pPr>
            <w:r w:rsidRPr="003F45A0">
              <w:rPr>
                <w:rFonts w:ascii="Arial" w:hAnsi="Arial" w:cs="Arial"/>
                <w:sz w:val="18"/>
                <w:szCs w:val="18"/>
              </w:rPr>
              <w:t>Interviews with patients, families, and faith leaders</w:t>
            </w:r>
          </w:p>
        </w:tc>
        <w:tc>
          <w:tcPr>
            <w:tcW w:w="1701" w:type="dxa"/>
          </w:tcPr>
          <w:p w14:paraId="09A774BD" w14:textId="77777777" w:rsidR="00BC4F99" w:rsidRPr="003F45A0" w:rsidRDefault="00BC4F99" w:rsidP="00BC4F99">
            <w:pPr>
              <w:rPr>
                <w:rFonts w:ascii="Arial" w:hAnsi="Arial" w:cs="Arial"/>
                <w:sz w:val="18"/>
                <w:szCs w:val="18"/>
              </w:rPr>
            </w:pPr>
            <w:r w:rsidRPr="003F45A0">
              <w:rPr>
                <w:rFonts w:ascii="Arial" w:hAnsi="Arial" w:cs="Arial"/>
                <w:sz w:val="18"/>
                <w:szCs w:val="18"/>
              </w:rPr>
              <w:t>Strength: inclusion of faith-based insight; Limitation: small-scale</w:t>
            </w:r>
          </w:p>
        </w:tc>
        <w:tc>
          <w:tcPr>
            <w:tcW w:w="1701" w:type="dxa"/>
          </w:tcPr>
          <w:p w14:paraId="783623B0" w14:textId="77777777" w:rsidR="00BC4F99" w:rsidRPr="003F45A0" w:rsidRDefault="00BC4F99" w:rsidP="00BC4F99">
            <w:pPr>
              <w:rPr>
                <w:rFonts w:ascii="Arial" w:hAnsi="Arial" w:cs="Arial"/>
                <w:sz w:val="18"/>
                <w:szCs w:val="18"/>
              </w:rPr>
            </w:pPr>
            <w:r w:rsidRPr="003F45A0">
              <w:rPr>
                <w:rFonts w:ascii="Arial" w:hAnsi="Arial" w:cs="Arial"/>
                <w:sz w:val="18"/>
                <w:szCs w:val="18"/>
              </w:rPr>
              <w:t>Minority families rely on religious networks due to limited trust in statutory care.</w:t>
            </w:r>
          </w:p>
        </w:tc>
        <w:tc>
          <w:tcPr>
            <w:tcW w:w="1559" w:type="dxa"/>
          </w:tcPr>
          <w:p w14:paraId="50041D82" w14:textId="77777777" w:rsidR="00BC4F99" w:rsidRPr="003F45A0" w:rsidRDefault="00BC4F99" w:rsidP="00BC4F99">
            <w:pPr>
              <w:rPr>
                <w:rFonts w:ascii="Arial" w:hAnsi="Arial" w:cs="Arial"/>
                <w:sz w:val="18"/>
                <w:szCs w:val="18"/>
              </w:rPr>
            </w:pPr>
            <w:r w:rsidRPr="003F45A0">
              <w:rPr>
                <w:rFonts w:ascii="Arial" w:hAnsi="Arial" w:cs="Arial"/>
                <w:sz w:val="18"/>
                <w:szCs w:val="18"/>
              </w:rPr>
              <w:t>Faith; cultural safety; equity</w:t>
            </w:r>
          </w:p>
        </w:tc>
        <w:tc>
          <w:tcPr>
            <w:tcW w:w="1843" w:type="dxa"/>
          </w:tcPr>
          <w:p w14:paraId="48ECE6C2" w14:textId="77777777" w:rsidR="00BC4F99" w:rsidRPr="003F45A0" w:rsidRDefault="00BC4F99" w:rsidP="00BC4F99">
            <w:pPr>
              <w:rPr>
                <w:rFonts w:ascii="Arial" w:hAnsi="Arial" w:cs="Arial"/>
                <w:sz w:val="18"/>
                <w:szCs w:val="18"/>
              </w:rPr>
            </w:pPr>
            <w:r w:rsidRPr="003F45A0">
              <w:rPr>
                <w:rFonts w:ascii="Arial" w:hAnsi="Arial" w:cs="Arial"/>
                <w:sz w:val="18"/>
                <w:szCs w:val="18"/>
              </w:rPr>
              <w:t>Strengthens Theme 2 discussion on faith-based support and alternative care reliance.</w:t>
            </w:r>
          </w:p>
        </w:tc>
      </w:tr>
      <w:tr w:rsidR="00BC4F99" w14:paraId="60F0D7AB" w14:textId="77777777" w:rsidTr="00BC4F99">
        <w:trPr>
          <w:trHeight w:val="610"/>
        </w:trPr>
        <w:tc>
          <w:tcPr>
            <w:tcW w:w="1129" w:type="dxa"/>
          </w:tcPr>
          <w:p w14:paraId="73587089" w14:textId="77777777" w:rsidR="00BC4F99" w:rsidRPr="000760CD" w:rsidRDefault="00BC4F99" w:rsidP="00BC4F99">
            <w:pPr>
              <w:rPr>
                <w:rFonts w:ascii="Arial" w:hAnsi="Arial" w:cs="Arial"/>
                <w:sz w:val="18"/>
                <w:szCs w:val="18"/>
              </w:rPr>
            </w:pPr>
            <w:proofErr w:type="spellStart"/>
            <w:r w:rsidRPr="000760CD">
              <w:rPr>
                <w:rFonts w:ascii="Arial" w:hAnsi="Arial" w:cs="Arial"/>
                <w:sz w:val="18"/>
                <w:szCs w:val="18"/>
              </w:rPr>
              <w:t>Etkind</w:t>
            </w:r>
            <w:proofErr w:type="spellEnd"/>
            <w:r w:rsidRPr="000760CD">
              <w:rPr>
                <w:rFonts w:ascii="Arial" w:hAnsi="Arial" w:cs="Arial"/>
                <w:sz w:val="18"/>
                <w:szCs w:val="18"/>
              </w:rPr>
              <w:t xml:space="preserve"> et al. (2017)</w:t>
            </w:r>
          </w:p>
        </w:tc>
        <w:tc>
          <w:tcPr>
            <w:tcW w:w="1276" w:type="dxa"/>
          </w:tcPr>
          <w:p w14:paraId="22E23175" w14:textId="77777777" w:rsidR="00BC4F99" w:rsidRPr="000760CD" w:rsidRDefault="00BC4F99" w:rsidP="00BC4F99">
            <w:pPr>
              <w:rPr>
                <w:rFonts w:ascii="Arial" w:hAnsi="Arial" w:cs="Arial"/>
                <w:sz w:val="18"/>
                <w:szCs w:val="18"/>
              </w:rPr>
            </w:pPr>
            <w:r w:rsidRPr="000760CD">
              <w:rPr>
                <w:rFonts w:ascii="Arial" w:hAnsi="Arial" w:cs="Arial"/>
                <w:sz w:val="18"/>
                <w:szCs w:val="18"/>
              </w:rPr>
              <w:t xml:space="preserve">Variation in access to palliative </w:t>
            </w:r>
            <w:r w:rsidRPr="000760CD">
              <w:rPr>
                <w:rFonts w:ascii="Arial" w:hAnsi="Arial" w:cs="Arial"/>
                <w:sz w:val="18"/>
                <w:szCs w:val="18"/>
              </w:rPr>
              <w:lastRenderedPageBreak/>
              <w:t>care services by ethnicity</w:t>
            </w:r>
          </w:p>
        </w:tc>
        <w:tc>
          <w:tcPr>
            <w:tcW w:w="1134" w:type="dxa"/>
          </w:tcPr>
          <w:p w14:paraId="5A900861" w14:textId="77777777" w:rsidR="00BC4F99" w:rsidRPr="000760CD" w:rsidRDefault="00BC4F99" w:rsidP="00BC4F99">
            <w:pPr>
              <w:rPr>
                <w:rFonts w:ascii="Arial" w:hAnsi="Arial" w:cs="Arial"/>
                <w:sz w:val="18"/>
                <w:szCs w:val="18"/>
              </w:rPr>
            </w:pPr>
            <w:r w:rsidRPr="000760CD">
              <w:rPr>
                <w:rFonts w:ascii="Arial" w:hAnsi="Arial" w:cs="Arial"/>
                <w:sz w:val="18"/>
                <w:szCs w:val="18"/>
              </w:rPr>
              <w:lastRenderedPageBreak/>
              <w:t>Quantitative</w:t>
            </w:r>
          </w:p>
        </w:tc>
        <w:tc>
          <w:tcPr>
            <w:tcW w:w="1276" w:type="dxa"/>
          </w:tcPr>
          <w:p w14:paraId="629E57E3" w14:textId="77777777" w:rsidR="00BC4F99" w:rsidRPr="000760CD" w:rsidRDefault="00BC4F99" w:rsidP="00BC4F99">
            <w:pPr>
              <w:rPr>
                <w:rFonts w:ascii="Arial" w:hAnsi="Arial" w:cs="Arial"/>
                <w:sz w:val="18"/>
                <w:szCs w:val="18"/>
              </w:rPr>
            </w:pPr>
            <w:r w:rsidRPr="000760CD">
              <w:rPr>
                <w:rFonts w:ascii="Arial" w:hAnsi="Arial" w:cs="Arial"/>
                <w:sz w:val="18"/>
                <w:szCs w:val="18"/>
              </w:rPr>
              <w:t xml:space="preserve">Secondary analysis of UK hospice </w:t>
            </w:r>
            <w:r w:rsidRPr="000760CD">
              <w:rPr>
                <w:rFonts w:ascii="Arial" w:hAnsi="Arial" w:cs="Arial"/>
                <w:sz w:val="18"/>
                <w:szCs w:val="18"/>
              </w:rPr>
              <w:lastRenderedPageBreak/>
              <w:t>utilisation data</w:t>
            </w:r>
          </w:p>
        </w:tc>
        <w:tc>
          <w:tcPr>
            <w:tcW w:w="1701" w:type="dxa"/>
          </w:tcPr>
          <w:p w14:paraId="6F9E99D2" w14:textId="77777777" w:rsidR="00BC4F99" w:rsidRPr="000760CD" w:rsidRDefault="00BC4F99" w:rsidP="00BC4F99">
            <w:pPr>
              <w:rPr>
                <w:rFonts w:ascii="Arial" w:hAnsi="Arial" w:cs="Arial"/>
                <w:sz w:val="18"/>
                <w:szCs w:val="18"/>
              </w:rPr>
            </w:pPr>
            <w:r w:rsidRPr="000760CD">
              <w:rPr>
                <w:rFonts w:ascii="Arial" w:hAnsi="Arial" w:cs="Arial"/>
                <w:sz w:val="18"/>
                <w:szCs w:val="18"/>
              </w:rPr>
              <w:lastRenderedPageBreak/>
              <w:t xml:space="preserve">Strength: large national sample; </w:t>
            </w:r>
            <w:proofErr w:type="gramStart"/>
            <w:r w:rsidRPr="000760CD">
              <w:rPr>
                <w:rFonts w:ascii="Arial" w:hAnsi="Arial" w:cs="Arial"/>
                <w:sz w:val="18"/>
                <w:szCs w:val="18"/>
              </w:rPr>
              <w:t>Limitation</w:t>
            </w:r>
            <w:r>
              <w:rPr>
                <w:rFonts w:ascii="Arial" w:hAnsi="Arial" w:cs="Arial"/>
                <w:sz w:val="18"/>
                <w:szCs w:val="18"/>
              </w:rPr>
              <w:t>:</w:t>
            </w:r>
            <w:proofErr w:type="gramEnd"/>
            <w:r w:rsidRPr="000760CD">
              <w:rPr>
                <w:rFonts w:ascii="Arial" w:hAnsi="Arial" w:cs="Arial"/>
                <w:sz w:val="18"/>
                <w:szCs w:val="18"/>
              </w:rPr>
              <w:t xml:space="preserve"> lacks </w:t>
            </w:r>
            <w:r>
              <w:rPr>
                <w:rFonts w:ascii="Arial" w:hAnsi="Arial" w:cs="Arial"/>
                <w:sz w:val="18"/>
                <w:szCs w:val="18"/>
              </w:rPr>
              <w:t xml:space="preserve">a </w:t>
            </w:r>
            <w:r w:rsidRPr="000760CD">
              <w:rPr>
                <w:rFonts w:ascii="Arial" w:hAnsi="Arial" w:cs="Arial"/>
                <w:sz w:val="18"/>
                <w:szCs w:val="18"/>
              </w:rPr>
              <w:lastRenderedPageBreak/>
              <w:t>qualitative perspective</w:t>
            </w:r>
          </w:p>
        </w:tc>
        <w:tc>
          <w:tcPr>
            <w:tcW w:w="1701" w:type="dxa"/>
          </w:tcPr>
          <w:p w14:paraId="327FFEE2" w14:textId="77777777" w:rsidR="00BC4F99" w:rsidRPr="000760CD" w:rsidRDefault="00BC4F99" w:rsidP="00BC4F99">
            <w:pPr>
              <w:rPr>
                <w:rFonts w:ascii="Arial" w:hAnsi="Arial" w:cs="Arial"/>
                <w:sz w:val="18"/>
                <w:szCs w:val="18"/>
              </w:rPr>
            </w:pPr>
            <w:r w:rsidRPr="000760CD">
              <w:rPr>
                <w:rFonts w:ascii="Arial" w:hAnsi="Arial" w:cs="Arial"/>
                <w:sz w:val="18"/>
                <w:szCs w:val="18"/>
              </w:rPr>
              <w:lastRenderedPageBreak/>
              <w:t xml:space="preserve">Minority ethnic groups </w:t>
            </w:r>
            <w:r>
              <w:rPr>
                <w:rFonts w:ascii="Arial" w:hAnsi="Arial" w:cs="Arial"/>
                <w:sz w:val="18"/>
                <w:szCs w:val="18"/>
              </w:rPr>
              <w:t xml:space="preserve">are </w:t>
            </w:r>
            <w:r w:rsidRPr="000760CD">
              <w:rPr>
                <w:rFonts w:ascii="Arial" w:hAnsi="Arial" w:cs="Arial"/>
                <w:sz w:val="18"/>
                <w:szCs w:val="18"/>
              </w:rPr>
              <w:t xml:space="preserve">underrepresented </w:t>
            </w:r>
            <w:r w:rsidRPr="000760CD">
              <w:rPr>
                <w:rFonts w:ascii="Arial" w:hAnsi="Arial" w:cs="Arial"/>
                <w:sz w:val="18"/>
                <w:szCs w:val="18"/>
              </w:rPr>
              <w:lastRenderedPageBreak/>
              <w:t xml:space="preserve">despite </w:t>
            </w:r>
            <w:r>
              <w:rPr>
                <w:rFonts w:ascii="Arial" w:hAnsi="Arial" w:cs="Arial"/>
                <w:sz w:val="18"/>
                <w:szCs w:val="18"/>
              </w:rPr>
              <w:t xml:space="preserve">a </w:t>
            </w:r>
            <w:r w:rsidRPr="000760CD">
              <w:rPr>
                <w:rFonts w:ascii="Arial" w:hAnsi="Arial" w:cs="Arial"/>
                <w:sz w:val="18"/>
                <w:szCs w:val="18"/>
              </w:rPr>
              <w:t>higher disease burden.</w:t>
            </w:r>
          </w:p>
        </w:tc>
        <w:tc>
          <w:tcPr>
            <w:tcW w:w="1559" w:type="dxa"/>
          </w:tcPr>
          <w:p w14:paraId="7361E5A9" w14:textId="77777777" w:rsidR="00BC4F99" w:rsidRPr="000760CD" w:rsidRDefault="00BC4F99" w:rsidP="00BC4F99">
            <w:pPr>
              <w:rPr>
                <w:rFonts w:ascii="Arial" w:hAnsi="Arial" w:cs="Arial"/>
                <w:sz w:val="18"/>
                <w:szCs w:val="18"/>
              </w:rPr>
            </w:pPr>
            <w:r w:rsidRPr="000760CD">
              <w:rPr>
                <w:rFonts w:ascii="Arial" w:hAnsi="Arial" w:cs="Arial"/>
                <w:sz w:val="18"/>
                <w:szCs w:val="18"/>
              </w:rPr>
              <w:lastRenderedPageBreak/>
              <w:t>Inequality; hospice access; ethnicity</w:t>
            </w:r>
          </w:p>
        </w:tc>
        <w:tc>
          <w:tcPr>
            <w:tcW w:w="1843" w:type="dxa"/>
          </w:tcPr>
          <w:p w14:paraId="0DB48221" w14:textId="77777777" w:rsidR="00BC4F99" w:rsidRPr="000760CD" w:rsidRDefault="00BC4F99" w:rsidP="00BC4F99">
            <w:pPr>
              <w:rPr>
                <w:rFonts w:ascii="Arial" w:hAnsi="Arial" w:cs="Arial"/>
                <w:sz w:val="18"/>
                <w:szCs w:val="18"/>
              </w:rPr>
            </w:pPr>
            <w:r w:rsidRPr="000760CD">
              <w:rPr>
                <w:rFonts w:ascii="Arial" w:hAnsi="Arial" w:cs="Arial"/>
                <w:sz w:val="18"/>
                <w:szCs w:val="18"/>
              </w:rPr>
              <w:t>Key quantitative support for Theme 2</w:t>
            </w:r>
            <w:r>
              <w:rPr>
                <w:rFonts w:ascii="Arial" w:hAnsi="Arial" w:cs="Arial"/>
                <w:sz w:val="18"/>
                <w:szCs w:val="18"/>
              </w:rPr>
              <w:t xml:space="preserve"> -</w:t>
            </w:r>
            <w:r w:rsidRPr="000760CD">
              <w:rPr>
                <w:rFonts w:ascii="Arial" w:hAnsi="Arial" w:cs="Arial"/>
                <w:sz w:val="18"/>
                <w:szCs w:val="18"/>
              </w:rPr>
              <w:t xml:space="preserve"> evidence </w:t>
            </w:r>
            <w:r>
              <w:rPr>
                <w:rFonts w:ascii="Arial" w:hAnsi="Arial" w:cs="Arial"/>
                <w:sz w:val="18"/>
                <w:szCs w:val="18"/>
              </w:rPr>
              <w:t xml:space="preserve">of </w:t>
            </w:r>
            <w:r w:rsidRPr="000760CD">
              <w:rPr>
                <w:rFonts w:ascii="Arial" w:hAnsi="Arial" w:cs="Arial"/>
                <w:sz w:val="18"/>
                <w:szCs w:val="18"/>
              </w:rPr>
              <w:t xml:space="preserve">statistical inequality </w:t>
            </w:r>
            <w:r w:rsidRPr="000760CD">
              <w:rPr>
                <w:rFonts w:ascii="Arial" w:hAnsi="Arial" w:cs="Arial"/>
                <w:sz w:val="18"/>
                <w:szCs w:val="18"/>
              </w:rPr>
              <w:lastRenderedPageBreak/>
              <w:t>in Chapter 4 findings.</w:t>
            </w:r>
          </w:p>
        </w:tc>
      </w:tr>
      <w:tr w:rsidR="00BC4F99" w14:paraId="297C086A" w14:textId="77777777" w:rsidTr="00BC4F99">
        <w:trPr>
          <w:trHeight w:val="610"/>
        </w:trPr>
        <w:tc>
          <w:tcPr>
            <w:tcW w:w="1129" w:type="dxa"/>
          </w:tcPr>
          <w:p w14:paraId="128EB75B" w14:textId="77777777" w:rsidR="00BC4F99" w:rsidRPr="00041EBE" w:rsidRDefault="00BC4F99" w:rsidP="00BC4F99">
            <w:pPr>
              <w:rPr>
                <w:rFonts w:ascii="Arial" w:hAnsi="Arial" w:cs="Arial"/>
                <w:sz w:val="18"/>
                <w:szCs w:val="18"/>
              </w:rPr>
            </w:pPr>
            <w:r w:rsidRPr="00041EBE">
              <w:rPr>
                <w:rFonts w:ascii="Arial" w:hAnsi="Arial" w:cs="Arial"/>
                <w:sz w:val="18"/>
                <w:szCs w:val="18"/>
              </w:rPr>
              <w:lastRenderedPageBreak/>
              <w:t>Papadopoulos (2006)</w:t>
            </w:r>
          </w:p>
        </w:tc>
        <w:tc>
          <w:tcPr>
            <w:tcW w:w="1276" w:type="dxa"/>
          </w:tcPr>
          <w:p w14:paraId="081CD7AF" w14:textId="77777777" w:rsidR="00BC4F99" w:rsidRPr="00041EBE" w:rsidRDefault="00BC4F99" w:rsidP="00BC4F99">
            <w:pPr>
              <w:rPr>
                <w:rFonts w:ascii="Arial" w:hAnsi="Arial" w:cs="Arial"/>
                <w:sz w:val="18"/>
                <w:szCs w:val="18"/>
              </w:rPr>
            </w:pPr>
            <w:r w:rsidRPr="00041EBE">
              <w:rPr>
                <w:rFonts w:ascii="Arial" w:hAnsi="Arial" w:cs="Arial"/>
                <w:sz w:val="18"/>
                <w:szCs w:val="18"/>
              </w:rPr>
              <w:t>The Papadopoulos Model of Cultural Competence</w:t>
            </w:r>
          </w:p>
        </w:tc>
        <w:tc>
          <w:tcPr>
            <w:tcW w:w="1134" w:type="dxa"/>
          </w:tcPr>
          <w:p w14:paraId="558AFBD6" w14:textId="77777777" w:rsidR="00BC4F99" w:rsidRPr="00041EBE" w:rsidRDefault="00BC4F99" w:rsidP="00BC4F99">
            <w:pPr>
              <w:rPr>
                <w:rFonts w:ascii="Arial" w:hAnsi="Arial" w:cs="Arial"/>
                <w:sz w:val="18"/>
                <w:szCs w:val="18"/>
              </w:rPr>
            </w:pPr>
            <w:r w:rsidRPr="00041EBE">
              <w:rPr>
                <w:rFonts w:ascii="Arial" w:hAnsi="Arial" w:cs="Arial"/>
                <w:sz w:val="18"/>
                <w:szCs w:val="18"/>
              </w:rPr>
              <w:t>Theoretical model</w:t>
            </w:r>
          </w:p>
        </w:tc>
        <w:tc>
          <w:tcPr>
            <w:tcW w:w="1276" w:type="dxa"/>
          </w:tcPr>
          <w:p w14:paraId="4FEC2179" w14:textId="77777777" w:rsidR="00BC4F99" w:rsidRPr="00041EBE" w:rsidRDefault="00BC4F99" w:rsidP="00BC4F99">
            <w:pPr>
              <w:rPr>
                <w:rFonts w:ascii="Arial" w:hAnsi="Arial" w:cs="Arial"/>
                <w:sz w:val="18"/>
                <w:szCs w:val="18"/>
              </w:rPr>
            </w:pPr>
            <w:r w:rsidRPr="00041EBE">
              <w:rPr>
                <w:rFonts w:ascii="Arial" w:hAnsi="Arial" w:cs="Arial"/>
                <w:sz w:val="18"/>
                <w:szCs w:val="18"/>
              </w:rPr>
              <w:t>Conceptual development (no sample)</w:t>
            </w:r>
          </w:p>
        </w:tc>
        <w:tc>
          <w:tcPr>
            <w:tcW w:w="1701" w:type="dxa"/>
          </w:tcPr>
          <w:p w14:paraId="30CD0BE7" w14:textId="77777777" w:rsidR="00BC4F99" w:rsidRPr="00041EBE" w:rsidRDefault="00BC4F99" w:rsidP="00BC4F99">
            <w:pPr>
              <w:rPr>
                <w:rFonts w:ascii="Arial" w:hAnsi="Arial" w:cs="Arial"/>
                <w:sz w:val="18"/>
                <w:szCs w:val="18"/>
              </w:rPr>
            </w:pPr>
            <w:r w:rsidRPr="00041EBE">
              <w:rPr>
                <w:rFonts w:ascii="Arial" w:hAnsi="Arial" w:cs="Arial"/>
                <w:sz w:val="18"/>
                <w:szCs w:val="18"/>
              </w:rPr>
              <w:t>Strength: comprehensive UK framework; Limitation: non-empirical</w:t>
            </w:r>
          </w:p>
        </w:tc>
        <w:tc>
          <w:tcPr>
            <w:tcW w:w="1701" w:type="dxa"/>
          </w:tcPr>
          <w:p w14:paraId="454E7ACE" w14:textId="77777777" w:rsidR="00BC4F99" w:rsidRPr="00041EBE" w:rsidRDefault="00BC4F99" w:rsidP="00BC4F99">
            <w:pPr>
              <w:rPr>
                <w:rFonts w:ascii="Arial" w:hAnsi="Arial" w:cs="Arial"/>
                <w:sz w:val="18"/>
                <w:szCs w:val="18"/>
              </w:rPr>
            </w:pPr>
            <w:r w:rsidRPr="00041EBE">
              <w:rPr>
                <w:rFonts w:ascii="Arial" w:hAnsi="Arial" w:cs="Arial"/>
                <w:sz w:val="18"/>
                <w:szCs w:val="18"/>
              </w:rPr>
              <w:t xml:space="preserve">Defines four pillars of cultural competence: awareness, knowledge, sensitivity, </w:t>
            </w:r>
            <w:r>
              <w:rPr>
                <w:rFonts w:ascii="Arial" w:hAnsi="Arial" w:cs="Arial"/>
                <w:sz w:val="18"/>
                <w:szCs w:val="18"/>
              </w:rPr>
              <w:t xml:space="preserve">and </w:t>
            </w:r>
            <w:r w:rsidRPr="00041EBE">
              <w:rPr>
                <w:rFonts w:ascii="Arial" w:hAnsi="Arial" w:cs="Arial"/>
                <w:sz w:val="18"/>
                <w:szCs w:val="18"/>
              </w:rPr>
              <w:t>competence.</w:t>
            </w:r>
          </w:p>
        </w:tc>
        <w:tc>
          <w:tcPr>
            <w:tcW w:w="1559" w:type="dxa"/>
          </w:tcPr>
          <w:p w14:paraId="6EC9FB2A" w14:textId="77777777" w:rsidR="00BC4F99" w:rsidRPr="00041EBE" w:rsidRDefault="00BC4F99" w:rsidP="00BC4F99">
            <w:pPr>
              <w:rPr>
                <w:rFonts w:ascii="Arial" w:hAnsi="Arial" w:cs="Arial"/>
                <w:sz w:val="18"/>
                <w:szCs w:val="18"/>
              </w:rPr>
            </w:pPr>
            <w:r w:rsidRPr="00041EBE">
              <w:rPr>
                <w:rFonts w:ascii="Arial" w:hAnsi="Arial" w:cs="Arial"/>
                <w:sz w:val="18"/>
                <w:szCs w:val="18"/>
              </w:rPr>
              <w:t>Cultural competence; theory; workforce</w:t>
            </w:r>
          </w:p>
        </w:tc>
        <w:tc>
          <w:tcPr>
            <w:tcW w:w="1843" w:type="dxa"/>
          </w:tcPr>
          <w:p w14:paraId="55B55B4A" w14:textId="77777777" w:rsidR="00BC4F99" w:rsidRPr="00041EBE" w:rsidRDefault="00BC4F99" w:rsidP="00BC4F99">
            <w:pPr>
              <w:rPr>
                <w:rFonts w:ascii="Arial" w:hAnsi="Arial" w:cs="Arial"/>
                <w:sz w:val="18"/>
                <w:szCs w:val="18"/>
              </w:rPr>
            </w:pPr>
            <w:r w:rsidRPr="00041EBE">
              <w:rPr>
                <w:rFonts w:ascii="Arial" w:hAnsi="Arial" w:cs="Arial"/>
                <w:sz w:val="18"/>
                <w:szCs w:val="18"/>
              </w:rPr>
              <w:t>Core framework for Theme 3 (Workforce Training and Cultural Competence)</w:t>
            </w:r>
            <w:r>
              <w:rPr>
                <w:rFonts w:ascii="Arial" w:hAnsi="Arial" w:cs="Arial"/>
                <w:sz w:val="18"/>
                <w:szCs w:val="18"/>
              </w:rPr>
              <w:t xml:space="preserve"> - </w:t>
            </w:r>
            <w:r w:rsidRPr="00041EBE">
              <w:rPr>
                <w:rFonts w:ascii="Arial" w:hAnsi="Arial" w:cs="Arial"/>
                <w:sz w:val="18"/>
                <w:szCs w:val="18"/>
              </w:rPr>
              <w:t xml:space="preserve"> forms </w:t>
            </w:r>
            <w:r>
              <w:rPr>
                <w:rFonts w:ascii="Arial" w:hAnsi="Arial" w:cs="Arial"/>
                <w:sz w:val="18"/>
                <w:szCs w:val="18"/>
              </w:rPr>
              <w:t xml:space="preserve">the </w:t>
            </w:r>
            <w:r w:rsidRPr="00041EBE">
              <w:rPr>
                <w:rFonts w:ascii="Arial" w:hAnsi="Arial" w:cs="Arial"/>
                <w:sz w:val="18"/>
                <w:szCs w:val="18"/>
              </w:rPr>
              <w:t>basis for theoretical application.</w:t>
            </w:r>
          </w:p>
        </w:tc>
      </w:tr>
      <w:tr w:rsidR="00BC4F99" w14:paraId="2AF95C75" w14:textId="77777777" w:rsidTr="00BC4F99">
        <w:trPr>
          <w:trHeight w:val="642"/>
        </w:trPr>
        <w:tc>
          <w:tcPr>
            <w:tcW w:w="1129" w:type="dxa"/>
          </w:tcPr>
          <w:p w14:paraId="165B9EE1" w14:textId="77777777" w:rsidR="00BC4F99" w:rsidRPr="002B3541" w:rsidRDefault="00BC4F99" w:rsidP="00BC4F99">
            <w:pPr>
              <w:rPr>
                <w:rFonts w:ascii="Arial" w:hAnsi="Arial" w:cs="Arial"/>
                <w:sz w:val="18"/>
                <w:szCs w:val="18"/>
              </w:rPr>
            </w:pPr>
            <w:proofErr w:type="spellStart"/>
            <w:r w:rsidRPr="002B3541">
              <w:rPr>
                <w:rFonts w:ascii="Arial" w:hAnsi="Arial" w:cs="Arial"/>
                <w:sz w:val="18"/>
                <w:szCs w:val="18"/>
              </w:rPr>
              <w:t>Tervalon</w:t>
            </w:r>
            <w:proofErr w:type="spellEnd"/>
            <w:r w:rsidRPr="002B3541">
              <w:rPr>
                <w:rFonts w:ascii="Arial" w:hAnsi="Arial" w:cs="Arial"/>
                <w:sz w:val="18"/>
                <w:szCs w:val="18"/>
              </w:rPr>
              <w:t xml:space="preserve"> &amp; Murray-García (1998)</w:t>
            </w:r>
          </w:p>
        </w:tc>
        <w:tc>
          <w:tcPr>
            <w:tcW w:w="1276" w:type="dxa"/>
          </w:tcPr>
          <w:p w14:paraId="53EAE572" w14:textId="77777777" w:rsidR="00BC4F99" w:rsidRPr="002B3541" w:rsidRDefault="00BC4F99" w:rsidP="00BC4F99">
            <w:pPr>
              <w:rPr>
                <w:rFonts w:ascii="Arial" w:hAnsi="Arial" w:cs="Arial"/>
                <w:sz w:val="18"/>
                <w:szCs w:val="18"/>
              </w:rPr>
            </w:pPr>
            <w:r w:rsidRPr="002B3541">
              <w:rPr>
                <w:rFonts w:ascii="Arial" w:hAnsi="Arial" w:cs="Arial"/>
                <w:sz w:val="18"/>
                <w:szCs w:val="18"/>
              </w:rPr>
              <w:t>Cultural humility versus cultural competence: a critical distinction</w:t>
            </w:r>
          </w:p>
        </w:tc>
        <w:tc>
          <w:tcPr>
            <w:tcW w:w="1134" w:type="dxa"/>
          </w:tcPr>
          <w:p w14:paraId="757119BB" w14:textId="77777777" w:rsidR="00BC4F99" w:rsidRPr="00A153D7" w:rsidRDefault="00BC4F99" w:rsidP="00BC4F99">
            <w:pPr>
              <w:rPr>
                <w:rFonts w:ascii="Arial" w:hAnsi="Arial" w:cs="Arial"/>
                <w:sz w:val="18"/>
                <w:szCs w:val="18"/>
              </w:rPr>
            </w:pPr>
            <w:r w:rsidRPr="00A153D7">
              <w:rPr>
                <w:rFonts w:ascii="Arial" w:hAnsi="Arial" w:cs="Arial"/>
                <w:sz w:val="18"/>
                <w:szCs w:val="18"/>
              </w:rPr>
              <w:t>Theoretical paper</w:t>
            </w:r>
          </w:p>
        </w:tc>
        <w:tc>
          <w:tcPr>
            <w:tcW w:w="1276" w:type="dxa"/>
          </w:tcPr>
          <w:p w14:paraId="0EF51A8A" w14:textId="77777777" w:rsidR="00BC4F99" w:rsidRPr="0001017B" w:rsidRDefault="00BC4F99" w:rsidP="00BC4F99">
            <w:pPr>
              <w:rPr>
                <w:rFonts w:ascii="Arial" w:hAnsi="Arial" w:cs="Arial"/>
                <w:sz w:val="18"/>
                <w:szCs w:val="18"/>
              </w:rPr>
            </w:pPr>
            <w:r w:rsidRPr="0001017B">
              <w:rPr>
                <w:rFonts w:ascii="Arial" w:hAnsi="Arial" w:cs="Arial"/>
                <w:sz w:val="18"/>
                <w:szCs w:val="18"/>
              </w:rPr>
              <w:t>Conceptual exploration (no sample)</w:t>
            </w:r>
          </w:p>
        </w:tc>
        <w:tc>
          <w:tcPr>
            <w:tcW w:w="1701" w:type="dxa"/>
          </w:tcPr>
          <w:p w14:paraId="6C07E07E" w14:textId="77777777" w:rsidR="00BC4F99" w:rsidRPr="0001017B" w:rsidRDefault="00BC4F99" w:rsidP="00BC4F99">
            <w:pPr>
              <w:rPr>
                <w:rFonts w:ascii="Arial" w:hAnsi="Arial" w:cs="Arial"/>
                <w:sz w:val="18"/>
                <w:szCs w:val="18"/>
              </w:rPr>
            </w:pPr>
            <w:r w:rsidRPr="0001017B">
              <w:rPr>
                <w:rFonts w:ascii="Arial" w:hAnsi="Arial" w:cs="Arial"/>
                <w:sz w:val="18"/>
                <w:szCs w:val="18"/>
              </w:rPr>
              <w:t xml:space="preserve">Strength: introduces reflective practice; </w:t>
            </w:r>
            <w:proofErr w:type="gramStart"/>
            <w:r w:rsidRPr="0001017B">
              <w:rPr>
                <w:rFonts w:ascii="Arial" w:hAnsi="Arial" w:cs="Arial"/>
                <w:sz w:val="18"/>
                <w:szCs w:val="18"/>
              </w:rPr>
              <w:t>Limitation:</w:t>
            </w:r>
            <w:proofErr w:type="gramEnd"/>
            <w:r w:rsidRPr="0001017B">
              <w:rPr>
                <w:rFonts w:ascii="Arial" w:hAnsi="Arial" w:cs="Arial"/>
                <w:sz w:val="18"/>
                <w:szCs w:val="18"/>
              </w:rPr>
              <w:t xml:space="preserve"> lacks empirical testing</w:t>
            </w:r>
          </w:p>
        </w:tc>
        <w:tc>
          <w:tcPr>
            <w:tcW w:w="1701" w:type="dxa"/>
          </w:tcPr>
          <w:p w14:paraId="053C431B" w14:textId="77777777" w:rsidR="00BC4F99" w:rsidRPr="00ED1700" w:rsidRDefault="00BC4F99" w:rsidP="00BC4F99">
            <w:pPr>
              <w:rPr>
                <w:rFonts w:ascii="Arial" w:hAnsi="Arial" w:cs="Arial"/>
                <w:sz w:val="18"/>
                <w:szCs w:val="18"/>
              </w:rPr>
            </w:pPr>
            <w:r w:rsidRPr="00ED1700">
              <w:rPr>
                <w:rFonts w:ascii="Arial" w:hAnsi="Arial" w:cs="Arial"/>
                <w:sz w:val="18"/>
                <w:szCs w:val="18"/>
              </w:rPr>
              <w:t>Advocates continuous self-reflection and humility over fixed cultural knowledge.</w:t>
            </w:r>
          </w:p>
        </w:tc>
        <w:tc>
          <w:tcPr>
            <w:tcW w:w="1559" w:type="dxa"/>
          </w:tcPr>
          <w:p w14:paraId="73E703B3" w14:textId="77777777" w:rsidR="00BC4F99" w:rsidRPr="00ED1700" w:rsidRDefault="00BC4F99" w:rsidP="00BC4F99">
            <w:pPr>
              <w:rPr>
                <w:rFonts w:ascii="Arial" w:hAnsi="Arial" w:cs="Arial"/>
                <w:sz w:val="18"/>
                <w:szCs w:val="18"/>
              </w:rPr>
            </w:pPr>
            <w:r w:rsidRPr="00ED1700">
              <w:rPr>
                <w:rFonts w:ascii="Arial" w:hAnsi="Arial" w:cs="Arial"/>
                <w:sz w:val="18"/>
                <w:szCs w:val="18"/>
              </w:rPr>
              <w:t>Cultural humility; reflection; ethics</w:t>
            </w:r>
          </w:p>
        </w:tc>
        <w:tc>
          <w:tcPr>
            <w:tcW w:w="1843" w:type="dxa"/>
          </w:tcPr>
          <w:p w14:paraId="0085E045" w14:textId="77777777" w:rsidR="00BC4F99" w:rsidRPr="00ED1700" w:rsidRDefault="00BC4F99" w:rsidP="00BC4F99">
            <w:pPr>
              <w:rPr>
                <w:rFonts w:ascii="Arial" w:hAnsi="Arial" w:cs="Arial"/>
                <w:sz w:val="18"/>
                <w:szCs w:val="18"/>
              </w:rPr>
            </w:pPr>
            <w:r w:rsidRPr="00ED1700">
              <w:rPr>
                <w:rFonts w:ascii="Arial" w:hAnsi="Arial" w:cs="Arial"/>
                <w:sz w:val="18"/>
                <w:szCs w:val="18"/>
              </w:rPr>
              <w:t>Theoretical underpinning for Theme 3</w:t>
            </w:r>
            <w:r>
              <w:rPr>
                <w:rFonts w:ascii="Arial" w:hAnsi="Arial" w:cs="Arial"/>
                <w:sz w:val="18"/>
                <w:szCs w:val="18"/>
              </w:rPr>
              <w:t>,</w:t>
            </w:r>
            <w:r w:rsidRPr="00ED1700">
              <w:rPr>
                <w:rFonts w:ascii="Arial" w:hAnsi="Arial" w:cs="Arial"/>
                <w:sz w:val="18"/>
                <w:szCs w:val="18"/>
              </w:rPr>
              <w:t xml:space="preserve"> supports reflective training models in Chapter 4.</w:t>
            </w:r>
          </w:p>
        </w:tc>
      </w:tr>
      <w:tr w:rsidR="00BC4F99" w14:paraId="645C3041" w14:textId="77777777" w:rsidTr="00BC4F99">
        <w:trPr>
          <w:trHeight w:val="610"/>
        </w:trPr>
        <w:tc>
          <w:tcPr>
            <w:tcW w:w="1129" w:type="dxa"/>
          </w:tcPr>
          <w:p w14:paraId="3B5CC07C" w14:textId="77777777" w:rsidR="00BC4F99" w:rsidRPr="001D52AF" w:rsidRDefault="00BC4F99" w:rsidP="00BC4F99">
            <w:pPr>
              <w:rPr>
                <w:rFonts w:ascii="Arial" w:hAnsi="Arial" w:cs="Arial"/>
                <w:sz w:val="18"/>
                <w:szCs w:val="18"/>
              </w:rPr>
            </w:pPr>
            <w:proofErr w:type="spellStart"/>
            <w:r w:rsidRPr="00BD07D0">
              <w:rPr>
                <w:rFonts w:ascii="Arial" w:hAnsi="Arial" w:cs="Arial"/>
                <w:sz w:val="18"/>
                <w:szCs w:val="18"/>
              </w:rPr>
              <w:t>Kaihlanen</w:t>
            </w:r>
            <w:proofErr w:type="spellEnd"/>
            <w:r w:rsidRPr="00BD07D0">
              <w:rPr>
                <w:rFonts w:ascii="Arial" w:hAnsi="Arial" w:cs="Arial"/>
                <w:sz w:val="18"/>
                <w:szCs w:val="18"/>
              </w:rPr>
              <w:t xml:space="preserve"> et al. (2019)</w:t>
            </w:r>
          </w:p>
        </w:tc>
        <w:tc>
          <w:tcPr>
            <w:tcW w:w="1276" w:type="dxa"/>
          </w:tcPr>
          <w:p w14:paraId="70511B11" w14:textId="77777777" w:rsidR="00BC4F99" w:rsidRPr="00FE5A13" w:rsidRDefault="00BC4F99" w:rsidP="00BC4F99">
            <w:pPr>
              <w:rPr>
                <w:rFonts w:ascii="Arial" w:hAnsi="Arial" w:cs="Arial"/>
                <w:sz w:val="18"/>
                <w:szCs w:val="18"/>
              </w:rPr>
            </w:pPr>
            <w:r w:rsidRPr="00FE5A13">
              <w:rPr>
                <w:rFonts w:ascii="Arial" w:hAnsi="Arial" w:cs="Arial"/>
                <w:sz w:val="18"/>
                <w:szCs w:val="18"/>
              </w:rPr>
              <w:t>Promoting cultural competence in healthcare: A systematic review</w:t>
            </w:r>
          </w:p>
        </w:tc>
        <w:tc>
          <w:tcPr>
            <w:tcW w:w="1134" w:type="dxa"/>
          </w:tcPr>
          <w:p w14:paraId="72883E61" w14:textId="77777777" w:rsidR="00BC4F99" w:rsidRPr="00FE5A13" w:rsidRDefault="00BC4F99" w:rsidP="00BC4F99">
            <w:pPr>
              <w:rPr>
                <w:rFonts w:ascii="Arial" w:hAnsi="Arial" w:cs="Arial"/>
                <w:sz w:val="18"/>
                <w:szCs w:val="18"/>
              </w:rPr>
            </w:pPr>
            <w:r w:rsidRPr="00FE5A13">
              <w:rPr>
                <w:rFonts w:ascii="Arial" w:hAnsi="Arial" w:cs="Arial"/>
                <w:sz w:val="18"/>
                <w:szCs w:val="18"/>
              </w:rPr>
              <w:t>Systematic review</w:t>
            </w:r>
          </w:p>
        </w:tc>
        <w:tc>
          <w:tcPr>
            <w:tcW w:w="1276" w:type="dxa"/>
          </w:tcPr>
          <w:p w14:paraId="6FCDFBF5" w14:textId="77777777" w:rsidR="00BC4F99" w:rsidRPr="00FE5A13" w:rsidRDefault="00BC4F99" w:rsidP="00BC4F99">
            <w:pPr>
              <w:rPr>
                <w:rFonts w:ascii="Arial" w:hAnsi="Arial" w:cs="Arial"/>
                <w:sz w:val="18"/>
                <w:szCs w:val="18"/>
              </w:rPr>
            </w:pPr>
            <w:r w:rsidRPr="00FE5A13">
              <w:rPr>
                <w:rFonts w:ascii="Arial" w:hAnsi="Arial" w:cs="Arial"/>
                <w:sz w:val="18"/>
                <w:szCs w:val="18"/>
              </w:rPr>
              <w:t>Review of 25 international studies</w:t>
            </w:r>
          </w:p>
        </w:tc>
        <w:tc>
          <w:tcPr>
            <w:tcW w:w="1701" w:type="dxa"/>
          </w:tcPr>
          <w:p w14:paraId="4C47D56C" w14:textId="77777777" w:rsidR="00BC4F99" w:rsidRPr="00FE5A13" w:rsidRDefault="00BC4F99" w:rsidP="00BC4F99">
            <w:pPr>
              <w:rPr>
                <w:rFonts w:ascii="Arial" w:hAnsi="Arial" w:cs="Arial"/>
                <w:sz w:val="18"/>
                <w:szCs w:val="18"/>
              </w:rPr>
            </w:pPr>
            <w:r w:rsidRPr="00FE5A13">
              <w:rPr>
                <w:rFonts w:ascii="Arial" w:hAnsi="Arial" w:cs="Arial"/>
                <w:sz w:val="18"/>
                <w:szCs w:val="18"/>
              </w:rPr>
              <w:t>Strength: global perspective; Limitation: mixed quality of included studies</w:t>
            </w:r>
          </w:p>
        </w:tc>
        <w:tc>
          <w:tcPr>
            <w:tcW w:w="1701" w:type="dxa"/>
          </w:tcPr>
          <w:p w14:paraId="7AD36DF7" w14:textId="77777777" w:rsidR="00BC4F99" w:rsidRPr="00FE5A13" w:rsidRDefault="00BC4F99" w:rsidP="00BC4F99">
            <w:pPr>
              <w:rPr>
                <w:rFonts w:ascii="Arial" w:hAnsi="Arial" w:cs="Arial"/>
                <w:sz w:val="18"/>
                <w:szCs w:val="18"/>
              </w:rPr>
            </w:pPr>
            <w:r w:rsidRPr="00FE5A13">
              <w:rPr>
                <w:rFonts w:ascii="Arial" w:hAnsi="Arial" w:cs="Arial"/>
                <w:sz w:val="18"/>
                <w:szCs w:val="18"/>
              </w:rPr>
              <w:t>Found training improves confidence</w:t>
            </w:r>
            <w:r>
              <w:rPr>
                <w:rFonts w:ascii="Arial" w:hAnsi="Arial" w:cs="Arial"/>
                <w:sz w:val="18"/>
                <w:szCs w:val="18"/>
              </w:rPr>
              <w:t xml:space="preserve"> but</w:t>
            </w:r>
            <w:r w:rsidRPr="00FE5A13">
              <w:rPr>
                <w:rFonts w:ascii="Arial" w:hAnsi="Arial" w:cs="Arial"/>
                <w:sz w:val="18"/>
                <w:szCs w:val="18"/>
              </w:rPr>
              <w:t xml:space="preserve"> must be sustained and reflective.</w:t>
            </w:r>
          </w:p>
        </w:tc>
        <w:tc>
          <w:tcPr>
            <w:tcW w:w="1559" w:type="dxa"/>
          </w:tcPr>
          <w:p w14:paraId="1C2EA5DA" w14:textId="77777777" w:rsidR="00BC4F99" w:rsidRPr="00FE5A13" w:rsidRDefault="00BC4F99" w:rsidP="00BC4F99">
            <w:pPr>
              <w:rPr>
                <w:rFonts w:ascii="Arial" w:hAnsi="Arial" w:cs="Arial"/>
                <w:sz w:val="18"/>
                <w:szCs w:val="18"/>
              </w:rPr>
            </w:pPr>
            <w:r w:rsidRPr="00FE5A13">
              <w:rPr>
                <w:rFonts w:ascii="Arial" w:hAnsi="Arial" w:cs="Arial"/>
                <w:sz w:val="18"/>
                <w:szCs w:val="18"/>
              </w:rPr>
              <w:t>Workforce training</w:t>
            </w:r>
            <w:r>
              <w:rPr>
                <w:rFonts w:ascii="Arial" w:hAnsi="Arial" w:cs="Arial"/>
                <w:sz w:val="18"/>
                <w:szCs w:val="18"/>
              </w:rPr>
              <w:t>,</w:t>
            </w:r>
            <w:r w:rsidRPr="00FE5A13">
              <w:rPr>
                <w:rFonts w:ascii="Arial" w:hAnsi="Arial" w:cs="Arial"/>
                <w:sz w:val="18"/>
                <w:szCs w:val="18"/>
              </w:rPr>
              <w:t xml:space="preserve"> reflection</w:t>
            </w:r>
            <w:r>
              <w:rPr>
                <w:rFonts w:ascii="Arial" w:hAnsi="Arial" w:cs="Arial"/>
                <w:sz w:val="18"/>
                <w:szCs w:val="18"/>
              </w:rPr>
              <w:t xml:space="preserve"> and </w:t>
            </w:r>
            <w:r w:rsidRPr="00FE5A13">
              <w:rPr>
                <w:rFonts w:ascii="Arial" w:hAnsi="Arial" w:cs="Arial"/>
                <w:sz w:val="18"/>
                <w:szCs w:val="18"/>
              </w:rPr>
              <w:t>diversity</w:t>
            </w:r>
          </w:p>
        </w:tc>
        <w:tc>
          <w:tcPr>
            <w:tcW w:w="1843" w:type="dxa"/>
          </w:tcPr>
          <w:p w14:paraId="449D5F42" w14:textId="77777777" w:rsidR="00BC4F99" w:rsidRPr="00FE5A13" w:rsidRDefault="00BC4F99" w:rsidP="00BC4F99">
            <w:pPr>
              <w:rPr>
                <w:rFonts w:ascii="Arial" w:hAnsi="Arial" w:cs="Arial"/>
                <w:sz w:val="18"/>
                <w:szCs w:val="18"/>
              </w:rPr>
            </w:pPr>
            <w:r w:rsidRPr="00FE5A13">
              <w:rPr>
                <w:rFonts w:ascii="Arial" w:hAnsi="Arial" w:cs="Arial"/>
                <w:sz w:val="18"/>
                <w:szCs w:val="18"/>
              </w:rPr>
              <w:t>Informs Theme 3, linking evidence-based training to improved patient outcomes.</w:t>
            </w:r>
          </w:p>
        </w:tc>
      </w:tr>
      <w:tr w:rsidR="00BC4F99" w14:paraId="3807D091" w14:textId="77777777" w:rsidTr="00BC4F99">
        <w:trPr>
          <w:trHeight w:val="610"/>
        </w:trPr>
        <w:tc>
          <w:tcPr>
            <w:tcW w:w="1129" w:type="dxa"/>
          </w:tcPr>
          <w:p w14:paraId="3FB4202E" w14:textId="77777777" w:rsidR="00BC4F99" w:rsidRPr="00BB1BA2" w:rsidRDefault="00BC4F99" w:rsidP="00BC4F99">
            <w:pPr>
              <w:rPr>
                <w:rFonts w:ascii="Arial" w:hAnsi="Arial" w:cs="Arial"/>
                <w:sz w:val="18"/>
                <w:szCs w:val="18"/>
              </w:rPr>
            </w:pPr>
            <w:r w:rsidRPr="00BB1BA2">
              <w:rPr>
                <w:rFonts w:ascii="Arial" w:hAnsi="Arial" w:cs="Arial"/>
                <w:sz w:val="18"/>
                <w:szCs w:val="18"/>
              </w:rPr>
              <w:t>NHS England (2021)</w:t>
            </w:r>
          </w:p>
        </w:tc>
        <w:tc>
          <w:tcPr>
            <w:tcW w:w="1276" w:type="dxa"/>
          </w:tcPr>
          <w:p w14:paraId="7C435422" w14:textId="77777777" w:rsidR="00BC4F99" w:rsidRPr="00BB1BA2" w:rsidRDefault="00BC4F99" w:rsidP="00BC4F99">
            <w:pPr>
              <w:rPr>
                <w:rFonts w:ascii="Arial" w:hAnsi="Arial" w:cs="Arial"/>
                <w:sz w:val="18"/>
                <w:szCs w:val="18"/>
              </w:rPr>
            </w:pPr>
            <w:r w:rsidRPr="00BB1BA2">
              <w:rPr>
                <w:rFonts w:ascii="Arial" w:hAnsi="Arial" w:cs="Arial"/>
                <w:sz w:val="18"/>
                <w:szCs w:val="18"/>
              </w:rPr>
              <w:t>Workforce Race Equality Standard (WRES) Report</w:t>
            </w:r>
          </w:p>
        </w:tc>
        <w:tc>
          <w:tcPr>
            <w:tcW w:w="1134" w:type="dxa"/>
          </w:tcPr>
          <w:p w14:paraId="3DFF8ADF" w14:textId="77777777" w:rsidR="00BC4F99" w:rsidRPr="00BB1BA2" w:rsidRDefault="00BC4F99" w:rsidP="00BC4F99">
            <w:pPr>
              <w:rPr>
                <w:rFonts w:ascii="Arial" w:hAnsi="Arial" w:cs="Arial"/>
                <w:sz w:val="18"/>
                <w:szCs w:val="18"/>
              </w:rPr>
            </w:pPr>
            <w:r w:rsidRPr="00BB1BA2">
              <w:rPr>
                <w:rFonts w:ascii="Arial" w:hAnsi="Arial" w:cs="Arial"/>
                <w:sz w:val="18"/>
                <w:szCs w:val="18"/>
              </w:rPr>
              <w:t>Policy analysis</w:t>
            </w:r>
          </w:p>
        </w:tc>
        <w:tc>
          <w:tcPr>
            <w:tcW w:w="1276" w:type="dxa"/>
          </w:tcPr>
          <w:p w14:paraId="0F7F63DB" w14:textId="77777777" w:rsidR="00BC4F99" w:rsidRPr="00BB1BA2" w:rsidRDefault="00BC4F99" w:rsidP="00BC4F99">
            <w:pPr>
              <w:rPr>
                <w:rFonts w:ascii="Arial" w:hAnsi="Arial" w:cs="Arial"/>
                <w:sz w:val="18"/>
                <w:szCs w:val="18"/>
              </w:rPr>
            </w:pPr>
            <w:r w:rsidRPr="00BB1BA2">
              <w:rPr>
                <w:rFonts w:ascii="Arial" w:hAnsi="Arial" w:cs="Arial"/>
                <w:sz w:val="18"/>
                <w:szCs w:val="18"/>
              </w:rPr>
              <w:t>Review of NHS workforce data (national)</w:t>
            </w:r>
          </w:p>
        </w:tc>
        <w:tc>
          <w:tcPr>
            <w:tcW w:w="1701" w:type="dxa"/>
          </w:tcPr>
          <w:p w14:paraId="2526900B" w14:textId="77777777" w:rsidR="00BC4F99" w:rsidRPr="00BB1BA2" w:rsidRDefault="00BC4F99" w:rsidP="00BC4F99">
            <w:pPr>
              <w:rPr>
                <w:rFonts w:ascii="Arial" w:hAnsi="Arial" w:cs="Arial"/>
                <w:sz w:val="18"/>
                <w:szCs w:val="18"/>
              </w:rPr>
            </w:pPr>
            <w:r w:rsidRPr="00BB1BA2">
              <w:rPr>
                <w:rFonts w:ascii="Arial" w:hAnsi="Arial" w:cs="Arial"/>
                <w:sz w:val="18"/>
                <w:szCs w:val="18"/>
              </w:rPr>
              <w:t>Strength: large national scope; Limitation: no qualitative insight</w:t>
            </w:r>
            <w:r>
              <w:rPr>
                <w:rFonts w:ascii="Arial" w:hAnsi="Arial" w:cs="Arial"/>
                <w:sz w:val="18"/>
                <w:szCs w:val="18"/>
              </w:rPr>
              <w:t>.</w:t>
            </w:r>
          </w:p>
        </w:tc>
        <w:tc>
          <w:tcPr>
            <w:tcW w:w="1701" w:type="dxa"/>
          </w:tcPr>
          <w:p w14:paraId="5370B469" w14:textId="77777777" w:rsidR="00BC4F99" w:rsidRPr="00BB1BA2" w:rsidRDefault="00BC4F99" w:rsidP="00BC4F99">
            <w:pPr>
              <w:rPr>
                <w:rFonts w:ascii="Arial" w:hAnsi="Arial" w:cs="Arial"/>
                <w:sz w:val="18"/>
                <w:szCs w:val="18"/>
              </w:rPr>
            </w:pPr>
            <w:r w:rsidRPr="00BB1BA2">
              <w:rPr>
                <w:rFonts w:ascii="Arial" w:hAnsi="Arial" w:cs="Arial"/>
                <w:sz w:val="18"/>
                <w:szCs w:val="18"/>
              </w:rPr>
              <w:t>Ethnic minority staff underrepresented in leadership and report higher discrimination rates.</w:t>
            </w:r>
          </w:p>
        </w:tc>
        <w:tc>
          <w:tcPr>
            <w:tcW w:w="1559" w:type="dxa"/>
          </w:tcPr>
          <w:p w14:paraId="25C605C0" w14:textId="77777777" w:rsidR="00BC4F99" w:rsidRPr="00BB1BA2" w:rsidRDefault="00BC4F99" w:rsidP="00BC4F99">
            <w:pPr>
              <w:rPr>
                <w:rFonts w:ascii="Arial" w:hAnsi="Arial" w:cs="Arial"/>
                <w:sz w:val="18"/>
                <w:szCs w:val="18"/>
              </w:rPr>
            </w:pPr>
            <w:r w:rsidRPr="00BB1BA2">
              <w:rPr>
                <w:rFonts w:ascii="Arial" w:hAnsi="Arial" w:cs="Arial"/>
                <w:sz w:val="18"/>
                <w:szCs w:val="18"/>
              </w:rPr>
              <w:t>Workforce equity, leadership and diversity.</w:t>
            </w:r>
          </w:p>
        </w:tc>
        <w:tc>
          <w:tcPr>
            <w:tcW w:w="1843" w:type="dxa"/>
          </w:tcPr>
          <w:p w14:paraId="38D755EA" w14:textId="77777777" w:rsidR="00BC4F99" w:rsidRPr="00BB1BA2" w:rsidRDefault="00BC4F99" w:rsidP="00BC4F99">
            <w:pPr>
              <w:rPr>
                <w:rFonts w:ascii="Arial" w:hAnsi="Arial" w:cs="Arial"/>
                <w:sz w:val="18"/>
                <w:szCs w:val="18"/>
              </w:rPr>
            </w:pPr>
            <w:r w:rsidRPr="00BB1BA2">
              <w:rPr>
                <w:rFonts w:ascii="Arial" w:hAnsi="Arial" w:cs="Arial"/>
                <w:sz w:val="18"/>
                <w:szCs w:val="18"/>
              </w:rPr>
              <w:t>Contextualises Theme 3 - connects workforce diversity to service user trust in Chapter 4.</w:t>
            </w:r>
          </w:p>
        </w:tc>
      </w:tr>
      <w:tr w:rsidR="00BC4F99" w14:paraId="74200795" w14:textId="77777777" w:rsidTr="00BC4F99">
        <w:trPr>
          <w:trHeight w:val="610"/>
        </w:trPr>
        <w:tc>
          <w:tcPr>
            <w:tcW w:w="1129" w:type="dxa"/>
          </w:tcPr>
          <w:p w14:paraId="1ED92D5C" w14:textId="77777777" w:rsidR="00BC4F99" w:rsidRPr="00FE7B1C" w:rsidRDefault="00BC4F99" w:rsidP="00BC4F99">
            <w:pPr>
              <w:rPr>
                <w:rFonts w:ascii="Arial" w:hAnsi="Arial" w:cs="Arial"/>
                <w:sz w:val="18"/>
                <w:szCs w:val="18"/>
              </w:rPr>
            </w:pPr>
            <w:r w:rsidRPr="00FE7B1C">
              <w:rPr>
                <w:rFonts w:ascii="Arial" w:hAnsi="Arial" w:cs="Arial"/>
                <w:sz w:val="18"/>
                <w:szCs w:val="18"/>
              </w:rPr>
              <w:t>Hospice UK (2021)</w:t>
            </w:r>
          </w:p>
        </w:tc>
        <w:tc>
          <w:tcPr>
            <w:tcW w:w="1276" w:type="dxa"/>
          </w:tcPr>
          <w:p w14:paraId="0CADDE5E" w14:textId="77777777" w:rsidR="00BC4F99" w:rsidRPr="00FE7B1C" w:rsidRDefault="00BC4F99" w:rsidP="00BC4F99">
            <w:pPr>
              <w:rPr>
                <w:rFonts w:ascii="Arial" w:hAnsi="Arial" w:cs="Arial"/>
                <w:sz w:val="18"/>
                <w:szCs w:val="18"/>
              </w:rPr>
            </w:pPr>
            <w:r w:rsidRPr="00FE7B1C">
              <w:rPr>
                <w:rFonts w:ascii="Arial" w:hAnsi="Arial" w:cs="Arial"/>
                <w:sz w:val="18"/>
                <w:szCs w:val="18"/>
              </w:rPr>
              <w:t>Equity in Hospice Care: Breaking Down Barriers Project</w:t>
            </w:r>
          </w:p>
        </w:tc>
        <w:tc>
          <w:tcPr>
            <w:tcW w:w="1134" w:type="dxa"/>
          </w:tcPr>
          <w:p w14:paraId="05387B9E" w14:textId="77777777" w:rsidR="00BC4F99" w:rsidRPr="00FE7B1C" w:rsidRDefault="00BC4F99" w:rsidP="00BC4F99">
            <w:pPr>
              <w:rPr>
                <w:rFonts w:ascii="Arial" w:hAnsi="Arial" w:cs="Arial"/>
                <w:sz w:val="18"/>
                <w:szCs w:val="18"/>
              </w:rPr>
            </w:pPr>
            <w:r w:rsidRPr="00FE7B1C">
              <w:rPr>
                <w:rFonts w:ascii="Arial" w:hAnsi="Arial" w:cs="Arial"/>
                <w:sz w:val="18"/>
                <w:szCs w:val="18"/>
              </w:rPr>
              <w:t>Evaluation study</w:t>
            </w:r>
          </w:p>
        </w:tc>
        <w:tc>
          <w:tcPr>
            <w:tcW w:w="1276" w:type="dxa"/>
          </w:tcPr>
          <w:p w14:paraId="62EB0A1A" w14:textId="77777777" w:rsidR="00BC4F99" w:rsidRPr="00FE7B1C" w:rsidRDefault="00BC4F99" w:rsidP="00BC4F99">
            <w:pPr>
              <w:rPr>
                <w:rFonts w:ascii="Arial" w:hAnsi="Arial" w:cs="Arial"/>
                <w:sz w:val="18"/>
                <w:szCs w:val="18"/>
              </w:rPr>
            </w:pPr>
            <w:r w:rsidRPr="00FE7B1C">
              <w:rPr>
                <w:rFonts w:ascii="Arial" w:hAnsi="Arial" w:cs="Arial"/>
                <w:sz w:val="18"/>
                <w:szCs w:val="18"/>
              </w:rPr>
              <w:t>Mixed methods; multi-site community partnership</w:t>
            </w:r>
          </w:p>
        </w:tc>
        <w:tc>
          <w:tcPr>
            <w:tcW w:w="1701" w:type="dxa"/>
          </w:tcPr>
          <w:p w14:paraId="6DEF8001" w14:textId="77777777" w:rsidR="00BC4F99" w:rsidRPr="00FE7B1C" w:rsidRDefault="00BC4F99" w:rsidP="00BC4F99">
            <w:pPr>
              <w:rPr>
                <w:rFonts w:ascii="Arial" w:hAnsi="Arial" w:cs="Arial"/>
                <w:sz w:val="18"/>
                <w:szCs w:val="18"/>
              </w:rPr>
            </w:pPr>
            <w:r w:rsidRPr="00FE7B1C">
              <w:rPr>
                <w:rFonts w:ascii="Arial" w:hAnsi="Arial" w:cs="Arial"/>
                <w:sz w:val="18"/>
                <w:szCs w:val="18"/>
              </w:rPr>
              <w:t>Strength: real-world intervention data; Limitation: short-term pilot funding</w:t>
            </w:r>
          </w:p>
        </w:tc>
        <w:tc>
          <w:tcPr>
            <w:tcW w:w="1701" w:type="dxa"/>
          </w:tcPr>
          <w:p w14:paraId="180E8A2C" w14:textId="77777777" w:rsidR="00BC4F99" w:rsidRPr="00FE7B1C" w:rsidRDefault="00BC4F99" w:rsidP="00BC4F99">
            <w:pPr>
              <w:rPr>
                <w:rFonts w:ascii="Arial" w:hAnsi="Arial" w:cs="Arial"/>
                <w:sz w:val="18"/>
                <w:szCs w:val="18"/>
              </w:rPr>
            </w:pPr>
            <w:r w:rsidRPr="00FE7B1C">
              <w:rPr>
                <w:rFonts w:ascii="Arial" w:hAnsi="Arial" w:cs="Arial"/>
                <w:sz w:val="18"/>
                <w:szCs w:val="18"/>
              </w:rPr>
              <w:t>Co-designed community engagement improved trust and service uptake.</w:t>
            </w:r>
          </w:p>
        </w:tc>
        <w:tc>
          <w:tcPr>
            <w:tcW w:w="1559" w:type="dxa"/>
          </w:tcPr>
          <w:p w14:paraId="00D76B5E" w14:textId="77777777" w:rsidR="00BC4F99" w:rsidRPr="00FE7B1C" w:rsidRDefault="00BC4F99" w:rsidP="00BC4F99">
            <w:pPr>
              <w:rPr>
                <w:rFonts w:ascii="Arial" w:hAnsi="Arial" w:cs="Arial"/>
                <w:sz w:val="18"/>
                <w:szCs w:val="18"/>
              </w:rPr>
            </w:pPr>
            <w:r w:rsidRPr="00FE7B1C">
              <w:rPr>
                <w:rFonts w:ascii="Arial" w:hAnsi="Arial" w:cs="Arial"/>
                <w:sz w:val="18"/>
                <w:szCs w:val="18"/>
              </w:rPr>
              <w:t>Outreach; inclusion; equity</w:t>
            </w:r>
          </w:p>
        </w:tc>
        <w:tc>
          <w:tcPr>
            <w:tcW w:w="1843" w:type="dxa"/>
          </w:tcPr>
          <w:p w14:paraId="633E9D29" w14:textId="77777777" w:rsidR="00BC4F99" w:rsidRPr="00FE7B1C" w:rsidRDefault="00BC4F99" w:rsidP="00BC4F99">
            <w:pPr>
              <w:rPr>
                <w:rFonts w:ascii="Arial" w:hAnsi="Arial" w:cs="Arial"/>
                <w:sz w:val="18"/>
                <w:szCs w:val="18"/>
              </w:rPr>
            </w:pPr>
            <w:r w:rsidRPr="00FE7B1C">
              <w:rPr>
                <w:rFonts w:ascii="Arial" w:hAnsi="Arial" w:cs="Arial"/>
                <w:sz w:val="18"/>
                <w:szCs w:val="18"/>
              </w:rPr>
              <w:t>Practical evidence supporting Themes 2 &amp; 3, used in Chapter 4 case study analysis.</w:t>
            </w:r>
          </w:p>
        </w:tc>
      </w:tr>
    </w:tbl>
    <w:p w14:paraId="320C80BC" w14:textId="77777777" w:rsidR="000321D4" w:rsidRDefault="000321D4" w:rsidP="000321D4"/>
    <w:p w14:paraId="24B387C9" w14:textId="77777777" w:rsidR="000321D4" w:rsidRDefault="000321D4" w:rsidP="000321D4"/>
    <w:p w14:paraId="166CFB8B" w14:textId="77777777" w:rsidR="000321D4" w:rsidRDefault="000321D4" w:rsidP="000321D4">
      <w:pPr>
        <w:jc w:val="right"/>
      </w:pPr>
    </w:p>
    <w:p w14:paraId="20FFC34B" w14:textId="77777777" w:rsidR="00C205B7" w:rsidRDefault="00C205B7" w:rsidP="00621776">
      <w:pPr>
        <w:pStyle w:val="Heading1"/>
        <w:ind w:left="0"/>
        <w:rPr>
          <w:rFonts w:ascii="Aptos" w:hAnsi="Aptos"/>
          <w:sz w:val="28"/>
          <w:szCs w:val="28"/>
        </w:rPr>
      </w:pPr>
    </w:p>
    <w:p w14:paraId="020975DD" w14:textId="3F6BAE05" w:rsidR="00621776" w:rsidRPr="003F54EA" w:rsidRDefault="00621776" w:rsidP="00621776">
      <w:pPr>
        <w:pStyle w:val="Heading1"/>
        <w:ind w:left="0"/>
        <w:rPr>
          <w:rFonts w:cs="Arial"/>
          <w:u w:val="single"/>
        </w:rPr>
      </w:pPr>
      <w:r w:rsidRPr="003F54EA">
        <w:rPr>
          <w:rFonts w:cs="Arial"/>
          <w:u w:val="single"/>
        </w:rPr>
        <w:lastRenderedPageBreak/>
        <w:t xml:space="preserve">6.1 – References </w:t>
      </w:r>
    </w:p>
    <w:p w14:paraId="020B130C" w14:textId="77777777" w:rsidR="00F02727" w:rsidRDefault="00F02727" w:rsidP="00621776"/>
    <w:p w14:paraId="60F53788" w14:textId="69225879" w:rsidR="003F54EA" w:rsidRPr="003F54EA" w:rsidRDefault="003F54EA" w:rsidP="003F54EA">
      <w:pPr>
        <w:rPr>
          <w:rFonts w:ascii="Arial" w:hAnsi="Arial" w:cs="Arial"/>
        </w:rPr>
      </w:pPr>
      <w:r w:rsidRPr="003F54EA">
        <w:rPr>
          <w:rFonts w:ascii="Arial" w:hAnsi="Arial" w:cs="Arial"/>
        </w:rPr>
        <w:t>1.</w:t>
      </w:r>
      <w:r>
        <w:rPr>
          <w:rFonts w:ascii="Arial" w:hAnsi="Arial" w:cs="Arial"/>
        </w:rPr>
        <w:t xml:space="preserve"> </w:t>
      </w:r>
      <w:r w:rsidRPr="003F54EA">
        <w:rPr>
          <w:rFonts w:ascii="Arial" w:hAnsi="Arial" w:cs="Arial"/>
        </w:rPr>
        <w:t xml:space="preserve">Ali, P.A. and Watson, R. (2018) </w:t>
      </w:r>
      <w:r w:rsidRPr="003F54EA">
        <w:rPr>
          <w:rFonts w:ascii="Arial" w:hAnsi="Arial" w:cs="Arial"/>
          <w:i/>
          <w:iCs/>
        </w:rPr>
        <w:t>Language barriers and their impact on provision of care to patients with limited English proficiency: Nurses’ perspectives</w:t>
      </w:r>
      <w:r w:rsidRPr="003F54EA">
        <w:rPr>
          <w:rFonts w:ascii="Arial" w:hAnsi="Arial" w:cs="Arial"/>
        </w:rPr>
        <w:t xml:space="preserve">. Journal of Clinical Nursing, 27(5-6), pp.1152–1160. </w:t>
      </w:r>
      <w:r>
        <w:rPr>
          <w:rFonts w:ascii="Arial" w:hAnsi="Arial" w:cs="Arial"/>
        </w:rPr>
        <w:t xml:space="preserve">Available at: </w:t>
      </w:r>
      <w:proofErr w:type="spellStart"/>
      <w:r w:rsidRPr="003F54EA">
        <w:rPr>
          <w:rFonts w:ascii="Arial" w:hAnsi="Arial" w:cs="Arial"/>
        </w:rPr>
        <w:t>doi:https</w:t>
      </w:r>
      <w:proofErr w:type="spellEnd"/>
      <w:r w:rsidRPr="003F54EA">
        <w:rPr>
          <w:rFonts w:ascii="Arial" w:hAnsi="Arial" w:cs="Arial"/>
        </w:rPr>
        <w:t>://doi.org/10.1111/jocn.14204.</w:t>
      </w:r>
    </w:p>
    <w:p w14:paraId="1BCDF55E" w14:textId="323BA3D5" w:rsidR="003F54EA" w:rsidRPr="003F54EA" w:rsidRDefault="003F54EA" w:rsidP="003F54EA">
      <w:pPr>
        <w:rPr>
          <w:rFonts w:ascii="Arial" w:hAnsi="Arial" w:cs="Arial"/>
        </w:rPr>
      </w:pPr>
      <w:r w:rsidRPr="003F54EA">
        <w:rPr>
          <w:rFonts w:ascii="Arial" w:hAnsi="Arial" w:cs="Arial"/>
        </w:rPr>
        <w:t>2.</w:t>
      </w:r>
      <w:r>
        <w:rPr>
          <w:rFonts w:ascii="Arial" w:hAnsi="Arial" w:cs="Arial"/>
        </w:rPr>
        <w:t xml:space="preserve"> </w:t>
      </w:r>
      <w:r w:rsidRPr="003F54EA">
        <w:rPr>
          <w:rFonts w:ascii="Arial" w:hAnsi="Arial" w:cs="Arial"/>
        </w:rPr>
        <w:t xml:space="preserve">Aveyard, H. (2018) </w:t>
      </w:r>
      <w:r w:rsidRPr="003F54EA">
        <w:rPr>
          <w:rFonts w:ascii="Arial" w:hAnsi="Arial" w:cs="Arial"/>
          <w:i/>
          <w:iCs/>
        </w:rPr>
        <w:t>Doing a Literature Review in Health and Social Care: A Practical Guide</w:t>
      </w:r>
      <w:r w:rsidRPr="003F54EA">
        <w:rPr>
          <w:rFonts w:ascii="Arial" w:hAnsi="Arial" w:cs="Arial"/>
        </w:rPr>
        <w:t xml:space="preserve">. Google Books. McGraw-Hill Education (UK). Available at: </w:t>
      </w:r>
      <w:hyperlink r:id="rId10" w:history="1">
        <w:r w:rsidRPr="000E15AD">
          <w:rPr>
            <w:rStyle w:val="Hyperlink"/>
            <w:rFonts w:ascii="Arial" w:hAnsi="Arial" w:cs="Arial"/>
          </w:rPr>
          <w:t>https://books.google.co.uk/books/about/Doing_a_Literature_Review_in_Health_and.html?id=o8gvEAAAQBAJ&amp;redir_esc=y</w:t>
        </w:r>
      </w:hyperlink>
      <w:r w:rsidRPr="003F54EA">
        <w:rPr>
          <w:rFonts w:ascii="Arial" w:hAnsi="Arial" w:cs="Arial"/>
        </w:rPr>
        <w:t>.</w:t>
      </w:r>
      <w:r>
        <w:rPr>
          <w:rFonts w:ascii="Arial" w:hAnsi="Arial" w:cs="Arial"/>
        </w:rPr>
        <w:t xml:space="preserve"> </w:t>
      </w:r>
      <w:r w:rsidRPr="003F54EA">
        <w:rPr>
          <w:rFonts w:ascii="Arial" w:hAnsi="Arial" w:cs="Arial"/>
        </w:rPr>
        <w:t>(Accessed</w:t>
      </w:r>
      <w:r>
        <w:rPr>
          <w:rFonts w:ascii="Arial" w:hAnsi="Arial" w:cs="Arial"/>
        </w:rPr>
        <w:t>:</w:t>
      </w:r>
      <w:r w:rsidRPr="003F54EA">
        <w:rPr>
          <w:rFonts w:ascii="Arial" w:hAnsi="Arial" w:cs="Arial"/>
        </w:rPr>
        <w:t xml:space="preserve"> 16 September 2025).</w:t>
      </w:r>
    </w:p>
    <w:p w14:paraId="73ECEE60" w14:textId="020BCCF9" w:rsidR="003F54EA" w:rsidRDefault="003F54EA" w:rsidP="003F54EA">
      <w:pPr>
        <w:rPr>
          <w:rFonts w:ascii="Arial" w:hAnsi="Arial" w:cs="Arial"/>
        </w:rPr>
      </w:pPr>
      <w:r w:rsidRPr="003F54EA">
        <w:rPr>
          <w:rFonts w:ascii="Arial" w:hAnsi="Arial" w:cs="Arial"/>
        </w:rPr>
        <w:t>3.</w:t>
      </w:r>
      <w:r>
        <w:rPr>
          <w:rFonts w:ascii="Arial" w:hAnsi="Arial" w:cs="Arial"/>
        </w:rPr>
        <w:t xml:space="preserve"> </w:t>
      </w:r>
      <w:r w:rsidRPr="003F54EA">
        <w:rPr>
          <w:rFonts w:ascii="Arial" w:hAnsi="Arial" w:cs="Arial"/>
        </w:rPr>
        <w:t xml:space="preserve">Baker, P. and Eversley, J. (2000) </w:t>
      </w:r>
      <w:r w:rsidRPr="003F54EA">
        <w:rPr>
          <w:rFonts w:ascii="Arial" w:hAnsi="Arial" w:cs="Arial"/>
          <w:i/>
          <w:iCs/>
        </w:rPr>
        <w:t xml:space="preserve">Multilingual capital: the languages of London’s schoolchildren and their relevance to economic, </w:t>
      </w:r>
      <w:proofErr w:type="spellStart"/>
      <w:r w:rsidRPr="003F54EA">
        <w:rPr>
          <w:rFonts w:ascii="Arial" w:hAnsi="Arial" w:cs="Arial"/>
          <w:i/>
          <w:iCs/>
        </w:rPr>
        <w:t>socal</w:t>
      </w:r>
      <w:proofErr w:type="spellEnd"/>
      <w:r w:rsidRPr="003F54EA">
        <w:rPr>
          <w:rFonts w:ascii="Arial" w:hAnsi="Arial" w:cs="Arial"/>
          <w:i/>
          <w:iCs/>
        </w:rPr>
        <w:t xml:space="preserve"> and educational policies. westminsterresearch</w:t>
      </w:r>
      <w:r w:rsidRPr="003F54EA">
        <w:rPr>
          <w:rFonts w:ascii="Arial" w:hAnsi="Arial" w:cs="Arial"/>
        </w:rPr>
        <w:t xml:space="preserve">.westminster.ac.uk. London, UK: </w:t>
      </w:r>
      <w:proofErr w:type="spellStart"/>
      <w:r w:rsidRPr="003F54EA">
        <w:rPr>
          <w:rFonts w:ascii="Arial" w:hAnsi="Arial" w:cs="Arial"/>
        </w:rPr>
        <w:t>Battlebridge</w:t>
      </w:r>
      <w:proofErr w:type="spellEnd"/>
      <w:r w:rsidRPr="003F54EA">
        <w:rPr>
          <w:rFonts w:ascii="Arial" w:hAnsi="Arial" w:cs="Arial"/>
        </w:rPr>
        <w:t xml:space="preserve">. Available at: </w:t>
      </w:r>
      <w:hyperlink r:id="rId11" w:history="1">
        <w:r w:rsidRPr="000E15AD">
          <w:rPr>
            <w:rStyle w:val="Hyperlink"/>
            <w:rFonts w:ascii="Arial" w:hAnsi="Arial" w:cs="Arial"/>
          </w:rPr>
          <w:t>https://westminsterresearch.westminster.ac.uk/item/943y0/multilingual-capital-the-languages-of-london-s-schoolchildren-and-their-relevance-to-economic-socal-and-educational-policies</w:t>
        </w:r>
      </w:hyperlink>
      <w:r w:rsidRPr="003F54EA">
        <w:rPr>
          <w:rFonts w:ascii="Arial" w:hAnsi="Arial" w:cs="Arial"/>
        </w:rPr>
        <w:t>.</w:t>
      </w:r>
      <w:r>
        <w:rPr>
          <w:rFonts w:ascii="Arial" w:hAnsi="Arial" w:cs="Arial"/>
        </w:rPr>
        <w:t xml:space="preserve"> (Accessed: 1 November 2025)</w:t>
      </w:r>
    </w:p>
    <w:p w14:paraId="031937FE" w14:textId="34E53DAC" w:rsidR="003F54EA" w:rsidRPr="003F54EA" w:rsidRDefault="003F54EA" w:rsidP="003F54EA">
      <w:pPr>
        <w:rPr>
          <w:rFonts w:ascii="Arial" w:hAnsi="Arial" w:cs="Arial"/>
        </w:rPr>
      </w:pPr>
      <w:r w:rsidRPr="003F54EA">
        <w:rPr>
          <w:rFonts w:ascii="Arial" w:hAnsi="Arial" w:cs="Arial"/>
        </w:rPr>
        <w:t>4.</w:t>
      </w:r>
      <w:r>
        <w:rPr>
          <w:rFonts w:ascii="Arial" w:hAnsi="Arial" w:cs="Arial"/>
        </w:rPr>
        <w:t xml:space="preserve"> </w:t>
      </w:r>
      <w:r w:rsidRPr="003F54EA">
        <w:rPr>
          <w:rFonts w:ascii="Arial" w:hAnsi="Arial" w:cs="Arial"/>
        </w:rPr>
        <w:t xml:space="preserve">Betancourt, J.R., Green, A.R., Carrillo, </w:t>
      </w:r>
      <w:proofErr w:type="spellStart"/>
      <w:r w:rsidRPr="003F54EA">
        <w:rPr>
          <w:rFonts w:ascii="Arial" w:hAnsi="Arial" w:cs="Arial"/>
        </w:rPr>
        <w:t>J.Emilio</w:t>
      </w:r>
      <w:proofErr w:type="spellEnd"/>
      <w:r w:rsidRPr="003F54EA">
        <w:rPr>
          <w:rFonts w:ascii="Arial" w:hAnsi="Arial" w:cs="Arial"/>
        </w:rPr>
        <w:t xml:space="preserve">. and </w:t>
      </w:r>
      <w:proofErr w:type="spellStart"/>
      <w:r w:rsidRPr="003F54EA">
        <w:rPr>
          <w:rFonts w:ascii="Arial" w:hAnsi="Arial" w:cs="Arial"/>
        </w:rPr>
        <w:t>Ananeh-Firempong</w:t>
      </w:r>
      <w:proofErr w:type="spellEnd"/>
      <w:r w:rsidRPr="003F54EA">
        <w:rPr>
          <w:rFonts w:ascii="Arial" w:hAnsi="Arial" w:cs="Arial"/>
        </w:rPr>
        <w:t xml:space="preserve">, O. (2003) </w:t>
      </w:r>
      <w:r w:rsidRPr="003F54EA">
        <w:rPr>
          <w:rFonts w:ascii="Arial" w:hAnsi="Arial" w:cs="Arial"/>
          <w:i/>
          <w:iCs/>
        </w:rPr>
        <w:t>Defining cultural competence: A practical framework for addressing racial/ethnic disparities in health and health care. Public Health Reports,</w:t>
      </w:r>
      <w:r w:rsidRPr="003F54EA">
        <w:rPr>
          <w:rFonts w:ascii="Arial" w:hAnsi="Arial" w:cs="Arial"/>
        </w:rPr>
        <w:t xml:space="preserve"> 118(4), pp.293–302. Available at: </w:t>
      </w:r>
      <w:proofErr w:type="spellStart"/>
      <w:r w:rsidRPr="003F54EA">
        <w:rPr>
          <w:rFonts w:ascii="Arial" w:hAnsi="Arial" w:cs="Arial"/>
        </w:rPr>
        <w:t>doi:https</w:t>
      </w:r>
      <w:proofErr w:type="spellEnd"/>
      <w:r w:rsidRPr="003F54EA">
        <w:rPr>
          <w:rFonts w:ascii="Arial" w:hAnsi="Arial" w:cs="Arial"/>
        </w:rPr>
        <w:t xml:space="preserve">://doi.org/10.1016/s0033-3549(04)50253-4. </w:t>
      </w:r>
    </w:p>
    <w:p w14:paraId="2308173B" w14:textId="6D64A385" w:rsidR="003F54EA" w:rsidRPr="003F54EA" w:rsidRDefault="003F54EA" w:rsidP="003F54EA">
      <w:pPr>
        <w:rPr>
          <w:rFonts w:ascii="Arial" w:hAnsi="Arial" w:cs="Arial"/>
        </w:rPr>
      </w:pPr>
      <w:r w:rsidRPr="003F54EA">
        <w:rPr>
          <w:rFonts w:ascii="Arial" w:hAnsi="Arial" w:cs="Arial"/>
        </w:rPr>
        <w:t>5.</w:t>
      </w:r>
      <w:r>
        <w:rPr>
          <w:rFonts w:ascii="Arial" w:hAnsi="Arial" w:cs="Arial"/>
        </w:rPr>
        <w:t xml:space="preserve"> </w:t>
      </w:r>
      <w:proofErr w:type="spellStart"/>
      <w:r w:rsidRPr="003F54EA">
        <w:rPr>
          <w:rFonts w:ascii="Arial" w:hAnsi="Arial" w:cs="Arial"/>
        </w:rPr>
        <w:t>Bhui</w:t>
      </w:r>
      <w:proofErr w:type="spellEnd"/>
      <w:r w:rsidRPr="003F54EA">
        <w:rPr>
          <w:rFonts w:ascii="Arial" w:hAnsi="Arial" w:cs="Arial"/>
        </w:rPr>
        <w:t xml:space="preserve">, K., Warfa, N., </w:t>
      </w:r>
      <w:proofErr w:type="spellStart"/>
      <w:r w:rsidRPr="003F54EA">
        <w:rPr>
          <w:rFonts w:ascii="Arial" w:hAnsi="Arial" w:cs="Arial"/>
        </w:rPr>
        <w:t>Edonya</w:t>
      </w:r>
      <w:proofErr w:type="spellEnd"/>
      <w:r w:rsidRPr="003F54EA">
        <w:rPr>
          <w:rFonts w:ascii="Arial" w:hAnsi="Arial" w:cs="Arial"/>
        </w:rPr>
        <w:t xml:space="preserve">, P., McKenzie, K. and Bhugra, D. (2007) </w:t>
      </w:r>
      <w:r w:rsidRPr="003F54EA">
        <w:rPr>
          <w:rFonts w:ascii="Arial" w:hAnsi="Arial" w:cs="Arial"/>
          <w:i/>
          <w:iCs/>
        </w:rPr>
        <w:t>Cultural competence in mental health care: a review of model evaluations</w:t>
      </w:r>
      <w:r w:rsidRPr="003F54EA">
        <w:rPr>
          <w:rFonts w:ascii="Arial" w:hAnsi="Arial" w:cs="Arial"/>
        </w:rPr>
        <w:t xml:space="preserve">. BMC Health Services Research, 7(1). Available at: </w:t>
      </w:r>
      <w:proofErr w:type="spellStart"/>
      <w:r w:rsidRPr="003F54EA">
        <w:rPr>
          <w:rFonts w:ascii="Arial" w:hAnsi="Arial" w:cs="Arial"/>
        </w:rPr>
        <w:t>doi:https</w:t>
      </w:r>
      <w:proofErr w:type="spellEnd"/>
      <w:r w:rsidRPr="003F54EA">
        <w:rPr>
          <w:rFonts w:ascii="Arial" w:hAnsi="Arial" w:cs="Arial"/>
        </w:rPr>
        <w:t>://doi.org/10.1186/1472-6963-7-15.</w:t>
      </w:r>
    </w:p>
    <w:p w14:paraId="4957FBDB" w14:textId="752CBD7F" w:rsidR="003F54EA" w:rsidRPr="003F54EA" w:rsidRDefault="003F54EA" w:rsidP="003F54EA">
      <w:pPr>
        <w:rPr>
          <w:rFonts w:ascii="Arial" w:hAnsi="Arial" w:cs="Arial"/>
        </w:rPr>
      </w:pPr>
      <w:r w:rsidRPr="003F54EA">
        <w:rPr>
          <w:rFonts w:ascii="Arial" w:hAnsi="Arial" w:cs="Arial"/>
        </w:rPr>
        <w:t>6.</w:t>
      </w:r>
      <w:r>
        <w:rPr>
          <w:rFonts w:ascii="Arial" w:hAnsi="Arial" w:cs="Arial"/>
        </w:rPr>
        <w:t xml:space="preserve"> </w:t>
      </w:r>
      <w:r w:rsidRPr="003F54EA">
        <w:rPr>
          <w:rFonts w:ascii="Arial" w:hAnsi="Arial" w:cs="Arial"/>
        </w:rPr>
        <w:t xml:space="preserve">Booth, A., Papaioannou, D. and Sutton, A. (2016) </w:t>
      </w:r>
      <w:r w:rsidRPr="003F54EA">
        <w:rPr>
          <w:rFonts w:ascii="Arial" w:hAnsi="Arial" w:cs="Arial"/>
          <w:i/>
          <w:iCs/>
        </w:rPr>
        <w:t>Systematic Approaches to a Successful Literature Review.</w:t>
      </w:r>
      <w:r>
        <w:rPr>
          <w:rFonts w:ascii="Arial" w:hAnsi="Arial" w:cs="Arial"/>
        </w:rPr>
        <w:t xml:space="preserve"> </w:t>
      </w:r>
      <w:r w:rsidRPr="003F54EA">
        <w:rPr>
          <w:rFonts w:ascii="Arial" w:hAnsi="Arial" w:cs="Arial"/>
        </w:rPr>
        <w:t>ResearchGate.</w:t>
      </w:r>
      <w:r>
        <w:rPr>
          <w:rFonts w:ascii="Arial" w:hAnsi="Arial" w:cs="Arial"/>
        </w:rPr>
        <w:t xml:space="preserve"> </w:t>
      </w:r>
      <w:r w:rsidRPr="003F54EA">
        <w:rPr>
          <w:rFonts w:ascii="Arial" w:hAnsi="Arial" w:cs="Arial"/>
        </w:rPr>
        <w:t>Available</w:t>
      </w:r>
      <w:r>
        <w:rPr>
          <w:rFonts w:ascii="Arial" w:hAnsi="Arial" w:cs="Arial"/>
        </w:rPr>
        <w:t xml:space="preserve"> </w:t>
      </w:r>
      <w:r w:rsidRPr="003F54EA">
        <w:rPr>
          <w:rFonts w:ascii="Arial" w:hAnsi="Arial" w:cs="Arial"/>
        </w:rPr>
        <w:t xml:space="preserve">at: </w:t>
      </w:r>
      <w:hyperlink r:id="rId12" w:history="1">
        <w:r w:rsidRPr="000E15AD">
          <w:rPr>
            <w:rStyle w:val="Hyperlink"/>
            <w:rFonts w:ascii="Arial" w:hAnsi="Arial" w:cs="Arial"/>
          </w:rPr>
          <w:t>https://www.researchgate.net/publication/235930866_Systematic_Approaches_to_a_Successful_Literature_Review</w:t>
        </w:r>
      </w:hyperlink>
      <w:r>
        <w:rPr>
          <w:rFonts w:ascii="Arial" w:hAnsi="Arial" w:cs="Arial"/>
        </w:rPr>
        <w:t xml:space="preserve"> </w:t>
      </w:r>
      <w:r w:rsidRPr="003F54EA">
        <w:rPr>
          <w:rFonts w:ascii="Arial" w:hAnsi="Arial" w:cs="Arial"/>
        </w:rPr>
        <w:t>(Accessed</w:t>
      </w:r>
      <w:r>
        <w:rPr>
          <w:rFonts w:ascii="Arial" w:hAnsi="Arial" w:cs="Arial"/>
        </w:rPr>
        <w:t>:</w:t>
      </w:r>
      <w:r w:rsidRPr="003F54EA">
        <w:rPr>
          <w:rFonts w:ascii="Arial" w:hAnsi="Arial" w:cs="Arial"/>
        </w:rPr>
        <w:t xml:space="preserve"> 16 September 2025).</w:t>
      </w:r>
    </w:p>
    <w:p w14:paraId="5B591736" w14:textId="45B59EC7" w:rsidR="003F54EA" w:rsidRDefault="003F54EA" w:rsidP="003F54EA">
      <w:pPr>
        <w:rPr>
          <w:rFonts w:ascii="Arial" w:hAnsi="Arial" w:cs="Arial"/>
        </w:rPr>
      </w:pPr>
      <w:r w:rsidRPr="003F54EA">
        <w:rPr>
          <w:rFonts w:ascii="Arial" w:hAnsi="Arial" w:cs="Arial"/>
        </w:rPr>
        <w:t>7.</w:t>
      </w:r>
      <w:r>
        <w:rPr>
          <w:rFonts w:ascii="Arial" w:hAnsi="Arial" w:cs="Arial"/>
        </w:rPr>
        <w:t xml:space="preserve">  </w:t>
      </w:r>
      <w:r w:rsidRPr="003F54EA">
        <w:rPr>
          <w:rFonts w:ascii="Arial" w:hAnsi="Arial" w:cs="Arial"/>
        </w:rPr>
        <w:t xml:space="preserve">Borgstrom, E., Jordan, J. and Henry, C. (2023)  </w:t>
      </w:r>
      <w:r w:rsidRPr="003F54EA">
        <w:rPr>
          <w:rFonts w:ascii="Arial" w:hAnsi="Arial" w:cs="Arial"/>
          <w:i/>
          <w:iCs/>
        </w:rPr>
        <w:t>Ambitions for Palliative and End of Life care: Mapping Examples of Use of the Framework across England. BMC Palliative Care</w:t>
      </w:r>
      <w:r w:rsidRPr="003F54EA">
        <w:rPr>
          <w:rFonts w:ascii="Arial" w:hAnsi="Arial" w:cs="Arial"/>
        </w:rPr>
        <w:t xml:space="preserve">, 22(1). Available at: </w:t>
      </w:r>
      <w:proofErr w:type="spellStart"/>
      <w:r w:rsidRPr="003F54EA">
        <w:rPr>
          <w:rFonts w:ascii="Arial" w:hAnsi="Arial" w:cs="Arial"/>
        </w:rPr>
        <w:t>doi:https</w:t>
      </w:r>
      <w:proofErr w:type="spellEnd"/>
      <w:r w:rsidRPr="003F54EA">
        <w:rPr>
          <w:rFonts w:ascii="Arial" w:hAnsi="Arial" w:cs="Arial"/>
        </w:rPr>
        <w:t>://doi.org/10.1186/s12904-023-01207-3.</w:t>
      </w:r>
    </w:p>
    <w:p w14:paraId="72D367F5" w14:textId="00D3C8C5" w:rsidR="00FF32F8" w:rsidRDefault="003F54EA" w:rsidP="003F54EA">
      <w:pPr>
        <w:rPr>
          <w:rFonts w:ascii="Arial" w:hAnsi="Arial" w:cs="Arial"/>
        </w:rPr>
      </w:pPr>
      <w:r w:rsidRPr="003F54EA">
        <w:rPr>
          <w:rFonts w:ascii="Arial" w:hAnsi="Arial" w:cs="Arial"/>
        </w:rPr>
        <w:t>8.</w:t>
      </w:r>
      <w:r>
        <w:rPr>
          <w:rFonts w:ascii="Arial" w:hAnsi="Arial" w:cs="Arial"/>
        </w:rPr>
        <w:t xml:space="preserve"> </w:t>
      </w:r>
      <w:r w:rsidRPr="003F54EA">
        <w:rPr>
          <w:rFonts w:ascii="Arial" w:hAnsi="Arial" w:cs="Arial"/>
        </w:rPr>
        <w:t xml:space="preserve">Braun, V. and Clarke, V. (2006) </w:t>
      </w:r>
      <w:r w:rsidRPr="009A2393">
        <w:rPr>
          <w:rFonts w:ascii="Arial" w:hAnsi="Arial" w:cs="Arial"/>
          <w:i/>
          <w:iCs/>
        </w:rPr>
        <w:t>Using Thematic Analysis in Psychology.</w:t>
      </w:r>
      <w:r w:rsidRPr="003F54EA">
        <w:rPr>
          <w:rFonts w:ascii="Arial" w:hAnsi="Arial" w:cs="Arial"/>
        </w:rPr>
        <w:t xml:space="preserve"> Qualitative Research </w:t>
      </w:r>
      <w:proofErr w:type="gramStart"/>
      <w:r w:rsidRPr="003F54EA">
        <w:rPr>
          <w:rFonts w:ascii="Arial" w:hAnsi="Arial" w:cs="Arial"/>
        </w:rPr>
        <w:t>In</w:t>
      </w:r>
      <w:proofErr w:type="gramEnd"/>
      <w:r w:rsidRPr="003F54EA">
        <w:rPr>
          <w:rFonts w:ascii="Arial" w:hAnsi="Arial" w:cs="Arial"/>
        </w:rPr>
        <w:t xml:space="preserve"> Psychology. Available at: </w:t>
      </w:r>
      <w:proofErr w:type="spellStart"/>
      <w:r w:rsidRPr="003F54EA">
        <w:rPr>
          <w:rFonts w:ascii="Arial" w:hAnsi="Arial" w:cs="Arial"/>
        </w:rPr>
        <w:t>doimarie</w:t>
      </w:r>
      <w:proofErr w:type="spellEnd"/>
      <w:r w:rsidRPr="003F54EA">
        <w:rPr>
          <w:rFonts w:ascii="Arial" w:hAnsi="Arial" w:cs="Arial"/>
        </w:rPr>
        <w:t xml:space="preserve"> curie :https://doi.org/10.1191/1478088706qp063oa.</w:t>
      </w:r>
    </w:p>
    <w:p w14:paraId="050A82A7" w14:textId="77777777" w:rsidR="003F54EA" w:rsidRPr="003F54EA" w:rsidRDefault="003F54EA" w:rsidP="003F54EA">
      <w:pPr>
        <w:rPr>
          <w:rFonts w:ascii="Arial" w:hAnsi="Arial" w:cs="Arial"/>
        </w:rPr>
      </w:pPr>
    </w:p>
    <w:p w14:paraId="79997D53" w14:textId="332123C7" w:rsidR="003F54EA" w:rsidRDefault="003F54EA" w:rsidP="003F54EA">
      <w:pPr>
        <w:rPr>
          <w:rFonts w:ascii="Arial" w:hAnsi="Arial" w:cs="Arial"/>
        </w:rPr>
      </w:pPr>
      <w:r w:rsidRPr="003F54EA">
        <w:rPr>
          <w:rFonts w:ascii="Arial" w:hAnsi="Arial" w:cs="Arial"/>
        </w:rPr>
        <w:lastRenderedPageBreak/>
        <w:t>9.</w:t>
      </w:r>
      <w:r>
        <w:rPr>
          <w:rFonts w:ascii="Arial" w:hAnsi="Arial" w:cs="Arial"/>
        </w:rPr>
        <w:t xml:space="preserve"> </w:t>
      </w:r>
      <w:r w:rsidRPr="003F54EA">
        <w:rPr>
          <w:rFonts w:ascii="Arial" w:hAnsi="Arial" w:cs="Arial"/>
        </w:rPr>
        <w:t xml:space="preserve">Brown, E.A., Bekker, H.L., Davison, S.N., Koffman, J. and Schell, J.O. (2016) </w:t>
      </w:r>
      <w:r w:rsidRPr="009A2393">
        <w:rPr>
          <w:rFonts w:ascii="Arial" w:hAnsi="Arial" w:cs="Arial"/>
          <w:i/>
          <w:iCs/>
        </w:rPr>
        <w:t>Supportive Care: Communication Strategies to Improve Cultural Competence in Shared Decision Making</w:t>
      </w:r>
      <w:r w:rsidRPr="003F54EA">
        <w:rPr>
          <w:rFonts w:ascii="Arial" w:hAnsi="Arial" w:cs="Arial"/>
        </w:rPr>
        <w:t xml:space="preserve">. Clinical Journal of the American Society of Nephrology, [online] 11(10), pp.1902–1908. Available at: </w:t>
      </w:r>
      <w:proofErr w:type="spellStart"/>
      <w:r w:rsidRPr="003F54EA">
        <w:rPr>
          <w:rFonts w:ascii="Arial" w:hAnsi="Arial" w:cs="Arial"/>
        </w:rPr>
        <w:t>doi:https</w:t>
      </w:r>
      <w:proofErr w:type="spellEnd"/>
      <w:r w:rsidRPr="003F54EA">
        <w:rPr>
          <w:rFonts w:ascii="Arial" w:hAnsi="Arial" w:cs="Arial"/>
        </w:rPr>
        <w:t>://doi.org/10.2215/cjn.13661215.</w:t>
      </w:r>
    </w:p>
    <w:p w14:paraId="1069C653" w14:textId="0D32BFCF" w:rsidR="003F54EA" w:rsidRPr="003F54EA" w:rsidRDefault="003F54EA" w:rsidP="003F54EA">
      <w:pPr>
        <w:rPr>
          <w:rFonts w:ascii="Arial" w:hAnsi="Arial" w:cs="Arial"/>
        </w:rPr>
      </w:pPr>
      <w:r w:rsidRPr="003F54EA">
        <w:rPr>
          <w:rFonts w:ascii="Arial" w:hAnsi="Arial" w:cs="Arial"/>
        </w:rPr>
        <w:t>10.Brow</w:t>
      </w:r>
      <w:r>
        <w:rPr>
          <w:rFonts w:ascii="Arial" w:hAnsi="Arial" w:cs="Arial"/>
        </w:rPr>
        <w:t xml:space="preserve"> </w:t>
      </w:r>
      <w:r w:rsidRPr="003F54EA">
        <w:rPr>
          <w:rFonts w:ascii="Arial" w:hAnsi="Arial" w:cs="Arial"/>
        </w:rPr>
        <w:t xml:space="preserve">ne, A.J., Varcoe, C., </w:t>
      </w:r>
      <w:proofErr w:type="spellStart"/>
      <w:r w:rsidRPr="003F54EA">
        <w:rPr>
          <w:rFonts w:ascii="Arial" w:hAnsi="Arial" w:cs="Arial"/>
        </w:rPr>
        <w:t>Smye</w:t>
      </w:r>
      <w:proofErr w:type="spellEnd"/>
      <w:r w:rsidRPr="003F54EA">
        <w:rPr>
          <w:rFonts w:ascii="Arial" w:hAnsi="Arial" w:cs="Arial"/>
        </w:rPr>
        <w:t xml:space="preserve">, V., Reimer-Kirkham, S., Lynam, M.J. and Wong, S. (2009) </w:t>
      </w:r>
      <w:r w:rsidRPr="009A2393">
        <w:rPr>
          <w:rFonts w:ascii="Arial" w:hAnsi="Arial" w:cs="Arial"/>
          <w:i/>
          <w:iCs/>
        </w:rPr>
        <w:t>Cultural safety and the challenges of translating critically oriented knowledge in practice. Nursing Philosophy</w:t>
      </w:r>
      <w:r w:rsidRPr="003F54EA">
        <w:rPr>
          <w:rFonts w:ascii="Arial" w:hAnsi="Arial" w:cs="Arial"/>
        </w:rPr>
        <w:t xml:space="preserve">, 10(3), pp.167–179. Available at: </w:t>
      </w:r>
      <w:proofErr w:type="spellStart"/>
      <w:r w:rsidRPr="003F54EA">
        <w:rPr>
          <w:rFonts w:ascii="Arial" w:hAnsi="Arial" w:cs="Arial"/>
        </w:rPr>
        <w:t>doi:https</w:t>
      </w:r>
      <w:proofErr w:type="spellEnd"/>
      <w:r w:rsidRPr="003F54EA">
        <w:rPr>
          <w:rFonts w:ascii="Arial" w:hAnsi="Arial" w:cs="Arial"/>
        </w:rPr>
        <w:t>://doi.org/10.1111/j.1466-769x.2009.00406.x.</w:t>
      </w:r>
    </w:p>
    <w:p w14:paraId="667333F7" w14:textId="373E8979" w:rsidR="003F54EA" w:rsidRPr="003F54EA" w:rsidRDefault="003F54EA" w:rsidP="003F54EA">
      <w:pPr>
        <w:rPr>
          <w:rFonts w:ascii="Arial" w:hAnsi="Arial" w:cs="Arial"/>
        </w:rPr>
      </w:pPr>
      <w:r w:rsidRPr="003F54EA">
        <w:rPr>
          <w:rFonts w:ascii="Arial" w:hAnsi="Arial" w:cs="Arial"/>
        </w:rPr>
        <w:t>11.</w:t>
      </w:r>
      <w:r>
        <w:rPr>
          <w:rFonts w:ascii="Arial" w:hAnsi="Arial" w:cs="Arial"/>
        </w:rPr>
        <w:t xml:space="preserve"> </w:t>
      </w:r>
      <w:proofErr w:type="spellStart"/>
      <w:r w:rsidRPr="003F54EA">
        <w:rPr>
          <w:rFonts w:ascii="Arial" w:hAnsi="Arial" w:cs="Arial"/>
        </w:rPr>
        <w:t>Calanzani</w:t>
      </w:r>
      <w:proofErr w:type="spellEnd"/>
      <w:r w:rsidRPr="003F54EA">
        <w:rPr>
          <w:rFonts w:ascii="Arial" w:hAnsi="Arial" w:cs="Arial"/>
        </w:rPr>
        <w:t xml:space="preserve">, N., Koffman, J. and Higginson, I.J. (2013) </w:t>
      </w:r>
      <w:r w:rsidRPr="009A2393">
        <w:rPr>
          <w:rFonts w:ascii="Arial" w:hAnsi="Arial" w:cs="Arial"/>
          <w:i/>
          <w:iCs/>
        </w:rPr>
        <w:t>Palliative and end of life care for Black, Asian and Minority Ethnic groups in the UK.</w:t>
      </w:r>
      <w:r w:rsidRPr="003F54EA">
        <w:rPr>
          <w:rFonts w:ascii="Arial" w:hAnsi="Arial" w:cs="Arial"/>
        </w:rPr>
        <w:t xml:space="preserve"> Available at: </w:t>
      </w:r>
      <w:hyperlink r:id="rId13" w:history="1">
        <w:r w:rsidRPr="000E15AD">
          <w:rPr>
            <w:rStyle w:val="Hyperlink"/>
            <w:rFonts w:ascii="Arial" w:hAnsi="Arial" w:cs="Arial"/>
          </w:rPr>
          <w:t>https://www.researchgate.net/publication/267762679_Palliative_and_end_of_life_care_for_Black_Asian_and_Minority_Ethnic_</w:t>
        </w:r>
      </w:hyperlink>
      <w:r>
        <w:rPr>
          <w:rFonts w:ascii="Arial" w:hAnsi="Arial" w:cs="Arial"/>
        </w:rPr>
        <w:t xml:space="preserve"> </w:t>
      </w:r>
      <w:r w:rsidRPr="003F54EA">
        <w:rPr>
          <w:rFonts w:ascii="Arial" w:hAnsi="Arial" w:cs="Arial"/>
        </w:rPr>
        <w:t>(Accessed</w:t>
      </w:r>
      <w:r>
        <w:rPr>
          <w:rFonts w:ascii="Arial" w:hAnsi="Arial" w:cs="Arial"/>
        </w:rPr>
        <w:t>:</w:t>
      </w:r>
      <w:r w:rsidRPr="003F54EA">
        <w:rPr>
          <w:rFonts w:ascii="Arial" w:hAnsi="Arial" w:cs="Arial"/>
        </w:rPr>
        <w:t xml:space="preserve"> 20 June 2025). </w:t>
      </w:r>
    </w:p>
    <w:p w14:paraId="6DC8FF77" w14:textId="704D17BB" w:rsidR="003F54EA" w:rsidRDefault="003F54EA" w:rsidP="003F54EA">
      <w:pPr>
        <w:rPr>
          <w:rFonts w:ascii="Arial" w:hAnsi="Arial" w:cs="Arial"/>
        </w:rPr>
      </w:pPr>
      <w:r w:rsidRPr="003F54EA">
        <w:rPr>
          <w:rFonts w:ascii="Arial" w:hAnsi="Arial" w:cs="Arial"/>
        </w:rPr>
        <w:t>12.</w:t>
      </w:r>
      <w:r>
        <w:rPr>
          <w:rFonts w:ascii="Arial" w:hAnsi="Arial" w:cs="Arial"/>
        </w:rPr>
        <w:t xml:space="preserve"> </w:t>
      </w:r>
      <w:r w:rsidRPr="003F54EA">
        <w:rPr>
          <w:rFonts w:ascii="Arial" w:hAnsi="Arial" w:cs="Arial"/>
        </w:rPr>
        <w:t xml:space="preserve">Campinha-Bacote, J. (2002)  </w:t>
      </w:r>
      <w:r w:rsidRPr="009A2393">
        <w:rPr>
          <w:rFonts w:ascii="Arial" w:hAnsi="Arial" w:cs="Arial"/>
          <w:i/>
          <w:iCs/>
        </w:rPr>
        <w:t>The process of cultural competence in the delivery of healthcare services: A model of care. Journal of Transcultural Nursing</w:t>
      </w:r>
      <w:r w:rsidRPr="003F54EA">
        <w:rPr>
          <w:rFonts w:ascii="Arial" w:hAnsi="Arial" w:cs="Arial"/>
        </w:rPr>
        <w:t xml:space="preserve"> : Official Journal of the Transcultural Nursing Society. Available at: </w:t>
      </w:r>
      <w:hyperlink r:id="rId14" w:history="1">
        <w:r w:rsidRPr="000E15AD">
          <w:rPr>
            <w:rStyle w:val="Hyperlink"/>
            <w:rFonts w:ascii="Arial" w:hAnsi="Arial" w:cs="Arial"/>
          </w:rPr>
          <w:t>https://pubmed.ncbi.nlm.nih.gov/12113146/</w:t>
        </w:r>
      </w:hyperlink>
      <w:r w:rsidRPr="003F54EA">
        <w:rPr>
          <w:rFonts w:ascii="Arial" w:hAnsi="Arial" w:cs="Arial"/>
        </w:rPr>
        <w:t>.</w:t>
      </w:r>
      <w:r>
        <w:rPr>
          <w:rFonts w:ascii="Arial" w:hAnsi="Arial" w:cs="Arial"/>
        </w:rPr>
        <w:t xml:space="preserve"> </w:t>
      </w:r>
      <w:r w:rsidRPr="003F54EA">
        <w:rPr>
          <w:rFonts w:ascii="Arial" w:hAnsi="Arial" w:cs="Arial"/>
        </w:rPr>
        <w:t>(Accessed</w:t>
      </w:r>
      <w:r>
        <w:rPr>
          <w:rFonts w:ascii="Arial" w:hAnsi="Arial" w:cs="Arial"/>
        </w:rPr>
        <w:t>:</w:t>
      </w:r>
      <w:r w:rsidRPr="003F54EA">
        <w:rPr>
          <w:rFonts w:ascii="Arial" w:hAnsi="Arial" w:cs="Arial"/>
        </w:rPr>
        <w:t xml:space="preserve"> 20 June 2025).</w:t>
      </w:r>
    </w:p>
    <w:p w14:paraId="52FD7788" w14:textId="198723FC" w:rsidR="003F54EA" w:rsidRDefault="003F54EA" w:rsidP="003F54EA">
      <w:pPr>
        <w:rPr>
          <w:rFonts w:ascii="Arial" w:hAnsi="Arial" w:cs="Arial"/>
        </w:rPr>
      </w:pPr>
      <w:r w:rsidRPr="003F54EA">
        <w:rPr>
          <w:rFonts w:ascii="Arial" w:hAnsi="Arial" w:cs="Arial"/>
        </w:rPr>
        <w:t>13.</w:t>
      </w:r>
      <w:r>
        <w:rPr>
          <w:rFonts w:ascii="Arial" w:hAnsi="Arial" w:cs="Arial"/>
        </w:rPr>
        <w:t xml:space="preserve">  </w:t>
      </w:r>
      <w:r w:rsidRPr="003F54EA">
        <w:rPr>
          <w:rFonts w:ascii="Arial" w:hAnsi="Arial" w:cs="Arial"/>
        </w:rPr>
        <w:t xml:space="preserve">Care Quality Commission (2022) State of Care 2021/22 - </w:t>
      </w:r>
      <w:r w:rsidRPr="009A2393">
        <w:rPr>
          <w:rFonts w:ascii="Arial" w:hAnsi="Arial" w:cs="Arial"/>
          <w:i/>
          <w:iCs/>
        </w:rPr>
        <w:t>Care Quality Commission.</w:t>
      </w:r>
      <w:r w:rsidRPr="003F54EA">
        <w:rPr>
          <w:rFonts w:ascii="Arial" w:hAnsi="Arial" w:cs="Arial"/>
        </w:rPr>
        <w:t xml:space="preserve"> www.cqc.org.uk. Available at: </w:t>
      </w:r>
      <w:hyperlink r:id="rId15" w:history="1">
        <w:r w:rsidRPr="000E15AD">
          <w:rPr>
            <w:rStyle w:val="Hyperlink"/>
            <w:rFonts w:ascii="Arial" w:hAnsi="Arial" w:cs="Arial"/>
          </w:rPr>
          <w:t>https://www.cqc.org.uk/publication/state-care-202122</w:t>
        </w:r>
      </w:hyperlink>
      <w:r w:rsidRPr="003F54EA">
        <w:rPr>
          <w:rFonts w:ascii="Arial" w:hAnsi="Arial" w:cs="Arial"/>
        </w:rPr>
        <w:t>.</w:t>
      </w:r>
      <w:r>
        <w:rPr>
          <w:rFonts w:ascii="Arial" w:hAnsi="Arial" w:cs="Arial"/>
        </w:rPr>
        <w:t xml:space="preserve"> (Accessed: 10 October 2025).</w:t>
      </w:r>
    </w:p>
    <w:p w14:paraId="60DF8D9F" w14:textId="085B7F81" w:rsidR="003F54EA" w:rsidRDefault="003F54EA" w:rsidP="003F54EA">
      <w:pPr>
        <w:rPr>
          <w:rFonts w:ascii="Arial" w:hAnsi="Arial" w:cs="Arial"/>
        </w:rPr>
      </w:pPr>
      <w:r w:rsidRPr="003F54EA">
        <w:rPr>
          <w:rFonts w:ascii="Arial" w:hAnsi="Arial" w:cs="Arial"/>
        </w:rPr>
        <w:t>14.</w:t>
      </w:r>
      <w:r>
        <w:rPr>
          <w:rFonts w:ascii="Arial" w:hAnsi="Arial" w:cs="Arial"/>
        </w:rPr>
        <w:t xml:space="preserve">  </w:t>
      </w:r>
      <w:r w:rsidRPr="003F54EA">
        <w:rPr>
          <w:rFonts w:ascii="Arial" w:hAnsi="Arial" w:cs="Arial"/>
        </w:rPr>
        <w:t xml:space="preserve">Care Quality Commission (2023) </w:t>
      </w:r>
      <w:r w:rsidRPr="009A2393">
        <w:rPr>
          <w:rFonts w:ascii="Arial" w:hAnsi="Arial" w:cs="Arial"/>
          <w:i/>
          <w:iCs/>
        </w:rPr>
        <w:t>Equality and human rights</w:t>
      </w:r>
      <w:r w:rsidRPr="003F54EA">
        <w:rPr>
          <w:rFonts w:ascii="Arial" w:hAnsi="Arial" w:cs="Arial"/>
        </w:rPr>
        <w:t xml:space="preserve"> | Care Quality Commission. www.cqc.org.uk. Available at: </w:t>
      </w:r>
      <w:hyperlink r:id="rId16" w:history="1">
        <w:r w:rsidRPr="000E15AD">
          <w:rPr>
            <w:rStyle w:val="Hyperlink"/>
            <w:rFonts w:ascii="Arial" w:hAnsi="Arial" w:cs="Arial"/>
          </w:rPr>
          <w:t>https://www.cqc.org.uk/about-us/our-strategy-plans/equality-human-rights</w:t>
        </w:r>
      </w:hyperlink>
      <w:r w:rsidRPr="003F54EA">
        <w:rPr>
          <w:rFonts w:ascii="Arial" w:hAnsi="Arial" w:cs="Arial"/>
        </w:rPr>
        <w:t>.</w:t>
      </w:r>
      <w:r>
        <w:rPr>
          <w:rFonts w:ascii="Arial" w:hAnsi="Arial" w:cs="Arial"/>
        </w:rPr>
        <w:t xml:space="preserve"> </w:t>
      </w:r>
      <w:r w:rsidRPr="003F54EA">
        <w:rPr>
          <w:rFonts w:ascii="Arial" w:hAnsi="Arial" w:cs="Arial"/>
        </w:rPr>
        <w:t>(Accessed</w:t>
      </w:r>
      <w:r>
        <w:rPr>
          <w:rFonts w:ascii="Arial" w:hAnsi="Arial" w:cs="Arial"/>
        </w:rPr>
        <w:t>:</w:t>
      </w:r>
      <w:r w:rsidRPr="003F54EA">
        <w:rPr>
          <w:rFonts w:ascii="Arial" w:hAnsi="Arial" w:cs="Arial"/>
        </w:rPr>
        <w:t xml:space="preserve"> 1 July 2025).</w:t>
      </w:r>
    </w:p>
    <w:p w14:paraId="0EF8C6B3" w14:textId="4545B162" w:rsidR="00FF32F8" w:rsidRDefault="003F54EA" w:rsidP="003F54EA">
      <w:pPr>
        <w:rPr>
          <w:rFonts w:ascii="Arial" w:hAnsi="Arial" w:cs="Arial"/>
        </w:rPr>
      </w:pPr>
      <w:r w:rsidRPr="003F54EA">
        <w:rPr>
          <w:rFonts w:ascii="Arial" w:hAnsi="Arial" w:cs="Arial"/>
        </w:rPr>
        <w:t>15.</w:t>
      </w:r>
      <w:r>
        <w:rPr>
          <w:rFonts w:ascii="Arial" w:hAnsi="Arial" w:cs="Arial"/>
        </w:rPr>
        <w:t xml:space="preserve">  </w:t>
      </w:r>
      <w:r w:rsidRPr="003F54EA">
        <w:rPr>
          <w:rFonts w:ascii="Arial" w:hAnsi="Arial" w:cs="Arial"/>
        </w:rPr>
        <w:t>Chipman, S.A., Meagher, K. and Barwise, A.K., 2024</w:t>
      </w:r>
      <w:r w:rsidR="009A2393">
        <w:rPr>
          <w:rFonts w:ascii="Arial" w:hAnsi="Arial" w:cs="Arial"/>
        </w:rPr>
        <w:t xml:space="preserve"> </w:t>
      </w:r>
      <w:r w:rsidRPr="003F54EA">
        <w:rPr>
          <w:rFonts w:ascii="Arial" w:hAnsi="Arial" w:cs="Arial"/>
        </w:rPr>
        <w:t xml:space="preserve"> </w:t>
      </w:r>
      <w:r w:rsidRPr="009A2393">
        <w:rPr>
          <w:rFonts w:ascii="Arial" w:hAnsi="Arial" w:cs="Arial"/>
          <w:i/>
          <w:iCs/>
        </w:rPr>
        <w:t>A public health ethics framework for populations with limited English proficiency</w:t>
      </w:r>
      <w:r w:rsidRPr="003F54EA">
        <w:rPr>
          <w:rFonts w:ascii="Arial" w:hAnsi="Arial" w:cs="Arial"/>
        </w:rPr>
        <w:t>. The American Journal of Bioethics, 24(11), pp.50-65.</w:t>
      </w:r>
    </w:p>
    <w:p w14:paraId="3966F53A" w14:textId="31C1826C" w:rsidR="003F54EA" w:rsidRDefault="003F54EA" w:rsidP="003F54EA">
      <w:pPr>
        <w:rPr>
          <w:rFonts w:ascii="Arial" w:hAnsi="Arial" w:cs="Arial"/>
        </w:rPr>
      </w:pPr>
      <w:r w:rsidRPr="003F54EA">
        <w:rPr>
          <w:rFonts w:ascii="Arial" w:hAnsi="Arial" w:cs="Arial"/>
        </w:rPr>
        <w:t>16.</w:t>
      </w:r>
      <w:r w:rsidR="00126B55">
        <w:rPr>
          <w:rFonts w:ascii="Arial" w:hAnsi="Arial" w:cs="Arial"/>
        </w:rPr>
        <w:t xml:space="preserve"> </w:t>
      </w:r>
      <w:r w:rsidRPr="003F54EA">
        <w:rPr>
          <w:rFonts w:ascii="Arial" w:hAnsi="Arial" w:cs="Arial"/>
        </w:rPr>
        <w:t xml:space="preserve">CHPCA (2020)  </w:t>
      </w:r>
      <w:r w:rsidRPr="00126B55">
        <w:rPr>
          <w:rFonts w:ascii="Arial" w:hAnsi="Arial" w:cs="Arial"/>
          <w:i/>
          <w:iCs/>
        </w:rPr>
        <w:t>Annual Report.</w:t>
      </w:r>
      <w:r w:rsidRPr="003F54EA">
        <w:rPr>
          <w:rFonts w:ascii="Arial" w:hAnsi="Arial" w:cs="Arial"/>
        </w:rPr>
        <w:t xml:space="preserve"> Available at: </w:t>
      </w:r>
      <w:hyperlink r:id="rId17" w:history="1">
        <w:r w:rsidRPr="000E15AD">
          <w:rPr>
            <w:rStyle w:val="Hyperlink"/>
            <w:rFonts w:ascii="Arial" w:hAnsi="Arial" w:cs="Arial"/>
          </w:rPr>
          <w:t>https://www.chpca.ca/wp-content/uploads/2024/03/2020-2021-Annual-Report.pdf</w:t>
        </w:r>
      </w:hyperlink>
      <w:r>
        <w:rPr>
          <w:rFonts w:ascii="Arial" w:hAnsi="Arial" w:cs="Arial"/>
        </w:rPr>
        <w:t xml:space="preserve"> </w:t>
      </w:r>
      <w:r w:rsidRPr="003F54EA">
        <w:rPr>
          <w:rFonts w:ascii="Arial" w:hAnsi="Arial" w:cs="Arial"/>
        </w:rPr>
        <w:t>(Accessed</w:t>
      </w:r>
      <w:r>
        <w:rPr>
          <w:rFonts w:ascii="Arial" w:hAnsi="Arial" w:cs="Arial"/>
        </w:rPr>
        <w:t>:</w:t>
      </w:r>
      <w:r w:rsidRPr="003F54EA">
        <w:rPr>
          <w:rFonts w:ascii="Arial" w:hAnsi="Arial" w:cs="Arial"/>
        </w:rPr>
        <w:t xml:space="preserve"> 10 Jul. 2025). </w:t>
      </w:r>
    </w:p>
    <w:p w14:paraId="3DDA822B" w14:textId="1BA4001A" w:rsidR="003F54EA" w:rsidRDefault="003F54EA" w:rsidP="003F54EA">
      <w:pPr>
        <w:rPr>
          <w:rFonts w:ascii="Arial" w:hAnsi="Arial" w:cs="Arial"/>
        </w:rPr>
      </w:pPr>
      <w:r w:rsidRPr="003F54EA">
        <w:rPr>
          <w:rFonts w:ascii="Arial" w:hAnsi="Arial" w:cs="Arial"/>
        </w:rPr>
        <w:t>17.</w:t>
      </w:r>
      <w:r w:rsidR="00126B55">
        <w:rPr>
          <w:rFonts w:ascii="Arial" w:hAnsi="Arial" w:cs="Arial"/>
        </w:rPr>
        <w:t xml:space="preserve">  </w:t>
      </w:r>
      <w:r w:rsidRPr="003F54EA">
        <w:rPr>
          <w:rFonts w:ascii="Arial" w:hAnsi="Arial" w:cs="Arial"/>
        </w:rPr>
        <w:t xml:space="preserve">Clark, D. (2007) </w:t>
      </w:r>
      <w:r w:rsidRPr="00126B55">
        <w:rPr>
          <w:rFonts w:ascii="Arial" w:hAnsi="Arial" w:cs="Arial"/>
          <w:i/>
          <w:iCs/>
        </w:rPr>
        <w:t>From margins to centre: a review of the history of palliative care in cancer.</w:t>
      </w:r>
      <w:r w:rsidRPr="003F54EA">
        <w:rPr>
          <w:rFonts w:ascii="Arial" w:hAnsi="Arial" w:cs="Arial"/>
        </w:rPr>
        <w:t xml:space="preserve"> The Lancet Oncology, 8(5), pp.430–438. Available at: </w:t>
      </w:r>
      <w:proofErr w:type="spellStart"/>
      <w:r w:rsidRPr="003F54EA">
        <w:rPr>
          <w:rFonts w:ascii="Arial" w:hAnsi="Arial" w:cs="Arial"/>
        </w:rPr>
        <w:t>doi:https</w:t>
      </w:r>
      <w:proofErr w:type="spellEnd"/>
      <w:r w:rsidRPr="003F54EA">
        <w:rPr>
          <w:rFonts w:ascii="Arial" w:hAnsi="Arial" w:cs="Arial"/>
        </w:rPr>
        <w:t>://doi.org/10.1016/s1470-2045(07)70138-9.</w:t>
      </w:r>
    </w:p>
    <w:p w14:paraId="0E0147BF" w14:textId="086CB6E8" w:rsidR="003F54EA" w:rsidRDefault="003F54EA" w:rsidP="003F54EA">
      <w:pPr>
        <w:rPr>
          <w:rFonts w:ascii="Arial" w:hAnsi="Arial" w:cs="Arial"/>
        </w:rPr>
      </w:pPr>
      <w:r w:rsidRPr="003F54EA">
        <w:rPr>
          <w:rFonts w:ascii="Arial" w:hAnsi="Arial" w:cs="Arial"/>
        </w:rPr>
        <w:t>18.</w:t>
      </w:r>
      <w:r w:rsidR="00126B55">
        <w:rPr>
          <w:rFonts w:ascii="Arial" w:hAnsi="Arial" w:cs="Arial"/>
        </w:rPr>
        <w:t xml:space="preserve">  </w:t>
      </w:r>
      <w:r w:rsidRPr="003F54EA">
        <w:rPr>
          <w:rFonts w:ascii="Arial" w:hAnsi="Arial" w:cs="Arial"/>
        </w:rPr>
        <w:t xml:space="preserve">Clark, D. (2016) </w:t>
      </w:r>
      <w:r w:rsidRPr="00126B55">
        <w:rPr>
          <w:rFonts w:ascii="Arial" w:hAnsi="Arial" w:cs="Arial"/>
          <w:i/>
          <w:iCs/>
        </w:rPr>
        <w:t>To Comfort Always. Oxford Medicine Online</w:t>
      </w:r>
      <w:r w:rsidRPr="003F54EA">
        <w:rPr>
          <w:rFonts w:ascii="Arial" w:hAnsi="Arial" w:cs="Arial"/>
        </w:rPr>
        <w:t xml:space="preserve">. Oxford University Press. Available at: </w:t>
      </w:r>
      <w:proofErr w:type="spellStart"/>
      <w:r w:rsidRPr="003F54EA">
        <w:rPr>
          <w:rFonts w:ascii="Arial" w:hAnsi="Arial" w:cs="Arial"/>
        </w:rPr>
        <w:t>doi:https</w:t>
      </w:r>
      <w:proofErr w:type="spellEnd"/>
      <w:r w:rsidRPr="003F54EA">
        <w:rPr>
          <w:rFonts w:ascii="Arial" w:hAnsi="Arial" w:cs="Arial"/>
        </w:rPr>
        <w:t>://doi.org/10.1093/med/9780199674282.001.0001.</w:t>
      </w:r>
    </w:p>
    <w:p w14:paraId="4E66341C" w14:textId="49FD2C5D" w:rsidR="00126B55" w:rsidRPr="00126B55" w:rsidRDefault="00126B55" w:rsidP="00126B55">
      <w:pPr>
        <w:rPr>
          <w:rFonts w:ascii="Arial" w:hAnsi="Arial" w:cs="Arial"/>
        </w:rPr>
      </w:pPr>
      <w:r w:rsidRPr="00126B55">
        <w:rPr>
          <w:rFonts w:ascii="Arial" w:hAnsi="Arial" w:cs="Arial"/>
        </w:rPr>
        <w:lastRenderedPageBreak/>
        <w:t>19.</w:t>
      </w:r>
      <w:r>
        <w:rPr>
          <w:rFonts w:ascii="Arial" w:hAnsi="Arial" w:cs="Arial"/>
        </w:rPr>
        <w:t xml:space="preserve"> </w:t>
      </w:r>
      <w:r w:rsidRPr="00126B55">
        <w:rPr>
          <w:rFonts w:ascii="Arial" w:hAnsi="Arial" w:cs="Arial"/>
        </w:rPr>
        <w:t>Curtis, E., Jones, R., Tipene-Leach, D., Walker, C., Loring, B., Paine, S.-J. and Reid, P. (2019</w:t>
      </w:r>
      <w:r w:rsidRPr="00126B55">
        <w:rPr>
          <w:rFonts w:ascii="Arial" w:hAnsi="Arial" w:cs="Arial"/>
          <w:i/>
          <w:iCs/>
        </w:rPr>
        <w:t>) Why cultural safety rather than cultural competency is required to achieve health equity:</w:t>
      </w:r>
      <w:r w:rsidRPr="00126B55">
        <w:rPr>
          <w:rFonts w:ascii="Arial" w:hAnsi="Arial" w:cs="Arial"/>
        </w:rPr>
        <w:t xml:space="preserve"> A literature review and recommended definition. International Journal for Equity in Health,  18(174), pp.1–17.</w:t>
      </w:r>
      <w:r w:rsidR="00756F01">
        <w:rPr>
          <w:rFonts w:ascii="Arial" w:hAnsi="Arial" w:cs="Arial"/>
        </w:rPr>
        <w:t xml:space="preserve"> Available at: </w:t>
      </w:r>
      <w:r w:rsidRPr="00126B55">
        <w:rPr>
          <w:rFonts w:ascii="Arial" w:hAnsi="Arial" w:cs="Arial"/>
        </w:rPr>
        <w:t xml:space="preserve"> </w:t>
      </w:r>
      <w:proofErr w:type="spellStart"/>
      <w:r w:rsidRPr="00126B55">
        <w:rPr>
          <w:rFonts w:ascii="Arial" w:hAnsi="Arial" w:cs="Arial"/>
        </w:rPr>
        <w:t>doi:https</w:t>
      </w:r>
      <w:proofErr w:type="spellEnd"/>
      <w:r w:rsidRPr="00126B55">
        <w:rPr>
          <w:rFonts w:ascii="Arial" w:hAnsi="Arial" w:cs="Arial"/>
        </w:rPr>
        <w:t>://doi.org/10.1186/s12939-019-1082-3.</w:t>
      </w:r>
    </w:p>
    <w:p w14:paraId="41E9EE23" w14:textId="5748F8A5" w:rsidR="00126B55" w:rsidRPr="00126B55" w:rsidRDefault="00126B55" w:rsidP="00126B55">
      <w:pPr>
        <w:rPr>
          <w:rFonts w:ascii="Arial" w:hAnsi="Arial" w:cs="Arial"/>
        </w:rPr>
      </w:pPr>
      <w:r w:rsidRPr="00126B55">
        <w:rPr>
          <w:rFonts w:ascii="Arial" w:hAnsi="Arial" w:cs="Arial"/>
        </w:rPr>
        <w:t>20.</w:t>
      </w:r>
      <w:r>
        <w:rPr>
          <w:rFonts w:ascii="Arial" w:hAnsi="Arial" w:cs="Arial"/>
        </w:rPr>
        <w:t xml:space="preserve"> </w:t>
      </w:r>
      <w:r w:rsidRPr="00126B55">
        <w:rPr>
          <w:rFonts w:ascii="Arial" w:hAnsi="Arial" w:cs="Arial"/>
        </w:rPr>
        <w:t xml:space="preserve">Curtis, E.F., </w:t>
      </w:r>
      <w:proofErr w:type="spellStart"/>
      <w:r w:rsidRPr="00126B55">
        <w:rPr>
          <w:rFonts w:ascii="Arial" w:hAnsi="Arial" w:cs="Arial"/>
        </w:rPr>
        <w:t>Dreachslin</w:t>
      </w:r>
      <w:proofErr w:type="spellEnd"/>
      <w:r w:rsidRPr="00126B55">
        <w:rPr>
          <w:rFonts w:ascii="Arial" w:hAnsi="Arial" w:cs="Arial"/>
        </w:rPr>
        <w:t xml:space="preserve">, J.L. and </w:t>
      </w:r>
      <w:proofErr w:type="spellStart"/>
      <w:r w:rsidRPr="00126B55">
        <w:rPr>
          <w:rFonts w:ascii="Arial" w:hAnsi="Arial" w:cs="Arial"/>
        </w:rPr>
        <w:t>Sinioris</w:t>
      </w:r>
      <w:proofErr w:type="spellEnd"/>
      <w:r w:rsidRPr="00126B55">
        <w:rPr>
          <w:rFonts w:ascii="Arial" w:hAnsi="Arial" w:cs="Arial"/>
        </w:rPr>
        <w:t xml:space="preserve">, M. (2007) </w:t>
      </w:r>
      <w:r w:rsidRPr="00126B55">
        <w:rPr>
          <w:rFonts w:ascii="Arial" w:hAnsi="Arial" w:cs="Arial"/>
          <w:i/>
          <w:iCs/>
        </w:rPr>
        <w:t xml:space="preserve">Diversity and Cultural Competence Training in Health Care Organisations. </w:t>
      </w:r>
      <w:r w:rsidRPr="00126B55">
        <w:rPr>
          <w:rFonts w:ascii="Arial" w:hAnsi="Arial" w:cs="Arial"/>
        </w:rPr>
        <w:t xml:space="preserve">The Health Care Manager, 26(3), pp.255–262. Available at: </w:t>
      </w:r>
      <w:proofErr w:type="spellStart"/>
      <w:r w:rsidRPr="00126B55">
        <w:rPr>
          <w:rFonts w:ascii="Arial" w:hAnsi="Arial" w:cs="Arial"/>
        </w:rPr>
        <w:t>doi:https</w:t>
      </w:r>
      <w:proofErr w:type="spellEnd"/>
      <w:r w:rsidRPr="00126B55">
        <w:rPr>
          <w:rFonts w:ascii="Arial" w:hAnsi="Arial" w:cs="Arial"/>
        </w:rPr>
        <w:t>://doi.org/10.1097/01.hcm.0000285018.18773.ed.</w:t>
      </w:r>
    </w:p>
    <w:p w14:paraId="466197FF" w14:textId="7D28F4FC" w:rsidR="00126B55" w:rsidRPr="00126B55" w:rsidRDefault="00126B55" w:rsidP="00126B55">
      <w:pPr>
        <w:rPr>
          <w:rFonts w:ascii="Arial" w:hAnsi="Arial" w:cs="Arial"/>
        </w:rPr>
      </w:pPr>
      <w:r w:rsidRPr="00126B55">
        <w:rPr>
          <w:rFonts w:ascii="Arial" w:hAnsi="Arial" w:cs="Arial"/>
        </w:rPr>
        <w:t>21.</w:t>
      </w:r>
      <w:r w:rsidRPr="00126B55">
        <w:rPr>
          <w:rFonts w:ascii="Arial" w:hAnsi="Arial" w:cs="Arial"/>
        </w:rPr>
        <w:tab/>
        <w:t>Department of Health (2005</w:t>
      </w:r>
      <w:r w:rsidRPr="00126B55">
        <w:rPr>
          <w:rFonts w:ascii="Arial" w:hAnsi="Arial" w:cs="Arial"/>
          <w:i/>
          <w:iCs/>
        </w:rPr>
        <w:t>) Delivering race equality and independent inquiry into the death of David Bennett in mental health care</w:t>
      </w:r>
      <w:r>
        <w:rPr>
          <w:rFonts w:ascii="Arial" w:hAnsi="Arial" w:cs="Arial"/>
          <w:i/>
          <w:iCs/>
        </w:rPr>
        <w:t>.</w:t>
      </w:r>
      <w:r w:rsidRPr="00126B55">
        <w:rPr>
          <w:rFonts w:ascii="Arial" w:hAnsi="Arial" w:cs="Arial"/>
        </w:rPr>
        <w:t xml:space="preserve"> An action plan for reform inside and outside services The Government’s response to the. Available at: </w:t>
      </w:r>
      <w:hyperlink r:id="rId18" w:history="1">
        <w:r w:rsidRPr="000E15AD">
          <w:rPr>
            <w:rStyle w:val="Hyperlink"/>
            <w:rFonts w:ascii="Arial" w:hAnsi="Arial" w:cs="Arial"/>
          </w:rPr>
          <w:t>https://documents.manchester.ac.uk/display.aspx?DocID=54691</w:t>
        </w:r>
      </w:hyperlink>
      <w:r w:rsidRPr="00126B55">
        <w:rPr>
          <w:rFonts w:ascii="Arial" w:hAnsi="Arial" w:cs="Arial"/>
        </w:rPr>
        <w:t>.</w:t>
      </w:r>
      <w:r>
        <w:rPr>
          <w:rFonts w:ascii="Arial" w:hAnsi="Arial" w:cs="Arial"/>
        </w:rPr>
        <w:t xml:space="preserve"> </w:t>
      </w:r>
      <w:r w:rsidRPr="00126B55">
        <w:rPr>
          <w:rFonts w:ascii="Arial" w:hAnsi="Arial" w:cs="Arial"/>
        </w:rPr>
        <w:t>(Accessed</w:t>
      </w:r>
      <w:r>
        <w:rPr>
          <w:rFonts w:ascii="Arial" w:hAnsi="Arial" w:cs="Arial"/>
        </w:rPr>
        <w:t xml:space="preserve">: </w:t>
      </w:r>
      <w:r w:rsidRPr="00126B55">
        <w:rPr>
          <w:rFonts w:ascii="Arial" w:hAnsi="Arial" w:cs="Arial"/>
        </w:rPr>
        <w:t>25 October 2025).</w:t>
      </w:r>
    </w:p>
    <w:p w14:paraId="2910DEF7" w14:textId="628D6DAC" w:rsidR="00126B55" w:rsidRPr="00126B55" w:rsidRDefault="00126B55" w:rsidP="00126B55">
      <w:pPr>
        <w:rPr>
          <w:rFonts w:ascii="Arial" w:hAnsi="Arial" w:cs="Arial"/>
        </w:rPr>
      </w:pPr>
      <w:r w:rsidRPr="00126B55">
        <w:rPr>
          <w:rFonts w:ascii="Arial" w:hAnsi="Arial" w:cs="Arial"/>
        </w:rPr>
        <w:t>22.</w:t>
      </w:r>
      <w:r>
        <w:rPr>
          <w:rFonts w:ascii="Arial" w:hAnsi="Arial" w:cs="Arial"/>
        </w:rPr>
        <w:t xml:space="preserve"> </w:t>
      </w:r>
      <w:r w:rsidRPr="00126B55">
        <w:rPr>
          <w:rFonts w:ascii="Arial" w:hAnsi="Arial" w:cs="Arial"/>
        </w:rPr>
        <w:t xml:space="preserve">Department of Health (2008) </w:t>
      </w:r>
      <w:r w:rsidRPr="00126B55">
        <w:rPr>
          <w:rFonts w:ascii="Arial" w:hAnsi="Arial" w:cs="Arial"/>
          <w:i/>
          <w:iCs/>
        </w:rPr>
        <w:t>End of Life Care Strategy: promoting high quality care for adults at the end of their life.</w:t>
      </w:r>
      <w:r w:rsidRPr="00126B55">
        <w:rPr>
          <w:rFonts w:ascii="Arial" w:hAnsi="Arial" w:cs="Arial"/>
        </w:rPr>
        <w:t xml:space="preserve"> GOV.UK. Available at: </w:t>
      </w:r>
      <w:hyperlink r:id="rId19" w:history="1">
        <w:r w:rsidRPr="000E15AD">
          <w:rPr>
            <w:rStyle w:val="Hyperlink"/>
            <w:rFonts w:ascii="Arial" w:hAnsi="Arial" w:cs="Arial"/>
          </w:rPr>
          <w:t>https://www.gov.uk/government/publications/end-of-life-care-strategy-promoting-high-quality-care-for-adults-at-the-end-of-their-life</w:t>
        </w:r>
      </w:hyperlink>
      <w:r w:rsidRPr="00126B55">
        <w:rPr>
          <w:rFonts w:ascii="Arial" w:hAnsi="Arial" w:cs="Arial"/>
        </w:rPr>
        <w:t>.</w:t>
      </w:r>
      <w:r>
        <w:rPr>
          <w:rFonts w:ascii="Arial" w:hAnsi="Arial" w:cs="Arial"/>
        </w:rPr>
        <w:t xml:space="preserve"> </w:t>
      </w:r>
      <w:r w:rsidRPr="00126B55">
        <w:rPr>
          <w:rFonts w:ascii="Arial" w:hAnsi="Arial" w:cs="Arial"/>
        </w:rPr>
        <w:t>(Accessed</w:t>
      </w:r>
      <w:r>
        <w:rPr>
          <w:rFonts w:ascii="Arial" w:hAnsi="Arial" w:cs="Arial"/>
        </w:rPr>
        <w:t>:</w:t>
      </w:r>
      <w:r w:rsidRPr="00126B55">
        <w:rPr>
          <w:rFonts w:ascii="Arial" w:hAnsi="Arial" w:cs="Arial"/>
        </w:rPr>
        <w:t xml:space="preserve"> 2 July 2025).</w:t>
      </w:r>
    </w:p>
    <w:p w14:paraId="07466E98" w14:textId="26C365A2" w:rsidR="00126B55" w:rsidRDefault="00126B55" w:rsidP="00126B55">
      <w:pPr>
        <w:rPr>
          <w:rFonts w:ascii="Arial" w:hAnsi="Arial" w:cs="Arial"/>
        </w:rPr>
      </w:pPr>
      <w:r w:rsidRPr="00126B55">
        <w:rPr>
          <w:rFonts w:ascii="Arial" w:hAnsi="Arial" w:cs="Arial"/>
        </w:rPr>
        <w:t>23.</w:t>
      </w:r>
      <w:r>
        <w:rPr>
          <w:rFonts w:ascii="Arial" w:hAnsi="Arial" w:cs="Arial"/>
        </w:rPr>
        <w:t xml:space="preserve"> </w:t>
      </w:r>
      <w:r w:rsidRPr="00126B55">
        <w:rPr>
          <w:rFonts w:ascii="Arial" w:hAnsi="Arial" w:cs="Arial"/>
        </w:rPr>
        <w:t xml:space="preserve">Dignity in Dying. (2024) Canada - </w:t>
      </w:r>
      <w:r w:rsidRPr="00126B55">
        <w:rPr>
          <w:rFonts w:ascii="Arial" w:hAnsi="Arial" w:cs="Arial"/>
          <w:i/>
          <w:iCs/>
        </w:rPr>
        <w:t>Dignity in Dying.</w:t>
      </w:r>
      <w:r w:rsidRPr="00126B55">
        <w:rPr>
          <w:rFonts w:ascii="Arial" w:hAnsi="Arial" w:cs="Arial"/>
        </w:rPr>
        <w:t xml:space="preserve"> Available at: </w:t>
      </w:r>
      <w:hyperlink r:id="rId20" w:history="1">
        <w:r w:rsidRPr="000E15AD">
          <w:rPr>
            <w:rStyle w:val="Hyperlink"/>
            <w:rFonts w:ascii="Arial" w:hAnsi="Arial" w:cs="Arial"/>
          </w:rPr>
          <w:t>https://www.dignityindying.org.uk/assisted-dying/assisted-dying-around-the-world/canada/</w:t>
        </w:r>
      </w:hyperlink>
      <w:r w:rsidRPr="00126B55">
        <w:rPr>
          <w:rFonts w:ascii="Arial" w:hAnsi="Arial" w:cs="Arial"/>
        </w:rPr>
        <w:t>.</w:t>
      </w:r>
      <w:r>
        <w:rPr>
          <w:rFonts w:ascii="Arial" w:hAnsi="Arial" w:cs="Arial"/>
        </w:rPr>
        <w:t xml:space="preserve"> (Accessed:10 September 2025).</w:t>
      </w:r>
    </w:p>
    <w:p w14:paraId="340D6DEC" w14:textId="4016D5E8" w:rsidR="00126B55" w:rsidRPr="00126B55" w:rsidRDefault="00126B55" w:rsidP="00126B55">
      <w:pPr>
        <w:rPr>
          <w:rFonts w:ascii="Arial" w:hAnsi="Arial" w:cs="Arial"/>
        </w:rPr>
      </w:pPr>
      <w:r w:rsidRPr="00126B55">
        <w:rPr>
          <w:rFonts w:ascii="Arial" w:hAnsi="Arial" w:cs="Arial"/>
        </w:rPr>
        <w:t>24.</w:t>
      </w:r>
      <w:r>
        <w:rPr>
          <w:rFonts w:ascii="Arial" w:hAnsi="Arial" w:cs="Arial"/>
        </w:rPr>
        <w:t xml:space="preserve"> </w:t>
      </w:r>
      <w:r w:rsidRPr="00126B55">
        <w:rPr>
          <w:rFonts w:ascii="Arial" w:hAnsi="Arial" w:cs="Arial"/>
        </w:rPr>
        <w:t xml:space="preserve">Dosani, N., Bhargava, R., Arya, A., Pang, C., Tut, P., Sharma, A. and Chasen, M. (2020) </w:t>
      </w:r>
      <w:r w:rsidRPr="00126B55">
        <w:rPr>
          <w:rFonts w:ascii="Arial" w:hAnsi="Arial" w:cs="Arial"/>
          <w:i/>
          <w:iCs/>
        </w:rPr>
        <w:t>Perceptions of palliative care in a South Asian community: findings from an observational study. BMC Palliative Care</w:t>
      </w:r>
      <w:r w:rsidRPr="00126B55">
        <w:rPr>
          <w:rFonts w:ascii="Arial" w:hAnsi="Arial" w:cs="Arial"/>
        </w:rPr>
        <w:t xml:space="preserve">, 19(1). Available at: </w:t>
      </w:r>
      <w:proofErr w:type="spellStart"/>
      <w:r w:rsidRPr="00126B55">
        <w:rPr>
          <w:rFonts w:ascii="Arial" w:hAnsi="Arial" w:cs="Arial"/>
        </w:rPr>
        <w:t>doi:https</w:t>
      </w:r>
      <w:proofErr w:type="spellEnd"/>
      <w:r w:rsidRPr="00126B55">
        <w:rPr>
          <w:rFonts w:ascii="Arial" w:hAnsi="Arial" w:cs="Arial"/>
        </w:rPr>
        <w:t>://doi.org/10.1186/s12904-020-00646-6.</w:t>
      </w:r>
    </w:p>
    <w:p w14:paraId="023ED320" w14:textId="244978EE" w:rsidR="00126B55" w:rsidRPr="00126B55" w:rsidRDefault="00126B55" w:rsidP="00126B55">
      <w:pPr>
        <w:rPr>
          <w:rFonts w:ascii="Arial" w:hAnsi="Arial" w:cs="Arial"/>
        </w:rPr>
      </w:pPr>
      <w:r w:rsidRPr="00126B55">
        <w:rPr>
          <w:rFonts w:ascii="Arial" w:hAnsi="Arial" w:cs="Arial"/>
        </w:rPr>
        <w:t>25.</w:t>
      </w:r>
      <w:r>
        <w:rPr>
          <w:rFonts w:ascii="Arial" w:hAnsi="Arial" w:cs="Arial"/>
        </w:rPr>
        <w:t xml:space="preserve">  </w:t>
      </w:r>
      <w:r w:rsidRPr="00126B55">
        <w:rPr>
          <w:rFonts w:ascii="Arial" w:hAnsi="Arial" w:cs="Arial"/>
        </w:rPr>
        <w:t xml:space="preserve">Edge, D. and </w:t>
      </w:r>
      <w:proofErr w:type="spellStart"/>
      <w:r w:rsidRPr="00126B55">
        <w:rPr>
          <w:rFonts w:ascii="Arial" w:hAnsi="Arial" w:cs="Arial"/>
        </w:rPr>
        <w:t>MacKian</w:t>
      </w:r>
      <w:proofErr w:type="spellEnd"/>
      <w:r w:rsidRPr="00126B55">
        <w:rPr>
          <w:rFonts w:ascii="Arial" w:hAnsi="Arial" w:cs="Arial"/>
        </w:rPr>
        <w:t xml:space="preserve">, S.C. (2010) </w:t>
      </w:r>
      <w:r w:rsidRPr="00126B55">
        <w:rPr>
          <w:rFonts w:ascii="Arial" w:hAnsi="Arial" w:cs="Arial"/>
          <w:i/>
          <w:iCs/>
        </w:rPr>
        <w:t>Ethnicity and mental health encounters in primary care: help-seeking and help-giving for perinatal depression among Black Caribbean women in the UK.</w:t>
      </w:r>
      <w:r w:rsidRPr="00126B55">
        <w:rPr>
          <w:rFonts w:ascii="Arial" w:hAnsi="Arial" w:cs="Arial"/>
        </w:rPr>
        <w:t xml:space="preserve"> Ethnicity &amp; Health, 15(1), pp.93–111.Available at:  </w:t>
      </w:r>
      <w:proofErr w:type="spellStart"/>
      <w:r w:rsidRPr="00126B55">
        <w:rPr>
          <w:rFonts w:ascii="Arial" w:hAnsi="Arial" w:cs="Arial"/>
        </w:rPr>
        <w:t>doi:https</w:t>
      </w:r>
      <w:proofErr w:type="spellEnd"/>
      <w:r w:rsidRPr="00126B55">
        <w:rPr>
          <w:rFonts w:ascii="Arial" w:hAnsi="Arial" w:cs="Arial"/>
        </w:rPr>
        <w:t>://doi.org/10.1080/13557850903418836.</w:t>
      </w:r>
    </w:p>
    <w:p w14:paraId="3F3624AD" w14:textId="77777777" w:rsidR="00126B55" w:rsidRPr="00126B55" w:rsidRDefault="00126B55" w:rsidP="00126B55">
      <w:pPr>
        <w:rPr>
          <w:rFonts w:ascii="Arial" w:hAnsi="Arial" w:cs="Arial"/>
        </w:rPr>
      </w:pPr>
      <w:r w:rsidRPr="00126B55">
        <w:rPr>
          <w:rFonts w:ascii="Arial" w:hAnsi="Arial" w:cs="Arial"/>
        </w:rPr>
        <w:t>26.</w:t>
      </w:r>
      <w:r w:rsidRPr="00126B55">
        <w:rPr>
          <w:rFonts w:ascii="Arial" w:hAnsi="Arial" w:cs="Arial"/>
        </w:rPr>
        <w:tab/>
        <w:t xml:space="preserve">Engel, M., Kars, M.C., Teunissen, S.C.C.M. and van der Heide, A. (2023) </w:t>
      </w:r>
      <w:r w:rsidRPr="00126B55">
        <w:rPr>
          <w:rFonts w:ascii="Arial" w:hAnsi="Arial" w:cs="Arial"/>
          <w:i/>
          <w:iCs/>
        </w:rPr>
        <w:t>Effective Communication in Palliative Care from the Perspectives of Patients and relatives</w:t>
      </w:r>
      <w:r w:rsidRPr="00126B55">
        <w:rPr>
          <w:rFonts w:ascii="Arial" w:hAnsi="Arial" w:cs="Arial"/>
        </w:rPr>
        <w:t xml:space="preserve">: a Systematic Review. Palliative &amp; Supportive Care, 21(5), pp.890–913. Available at: </w:t>
      </w:r>
      <w:proofErr w:type="spellStart"/>
      <w:r w:rsidRPr="00126B55">
        <w:rPr>
          <w:rFonts w:ascii="Arial" w:hAnsi="Arial" w:cs="Arial"/>
        </w:rPr>
        <w:t>doi:https</w:t>
      </w:r>
      <w:proofErr w:type="spellEnd"/>
      <w:r w:rsidRPr="00126B55">
        <w:rPr>
          <w:rFonts w:ascii="Arial" w:hAnsi="Arial" w:cs="Arial"/>
        </w:rPr>
        <w:t>://doi.org/10.1017/S1478951523001165.</w:t>
      </w:r>
    </w:p>
    <w:p w14:paraId="2530E360" w14:textId="77777777" w:rsidR="00126B55" w:rsidRDefault="00126B55" w:rsidP="00126B55">
      <w:pPr>
        <w:rPr>
          <w:rFonts w:ascii="Arial" w:hAnsi="Arial" w:cs="Arial"/>
        </w:rPr>
      </w:pPr>
    </w:p>
    <w:p w14:paraId="240B8664" w14:textId="77777777" w:rsidR="00126B55" w:rsidRDefault="00126B55" w:rsidP="00126B55">
      <w:pPr>
        <w:rPr>
          <w:rFonts w:ascii="Arial" w:hAnsi="Arial" w:cs="Arial"/>
        </w:rPr>
      </w:pPr>
    </w:p>
    <w:p w14:paraId="30F06378" w14:textId="53ABD53E" w:rsidR="00126B55" w:rsidRDefault="00126B55" w:rsidP="00126B55">
      <w:pPr>
        <w:rPr>
          <w:rFonts w:ascii="Arial" w:hAnsi="Arial" w:cs="Arial"/>
        </w:rPr>
      </w:pPr>
      <w:r w:rsidRPr="00126B55">
        <w:rPr>
          <w:rFonts w:ascii="Arial" w:hAnsi="Arial" w:cs="Arial"/>
        </w:rPr>
        <w:lastRenderedPageBreak/>
        <w:t>27.</w:t>
      </w:r>
      <w:r w:rsidRPr="00126B55">
        <w:rPr>
          <w:rFonts w:ascii="Arial" w:hAnsi="Arial" w:cs="Arial"/>
        </w:rPr>
        <w:tab/>
      </w:r>
      <w:proofErr w:type="spellStart"/>
      <w:r w:rsidRPr="00126B55">
        <w:rPr>
          <w:rFonts w:ascii="Arial" w:hAnsi="Arial" w:cs="Arial"/>
        </w:rPr>
        <w:t>Etkind</w:t>
      </w:r>
      <w:proofErr w:type="spellEnd"/>
      <w:r w:rsidRPr="00126B55">
        <w:rPr>
          <w:rFonts w:ascii="Arial" w:hAnsi="Arial" w:cs="Arial"/>
        </w:rPr>
        <w:t xml:space="preserve">, S.N., Bone, A.E., Gomes, B., Lovell, N., Evans, C.J., Higginson, I.J. and Murtagh, F.E.M. (2017) </w:t>
      </w:r>
      <w:r w:rsidRPr="00126B55">
        <w:rPr>
          <w:rFonts w:ascii="Arial" w:hAnsi="Arial" w:cs="Arial"/>
          <w:i/>
          <w:iCs/>
        </w:rPr>
        <w:t>How Many People Will Need Palliative Care in 2040? past trends, Future Projections and Implications for Services.</w:t>
      </w:r>
      <w:r w:rsidRPr="00126B55">
        <w:rPr>
          <w:rFonts w:ascii="Arial" w:hAnsi="Arial" w:cs="Arial"/>
        </w:rPr>
        <w:t xml:space="preserve"> BMC Medicine, 15(1), p.102. Available at: </w:t>
      </w:r>
      <w:proofErr w:type="spellStart"/>
      <w:r w:rsidRPr="00126B55">
        <w:rPr>
          <w:rFonts w:ascii="Arial" w:hAnsi="Arial" w:cs="Arial"/>
        </w:rPr>
        <w:t>doi:https</w:t>
      </w:r>
      <w:proofErr w:type="spellEnd"/>
      <w:r w:rsidRPr="00126B55">
        <w:rPr>
          <w:rFonts w:ascii="Arial" w:hAnsi="Arial" w:cs="Arial"/>
        </w:rPr>
        <w:t>://doi.org/10.1186/s12916-017-0860-2.</w:t>
      </w:r>
    </w:p>
    <w:p w14:paraId="3279F69D" w14:textId="4D7A8411" w:rsidR="00C678FD" w:rsidRPr="00C678FD" w:rsidRDefault="00C678FD" w:rsidP="00C678FD">
      <w:pPr>
        <w:rPr>
          <w:rFonts w:ascii="Arial" w:hAnsi="Arial" w:cs="Arial"/>
        </w:rPr>
      </w:pPr>
      <w:r w:rsidRPr="00C678FD">
        <w:rPr>
          <w:rFonts w:ascii="Arial" w:hAnsi="Arial" w:cs="Arial"/>
        </w:rPr>
        <w:t>28.</w:t>
      </w:r>
      <w:r>
        <w:rPr>
          <w:rFonts w:ascii="Arial" w:hAnsi="Arial" w:cs="Arial"/>
        </w:rPr>
        <w:t xml:space="preserve"> </w:t>
      </w:r>
      <w:r w:rsidRPr="00C678FD">
        <w:rPr>
          <w:rFonts w:ascii="Arial" w:hAnsi="Arial" w:cs="Arial"/>
        </w:rPr>
        <w:t xml:space="preserve">Flores, G. (2005) </w:t>
      </w:r>
      <w:r w:rsidRPr="00C678FD">
        <w:rPr>
          <w:rFonts w:ascii="Arial" w:hAnsi="Arial" w:cs="Arial"/>
          <w:i/>
          <w:iCs/>
        </w:rPr>
        <w:t>The Impact of Medical Interpreter Services on the Quality of Health Care:</w:t>
      </w:r>
      <w:r w:rsidRPr="00C678FD">
        <w:rPr>
          <w:rFonts w:ascii="Arial" w:hAnsi="Arial" w:cs="Arial"/>
        </w:rPr>
        <w:t xml:space="preserve"> </w:t>
      </w:r>
      <w:proofErr w:type="gramStart"/>
      <w:r w:rsidRPr="00C678FD">
        <w:rPr>
          <w:rFonts w:ascii="Arial" w:hAnsi="Arial" w:cs="Arial"/>
        </w:rPr>
        <w:t>a</w:t>
      </w:r>
      <w:proofErr w:type="gramEnd"/>
      <w:r w:rsidRPr="00C678FD">
        <w:rPr>
          <w:rFonts w:ascii="Arial" w:hAnsi="Arial" w:cs="Arial"/>
        </w:rPr>
        <w:t xml:space="preserve"> Systematic Review. Medical Care Research and Review, 62(3), pp.255–299. </w:t>
      </w:r>
      <w:r>
        <w:rPr>
          <w:rFonts w:ascii="Arial" w:hAnsi="Arial" w:cs="Arial"/>
        </w:rPr>
        <w:t>Available</w:t>
      </w:r>
      <w:r w:rsidRPr="00C678FD">
        <w:rPr>
          <w:rFonts w:ascii="Arial" w:hAnsi="Arial" w:cs="Arial"/>
        </w:rPr>
        <w:t xml:space="preserve"> at: </w:t>
      </w:r>
      <w:proofErr w:type="spellStart"/>
      <w:r w:rsidRPr="00C678FD">
        <w:rPr>
          <w:rFonts w:ascii="Arial" w:hAnsi="Arial" w:cs="Arial"/>
        </w:rPr>
        <w:t>doi:https</w:t>
      </w:r>
      <w:proofErr w:type="spellEnd"/>
      <w:r w:rsidRPr="00C678FD">
        <w:rPr>
          <w:rFonts w:ascii="Arial" w:hAnsi="Arial" w:cs="Arial"/>
        </w:rPr>
        <w:t>://doi.org/10.1177/1077558705275416.</w:t>
      </w:r>
    </w:p>
    <w:p w14:paraId="0BF6AD1F" w14:textId="0877AA8C" w:rsidR="00C678FD" w:rsidRPr="00C678FD" w:rsidRDefault="00C678FD" w:rsidP="00C678FD">
      <w:pPr>
        <w:rPr>
          <w:rFonts w:ascii="Arial" w:hAnsi="Arial" w:cs="Arial"/>
        </w:rPr>
      </w:pPr>
      <w:r w:rsidRPr="00C678FD">
        <w:rPr>
          <w:rFonts w:ascii="Arial" w:hAnsi="Arial" w:cs="Arial"/>
        </w:rPr>
        <w:t>29.</w:t>
      </w:r>
      <w:r>
        <w:rPr>
          <w:rFonts w:ascii="Arial" w:hAnsi="Arial" w:cs="Arial"/>
        </w:rPr>
        <w:t xml:space="preserve"> </w:t>
      </w:r>
      <w:r w:rsidRPr="00C678FD">
        <w:rPr>
          <w:rFonts w:ascii="Arial" w:hAnsi="Arial" w:cs="Arial"/>
        </w:rPr>
        <w:t xml:space="preserve">Ford, C.L. and </w:t>
      </w:r>
      <w:proofErr w:type="spellStart"/>
      <w:r w:rsidRPr="00C678FD">
        <w:rPr>
          <w:rFonts w:ascii="Arial" w:hAnsi="Arial" w:cs="Arial"/>
        </w:rPr>
        <w:t>Airhihenbuwa</w:t>
      </w:r>
      <w:proofErr w:type="spellEnd"/>
      <w:r w:rsidRPr="00C678FD">
        <w:rPr>
          <w:rFonts w:ascii="Arial" w:hAnsi="Arial" w:cs="Arial"/>
        </w:rPr>
        <w:t xml:space="preserve">, C.O. (2010) The public health critical race methodology: Praxis for antiracism research. Social Science &amp; Medicine, 71(8), pp.1390–1398. Available at: </w:t>
      </w:r>
      <w:proofErr w:type="spellStart"/>
      <w:r w:rsidRPr="00C678FD">
        <w:rPr>
          <w:rFonts w:ascii="Arial" w:hAnsi="Arial" w:cs="Arial"/>
        </w:rPr>
        <w:t>doi:https</w:t>
      </w:r>
      <w:proofErr w:type="spellEnd"/>
      <w:r w:rsidRPr="00C678FD">
        <w:rPr>
          <w:rFonts w:ascii="Arial" w:hAnsi="Arial" w:cs="Arial"/>
        </w:rPr>
        <w:t>://doi.org/10.1016/j.socscimed.2010.07.030.</w:t>
      </w:r>
    </w:p>
    <w:p w14:paraId="115C27B3" w14:textId="3491839F" w:rsidR="00C678FD" w:rsidRPr="00C678FD" w:rsidRDefault="00C678FD" w:rsidP="00C678FD">
      <w:pPr>
        <w:rPr>
          <w:rFonts w:ascii="Arial" w:hAnsi="Arial" w:cs="Arial"/>
        </w:rPr>
      </w:pPr>
      <w:r w:rsidRPr="00C678FD">
        <w:rPr>
          <w:rFonts w:ascii="Arial" w:hAnsi="Arial" w:cs="Arial"/>
        </w:rPr>
        <w:t>30.</w:t>
      </w:r>
      <w:r>
        <w:rPr>
          <w:rFonts w:ascii="Arial" w:hAnsi="Arial" w:cs="Arial"/>
        </w:rPr>
        <w:t xml:space="preserve"> </w:t>
      </w:r>
      <w:proofErr w:type="spellStart"/>
      <w:r w:rsidRPr="00C678FD">
        <w:rPr>
          <w:rFonts w:ascii="Arial" w:hAnsi="Arial" w:cs="Arial"/>
        </w:rPr>
        <w:t>Gatrad</w:t>
      </w:r>
      <w:proofErr w:type="spellEnd"/>
      <w:r w:rsidRPr="00C678FD">
        <w:rPr>
          <w:rFonts w:ascii="Arial" w:hAnsi="Arial" w:cs="Arial"/>
        </w:rPr>
        <w:t xml:space="preserve"> R and Sheikh A (2002) </w:t>
      </w:r>
      <w:r w:rsidRPr="00C678FD">
        <w:rPr>
          <w:rFonts w:ascii="Arial" w:hAnsi="Arial" w:cs="Arial"/>
          <w:i/>
          <w:iCs/>
        </w:rPr>
        <w:t>Palliative care for Muslims and issues after death. International journal of palliative nursing,</w:t>
      </w:r>
      <w:r w:rsidRPr="00C678FD">
        <w:rPr>
          <w:rFonts w:ascii="Arial" w:hAnsi="Arial" w:cs="Arial"/>
        </w:rPr>
        <w:t xml:space="preserve"> 8, pp.594–597. Available at: </w:t>
      </w:r>
      <w:hyperlink r:id="rId21" w:history="1">
        <w:r w:rsidRPr="00ED157C">
          <w:rPr>
            <w:rStyle w:val="Hyperlink"/>
            <w:rFonts w:ascii="Arial" w:hAnsi="Arial" w:cs="Arial"/>
          </w:rPr>
          <w:t>https://www.phc.ox.ac.uk/publications/2040493</w:t>
        </w:r>
      </w:hyperlink>
      <w:r>
        <w:rPr>
          <w:rFonts w:ascii="Arial" w:hAnsi="Arial" w:cs="Arial"/>
        </w:rPr>
        <w:t xml:space="preserve"> </w:t>
      </w:r>
      <w:r w:rsidRPr="00C678FD">
        <w:rPr>
          <w:rFonts w:ascii="Arial" w:hAnsi="Arial" w:cs="Arial"/>
        </w:rPr>
        <w:t>(Accessed</w:t>
      </w:r>
      <w:r>
        <w:rPr>
          <w:rFonts w:ascii="Arial" w:hAnsi="Arial" w:cs="Arial"/>
        </w:rPr>
        <w:t>:</w:t>
      </w:r>
      <w:r w:rsidRPr="00C678FD">
        <w:rPr>
          <w:rFonts w:ascii="Arial" w:hAnsi="Arial" w:cs="Arial"/>
        </w:rPr>
        <w:t xml:space="preserve"> 23 Sep. 2025).</w:t>
      </w:r>
    </w:p>
    <w:p w14:paraId="176BC2AA" w14:textId="25725248" w:rsidR="00C678FD" w:rsidRPr="00C678FD" w:rsidRDefault="00C678FD" w:rsidP="00C678FD">
      <w:pPr>
        <w:rPr>
          <w:rFonts w:ascii="Arial" w:hAnsi="Arial" w:cs="Arial"/>
        </w:rPr>
      </w:pPr>
      <w:r w:rsidRPr="00C678FD">
        <w:rPr>
          <w:rFonts w:ascii="Arial" w:hAnsi="Arial" w:cs="Arial"/>
        </w:rPr>
        <w:t>31.</w:t>
      </w:r>
      <w:r>
        <w:rPr>
          <w:rFonts w:ascii="Arial" w:hAnsi="Arial" w:cs="Arial"/>
        </w:rPr>
        <w:t xml:space="preserve"> </w:t>
      </w:r>
      <w:proofErr w:type="spellStart"/>
      <w:r w:rsidRPr="00C678FD">
        <w:rPr>
          <w:rFonts w:ascii="Arial" w:hAnsi="Arial" w:cs="Arial"/>
        </w:rPr>
        <w:t>Gerchow</w:t>
      </w:r>
      <w:proofErr w:type="spellEnd"/>
      <w:r w:rsidRPr="00C678FD">
        <w:rPr>
          <w:rFonts w:ascii="Arial" w:hAnsi="Arial" w:cs="Arial"/>
        </w:rPr>
        <w:t xml:space="preserve">, L., Burka, L.R., Miner, S. and Squires, A. (2021) </w:t>
      </w:r>
      <w:r w:rsidRPr="00C678FD">
        <w:rPr>
          <w:rFonts w:ascii="Arial" w:hAnsi="Arial" w:cs="Arial"/>
          <w:i/>
          <w:iCs/>
        </w:rPr>
        <w:t xml:space="preserve">Language barriers between nurses and patients: </w:t>
      </w:r>
      <w:r w:rsidRPr="00C678FD">
        <w:rPr>
          <w:rFonts w:ascii="Arial" w:hAnsi="Arial" w:cs="Arial"/>
        </w:rPr>
        <w:t xml:space="preserve">A scoping review. Patient Education and Counselling, 104(3), pp.534–553. </w:t>
      </w:r>
      <w:r w:rsidR="00740DDD">
        <w:rPr>
          <w:rFonts w:ascii="Arial" w:hAnsi="Arial" w:cs="Arial"/>
        </w:rPr>
        <w:t xml:space="preserve">Available at: </w:t>
      </w:r>
      <w:proofErr w:type="spellStart"/>
      <w:r w:rsidRPr="00C678FD">
        <w:rPr>
          <w:rFonts w:ascii="Arial" w:hAnsi="Arial" w:cs="Arial"/>
        </w:rPr>
        <w:t>doi:https</w:t>
      </w:r>
      <w:proofErr w:type="spellEnd"/>
      <w:r w:rsidRPr="00C678FD">
        <w:rPr>
          <w:rFonts w:ascii="Arial" w:hAnsi="Arial" w:cs="Arial"/>
        </w:rPr>
        <w:t>://doi.org/10.1016/j.pec.2020.09.017.</w:t>
      </w:r>
    </w:p>
    <w:p w14:paraId="1C17B5EC" w14:textId="76189E49" w:rsidR="00C678FD" w:rsidRDefault="00C678FD" w:rsidP="00C678FD">
      <w:pPr>
        <w:rPr>
          <w:rFonts w:ascii="Arial" w:hAnsi="Arial" w:cs="Arial"/>
        </w:rPr>
      </w:pPr>
      <w:r w:rsidRPr="00C678FD">
        <w:rPr>
          <w:rFonts w:ascii="Arial" w:hAnsi="Arial" w:cs="Arial"/>
        </w:rPr>
        <w:t>32.</w:t>
      </w:r>
      <w:r w:rsidR="00740DDD">
        <w:rPr>
          <w:rFonts w:ascii="Arial" w:hAnsi="Arial" w:cs="Arial"/>
        </w:rPr>
        <w:t xml:space="preserve"> </w:t>
      </w:r>
      <w:r w:rsidRPr="00C678FD">
        <w:rPr>
          <w:rFonts w:ascii="Arial" w:hAnsi="Arial" w:cs="Arial"/>
        </w:rPr>
        <w:t xml:space="preserve">GMICP, </w:t>
      </w:r>
      <w:proofErr w:type="spellStart"/>
      <w:r w:rsidRPr="00C678FD">
        <w:rPr>
          <w:rFonts w:ascii="Arial" w:hAnsi="Arial" w:cs="Arial"/>
        </w:rPr>
        <w:t>nd</w:t>
      </w:r>
      <w:proofErr w:type="spellEnd"/>
      <w:r w:rsidRPr="00C678FD">
        <w:rPr>
          <w:rFonts w:ascii="Arial" w:hAnsi="Arial" w:cs="Arial"/>
        </w:rPr>
        <w:t xml:space="preserve">, </w:t>
      </w:r>
      <w:r w:rsidRPr="00740DDD">
        <w:rPr>
          <w:rFonts w:ascii="Arial" w:hAnsi="Arial" w:cs="Arial"/>
          <w:i/>
          <w:iCs/>
        </w:rPr>
        <w:t>Greater Manchester Integrated Care Partnership.</w:t>
      </w:r>
      <w:r w:rsidRPr="00C678FD">
        <w:rPr>
          <w:rFonts w:ascii="Arial" w:hAnsi="Arial" w:cs="Arial"/>
        </w:rPr>
        <w:t xml:space="preserve"> (n.d.).  Available at: </w:t>
      </w:r>
      <w:hyperlink r:id="rId22" w:history="1">
        <w:r w:rsidR="00C90790" w:rsidRPr="00ED157C">
          <w:rPr>
            <w:rStyle w:val="Hyperlink"/>
            <w:rFonts w:ascii="Arial" w:hAnsi="Arial" w:cs="Arial"/>
          </w:rPr>
          <w:t>https://gmintegratedcare.org.uk/greatermanchester-icp/</w:t>
        </w:r>
      </w:hyperlink>
      <w:r w:rsidRPr="00C678FD">
        <w:rPr>
          <w:rFonts w:ascii="Arial" w:hAnsi="Arial" w:cs="Arial"/>
        </w:rPr>
        <w:t>.</w:t>
      </w:r>
      <w:r w:rsidR="00C90790">
        <w:rPr>
          <w:rFonts w:ascii="Arial" w:hAnsi="Arial" w:cs="Arial"/>
        </w:rPr>
        <w:t xml:space="preserve"> (Accessed: </w:t>
      </w:r>
      <w:r w:rsidR="00756F01">
        <w:rPr>
          <w:rFonts w:ascii="Arial" w:hAnsi="Arial" w:cs="Arial"/>
        </w:rPr>
        <w:t>22 October 2025).</w:t>
      </w:r>
    </w:p>
    <w:p w14:paraId="54AAE11F" w14:textId="6A6AF472" w:rsidR="00C678FD" w:rsidRPr="00C678FD" w:rsidRDefault="00C678FD" w:rsidP="00C678FD">
      <w:pPr>
        <w:rPr>
          <w:rFonts w:ascii="Arial" w:hAnsi="Arial" w:cs="Arial"/>
        </w:rPr>
      </w:pPr>
      <w:r w:rsidRPr="00C678FD">
        <w:rPr>
          <w:rFonts w:ascii="Arial" w:hAnsi="Arial" w:cs="Arial"/>
        </w:rPr>
        <w:t>33.</w:t>
      </w:r>
      <w:r w:rsidR="00740DDD">
        <w:rPr>
          <w:rFonts w:ascii="Arial" w:hAnsi="Arial" w:cs="Arial"/>
        </w:rPr>
        <w:t xml:space="preserve"> </w:t>
      </w:r>
      <w:r w:rsidRPr="00C678FD">
        <w:rPr>
          <w:rFonts w:ascii="Arial" w:hAnsi="Arial" w:cs="Arial"/>
        </w:rPr>
        <w:t xml:space="preserve">Gott, M., Ingleton, C., Gardiner, C., Richards, N., Cobb, M., Ryan, T., Noble, B., Bennett, M., Seymour, J., Ward, S. and Parker, C. (2013) </w:t>
      </w:r>
      <w:r w:rsidRPr="00740DDD">
        <w:rPr>
          <w:rFonts w:ascii="Arial" w:hAnsi="Arial" w:cs="Arial"/>
          <w:i/>
          <w:iCs/>
        </w:rPr>
        <w:t>Service user involvement</w:t>
      </w:r>
      <w:r w:rsidRPr="00C678FD">
        <w:rPr>
          <w:rFonts w:ascii="Arial" w:hAnsi="Arial" w:cs="Arial"/>
        </w:rPr>
        <w:t xml:space="preserve">.  Nih.gov. Available at: </w:t>
      </w:r>
      <w:hyperlink r:id="rId23" w:history="1">
        <w:r w:rsidR="00740DDD" w:rsidRPr="00ED157C">
          <w:rPr>
            <w:rStyle w:val="Hyperlink"/>
            <w:rFonts w:ascii="Arial" w:hAnsi="Arial" w:cs="Arial"/>
          </w:rPr>
          <w:t>https://www.ncbi.nlm.nih.gov/books/NBK259471/</w:t>
        </w:r>
      </w:hyperlink>
      <w:r w:rsidRPr="00C678FD">
        <w:rPr>
          <w:rFonts w:ascii="Arial" w:hAnsi="Arial" w:cs="Arial"/>
        </w:rPr>
        <w:t>.</w:t>
      </w:r>
      <w:r w:rsidR="00740DDD">
        <w:rPr>
          <w:rFonts w:ascii="Arial" w:hAnsi="Arial" w:cs="Arial"/>
        </w:rPr>
        <w:t xml:space="preserve"> </w:t>
      </w:r>
      <w:r w:rsidRPr="00C678FD">
        <w:rPr>
          <w:rFonts w:ascii="Arial" w:hAnsi="Arial" w:cs="Arial"/>
        </w:rPr>
        <w:t>(Accessed</w:t>
      </w:r>
      <w:r w:rsidR="00740DDD">
        <w:rPr>
          <w:rFonts w:ascii="Arial" w:hAnsi="Arial" w:cs="Arial"/>
        </w:rPr>
        <w:t>:</w:t>
      </w:r>
      <w:r w:rsidRPr="00C678FD">
        <w:rPr>
          <w:rFonts w:ascii="Arial" w:hAnsi="Arial" w:cs="Arial"/>
        </w:rPr>
        <w:t xml:space="preserve"> 1 November 2025)</w:t>
      </w:r>
    </w:p>
    <w:p w14:paraId="3A8B398E" w14:textId="12FAC2D7" w:rsidR="00C678FD" w:rsidRDefault="00C678FD" w:rsidP="00C678FD">
      <w:pPr>
        <w:rPr>
          <w:rFonts w:ascii="Arial" w:hAnsi="Arial" w:cs="Arial"/>
        </w:rPr>
      </w:pPr>
      <w:r w:rsidRPr="00C678FD">
        <w:rPr>
          <w:rFonts w:ascii="Arial" w:hAnsi="Arial" w:cs="Arial"/>
        </w:rPr>
        <w:t>34.</w:t>
      </w:r>
      <w:r w:rsidR="00740DDD">
        <w:rPr>
          <w:rFonts w:ascii="Arial" w:hAnsi="Arial" w:cs="Arial"/>
        </w:rPr>
        <w:t xml:space="preserve"> </w:t>
      </w:r>
      <w:r w:rsidRPr="00C678FD">
        <w:rPr>
          <w:rFonts w:ascii="Arial" w:hAnsi="Arial" w:cs="Arial"/>
        </w:rPr>
        <w:t xml:space="preserve">Gov.UK (2015) </w:t>
      </w:r>
      <w:r w:rsidRPr="00740DDD">
        <w:rPr>
          <w:rFonts w:ascii="Arial" w:hAnsi="Arial" w:cs="Arial"/>
          <w:i/>
          <w:iCs/>
        </w:rPr>
        <w:t>Equality Act 2010</w:t>
      </w:r>
      <w:r w:rsidRPr="00C678FD">
        <w:rPr>
          <w:rFonts w:ascii="Arial" w:hAnsi="Arial" w:cs="Arial"/>
        </w:rPr>
        <w:t xml:space="preserve">. GOV.UK. Available at: </w:t>
      </w:r>
      <w:hyperlink r:id="rId24" w:history="1">
        <w:r w:rsidR="009A5891" w:rsidRPr="00ED157C">
          <w:rPr>
            <w:rStyle w:val="Hyperlink"/>
            <w:rFonts w:ascii="Arial" w:hAnsi="Arial" w:cs="Arial"/>
          </w:rPr>
          <w:t>https://www.gov.uk/guidance/equality-act-2010-guidance</w:t>
        </w:r>
      </w:hyperlink>
      <w:r w:rsidRPr="00C678FD">
        <w:rPr>
          <w:rFonts w:ascii="Arial" w:hAnsi="Arial" w:cs="Arial"/>
        </w:rPr>
        <w:t>.</w:t>
      </w:r>
      <w:r w:rsidR="009A5891">
        <w:rPr>
          <w:rFonts w:ascii="Arial" w:hAnsi="Arial" w:cs="Arial"/>
        </w:rPr>
        <w:t xml:space="preserve"> (Accessed:</w:t>
      </w:r>
      <w:r w:rsidR="00C90790">
        <w:rPr>
          <w:rFonts w:ascii="Arial" w:hAnsi="Arial" w:cs="Arial"/>
        </w:rPr>
        <w:t xml:space="preserve"> 8 November 2025).</w:t>
      </w:r>
    </w:p>
    <w:p w14:paraId="0A2BC785" w14:textId="67D7AB87" w:rsidR="00C678FD" w:rsidRPr="00C678FD" w:rsidRDefault="00C678FD" w:rsidP="00C678FD">
      <w:pPr>
        <w:rPr>
          <w:rFonts w:ascii="Arial" w:hAnsi="Arial" w:cs="Arial"/>
        </w:rPr>
      </w:pPr>
      <w:r w:rsidRPr="00C678FD">
        <w:rPr>
          <w:rFonts w:ascii="Arial" w:hAnsi="Arial" w:cs="Arial"/>
        </w:rPr>
        <w:t>35.</w:t>
      </w:r>
      <w:r w:rsidR="00740DDD">
        <w:rPr>
          <w:rFonts w:ascii="Arial" w:hAnsi="Arial" w:cs="Arial"/>
        </w:rPr>
        <w:t xml:space="preserve"> </w:t>
      </w:r>
      <w:r w:rsidRPr="00C678FD">
        <w:rPr>
          <w:rFonts w:ascii="Arial" w:hAnsi="Arial" w:cs="Arial"/>
        </w:rPr>
        <w:t xml:space="preserve">Gunaratnam, Y. (2013). </w:t>
      </w:r>
      <w:r w:rsidRPr="00740DDD">
        <w:rPr>
          <w:rFonts w:ascii="Arial" w:hAnsi="Arial" w:cs="Arial"/>
          <w:i/>
          <w:iCs/>
        </w:rPr>
        <w:t>Death and the Migrant. Bloomsbury Publishing Plc eBooks</w:t>
      </w:r>
      <w:r w:rsidRPr="00C678FD">
        <w:rPr>
          <w:rFonts w:ascii="Arial" w:hAnsi="Arial" w:cs="Arial"/>
        </w:rPr>
        <w:t xml:space="preserve">. Bloomsbury Publishing plc. Available at:  </w:t>
      </w:r>
      <w:proofErr w:type="spellStart"/>
      <w:r w:rsidRPr="00C678FD">
        <w:rPr>
          <w:rFonts w:ascii="Arial" w:hAnsi="Arial" w:cs="Arial"/>
        </w:rPr>
        <w:t>doi:https</w:t>
      </w:r>
      <w:proofErr w:type="spellEnd"/>
      <w:r w:rsidRPr="00C678FD">
        <w:rPr>
          <w:rFonts w:ascii="Arial" w:hAnsi="Arial" w:cs="Arial"/>
        </w:rPr>
        <w:t>://doi.org/10.5040/9781472544414.</w:t>
      </w:r>
    </w:p>
    <w:p w14:paraId="4C91DF01" w14:textId="3632319A" w:rsidR="00C678FD" w:rsidRPr="00C678FD" w:rsidRDefault="00C678FD" w:rsidP="00C678FD">
      <w:pPr>
        <w:rPr>
          <w:rFonts w:ascii="Arial" w:hAnsi="Arial" w:cs="Arial"/>
        </w:rPr>
      </w:pPr>
      <w:r w:rsidRPr="00C678FD">
        <w:rPr>
          <w:rFonts w:ascii="Arial" w:hAnsi="Arial" w:cs="Arial"/>
        </w:rPr>
        <w:t>36.</w:t>
      </w:r>
      <w:r w:rsidR="00740DDD">
        <w:rPr>
          <w:rFonts w:ascii="Arial" w:hAnsi="Arial" w:cs="Arial"/>
        </w:rPr>
        <w:t xml:space="preserve"> </w:t>
      </w:r>
      <w:r w:rsidRPr="00C678FD">
        <w:rPr>
          <w:rFonts w:ascii="Arial" w:hAnsi="Arial" w:cs="Arial"/>
        </w:rPr>
        <w:t xml:space="preserve">Hart, C. (2018) </w:t>
      </w:r>
      <w:r w:rsidRPr="00740DDD">
        <w:rPr>
          <w:rFonts w:ascii="Arial" w:hAnsi="Arial" w:cs="Arial"/>
          <w:i/>
          <w:iCs/>
        </w:rPr>
        <w:t>Doing a literature review: releasing the research imagination</w:t>
      </w:r>
      <w:r w:rsidRPr="00C678FD">
        <w:rPr>
          <w:rFonts w:ascii="Arial" w:hAnsi="Arial" w:cs="Arial"/>
        </w:rPr>
        <w:t>. 2nd ed. Los Angeles: Sage.</w:t>
      </w:r>
    </w:p>
    <w:p w14:paraId="13251138" w14:textId="7535571F" w:rsidR="00C678FD" w:rsidRPr="00C678FD" w:rsidRDefault="00C678FD" w:rsidP="00C678FD">
      <w:pPr>
        <w:rPr>
          <w:rFonts w:ascii="Arial" w:hAnsi="Arial" w:cs="Arial"/>
        </w:rPr>
      </w:pPr>
      <w:r w:rsidRPr="00C678FD">
        <w:rPr>
          <w:rFonts w:ascii="Arial" w:hAnsi="Arial" w:cs="Arial"/>
        </w:rPr>
        <w:t>37.</w:t>
      </w:r>
      <w:r w:rsidR="00740DDD">
        <w:rPr>
          <w:rFonts w:ascii="Arial" w:hAnsi="Arial" w:cs="Arial"/>
        </w:rPr>
        <w:t xml:space="preserve"> </w:t>
      </w:r>
      <w:r w:rsidRPr="00C678FD">
        <w:rPr>
          <w:rFonts w:ascii="Arial" w:hAnsi="Arial" w:cs="Arial"/>
        </w:rPr>
        <w:t xml:space="preserve">Haward, R.A. (2006) </w:t>
      </w:r>
      <w:r w:rsidRPr="001A1732">
        <w:rPr>
          <w:rFonts w:ascii="Arial" w:hAnsi="Arial" w:cs="Arial"/>
          <w:i/>
          <w:iCs/>
        </w:rPr>
        <w:t>The Calman–Hine report: a personal retrospective on the UK’s first comprehensive policy on cancer services.</w:t>
      </w:r>
      <w:r w:rsidRPr="00C678FD">
        <w:rPr>
          <w:rFonts w:ascii="Arial" w:hAnsi="Arial" w:cs="Arial"/>
        </w:rPr>
        <w:t xml:space="preserve"> The Lancet Oncology, 7(4), pp.336–346. Available at: </w:t>
      </w:r>
      <w:proofErr w:type="spellStart"/>
      <w:r w:rsidRPr="00C678FD">
        <w:rPr>
          <w:rFonts w:ascii="Arial" w:hAnsi="Arial" w:cs="Arial"/>
        </w:rPr>
        <w:t>doi:https</w:t>
      </w:r>
      <w:proofErr w:type="spellEnd"/>
      <w:r w:rsidRPr="00C678FD">
        <w:rPr>
          <w:rFonts w:ascii="Arial" w:hAnsi="Arial" w:cs="Arial"/>
        </w:rPr>
        <w:t>://doi.org/10.1016/s1470-2045(06)70659-3.</w:t>
      </w:r>
    </w:p>
    <w:p w14:paraId="12783B4D" w14:textId="77777777" w:rsidR="001A1732" w:rsidRDefault="001A1732" w:rsidP="00C678FD">
      <w:pPr>
        <w:rPr>
          <w:rFonts w:ascii="Arial" w:hAnsi="Arial" w:cs="Arial"/>
        </w:rPr>
      </w:pPr>
    </w:p>
    <w:p w14:paraId="10123B62" w14:textId="3336ADE4" w:rsidR="00C678FD" w:rsidRPr="00C678FD" w:rsidRDefault="00C678FD" w:rsidP="00C678FD">
      <w:pPr>
        <w:rPr>
          <w:rFonts w:ascii="Arial" w:hAnsi="Arial" w:cs="Arial"/>
        </w:rPr>
      </w:pPr>
      <w:r w:rsidRPr="00C678FD">
        <w:rPr>
          <w:rFonts w:ascii="Arial" w:hAnsi="Arial" w:cs="Arial"/>
        </w:rPr>
        <w:lastRenderedPageBreak/>
        <w:t>38.</w:t>
      </w:r>
      <w:r w:rsidR="001A1732">
        <w:rPr>
          <w:rFonts w:ascii="Arial" w:hAnsi="Arial" w:cs="Arial"/>
        </w:rPr>
        <w:t xml:space="preserve"> </w:t>
      </w:r>
      <w:r w:rsidRPr="00C678FD">
        <w:rPr>
          <w:rFonts w:ascii="Arial" w:hAnsi="Arial" w:cs="Arial"/>
        </w:rPr>
        <w:t xml:space="preserve">Health (2025) </w:t>
      </w:r>
      <w:r w:rsidRPr="001A1732">
        <w:rPr>
          <w:rFonts w:ascii="Arial" w:hAnsi="Arial" w:cs="Arial"/>
          <w:i/>
          <w:iCs/>
        </w:rPr>
        <w:t>Terminally Ill Adults (End of Life) Bill: equality impact assessment - summary</w:t>
      </w:r>
      <w:r w:rsidRPr="00C678FD">
        <w:rPr>
          <w:rFonts w:ascii="Arial" w:hAnsi="Arial" w:cs="Arial"/>
        </w:rPr>
        <w:t xml:space="preserve"> (as introduced to the Lords). GOV.UK. Available at: </w:t>
      </w:r>
      <w:hyperlink r:id="rId25" w:history="1">
        <w:r w:rsidR="001A1732" w:rsidRPr="00ED157C">
          <w:rPr>
            <w:rStyle w:val="Hyperlink"/>
            <w:rFonts w:ascii="Arial" w:hAnsi="Arial" w:cs="Arial"/>
          </w:rPr>
          <w:t>https://www.gov.uk/government/publications/terminally-ill-adults-end-of-life-bill-equality-impact-assessment/terminally-ill-adults-end-of-life-bill-equality-impact-assessment-summary-as-introduced-to-the-lords</w:t>
        </w:r>
      </w:hyperlink>
      <w:r w:rsidRPr="00C678FD">
        <w:rPr>
          <w:rFonts w:ascii="Arial" w:hAnsi="Arial" w:cs="Arial"/>
        </w:rPr>
        <w:t>.</w:t>
      </w:r>
      <w:r w:rsidR="001A1732">
        <w:rPr>
          <w:rFonts w:ascii="Arial" w:hAnsi="Arial" w:cs="Arial"/>
        </w:rPr>
        <w:t xml:space="preserve"> </w:t>
      </w:r>
      <w:r w:rsidRPr="00C678FD">
        <w:rPr>
          <w:rFonts w:ascii="Arial" w:hAnsi="Arial" w:cs="Arial"/>
        </w:rPr>
        <w:t>(Accessed</w:t>
      </w:r>
      <w:r w:rsidR="001A1732">
        <w:rPr>
          <w:rFonts w:ascii="Arial" w:hAnsi="Arial" w:cs="Arial"/>
        </w:rPr>
        <w:t>:</w:t>
      </w:r>
      <w:r w:rsidRPr="00C678FD">
        <w:rPr>
          <w:rFonts w:ascii="Arial" w:hAnsi="Arial" w:cs="Arial"/>
        </w:rPr>
        <w:t>10 June 2025)</w:t>
      </w:r>
    </w:p>
    <w:p w14:paraId="267CCE42" w14:textId="4F961AC9" w:rsidR="00C678FD" w:rsidRPr="00C678FD" w:rsidRDefault="00C678FD" w:rsidP="00C678FD">
      <w:pPr>
        <w:rPr>
          <w:rFonts w:ascii="Arial" w:hAnsi="Arial" w:cs="Arial"/>
        </w:rPr>
      </w:pPr>
      <w:r w:rsidRPr="00C678FD">
        <w:rPr>
          <w:rFonts w:ascii="Arial" w:hAnsi="Arial" w:cs="Arial"/>
        </w:rPr>
        <w:t>39.</w:t>
      </w:r>
      <w:r w:rsidR="004659B5">
        <w:rPr>
          <w:rFonts w:ascii="Arial" w:hAnsi="Arial" w:cs="Arial"/>
        </w:rPr>
        <w:t xml:space="preserve"> </w:t>
      </w:r>
      <w:r w:rsidRPr="00C678FD">
        <w:rPr>
          <w:rFonts w:ascii="Arial" w:hAnsi="Arial" w:cs="Arial"/>
        </w:rPr>
        <w:t xml:space="preserve">Health Canada (2018) </w:t>
      </w:r>
      <w:r w:rsidRPr="004659B5">
        <w:rPr>
          <w:rFonts w:ascii="Arial" w:hAnsi="Arial" w:cs="Arial"/>
          <w:i/>
          <w:iCs/>
        </w:rPr>
        <w:t>Health Canada</w:t>
      </w:r>
      <w:r w:rsidRPr="00C678FD">
        <w:rPr>
          <w:rFonts w:ascii="Arial" w:hAnsi="Arial" w:cs="Arial"/>
        </w:rPr>
        <w:t xml:space="preserve"> - Canada.ca. Canada.ca. Available at: </w:t>
      </w:r>
      <w:hyperlink r:id="rId26" w:history="1">
        <w:r w:rsidR="004659B5" w:rsidRPr="00ED157C">
          <w:rPr>
            <w:rStyle w:val="Hyperlink"/>
            <w:rFonts w:ascii="Arial" w:hAnsi="Arial" w:cs="Arial"/>
          </w:rPr>
          <w:t>https://www.canada.ca/en/health-canada.html</w:t>
        </w:r>
      </w:hyperlink>
      <w:r w:rsidRPr="00C678FD">
        <w:rPr>
          <w:rFonts w:ascii="Arial" w:hAnsi="Arial" w:cs="Arial"/>
        </w:rPr>
        <w:t>.</w:t>
      </w:r>
      <w:r w:rsidR="004659B5">
        <w:rPr>
          <w:rFonts w:ascii="Arial" w:hAnsi="Arial" w:cs="Arial"/>
        </w:rPr>
        <w:t xml:space="preserve"> </w:t>
      </w:r>
      <w:r w:rsidRPr="00C678FD">
        <w:rPr>
          <w:rFonts w:ascii="Arial" w:hAnsi="Arial" w:cs="Arial"/>
        </w:rPr>
        <w:t>(Accessed</w:t>
      </w:r>
      <w:r w:rsidR="004659B5">
        <w:rPr>
          <w:rFonts w:ascii="Arial" w:hAnsi="Arial" w:cs="Arial"/>
        </w:rPr>
        <w:t>:</w:t>
      </w:r>
      <w:r w:rsidRPr="00C678FD">
        <w:rPr>
          <w:rFonts w:ascii="Arial" w:hAnsi="Arial" w:cs="Arial"/>
        </w:rPr>
        <w:t xml:space="preserve"> 1 July 2025).</w:t>
      </w:r>
    </w:p>
    <w:p w14:paraId="34A072D9" w14:textId="7A2362BA" w:rsidR="00D43857" w:rsidRPr="00711908" w:rsidRDefault="00C678FD" w:rsidP="00C678FD">
      <w:pPr>
        <w:rPr>
          <w:rFonts w:ascii="Arial" w:hAnsi="Arial" w:cs="Arial"/>
        </w:rPr>
      </w:pPr>
      <w:r w:rsidRPr="00711908">
        <w:rPr>
          <w:rFonts w:ascii="Arial" w:hAnsi="Arial" w:cs="Arial"/>
        </w:rPr>
        <w:t>40.</w:t>
      </w:r>
      <w:r w:rsidR="004659B5" w:rsidRPr="00711908">
        <w:rPr>
          <w:rFonts w:ascii="Arial" w:hAnsi="Arial" w:cs="Arial"/>
        </w:rPr>
        <w:t xml:space="preserve"> </w:t>
      </w:r>
      <w:r w:rsidRPr="00711908">
        <w:rPr>
          <w:rFonts w:ascii="Arial" w:hAnsi="Arial" w:cs="Arial"/>
        </w:rPr>
        <w:t xml:space="preserve">Higginson, I.J. (2016) </w:t>
      </w:r>
      <w:r w:rsidRPr="00711908">
        <w:rPr>
          <w:rFonts w:ascii="Arial" w:hAnsi="Arial" w:cs="Arial"/>
          <w:i/>
          <w:iCs/>
        </w:rPr>
        <w:t>Research challenges in palliative and end of life care</w:t>
      </w:r>
      <w:r w:rsidRPr="00711908">
        <w:rPr>
          <w:rFonts w:ascii="Arial" w:hAnsi="Arial" w:cs="Arial"/>
        </w:rPr>
        <w:t>. BMJ Supportive &amp; Palliative Care, 6(1), pp.2–4.</w:t>
      </w:r>
      <w:r w:rsidR="004659B5" w:rsidRPr="00711908">
        <w:rPr>
          <w:rFonts w:ascii="Arial" w:hAnsi="Arial" w:cs="Arial"/>
        </w:rPr>
        <w:t xml:space="preserve"> Available at:</w:t>
      </w:r>
      <w:r w:rsidRPr="00711908">
        <w:rPr>
          <w:rFonts w:ascii="Arial" w:hAnsi="Arial" w:cs="Arial"/>
        </w:rPr>
        <w:t xml:space="preserve"> </w:t>
      </w:r>
      <w:proofErr w:type="spellStart"/>
      <w:r w:rsidRPr="00711908">
        <w:rPr>
          <w:rFonts w:ascii="Arial" w:hAnsi="Arial" w:cs="Arial"/>
        </w:rPr>
        <w:t>doi:https</w:t>
      </w:r>
      <w:proofErr w:type="spellEnd"/>
      <w:r w:rsidRPr="00711908">
        <w:rPr>
          <w:rFonts w:ascii="Arial" w:hAnsi="Arial" w:cs="Arial"/>
        </w:rPr>
        <w:t>://doi.org/10.1136/bmjspcare-2015-001091.</w:t>
      </w:r>
    </w:p>
    <w:p w14:paraId="0356160C" w14:textId="1E6E79D7" w:rsidR="00711908" w:rsidRPr="00711908" w:rsidRDefault="00711908" w:rsidP="00711908">
      <w:pPr>
        <w:rPr>
          <w:rFonts w:ascii="Arial" w:hAnsi="Arial" w:cs="Arial"/>
        </w:rPr>
      </w:pPr>
      <w:r w:rsidRPr="00711908">
        <w:rPr>
          <w:rFonts w:ascii="Arial" w:hAnsi="Arial" w:cs="Arial"/>
        </w:rPr>
        <w:t>41.</w:t>
      </w:r>
      <w:r>
        <w:rPr>
          <w:rFonts w:ascii="Arial" w:hAnsi="Arial" w:cs="Arial"/>
        </w:rPr>
        <w:t xml:space="preserve"> </w:t>
      </w:r>
      <w:r w:rsidRPr="00711908">
        <w:rPr>
          <w:rFonts w:ascii="Arial" w:hAnsi="Arial" w:cs="Arial"/>
        </w:rPr>
        <w:t xml:space="preserve">Horvat, L., Horey, D., Romios, P. and Kis-Rigo, J. (2014) </w:t>
      </w:r>
      <w:r w:rsidRPr="00711908">
        <w:rPr>
          <w:rFonts w:ascii="Arial" w:hAnsi="Arial" w:cs="Arial"/>
          <w:i/>
          <w:iCs/>
        </w:rPr>
        <w:t>Cultural Competence Education for Health Professionals</w:t>
      </w:r>
      <w:r w:rsidRPr="00711908">
        <w:rPr>
          <w:rFonts w:ascii="Arial" w:hAnsi="Arial" w:cs="Arial"/>
        </w:rPr>
        <w:t xml:space="preserve">. Cochrane Database of Systematic Reviews, 5(5). Available at: </w:t>
      </w:r>
      <w:proofErr w:type="spellStart"/>
      <w:r w:rsidRPr="00711908">
        <w:rPr>
          <w:rFonts w:ascii="Arial" w:hAnsi="Arial" w:cs="Arial"/>
        </w:rPr>
        <w:t>doi:https</w:t>
      </w:r>
      <w:proofErr w:type="spellEnd"/>
      <w:r w:rsidRPr="00711908">
        <w:rPr>
          <w:rFonts w:ascii="Arial" w:hAnsi="Arial" w:cs="Arial"/>
        </w:rPr>
        <w:t>://doi.org/10.1002/14651858.cd009405.pub2.</w:t>
      </w:r>
    </w:p>
    <w:p w14:paraId="18987273" w14:textId="5EC2DE7F" w:rsidR="00711908" w:rsidRPr="00711908" w:rsidRDefault="00711908" w:rsidP="00711908">
      <w:pPr>
        <w:rPr>
          <w:rFonts w:ascii="Arial" w:hAnsi="Arial" w:cs="Arial"/>
        </w:rPr>
      </w:pPr>
      <w:r w:rsidRPr="00711908">
        <w:rPr>
          <w:rFonts w:ascii="Arial" w:hAnsi="Arial" w:cs="Arial"/>
        </w:rPr>
        <w:t>42.</w:t>
      </w:r>
      <w:r>
        <w:rPr>
          <w:rFonts w:ascii="Arial" w:hAnsi="Arial" w:cs="Arial"/>
        </w:rPr>
        <w:t xml:space="preserve"> </w:t>
      </w:r>
      <w:r w:rsidRPr="00711908">
        <w:rPr>
          <w:rFonts w:ascii="Arial" w:hAnsi="Arial" w:cs="Arial"/>
        </w:rPr>
        <w:t xml:space="preserve">Hospice care (2021) </w:t>
      </w:r>
      <w:r w:rsidRPr="00711908">
        <w:rPr>
          <w:rFonts w:ascii="Arial" w:hAnsi="Arial" w:cs="Arial"/>
          <w:i/>
          <w:iCs/>
        </w:rPr>
        <w:t>Hospice care featured in national report for equality in end-of-life care.</w:t>
      </w:r>
      <w:r w:rsidRPr="00711908">
        <w:rPr>
          <w:rFonts w:ascii="Arial" w:hAnsi="Arial" w:cs="Arial"/>
        </w:rPr>
        <w:t xml:space="preserve">  Available at: </w:t>
      </w:r>
      <w:hyperlink r:id="rId27" w:history="1">
        <w:r w:rsidRPr="00ED157C">
          <w:rPr>
            <w:rStyle w:val="Hyperlink"/>
            <w:rFonts w:ascii="Arial" w:hAnsi="Arial" w:cs="Arial"/>
          </w:rPr>
          <w:t>https://hospiscare.co.uk/hospiscare-featured-in-national-report-for-equality-in-end-of-life-care/</w:t>
        </w:r>
      </w:hyperlink>
      <w:r>
        <w:rPr>
          <w:rFonts w:ascii="Arial" w:hAnsi="Arial" w:cs="Arial"/>
        </w:rPr>
        <w:t xml:space="preserve"> </w:t>
      </w:r>
      <w:r w:rsidRPr="00711908">
        <w:rPr>
          <w:rFonts w:ascii="Arial" w:hAnsi="Arial" w:cs="Arial"/>
        </w:rPr>
        <w:t>(Accessed</w:t>
      </w:r>
      <w:r>
        <w:rPr>
          <w:rFonts w:ascii="Arial" w:hAnsi="Arial" w:cs="Arial"/>
        </w:rPr>
        <w:t>:</w:t>
      </w:r>
      <w:r w:rsidRPr="00711908">
        <w:rPr>
          <w:rFonts w:ascii="Arial" w:hAnsi="Arial" w:cs="Arial"/>
        </w:rPr>
        <w:t xml:space="preserve"> 22 Sep. 2025).</w:t>
      </w:r>
    </w:p>
    <w:p w14:paraId="2B6B6013" w14:textId="6F6DC0BF" w:rsidR="00711908" w:rsidRPr="00711908" w:rsidRDefault="00711908" w:rsidP="00711908">
      <w:pPr>
        <w:rPr>
          <w:rFonts w:ascii="Arial" w:hAnsi="Arial" w:cs="Arial"/>
        </w:rPr>
      </w:pPr>
      <w:r w:rsidRPr="00711908">
        <w:rPr>
          <w:rFonts w:ascii="Arial" w:hAnsi="Arial" w:cs="Arial"/>
        </w:rPr>
        <w:t>43.</w:t>
      </w:r>
      <w:r>
        <w:rPr>
          <w:rFonts w:ascii="Arial" w:hAnsi="Arial" w:cs="Arial"/>
        </w:rPr>
        <w:t xml:space="preserve"> </w:t>
      </w:r>
      <w:r w:rsidRPr="00711908">
        <w:rPr>
          <w:rFonts w:ascii="Arial" w:hAnsi="Arial" w:cs="Arial"/>
        </w:rPr>
        <w:t xml:space="preserve">Hospice UK.2021 </w:t>
      </w:r>
      <w:r w:rsidRPr="00711908">
        <w:rPr>
          <w:rFonts w:ascii="Arial" w:hAnsi="Arial" w:cs="Arial"/>
          <w:i/>
          <w:iCs/>
        </w:rPr>
        <w:t>Equality in Hospice and End of Life Care</w:t>
      </w:r>
      <w:r w:rsidRPr="00711908">
        <w:rPr>
          <w:rFonts w:ascii="Arial" w:hAnsi="Arial" w:cs="Arial"/>
        </w:rPr>
        <w:t xml:space="preserve">: Challenges and change. Available at: </w:t>
      </w:r>
      <w:hyperlink r:id="rId28" w:history="1">
        <w:r w:rsidRPr="00ED157C">
          <w:rPr>
            <w:rStyle w:val="Hyperlink"/>
            <w:rFonts w:ascii="Arial" w:hAnsi="Arial" w:cs="Arial"/>
          </w:rPr>
          <w:t>https://www.hospiceuk.org/publications-and-resources/equality-hospice-and-end-life-care-challenges-and-change</w:t>
        </w:r>
      </w:hyperlink>
      <w:r w:rsidRPr="00711908">
        <w:rPr>
          <w:rFonts w:ascii="Arial" w:hAnsi="Arial" w:cs="Arial"/>
        </w:rPr>
        <w:t>.</w:t>
      </w:r>
      <w:r>
        <w:rPr>
          <w:rFonts w:ascii="Arial" w:hAnsi="Arial" w:cs="Arial"/>
        </w:rPr>
        <w:t xml:space="preserve"> </w:t>
      </w:r>
      <w:r w:rsidRPr="00711908">
        <w:rPr>
          <w:rFonts w:ascii="Arial" w:hAnsi="Arial" w:cs="Arial"/>
        </w:rPr>
        <w:t>(Accessed</w:t>
      </w:r>
      <w:r>
        <w:rPr>
          <w:rFonts w:ascii="Arial" w:hAnsi="Arial" w:cs="Arial"/>
        </w:rPr>
        <w:t>:</w:t>
      </w:r>
      <w:r w:rsidRPr="00711908">
        <w:rPr>
          <w:rFonts w:ascii="Arial" w:hAnsi="Arial" w:cs="Arial"/>
        </w:rPr>
        <w:t xml:space="preserve"> 1 November 2025).</w:t>
      </w:r>
    </w:p>
    <w:p w14:paraId="51517884" w14:textId="6D92F57C" w:rsidR="00711908" w:rsidRPr="00711908" w:rsidRDefault="00711908" w:rsidP="00711908">
      <w:pPr>
        <w:rPr>
          <w:rFonts w:ascii="Arial" w:hAnsi="Arial" w:cs="Arial"/>
        </w:rPr>
      </w:pPr>
      <w:r w:rsidRPr="00711908">
        <w:rPr>
          <w:rFonts w:ascii="Arial" w:hAnsi="Arial" w:cs="Arial"/>
        </w:rPr>
        <w:t>44.</w:t>
      </w:r>
      <w:r>
        <w:rPr>
          <w:rFonts w:ascii="Arial" w:hAnsi="Arial" w:cs="Arial"/>
        </w:rPr>
        <w:t xml:space="preserve"> </w:t>
      </w:r>
      <w:r w:rsidRPr="00711908">
        <w:rPr>
          <w:rFonts w:ascii="Arial" w:hAnsi="Arial" w:cs="Arial"/>
        </w:rPr>
        <w:t xml:space="preserve">Hospiceuk.org. (2024) </w:t>
      </w:r>
      <w:r w:rsidRPr="00711908">
        <w:rPr>
          <w:rFonts w:ascii="Arial" w:hAnsi="Arial" w:cs="Arial"/>
          <w:i/>
          <w:iCs/>
        </w:rPr>
        <w:t>Publications and Resources</w:t>
      </w:r>
      <w:r w:rsidRPr="00711908">
        <w:rPr>
          <w:rFonts w:ascii="Arial" w:hAnsi="Arial" w:cs="Arial"/>
        </w:rPr>
        <w:t xml:space="preserve"> | Hospice UK. Available at: </w:t>
      </w:r>
      <w:hyperlink r:id="rId29" w:history="1">
        <w:r w:rsidRPr="00ED157C">
          <w:rPr>
            <w:rStyle w:val="Hyperlink"/>
            <w:rFonts w:ascii="Arial" w:hAnsi="Arial" w:cs="Arial"/>
          </w:rPr>
          <w:t>https://www.hospiceuk.org/publications-and-resources</w:t>
        </w:r>
      </w:hyperlink>
      <w:r w:rsidRPr="00711908">
        <w:rPr>
          <w:rFonts w:ascii="Arial" w:hAnsi="Arial" w:cs="Arial"/>
        </w:rPr>
        <w:t>.</w:t>
      </w:r>
      <w:r>
        <w:rPr>
          <w:rFonts w:ascii="Arial" w:hAnsi="Arial" w:cs="Arial"/>
        </w:rPr>
        <w:t xml:space="preserve"> </w:t>
      </w:r>
      <w:r w:rsidRPr="00711908">
        <w:rPr>
          <w:rFonts w:ascii="Arial" w:hAnsi="Arial" w:cs="Arial"/>
        </w:rPr>
        <w:t>(Accessed</w:t>
      </w:r>
      <w:r>
        <w:rPr>
          <w:rFonts w:ascii="Arial" w:hAnsi="Arial" w:cs="Arial"/>
        </w:rPr>
        <w:t>:</w:t>
      </w:r>
      <w:r w:rsidRPr="00711908">
        <w:rPr>
          <w:rFonts w:ascii="Arial" w:hAnsi="Arial" w:cs="Arial"/>
        </w:rPr>
        <w:t xml:space="preserve"> 2 July 2025).</w:t>
      </w:r>
    </w:p>
    <w:p w14:paraId="3D8941F6" w14:textId="77EE0733" w:rsidR="00711908" w:rsidRPr="00711908" w:rsidRDefault="00711908" w:rsidP="00711908">
      <w:pPr>
        <w:rPr>
          <w:rFonts w:ascii="Arial" w:hAnsi="Arial" w:cs="Arial"/>
        </w:rPr>
      </w:pPr>
      <w:r w:rsidRPr="00711908">
        <w:rPr>
          <w:rFonts w:ascii="Arial" w:hAnsi="Arial" w:cs="Arial"/>
        </w:rPr>
        <w:t>45.</w:t>
      </w:r>
      <w:r>
        <w:rPr>
          <w:rFonts w:ascii="Arial" w:hAnsi="Arial" w:cs="Arial"/>
        </w:rPr>
        <w:t xml:space="preserve"> </w:t>
      </w:r>
      <w:r w:rsidRPr="00711908">
        <w:rPr>
          <w:rFonts w:ascii="Arial" w:hAnsi="Arial" w:cs="Arial"/>
        </w:rPr>
        <w:t xml:space="preserve">Kai, J., Beavan, J., Faull, C., Dodson, L., Gill, P. and Beighton, A. (2007) </w:t>
      </w:r>
      <w:r w:rsidRPr="00CB2229">
        <w:rPr>
          <w:rFonts w:ascii="Arial" w:hAnsi="Arial" w:cs="Arial"/>
          <w:i/>
          <w:iCs/>
        </w:rPr>
        <w:t>Professional Uncertainty and Disempowerment Responding to Ethnic Diversity in Health Care</w:t>
      </w:r>
      <w:r w:rsidRPr="00711908">
        <w:rPr>
          <w:rFonts w:ascii="Arial" w:hAnsi="Arial" w:cs="Arial"/>
        </w:rPr>
        <w:t xml:space="preserve">: A Qualitative Study. </w:t>
      </w:r>
      <w:proofErr w:type="spellStart"/>
      <w:r w:rsidRPr="00711908">
        <w:rPr>
          <w:rFonts w:ascii="Arial" w:hAnsi="Arial" w:cs="Arial"/>
        </w:rPr>
        <w:t>PLoS</w:t>
      </w:r>
      <w:proofErr w:type="spellEnd"/>
      <w:r w:rsidRPr="00711908">
        <w:rPr>
          <w:rFonts w:ascii="Arial" w:hAnsi="Arial" w:cs="Arial"/>
        </w:rPr>
        <w:t xml:space="preserve"> Medicine,4(11), p.e323. Available at: </w:t>
      </w:r>
      <w:proofErr w:type="spellStart"/>
      <w:r w:rsidRPr="00711908">
        <w:rPr>
          <w:rFonts w:ascii="Arial" w:hAnsi="Arial" w:cs="Arial"/>
        </w:rPr>
        <w:t>doi:https</w:t>
      </w:r>
      <w:proofErr w:type="spellEnd"/>
      <w:r w:rsidRPr="00711908">
        <w:rPr>
          <w:rFonts w:ascii="Arial" w:hAnsi="Arial" w:cs="Arial"/>
        </w:rPr>
        <w:t>://doi.org/10.1371/journal.pmed.0040323.</w:t>
      </w:r>
    </w:p>
    <w:p w14:paraId="55B44452" w14:textId="0FA37FC2" w:rsidR="00711908" w:rsidRPr="00711908" w:rsidRDefault="00711908" w:rsidP="00711908">
      <w:pPr>
        <w:rPr>
          <w:rFonts w:ascii="Arial" w:hAnsi="Arial" w:cs="Arial"/>
        </w:rPr>
      </w:pPr>
      <w:r w:rsidRPr="00711908">
        <w:rPr>
          <w:rFonts w:ascii="Arial" w:hAnsi="Arial" w:cs="Arial"/>
        </w:rPr>
        <w:t>46.</w:t>
      </w:r>
      <w:r w:rsidR="00CB2229">
        <w:rPr>
          <w:rFonts w:ascii="Arial" w:hAnsi="Arial" w:cs="Arial"/>
        </w:rPr>
        <w:t xml:space="preserve"> </w:t>
      </w:r>
      <w:proofErr w:type="spellStart"/>
      <w:r w:rsidRPr="00711908">
        <w:rPr>
          <w:rFonts w:ascii="Arial" w:hAnsi="Arial" w:cs="Arial"/>
        </w:rPr>
        <w:t>Kaihlanen</w:t>
      </w:r>
      <w:proofErr w:type="spellEnd"/>
      <w:r w:rsidRPr="00711908">
        <w:rPr>
          <w:rFonts w:ascii="Arial" w:hAnsi="Arial" w:cs="Arial"/>
        </w:rPr>
        <w:t xml:space="preserve">, A.-M., </w:t>
      </w:r>
      <w:proofErr w:type="spellStart"/>
      <w:r w:rsidRPr="00711908">
        <w:rPr>
          <w:rFonts w:ascii="Arial" w:hAnsi="Arial" w:cs="Arial"/>
        </w:rPr>
        <w:t>Hietapakka</w:t>
      </w:r>
      <w:proofErr w:type="spellEnd"/>
      <w:r w:rsidRPr="00711908">
        <w:rPr>
          <w:rFonts w:ascii="Arial" w:hAnsi="Arial" w:cs="Arial"/>
        </w:rPr>
        <w:t xml:space="preserve">, L. and </w:t>
      </w:r>
      <w:proofErr w:type="spellStart"/>
      <w:r w:rsidRPr="00711908">
        <w:rPr>
          <w:rFonts w:ascii="Arial" w:hAnsi="Arial" w:cs="Arial"/>
        </w:rPr>
        <w:t>Heponiemi</w:t>
      </w:r>
      <w:proofErr w:type="spellEnd"/>
      <w:r w:rsidRPr="00711908">
        <w:rPr>
          <w:rFonts w:ascii="Arial" w:hAnsi="Arial" w:cs="Arial"/>
        </w:rPr>
        <w:t xml:space="preserve">, T. (2019)  </w:t>
      </w:r>
      <w:r w:rsidRPr="00CB2229">
        <w:rPr>
          <w:rFonts w:ascii="Arial" w:hAnsi="Arial" w:cs="Arial"/>
          <w:i/>
          <w:iCs/>
        </w:rPr>
        <w:t>Increasing Cultural awareness</w:t>
      </w:r>
      <w:r w:rsidRPr="00711908">
        <w:rPr>
          <w:rFonts w:ascii="Arial" w:hAnsi="Arial" w:cs="Arial"/>
        </w:rPr>
        <w:t>: Qualitative Study of Nurses’ Perceptions about Cultural Competence Training. BMC Nursing, 18(1), pp.1–9.</w:t>
      </w:r>
      <w:r w:rsidR="00CB2229">
        <w:rPr>
          <w:rFonts w:ascii="Arial" w:hAnsi="Arial" w:cs="Arial"/>
        </w:rPr>
        <w:t xml:space="preserve"> Available at:</w:t>
      </w:r>
      <w:r w:rsidRPr="00711908">
        <w:rPr>
          <w:rFonts w:ascii="Arial" w:hAnsi="Arial" w:cs="Arial"/>
        </w:rPr>
        <w:t xml:space="preserve"> </w:t>
      </w:r>
      <w:proofErr w:type="spellStart"/>
      <w:r w:rsidRPr="00711908">
        <w:rPr>
          <w:rFonts w:ascii="Arial" w:hAnsi="Arial" w:cs="Arial"/>
        </w:rPr>
        <w:t>doi:https</w:t>
      </w:r>
      <w:proofErr w:type="spellEnd"/>
      <w:r w:rsidRPr="00711908">
        <w:rPr>
          <w:rFonts w:ascii="Arial" w:hAnsi="Arial" w:cs="Arial"/>
        </w:rPr>
        <w:t>://doi.org/10.1186/s12912-019-0363-x.</w:t>
      </w:r>
    </w:p>
    <w:p w14:paraId="7FADE257" w14:textId="42860E1F" w:rsidR="00711908" w:rsidRPr="00711908" w:rsidRDefault="00711908" w:rsidP="00711908">
      <w:pPr>
        <w:rPr>
          <w:rFonts w:ascii="Arial" w:hAnsi="Arial" w:cs="Arial"/>
        </w:rPr>
      </w:pPr>
      <w:r w:rsidRPr="00711908">
        <w:rPr>
          <w:rFonts w:ascii="Arial" w:hAnsi="Arial" w:cs="Arial"/>
        </w:rPr>
        <w:t>47.</w:t>
      </w:r>
      <w:r w:rsidR="009F313C">
        <w:rPr>
          <w:rFonts w:ascii="Arial" w:hAnsi="Arial" w:cs="Arial"/>
        </w:rPr>
        <w:t xml:space="preserve"> </w:t>
      </w:r>
      <w:r w:rsidRPr="00711908">
        <w:rPr>
          <w:rFonts w:ascii="Arial" w:hAnsi="Arial" w:cs="Arial"/>
        </w:rPr>
        <w:t xml:space="preserve">Koffman, J., Burke, G., Dias, A., Raval, B., Byrne, J., Gonzales, J. and Daniels, C. (2007) </w:t>
      </w:r>
      <w:r w:rsidRPr="009F313C">
        <w:rPr>
          <w:rFonts w:ascii="Arial" w:hAnsi="Arial" w:cs="Arial"/>
          <w:i/>
          <w:iCs/>
        </w:rPr>
        <w:t>Demographic factors and awareness of palliative care and related services</w:t>
      </w:r>
      <w:r w:rsidRPr="00711908">
        <w:rPr>
          <w:rFonts w:ascii="Arial" w:hAnsi="Arial" w:cs="Arial"/>
        </w:rPr>
        <w:t xml:space="preserve">. Palliative Medicine, 21(2), pp.145–153. </w:t>
      </w:r>
      <w:r w:rsidR="009F313C">
        <w:rPr>
          <w:rFonts w:ascii="Arial" w:hAnsi="Arial" w:cs="Arial"/>
        </w:rPr>
        <w:t xml:space="preserve">Available at: </w:t>
      </w:r>
      <w:proofErr w:type="spellStart"/>
      <w:r w:rsidRPr="00711908">
        <w:rPr>
          <w:rFonts w:ascii="Arial" w:hAnsi="Arial" w:cs="Arial"/>
        </w:rPr>
        <w:t>doi:https</w:t>
      </w:r>
      <w:proofErr w:type="spellEnd"/>
      <w:r w:rsidRPr="00711908">
        <w:rPr>
          <w:rFonts w:ascii="Arial" w:hAnsi="Arial" w:cs="Arial"/>
        </w:rPr>
        <w:t>://doi.org/10.1177/0269216306074639.</w:t>
      </w:r>
    </w:p>
    <w:p w14:paraId="4CD11AAB" w14:textId="2C6A3450" w:rsidR="00711908" w:rsidRPr="00711908" w:rsidRDefault="00711908" w:rsidP="00711908">
      <w:pPr>
        <w:rPr>
          <w:rFonts w:ascii="Arial" w:hAnsi="Arial" w:cs="Arial"/>
        </w:rPr>
      </w:pPr>
      <w:r w:rsidRPr="00711908">
        <w:rPr>
          <w:rFonts w:ascii="Arial" w:hAnsi="Arial" w:cs="Arial"/>
        </w:rPr>
        <w:lastRenderedPageBreak/>
        <w:t>48.</w:t>
      </w:r>
      <w:r w:rsidR="009F313C">
        <w:rPr>
          <w:rFonts w:ascii="Arial" w:hAnsi="Arial" w:cs="Arial"/>
        </w:rPr>
        <w:t xml:space="preserve"> </w:t>
      </w:r>
      <w:r w:rsidRPr="00711908">
        <w:rPr>
          <w:rFonts w:ascii="Arial" w:hAnsi="Arial" w:cs="Arial"/>
        </w:rPr>
        <w:t xml:space="preserve">Koffman, J., Morgan, M., Edmonds, P., Speck, P. and Higginson, I. (2008) </w:t>
      </w:r>
      <w:r w:rsidRPr="009F313C">
        <w:rPr>
          <w:rFonts w:ascii="Arial" w:hAnsi="Arial" w:cs="Arial"/>
          <w:i/>
          <w:iCs/>
        </w:rPr>
        <w:t>Cultural meanings of pain: a qualitative study of Black Caribbean and White British patients with advanced cancer.</w:t>
      </w:r>
      <w:r w:rsidRPr="00711908">
        <w:rPr>
          <w:rFonts w:ascii="Arial" w:hAnsi="Arial" w:cs="Arial"/>
        </w:rPr>
        <w:t xml:space="preserve"> Palliative Medicine, 22(4), pp.350–359. Available at: </w:t>
      </w:r>
      <w:proofErr w:type="spellStart"/>
      <w:r w:rsidRPr="00711908">
        <w:rPr>
          <w:rFonts w:ascii="Arial" w:hAnsi="Arial" w:cs="Arial"/>
        </w:rPr>
        <w:t>doi:https</w:t>
      </w:r>
      <w:proofErr w:type="spellEnd"/>
      <w:r w:rsidRPr="00711908">
        <w:rPr>
          <w:rFonts w:ascii="Arial" w:hAnsi="Arial" w:cs="Arial"/>
        </w:rPr>
        <w:t xml:space="preserve">://doi.org/10.1177/0269216308090168. </w:t>
      </w:r>
    </w:p>
    <w:p w14:paraId="0CF8DDBA" w14:textId="20115EC2" w:rsidR="00711908" w:rsidRPr="00711908" w:rsidRDefault="00711908" w:rsidP="00711908">
      <w:pPr>
        <w:rPr>
          <w:rFonts w:ascii="Arial" w:hAnsi="Arial" w:cs="Arial"/>
        </w:rPr>
      </w:pPr>
      <w:r w:rsidRPr="00711908">
        <w:rPr>
          <w:rFonts w:ascii="Arial" w:hAnsi="Arial" w:cs="Arial"/>
        </w:rPr>
        <w:t>49.</w:t>
      </w:r>
      <w:r w:rsidR="009F313C">
        <w:rPr>
          <w:rFonts w:ascii="Arial" w:hAnsi="Arial" w:cs="Arial"/>
        </w:rPr>
        <w:t xml:space="preserve"> </w:t>
      </w:r>
      <w:r w:rsidRPr="00711908">
        <w:rPr>
          <w:rFonts w:ascii="Arial" w:hAnsi="Arial" w:cs="Arial"/>
        </w:rPr>
        <w:t xml:space="preserve">Laia </w:t>
      </w:r>
      <w:proofErr w:type="spellStart"/>
      <w:r w:rsidRPr="00711908">
        <w:rPr>
          <w:rFonts w:ascii="Arial" w:hAnsi="Arial" w:cs="Arial"/>
        </w:rPr>
        <w:t>Bécares</w:t>
      </w:r>
      <w:proofErr w:type="spellEnd"/>
      <w:r w:rsidRPr="00711908">
        <w:rPr>
          <w:rFonts w:ascii="Arial" w:hAnsi="Arial" w:cs="Arial"/>
        </w:rPr>
        <w:t xml:space="preserve"> (2015)  </w:t>
      </w:r>
      <w:r w:rsidRPr="009F313C">
        <w:rPr>
          <w:rFonts w:ascii="Arial" w:hAnsi="Arial" w:cs="Arial"/>
          <w:i/>
          <w:iCs/>
        </w:rPr>
        <w:t>Which ethnic groups have the poorest health? King’s College London,</w:t>
      </w:r>
      <w:r w:rsidRPr="00711908">
        <w:rPr>
          <w:rFonts w:ascii="Arial" w:hAnsi="Arial" w:cs="Arial"/>
        </w:rPr>
        <w:t xml:space="preserve"> pp.123–139. Available at: </w:t>
      </w:r>
      <w:hyperlink r:id="rId30" w:history="1">
        <w:r w:rsidR="009F313C" w:rsidRPr="00ED157C">
          <w:rPr>
            <w:rStyle w:val="Hyperlink"/>
            <w:rFonts w:ascii="Arial" w:hAnsi="Arial" w:cs="Arial"/>
          </w:rPr>
          <w:t>https://kclpure.kcl.ac.uk/portal/en/publications/which-ethnic-groups-have-the-poorest-health</w:t>
        </w:r>
      </w:hyperlink>
      <w:r w:rsidR="009F313C">
        <w:rPr>
          <w:rFonts w:ascii="Arial" w:hAnsi="Arial" w:cs="Arial"/>
        </w:rPr>
        <w:t xml:space="preserve"> </w:t>
      </w:r>
      <w:r w:rsidRPr="00711908">
        <w:rPr>
          <w:rFonts w:ascii="Arial" w:hAnsi="Arial" w:cs="Arial"/>
        </w:rPr>
        <w:t>(Accessed</w:t>
      </w:r>
      <w:r w:rsidR="009F313C">
        <w:rPr>
          <w:rFonts w:ascii="Arial" w:hAnsi="Arial" w:cs="Arial"/>
        </w:rPr>
        <w:t>:</w:t>
      </w:r>
      <w:r w:rsidRPr="00711908">
        <w:rPr>
          <w:rFonts w:ascii="Arial" w:hAnsi="Arial" w:cs="Arial"/>
        </w:rPr>
        <w:t xml:space="preserve"> 13 Jul. 2025).</w:t>
      </w:r>
    </w:p>
    <w:p w14:paraId="425EE69C" w14:textId="632AF292" w:rsidR="00711908" w:rsidRPr="00B976A9" w:rsidRDefault="00711908" w:rsidP="00711908">
      <w:pPr>
        <w:rPr>
          <w:rFonts w:ascii="Arial" w:hAnsi="Arial" w:cs="Arial"/>
        </w:rPr>
      </w:pPr>
      <w:r w:rsidRPr="00B976A9">
        <w:rPr>
          <w:rFonts w:ascii="Arial" w:hAnsi="Arial" w:cs="Arial"/>
        </w:rPr>
        <w:t>50.</w:t>
      </w:r>
      <w:r w:rsidR="009F313C" w:rsidRPr="00B976A9">
        <w:rPr>
          <w:rFonts w:ascii="Arial" w:hAnsi="Arial" w:cs="Arial"/>
        </w:rPr>
        <w:t xml:space="preserve"> </w:t>
      </w:r>
      <w:r w:rsidRPr="00B976A9">
        <w:rPr>
          <w:rFonts w:ascii="Arial" w:hAnsi="Arial" w:cs="Arial"/>
        </w:rPr>
        <w:t xml:space="preserve">Leininger, M.M. and McFarland, M.R. (2002) </w:t>
      </w:r>
      <w:r w:rsidRPr="00B976A9">
        <w:rPr>
          <w:rFonts w:ascii="Arial" w:hAnsi="Arial" w:cs="Arial"/>
          <w:i/>
          <w:iCs/>
        </w:rPr>
        <w:t>Transcultural nursing Concepts, theories, research and practice</w:t>
      </w:r>
      <w:r w:rsidRPr="00B976A9">
        <w:rPr>
          <w:rFonts w:ascii="Arial" w:hAnsi="Arial" w:cs="Arial"/>
        </w:rPr>
        <w:t xml:space="preserve">. 3rd Edition, McGraw-Hill, New York. - References - Scientific Research Publishing. Available at: </w:t>
      </w:r>
      <w:hyperlink r:id="rId31" w:history="1">
        <w:r w:rsidR="00504847" w:rsidRPr="00B976A9">
          <w:rPr>
            <w:rStyle w:val="Hyperlink"/>
            <w:rFonts w:ascii="Arial" w:hAnsi="Arial" w:cs="Arial"/>
          </w:rPr>
          <w:t>https://www.scirp.org/reference/referencespapers?referenceid=737360</w:t>
        </w:r>
      </w:hyperlink>
      <w:r w:rsidRPr="00B976A9">
        <w:rPr>
          <w:rFonts w:ascii="Arial" w:hAnsi="Arial" w:cs="Arial"/>
        </w:rPr>
        <w:t>.</w:t>
      </w:r>
      <w:r w:rsidR="00504847" w:rsidRPr="00B976A9">
        <w:rPr>
          <w:rFonts w:ascii="Arial" w:hAnsi="Arial" w:cs="Arial"/>
        </w:rPr>
        <w:t xml:space="preserve"> </w:t>
      </w:r>
      <w:r w:rsidRPr="00B976A9">
        <w:rPr>
          <w:rFonts w:ascii="Arial" w:hAnsi="Arial" w:cs="Arial"/>
        </w:rPr>
        <w:t>(Accessed</w:t>
      </w:r>
      <w:r w:rsidR="00504847" w:rsidRPr="00B976A9">
        <w:rPr>
          <w:rFonts w:ascii="Arial" w:hAnsi="Arial" w:cs="Arial"/>
        </w:rPr>
        <w:t>:</w:t>
      </w:r>
      <w:r w:rsidRPr="00B976A9">
        <w:rPr>
          <w:rFonts w:ascii="Arial" w:hAnsi="Arial" w:cs="Arial"/>
        </w:rPr>
        <w:t xml:space="preserve"> 1 July 2025).</w:t>
      </w:r>
    </w:p>
    <w:p w14:paraId="400EC349" w14:textId="51229BE4" w:rsidR="00504847" w:rsidRPr="00B976A9" w:rsidRDefault="00711908" w:rsidP="00711908">
      <w:pPr>
        <w:rPr>
          <w:rFonts w:ascii="Arial" w:hAnsi="Arial" w:cs="Arial"/>
        </w:rPr>
      </w:pPr>
      <w:r w:rsidRPr="00B976A9">
        <w:rPr>
          <w:rFonts w:ascii="Arial" w:hAnsi="Arial" w:cs="Arial"/>
        </w:rPr>
        <w:t>51.</w:t>
      </w:r>
      <w:r w:rsidRPr="00B976A9">
        <w:rPr>
          <w:rFonts w:ascii="Arial" w:hAnsi="Arial" w:cs="Arial"/>
        </w:rPr>
        <w:tab/>
        <w:t xml:space="preserve">Livingmyculture.ca. (2016) </w:t>
      </w:r>
      <w:r w:rsidRPr="00B976A9">
        <w:rPr>
          <w:rFonts w:ascii="Arial" w:hAnsi="Arial" w:cs="Arial"/>
          <w:i/>
          <w:iCs/>
        </w:rPr>
        <w:t>Living My Culture</w:t>
      </w:r>
      <w:r w:rsidRPr="00B976A9">
        <w:rPr>
          <w:rFonts w:ascii="Arial" w:hAnsi="Arial" w:cs="Arial"/>
        </w:rPr>
        <w:t xml:space="preserve">. Available at: </w:t>
      </w:r>
      <w:hyperlink r:id="rId32" w:history="1">
        <w:r w:rsidR="00504847" w:rsidRPr="00B976A9">
          <w:rPr>
            <w:rStyle w:val="Hyperlink"/>
            <w:rFonts w:ascii="Arial" w:hAnsi="Arial" w:cs="Arial"/>
          </w:rPr>
          <w:t>https://livingmyculture.ca/culture/</w:t>
        </w:r>
      </w:hyperlink>
      <w:r w:rsidRPr="00B976A9">
        <w:rPr>
          <w:rFonts w:ascii="Arial" w:hAnsi="Arial" w:cs="Arial"/>
        </w:rPr>
        <w:t>.</w:t>
      </w:r>
      <w:r w:rsidR="00504847" w:rsidRPr="00B976A9">
        <w:rPr>
          <w:rFonts w:ascii="Arial" w:hAnsi="Arial" w:cs="Arial"/>
        </w:rPr>
        <w:t xml:space="preserve"> (Accessed:</w:t>
      </w:r>
      <w:r w:rsidR="00EF5CDB" w:rsidRPr="00B976A9">
        <w:rPr>
          <w:rFonts w:ascii="Arial" w:hAnsi="Arial" w:cs="Arial"/>
        </w:rPr>
        <w:t xml:space="preserve"> 13 July 2025).</w:t>
      </w:r>
    </w:p>
    <w:p w14:paraId="215CDBA6" w14:textId="47C0004C" w:rsidR="00B976A9" w:rsidRPr="00B976A9" w:rsidRDefault="00B976A9" w:rsidP="00B976A9">
      <w:pPr>
        <w:rPr>
          <w:rFonts w:ascii="Arial" w:hAnsi="Arial" w:cs="Arial"/>
        </w:rPr>
      </w:pPr>
      <w:r w:rsidRPr="00B976A9">
        <w:rPr>
          <w:rFonts w:ascii="Arial" w:hAnsi="Arial" w:cs="Arial"/>
        </w:rPr>
        <w:t>53.</w:t>
      </w:r>
      <w:r w:rsidR="0066277D">
        <w:rPr>
          <w:rFonts w:ascii="Arial" w:hAnsi="Arial" w:cs="Arial"/>
        </w:rPr>
        <w:t xml:space="preserve"> </w:t>
      </w:r>
      <w:r w:rsidRPr="00B976A9">
        <w:rPr>
          <w:rFonts w:ascii="Arial" w:hAnsi="Arial" w:cs="Arial"/>
        </w:rPr>
        <w:t>Marie Curie. (2022)</w:t>
      </w:r>
      <w:r>
        <w:rPr>
          <w:rFonts w:ascii="Arial" w:hAnsi="Arial" w:cs="Arial"/>
        </w:rPr>
        <w:t xml:space="preserve"> </w:t>
      </w:r>
      <w:r w:rsidRPr="00B976A9">
        <w:rPr>
          <w:rFonts w:ascii="Arial" w:hAnsi="Arial" w:cs="Arial"/>
          <w:i/>
          <w:iCs/>
        </w:rPr>
        <w:t>Plans, reports and policies</w:t>
      </w:r>
      <w:r w:rsidRPr="00B976A9">
        <w:rPr>
          <w:rFonts w:ascii="Arial" w:hAnsi="Arial" w:cs="Arial"/>
        </w:rPr>
        <w:t xml:space="preserve">. Available at: </w:t>
      </w:r>
      <w:hyperlink r:id="rId33" w:history="1">
        <w:r w:rsidRPr="00ED157C">
          <w:rPr>
            <w:rStyle w:val="Hyperlink"/>
            <w:rFonts w:ascii="Arial" w:hAnsi="Arial" w:cs="Arial"/>
          </w:rPr>
          <w:t>https://www.mariecurie.org.uk/about-us/plans-reports-policies</w:t>
        </w:r>
      </w:hyperlink>
      <w:r>
        <w:rPr>
          <w:rFonts w:ascii="Arial" w:hAnsi="Arial" w:cs="Arial"/>
        </w:rPr>
        <w:t xml:space="preserve"> </w:t>
      </w:r>
      <w:r w:rsidRPr="00B976A9">
        <w:rPr>
          <w:rFonts w:ascii="Arial" w:hAnsi="Arial" w:cs="Arial"/>
        </w:rPr>
        <w:t>(Accessed</w:t>
      </w:r>
      <w:r>
        <w:rPr>
          <w:rFonts w:ascii="Arial" w:hAnsi="Arial" w:cs="Arial"/>
        </w:rPr>
        <w:t>:</w:t>
      </w:r>
      <w:r w:rsidRPr="00B976A9">
        <w:rPr>
          <w:rFonts w:ascii="Arial" w:hAnsi="Arial" w:cs="Arial"/>
        </w:rPr>
        <w:t xml:space="preserve"> 22 Sep. 2025)</w:t>
      </w:r>
      <w:r>
        <w:rPr>
          <w:rFonts w:ascii="Arial" w:hAnsi="Arial" w:cs="Arial"/>
        </w:rPr>
        <w:t>.</w:t>
      </w:r>
    </w:p>
    <w:p w14:paraId="357887EF" w14:textId="2F1DCEF5" w:rsidR="00B976A9" w:rsidRPr="00B976A9" w:rsidRDefault="00B976A9" w:rsidP="00B976A9">
      <w:pPr>
        <w:rPr>
          <w:rFonts w:ascii="Arial" w:hAnsi="Arial" w:cs="Arial"/>
        </w:rPr>
      </w:pPr>
      <w:r w:rsidRPr="00B976A9">
        <w:rPr>
          <w:rFonts w:ascii="Arial" w:hAnsi="Arial" w:cs="Arial"/>
        </w:rPr>
        <w:t>54.</w:t>
      </w:r>
      <w:r w:rsidR="0066277D">
        <w:rPr>
          <w:rFonts w:ascii="Arial" w:hAnsi="Arial" w:cs="Arial"/>
        </w:rPr>
        <w:t xml:space="preserve"> </w:t>
      </w:r>
      <w:r w:rsidRPr="00B976A9">
        <w:rPr>
          <w:rFonts w:ascii="Arial" w:hAnsi="Arial" w:cs="Arial"/>
        </w:rPr>
        <w:t xml:space="preserve">Mbabazi, J., MacGregor, F., Salman, M., Breckon, J., </w:t>
      </w:r>
      <w:proofErr w:type="spellStart"/>
      <w:r w:rsidRPr="00B976A9">
        <w:rPr>
          <w:rFonts w:ascii="Arial" w:hAnsi="Arial" w:cs="Arial"/>
        </w:rPr>
        <w:t>Kunonga</w:t>
      </w:r>
      <w:proofErr w:type="spellEnd"/>
      <w:r w:rsidRPr="00B976A9">
        <w:rPr>
          <w:rFonts w:ascii="Arial" w:hAnsi="Arial" w:cs="Arial"/>
        </w:rPr>
        <w:t xml:space="preserve">, E., </w:t>
      </w:r>
      <w:proofErr w:type="spellStart"/>
      <w:r w:rsidRPr="00B976A9">
        <w:rPr>
          <w:rFonts w:ascii="Arial" w:hAnsi="Arial" w:cs="Arial"/>
        </w:rPr>
        <w:t>Tolchard</w:t>
      </w:r>
      <w:proofErr w:type="spellEnd"/>
      <w:r w:rsidRPr="00B976A9">
        <w:rPr>
          <w:rFonts w:ascii="Arial" w:hAnsi="Arial" w:cs="Arial"/>
        </w:rPr>
        <w:t xml:space="preserve">, B. and Nnyanzi, L.A. (2022) </w:t>
      </w:r>
      <w:r w:rsidRPr="0066277D">
        <w:rPr>
          <w:rFonts w:ascii="Arial" w:hAnsi="Arial" w:cs="Arial"/>
          <w:i/>
          <w:iCs/>
        </w:rPr>
        <w:t>Exploring the Barriers and Facilitators to Making Healthy Physical Activity Lifestyle Choices Among UK BAME Adults During Covid-19 Pandemic</w:t>
      </w:r>
      <w:r w:rsidRPr="00B976A9">
        <w:rPr>
          <w:rFonts w:ascii="Arial" w:hAnsi="Arial" w:cs="Arial"/>
        </w:rPr>
        <w:t xml:space="preserve">: A Study Protocol. International Journal of Physical Activity and Health. Available at: </w:t>
      </w:r>
      <w:proofErr w:type="spellStart"/>
      <w:r w:rsidRPr="00B976A9">
        <w:rPr>
          <w:rFonts w:ascii="Arial" w:hAnsi="Arial" w:cs="Arial"/>
        </w:rPr>
        <w:t>doi:https</w:t>
      </w:r>
      <w:proofErr w:type="spellEnd"/>
      <w:r w:rsidRPr="00B976A9">
        <w:rPr>
          <w:rFonts w:ascii="Arial" w:hAnsi="Arial" w:cs="Arial"/>
        </w:rPr>
        <w:t>://doi.org/10.18122/ijpah.010303.boisestate.</w:t>
      </w:r>
    </w:p>
    <w:p w14:paraId="6C03AED8" w14:textId="08D1C0BB" w:rsidR="00B976A9" w:rsidRPr="00B976A9" w:rsidRDefault="00B976A9" w:rsidP="00B976A9">
      <w:pPr>
        <w:rPr>
          <w:rFonts w:ascii="Arial" w:hAnsi="Arial" w:cs="Arial"/>
        </w:rPr>
      </w:pPr>
      <w:r w:rsidRPr="00B976A9">
        <w:rPr>
          <w:rFonts w:ascii="Arial" w:hAnsi="Arial" w:cs="Arial"/>
        </w:rPr>
        <w:t>55.</w:t>
      </w:r>
      <w:r w:rsidR="0066277D">
        <w:rPr>
          <w:rFonts w:ascii="Arial" w:hAnsi="Arial" w:cs="Arial"/>
        </w:rPr>
        <w:t xml:space="preserve"> </w:t>
      </w:r>
      <w:r w:rsidRPr="00B976A9">
        <w:rPr>
          <w:rFonts w:ascii="Arial" w:hAnsi="Arial" w:cs="Arial"/>
        </w:rPr>
        <w:t>McFarland, M.R. and Wehbe-</w:t>
      </w:r>
      <w:proofErr w:type="spellStart"/>
      <w:r w:rsidRPr="00B976A9">
        <w:rPr>
          <w:rFonts w:ascii="Arial" w:hAnsi="Arial" w:cs="Arial"/>
        </w:rPr>
        <w:t>Alamah</w:t>
      </w:r>
      <w:proofErr w:type="spellEnd"/>
      <w:r w:rsidRPr="00B976A9">
        <w:rPr>
          <w:rFonts w:ascii="Arial" w:hAnsi="Arial" w:cs="Arial"/>
        </w:rPr>
        <w:t xml:space="preserve">, H.B. (2020) </w:t>
      </w:r>
      <w:r w:rsidRPr="0066277D">
        <w:rPr>
          <w:rFonts w:ascii="Arial" w:hAnsi="Arial" w:cs="Arial"/>
          <w:i/>
          <w:iCs/>
        </w:rPr>
        <w:t xml:space="preserve">Leininger’s Theory of Culture Care Diversity and Universality: An Overview </w:t>
      </w:r>
      <w:proofErr w:type="gramStart"/>
      <w:r w:rsidRPr="0066277D">
        <w:rPr>
          <w:rFonts w:ascii="Arial" w:hAnsi="Arial" w:cs="Arial"/>
          <w:i/>
          <w:iCs/>
        </w:rPr>
        <w:t>With</w:t>
      </w:r>
      <w:proofErr w:type="gramEnd"/>
      <w:r w:rsidRPr="0066277D">
        <w:rPr>
          <w:rFonts w:ascii="Arial" w:hAnsi="Arial" w:cs="Arial"/>
          <w:i/>
          <w:iCs/>
        </w:rPr>
        <w:t xml:space="preserve"> a Historical Retrospective and a View Toward the Future.</w:t>
      </w:r>
      <w:r w:rsidRPr="00B976A9">
        <w:rPr>
          <w:rFonts w:ascii="Arial" w:hAnsi="Arial" w:cs="Arial"/>
        </w:rPr>
        <w:t xml:space="preserve"> Journal of Transcultural Nursing,30(6), pp.540–557. Available at: </w:t>
      </w:r>
      <w:proofErr w:type="spellStart"/>
      <w:r w:rsidRPr="00B976A9">
        <w:rPr>
          <w:rFonts w:ascii="Arial" w:hAnsi="Arial" w:cs="Arial"/>
        </w:rPr>
        <w:t>doi:https</w:t>
      </w:r>
      <w:proofErr w:type="spellEnd"/>
      <w:r w:rsidRPr="00B976A9">
        <w:rPr>
          <w:rFonts w:ascii="Arial" w:hAnsi="Arial" w:cs="Arial"/>
        </w:rPr>
        <w:t>://doi.org/10.1177/1043659619867134.</w:t>
      </w:r>
    </w:p>
    <w:p w14:paraId="64578F33" w14:textId="30F49879" w:rsidR="00B976A9" w:rsidRPr="00B976A9" w:rsidRDefault="00B976A9" w:rsidP="00B976A9">
      <w:pPr>
        <w:rPr>
          <w:rFonts w:ascii="Arial" w:hAnsi="Arial" w:cs="Arial"/>
        </w:rPr>
      </w:pPr>
      <w:r w:rsidRPr="00B976A9">
        <w:rPr>
          <w:rFonts w:ascii="Arial" w:hAnsi="Arial" w:cs="Arial"/>
        </w:rPr>
        <w:t>56.</w:t>
      </w:r>
      <w:r w:rsidR="0066277D">
        <w:rPr>
          <w:rFonts w:ascii="Arial" w:hAnsi="Arial" w:cs="Arial"/>
        </w:rPr>
        <w:t xml:space="preserve"> </w:t>
      </w:r>
      <w:r w:rsidRPr="00B976A9">
        <w:rPr>
          <w:rFonts w:ascii="Arial" w:hAnsi="Arial" w:cs="Arial"/>
        </w:rPr>
        <w:t xml:space="preserve">Meier, E.A., Gallegos, J.V., Thomas, L.P.M., Depp, C.A., Irwin, S.A. and </w:t>
      </w:r>
      <w:proofErr w:type="spellStart"/>
      <w:r w:rsidRPr="00B976A9">
        <w:rPr>
          <w:rFonts w:ascii="Arial" w:hAnsi="Arial" w:cs="Arial"/>
        </w:rPr>
        <w:t>Jeste</w:t>
      </w:r>
      <w:proofErr w:type="spellEnd"/>
      <w:r w:rsidRPr="00B976A9">
        <w:rPr>
          <w:rFonts w:ascii="Arial" w:hAnsi="Arial" w:cs="Arial"/>
        </w:rPr>
        <w:t xml:space="preserve">, D.V. (2016) </w:t>
      </w:r>
      <w:r w:rsidRPr="0066277D">
        <w:rPr>
          <w:rFonts w:ascii="Arial" w:hAnsi="Arial" w:cs="Arial"/>
          <w:i/>
          <w:iCs/>
        </w:rPr>
        <w:t>Defining a Good Death (Successful Dying):</w:t>
      </w:r>
      <w:r w:rsidRPr="00B976A9">
        <w:rPr>
          <w:rFonts w:ascii="Arial" w:hAnsi="Arial" w:cs="Arial"/>
        </w:rPr>
        <w:t xml:space="preserve"> Literature Review and a Call for Research and Public Dialogue. The American Journal of Geriatric Psychiatry, [online] 24(4), pp.261–271. </w:t>
      </w:r>
      <w:r w:rsidR="0066277D">
        <w:rPr>
          <w:rFonts w:ascii="Arial" w:hAnsi="Arial" w:cs="Arial"/>
        </w:rPr>
        <w:t xml:space="preserve">Available at: </w:t>
      </w:r>
      <w:proofErr w:type="spellStart"/>
      <w:r w:rsidRPr="00B976A9">
        <w:rPr>
          <w:rFonts w:ascii="Arial" w:hAnsi="Arial" w:cs="Arial"/>
        </w:rPr>
        <w:t>doi:https</w:t>
      </w:r>
      <w:proofErr w:type="spellEnd"/>
      <w:r w:rsidRPr="00B976A9">
        <w:rPr>
          <w:rFonts w:ascii="Arial" w:hAnsi="Arial" w:cs="Arial"/>
        </w:rPr>
        <w:t>://doi.org/10.1016/j.jagp.2016.01.135.</w:t>
      </w:r>
    </w:p>
    <w:p w14:paraId="0E1D85C0" w14:textId="226DFFF4" w:rsidR="00B976A9" w:rsidRPr="00B976A9" w:rsidRDefault="00B976A9" w:rsidP="00B976A9">
      <w:pPr>
        <w:rPr>
          <w:rFonts w:ascii="Arial" w:hAnsi="Arial" w:cs="Arial"/>
        </w:rPr>
      </w:pPr>
      <w:r w:rsidRPr="00B976A9">
        <w:rPr>
          <w:rFonts w:ascii="Arial" w:hAnsi="Arial" w:cs="Arial"/>
        </w:rPr>
        <w:t>57.</w:t>
      </w:r>
      <w:r w:rsidR="0066277D">
        <w:rPr>
          <w:rFonts w:ascii="Arial" w:hAnsi="Arial" w:cs="Arial"/>
        </w:rPr>
        <w:t xml:space="preserve"> </w:t>
      </w:r>
      <w:r w:rsidRPr="00B976A9">
        <w:rPr>
          <w:rFonts w:ascii="Arial" w:hAnsi="Arial" w:cs="Arial"/>
        </w:rPr>
        <w:t xml:space="preserve">Ministry of Health (2011) Whānau Ora: Transforming our </w:t>
      </w:r>
      <w:proofErr w:type="spellStart"/>
      <w:r w:rsidRPr="00B976A9">
        <w:rPr>
          <w:rFonts w:ascii="Arial" w:hAnsi="Arial" w:cs="Arial"/>
        </w:rPr>
        <w:t>futures.Ministry</w:t>
      </w:r>
      <w:proofErr w:type="spellEnd"/>
      <w:r w:rsidRPr="00B976A9">
        <w:rPr>
          <w:rFonts w:ascii="Arial" w:hAnsi="Arial" w:cs="Arial"/>
        </w:rPr>
        <w:t xml:space="preserve"> of Health NZ. Available at: </w:t>
      </w:r>
      <w:hyperlink r:id="rId34" w:history="1">
        <w:r w:rsidR="0066277D" w:rsidRPr="00ED157C">
          <w:rPr>
            <w:rStyle w:val="Hyperlink"/>
            <w:rFonts w:ascii="Arial" w:hAnsi="Arial" w:cs="Arial"/>
          </w:rPr>
          <w:t>https://www.health.govt.nz/publications/whanau-ora-transforming-our-futures</w:t>
        </w:r>
      </w:hyperlink>
      <w:r w:rsidRPr="00B976A9">
        <w:rPr>
          <w:rFonts w:ascii="Arial" w:hAnsi="Arial" w:cs="Arial"/>
        </w:rPr>
        <w:t>.</w:t>
      </w:r>
      <w:r w:rsidR="0066277D">
        <w:rPr>
          <w:rFonts w:ascii="Arial" w:hAnsi="Arial" w:cs="Arial"/>
        </w:rPr>
        <w:t xml:space="preserve"> </w:t>
      </w:r>
      <w:r w:rsidRPr="00B976A9">
        <w:rPr>
          <w:rFonts w:ascii="Arial" w:hAnsi="Arial" w:cs="Arial"/>
        </w:rPr>
        <w:t>(Accessed</w:t>
      </w:r>
      <w:r w:rsidR="0066277D">
        <w:rPr>
          <w:rFonts w:ascii="Arial" w:hAnsi="Arial" w:cs="Arial"/>
        </w:rPr>
        <w:t>:</w:t>
      </w:r>
      <w:r w:rsidRPr="00B976A9">
        <w:rPr>
          <w:rFonts w:ascii="Arial" w:hAnsi="Arial" w:cs="Arial"/>
        </w:rPr>
        <w:t xml:space="preserve"> 16 July 2025).</w:t>
      </w:r>
    </w:p>
    <w:p w14:paraId="1DA0D1A5" w14:textId="01391CEB" w:rsidR="00B976A9" w:rsidRPr="00B976A9" w:rsidRDefault="00B976A9" w:rsidP="00B976A9">
      <w:pPr>
        <w:rPr>
          <w:rFonts w:ascii="Arial" w:hAnsi="Arial" w:cs="Arial"/>
        </w:rPr>
      </w:pPr>
      <w:r w:rsidRPr="00B976A9">
        <w:rPr>
          <w:rFonts w:ascii="Arial" w:hAnsi="Arial" w:cs="Arial"/>
        </w:rPr>
        <w:lastRenderedPageBreak/>
        <w:t>58.</w:t>
      </w:r>
      <w:r w:rsidR="0066277D">
        <w:rPr>
          <w:rFonts w:ascii="Arial" w:hAnsi="Arial" w:cs="Arial"/>
        </w:rPr>
        <w:t xml:space="preserve"> </w:t>
      </w:r>
      <w:r w:rsidRPr="00B976A9">
        <w:rPr>
          <w:rFonts w:ascii="Arial" w:hAnsi="Arial" w:cs="Arial"/>
        </w:rPr>
        <w:t xml:space="preserve">Ministry of Health (2024) </w:t>
      </w:r>
      <w:r w:rsidRPr="0066277D">
        <w:rPr>
          <w:rFonts w:ascii="Arial" w:hAnsi="Arial" w:cs="Arial"/>
          <w:i/>
          <w:iCs/>
        </w:rPr>
        <w:t>Māori health. Ministry of Health NZ</w:t>
      </w:r>
      <w:r w:rsidRPr="00B976A9">
        <w:rPr>
          <w:rFonts w:ascii="Arial" w:hAnsi="Arial" w:cs="Arial"/>
        </w:rPr>
        <w:t xml:space="preserve">. Available at: </w:t>
      </w:r>
      <w:hyperlink r:id="rId35" w:history="1">
        <w:r w:rsidR="0066277D" w:rsidRPr="00ED157C">
          <w:rPr>
            <w:rStyle w:val="Hyperlink"/>
            <w:rFonts w:ascii="Arial" w:hAnsi="Arial" w:cs="Arial"/>
          </w:rPr>
          <w:t>https://www.health.govt.nz/maori-health</w:t>
        </w:r>
      </w:hyperlink>
      <w:r w:rsidRPr="00B976A9">
        <w:rPr>
          <w:rFonts w:ascii="Arial" w:hAnsi="Arial" w:cs="Arial"/>
        </w:rPr>
        <w:t>.</w:t>
      </w:r>
      <w:r w:rsidR="0066277D">
        <w:rPr>
          <w:rFonts w:ascii="Arial" w:hAnsi="Arial" w:cs="Arial"/>
        </w:rPr>
        <w:t xml:space="preserve"> </w:t>
      </w:r>
      <w:r w:rsidRPr="00B976A9">
        <w:rPr>
          <w:rFonts w:ascii="Arial" w:hAnsi="Arial" w:cs="Arial"/>
        </w:rPr>
        <w:t>(Accessed</w:t>
      </w:r>
      <w:r w:rsidR="0066277D">
        <w:rPr>
          <w:rFonts w:ascii="Arial" w:hAnsi="Arial" w:cs="Arial"/>
        </w:rPr>
        <w:t>:</w:t>
      </w:r>
      <w:r w:rsidRPr="00B976A9">
        <w:rPr>
          <w:rFonts w:ascii="Arial" w:hAnsi="Arial" w:cs="Arial"/>
        </w:rPr>
        <w:t xml:space="preserve"> 10 July 2025).</w:t>
      </w:r>
    </w:p>
    <w:p w14:paraId="3D9777F0" w14:textId="1E1EBA20" w:rsidR="00B976A9" w:rsidRPr="00B976A9" w:rsidRDefault="00B976A9" w:rsidP="00B976A9">
      <w:pPr>
        <w:rPr>
          <w:rFonts w:ascii="Arial" w:hAnsi="Arial" w:cs="Arial"/>
        </w:rPr>
      </w:pPr>
      <w:r w:rsidRPr="00B976A9">
        <w:rPr>
          <w:rFonts w:ascii="Arial" w:hAnsi="Arial" w:cs="Arial"/>
        </w:rPr>
        <w:t>59.</w:t>
      </w:r>
      <w:r w:rsidR="0066277D">
        <w:rPr>
          <w:rFonts w:ascii="Arial" w:hAnsi="Arial" w:cs="Arial"/>
        </w:rPr>
        <w:t xml:space="preserve"> </w:t>
      </w:r>
      <w:r w:rsidRPr="00B976A9">
        <w:rPr>
          <w:rFonts w:ascii="Arial" w:hAnsi="Arial" w:cs="Arial"/>
        </w:rPr>
        <w:t xml:space="preserve">Moss, R.H., Hussain, J., Islam, S., Small, N. and Dickerson, J. (2022) </w:t>
      </w:r>
      <w:r w:rsidRPr="0066277D">
        <w:rPr>
          <w:rFonts w:ascii="Arial" w:hAnsi="Arial" w:cs="Arial"/>
          <w:i/>
          <w:iCs/>
        </w:rPr>
        <w:t>Applying the community readiness model to identify and address inequity in end-of-life care in South Asian communities.</w:t>
      </w:r>
      <w:r w:rsidRPr="00B976A9">
        <w:rPr>
          <w:rFonts w:ascii="Arial" w:hAnsi="Arial" w:cs="Arial"/>
        </w:rPr>
        <w:t xml:space="preserve"> Palliative Medicine, p.026921632211465. Available at: </w:t>
      </w:r>
      <w:proofErr w:type="spellStart"/>
      <w:r w:rsidRPr="00B976A9">
        <w:rPr>
          <w:rFonts w:ascii="Arial" w:hAnsi="Arial" w:cs="Arial"/>
        </w:rPr>
        <w:t>doi:https</w:t>
      </w:r>
      <w:proofErr w:type="spellEnd"/>
      <w:r w:rsidRPr="00B976A9">
        <w:rPr>
          <w:rFonts w:ascii="Arial" w:hAnsi="Arial" w:cs="Arial"/>
        </w:rPr>
        <w:t>://doi.org/10.1177/02692163221146587.</w:t>
      </w:r>
    </w:p>
    <w:p w14:paraId="76E11996" w14:textId="26DE5B5A" w:rsidR="00B976A9" w:rsidRPr="00B976A9" w:rsidRDefault="00B976A9" w:rsidP="00B976A9">
      <w:pPr>
        <w:rPr>
          <w:rFonts w:ascii="Arial" w:hAnsi="Arial" w:cs="Arial"/>
        </w:rPr>
      </w:pPr>
      <w:r w:rsidRPr="00B976A9">
        <w:rPr>
          <w:rFonts w:ascii="Arial" w:hAnsi="Arial" w:cs="Arial"/>
        </w:rPr>
        <w:t>60.</w:t>
      </w:r>
      <w:r w:rsidR="0066277D">
        <w:rPr>
          <w:rFonts w:ascii="Arial" w:hAnsi="Arial" w:cs="Arial"/>
        </w:rPr>
        <w:t xml:space="preserve"> </w:t>
      </w:r>
      <w:r w:rsidRPr="00B976A9">
        <w:rPr>
          <w:rFonts w:ascii="Arial" w:hAnsi="Arial" w:cs="Arial"/>
        </w:rPr>
        <w:t xml:space="preserve">Narayanasamy, A. (2003) </w:t>
      </w:r>
      <w:r w:rsidRPr="0066277D">
        <w:rPr>
          <w:rFonts w:ascii="Arial" w:hAnsi="Arial" w:cs="Arial"/>
          <w:i/>
          <w:iCs/>
        </w:rPr>
        <w:t>Transcultural nursing: how do nurses respond to cultural needs?</w:t>
      </w:r>
      <w:r w:rsidRPr="00B976A9">
        <w:rPr>
          <w:rFonts w:ascii="Arial" w:hAnsi="Arial" w:cs="Arial"/>
        </w:rPr>
        <w:t xml:space="preserve"> British Journal of Nursing, 12(3), pp.185–194. Available at: </w:t>
      </w:r>
      <w:proofErr w:type="spellStart"/>
      <w:r w:rsidRPr="00B976A9">
        <w:rPr>
          <w:rFonts w:ascii="Arial" w:hAnsi="Arial" w:cs="Arial"/>
        </w:rPr>
        <w:t>doi:https</w:t>
      </w:r>
      <w:proofErr w:type="spellEnd"/>
      <w:r w:rsidRPr="00B976A9">
        <w:rPr>
          <w:rFonts w:ascii="Arial" w:hAnsi="Arial" w:cs="Arial"/>
        </w:rPr>
        <w:t>://doi.org/10.12968/bjon.2003.12.3.185.</w:t>
      </w:r>
    </w:p>
    <w:p w14:paraId="349F82CF" w14:textId="6EC0DFEF" w:rsidR="00B976A9" w:rsidRPr="00B976A9" w:rsidRDefault="00B976A9" w:rsidP="00B976A9">
      <w:pPr>
        <w:rPr>
          <w:rFonts w:ascii="Arial" w:hAnsi="Arial" w:cs="Arial"/>
        </w:rPr>
      </w:pPr>
      <w:r w:rsidRPr="00B976A9">
        <w:rPr>
          <w:rFonts w:ascii="Arial" w:hAnsi="Arial" w:cs="Arial"/>
        </w:rPr>
        <w:t>61.</w:t>
      </w:r>
      <w:r w:rsidR="0066277D">
        <w:rPr>
          <w:rFonts w:ascii="Arial" w:hAnsi="Arial" w:cs="Arial"/>
        </w:rPr>
        <w:t xml:space="preserve"> </w:t>
      </w:r>
      <w:proofErr w:type="spellStart"/>
      <w:r w:rsidRPr="00B976A9">
        <w:rPr>
          <w:rFonts w:ascii="Arial" w:hAnsi="Arial" w:cs="Arial"/>
        </w:rPr>
        <w:t>Nazroo</w:t>
      </w:r>
      <w:proofErr w:type="spellEnd"/>
      <w:r w:rsidRPr="00B976A9">
        <w:rPr>
          <w:rFonts w:ascii="Arial" w:hAnsi="Arial" w:cs="Arial"/>
        </w:rPr>
        <w:t xml:space="preserve">, J.Y., </w:t>
      </w:r>
      <w:proofErr w:type="spellStart"/>
      <w:r w:rsidRPr="00B976A9">
        <w:rPr>
          <w:rFonts w:ascii="Arial" w:hAnsi="Arial" w:cs="Arial"/>
        </w:rPr>
        <w:t>Bhui</w:t>
      </w:r>
      <w:proofErr w:type="spellEnd"/>
      <w:r w:rsidRPr="00B976A9">
        <w:rPr>
          <w:rFonts w:ascii="Arial" w:hAnsi="Arial" w:cs="Arial"/>
        </w:rPr>
        <w:t xml:space="preserve">, K.S. and Rhodes, J. (2019) </w:t>
      </w:r>
      <w:r w:rsidRPr="0066277D">
        <w:rPr>
          <w:rFonts w:ascii="Arial" w:hAnsi="Arial" w:cs="Arial"/>
          <w:i/>
          <w:iCs/>
        </w:rPr>
        <w:t>Where next for understanding race/ethnic inequalities in severe mental illness?</w:t>
      </w:r>
      <w:r w:rsidRPr="00B976A9">
        <w:rPr>
          <w:rFonts w:ascii="Arial" w:hAnsi="Arial" w:cs="Arial"/>
        </w:rPr>
        <w:t xml:space="preserve"> Structural, interpersonal and institutional racism. Sociology of Health &amp; Illness,  42(2), pp.262–276. Available at: </w:t>
      </w:r>
      <w:proofErr w:type="spellStart"/>
      <w:r w:rsidRPr="00B976A9">
        <w:rPr>
          <w:rFonts w:ascii="Arial" w:hAnsi="Arial" w:cs="Arial"/>
        </w:rPr>
        <w:t>doi:https</w:t>
      </w:r>
      <w:proofErr w:type="spellEnd"/>
      <w:r w:rsidRPr="00B976A9">
        <w:rPr>
          <w:rFonts w:ascii="Arial" w:hAnsi="Arial" w:cs="Arial"/>
        </w:rPr>
        <w:t>://doi.org/10.1111/1467-9566.13001.</w:t>
      </w:r>
    </w:p>
    <w:p w14:paraId="4D0E3BFF" w14:textId="47CD90D4" w:rsidR="00F02727" w:rsidRDefault="00B976A9" w:rsidP="00B976A9">
      <w:pPr>
        <w:rPr>
          <w:rFonts w:ascii="Arial" w:hAnsi="Arial" w:cs="Arial"/>
        </w:rPr>
      </w:pPr>
      <w:r w:rsidRPr="00B976A9">
        <w:rPr>
          <w:rFonts w:ascii="Arial" w:hAnsi="Arial" w:cs="Arial"/>
        </w:rPr>
        <w:t>62.</w:t>
      </w:r>
      <w:r w:rsidR="0066277D">
        <w:rPr>
          <w:rFonts w:ascii="Arial" w:hAnsi="Arial" w:cs="Arial"/>
        </w:rPr>
        <w:t xml:space="preserve"> </w:t>
      </w:r>
      <w:r w:rsidRPr="00B976A9">
        <w:rPr>
          <w:rFonts w:ascii="Arial" w:hAnsi="Arial" w:cs="Arial"/>
        </w:rPr>
        <w:t xml:space="preserve">NHS England (2016) </w:t>
      </w:r>
      <w:r w:rsidRPr="0066277D">
        <w:rPr>
          <w:rFonts w:ascii="Arial" w:hAnsi="Arial" w:cs="Arial"/>
          <w:i/>
          <w:iCs/>
        </w:rPr>
        <w:t>NHS England Accessible Information Standard comes into force.</w:t>
      </w:r>
      <w:r w:rsidRPr="00B976A9">
        <w:rPr>
          <w:rFonts w:ascii="Arial" w:hAnsi="Arial" w:cs="Arial"/>
        </w:rPr>
        <w:t xml:space="preserve"> England.nhs.uk. Available at: </w:t>
      </w:r>
      <w:hyperlink r:id="rId36" w:history="1">
        <w:r w:rsidR="00663075" w:rsidRPr="00ED157C">
          <w:rPr>
            <w:rStyle w:val="Hyperlink"/>
            <w:rFonts w:ascii="Arial" w:hAnsi="Arial" w:cs="Arial"/>
          </w:rPr>
          <w:t>https://www.england.nhs.uk/2016/08/accessible-information-standard/</w:t>
        </w:r>
      </w:hyperlink>
      <w:r w:rsidRPr="00B976A9">
        <w:rPr>
          <w:rFonts w:ascii="Arial" w:hAnsi="Arial" w:cs="Arial"/>
        </w:rPr>
        <w:t>.</w:t>
      </w:r>
      <w:r w:rsidR="00663075">
        <w:rPr>
          <w:rFonts w:ascii="Arial" w:hAnsi="Arial" w:cs="Arial"/>
        </w:rPr>
        <w:t xml:space="preserve"> (Accessed</w:t>
      </w:r>
      <w:r w:rsidR="0082046E">
        <w:rPr>
          <w:rFonts w:ascii="Arial" w:hAnsi="Arial" w:cs="Arial"/>
        </w:rPr>
        <w:t>:</w:t>
      </w:r>
      <w:r w:rsidR="00663075">
        <w:rPr>
          <w:rFonts w:ascii="Arial" w:hAnsi="Arial" w:cs="Arial"/>
        </w:rPr>
        <w:t xml:space="preserve"> 10 June 2025).</w:t>
      </w:r>
    </w:p>
    <w:p w14:paraId="07F83EB9" w14:textId="4D7D30E3" w:rsidR="0082046E" w:rsidRPr="0082046E" w:rsidRDefault="0082046E" w:rsidP="0082046E">
      <w:pPr>
        <w:rPr>
          <w:rFonts w:ascii="Arial" w:hAnsi="Arial" w:cs="Arial"/>
        </w:rPr>
      </w:pPr>
      <w:r w:rsidRPr="0082046E">
        <w:rPr>
          <w:rFonts w:ascii="Arial" w:hAnsi="Arial" w:cs="Arial"/>
        </w:rPr>
        <w:t>63.</w:t>
      </w:r>
      <w:r>
        <w:rPr>
          <w:rFonts w:ascii="Arial" w:hAnsi="Arial" w:cs="Arial"/>
        </w:rPr>
        <w:t xml:space="preserve"> </w:t>
      </w:r>
      <w:r w:rsidRPr="0082046E">
        <w:rPr>
          <w:rFonts w:ascii="Arial" w:hAnsi="Arial" w:cs="Arial"/>
        </w:rPr>
        <w:t xml:space="preserve">NHS England (2019) </w:t>
      </w:r>
      <w:r w:rsidRPr="00F17C60">
        <w:rPr>
          <w:rFonts w:ascii="Arial" w:hAnsi="Arial" w:cs="Arial"/>
          <w:i/>
          <w:iCs/>
        </w:rPr>
        <w:t>End of Life Care</w:t>
      </w:r>
      <w:r w:rsidRPr="0082046E">
        <w:rPr>
          <w:rFonts w:ascii="Arial" w:hAnsi="Arial" w:cs="Arial"/>
        </w:rPr>
        <w:t xml:space="preserve">. England.nhs.uk. Available at: </w:t>
      </w:r>
      <w:hyperlink r:id="rId37" w:history="1">
        <w:r w:rsidR="00F17C60" w:rsidRPr="00ED157C">
          <w:rPr>
            <w:rStyle w:val="Hyperlink"/>
            <w:rFonts w:ascii="Arial" w:hAnsi="Arial" w:cs="Arial"/>
          </w:rPr>
          <w:t>https://www.england.nhs.uk/eolc/</w:t>
        </w:r>
      </w:hyperlink>
      <w:r w:rsidRPr="0082046E">
        <w:rPr>
          <w:rFonts w:ascii="Arial" w:hAnsi="Arial" w:cs="Arial"/>
        </w:rPr>
        <w:t>.</w:t>
      </w:r>
      <w:r w:rsidR="00F17C60">
        <w:rPr>
          <w:rFonts w:ascii="Arial" w:hAnsi="Arial" w:cs="Arial"/>
        </w:rPr>
        <w:t xml:space="preserve"> </w:t>
      </w:r>
      <w:r w:rsidRPr="0082046E">
        <w:rPr>
          <w:rFonts w:ascii="Arial" w:hAnsi="Arial" w:cs="Arial"/>
        </w:rPr>
        <w:t>(Accessed</w:t>
      </w:r>
      <w:r w:rsidR="00F17C60">
        <w:rPr>
          <w:rFonts w:ascii="Arial" w:hAnsi="Arial" w:cs="Arial"/>
        </w:rPr>
        <w:t>:</w:t>
      </w:r>
      <w:r w:rsidRPr="0082046E">
        <w:rPr>
          <w:rFonts w:ascii="Arial" w:hAnsi="Arial" w:cs="Arial"/>
        </w:rPr>
        <w:t xml:space="preserve"> 30 June 2025).</w:t>
      </w:r>
    </w:p>
    <w:p w14:paraId="598AF6CD" w14:textId="18FC4D25" w:rsidR="0082046E" w:rsidRDefault="0082046E" w:rsidP="0082046E">
      <w:pPr>
        <w:rPr>
          <w:rFonts w:ascii="Arial" w:hAnsi="Arial" w:cs="Arial"/>
        </w:rPr>
      </w:pPr>
      <w:r w:rsidRPr="0082046E">
        <w:rPr>
          <w:rFonts w:ascii="Arial" w:hAnsi="Arial" w:cs="Arial"/>
        </w:rPr>
        <w:t>64.</w:t>
      </w:r>
      <w:r w:rsidR="00F17C60">
        <w:rPr>
          <w:rFonts w:ascii="Arial" w:hAnsi="Arial" w:cs="Arial"/>
        </w:rPr>
        <w:t xml:space="preserve"> </w:t>
      </w:r>
      <w:r w:rsidRPr="0082046E">
        <w:rPr>
          <w:rFonts w:ascii="Arial" w:hAnsi="Arial" w:cs="Arial"/>
        </w:rPr>
        <w:t xml:space="preserve">NHS England (2019) </w:t>
      </w:r>
      <w:r w:rsidRPr="00F17C60">
        <w:rPr>
          <w:rFonts w:ascii="Arial" w:hAnsi="Arial" w:cs="Arial"/>
          <w:i/>
          <w:iCs/>
        </w:rPr>
        <w:t>NHS England NHS Long Term Plan to tackle major killer conditions and save up to half a million lives.</w:t>
      </w:r>
      <w:r w:rsidRPr="0082046E">
        <w:rPr>
          <w:rFonts w:ascii="Arial" w:hAnsi="Arial" w:cs="Arial"/>
        </w:rPr>
        <w:t xml:space="preserve"> England.nhs.uk. Available at: </w:t>
      </w:r>
      <w:hyperlink r:id="rId38" w:history="1">
        <w:r w:rsidR="00F17C60" w:rsidRPr="00ED157C">
          <w:rPr>
            <w:rStyle w:val="Hyperlink"/>
            <w:rFonts w:ascii="Arial" w:hAnsi="Arial" w:cs="Arial"/>
          </w:rPr>
          <w:t>https://www.england.nhs.uk/2019/01/long-term-plan/</w:t>
        </w:r>
      </w:hyperlink>
      <w:r w:rsidRPr="0082046E">
        <w:rPr>
          <w:rFonts w:ascii="Arial" w:hAnsi="Arial" w:cs="Arial"/>
        </w:rPr>
        <w:t>.</w:t>
      </w:r>
      <w:r w:rsidR="00F17C60">
        <w:rPr>
          <w:rFonts w:ascii="Arial" w:hAnsi="Arial" w:cs="Arial"/>
        </w:rPr>
        <w:t xml:space="preserve"> (Accessed</w:t>
      </w:r>
      <w:r w:rsidR="000D376D">
        <w:rPr>
          <w:rFonts w:ascii="Arial" w:hAnsi="Arial" w:cs="Arial"/>
        </w:rPr>
        <w:t>: 10 July 2025).</w:t>
      </w:r>
    </w:p>
    <w:p w14:paraId="432B0E22" w14:textId="1233F523" w:rsidR="0082046E" w:rsidRDefault="0082046E" w:rsidP="0082046E">
      <w:pPr>
        <w:rPr>
          <w:rFonts w:ascii="Arial" w:hAnsi="Arial" w:cs="Arial"/>
        </w:rPr>
      </w:pPr>
      <w:r w:rsidRPr="0082046E">
        <w:rPr>
          <w:rFonts w:ascii="Arial" w:hAnsi="Arial" w:cs="Arial"/>
        </w:rPr>
        <w:t>65.</w:t>
      </w:r>
      <w:r w:rsidR="000D376D">
        <w:rPr>
          <w:rFonts w:ascii="Arial" w:hAnsi="Arial" w:cs="Arial"/>
        </w:rPr>
        <w:t xml:space="preserve"> </w:t>
      </w:r>
      <w:r w:rsidRPr="0082046E">
        <w:rPr>
          <w:rFonts w:ascii="Arial" w:hAnsi="Arial" w:cs="Arial"/>
        </w:rPr>
        <w:t xml:space="preserve">NHS England (2019) </w:t>
      </w:r>
      <w:r w:rsidRPr="000D376D">
        <w:rPr>
          <w:rFonts w:ascii="Arial" w:hAnsi="Arial" w:cs="Arial"/>
          <w:i/>
          <w:iCs/>
        </w:rPr>
        <w:t>The NHS Long Term Plan</w:t>
      </w:r>
      <w:r w:rsidRPr="0082046E">
        <w:rPr>
          <w:rFonts w:ascii="Arial" w:hAnsi="Arial" w:cs="Arial"/>
        </w:rPr>
        <w:t xml:space="preserve">.  NHS. Available at: </w:t>
      </w:r>
      <w:hyperlink r:id="rId39" w:history="1">
        <w:r w:rsidR="000D376D" w:rsidRPr="00ED157C">
          <w:rPr>
            <w:rStyle w:val="Hyperlink"/>
            <w:rFonts w:ascii="Arial" w:hAnsi="Arial" w:cs="Arial"/>
          </w:rPr>
          <w:t>https://www.longtermplan.nhs.uk/publication/nhs-long-term-plan/</w:t>
        </w:r>
      </w:hyperlink>
      <w:r w:rsidRPr="0082046E">
        <w:rPr>
          <w:rFonts w:ascii="Arial" w:hAnsi="Arial" w:cs="Arial"/>
        </w:rPr>
        <w:t>.</w:t>
      </w:r>
      <w:r w:rsidR="000D376D">
        <w:rPr>
          <w:rFonts w:ascii="Arial" w:hAnsi="Arial" w:cs="Arial"/>
        </w:rPr>
        <w:t xml:space="preserve"> (Accessed:</w:t>
      </w:r>
      <w:r w:rsidR="00EA06D4">
        <w:rPr>
          <w:rFonts w:ascii="Arial" w:hAnsi="Arial" w:cs="Arial"/>
        </w:rPr>
        <w:t xml:space="preserve"> 20 October 2025).</w:t>
      </w:r>
    </w:p>
    <w:p w14:paraId="4D644CC6" w14:textId="1A8FEFBE" w:rsidR="00EA06D4" w:rsidRDefault="0082046E" w:rsidP="0082046E">
      <w:pPr>
        <w:rPr>
          <w:rFonts w:ascii="Arial" w:hAnsi="Arial" w:cs="Arial"/>
        </w:rPr>
      </w:pPr>
      <w:r w:rsidRPr="0082046E">
        <w:rPr>
          <w:rFonts w:ascii="Arial" w:hAnsi="Arial" w:cs="Arial"/>
        </w:rPr>
        <w:t>66.</w:t>
      </w:r>
      <w:r w:rsidR="00EA06D4">
        <w:rPr>
          <w:rFonts w:ascii="Arial" w:hAnsi="Arial" w:cs="Arial"/>
        </w:rPr>
        <w:t xml:space="preserve"> </w:t>
      </w:r>
      <w:r w:rsidRPr="0082046E">
        <w:rPr>
          <w:rFonts w:ascii="Arial" w:hAnsi="Arial" w:cs="Arial"/>
        </w:rPr>
        <w:t xml:space="preserve">NHS England (2019) </w:t>
      </w:r>
      <w:r w:rsidRPr="00EA06D4">
        <w:rPr>
          <w:rFonts w:ascii="Arial" w:hAnsi="Arial" w:cs="Arial"/>
          <w:i/>
          <w:iCs/>
        </w:rPr>
        <w:t>The NHS Long Term Plan</w:t>
      </w:r>
      <w:r w:rsidRPr="0082046E">
        <w:rPr>
          <w:rFonts w:ascii="Arial" w:hAnsi="Arial" w:cs="Arial"/>
        </w:rPr>
        <w:t xml:space="preserve">. www.england.nhs.uk. Available at: </w:t>
      </w:r>
      <w:hyperlink r:id="rId40" w:history="1">
        <w:r w:rsidR="00EA06D4" w:rsidRPr="00ED157C">
          <w:rPr>
            <w:rStyle w:val="Hyperlink"/>
            <w:rFonts w:ascii="Arial" w:hAnsi="Arial" w:cs="Arial"/>
          </w:rPr>
          <w:t>https://www.england.nhs.uk/publication/the-nhs-long-term-plan/</w:t>
        </w:r>
      </w:hyperlink>
      <w:r w:rsidRPr="0082046E">
        <w:rPr>
          <w:rFonts w:ascii="Arial" w:hAnsi="Arial" w:cs="Arial"/>
        </w:rPr>
        <w:t>.</w:t>
      </w:r>
      <w:r w:rsidR="00EA06D4">
        <w:rPr>
          <w:rFonts w:ascii="Arial" w:hAnsi="Arial" w:cs="Arial"/>
        </w:rPr>
        <w:t xml:space="preserve"> (Accessed: 20 October 2025).</w:t>
      </w:r>
    </w:p>
    <w:p w14:paraId="131EEC2C" w14:textId="130F2FB8" w:rsidR="0082046E" w:rsidRDefault="0082046E" w:rsidP="0082046E">
      <w:pPr>
        <w:rPr>
          <w:rFonts w:ascii="Arial" w:hAnsi="Arial" w:cs="Arial"/>
        </w:rPr>
      </w:pPr>
      <w:r w:rsidRPr="0082046E">
        <w:rPr>
          <w:rFonts w:ascii="Arial" w:hAnsi="Arial" w:cs="Arial"/>
        </w:rPr>
        <w:t xml:space="preserve"> 67.</w:t>
      </w:r>
      <w:r w:rsidR="00EA06D4">
        <w:rPr>
          <w:rFonts w:ascii="Arial" w:hAnsi="Arial" w:cs="Arial"/>
        </w:rPr>
        <w:t xml:space="preserve"> </w:t>
      </w:r>
      <w:r w:rsidRPr="0082046E">
        <w:rPr>
          <w:rFonts w:ascii="Arial" w:hAnsi="Arial" w:cs="Arial"/>
        </w:rPr>
        <w:t xml:space="preserve">NHS England (2021) </w:t>
      </w:r>
      <w:r w:rsidRPr="00EA06D4">
        <w:rPr>
          <w:rFonts w:ascii="Arial" w:hAnsi="Arial" w:cs="Arial"/>
          <w:i/>
          <w:iCs/>
        </w:rPr>
        <w:t>Core20PLUS5 an Approach to Reducing Health Inequalities</w:t>
      </w:r>
      <w:r w:rsidRPr="0082046E">
        <w:rPr>
          <w:rFonts w:ascii="Arial" w:hAnsi="Arial" w:cs="Arial"/>
        </w:rPr>
        <w:t xml:space="preserve">. www.england.nhs.uk. Available at: </w:t>
      </w:r>
      <w:hyperlink r:id="rId41" w:history="1">
        <w:r w:rsidR="00EA06D4" w:rsidRPr="00ED157C">
          <w:rPr>
            <w:rStyle w:val="Hyperlink"/>
            <w:rFonts w:ascii="Arial" w:hAnsi="Arial" w:cs="Arial"/>
          </w:rPr>
          <w:t>https://www.england.nhs.uk/about/equality/equality-hub/national-healthcare-inequalities-improvement-programme/core20plus5/</w:t>
        </w:r>
      </w:hyperlink>
      <w:r w:rsidRPr="0082046E">
        <w:rPr>
          <w:rFonts w:ascii="Arial" w:hAnsi="Arial" w:cs="Arial"/>
        </w:rPr>
        <w:t>.</w:t>
      </w:r>
      <w:r w:rsidR="00EA06D4">
        <w:rPr>
          <w:rFonts w:ascii="Arial" w:hAnsi="Arial" w:cs="Arial"/>
        </w:rPr>
        <w:t xml:space="preserve"> (Accessed: 10 July 2025).</w:t>
      </w:r>
    </w:p>
    <w:p w14:paraId="2680029E" w14:textId="77777777" w:rsidR="00EA06D4" w:rsidRPr="0082046E" w:rsidRDefault="00EA06D4" w:rsidP="0082046E">
      <w:pPr>
        <w:rPr>
          <w:rFonts w:ascii="Arial" w:hAnsi="Arial" w:cs="Arial"/>
        </w:rPr>
      </w:pPr>
    </w:p>
    <w:p w14:paraId="24571DDE" w14:textId="5EC1D759" w:rsidR="0082046E" w:rsidRPr="0082046E" w:rsidRDefault="0082046E" w:rsidP="0082046E">
      <w:pPr>
        <w:rPr>
          <w:rFonts w:ascii="Arial" w:hAnsi="Arial" w:cs="Arial"/>
        </w:rPr>
      </w:pPr>
      <w:r w:rsidRPr="0082046E">
        <w:rPr>
          <w:rFonts w:ascii="Arial" w:hAnsi="Arial" w:cs="Arial"/>
        </w:rPr>
        <w:lastRenderedPageBreak/>
        <w:t>68.</w:t>
      </w:r>
      <w:r w:rsidR="00EA06D4">
        <w:rPr>
          <w:rFonts w:ascii="Arial" w:hAnsi="Arial" w:cs="Arial"/>
        </w:rPr>
        <w:t xml:space="preserve"> </w:t>
      </w:r>
      <w:r w:rsidRPr="0082046E">
        <w:rPr>
          <w:rFonts w:ascii="Arial" w:hAnsi="Arial" w:cs="Arial"/>
        </w:rPr>
        <w:t xml:space="preserve">NHS England (2023) </w:t>
      </w:r>
      <w:r w:rsidRPr="00EA06D4">
        <w:rPr>
          <w:rFonts w:ascii="Arial" w:hAnsi="Arial" w:cs="Arial"/>
          <w:i/>
          <w:iCs/>
        </w:rPr>
        <w:t>NHS Workforce Race Equality Standard (WRES)</w:t>
      </w:r>
      <w:r w:rsidRPr="0082046E">
        <w:rPr>
          <w:rFonts w:ascii="Arial" w:hAnsi="Arial" w:cs="Arial"/>
        </w:rPr>
        <w:t xml:space="preserve">. NHS England. Available at: </w:t>
      </w:r>
      <w:hyperlink r:id="rId42" w:history="1">
        <w:r w:rsidR="00EA06D4" w:rsidRPr="00ED157C">
          <w:rPr>
            <w:rStyle w:val="Hyperlink"/>
            <w:rFonts w:ascii="Arial" w:hAnsi="Arial" w:cs="Arial"/>
          </w:rPr>
          <w:t>https://www.england.nhs.uk/about/equality/equality-hub/workforce-equality-data-standards/equality-standard/</w:t>
        </w:r>
      </w:hyperlink>
      <w:r w:rsidRPr="0082046E">
        <w:rPr>
          <w:rFonts w:ascii="Arial" w:hAnsi="Arial" w:cs="Arial"/>
        </w:rPr>
        <w:t>.</w:t>
      </w:r>
      <w:r w:rsidR="00EA06D4">
        <w:rPr>
          <w:rFonts w:ascii="Arial" w:hAnsi="Arial" w:cs="Arial"/>
        </w:rPr>
        <w:t xml:space="preserve"> </w:t>
      </w:r>
      <w:r w:rsidRPr="0082046E">
        <w:rPr>
          <w:rFonts w:ascii="Arial" w:hAnsi="Arial" w:cs="Arial"/>
        </w:rPr>
        <w:t>(Accessed</w:t>
      </w:r>
      <w:r w:rsidR="00EA06D4">
        <w:rPr>
          <w:rFonts w:ascii="Arial" w:hAnsi="Arial" w:cs="Arial"/>
        </w:rPr>
        <w:t>:</w:t>
      </w:r>
      <w:r w:rsidRPr="0082046E">
        <w:rPr>
          <w:rFonts w:ascii="Arial" w:hAnsi="Arial" w:cs="Arial"/>
        </w:rPr>
        <w:t xml:space="preserve"> 25 October 2025).</w:t>
      </w:r>
    </w:p>
    <w:p w14:paraId="3D2184DF" w14:textId="7F0624A6" w:rsidR="0082046E" w:rsidRDefault="0082046E" w:rsidP="0082046E">
      <w:pPr>
        <w:rPr>
          <w:rFonts w:ascii="Arial" w:hAnsi="Arial" w:cs="Arial"/>
        </w:rPr>
      </w:pPr>
      <w:r w:rsidRPr="0082046E">
        <w:rPr>
          <w:rFonts w:ascii="Arial" w:hAnsi="Arial" w:cs="Arial"/>
        </w:rPr>
        <w:t>69.</w:t>
      </w:r>
      <w:r w:rsidR="00EA06D4">
        <w:rPr>
          <w:rFonts w:ascii="Arial" w:hAnsi="Arial" w:cs="Arial"/>
        </w:rPr>
        <w:t xml:space="preserve"> </w:t>
      </w:r>
      <w:r w:rsidRPr="0082046E">
        <w:rPr>
          <w:rFonts w:ascii="Arial" w:hAnsi="Arial" w:cs="Arial"/>
        </w:rPr>
        <w:t xml:space="preserve">NHS England (2025) </w:t>
      </w:r>
      <w:r w:rsidRPr="00EA06D4">
        <w:rPr>
          <w:rFonts w:ascii="Arial" w:hAnsi="Arial" w:cs="Arial"/>
          <w:i/>
          <w:iCs/>
        </w:rPr>
        <w:t>NHS England Accessible information standard</w:t>
      </w:r>
      <w:r w:rsidRPr="0082046E">
        <w:rPr>
          <w:rFonts w:ascii="Arial" w:hAnsi="Arial" w:cs="Arial"/>
        </w:rPr>
        <w:t xml:space="preserve">. England.nhs.uk. Available at: </w:t>
      </w:r>
      <w:hyperlink r:id="rId43" w:history="1">
        <w:r w:rsidR="00EA06D4" w:rsidRPr="00ED157C">
          <w:rPr>
            <w:rStyle w:val="Hyperlink"/>
            <w:rFonts w:ascii="Arial" w:hAnsi="Arial" w:cs="Arial"/>
          </w:rPr>
          <w:t>https://www.england.nhs.uk/accessible-information-standard/</w:t>
        </w:r>
      </w:hyperlink>
      <w:r w:rsidRPr="0082046E">
        <w:rPr>
          <w:rFonts w:ascii="Arial" w:hAnsi="Arial" w:cs="Arial"/>
        </w:rPr>
        <w:t>.</w:t>
      </w:r>
      <w:r w:rsidR="00EF3608">
        <w:rPr>
          <w:rFonts w:ascii="Arial" w:hAnsi="Arial" w:cs="Arial"/>
        </w:rPr>
        <w:t xml:space="preserve"> (Accessed: </w:t>
      </w:r>
      <w:r w:rsidR="003F4864">
        <w:rPr>
          <w:rFonts w:ascii="Arial" w:hAnsi="Arial" w:cs="Arial"/>
        </w:rPr>
        <w:t>5 October 2025).</w:t>
      </w:r>
    </w:p>
    <w:p w14:paraId="49F333D5" w14:textId="6A126E7F" w:rsidR="0082046E" w:rsidRPr="0082046E" w:rsidRDefault="0082046E" w:rsidP="0082046E">
      <w:pPr>
        <w:rPr>
          <w:rFonts w:ascii="Arial" w:hAnsi="Arial" w:cs="Arial"/>
        </w:rPr>
      </w:pPr>
      <w:r w:rsidRPr="0082046E">
        <w:rPr>
          <w:rFonts w:ascii="Arial" w:hAnsi="Arial" w:cs="Arial"/>
        </w:rPr>
        <w:t>70.</w:t>
      </w:r>
      <w:r w:rsidR="003F4864">
        <w:rPr>
          <w:rFonts w:ascii="Arial" w:hAnsi="Arial" w:cs="Arial"/>
        </w:rPr>
        <w:t xml:space="preserve"> </w:t>
      </w:r>
      <w:r w:rsidRPr="0082046E">
        <w:rPr>
          <w:rFonts w:ascii="Arial" w:hAnsi="Arial" w:cs="Arial"/>
        </w:rPr>
        <w:t xml:space="preserve">NHS Leadership Academy (2023) </w:t>
      </w:r>
      <w:r w:rsidRPr="003F4864">
        <w:rPr>
          <w:rFonts w:ascii="Arial" w:hAnsi="Arial" w:cs="Arial"/>
          <w:i/>
          <w:iCs/>
        </w:rPr>
        <w:t>Mary Seacole programme</w:t>
      </w:r>
      <w:r w:rsidRPr="0082046E">
        <w:rPr>
          <w:rFonts w:ascii="Arial" w:hAnsi="Arial" w:cs="Arial"/>
        </w:rPr>
        <w:t xml:space="preserve">.  Available at: </w:t>
      </w:r>
      <w:hyperlink r:id="rId44" w:history="1">
        <w:r w:rsidR="003F4864" w:rsidRPr="00ED157C">
          <w:rPr>
            <w:rStyle w:val="Hyperlink"/>
            <w:rFonts w:ascii="Arial" w:hAnsi="Arial" w:cs="Arial"/>
          </w:rPr>
          <w:t>https://www.leadershipacademy.nhs.uk/programmes/mary-seacole-programme</w:t>
        </w:r>
      </w:hyperlink>
      <w:r w:rsidR="003F4864">
        <w:rPr>
          <w:rFonts w:ascii="Arial" w:hAnsi="Arial" w:cs="Arial"/>
        </w:rPr>
        <w:t xml:space="preserve"> </w:t>
      </w:r>
      <w:r w:rsidRPr="0082046E">
        <w:rPr>
          <w:rFonts w:ascii="Arial" w:hAnsi="Arial" w:cs="Arial"/>
        </w:rPr>
        <w:t>(Accessed 25 October 205).</w:t>
      </w:r>
    </w:p>
    <w:p w14:paraId="12183D89" w14:textId="3F46840F" w:rsidR="0082046E" w:rsidRDefault="0082046E" w:rsidP="0082046E">
      <w:pPr>
        <w:rPr>
          <w:rFonts w:ascii="Arial" w:hAnsi="Arial" w:cs="Arial"/>
        </w:rPr>
      </w:pPr>
      <w:r w:rsidRPr="0082046E">
        <w:rPr>
          <w:rFonts w:ascii="Arial" w:hAnsi="Arial" w:cs="Arial"/>
        </w:rPr>
        <w:t>71.</w:t>
      </w:r>
      <w:r w:rsidR="003F4864">
        <w:rPr>
          <w:rFonts w:ascii="Arial" w:hAnsi="Arial" w:cs="Arial"/>
        </w:rPr>
        <w:t xml:space="preserve"> </w:t>
      </w:r>
      <w:r w:rsidRPr="0082046E">
        <w:rPr>
          <w:rFonts w:ascii="Arial" w:hAnsi="Arial" w:cs="Arial"/>
        </w:rPr>
        <w:t xml:space="preserve">NICE (2021) </w:t>
      </w:r>
      <w:r w:rsidRPr="003F4864">
        <w:rPr>
          <w:rFonts w:ascii="Arial" w:hAnsi="Arial" w:cs="Arial"/>
          <w:i/>
          <w:iCs/>
        </w:rPr>
        <w:t>Overview | End of life care for adults</w:t>
      </w:r>
      <w:r w:rsidRPr="0082046E">
        <w:rPr>
          <w:rFonts w:ascii="Arial" w:hAnsi="Arial" w:cs="Arial"/>
        </w:rPr>
        <w:t xml:space="preserve"> | Quality standards | NICE. Available at: </w:t>
      </w:r>
      <w:hyperlink r:id="rId45" w:history="1">
        <w:r w:rsidR="003F4864" w:rsidRPr="00ED157C">
          <w:rPr>
            <w:rStyle w:val="Hyperlink"/>
            <w:rFonts w:ascii="Arial" w:hAnsi="Arial" w:cs="Arial"/>
          </w:rPr>
          <w:t>https://www.nice.org.uk/guidance/QS13</w:t>
        </w:r>
      </w:hyperlink>
      <w:r w:rsidRPr="0082046E">
        <w:rPr>
          <w:rFonts w:ascii="Arial" w:hAnsi="Arial" w:cs="Arial"/>
        </w:rPr>
        <w:t>.</w:t>
      </w:r>
      <w:r w:rsidR="003F4864">
        <w:rPr>
          <w:rFonts w:ascii="Arial" w:hAnsi="Arial" w:cs="Arial"/>
        </w:rPr>
        <w:t xml:space="preserve"> (Accessed: </w:t>
      </w:r>
      <w:r w:rsidR="005E618F">
        <w:rPr>
          <w:rFonts w:ascii="Arial" w:hAnsi="Arial" w:cs="Arial"/>
        </w:rPr>
        <w:t>28 September 2025).</w:t>
      </w:r>
    </w:p>
    <w:p w14:paraId="46FD6B5D" w14:textId="28B6FA91" w:rsidR="0082046E" w:rsidRPr="0082046E" w:rsidRDefault="0082046E" w:rsidP="0082046E">
      <w:pPr>
        <w:rPr>
          <w:rFonts w:ascii="Arial" w:hAnsi="Arial" w:cs="Arial"/>
        </w:rPr>
      </w:pPr>
      <w:r w:rsidRPr="0082046E">
        <w:rPr>
          <w:rFonts w:ascii="Arial" w:hAnsi="Arial" w:cs="Arial"/>
        </w:rPr>
        <w:t>72.</w:t>
      </w:r>
      <w:r w:rsidR="005E618F">
        <w:rPr>
          <w:rFonts w:ascii="Arial" w:hAnsi="Arial" w:cs="Arial"/>
        </w:rPr>
        <w:t xml:space="preserve"> </w:t>
      </w:r>
      <w:r w:rsidRPr="0082046E">
        <w:rPr>
          <w:rFonts w:ascii="Arial" w:hAnsi="Arial" w:cs="Arial"/>
        </w:rPr>
        <w:t xml:space="preserve">Nowell, L. (2017) </w:t>
      </w:r>
      <w:r w:rsidRPr="005E618F">
        <w:rPr>
          <w:rFonts w:ascii="Arial" w:hAnsi="Arial" w:cs="Arial"/>
          <w:i/>
          <w:iCs/>
        </w:rPr>
        <w:t>Thematic Analysis: Striving to Meet the Trustworthiness Criteria.</w:t>
      </w:r>
      <w:r w:rsidRPr="0082046E">
        <w:rPr>
          <w:rFonts w:ascii="Arial" w:hAnsi="Arial" w:cs="Arial"/>
        </w:rPr>
        <w:t xml:space="preserve"> ResearchGate. Available at: </w:t>
      </w:r>
      <w:hyperlink r:id="rId46" w:history="1">
        <w:r w:rsidR="005E618F" w:rsidRPr="00ED157C">
          <w:rPr>
            <w:rStyle w:val="Hyperlink"/>
            <w:rFonts w:ascii="Arial" w:hAnsi="Arial" w:cs="Arial"/>
          </w:rPr>
          <w:t>https://www.researchgate.net/publication/320188032_Thematic_Analysis_Striving_to_Meet_the_Trustworthiness_Criteria</w:t>
        </w:r>
      </w:hyperlink>
      <w:r w:rsidR="005E618F">
        <w:rPr>
          <w:rFonts w:ascii="Arial" w:hAnsi="Arial" w:cs="Arial"/>
        </w:rPr>
        <w:t xml:space="preserve"> </w:t>
      </w:r>
      <w:r w:rsidRPr="0082046E">
        <w:rPr>
          <w:rFonts w:ascii="Arial" w:hAnsi="Arial" w:cs="Arial"/>
        </w:rPr>
        <w:t>(Accessed</w:t>
      </w:r>
      <w:r w:rsidR="005E618F">
        <w:rPr>
          <w:rFonts w:ascii="Arial" w:hAnsi="Arial" w:cs="Arial"/>
        </w:rPr>
        <w:t>:</w:t>
      </w:r>
      <w:r w:rsidRPr="0082046E">
        <w:rPr>
          <w:rFonts w:ascii="Arial" w:hAnsi="Arial" w:cs="Arial"/>
        </w:rPr>
        <w:t xml:space="preserve"> 17 September 2025).</w:t>
      </w:r>
    </w:p>
    <w:p w14:paraId="030CAA47" w14:textId="2D072613" w:rsidR="0082046E" w:rsidRPr="0082046E" w:rsidRDefault="0082046E" w:rsidP="0082046E">
      <w:pPr>
        <w:rPr>
          <w:rFonts w:ascii="Arial" w:hAnsi="Arial" w:cs="Arial"/>
        </w:rPr>
      </w:pPr>
      <w:r w:rsidRPr="0082046E">
        <w:rPr>
          <w:rFonts w:ascii="Arial" w:hAnsi="Arial" w:cs="Arial"/>
        </w:rPr>
        <w:t>73.</w:t>
      </w:r>
      <w:r w:rsidR="005E618F">
        <w:rPr>
          <w:rFonts w:ascii="Arial" w:hAnsi="Arial" w:cs="Arial"/>
        </w:rPr>
        <w:t xml:space="preserve"> </w:t>
      </w:r>
      <w:r w:rsidRPr="0082046E">
        <w:rPr>
          <w:rFonts w:ascii="Arial" w:hAnsi="Arial" w:cs="Arial"/>
        </w:rPr>
        <w:t xml:space="preserve">Nowell, L.S., Norris, J.M., White, D.E. and Moules, N.J. (2017) </w:t>
      </w:r>
      <w:r w:rsidRPr="005E618F">
        <w:rPr>
          <w:rFonts w:ascii="Arial" w:hAnsi="Arial" w:cs="Arial"/>
          <w:i/>
          <w:iCs/>
        </w:rPr>
        <w:t>Thematic Analysis: Striving to Meet the Trustworthiness Criteria. International Journal of Qualitative Methods</w:t>
      </w:r>
      <w:r w:rsidRPr="0082046E">
        <w:rPr>
          <w:rFonts w:ascii="Arial" w:hAnsi="Arial" w:cs="Arial"/>
        </w:rPr>
        <w:t xml:space="preserve">, Available at: 16(1). </w:t>
      </w:r>
      <w:proofErr w:type="spellStart"/>
      <w:r w:rsidRPr="0082046E">
        <w:rPr>
          <w:rFonts w:ascii="Arial" w:hAnsi="Arial" w:cs="Arial"/>
        </w:rPr>
        <w:t>doi:https</w:t>
      </w:r>
      <w:proofErr w:type="spellEnd"/>
      <w:r w:rsidRPr="0082046E">
        <w:rPr>
          <w:rFonts w:ascii="Arial" w:hAnsi="Arial" w:cs="Arial"/>
        </w:rPr>
        <w:t>://doi.org/10.1177/1609406917733847.</w:t>
      </w:r>
    </w:p>
    <w:p w14:paraId="17ED10F4" w14:textId="71AC8145" w:rsidR="0082046E" w:rsidRDefault="0082046E" w:rsidP="0082046E">
      <w:pPr>
        <w:rPr>
          <w:rFonts w:ascii="Arial" w:hAnsi="Arial" w:cs="Arial"/>
        </w:rPr>
      </w:pPr>
      <w:r w:rsidRPr="0082046E">
        <w:rPr>
          <w:rFonts w:ascii="Arial" w:hAnsi="Arial" w:cs="Arial"/>
        </w:rPr>
        <w:t>74.</w:t>
      </w:r>
      <w:r w:rsidR="005E618F">
        <w:rPr>
          <w:rFonts w:ascii="Arial" w:hAnsi="Arial" w:cs="Arial"/>
        </w:rPr>
        <w:t xml:space="preserve"> </w:t>
      </w:r>
      <w:r w:rsidRPr="0082046E">
        <w:rPr>
          <w:rFonts w:ascii="Arial" w:hAnsi="Arial" w:cs="Arial"/>
        </w:rPr>
        <w:t xml:space="preserve">Office for National Statistics (2011) 2011 </w:t>
      </w:r>
      <w:r w:rsidRPr="005E618F">
        <w:rPr>
          <w:rFonts w:ascii="Arial" w:hAnsi="Arial" w:cs="Arial"/>
          <w:i/>
          <w:iCs/>
        </w:rPr>
        <w:t>Census - Office for National Statistics</w:t>
      </w:r>
      <w:r w:rsidRPr="0082046E">
        <w:rPr>
          <w:rFonts w:ascii="Arial" w:hAnsi="Arial" w:cs="Arial"/>
        </w:rPr>
        <w:t xml:space="preserve">. Ons.gov.uk. Available at: </w:t>
      </w:r>
      <w:hyperlink r:id="rId47" w:history="1">
        <w:r w:rsidR="005E618F" w:rsidRPr="00ED157C">
          <w:rPr>
            <w:rStyle w:val="Hyperlink"/>
            <w:rFonts w:ascii="Arial" w:hAnsi="Arial" w:cs="Arial"/>
          </w:rPr>
          <w:t>https://www.ons.gov.uk/peoplepopulationandcommunity/culturalidentity/language/articles/detailedanalysisenglishlanguageproficiencyinenglandandwales/2013-08-30</w:t>
        </w:r>
      </w:hyperlink>
      <w:r w:rsidRPr="0082046E">
        <w:rPr>
          <w:rFonts w:ascii="Arial" w:hAnsi="Arial" w:cs="Arial"/>
        </w:rPr>
        <w:t>.</w:t>
      </w:r>
      <w:r w:rsidR="005E618F">
        <w:rPr>
          <w:rFonts w:ascii="Arial" w:hAnsi="Arial" w:cs="Arial"/>
        </w:rPr>
        <w:t xml:space="preserve"> (Accessed:</w:t>
      </w:r>
      <w:r w:rsidR="00ED4E8E">
        <w:rPr>
          <w:rFonts w:ascii="Arial" w:hAnsi="Arial" w:cs="Arial"/>
        </w:rPr>
        <w:t xml:space="preserve"> 23 October 2025).</w:t>
      </w:r>
    </w:p>
    <w:p w14:paraId="1C44C30A" w14:textId="4CABE7DF" w:rsidR="00663075" w:rsidRDefault="0082046E" w:rsidP="0082046E">
      <w:pPr>
        <w:rPr>
          <w:rFonts w:ascii="Arial" w:hAnsi="Arial" w:cs="Arial"/>
        </w:rPr>
      </w:pPr>
      <w:r w:rsidRPr="0082046E">
        <w:rPr>
          <w:rFonts w:ascii="Arial" w:hAnsi="Arial" w:cs="Arial"/>
        </w:rPr>
        <w:t>75.</w:t>
      </w:r>
      <w:r w:rsidR="00ED4E8E">
        <w:rPr>
          <w:rFonts w:ascii="Arial" w:hAnsi="Arial" w:cs="Arial"/>
        </w:rPr>
        <w:t xml:space="preserve"> </w:t>
      </w:r>
      <w:r w:rsidRPr="0082046E">
        <w:rPr>
          <w:rFonts w:ascii="Arial" w:hAnsi="Arial" w:cs="Arial"/>
        </w:rPr>
        <w:t xml:space="preserve">Office for National Statistics (2022) </w:t>
      </w:r>
      <w:r w:rsidRPr="00ED4E8E">
        <w:rPr>
          <w:rFonts w:ascii="Arial" w:hAnsi="Arial" w:cs="Arial"/>
          <w:i/>
          <w:iCs/>
        </w:rPr>
        <w:t>Ethnic group, England and Wales - Office for National Statistics.</w:t>
      </w:r>
      <w:r w:rsidRPr="0082046E">
        <w:rPr>
          <w:rFonts w:ascii="Arial" w:hAnsi="Arial" w:cs="Arial"/>
        </w:rPr>
        <w:t xml:space="preserve"> Available at: </w:t>
      </w:r>
      <w:hyperlink r:id="rId48" w:history="1">
        <w:r w:rsidR="00ED4E8E" w:rsidRPr="00ED157C">
          <w:rPr>
            <w:rStyle w:val="Hyperlink"/>
            <w:rFonts w:ascii="Arial" w:hAnsi="Arial" w:cs="Arial"/>
          </w:rPr>
          <w:t>https://www.ons.gov.uk/peoplepopulationandcommunity/culturalidentity/ethnicity/bulletins/ethnicgroupenglandandwales/cens</w:t>
        </w:r>
      </w:hyperlink>
      <w:r w:rsidR="00ED4E8E">
        <w:rPr>
          <w:rFonts w:ascii="Arial" w:hAnsi="Arial" w:cs="Arial"/>
        </w:rPr>
        <w:t xml:space="preserve"> (Accessed: </w:t>
      </w:r>
      <w:r w:rsidR="000A2CB2">
        <w:rPr>
          <w:rFonts w:ascii="Arial" w:hAnsi="Arial" w:cs="Arial"/>
        </w:rPr>
        <w:t>11 June 2025).</w:t>
      </w:r>
    </w:p>
    <w:p w14:paraId="39E57B04" w14:textId="24AAA718" w:rsidR="00A55D13" w:rsidRPr="00A55D13" w:rsidRDefault="00A55D13" w:rsidP="00A55D13">
      <w:pPr>
        <w:rPr>
          <w:rFonts w:ascii="Arial" w:hAnsi="Arial" w:cs="Arial"/>
        </w:rPr>
      </w:pPr>
      <w:r w:rsidRPr="00A55D13">
        <w:rPr>
          <w:rFonts w:ascii="Arial" w:hAnsi="Arial" w:cs="Arial"/>
        </w:rPr>
        <w:t>76.</w:t>
      </w:r>
      <w:r>
        <w:rPr>
          <w:rFonts w:ascii="Arial" w:hAnsi="Arial" w:cs="Arial"/>
        </w:rPr>
        <w:t xml:space="preserve"> </w:t>
      </w:r>
      <w:r w:rsidRPr="00A55D13">
        <w:rPr>
          <w:rFonts w:ascii="Arial" w:hAnsi="Arial" w:cs="Arial"/>
        </w:rPr>
        <w:t xml:space="preserve">ONS (2021) </w:t>
      </w:r>
      <w:r w:rsidRPr="00A55D13">
        <w:rPr>
          <w:rFonts w:ascii="Arial" w:hAnsi="Arial" w:cs="Arial"/>
          <w:i/>
          <w:iCs/>
        </w:rPr>
        <w:t>Deaths registered in England and Wales:</w:t>
      </w:r>
      <w:r w:rsidRPr="00A55D13">
        <w:rPr>
          <w:rFonts w:ascii="Arial" w:hAnsi="Arial" w:cs="Arial"/>
        </w:rPr>
        <w:t xml:space="preserve"> 2020. ons.gov.uk. Available at: </w:t>
      </w:r>
      <w:hyperlink r:id="rId49" w:history="1">
        <w:r w:rsidR="008F2765" w:rsidRPr="00ED157C">
          <w:rPr>
            <w:rStyle w:val="Hyperlink"/>
            <w:rFonts w:ascii="Arial" w:hAnsi="Arial" w:cs="Arial"/>
          </w:rPr>
          <w:t>https://www.ons.gov.uk/peoplepopulationandcommunity/birthsdeathsandmarriages/deaths/bulletins/deathsregistrationsummar</w:t>
        </w:r>
      </w:hyperlink>
      <w:r w:rsidR="008F2765">
        <w:rPr>
          <w:rFonts w:ascii="Arial" w:hAnsi="Arial" w:cs="Arial"/>
        </w:rPr>
        <w:t xml:space="preserve"> </w:t>
      </w:r>
      <w:r w:rsidRPr="00A55D13">
        <w:rPr>
          <w:rFonts w:ascii="Arial" w:hAnsi="Arial" w:cs="Arial"/>
        </w:rPr>
        <w:t>(Accessed</w:t>
      </w:r>
      <w:r>
        <w:rPr>
          <w:rFonts w:ascii="Arial" w:hAnsi="Arial" w:cs="Arial"/>
        </w:rPr>
        <w:t>:</w:t>
      </w:r>
      <w:r w:rsidRPr="00A55D13">
        <w:rPr>
          <w:rFonts w:ascii="Arial" w:hAnsi="Arial" w:cs="Arial"/>
        </w:rPr>
        <w:t xml:space="preserve"> 2 October 2025).</w:t>
      </w:r>
    </w:p>
    <w:p w14:paraId="272B8D0E" w14:textId="77777777" w:rsidR="008F2765" w:rsidRDefault="008F2765" w:rsidP="00A55D13">
      <w:pPr>
        <w:rPr>
          <w:rFonts w:ascii="Arial" w:hAnsi="Arial" w:cs="Arial"/>
        </w:rPr>
      </w:pPr>
    </w:p>
    <w:p w14:paraId="33AD26F0" w14:textId="34C93CBA" w:rsidR="00A55D13" w:rsidRPr="00A55D13" w:rsidRDefault="00A55D13" w:rsidP="00A55D13">
      <w:pPr>
        <w:rPr>
          <w:rFonts w:ascii="Arial" w:hAnsi="Arial" w:cs="Arial"/>
        </w:rPr>
      </w:pPr>
      <w:r w:rsidRPr="00A55D13">
        <w:rPr>
          <w:rFonts w:ascii="Arial" w:hAnsi="Arial" w:cs="Arial"/>
        </w:rPr>
        <w:lastRenderedPageBreak/>
        <w:t>77.</w:t>
      </w:r>
      <w:r w:rsidR="008F2765">
        <w:rPr>
          <w:rFonts w:ascii="Arial" w:hAnsi="Arial" w:cs="Arial"/>
        </w:rPr>
        <w:t xml:space="preserve"> </w:t>
      </w:r>
      <w:r w:rsidRPr="00A55D13">
        <w:rPr>
          <w:rFonts w:ascii="Arial" w:hAnsi="Arial" w:cs="Arial"/>
        </w:rPr>
        <w:t>Oyinkansola Ojo-</w:t>
      </w:r>
      <w:proofErr w:type="spellStart"/>
      <w:r w:rsidRPr="00A55D13">
        <w:rPr>
          <w:rFonts w:ascii="Arial" w:hAnsi="Arial" w:cs="Arial"/>
        </w:rPr>
        <w:t>Aromokudu</w:t>
      </w:r>
      <w:proofErr w:type="spellEnd"/>
      <w:r w:rsidRPr="00A55D13">
        <w:rPr>
          <w:rFonts w:ascii="Arial" w:hAnsi="Arial" w:cs="Arial"/>
        </w:rPr>
        <w:t xml:space="preserve">, Suffel, A.M., Bell, S. and Mounier-Jack, S. (2023) </w:t>
      </w:r>
      <w:r w:rsidRPr="008F2765">
        <w:rPr>
          <w:rFonts w:ascii="Arial" w:hAnsi="Arial" w:cs="Arial"/>
          <w:i/>
          <w:iCs/>
        </w:rPr>
        <w:t>Views and experiences of primary care among Black communities in the United Kingdom:</w:t>
      </w:r>
      <w:r w:rsidRPr="00A55D13">
        <w:rPr>
          <w:rFonts w:ascii="Arial" w:hAnsi="Arial" w:cs="Arial"/>
        </w:rPr>
        <w:t xml:space="preserve"> a qualitative systematic review. Views and experiences of primary care among Black communities in the United Kingdom: a qualitative systematic review, 28(7), pp.1–20. Available at: </w:t>
      </w:r>
      <w:proofErr w:type="spellStart"/>
      <w:r w:rsidRPr="00A55D13">
        <w:rPr>
          <w:rFonts w:ascii="Arial" w:hAnsi="Arial" w:cs="Arial"/>
        </w:rPr>
        <w:t>doi:https</w:t>
      </w:r>
      <w:proofErr w:type="spellEnd"/>
      <w:r w:rsidRPr="00A55D13">
        <w:rPr>
          <w:rFonts w:ascii="Arial" w:hAnsi="Arial" w:cs="Arial"/>
        </w:rPr>
        <w:t>://doi.org/10.1080/13557858.2023.2208313.</w:t>
      </w:r>
    </w:p>
    <w:p w14:paraId="14BBA0E7" w14:textId="59110E33" w:rsidR="00A55D13" w:rsidRPr="00A55D13" w:rsidRDefault="00A55D13" w:rsidP="00A55D13">
      <w:pPr>
        <w:rPr>
          <w:rFonts w:ascii="Arial" w:hAnsi="Arial" w:cs="Arial"/>
        </w:rPr>
      </w:pPr>
      <w:r w:rsidRPr="00A55D13">
        <w:rPr>
          <w:rFonts w:ascii="Arial" w:hAnsi="Arial" w:cs="Arial"/>
        </w:rPr>
        <w:t>78.</w:t>
      </w:r>
      <w:r w:rsidR="008F2765">
        <w:rPr>
          <w:rFonts w:ascii="Arial" w:hAnsi="Arial" w:cs="Arial"/>
        </w:rPr>
        <w:t xml:space="preserve"> </w:t>
      </w:r>
      <w:r w:rsidRPr="00A55D13">
        <w:rPr>
          <w:rFonts w:ascii="Arial" w:hAnsi="Arial" w:cs="Arial"/>
        </w:rPr>
        <w:t xml:space="preserve">Palliative Care Australia. (2018) Available at: </w:t>
      </w:r>
      <w:hyperlink r:id="rId50" w:history="1">
        <w:r w:rsidR="004439DE" w:rsidRPr="00ED157C">
          <w:rPr>
            <w:rStyle w:val="Hyperlink"/>
            <w:rFonts w:ascii="Arial" w:hAnsi="Arial" w:cs="Arial"/>
          </w:rPr>
          <w:t>https://www.palliativecare.org.au/wp-content/uploads/2019/12/PalliativeCare-Annual-Report-2018-19_FINAL.pdf</w:t>
        </w:r>
      </w:hyperlink>
      <w:r w:rsidR="004439DE">
        <w:rPr>
          <w:rFonts w:ascii="Arial" w:hAnsi="Arial" w:cs="Arial"/>
        </w:rPr>
        <w:t xml:space="preserve"> </w:t>
      </w:r>
      <w:r w:rsidRPr="00A55D13">
        <w:rPr>
          <w:rFonts w:ascii="Arial" w:hAnsi="Arial" w:cs="Arial"/>
        </w:rPr>
        <w:t>(Accessed</w:t>
      </w:r>
      <w:r w:rsidR="004439DE">
        <w:rPr>
          <w:rFonts w:ascii="Arial" w:hAnsi="Arial" w:cs="Arial"/>
        </w:rPr>
        <w:t>:</w:t>
      </w:r>
      <w:r w:rsidRPr="00A55D13">
        <w:rPr>
          <w:rFonts w:ascii="Arial" w:hAnsi="Arial" w:cs="Arial"/>
        </w:rPr>
        <w:t xml:space="preserve"> 10 Jul. 2025).</w:t>
      </w:r>
    </w:p>
    <w:p w14:paraId="7D187DFA" w14:textId="7FE7A2D8" w:rsidR="00A55D13" w:rsidRPr="00A55D13" w:rsidRDefault="00A55D13" w:rsidP="00A55D13">
      <w:pPr>
        <w:rPr>
          <w:rFonts w:ascii="Arial" w:hAnsi="Arial" w:cs="Arial"/>
        </w:rPr>
      </w:pPr>
      <w:r w:rsidRPr="00A55D13">
        <w:rPr>
          <w:rFonts w:ascii="Arial" w:hAnsi="Arial" w:cs="Arial"/>
        </w:rPr>
        <w:t>79.</w:t>
      </w:r>
      <w:r w:rsidR="004439DE">
        <w:rPr>
          <w:rFonts w:ascii="Arial" w:hAnsi="Arial" w:cs="Arial"/>
        </w:rPr>
        <w:t xml:space="preserve"> </w:t>
      </w:r>
      <w:r w:rsidRPr="00A55D13">
        <w:rPr>
          <w:rFonts w:ascii="Arial" w:hAnsi="Arial" w:cs="Arial"/>
        </w:rPr>
        <w:t xml:space="preserve">Palliative Care SA. (2023) </w:t>
      </w:r>
      <w:r w:rsidRPr="004439DE">
        <w:rPr>
          <w:rFonts w:ascii="Arial" w:hAnsi="Arial" w:cs="Arial"/>
          <w:i/>
          <w:iCs/>
        </w:rPr>
        <w:t>Palliative Care for Diverse Cultures</w:t>
      </w:r>
      <w:r w:rsidRPr="00A55D13">
        <w:rPr>
          <w:rFonts w:ascii="Arial" w:hAnsi="Arial" w:cs="Arial"/>
        </w:rPr>
        <w:t xml:space="preserve"> - Palliative Care SA. Available at: </w:t>
      </w:r>
      <w:hyperlink r:id="rId51" w:history="1">
        <w:r w:rsidR="004439DE" w:rsidRPr="00ED157C">
          <w:rPr>
            <w:rStyle w:val="Hyperlink"/>
            <w:rFonts w:ascii="Arial" w:hAnsi="Arial" w:cs="Arial"/>
          </w:rPr>
          <w:t>https://palliativecaresa.org.au/diverse-cultures/</w:t>
        </w:r>
      </w:hyperlink>
      <w:r w:rsidR="004439DE">
        <w:rPr>
          <w:rFonts w:ascii="Arial" w:hAnsi="Arial" w:cs="Arial"/>
        </w:rPr>
        <w:t xml:space="preserve"> </w:t>
      </w:r>
      <w:r w:rsidRPr="00A55D13">
        <w:rPr>
          <w:rFonts w:ascii="Arial" w:hAnsi="Arial" w:cs="Arial"/>
        </w:rPr>
        <w:t>(Accessed</w:t>
      </w:r>
      <w:r w:rsidR="004439DE">
        <w:rPr>
          <w:rFonts w:ascii="Arial" w:hAnsi="Arial" w:cs="Arial"/>
        </w:rPr>
        <w:t>:</w:t>
      </w:r>
      <w:r w:rsidRPr="00A55D13">
        <w:rPr>
          <w:rFonts w:ascii="Arial" w:hAnsi="Arial" w:cs="Arial"/>
        </w:rPr>
        <w:t xml:space="preserve"> 10 Jul. 2025).</w:t>
      </w:r>
    </w:p>
    <w:p w14:paraId="2FA5EBA3" w14:textId="53963713" w:rsidR="00A55D13" w:rsidRDefault="00A55D13" w:rsidP="00A55D13">
      <w:pPr>
        <w:rPr>
          <w:rFonts w:ascii="Arial" w:hAnsi="Arial" w:cs="Arial"/>
        </w:rPr>
      </w:pPr>
      <w:r w:rsidRPr="00A55D13">
        <w:rPr>
          <w:rFonts w:ascii="Arial" w:hAnsi="Arial" w:cs="Arial"/>
        </w:rPr>
        <w:t>80.</w:t>
      </w:r>
      <w:r w:rsidR="004439DE">
        <w:rPr>
          <w:rFonts w:ascii="Arial" w:hAnsi="Arial" w:cs="Arial"/>
        </w:rPr>
        <w:t xml:space="preserve"> </w:t>
      </w:r>
      <w:r w:rsidRPr="00A55D13">
        <w:rPr>
          <w:rFonts w:ascii="Arial" w:hAnsi="Arial" w:cs="Arial"/>
        </w:rPr>
        <w:t xml:space="preserve">Papadopoulos, I. (2003) (PDF) </w:t>
      </w:r>
      <w:r w:rsidRPr="00A26F39">
        <w:rPr>
          <w:rFonts w:ascii="Arial" w:hAnsi="Arial" w:cs="Arial"/>
          <w:i/>
          <w:iCs/>
        </w:rPr>
        <w:t>The Papadopoulos, Tilki and Taylor model for the development of cultural competence in nursing.</w:t>
      </w:r>
      <w:r w:rsidRPr="00A55D13">
        <w:rPr>
          <w:rFonts w:ascii="Arial" w:hAnsi="Arial" w:cs="Arial"/>
        </w:rPr>
        <w:t xml:space="preserve">  ResearchGate. Available at: </w:t>
      </w:r>
      <w:hyperlink r:id="rId52" w:history="1">
        <w:r w:rsidR="00A26F39" w:rsidRPr="00ED157C">
          <w:rPr>
            <w:rStyle w:val="Hyperlink"/>
            <w:rFonts w:ascii="Arial" w:hAnsi="Arial" w:cs="Arial"/>
          </w:rPr>
          <w:t>https://www.researchgate.net/publication/285849542_The_Papadopoulos_Tilki_and_Taylor_model_for_the_development_of_cult</w:t>
        </w:r>
      </w:hyperlink>
      <w:r w:rsidR="00A26F39">
        <w:rPr>
          <w:rFonts w:ascii="Arial" w:hAnsi="Arial" w:cs="Arial"/>
        </w:rPr>
        <w:t xml:space="preserve"> (Accessed: 20 September 2025).</w:t>
      </w:r>
    </w:p>
    <w:p w14:paraId="0B4DA3F6" w14:textId="243AB8BE" w:rsidR="00A55D13" w:rsidRDefault="00A55D13" w:rsidP="00A55D13">
      <w:pPr>
        <w:rPr>
          <w:rFonts w:ascii="Arial" w:hAnsi="Arial" w:cs="Arial"/>
        </w:rPr>
      </w:pPr>
      <w:r w:rsidRPr="00A55D13">
        <w:rPr>
          <w:rFonts w:ascii="Arial" w:hAnsi="Arial" w:cs="Arial"/>
        </w:rPr>
        <w:t>81.</w:t>
      </w:r>
      <w:r w:rsidR="00A26F39">
        <w:rPr>
          <w:rFonts w:ascii="Arial" w:hAnsi="Arial" w:cs="Arial"/>
        </w:rPr>
        <w:t xml:space="preserve"> </w:t>
      </w:r>
      <w:r w:rsidRPr="00A55D13">
        <w:rPr>
          <w:rFonts w:ascii="Arial" w:hAnsi="Arial" w:cs="Arial"/>
        </w:rPr>
        <w:t xml:space="preserve">Papadopoulos, I. (2006) Papadopoulos I (Ed) (2006): </w:t>
      </w:r>
      <w:r w:rsidRPr="00A26F39">
        <w:rPr>
          <w:rFonts w:ascii="Arial" w:hAnsi="Arial" w:cs="Arial"/>
          <w:i/>
          <w:iCs/>
        </w:rPr>
        <w:t>Transcultural Health and Social Care :</w:t>
      </w:r>
      <w:r w:rsidRPr="00A55D13">
        <w:rPr>
          <w:rFonts w:ascii="Arial" w:hAnsi="Arial" w:cs="Arial"/>
        </w:rPr>
        <w:t xml:space="preserve"> Development of Culturally </w:t>
      </w:r>
      <w:proofErr w:type="spellStart"/>
      <w:r w:rsidRPr="00A55D13">
        <w:rPr>
          <w:rFonts w:ascii="Arial" w:hAnsi="Arial" w:cs="Arial"/>
        </w:rPr>
        <w:t>Competent.ResearchGate</w:t>
      </w:r>
      <w:proofErr w:type="spellEnd"/>
      <w:r w:rsidRPr="00A55D13">
        <w:rPr>
          <w:rFonts w:ascii="Arial" w:hAnsi="Arial" w:cs="Arial"/>
        </w:rPr>
        <w:t xml:space="preserve">. Available at: </w:t>
      </w:r>
      <w:hyperlink r:id="rId53" w:history="1">
        <w:r w:rsidR="00A26F39" w:rsidRPr="00ED157C">
          <w:rPr>
            <w:rStyle w:val="Hyperlink"/>
            <w:rFonts w:ascii="Arial" w:hAnsi="Arial" w:cs="Arial"/>
          </w:rPr>
          <w:t>https://www.researchgate.net/publication/236880899_Papadopoulos_I_Ed_2006_Transcultural_Health_and_Social_Care_Develo</w:t>
        </w:r>
      </w:hyperlink>
      <w:r w:rsidR="00A26F39">
        <w:rPr>
          <w:rFonts w:ascii="Arial" w:hAnsi="Arial" w:cs="Arial"/>
        </w:rPr>
        <w:t xml:space="preserve"> (Accessed:</w:t>
      </w:r>
      <w:r w:rsidR="000B55D7">
        <w:rPr>
          <w:rFonts w:ascii="Arial" w:hAnsi="Arial" w:cs="Arial"/>
        </w:rPr>
        <w:t xml:space="preserve"> 22 October 2025).</w:t>
      </w:r>
    </w:p>
    <w:p w14:paraId="3C97BC61" w14:textId="619F0FA3" w:rsidR="00A55D13" w:rsidRPr="00A55D13" w:rsidRDefault="00A55D13" w:rsidP="00A55D13">
      <w:pPr>
        <w:rPr>
          <w:rFonts w:ascii="Arial" w:hAnsi="Arial" w:cs="Arial"/>
        </w:rPr>
      </w:pPr>
      <w:r w:rsidRPr="00A55D13">
        <w:rPr>
          <w:rFonts w:ascii="Arial" w:hAnsi="Arial" w:cs="Arial"/>
        </w:rPr>
        <w:t>82.</w:t>
      </w:r>
      <w:r w:rsidR="000B55D7">
        <w:rPr>
          <w:rFonts w:ascii="Arial" w:hAnsi="Arial" w:cs="Arial"/>
        </w:rPr>
        <w:t xml:space="preserve"> </w:t>
      </w:r>
      <w:r w:rsidRPr="00A55D13">
        <w:rPr>
          <w:rFonts w:ascii="Arial" w:hAnsi="Arial" w:cs="Arial"/>
        </w:rPr>
        <w:t xml:space="preserve">Papadopoulos, I. (2018) </w:t>
      </w:r>
      <w:r w:rsidRPr="000B55D7">
        <w:rPr>
          <w:rFonts w:ascii="Arial" w:hAnsi="Arial" w:cs="Arial"/>
          <w:i/>
          <w:iCs/>
        </w:rPr>
        <w:t xml:space="preserve">The Papadopoulos model of culturally competent compassion. In Papadopoulos I. Culturally Competent Compassion: </w:t>
      </w:r>
      <w:r w:rsidRPr="00A55D13">
        <w:rPr>
          <w:rFonts w:ascii="Arial" w:hAnsi="Arial" w:cs="Arial"/>
        </w:rPr>
        <w:t xml:space="preserve">A guide for healthcare students and practitioners. Routledge Books, Taylor and Francis. [online] Available at: </w:t>
      </w:r>
      <w:hyperlink r:id="rId54" w:history="1">
        <w:r w:rsidR="000B55D7" w:rsidRPr="00ED157C">
          <w:rPr>
            <w:rStyle w:val="Hyperlink"/>
            <w:rFonts w:ascii="Arial" w:hAnsi="Arial" w:cs="Arial"/>
          </w:rPr>
          <w:t>https://www.researchgate.net/publication/325403420_Papadopoulos_I_2018_The_Papadopoulos_model_of_culturally_compete</w:t>
        </w:r>
      </w:hyperlink>
      <w:r w:rsidR="000B55D7">
        <w:rPr>
          <w:rFonts w:ascii="Arial" w:hAnsi="Arial" w:cs="Arial"/>
        </w:rPr>
        <w:t xml:space="preserve"> </w:t>
      </w:r>
      <w:r w:rsidRPr="00A55D13">
        <w:rPr>
          <w:rFonts w:ascii="Arial" w:hAnsi="Arial" w:cs="Arial"/>
        </w:rPr>
        <w:t>(Accessed</w:t>
      </w:r>
      <w:r w:rsidR="000B55D7">
        <w:rPr>
          <w:rFonts w:ascii="Arial" w:hAnsi="Arial" w:cs="Arial"/>
        </w:rPr>
        <w:t>:</w:t>
      </w:r>
      <w:r w:rsidRPr="00A55D13">
        <w:rPr>
          <w:rFonts w:ascii="Arial" w:hAnsi="Arial" w:cs="Arial"/>
        </w:rPr>
        <w:t xml:space="preserve"> 2 July 2025).</w:t>
      </w:r>
    </w:p>
    <w:p w14:paraId="2422AEEE" w14:textId="47BC62EF" w:rsidR="00A55D13" w:rsidRPr="00A55D13" w:rsidRDefault="00A55D13" w:rsidP="00A55D13">
      <w:pPr>
        <w:rPr>
          <w:rFonts w:ascii="Arial" w:hAnsi="Arial" w:cs="Arial"/>
        </w:rPr>
      </w:pPr>
      <w:r w:rsidRPr="00A55D13">
        <w:rPr>
          <w:rFonts w:ascii="Arial" w:hAnsi="Arial" w:cs="Arial"/>
        </w:rPr>
        <w:t>83.</w:t>
      </w:r>
      <w:r w:rsidR="000B55D7">
        <w:rPr>
          <w:rFonts w:ascii="Arial" w:hAnsi="Arial" w:cs="Arial"/>
        </w:rPr>
        <w:t xml:space="preserve"> </w:t>
      </w:r>
      <w:r w:rsidRPr="00A55D13">
        <w:rPr>
          <w:rFonts w:ascii="Arial" w:hAnsi="Arial" w:cs="Arial"/>
        </w:rPr>
        <w:t xml:space="preserve">Public Health England (2018) </w:t>
      </w:r>
      <w:r w:rsidRPr="000B55D7">
        <w:rPr>
          <w:rFonts w:ascii="Arial" w:hAnsi="Arial" w:cs="Arial"/>
          <w:i/>
          <w:iCs/>
        </w:rPr>
        <w:t>Health profile for England: 2018.</w:t>
      </w:r>
      <w:r w:rsidRPr="00A55D13">
        <w:rPr>
          <w:rFonts w:ascii="Arial" w:hAnsi="Arial" w:cs="Arial"/>
        </w:rPr>
        <w:t xml:space="preserve"> GOV.UK. Available at: </w:t>
      </w:r>
      <w:hyperlink r:id="rId55" w:history="1">
        <w:r w:rsidR="000B55D7" w:rsidRPr="00ED157C">
          <w:rPr>
            <w:rStyle w:val="Hyperlink"/>
            <w:rFonts w:ascii="Arial" w:hAnsi="Arial" w:cs="Arial"/>
          </w:rPr>
          <w:t>https://www.gov.uk/government/publications/health-profile-for-england-2018</w:t>
        </w:r>
      </w:hyperlink>
      <w:r w:rsidRPr="00A55D13">
        <w:rPr>
          <w:rFonts w:ascii="Arial" w:hAnsi="Arial" w:cs="Arial"/>
        </w:rPr>
        <w:t>.</w:t>
      </w:r>
      <w:r w:rsidR="000B55D7">
        <w:rPr>
          <w:rFonts w:ascii="Arial" w:hAnsi="Arial" w:cs="Arial"/>
        </w:rPr>
        <w:t xml:space="preserve"> </w:t>
      </w:r>
      <w:r w:rsidRPr="00A55D13">
        <w:rPr>
          <w:rFonts w:ascii="Arial" w:hAnsi="Arial" w:cs="Arial"/>
        </w:rPr>
        <w:t>(Accessed</w:t>
      </w:r>
      <w:r w:rsidR="000B55D7">
        <w:rPr>
          <w:rFonts w:ascii="Arial" w:hAnsi="Arial" w:cs="Arial"/>
        </w:rPr>
        <w:t>:</w:t>
      </w:r>
      <w:r w:rsidRPr="00A55D13">
        <w:rPr>
          <w:rFonts w:ascii="Arial" w:hAnsi="Arial" w:cs="Arial"/>
        </w:rPr>
        <w:t xml:space="preserve"> 2 October 2025).</w:t>
      </w:r>
    </w:p>
    <w:p w14:paraId="5A85A695" w14:textId="29FC2CF1" w:rsidR="00A55D13" w:rsidRPr="00A55D13" w:rsidRDefault="00A55D13" w:rsidP="00A55D13">
      <w:pPr>
        <w:rPr>
          <w:rFonts w:ascii="Arial" w:hAnsi="Arial" w:cs="Arial"/>
        </w:rPr>
      </w:pPr>
      <w:r w:rsidRPr="00A55D13">
        <w:rPr>
          <w:rFonts w:ascii="Arial" w:hAnsi="Arial" w:cs="Arial"/>
        </w:rPr>
        <w:t>8</w:t>
      </w:r>
      <w:r w:rsidR="000A104E">
        <w:rPr>
          <w:rFonts w:ascii="Arial" w:hAnsi="Arial" w:cs="Arial"/>
        </w:rPr>
        <w:t>4</w:t>
      </w:r>
      <w:r w:rsidRPr="00A55D13">
        <w:rPr>
          <w:rFonts w:ascii="Arial" w:hAnsi="Arial" w:cs="Arial"/>
        </w:rPr>
        <w:t>.</w:t>
      </w:r>
      <w:r w:rsidR="00666B50">
        <w:rPr>
          <w:rFonts w:ascii="Arial" w:hAnsi="Arial" w:cs="Arial"/>
        </w:rPr>
        <w:t xml:space="preserve"> </w:t>
      </w:r>
      <w:r w:rsidRPr="00A55D13">
        <w:rPr>
          <w:rFonts w:ascii="Arial" w:hAnsi="Arial" w:cs="Arial"/>
        </w:rPr>
        <w:t xml:space="preserve">Public Health England (2019) </w:t>
      </w:r>
      <w:r w:rsidRPr="000A104E">
        <w:rPr>
          <w:rFonts w:ascii="Arial" w:hAnsi="Arial" w:cs="Arial"/>
          <w:i/>
          <w:iCs/>
        </w:rPr>
        <w:t>Public Health Profiles</w:t>
      </w:r>
      <w:r w:rsidRPr="00A55D13">
        <w:rPr>
          <w:rFonts w:ascii="Arial" w:hAnsi="Arial" w:cs="Arial"/>
        </w:rPr>
        <w:t xml:space="preserve">. Available at: </w:t>
      </w:r>
      <w:hyperlink r:id="rId56" w:history="1">
        <w:r w:rsidR="000A104E" w:rsidRPr="00ED157C">
          <w:rPr>
            <w:rStyle w:val="Hyperlink"/>
            <w:rFonts w:ascii="Arial" w:hAnsi="Arial" w:cs="Arial"/>
          </w:rPr>
          <w:t>https://fingertips.phe.org.uk/profile/end-of-life</w:t>
        </w:r>
      </w:hyperlink>
      <w:r w:rsidR="000A104E">
        <w:rPr>
          <w:rFonts w:ascii="Arial" w:hAnsi="Arial" w:cs="Arial"/>
        </w:rPr>
        <w:t xml:space="preserve"> </w:t>
      </w:r>
      <w:r w:rsidRPr="00A55D13">
        <w:rPr>
          <w:rFonts w:ascii="Arial" w:hAnsi="Arial" w:cs="Arial"/>
        </w:rPr>
        <w:t>(Accessed</w:t>
      </w:r>
      <w:r w:rsidR="000A104E">
        <w:rPr>
          <w:rFonts w:ascii="Arial" w:hAnsi="Arial" w:cs="Arial"/>
        </w:rPr>
        <w:t>:</w:t>
      </w:r>
      <w:r w:rsidRPr="00A55D13">
        <w:rPr>
          <w:rFonts w:ascii="Arial" w:hAnsi="Arial" w:cs="Arial"/>
        </w:rPr>
        <w:t xml:space="preserve"> 21 June 2025).</w:t>
      </w:r>
    </w:p>
    <w:p w14:paraId="29D3DA8B" w14:textId="2104DCE7" w:rsidR="0066277D" w:rsidRDefault="00666B50" w:rsidP="00B976A9">
      <w:pPr>
        <w:rPr>
          <w:rFonts w:ascii="Arial" w:hAnsi="Arial" w:cs="Arial"/>
        </w:rPr>
      </w:pPr>
      <w:r w:rsidRPr="00666B50">
        <w:rPr>
          <w:rFonts w:ascii="Arial" w:hAnsi="Arial" w:cs="Arial"/>
        </w:rPr>
        <w:t>85.</w:t>
      </w:r>
      <w:r>
        <w:rPr>
          <w:rFonts w:ascii="Arial" w:hAnsi="Arial" w:cs="Arial"/>
        </w:rPr>
        <w:t xml:space="preserve"> </w:t>
      </w:r>
      <w:r w:rsidRPr="00666B50">
        <w:rPr>
          <w:rFonts w:ascii="Arial" w:hAnsi="Arial" w:cs="Arial"/>
        </w:rPr>
        <w:t xml:space="preserve">Rhiannon Mihi Jones, Signal, V., Smith, M., Stairmand, J., Davies, C. and Gurney, J. (2023) </w:t>
      </w:r>
      <w:r w:rsidRPr="00666B50">
        <w:rPr>
          <w:rFonts w:ascii="Arial" w:hAnsi="Arial" w:cs="Arial"/>
          <w:i/>
          <w:iCs/>
        </w:rPr>
        <w:t>Palliative care and quality of life needs and outcomes for Māori with cancer: what do we know?</w:t>
      </w:r>
      <w:r w:rsidRPr="00666B50">
        <w:rPr>
          <w:rFonts w:ascii="Arial" w:hAnsi="Arial" w:cs="Arial"/>
        </w:rPr>
        <w:t xml:space="preserve"> </w:t>
      </w:r>
      <w:proofErr w:type="spellStart"/>
      <w:r w:rsidRPr="00666B50">
        <w:rPr>
          <w:rFonts w:ascii="Arial" w:hAnsi="Arial" w:cs="Arial"/>
        </w:rPr>
        <w:t>AlterNative</w:t>
      </w:r>
      <w:proofErr w:type="spellEnd"/>
      <w:r w:rsidRPr="00666B50">
        <w:rPr>
          <w:rFonts w:ascii="Arial" w:hAnsi="Arial" w:cs="Arial"/>
        </w:rPr>
        <w:t xml:space="preserve">, 19(2), p.117718012311639-117718012311639. Available at: </w:t>
      </w:r>
      <w:proofErr w:type="spellStart"/>
      <w:r w:rsidRPr="00666B50">
        <w:rPr>
          <w:rFonts w:ascii="Arial" w:hAnsi="Arial" w:cs="Arial"/>
        </w:rPr>
        <w:t>doi:https</w:t>
      </w:r>
      <w:proofErr w:type="spellEnd"/>
      <w:r w:rsidRPr="00666B50">
        <w:rPr>
          <w:rFonts w:ascii="Arial" w:hAnsi="Arial" w:cs="Arial"/>
        </w:rPr>
        <w:t>://doi.org/10.1177/11771801231163919.</w:t>
      </w:r>
    </w:p>
    <w:p w14:paraId="228B28A1" w14:textId="77777777" w:rsidR="00666B50" w:rsidRDefault="00666B50" w:rsidP="00B976A9">
      <w:pPr>
        <w:rPr>
          <w:rFonts w:ascii="Arial" w:hAnsi="Arial" w:cs="Arial"/>
        </w:rPr>
      </w:pPr>
    </w:p>
    <w:p w14:paraId="5E720CE3" w14:textId="1E4BABA7" w:rsidR="009044DC" w:rsidRPr="009044DC" w:rsidRDefault="009044DC" w:rsidP="009044DC">
      <w:pPr>
        <w:rPr>
          <w:rFonts w:ascii="Arial" w:hAnsi="Arial" w:cs="Arial"/>
        </w:rPr>
      </w:pPr>
      <w:r w:rsidRPr="009044DC">
        <w:rPr>
          <w:rFonts w:ascii="Arial" w:hAnsi="Arial" w:cs="Arial"/>
        </w:rPr>
        <w:lastRenderedPageBreak/>
        <w:t>86.</w:t>
      </w:r>
      <w:r>
        <w:rPr>
          <w:rFonts w:ascii="Arial" w:hAnsi="Arial" w:cs="Arial"/>
        </w:rPr>
        <w:t xml:space="preserve"> </w:t>
      </w:r>
      <w:r w:rsidRPr="009044DC">
        <w:rPr>
          <w:rFonts w:ascii="Arial" w:hAnsi="Arial" w:cs="Arial"/>
        </w:rPr>
        <w:t xml:space="preserve">Rhodes, C. (2017) </w:t>
      </w:r>
      <w:r w:rsidRPr="009044DC">
        <w:rPr>
          <w:rFonts w:ascii="Arial" w:hAnsi="Arial" w:cs="Arial"/>
          <w:i/>
          <w:iCs/>
        </w:rPr>
        <w:t>Cicely Saunders, Founder of Modern Hospice Care</w:t>
      </w:r>
      <w:r w:rsidRPr="009044DC">
        <w:rPr>
          <w:rFonts w:ascii="Arial" w:hAnsi="Arial" w:cs="Arial"/>
        </w:rPr>
        <w:t xml:space="preserve">. Working Nurse. Available at: </w:t>
      </w:r>
      <w:hyperlink r:id="rId57" w:history="1">
        <w:r w:rsidRPr="00ED157C">
          <w:rPr>
            <w:rStyle w:val="Hyperlink"/>
            <w:rFonts w:ascii="Arial" w:hAnsi="Arial" w:cs="Arial"/>
          </w:rPr>
          <w:t>https://www.workingnurse.com/articles/cicely-saunders-founder-of-modern-hospice-care/</w:t>
        </w:r>
      </w:hyperlink>
      <w:r w:rsidRPr="009044DC">
        <w:rPr>
          <w:rFonts w:ascii="Arial" w:hAnsi="Arial" w:cs="Arial"/>
        </w:rPr>
        <w:t>.</w:t>
      </w:r>
      <w:r>
        <w:rPr>
          <w:rFonts w:ascii="Arial" w:hAnsi="Arial" w:cs="Arial"/>
        </w:rPr>
        <w:t xml:space="preserve"> </w:t>
      </w:r>
      <w:r w:rsidRPr="009044DC">
        <w:rPr>
          <w:rFonts w:ascii="Arial" w:hAnsi="Arial" w:cs="Arial"/>
        </w:rPr>
        <w:t>(Accessed</w:t>
      </w:r>
      <w:r>
        <w:rPr>
          <w:rFonts w:ascii="Arial" w:hAnsi="Arial" w:cs="Arial"/>
        </w:rPr>
        <w:t>:</w:t>
      </w:r>
      <w:r w:rsidRPr="009044DC">
        <w:rPr>
          <w:rFonts w:ascii="Arial" w:hAnsi="Arial" w:cs="Arial"/>
        </w:rPr>
        <w:t xml:space="preserve"> 3 July 2025)</w:t>
      </w:r>
      <w:r>
        <w:rPr>
          <w:rFonts w:ascii="Arial" w:hAnsi="Arial" w:cs="Arial"/>
        </w:rPr>
        <w:t>.</w:t>
      </w:r>
    </w:p>
    <w:p w14:paraId="586538F4" w14:textId="51D0DB26" w:rsidR="009044DC" w:rsidRPr="009044DC" w:rsidRDefault="009044DC" w:rsidP="009044DC">
      <w:pPr>
        <w:rPr>
          <w:rFonts w:ascii="Arial" w:hAnsi="Arial" w:cs="Arial"/>
        </w:rPr>
      </w:pPr>
      <w:r w:rsidRPr="009044DC">
        <w:rPr>
          <w:rFonts w:ascii="Arial" w:hAnsi="Arial" w:cs="Arial"/>
        </w:rPr>
        <w:t>87.</w:t>
      </w:r>
      <w:r>
        <w:rPr>
          <w:rFonts w:ascii="Arial" w:hAnsi="Arial" w:cs="Arial"/>
        </w:rPr>
        <w:t xml:space="preserve"> </w:t>
      </w:r>
      <w:r w:rsidRPr="009044DC">
        <w:rPr>
          <w:rFonts w:ascii="Arial" w:hAnsi="Arial" w:cs="Arial"/>
        </w:rPr>
        <w:t xml:space="preserve">Ridley, D. (2012) </w:t>
      </w:r>
      <w:r w:rsidRPr="009044DC">
        <w:rPr>
          <w:rFonts w:ascii="Arial" w:hAnsi="Arial" w:cs="Arial"/>
          <w:i/>
          <w:iCs/>
        </w:rPr>
        <w:t>The literature review: a step-by-step guide for students</w:t>
      </w:r>
      <w:r w:rsidRPr="009044DC">
        <w:rPr>
          <w:rFonts w:ascii="Arial" w:hAnsi="Arial" w:cs="Arial"/>
        </w:rPr>
        <w:t>. 2nd ed. London: Sage Publications Ltd.</w:t>
      </w:r>
    </w:p>
    <w:p w14:paraId="3E46D656" w14:textId="456A398D" w:rsidR="009044DC" w:rsidRPr="009044DC" w:rsidRDefault="009044DC" w:rsidP="009044DC">
      <w:pPr>
        <w:rPr>
          <w:rFonts w:ascii="Arial" w:hAnsi="Arial" w:cs="Arial"/>
        </w:rPr>
      </w:pPr>
      <w:r w:rsidRPr="009044DC">
        <w:rPr>
          <w:rFonts w:ascii="Arial" w:hAnsi="Arial" w:cs="Arial"/>
        </w:rPr>
        <w:t>88.</w:t>
      </w:r>
      <w:r w:rsidR="005A4537">
        <w:rPr>
          <w:rFonts w:ascii="Arial" w:hAnsi="Arial" w:cs="Arial"/>
        </w:rPr>
        <w:t xml:space="preserve"> </w:t>
      </w:r>
      <w:proofErr w:type="spellStart"/>
      <w:r w:rsidRPr="009044DC">
        <w:rPr>
          <w:rFonts w:ascii="Arial" w:hAnsi="Arial" w:cs="Arial"/>
        </w:rPr>
        <w:t>Rietjens</w:t>
      </w:r>
      <w:proofErr w:type="spellEnd"/>
      <w:r w:rsidRPr="009044DC">
        <w:rPr>
          <w:rFonts w:ascii="Arial" w:hAnsi="Arial" w:cs="Arial"/>
        </w:rPr>
        <w:t xml:space="preserve">, J.A.C., van der Maas, P.J., </w:t>
      </w:r>
      <w:proofErr w:type="spellStart"/>
      <w:r w:rsidRPr="009044DC">
        <w:rPr>
          <w:rFonts w:ascii="Arial" w:hAnsi="Arial" w:cs="Arial"/>
        </w:rPr>
        <w:t>Onwuteaka</w:t>
      </w:r>
      <w:proofErr w:type="spellEnd"/>
      <w:r w:rsidRPr="009044DC">
        <w:rPr>
          <w:rFonts w:ascii="Arial" w:hAnsi="Arial" w:cs="Arial"/>
        </w:rPr>
        <w:t xml:space="preserve">-Philipsen, B.D., van Delden, J.J.M. and van der Heide, A. (2009) </w:t>
      </w:r>
      <w:r w:rsidRPr="005A4537">
        <w:rPr>
          <w:rFonts w:ascii="Arial" w:hAnsi="Arial" w:cs="Arial"/>
          <w:i/>
          <w:iCs/>
        </w:rPr>
        <w:t>Two Decades of Research on Euthanasia from the Netherlands. What Have We Learnt and What Questions Remain?</w:t>
      </w:r>
      <w:r w:rsidRPr="009044DC">
        <w:rPr>
          <w:rFonts w:ascii="Arial" w:hAnsi="Arial" w:cs="Arial"/>
        </w:rPr>
        <w:t xml:space="preserve"> Journal of Bioethical Inquiry,  6(3), pp.271–283.Available at:  </w:t>
      </w:r>
      <w:proofErr w:type="spellStart"/>
      <w:r w:rsidRPr="009044DC">
        <w:rPr>
          <w:rFonts w:ascii="Arial" w:hAnsi="Arial" w:cs="Arial"/>
        </w:rPr>
        <w:t>doi:https</w:t>
      </w:r>
      <w:proofErr w:type="spellEnd"/>
      <w:r w:rsidRPr="009044DC">
        <w:rPr>
          <w:rFonts w:ascii="Arial" w:hAnsi="Arial" w:cs="Arial"/>
        </w:rPr>
        <w:t>://doi.org/10.1007/s11673-009-9172-3.</w:t>
      </w:r>
    </w:p>
    <w:p w14:paraId="3E997816" w14:textId="43F88D3D" w:rsidR="009044DC" w:rsidRPr="009044DC" w:rsidRDefault="009044DC" w:rsidP="009044DC">
      <w:pPr>
        <w:rPr>
          <w:rFonts w:ascii="Arial" w:hAnsi="Arial" w:cs="Arial"/>
        </w:rPr>
      </w:pPr>
      <w:r w:rsidRPr="009044DC">
        <w:rPr>
          <w:rFonts w:ascii="Arial" w:hAnsi="Arial" w:cs="Arial"/>
        </w:rPr>
        <w:t>89.</w:t>
      </w:r>
      <w:r w:rsidR="005A4537">
        <w:rPr>
          <w:rFonts w:ascii="Arial" w:hAnsi="Arial" w:cs="Arial"/>
        </w:rPr>
        <w:t xml:space="preserve"> </w:t>
      </w:r>
      <w:r w:rsidRPr="009044DC">
        <w:rPr>
          <w:rFonts w:ascii="Arial" w:hAnsi="Arial" w:cs="Arial"/>
        </w:rPr>
        <w:t xml:space="preserve">Riquelme, L.F. (2013) </w:t>
      </w:r>
      <w:r w:rsidRPr="005A4537">
        <w:rPr>
          <w:rFonts w:ascii="Arial" w:hAnsi="Arial" w:cs="Arial"/>
          <w:i/>
          <w:iCs/>
        </w:rPr>
        <w:t>Cultural Competence for Everyone</w:t>
      </w:r>
      <w:r w:rsidRPr="009044DC">
        <w:rPr>
          <w:rFonts w:ascii="Arial" w:hAnsi="Arial" w:cs="Arial"/>
        </w:rPr>
        <w:t>: A Shift in Perspectives. Perspectives on Gerontology, 18(2), p.42.</w:t>
      </w:r>
      <w:r w:rsidR="005A4537">
        <w:rPr>
          <w:rFonts w:ascii="Arial" w:hAnsi="Arial" w:cs="Arial"/>
        </w:rPr>
        <w:t xml:space="preserve"> </w:t>
      </w:r>
      <w:proofErr w:type="spellStart"/>
      <w:r w:rsidR="005A4537">
        <w:rPr>
          <w:rFonts w:ascii="Arial" w:hAnsi="Arial" w:cs="Arial"/>
        </w:rPr>
        <w:t>Avilable</w:t>
      </w:r>
      <w:proofErr w:type="spellEnd"/>
      <w:r w:rsidR="005A4537">
        <w:rPr>
          <w:rFonts w:ascii="Arial" w:hAnsi="Arial" w:cs="Arial"/>
        </w:rPr>
        <w:t xml:space="preserve"> at:</w:t>
      </w:r>
      <w:r w:rsidRPr="009044DC">
        <w:rPr>
          <w:rFonts w:ascii="Arial" w:hAnsi="Arial" w:cs="Arial"/>
        </w:rPr>
        <w:t xml:space="preserve"> </w:t>
      </w:r>
      <w:proofErr w:type="spellStart"/>
      <w:r w:rsidRPr="009044DC">
        <w:rPr>
          <w:rFonts w:ascii="Arial" w:hAnsi="Arial" w:cs="Arial"/>
        </w:rPr>
        <w:t>doi:https</w:t>
      </w:r>
      <w:proofErr w:type="spellEnd"/>
      <w:r w:rsidRPr="009044DC">
        <w:rPr>
          <w:rFonts w:ascii="Arial" w:hAnsi="Arial" w:cs="Arial"/>
        </w:rPr>
        <w:t>://doi.org/10.1044/gero18.2.42.</w:t>
      </w:r>
    </w:p>
    <w:p w14:paraId="20A0AB7A" w14:textId="406D71A4" w:rsidR="009044DC" w:rsidRPr="009044DC" w:rsidRDefault="009044DC" w:rsidP="009044DC">
      <w:pPr>
        <w:rPr>
          <w:rFonts w:ascii="Arial" w:hAnsi="Arial" w:cs="Arial"/>
        </w:rPr>
      </w:pPr>
      <w:r w:rsidRPr="009044DC">
        <w:rPr>
          <w:rFonts w:ascii="Arial" w:hAnsi="Arial" w:cs="Arial"/>
        </w:rPr>
        <w:t>90.</w:t>
      </w:r>
      <w:r w:rsidRPr="009044DC">
        <w:rPr>
          <w:rFonts w:ascii="Arial" w:hAnsi="Arial" w:cs="Arial"/>
        </w:rPr>
        <w:tab/>
        <w:t xml:space="preserve">Salway, S., Mir, G., Turner, D., Ellison, G.T.H., Carter, L. and Gerrish, K. (2016) </w:t>
      </w:r>
      <w:r w:rsidRPr="005A4537">
        <w:rPr>
          <w:rFonts w:ascii="Arial" w:hAnsi="Arial" w:cs="Arial"/>
          <w:i/>
          <w:iCs/>
        </w:rPr>
        <w:t>Obstacles to ‘race Equality’ in the English National Health Service: Insights from the Healthcare Commissioning Arena</w:t>
      </w:r>
      <w:r w:rsidRPr="009044DC">
        <w:rPr>
          <w:rFonts w:ascii="Arial" w:hAnsi="Arial" w:cs="Arial"/>
        </w:rPr>
        <w:t xml:space="preserve">. Social Science &amp; Medicine,  152(152), pp.102–110. </w:t>
      </w:r>
      <w:r w:rsidR="005A4537">
        <w:rPr>
          <w:rFonts w:ascii="Arial" w:hAnsi="Arial" w:cs="Arial"/>
        </w:rPr>
        <w:t xml:space="preserve">Available </w:t>
      </w:r>
      <w:proofErr w:type="spellStart"/>
      <w:r w:rsidR="005A4537">
        <w:rPr>
          <w:rFonts w:ascii="Arial" w:hAnsi="Arial" w:cs="Arial"/>
        </w:rPr>
        <w:t>at:</w:t>
      </w:r>
      <w:r w:rsidRPr="009044DC">
        <w:rPr>
          <w:rFonts w:ascii="Arial" w:hAnsi="Arial" w:cs="Arial"/>
        </w:rPr>
        <w:t>doi:https</w:t>
      </w:r>
      <w:proofErr w:type="spellEnd"/>
      <w:r w:rsidRPr="009044DC">
        <w:rPr>
          <w:rFonts w:ascii="Arial" w:hAnsi="Arial" w:cs="Arial"/>
        </w:rPr>
        <w:t>://doi.org/10.1016/j.socscimed.2016.01.031.</w:t>
      </w:r>
    </w:p>
    <w:p w14:paraId="61B782E6" w14:textId="4E43BAF9" w:rsidR="009044DC" w:rsidRPr="009044DC" w:rsidRDefault="009044DC" w:rsidP="009044DC">
      <w:pPr>
        <w:rPr>
          <w:rFonts w:ascii="Arial" w:hAnsi="Arial" w:cs="Arial"/>
        </w:rPr>
      </w:pPr>
      <w:r w:rsidRPr="009044DC">
        <w:rPr>
          <w:rFonts w:ascii="Arial" w:hAnsi="Arial" w:cs="Arial"/>
        </w:rPr>
        <w:t>91.</w:t>
      </w:r>
      <w:r w:rsidR="005A4537">
        <w:rPr>
          <w:rFonts w:ascii="Arial" w:hAnsi="Arial" w:cs="Arial"/>
        </w:rPr>
        <w:t xml:space="preserve"> </w:t>
      </w:r>
      <w:r w:rsidRPr="009044DC">
        <w:rPr>
          <w:rFonts w:ascii="Arial" w:hAnsi="Arial" w:cs="Arial"/>
        </w:rPr>
        <w:t xml:space="preserve">Saunders, C. (2001) </w:t>
      </w:r>
      <w:r w:rsidRPr="005A4537">
        <w:rPr>
          <w:rFonts w:ascii="Arial" w:hAnsi="Arial" w:cs="Arial"/>
          <w:i/>
          <w:iCs/>
        </w:rPr>
        <w:t>The Evolution of Palliative Care. Journal of the Royal Society of Medicine</w:t>
      </w:r>
      <w:r w:rsidRPr="009044DC">
        <w:rPr>
          <w:rFonts w:ascii="Arial" w:hAnsi="Arial" w:cs="Arial"/>
        </w:rPr>
        <w:t xml:space="preserve">, 94(9), pp.430–432. Available at: </w:t>
      </w:r>
      <w:proofErr w:type="spellStart"/>
      <w:r w:rsidRPr="009044DC">
        <w:rPr>
          <w:rFonts w:ascii="Arial" w:hAnsi="Arial" w:cs="Arial"/>
        </w:rPr>
        <w:t>doi:https</w:t>
      </w:r>
      <w:proofErr w:type="spellEnd"/>
      <w:r w:rsidRPr="009044DC">
        <w:rPr>
          <w:rFonts w:ascii="Arial" w:hAnsi="Arial" w:cs="Arial"/>
        </w:rPr>
        <w:t>://doi.org/10.1177/014107680109400904.</w:t>
      </w:r>
    </w:p>
    <w:p w14:paraId="58259715" w14:textId="52234350" w:rsidR="009044DC" w:rsidRPr="009044DC" w:rsidRDefault="009044DC" w:rsidP="009044DC">
      <w:pPr>
        <w:rPr>
          <w:rFonts w:ascii="Arial" w:hAnsi="Arial" w:cs="Arial"/>
        </w:rPr>
      </w:pPr>
      <w:r w:rsidRPr="009044DC">
        <w:rPr>
          <w:rFonts w:ascii="Arial" w:hAnsi="Arial" w:cs="Arial"/>
        </w:rPr>
        <w:t>92.</w:t>
      </w:r>
      <w:r w:rsidR="005A4537">
        <w:rPr>
          <w:rFonts w:ascii="Arial" w:hAnsi="Arial" w:cs="Arial"/>
        </w:rPr>
        <w:t xml:space="preserve"> </w:t>
      </w:r>
      <w:r w:rsidRPr="009044DC">
        <w:rPr>
          <w:rFonts w:ascii="Arial" w:hAnsi="Arial" w:cs="Arial"/>
        </w:rPr>
        <w:t xml:space="preserve">Skillsforcare.org.uk. (2024) </w:t>
      </w:r>
      <w:r w:rsidRPr="005A4537">
        <w:rPr>
          <w:rFonts w:ascii="Arial" w:hAnsi="Arial" w:cs="Arial"/>
          <w:i/>
          <w:iCs/>
        </w:rPr>
        <w:t>The ‘State of’ report.</w:t>
      </w:r>
      <w:r w:rsidRPr="009044DC">
        <w:rPr>
          <w:rFonts w:ascii="Arial" w:hAnsi="Arial" w:cs="Arial"/>
        </w:rPr>
        <w:t xml:space="preserve"> Available at: </w:t>
      </w:r>
      <w:hyperlink r:id="rId58" w:history="1">
        <w:r w:rsidR="005A4537" w:rsidRPr="00ED157C">
          <w:rPr>
            <w:rStyle w:val="Hyperlink"/>
            <w:rFonts w:ascii="Arial" w:hAnsi="Arial" w:cs="Arial"/>
          </w:rPr>
          <w:t>https://www.skillsforcare.org.uk/Adult-Social-Care-Workforce-Data/workforceintelligence/Reports-and-visualisations/National-information/The-State-of-report.aspx</w:t>
        </w:r>
      </w:hyperlink>
      <w:r w:rsidRPr="009044DC">
        <w:rPr>
          <w:rFonts w:ascii="Arial" w:hAnsi="Arial" w:cs="Arial"/>
        </w:rPr>
        <w:t>.</w:t>
      </w:r>
      <w:r w:rsidR="005A4537">
        <w:rPr>
          <w:rFonts w:ascii="Arial" w:hAnsi="Arial" w:cs="Arial"/>
        </w:rPr>
        <w:t xml:space="preserve"> </w:t>
      </w:r>
      <w:r w:rsidRPr="009044DC">
        <w:rPr>
          <w:rFonts w:ascii="Arial" w:hAnsi="Arial" w:cs="Arial"/>
        </w:rPr>
        <w:t>(Accessed</w:t>
      </w:r>
      <w:r w:rsidR="005A4537">
        <w:rPr>
          <w:rFonts w:ascii="Arial" w:hAnsi="Arial" w:cs="Arial"/>
        </w:rPr>
        <w:t>:</w:t>
      </w:r>
      <w:r w:rsidRPr="009044DC">
        <w:rPr>
          <w:rFonts w:ascii="Arial" w:hAnsi="Arial" w:cs="Arial"/>
        </w:rPr>
        <w:t xml:space="preserve"> 1 November 2025).</w:t>
      </w:r>
    </w:p>
    <w:p w14:paraId="3521DF30" w14:textId="710C088D" w:rsidR="009044DC" w:rsidRDefault="009044DC" w:rsidP="009044DC">
      <w:pPr>
        <w:rPr>
          <w:rFonts w:ascii="Arial" w:hAnsi="Arial" w:cs="Arial"/>
        </w:rPr>
      </w:pPr>
      <w:r w:rsidRPr="009044DC">
        <w:rPr>
          <w:rFonts w:ascii="Arial" w:hAnsi="Arial" w:cs="Arial"/>
        </w:rPr>
        <w:t>93.</w:t>
      </w:r>
      <w:r w:rsidR="005A4537">
        <w:rPr>
          <w:rFonts w:ascii="Arial" w:hAnsi="Arial" w:cs="Arial"/>
        </w:rPr>
        <w:t xml:space="preserve"> </w:t>
      </w:r>
      <w:proofErr w:type="gramStart"/>
      <w:r w:rsidRPr="009044DC">
        <w:rPr>
          <w:rFonts w:ascii="Arial" w:hAnsi="Arial" w:cs="Arial"/>
        </w:rPr>
        <w:t>South East</w:t>
      </w:r>
      <w:proofErr w:type="gramEnd"/>
      <w:r w:rsidRPr="009044DC">
        <w:rPr>
          <w:rFonts w:ascii="Arial" w:hAnsi="Arial" w:cs="Arial"/>
        </w:rPr>
        <w:t xml:space="preserve"> London ICS. (n.d.). </w:t>
      </w:r>
      <w:proofErr w:type="gramStart"/>
      <w:r w:rsidRPr="009044DC">
        <w:rPr>
          <w:rFonts w:ascii="Arial" w:hAnsi="Arial" w:cs="Arial"/>
        </w:rPr>
        <w:t>South East</w:t>
      </w:r>
      <w:proofErr w:type="gramEnd"/>
      <w:r w:rsidRPr="009044DC">
        <w:rPr>
          <w:rFonts w:ascii="Arial" w:hAnsi="Arial" w:cs="Arial"/>
        </w:rPr>
        <w:t xml:space="preserve"> London ICS - </w:t>
      </w:r>
      <w:r w:rsidRPr="005A4537">
        <w:rPr>
          <w:rFonts w:ascii="Arial" w:hAnsi="Arial" w:cs="Arial"/>
          <w:i/>
          <w:iCs/>
        </w:rPr>
        <w:t>Integrated Care System</w:t>
      </w:r>
      <w:r w:rsidRPr="009044DC">
        <w:rPr>
          <w:rFonts w:ascii="Arial" w:hAnsi="Arial" w:cs="Arial"/>
        </w:rPr>
        <w:t xml:space="preserve">. Available at: </w:t>
      </w:r>
      <w:hyperlink r:id="rId59" w:history="1">
        <w:r w:rsidR="005A4537" w:rsidRPr="00ED157C">
          <w:rPr>
            <w:rStyle w:val="Hyperlink"/>
            <w:rFonts w:ascii="Arial" w:hAnsi="Arial" w:cs="Arial"/>
          </w:rPr>
          <w:t>https://www.selondonics.org/</w:t>
        </w:r>
      </w:hyperlink>
      <w:r w:rsidRPr="009044DC">
        <w:rPr>
          <w:rFonts w:ascii="Arial" w:hAnsi="Arial" w:cs="Arial"/>
        </w:rPr>
        <w:t>.</w:t>
      </w:r>
      <w:r w:rsidR="005A4537">
        <w:rPr>
          <w:rFonts w:ascii="Arial" w:hAnsi="Arial" w:cs="Arial"/>
        </w:rPr>
        <w:t xml:space="preserve"> (Accessed: </w:t>
      </w:r>
      <w:r w:rsidR="008137DB">
        <w:rPr>
          <w:rFonts w:ascii="Arial" w:hAnsi="Arial" w:cs="Arial"/>
        </w:rPr>
        <w:t>8 November 2025).</w:t>
      </w:r>
    </w:p>
    <w:p w14:paraId="6F7C171E" w14:textId="5BDD3A28" w:rsidR="009044DC" w:rsidRPr="009044DC" w:rsidRDefault="009044DC" w:rsidP="009044DC">
      <w:pPr>
        <w:rPr>
          <w:rFonts w:ascii="Arial" w:hAnsi="Arial" w:cs="Arial"/>
        </w:rPr>
      </w:pPr>
      <w:r w:rsidRPr="009044DC">
        <w:rPr>
          <w:rFonts w:ascii="Arial" w:hAnsi="Arial" w:cs="Arial"/>
        </w:rPr>
        <w:t>94.</w:t>
      </w:r>
      <w:r w:rsidR="008137DB">
        <w:rPr>
          <w:rFonts w:ascii="Arial" w:hAnsi="Arial" w:cs="Arial"/>
        </w:rPr>
        <w:t xml:space="preserve"> </w:t>
      </w:r>
      <w:proofErr w:type="spellStart"/>
      <w:r w:rsidRPr="009044DC">
        <w:rPr>
          <w:rFonts w:ascii="Arial" w:hAnsi="Arial" w:cs="Arial"/>
        </w:rPr>
        <w:t>Szczepura</w:t>
      </w:r>
      <w:proofErr w:type="spellEnd"/>
      <w:r w:rsidRPr="009044DC">
        <w:rPr>
          <w:rFonts w:ascii="Arial" w:hAnsi="Arial" w:cs="Arial"/>
        </w:rPr>
        <w:t xml:space="preserve">, A. (2005) </w:t>
      </w:r>
      <w:r w:rsidRPr="008137DB">
        <w:rPr>
          <w:rFonts w:ascii="Arial" w:hAnsi="Arial" w:cs="Arial"/>
          <w:i/>
          <w:iCs/>
        </w:rPr>
        <w:t>Access to health care for ethnic minority populations</w:t>
      </w:r>
      <w:r w:rsidRPr="009044DC">
        <w:rPr>
          <w:rFonts w:ascii="Arial" w:hAnsi="Arial" w:cs="Arial"/>
        </w:rPr>
        <w:t xml:space="preserve">. Postgraduate Medical Journal, 81(953), pp.141–147. Available at:  </w:t>
      </w:r>
      <w:proofErr w:type="spellStart"/>
      <w:r w:rsidRPr="009044DC">
        <w:rPr>
          <w:rFonts w:ascii="Arial" w:hAnsi="Arial" w:cs="Arial"/>
        </w:rPr>
        <w:t>doi:https</w:t>
      </w:r>
      <w:proofErr w:type="spellEnd"/>
      <w:r w:rsidRPr="009044DC">
        <w:rPr>
          <w:rFonts w:ascii="Arial" w:hAnsi="Arial" w:cs="Arial"/>
        </w:rPr>
        <w:t>://doi.org/10.1136/pgmj.2004.026237.</w:t>
      </w:r>
    </w:p>
    <w:p w14:paraId="0C72F2EB" w14:textId="3A619D77" w:rsidR="009044DC" w:rsidRPr="009044DC" w:rsidRDefault="009044DC" w:rsidP="009044DC">
      <w:pPr>
        <w:rPr>
          <w:rFonts w:ascii="Arial" w:hAnsi="Arial" w:cs="Arial"/>
        </w:rPr>
      </w:pPr>
      <w:r w:rsidRPr="009044DC">
        <w:rPr>
          <w:rFonts w:ascii="Arial" w:hAnsi="Arial" w:cs="Arial"/>
        </w:rPr>
        <w:t>95.</w:t>
      </w:r>
      <w:r w:rsidR="008137DB">
        <w:rPr>
          <w:rFonts w:ascii="Arial" w:hAnsi="Arial" w:cs="Arial"/>
        </w:rPr>
        <w:t xml:space="preserve"> </w:t>
      </w:r>
      <w:proofErr w:type="spellStart"/>
      <w:r w:rsidRPr="009044DC">
        <w:rPr>
          <w:rFonts w:ascii="Arial" w:hAnsi="Arial" w:cs="Arial"/>
        </w:rPr>
        <w:t>Tervalon</w:t>
      </w:r>
      <w:proofErr w:type="spellEnd"/>
      <w:r w:rsidRPr="009044DC">
        <w:rPr>
          <w:rFonts w:ascii="Arial" w:hAnsi="Arial" w:cs="Arial"/>
        </w:rPr>
        <w:t xml:space="preserve">, M. and Murray-García, J. (1998) </w:t>
      </w:r>
      <w:r w:rsidRPr="008137DB">
        <w:rPr>
          <w:rFonts w:ascii="Arial" w:hAnsi="Arial" w:cs="Arial"/>
          <w:i/>
          <w:iCs/>
        </w:rPr>
        <w:t>Cultural Humility Versus Cultural Competence</w:t>
      </w:r>
      <w:r w:rsidRPr="009044DC">
        <w:rPr>
          <w:rFonts w:ascii="Arial" w:hAnsi="Arial" w:cs="Arial"/>
        </w:rPr>
        <w:t xml:space="preserve">: A Critical Distinction in Defining Physician Training Outcomes in Multicultural Education. Journal of Health Care for the Poor and Underserved, 9(2), pp.117–125. </w:t>
      </w:r>
      <w:r w:rsidR="008137DB">
        <w:rPr>
          <w:rFonts w:ascii="Arial" w:hAnsi="Arial" w:cs="Arial"/>
        </w:rPr>
        <w:t xml:space="preserve">Available at: </w:t>
      </w:r>
      <w:proofErr w:type="spellStart"/>
      <w:r w:rsidRPr="009044DC">
        <w:rPr>
          <w:rFonts w:ascii="Arial" w:hAnsi="Arial" w:cs="Arial"/>
        </w:rPr>
        <w:t>doi:https</w:t>
      </w:r>
      <w:proofErr w:type="spellEnd"/>
      <w:r w:rsidRPr="009044DC">
        <w:rPr>
          <w:rFonts w:ascii="Arial" w:hAnsi="Arial" w:cs="Arial"/>
        </w:rPr>
        <w:t>://doi.org/10.1353/hpu.2010.0233.</w:t>
      </w:r>
    </w:p>
    <w:p w14:paraId="24E52AED" w14:textId="7D517B96" w:rsidR="00666B50" w:rsidRDefault="009044DC" w:rsidP="009044DC">
      <w:pPr>
        <w:rPr>
          <w:rFonts w:ascii="Arial" w:hAnsi="Arial" w:cs="Arial"/>
        </w:rPr>
      </w:pPr>
      <w:r w:rsidRPr="009044DC">
        <w:rPr>
          <w:rFonts w:ascii="Arial" w:hAnsi="Arial" w:cs="Arial"/>
        </w:rPr>
        <w:lastRenderedPageBreak/>
        <w:t>96.</w:t>
      </w:r>
      <w:r w:rsidR="008137DB">
        <w:rPr>
          <w:rFonts w:ascii="Arial" w:hAnsi="Arial" w:cs="Arial"/>
        </w:rPr>
        <w:t xml:space="preserve"> </w:t>
      </w:r>
      <w:r w:rsidRPr="009044DC">
        <w:rPr>
          <w:rFonts w:ascii="Arial" w:hAnsi="Arial" w:cs="Arial"/>
        </w:rPr>
        <w:t xml:space="preserve">The King’s Fund. (2021) </w:t>
      </w:r>
      <w:r w:rsidRPr="008137DB">
        <w:rPr>
          <w:rFonts w:ascii="Arial" w:hAnsi="Arial" w:cs="Arial"/>
          <w:i/>
          <w:iCs/>
        </w:rPr>
        <w:t xml:space="preserve">A Call </w:t>
      </w:r>
      <w:proofErr w:type="gramStart"/>
      <w:r w:rsidRPr="008137DB">
        <w:rPr>
          <w:rFonts w:ascii="Arial" w:hAnsi="Arial" w:cs="Arial"/>
          <w:i/>
          <w:iCs/>
        </w:rPr>
        <w:t>To</w:t>
      </w:r>
      <w:proofErr w:type="gramEnd"/>
      <w:r w:rsidRPr="008137DB">
        <w:rPr>
          <w:rFonts w:ascii="Arial" w:hAnsi="Arial" w:cs="Arial"/>
          <w:i/>
          <w:iCs/>
        </w:rPr>
        <w:t xml:space="preserve"> Action </w:t>
      </w:r>
      <w:proofErr w:type="gramStart"/>
      <w:r w:rsidRPr="008137DB">
        <w:rPr>
          <w:rFonts w:ascii="Arial" w:hAnsi="Arial" w:cs="Arial"/>
          <w:i/>
          <w:iCs/>
        </w:rPr>
        <w:t>On</w:t>
      </w:r>
      <w:proofErr w:type="gramEnd"/>
      <w:r w:rsidRPr="008137DB">
        <w:rPr>
          <w:rFonts w:ascii="Arial" w:hAnsi="Arial" w:cs="Arial"/>
          <w:i/>
          <w:iCs/>
        </w:rPr>
        <w:t xml:space="preserve"> Ethnic Health Inequalities</w:t>
      </w:r>
      <w:r w:rsidRPr="009044DC">
        <w:rPr>
          <w:rFonts w:ascii="Arial" w:hAnsi="Arial" w:cs="Arial"/>
        </w:rPr>
        <w:t xml:space="preserve">. Available at: </w:t>
      </w:r>
      <w:hyperlink r:id="rId60" w:history="1">
        <w:r w:rsidR="008137DB" w:rsidRPr="00ED157C">
          <w:rPr>
            <w:rStyle w:val="Hyperlink"/>
            <w:rFonts w:ascii="Arial" w:hAnsi="Arial" w:cs="Arial"/>
          </w:rPr>
          <w:t>https://www.kingsfund.org.uk/insight-and-analysis/blogs/call-to-action-ethnic-health-inequalities</w:t>
        </w:r>
      </w:hyperlink>
      <w:r w:rsidR="008137DB">
        <w:rPr>
          <w:rFonts w:ascii="Arial" w:hAnsi="Arial" w:cs="Arial"/>
        </w:rPr>
        <w:t xml:space="preserve"> </w:t>
      </w:r>
      <w:r w:rsidRPr="009044DC">
        <w:rPr>
          <w:rFonts w:ascii="Arial" w:hAnsi="Arial" w:cs="Arial"/>
        </w:rPr>
        <w:t>(Accessed</w:t>
      </w:r>
      <w:r w:rsidR="008137DB">
        <w:rPr>
          <w:rFonts w:ascii="Arial" w:hAnsi="Arial" w:cs="Arial"/>
        </w:rPr>
        <w:t>:</w:t>
      </w:r>
      <w:r w:rsidRPr="009044DC">
        <w:rPr>
          <w:rFonts w:ascii="Arial" w:hAnsi="Arial" w:cs="Arial"/>
        </w:rPr>
        <w:t xml:space="preserve"> 21 June 2025).</w:t>
      </w:r>
    </w:p>
    <w:p w14:paraId="1A4485F7" w14:textId="1D4518E0" w:rsidR="00987D47" w:rsidRPr="00987D47" w:rsidRDefault="00987D47" w:rsidP="00987D47">
      <w:pPr>
        <w:rPr>
          <w:rFonts w:ascii="Arial" w:hAnsi="Arial" w:cs="Arial"/>
        </w:rPr>
      </w:pPr>
      <w:r w:rsidRPr="00987D47">
        <w:rPr>
          <w:rFonts w:ascii="Arial" w:hAnsi="Arial" w:cs="Arial"/>
        </w:rPr>
        <w:t>97.</w:t>
      </w:r>
      <w:r>
        <w:rPr>
          <w:rFonts w:ascii="Arial" w:hAnsi="Arial" w:cs="Arial"/>
        </w:rPr>
        <w:t xml:space="preserve"> </w:t>
      </w:r>
      <w:r w:rsidRPr="00987D47">
        <w:rPr>
          <w:rFonts w:ascii="Arial" w:hAnsi="Arial" w:cs="Arial"/>
        </w:rPr>
        <w:t xml:space="preserve">UK Government (2012) </w:t>
      </w:r>
      <w:r w:rsidRPr="00987D47">
        <w:rPr>
          <w:rFonts w:ascii="Arial" w:hAnsi="Arial" w:cs="Arial"/>
          <w:i/>
          <w:iCs/>
        </w:rPr>
        <w:t>Health and Social Care Act 2012</w:t>
      </w:r>
      <w:r w:rsidRPr="00987D47">
        <w:rPr>
          <w:rFonts w:ascii="Arial" w:hAnsi="Arial" w:cs="Arial"/>
        </w:rPr>
        <w:t xml:space="preserve">.Legislation.gov.uk. Available at: </w:t>
      </w:r>
      <w:hyperlink r:id="rId61" w:history="1">
        <w:r w:rsidRPr="00ED157C">
          <w:rPr>
            <w:rStyle w:val="Hyperlink"/>
            <w:rFonts w:ascii="Arial" w:hAnsi="Arial" w:cs="Arial"/>
          </w:rPr>
          <w:t>https://www.legislation.gov.uk/ukpga/2012/7/contents</w:t>
        </w:r>
      </w:hyperlink>
      <w:r w:rsidRPr="00987D47">
        <w:rPr>
          <w:rFonts w:ascii="Arial" w:hAnsi="Arial" w:cs="Arial"/>
        </w:rPr>
        <w:t>.</w:t>
      </w:r>
      <w:r>
        <w:rPr>
          <w:rFonts w:ascii="Arial" w:hAnsi="Arial" w:cs="Arial"/>
        </w:rPr>
        <w:t xml:space="preserve"> </w:t>
      </w:r>
      <w:r w:rsidRPr="00987D47">
        <w:rPr>
          <w:rFonts w:ascii="Arial" w:hAnsi="Arial" w:cs="Arial"/>
        </w:rPr>
        <w:t>(Accessed</w:t>
      </w:r>
      <w:r>
        <w:rPr>
          <w:rFonts w:ascii="Arial" w:hAnsi="Arial" w:cs="Arial"/>
        </w:rPr>
        <w:t>:</w:t>
      </w:r>
      <w:r w:rsidRPr="00987D47">
        <w:rPr>
          <w:rFonts w:ascii="Arial" w:hAnsi="Arial" w:cs="Arial"/>
        </w:rPr>
        <w:t xml:space="preserve"> 1 November 2025).</w:t>
      </w:r>
    </w:p>
    <w:p w14:paraId="51D4158B" w14:textId="42B7FE94" w:rsidR="00987D47" w:rsidRPr="00987D47" w:rsidRDefault="00987D47" w:rsidP="00987D47">
      <w:pPr>
        <w:rPr>
          <w:rFonts w:ascii="Arial" w:hAnsi="Arial" w:cs="Arial"/>
        </w:rPr>
      </w:pPr>
      <w:r w:rsidRPr="00987D47">
        <w:rPr>
          <w:rFonts w:ascii="Arial" w:hAnsi="Arial" w:cs="Arial"/>
        </w:rPr>
        <w:t>98.</w:t>
      </w:r>
      <w:r>
        <w:rPr>
          <w:rFonts w:ascii="Arial" w:hAnsi="Arial" w:cs="Arial"/>
        </w:rPr>
        <w:t xml:space="preserve"> </w:t>
      </w:r>
      <w:r w:rsidRPr="00987D47">
        <w:rPr>
          <w:rFonts w:ascii="Arial" w:hAnsi="Arial" w:cs="Arial"/>
        </w:rPr>
        <w:t xml:space="preserve">Vella, E., White, V.M. and Livingston, P. (2022) </w:t>
      </w:r>
      <w:r w:rsidRPr="00987D47">
        <w:rPr>
          <w:rFonts w:ascii="Arial" w:hAnsi="Arial" w:cs="Arial"/>
          <w:i/>
          <w:iCs/>
        </w:rPr>
        <w:t>Does cultural competence training for health professionals impact culturally and linguistically diverse patient outcomes?</w:t>
      </w:r>
      <w:r w:rsidRPr="00987D47">
        <w:rPr>
          <w:rFonts w:ascii="Arial" w:hAnsi="Arial" w:cs="Arial"/>
        </w:rPr>
        <w:t xml:space="preserve"> A systematic review of the literature. Nurse Education Today, [online] 118(105500), p.105500. Available at: </w:t>
      </w:r>
      <w:proofErr w:type="spellStart"/>
      <w:r w:rsidRPr="00987D47">
        <w:rPr>
          <w:rFonts w:ascii="Arial" w:hAnsi="Arial" w:cs="Arial"/>
        </w:rPr>
        <w:t>doi:https</w:t>
      </w:r>
      <w:proofErr w:type="spellEnd"/>
      <w:r w:rsidRPr="00987D47">
        <w:rPr>
          <w:rFonts w:ascii="Arial" w:hAnsi="Arial" w:cs="Arial"/>
        </w:rPr>
        <w:t>://doi.org/10.1016/j.nedt.2022.105500.</w:t>
      </w:r>
    </w:p>
    <w:p w14:paraId="504B53E8" w14:textId="105D87D3" w:rsidR="00987D47" w:rsidRPr="00987D47" w:rsidRDefault="00987D47" w:rsidP="00987D47">
      <w:pPr>
        <w:rPr>
          <w:rFonts w:ascii="Arial" w:hAnsi="Arial" w:cs="Arial"/>
        </w:rPr>
      </w:pPr>
      <w:r w:rsidRPr="00987D47">
        <w:rPr>
          <w:rFonts w:ascii="Arial" w:hAnsi="Arial" w:cs="Arial"/>
        </w:rPr>
        <w:t>99.</w:t>
      </w:r>
      <w:r>
        <w:rPr>
          <w:rFonts w:ascii="Arial" w:hAnsi="Arial" w:cs="Arial"/>
        </w:rPr>
        <w:t xml:space="preserve"> </w:t>
      </w:r>
      <w:r w:rsidRPr="00987D47">
        <w:rPr>
          <w:rFonts w:ascii="Arial" w:hAnsi="Arial" w:cs="Arial"/>
        </w:rPr>
        <w:t xml:space="preserve">World Health Organisation (2023) </w:t>
      </w:r>
      <w:r w:rsidRPr="00987D47">
        <w:rPr>
          <w:rFonts w:ascii="Arial" w:hAnsi="Arial" w:cs="Arial"/>
          <w:i/>
          <w:iCs/>
        </w:rPr>
        <w:t>Palliative care. World Health Organisation</w:t>
      </w:r>
      <w:r w:rsidRPr="00987D47">
        <w:rPr>
          <w:rFonts w:ascii="Arial" w:hAnsi="Arial" w:cs="Arial"/>
        </w:rPr>
        <w:t xml:space="preserve">. Available at: </w:t>
      </w:r>
      <w:hyperlink r:id="rId62" w:history="1">
        <w:r w:rsidRPr="00ED157C">
          <w:rPr>
            <w:rStyle w:val="Hyperlink"/>
            <w:rFonts w:ascii="Arial" w:hAnsi="Arial" w:cs="Arial"/>
          </w:rPr>
          <w:t>https://www.who.int/europe/news-room/fact-sheets/item/palliative-care</w:t>
        </w:r>
      </w:hyperlink>
      <w:r w:rsidRPr="00987D47">
        <w:rPr>
          <w:rFonts w:ascii="Arial" w:hAnsi="Arial" w:cs="Arial"/>
        </w:rPr>
        <w:t>.</w:t>
      </w:r>
      <w:r>
        <w:rPr>
          <w:rFonts w:ascii="Arial" w:hAnsi="Arial" w:cs="Arial"/>
        </w:rPr>
        <w:t xml:space="preserve"> </w:t>
      </w:r>
      <w:r w:rsidRPr="00987D47">
        <w:rPr>
          <w:rFonts w:ascii="Arial" w:hAnsi="Arial" w:cs="Arial"/>
        </w:rPr>
        <w:t>(Accessed</w:t>
      </w:r>
      <w:r>
        <w:rPr>
          <w:rFonts w:ascii="Arial" w:hAnsi="Arial" w:cs="Arial"/>
        </w:rPr>
        <w:t>:</w:t>
      </w:r>
      <w:r w:rsidRPr="00987D47">
        <w:rPr>
          <w:rFonts w:ascii="Arial" w:hAnsi="Arial" w:cs="Arial"/>
        </w:rPr>
        <w:t xml:space="preserve"> 3 July).</w:t>
      </w:r>
    </w:p>
    <w:p w14:paraId="74DEC006" w14:textId="5DA628E8" w:rsidR="00987D47" w:rsidRPr="00987D47" w:rsidRDefault="00987D47" w:rsidP="00987D47">
      <w:pPr>
        <w:rPr>
          <w:rFonts w:ascii="Arial" w:hAnsi="Arial" w:cs="Arial"/>
        </w:rPr>
      </w:pPr>
      <w:r w:rsidRPr="00987D47">
        <w:rPr>
          <w:rFonts w:ascii="Arial" w:hAnsi="Arial" w:cs="Arial"/>
        </w:rPr>
        <w:t>100.</w:t>
      </w:r>
      <w:r>
        <w:rPr>
          <w:rFonts w:ascii="Arial" w:hAnsi="Arial" w:cs="Arial"/>
        </w:rPr>
        <w:t xml:space="preserve"> </w:t>
      </w:r>
      <w:r w:rsidR="00E76D93">
        <w:rPr>
          <w:rFonts w:ascii="Arial" w:hAnsi="Arial" w:cs="Arial"/>
        </w:rPr>
        <w:t xml:space="preserve"> </w:t>
      </w:r>
      <w:r w:rsidRPr="00987D47">
        <w:rPr>
          <w:rFonts w:ascii="Arial" w:hAnsi="Arial" w:cs="Arial"/>
        </w:rPr>
        <w:t xml:space="preserve">www.cqc.org.uk. 2021 </w:t>
      </w:r>
      <w:r w:rsidRPr="00E76D93">
        <w:rPr>
          <w:rFonts w:ascii="Arial" w:hAnsi="Arial" w:cs="Arial"/>
          <w:i/>
          <w:iCs/>
        </w:rPr>
        <w:t>‘A different ending’: Our review looking at end of life care published</w:t>
      </w:r>
      <w:r w:rsidRPr="00987D47">
        <w:rPr>
          <w:rFonts w:ascii="Arial" w:hAnsi="Arial" w:cs="Arial"/>
        </w:rPr>
        <w:t xml:space="preserve"> - Care Quality Commission.  Available at: </w:t>
      </w:r>
      <w:hyperlink r:id="rId63" w:history="1">
        <w:r w:rsidR="00E76D93" w:rsidRPr="00ED157C">
          <w:rPr>
            <w:rStyle w:val="Hyperlink"/>
            <w:rFonts w:ascii="Arial" w:hAnsi="Arial" w:cs="Arial"/>
          </w:rPr>
          <w:t>https://www.cqc.org.uk/news/stories/different-ending-our-review-looking-end-life-care-published</w:t>
        </w:r>
      </w:hyperlink>
      <w:r w:rsidRPr="00987D47">
        <w:rPr>
          <w:rFonts w:ascii="Arial" w:hAnsi="Arial" w:cs="Arial"/>
        </w:rPr>
        <w:t>.</w:t>
      </w:r>
      <w:r w:rsidR="00E76D93">
        <w:rPr>
          <w:rFonts w:ascii="Arial" w:hAnsi="Arial" w:cs="Arial"/>
        </w:rPr>
        <w:t xml:space="preserve"> </w:t>
      </w:r>
      <w:r w:rsidRPr="00987D47">
        <w:rPr>
          <w:rFonts w:ascii="Arial" w:hAnsi="Arial" w:cs="Arial"/>
        </w:rPr>
        <w:t>(Accessed</w:t>
      </w:r>
      <w:r w:rsidR="00E76D93">
        <w:rPr>
          <w:rFonts w:ascii="Arial" w:hAnsi="Arial" w:cs="Arial"/>
        </w:rPr>
        <w:t>:</w:t>
      </w:r>
      <w:r w:rsidRPr="00987D47">
        <w:rPr>
          <w:rFonts w:ascii="Arial" w:hAnsi="Arial" w:cs="Arial"/>
        </w:rPr>
        <w:t xml:space="preserve"> 2 October 2025).</w:t>
      </w:r>
    </w:p>
    <w:p w14:paraId="207990BB" w14:textId="264EE09B" w:rsidR="00987D47" w:rsidRPr="00987D47" w:rsidRDefault="00987D47" w:rsidP="00987D47">
      <w:pPr>
        <w:rPr>
          <w:rFonts w:ascii="Arial" w:hAnsi="Arial" w:cs="Arial"/>
        </w:rPr>
      </w:pPr>
      <w:r w:rsidRPr="00987D47">
        <w:rPr>
          <w:rFonts w:ascii="Arial" w:hAnsi="Arial" w:cs="Arial"/>
        </w:rPr>
        <w:t>101.</w:t>
      </w:r>
      <w:r w:rsidR="00E76D93">
        <w:rPr>
          <w:rFonts w:ascii="Arial" w:hAnsi="Arial" w:cs="Arial"/>
        </w:rPr>
        <w:t xml:space="preserve"> </w:t>
      </w:r>
      <w:r w:rsidRPr="00987D47">
        <w:rPr>
          <w:rFonts w:ascii="Arial" w:hAnsi="Arial" w:cs="Arial"/>
        </w:rPr>
        <w:t xml:space="preserve">www.england.nhs.uk. 2021 </w:t>
      </w:r>
      <w:r w:rsidRPr="00E76D93">
        <w:rPr>
          <w:rFonts w:ascii="Arial" w:hAnsi="Arial" w:cs="Arial"/>
          <w:i/>
          <w:iCs/>
        </w:rPr>
        <w:t>NHS England Workforce Race Equality Standard 2021</w:t>
      </w:r>
      <w:r w:rsidRPr="00987D47">
        <w:rPr>
          <w:rFonts w:ascii="Arial" w:hAnsi="Arial" w:cs="Arial"/>
        </w:rPr>
        <w:t xml:space="preserve">. Available at: </w:t>
      </w:r>
      <w:hyperlink r:id="rId64" w:history="1">
        <w:r w:rsidR="00E76D93" w:rsidRPr="00ED157C">
          <w:rPr>
            <w:rStyle w:val="Hyperlink"/>
            <w:rFonts w:ascii="Arial" w:hAnsi="Arial" w:cs="Arial"/>
          </w:rPr>
          <w:t>https://www.england.nhs.uk/publication/workforce-race-equality-standard-2021/</w:t>
        </w:r>
      </w:hyperlink>
      <w:r w:rsidRPr="00987D47">
        <w:rPr>
          <w:rFonts w:ascii="Arial" w:hAnsi="Arial" w:cs="Arial"/>
        </w:rPr>
        <w:t>.</w:t>
      </w:r>
      <w:r w:rsidR="00E76D93">
        <w:rPr>
          <w:rFonts w:ascii="Arial" w:hAnsi="Arial" w:cs="Arial"/>
        </w:rPr>
        <w:t xml:space="preserve"> </w:t>
      </w:r>
      <w:r w:rsidRPr="00987D47">
        <w:rPr>
          <w:rFonts w:ascii="Arial" w:hAnsi="Arial" w:cs="Arial"/>
        </w:rPr>
        <w:t>(Accessed</w:t>
      </w:r>
      <w:r w:rsidR="00E76D93">
        <w:rPr>
          <w:rFonts w:ascii="Arial" w:hAnsi="Arial" w:cs="Arial"/>
        </w:rPr>
        <w:t>:</w:t>
      </w:r>
      <w:r w:rsidRPr="00987D47">
        <w:rPr>
          <w:rFonts w:ascii="Arial" w:hAnsi="Arial" w:cs="Arial"/>
        </w:rPr>
        <w:t xml:space="preserve"> 1 November 2025).</w:t>
      </w:r>
    </w:p>
    <w:p w14:paraId="34D4BF29" w14:textId="0AF94E10" w:rsidR="00987D47" w:rsidRPr="00987D47" w:rsidRDefault="00987D47" w:rsidP="00987D47">
      <w:pPr>
        <w:rPr>
          <w:rFonts w:ascii="Arial" w:hAnsi="Arial" w:cs="Arial"/>
        </w:rPr>
      </w:pPr>
      <w:r w:rsidRPr="00987D47">
        <w:rPr>
          <w:rFonts w:ascii="Arial" w:hAnsi="Arial" w:cs="Arial"/>
        </w:rPr>
        <w:t>102.</w:t>
      </w:r>
      <w:r w:rsidRPr="00987D47">
        <w:rPr>
          <w:rFonts w:ascii="Arial" w:hAnsi="Arial" w:cs="Arial"/>
        </w:rPr>
        <w:tab/>
        <w:t xml:space="preserve">www.ncpc.org.uk. (n.d.). </w:t>
      </w:r>
      <w:r w:rsidRPr="00E76D93">
        <w:rPr>
          <w:rFonts w:ascii="Arial" w:hAnsi="Arial" w:cs="Arial"/>
          <w:i/>
          <w:iCs/>
        </w:rPr>
        <w:t>NCPC</w:t>
      </w:r>
      <w:r w:rsidRPr="00987D47">
        <w:rPr>
          <w:rFonts w:ascii="Arial" w:hAnsi="Arial" w:cs="Arial"/>
        </w:rPr>
        <w:t xml:space="preserve">. Available at: </w:t>
      </w:r>
      <w:hyperlink r:id="rId65" w:history="1">
        <w:r w:rsidR="00E76D93" w:rsidRPr="00ED157C">
          <w:rPr>
            <w:rStyle w:val="Hyperlink"/>
            <w:rFonts w:ascii="Arial" w:hAnsi="Arial" w:cs="Arial"/>
          </w:rPr>
          <w:t>https://www.ncpc.org.uk/ambitions-palliative-and-end-life-care%e2%80%99/</w:t>
        </w:r>
      </w:hyperlink>
      <w:r w:rsidRPr="00987D47">
        <w:rPr>
          <w:rFonts w:ascii="Arial" w:hAnsi="Arial" w:cs="Arial"/>
        </w:rPr>
        <w:t>.</w:t>
      </w:r>
      <w:r w:rsidR="00E76D93">
        <w:rPr>
          <w:rFonts w:ascii="Arial" w:hAnsi="Arial" w:cs="Arial"/>
        </w:rPr>
        <w:t xml:space="preserve"> </w:t>
      </w:r>
      <w:r w:rsidRPr="00987D47">
        <w:rPr>
          <w:rFonts w:ascii="Arial" w:hAnsi="Arial" w:cs="Arial"/>
        </w:rPr>
        <w:t>(Accessed</w:t>
      </w:r>
      <w:r w:rsidR="00E76D93">
        <w:rPr>
          <w:rFonts w:ascii="Arial" w:hAnsi="Arial" w:cs="Arial"/>
        </w:rPr>
        <w:t>:</w:t>
      </w:r>
      <w:r w:rsidRPr="00987D47">
        <w:rPr>
          <w:rFonts w:ascii="Arial" w:hAnsi="Arial" w:cs="Arial"/>
        </w:rPr>
        <w:t xml:space="preserve"> 2 July 2025).</w:t>
      </w:r>
    </w:p>
    <w:p w14:paraId="6294E3F3" w14:textId="3DF8148C" w:rsidR="00C6531A" w:rsidRDefault="00987D47" w:rsidP="00987D47">
      <w:pPr>
        <w:rPr>
          <w:rFonts w:ascii="Arial" w:hAnsi="Arial" w:cs="Arial"/>
        </w:rPr>
      </w:pPr>
      <w:r w:rsidRPr="00987D47">
        <w:rPr>
          <w:rFonts w:ascii="Arial" w:hAnsi="Arial" w:cs="Arial"/>
        </w:rPr>
        <w:t>103.</w:t>
      </w:r>
      <w:r w:rsidRPr="00987D47">
        <w:rPr>
          <w:rFonts w:ascii="Arial" w:hAnsi="Arial" w:cs="Arial"/>
        </w:rPr>
        <w:tab/>
        <w:t xml:space="preserve">www.ons.gov.uk. 2011 </w:t>
      </w:r>
      <w:r w:rsidRPr="00E76D93">
        <w:rPr>
          <w:rFonts w:ascii="Arial" w:hAnsi="Arial" w:cs="Arial"/>
          <w:i/>
          <w:iCs/>
        </w:rPr>
        <w:t>Census analysis - Office for National Statistics</w:t>
      </w:r>
      <w:r w:rsidRPr="00987D47">
        <w:rPr>
          <w:rFonts w:ascii="Arial" w:hAnsi="Arial" w:cs="Arial"/>
        </w:rPr>
        <w:t xml:space="preserve">. Available at: </w:t>
      </w:r>
      <w:hyperlink r:id="rId66" w:history="1">
        <w:r w:rsidR="00E76D93" w:rsidRPr="00ED157C">
          <w:rPr>
            <w:rStyle w:val="Hyperlink"/>
            <w:rFonts w:ascii="Arial" w:hAnsi="Arial" w:cs="Arial"/>
          </w:rPr>
          <w:t>https://www.ons.gov.uk/peoplepopulationandcommunity/healthandsocialcare/healthcaresystem/articles/2011censusanalysisunpaidcareinenglandandwales2011andcomparisonwith2001/2013-02-15</w:t>
        </w:r>
      </w:hyperlink>
      <w:r w:rsidRPr="00987D47">
        <w:rPr>
          <w:rFonts w:ascii="Arial" w:hAnsi="Arial" w:cs="Arial"/>
        </w:rPr>
        <w:t>.</w:t>
      </w:r>
      <w:r w:rsidR="00E76D93">
        <w:rPr>
          <w:rFonts w:ascii="Arial" w:hAnsi="Arial" w:cs="Arial"/>
        </w:rPr>
        <w:t xml:space="preserve"> (Accessed </w:t>
      </w:r>
      <w:r w:rsidR="00602DB4">
        <w:rPr>
          <w:rFonts w:ascii="Arial" w:hAnsi="Arial" w:cs="Arial"/>
        </w:rPr>
        <w:t>12 September 2025).</w:t>
      </w:r>
    </w:p>
    <w:p w14:paraId="059C802E" w14:textId="77777777" w:rsidR="00E76D93" w:rsidRPr="00B976A9" w:rsidRDefault="00E76D93" w:rsidP="00987D47">
      <w:pPr>
        <w:rPr>
          <w:rFonts w:ascii="Arial" w:hAnsi="Arial" w:cs="Arial"/>
        </w:rPr>
      </w:pPr>
    </w:p>
    <w:p w14:paraId="1AEC18C9" w14:textId="77777777" w:rsidR="00F02727" w:rsidRDefault="00F02727" w:rsidP="00621776"/>
    <w:p w14:paraId="2D6CC1C2" w14:textId="77777777" w:rsidR="00F02727" w:rsidRDefault="00F02727" w:rsidP="00621776"/>
    <w:p w14:paraId="25D4BEC1" w14:textId="77777777" w:rsidR="00F02727" w:rsidRDefault="00F02727" w:rsidP="00621776"/>
    <w:p w14:paraId="32166AE2" w14:textId="77777777" w:rsidR="00F02727" w:rsidRDefault="00F02727" w:rsidP="00621776"/>
    <w:p w14:paraId="5FD2A85C" w14:textId="77777777" w:rsidR="00F02727" w:rsidRDefault="00F02727" w:rsidP="00621776"/>
    <w:p w14:paraId="04D69ED3" w14:textId="77777777" w:rsidR="00F02727" w:rsidRDefault="00F02727" w:rsidP="00621776"/>
    <w:p w14:paraId="2D07381D" w14:textId="77777777" w:rsidR="00F02727" w:rsidRDefault="00F02727" w:rsidP="00621776"/>
    <w:p w14:paraId="729BAFA2" w14:textId="77777777" w:rsidR="00F02727" w:rsidRDefault="00F02727" w:rsidP="00621776"/>
    <w:p w14:paraId="7C962836" w14:textId="77777777" w:rsidR="00F02727" w:rsidRDefault="00F02727" w:rsidP="00621776"/>
    <w:p w14:paraId="16824613" w14:textId="77777777" w:rsidR="00F02727" w:rsidRDefault="00F02727" w:rsidP="00621776"/>
    <w:p w14:paraId="5B706036" w14:textId="77777777" w:rsidR="00F02727" w:rsidRDefault="00F02727" w:rsidP="00621776"/>
    <w:p w14:paraId="6D67117C" w14:textId="77777777" w:rsidR="0080139E" w:rsidRDefault="0080139E" w:rsidP="00621776"/>
    <w:p w14:paraId="4EA04B9B" w14:textId="77777777" w:rsidR="0080139E" w:rsidRDefault="0080139E" w:rsidP="00621776"/>
    <w:p w14:paraId="59CD1112" w14:textId="77777777" w:rsidR="0080139E" w:rsidRDefault="0080139E" w:rsidP="00621776"/>
    <w:p w14:paraId="600A6EFB" w14:textId="77777777" w:rsidR="0080139E" w:rsidRDefault="0080139E" w:rsidP="00621776">
      <w:pPr>
        <w:pStyle w:val="Heading1"/>
        <w:ind w:left="0"/>
        <w:rPr>
          <w:rFonts w:ascii="Aptos" w:hAnsi="Aptos"/>
          <w:sz w:val="28"/>
          <w:szCs w:val="28"/>
        </w:rPr>
      </w:pPr>
    </w:p>
    <w:p w14:paraId="349BCCAD" w14:textId="77777777" w:rsidR="00DC4F7A" w:rsidRDefault="00DC4F7A" w:rsidP="00621776">
      <w:pPr>
        <w:pStyle w:val="Heading1"/>
        <w:ind w:left="0"/>
        <w:rPr>
          <w:rFonts w:ascii="Aptos" w:hAnsi="Aptos"/>
          <w:sz w:val="28"/>
          <w:szCs w:val="28"/>
        </w:rPr>
      </w:pPr>
    </w:p>
    <w:p w14:paraId="3DEFD562" w14:textId="77777777" w:rsidR="00DC4F7A" w:rsidRDefault="00DC4F7A" w:rsidP="00621776">
      <w:pPr>
        <w:pStyle w:val="Heading1"/>
        <w:ind w:left="0"/>
        <w:rPr>
          <w:rFonts w:ascii="Aptos" w:hAnsi="Aptos"/>
          <w:sz w:val="28"/>
          <w:szCs w:val="28"/>
        </w:rPr>
      </w:pPr>
    </w:p>
    <w:p w14:paraId="2534F78C" w14:textId="77777777" w:rsidR="00DC4F7A" w:rsidRDefault="00DC4F7A" w:rsidP="00621776">
      <w:pPr>
        <w:pStyle w:val="Heading1"/>
        <w:ind w:left="0"/>
        <w:rPr>
          <w:rFonts w:ascii="Aptos" w:hAnsi="Aptos"/>
          <w:sz w:val="28"/>
          <w:szCs w:val="28"/>
        </w:rPr>
      </w:pPr>
    </w:p>
    <w:p w14:paraId="2A8F8D08" w14:textId="77777777" w:rsidR="0080139E" w:rsidRDefault="0080139E" w:rsidP="00621776">
      <w:pPr>
        <w:pStyle w:val="Heading1"/>
        <w:ind w:left="0"/>
        <w:rPr>
          <w:rFonts w:ascii="Aptos" w:hAnsi="Aptos"/>
          <w:sz w:val="28"/>
          <w:szCs w:val="28"/>
        </w:rPr>
      </w:pPr>
    </w:p>
    <w:p w14:paraId="6D7584F3" w14:textId="663398E5" w:rsidR="00621776" w:rsidRPr="008C38C3" w:rsidRDefault="00621776" w:rsidP="00621776">
      <w:pPr>
        <w:pStyle w:val="Heading1"/>
        <w:ind w:left="0"/>
        <w:rPr>
          <w:rFonts w:ascii="Aptos" w:hAnsi="Aptos"/>
          <w:sz w:val="28"/>
          <w:szCs w:val="28"/>
        </w:rPr>
      </w:pPr>
    </w:p>
    <w:p w14:paraId="5E02AF15" w14:textId="63884053" w:rsidR="00621776" w:rsidRDefault="00621776"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0C35D" w14:textId="77777777" w:rsidR="00D03AF9" w:rsidRDefault="00D03AF9" w:rsidP="00211184">
      <w:pPr>
        <w:spacing w:after="0" w:line="240" w:lineRule="auto"/>
      </w:pPr>
      <w:r>
        <w:separator/>
      </w:r>
    </w:p>
  </w:endnote>
  <w:endnote w:type="continuationSeparator" w:id="0">
    <w:p w14:paraId="2F22132B" w14:textId="77777777" w:rsidR="00D03AF9" w:rsidRDefault="00D03AF9"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98481"/>
      <w:docPartObj>
        <w:docPartGallery w:val="Page Numbers (Bottom of Page)"/>
        <w:docPartUnique/>
      </w:docPartObj>
    </w:sdtPr>
    <w:sdtContent>
      <w:p w14:paraId="06AA1F6A" w14:textId="7CFFD4AC" w:rsidR="004003C7" w:rsidRDefault="004003C7">
        <w:pPr>
          <w:pStyle w:val="Footer"/>
          <w:jc w:val="center"/>
        </w:pPr>
        <w:r>
          <w:fldChar w:fldCharType="begin"/>
        </w:r>
        <w:r>
          <w:instrText>PAGE   \* MERGEFORMAT</w:instrText>
        </w:r>
        <w:r>
          <w:fldChar w:fldCharType="separate"/>
        </w:r>
        <w:r>
          <w:t>2</w:t>
        </w:r>
        <w: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AF2D7" w14:textId="77777777" w:rsidR="00D03AF9" w:rsidRDefault="00D03AF9" w:rsidP="00211184">
      <w:pPr>
        <w:spacing w:after="0" w:line="240" w:lineRule="auto"/>
      </w:pPr>
      <w:r>
        <w:separator/>
      </w:r>
    </w:p>
  </w:footnote>
  <w:footnote w:type="continuationSeparator" w:id="0">
    <w:p w14:paraId="476F2458" w14:textId="77777777" w:rsidR="00D03AF9" w:rsidRDefault="00D03AF9"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0F6D89"/>
    <w:multiLevelType w:val="multilevel"/>
    <w:tmpl w:val="F196B118"/>
    <w:lvl w:ilvl="0">
      <w:start w:val="3"/>
      <w:numFmt w:val="decimal"/>
      <w:lvlText w:val="%1"/>
      <w:lvlJc w:val="left"/>
      <w:pPr>
        <w:ind w:left="360" w:hanging="360"/>
      </w:pPr>
      <w:rPr>
        <w:rFonts w:hint="default"/>
        <w:color w:val="auto"/>
      </w:rPr>
    </w:lvl>
    <w:lvl w:ilvl="1">
      <w:start w:val="5"/>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2"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9468B1"/>
    <w:multiLevelType w:val="hybridMultilevel"/>
    <w:tmpl w:val="5762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3157F4"/>
    <w:multiLevelType w:val="hybridMultilevel"/>
    <w:tmpl w:val="752CB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768D8"/>
    <w:multiLevelType w:val="multilevel"/>
    <w:tmpl w:val="EC7855C6"/>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7B66447"/>
    <w:multiLevelType w:val="hybridMultilevel"/>
    <w:tmpl w:val="870A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06E482D"/>
    <w:multiLevelType w:val="hybridMultilevel"/>
    <w:tmpl w:val="33F2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9C0F76"/>
    <w:multiLevelType w:val="hybridMultilevel"/>
    <w:tmpl w:val="8EEA4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4497037"/>
    <w:multiLevelType w:val="multilevel"/>
    <w:tmpl w:val="72688852"/>
    <w:lvl w:ilvl="0">
      <w:start w:val="3"/>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1"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6"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4"/>
  </w:num>
  <w:num w:numId="2" w16cid:durableId="1500121260">
    <w:abstractNumId w:val="59"/>
  </w:num>
  <w:num w:numId="3" w16cid:durableId="438111508">
    <w:abstractNumId w:val="97"/>
  </w:num>
  <w:num w:numId="4" w16cid:durableId="106121269">
    <w:abstractNumId w:val="18"/>
  </w:num>
  <w:num w:numId="5" w16cid:durableId="1859468656">
    <w:abstractNumId w:val="110"/>
  </w:num>
  <w:num w:numId="6" w16cid:durableId="407923627">
    <w:abstractNumId w:val="108"/>
  </w:num>
  <w:num w:numId="7" w16cid:durableId="1173763238">
    <w:abstractNumId w:val="72"/>
  </w:num>
  <w:num w:numId="8" w16cid:durableId="515197422">
    <w:abstractNumId w:val="48"/>
  </w:num>
  <w:num w:numId="9" w16cid:durableId="650984044">
    <w:abstractNumId w:val="14"/>
  </w:num>
  <w:num w:numId="10" w16cid:durableId="676225712">
    <w:abstractNumId w:val="101"/>
  </w:num>
  <w:num w:numId="11" w16cid:durableId="654647421">
    <w:abstractNumId w:val="71"/>
  </w:num>
  <w:num w:numId="12" w16cid:durableId="972827862">
    <w:abstractNumId w:val="74"/>
  </w:num>
  <w:num w:numId="13" w16cid:durableId="73359902">
    <w:abstractNumId w:val="46"/>
  </w:num>
  <w:num w:numId="14" w16cid:durableId="1233615214">
    <w:abstractNumId w:val="10"/>
  </w:num>
  <w:num w:numId="15" w16cid:durableId="1037585576">
    <w:abstractNumId w:val="106"/>
  </w:num>
  <w:num w:numId="16" w16cid:durableId="1454127918">
    <w:abstractNumId w:val="89"/>
  </w:num>
  <w:num w:numId="17" w16cid:durableId="1655717882">
    <w:abstractNumId w:val="32"/>
  </w:num>
  <w:num w:numId="18" w16cid:durableId="679818721">
    <w:abstractNumId w:val="7"/>
  </w:num>
  <w:num w:numId="19" w16cid:durableId="820851363">
    <w:abstractNumId w:val="2"/>
  </w:num>
  <w:num w:numId="20" w16cid:durableId="1752123437">
    <w:abstractNumId w:val="63"/>
  </w:num>
  <w:num w:numId="21" w16cid:durableId="776406381">
    <w:abstractNumId w:val="9"/>
  </w:num>
  <w:num w:numId="22" w16cid:durableId="2003772795">
    <w:abstractNumId w:val="111"/>
  </w:num>
  <w:num w:numId="23" w16cid:durableId="471214588">
    <w:abstractNumId w:val="8"/>
  </w:num>
  <w:num w:numId="24" w16cid:durableId="747188340">
    <w:abstractNumId w:val="96"/>
  </w:num>
  <w:num w:numId="25" w16cid:durableId="1617635105">
    <w:abstractNumId w:val="21"/>
  </w:num>
  <w:num w:numId="26" w16cid:durableId="1919750537">
    <w:abstractNumId w:val="102"/>
  </w:num>
  <w:num w:numId="27" w16cid:durableId="1917666381">
    <w:abstractNumId w:val="4"/>
  </w:num>
  <w:num w:numId="28" w16cid:durableId="836925604">
    <w:abstractNumId w:val="88"/>
  </w:num>
  <w:num w:numId="29" w16cid:durableId="881479433">
    <w:abstractNumId w:val="75"/>
  </w:num>
  <w:num w:numId="30" w16cid:durableId="164788852">
    <w:abstractNumId w:val="79"/>
  </w:num>
  <w:num w:numId="31" w16cid:durableId="735323509">
    <w:abstractNumId w:val="16"/>
  </w:num>
  <w:num w:numId="32" w16cid:durableId="1000431254">
    <w:abstractNumId w:val="45"/>
  </w:num>
  <w:num w:numId="33" w16cid:durableId="434404662">
    <w:abstractNumId w:val="24"/>
  </w:num>
  <w:num w:numId="34" w16cid:durableId="792409853">
    <w:abstractNumId w:val="57"/>
  </w:num>
  <w:num w:numId="35" w16cid:durableId="70469880">
    <w:abstractNumId w:val="61"/>
  </w:num>
  <w:num w:numId="36" w16cid:durableId="1255548974">
    <w:abstractNumId w:val="51"/>
  </w:num>
  <w:num w:numId="37" w16cid:durableId="509951972">
    <w:abstractNumId w:val="38"/>
  </w:num>
  <w:num w:numId="38" w16cid:durableId="1491873496">
    <w:abstractNumId w:val="67"/>
  </w:num>
  <w:num w:numId="39" w16cid:durableId="1277179892">
    <w:abstractNumId w:val="78"/>
  </w:num>
  <w:num w:numId="40" w16cid:durableId="1137721610">
    <w:abstractNumId w:val="62"/>
  </w:num>
  <w:num w:numId="41" w16cid:durableId="1569337486">
    <w:abstractNumId w:val="112"/>
  </w:num>
  <w:num w:numId="42" w16cid:durableId="1771851078">
    <w:abstractNumId w:val="5"/>
  </w:num>
  <w:num w:numId="43" w16cid:durableId="1096747610">
    <w:abstractNumId w:val="23"/>
  </w:num>
  <w:num w:numId="44" w16cid:durableId="1853105471">
    <w:abstractNumId w:val="90"/>
  </w:num>
  <w:num w:numId="45" w16cid:durableId="2016615092">
    <w:abstractNumId w:val="58"/>
  </w:num>
  <w:num w:numId="46" w16cid:durableId="439030946">
    <w:abstractNumId w:val="76"/>
  </w:num>
  <w:num w:numId="47" w16cid:durableId="315690756">
    <w:abstractNumId w:val="39"/>
  </w:num>
  <w:num w:numId="48" w16cid:durableId="1252278660">
    <w:abstractNumId w:val="13"/>
  </w:num>
  <w:num w:numId="49" w16cid:durableId="1719351677">
    <w:abstractNumId w:val="82"/>
  </w:num>
  <w:num w:numId="50" w16cid:durableId="1107427397">
    <w:abstractNumId w:val="26"/>
  </w:num>
  <w:num w:numId="51" w16cid:durableId="371266753">
    <w:abstractNumId w:val="77"/>
  </w:num>
  <w:num w:numId="52" w16cid:durableId="491869272">
    <w:abstractNumId w:val="31"/>
  </w:num>
  <w:num w:numId="53" w16cid:durableId="1351251430">
    <w:abstractNumId w:val="80"/>
  </w:num>
  <w:num w:numId="54" w16cid:durableId="1368607436">
    <w:abstractNumId w:val="103"/>
  </w:num>
  <w:num w:numId="55" w16cid:durableId="1588029100">
    <w:abstractNumId w:val="109"/>
  </w:num>
  <w:num w:numId="56" w16cid:durableId="415832180">
    <w:abstractNumId w:val="98"/>
  </w:num>
  <w:num w:numId="57" w16cid:durableId="1178735139">
    <w:abstractNumId w:val="47"/>
  </w:num>
  <w:num w:numId="58" w16cid:durableId="721834200">
    <w:abstractNumId w:val="60"/>
  </w:num>
  <w:num w:numId="59" w16cid:durableId="686251813">
    <w:abstractNumId w:val="1"/>
  </w:num>
  <w:num w:numId="60" w16cid:durableId="1960641414">
    <w:abstractNumId w:val="15"/>
  </w:num>
  <w:num w:numId="61" w16cid:durableId="39089564">
    <w:abstractNumId w:val="50"/>
  </w:num>
  <w:num w:numId="62" w16cid:durableId="1192718157">
    <w:abstractNumId w:val="22"/>
  </w:num>
  <w:num w:numId="63" w16cid:durableId="1777825955">
    <w:abstractNumId w:val="83"/>
  </w:num>
  <w:num w:numId="64" w16cid:durableId="286199487">
    <w:abstractNumId w:val="27"/>
  </w:num>
  <w:num w:numId="65" w16cid:durableId="1119490663">
    <w:abstractNumId w:val="65"/>
  </w:num>
  <w:num w:numId="66" w16cid:durableId="1353922786">
    <w:abstractNumId w:val="35"/>
  </w:num>
  <w:num w:numId="67" w16cid:durableId="492723980">
    <w:abstractNumId w:val="70"/>
  </w:num>
  <w:num w:numId="68" w16cid:durableId="526941613">
    <w:abstractNumId w:val="36"/>
  </w:num>
  <w:num w:numId="69" w16cid:durableId="320043301">
    <w:abstractNumId w:val="68"/>
  </w:num>
  <w:num w:numId="70" w16cid:durableId="2037610982">
    <w:abstractNumId w:val="6"/>
  </w:num>
  <w:num w:numId="71" w16cid:durableId="1079794559">
    <w:abstractNumId w:val="42"/>
  </w:num>
  <w:num w:numId="72" w16cid:durableId="503403534">
    <w:abstractNumId w:val="37"/>
  </w:num>
  <w:num w:numId="73" w16cid:durableId="194734275">
    <w:abstractNumId w:val="12"/>
  </w:num>
  <w:num w:numId="74" w16cid:durableId="424033359">
    <w:abstractNumId w:val="49"/>
  </w:num>
  <w:num w:numId="75" w16cid:durableId="1335066293">
    <w:abstractNumId w:val="92"/>
  </w:num>
  <w:num w:numId="76" w16cid:durableId="662587085">
    <w:abstractNumId w:val="40"/>
  </w:num>
  <w:num w:numId="77" w16cid:durableId="2071072074">
    <w:abstractNumId w:val="87"/>
  </w:num>
  <w:num w:numId="78" w16cid:durableId="1573662111">
    <w:abstractNumId w:val="105"/>
  </w:num>
  <w:num w:numId="79" w16cid:durableId="131678057">
    <w:abstractNumId w:val="99"/>
  </w:num>
  <w:num w:numId="80" w16cid:durableId="2103643901">
    <w:abstractNumId w:val="86"/>
  </w:num>
  <w:num w:numId="81" w16cid:durableId="99565733">
    <w:abstractNumId w:val="29"/>
  </w:num>
  <w:num w:numId="82" w16cid:durableId="1810784339">
    <w:abstractNumId w:val="73"/>
  </w:num>
  <w:num w:numId="83" w16cid:durableId="1491748033">
    <w:abstractNumId w:val="85"/>
  </w:num>
  <w:num w:numId="84" w16cid:durableId="670565925">
    <w:abstractNumId w:val="20"/>
  </w:num>
  <w:num w:numId="85" w16cid:durableId="211696971">
    <w:abstractNumId w:val="28"/>
  </w:num>
  <w:num w:numId="86" w16cid:durableId="1773429901">
    <w:abstractNumId w:val="44"/>
  </w:num>
  <w:num w:numId="87" w16cid:durableId="804733676">
    <w:abstractNumId w:val="33"/>
  </w:num>
  <w:num w:numId="88" w16cid:durableId="488864096">
    <w:abstractNumId w:val="93"/>
  </w:num>
  <w:num w:numId="89" w16cid:durableId="1599749197">
    <w:abstractNumId w:val="43"/>
  </w:num>
  <w:num w:numId="90" w16cid:durableId="1726679607">
    <w:abstractNumId w:val="25"/>
  </w:num>
  <w:num w:numId="91" w16cid:durableId="1630209448">
    <w:abstractNumId w:val="52"/>
  </w:num>
  <w:num w:numId="92" w16cid:durableId="928663234">
    <w:abstractNumId w:val="69"/>
  </w:num>
  <w:num w:numId="93" w16cid:durableId="2017072952">
    <w:abstractNumId w:val="81"/>
  </w:num>
  <w:num w:numId="94" w16cid:durableId="58405484">
    <w:abstractNumId w:val="34"/>
  </w:num>
  <w:num w:numId="95" w16cid:durableId="1817530714">
    <w:abstractNumId w:val="17"/>
  </w:num>
  <w:num w:numId="96" w16cid:durableId="2141336387">
    <w:abstractNumId w:val="64"/>
  </w:num>
  <w:num w:numId="97" w16cid:durableId="1325282792">
    <w:abstractNumId w:val="3"/>
  </w:num>
  <w:num w:numId="98" w16cid:durableId="1319654748">
    <w:abstractNumId w:val="84"/>
  </w:num>
  <w:num w:numId="99" w16cid:durableId="556555801">
    <w:abstractNumId w:val="0"/>
  </w:num>
  <w:num w:numId="100" w16cid:durableId="1903828627">
    <w:abstractNumId w:val="19"/>
  </w:num>
  <w:num w:numId="101" w16cid:durableId="281425930">
    <w:abstractNumId w:val="56"/>
  </w:num>
  <w:num w:numId="102" w16cid:durableId="1491553762">
    <w:abstractNumId w:val="41"/>
  </w:num>
  <w:num w:numId="103" w16cid:durableId="965625632">
    <w:abstractNumId w:val="91"/>
  </w:num>
  <w:num w:numId="104" w16cid:durableId="1481145624">
    <w:abstractNumId w:val="113"/>
  </w:num>
  <w:num w:numId="105" w16cid:durableId="29957555">
    <w:abstractNumId w:val="107"/>
  </w:num>
  <w:num w:numId="106" w16cid:durableId="1042821728">
    <w:abstractNumId w:val="94"/>
  </w:num>
  <w:num w:numId="107" w16cid:durableId="1928297695">
    <w:abstractNumId w:val="55"/>
  </w:num>
  <w:num w:numId="108" w16cid:durableId="675889068">
    <w:abstractNumId w:val="95"/>
  </w:num>
  <w:num w:numId="109" w16cid:durableId="1076517117">
    <w:abstractNumId w:val="30"/>
  </w:num>
  <w:num w:numId="110" w16cid:durableId="710155991">
    <w:abstractNumId w:val="66"/>
  </w:num>
  <w:num w:numId="111" w16cid:durableId="899052966">
    <w:abstractNumId w:val="53"/>
  </w:num>
  <w:num w:numId="112" w16cid:durableId="270284641">
    <w:abstractNumId w:val="54"/>
  </w:num>
  <w:num w:numId="113" w16cid:durableId="1028140919">
    <w:abstractNumId w:val="11"/>
  </w:num>
  <w:num w:numId="114" w16cid:durableId="302514301">
    <w:abstractNumId w:val="100"/>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543"/>
    <w:rsid w:val="00001A2F"/>
    <w:rsid w:val="00001B58"/>
    <w:rsid w:val="0000407B"/>
    <w:rsid w:val="00012874"/>
    <w:rsid w:val="00012F07"/>
    <w:rsid w:val="000218E0"/>
    <w:rsid w:val="0002499F"/>
    <w:rsid w:val="0002563D"/>
    <w:rsid w:val="000259A8"/>
    <w:rsid w:val="000264A2"/>
    <w:rsid w:val="0002743F"/>
    <w:rsid w:val="000321D4"/>
    <w:rsid w:val="000327C2"/>
    <w:rsid w:val="00034D64"/>
    <w:rsid w:val="00036531"/>
    <w:rsid w:val="00036F6B"/>
    <w:rsid w:val="000400E4"/>
    <w:rsid w:val="00040884"/>
    <w:rsid w:val="00042DDF"/>
    <w:rsid w:val="00044CE2"/>
    <w:rsid w:val="00045093"/>
    <w:rsid w:val="0005125E"/>
    <w:rsid w:val="00052067"/>
    <w:rsid w:val="0005659E"/>
    <w:rsid w:val="00063B4C"/>
    <w:rsid w:val="00065149"/>
    <w:rsid w:val="00065983"/>
    <w:rsid w:val="000759EE"/>
    <w:rsid w:val="000771B8"/>
    <w:rsid w:val="00077FA1"/>
    <w:rsid w:val="00080B6C"/>
    <w:rsid w:val="00095B57"/>
    <w:rsid w:val="000A104E"/>
    <w:rsid w:val="000A1BA2"/>
    <w:rsid w:val="000A1C2A"/>
    <w:rsid w:val="000A283D"/>
    <w:rsid w:val="000A2CB2"/>
    <w:rsid w:val="000A3F1B"/>
    <w:rsid w:val="000A5038"/>
    <w:rsid w:val="000A6FF2"/>
    <w:rsid w:val="000B554F"/>
    <w:rsid w:val="000B55D7"/>
    <w:rsid w:val="000B6688"/>
    <w:rsid w:val="000B7F30"/>
    <w:rsid w:val="000C1032"/>
    <w:rsid w:val="000C22B8"/>
    <w:rsid w:val="000C3FBA"/>
    <w:rsid w:val="000D05D8"/>
    <w:rsid w:val="000D0641"/>
    <w:rsid w:val="000D2B00"/>
    <w:rsid w:val="000D376D"/>
    <w:rsid w:val="000D40B8"/>
    <w:rsid w:val="000D48C9"/>
    <w:rsid w:val="000E1473"/>
    <w:rsid w:val="000E2ADD"/>
    <w:rsid w:val="000E587F"/>
    <w:rsid w:val="000E72BE"/>
    <w:rsid w:val="000F04AC"/>
    <w:rsid w:val="00102A30"/>
    <w:rsid w:val="00104139"/>
    <w:rsid w:val="00112E01"/>
    <w:rsid w:val="00113A23"/>
    <w:rsid w:val="00120A59"/>
    <w:rsid w:val="00122608"/>
    <w:rsid w:val="00126B55"/>
    <w:rsid w:val="001274BA"/>
    <w:rsid w:val="001318FD"/>
    <w:rsid w:val="00132306"/>
    <w:rsid w:val="00133A4A"/>
    <w:rsid w:val="00142A4D"/>
    <w:rsid w:val="00145767"/>
    <w:rsid w:val="0015201E"/>
    <w:rsid w:val="001544E6"/>
    <w:rsid w:val="001601E6"/>
    <w:rsid w:val="0016629A"/>
    <w:rsid w:val="001724BA"/>
    <w:rsid w:val="00174748"/>
    <w:rsid w:val="0017581A"/>
    <w:rsid w:val="001762B8"/>
    <w:rsid w:val="00181B5B"/>
    <w:rsid w:val="00183786"/>
    <w:rsid w:val="00187BD5"/>
    <w:rsid w:val="00190F49"/>
    <w:rsid w:val="001919D1"/>
    <w:rsid w:val="001943A7"/>
    <w:rsid w:val="0019689E"/>
    <w:rsid w:val="00196AAF"/>
    <w:rsid w:val="00196DA3"/>
    <w:rsid w:val="001A002A"/>
    <w:rsid w:val="001A1732"/>
    <w:rsid w:val="001A5A63"/>
    <w:rsid w:val="001A6CCF"/>
    <w:rsid w:val="001C3AF6"/>
    <w:rsid w:val="001C54D3"/>
    <w:rsid w:val="001C72C5"/>
    <w:rsid w:val="001D1485"/>
    <w:rsid w:val="001D4A45"/>
    <w:rsid w:val="001D7FCE"/>
    <w:rsid w:val="001E174E"/>
    <w:rsid w:val="001F19A6"/>
    <w:rsid w:val="001F27A9"/>
    <w:rsid w:val="001F3307"/>
    <w:rsid w:val="001F3682"/>
    <w:rsid w:val="001F576C"/>
    <w:rsid w:val="001F6B75"/>
    <w:rsid w:val="002007DE"/>
    <w:rsid w:val="00202473"/>
    <w:rsid w:val="00203E67"/>
    <w:rsid w:val="00210401"/>
    <w:rsid w:val="00210D82"/>
    <w:rsid w:val="00211184"/>
    <w:rsid w:val="00212E40"/>
    <w:rsid w:val="0021364B"/>
    <w:rsid w:val="00213C57"/>
    <w:rsid w:val="002140D9"/>
    <w:rsid w:val="00220FB6"/>
    <w:rsid w:val="0022152E"/>
    <w:rsid w:val="00223286"/>
    <w:rsid w:val="00223D50"/>
    <w:rsid w:val="00224123"/>
    <w:rsid w:val="00241091"/>
    <w:rsid w:val="0025020C"/>
    <w:rsid w:val="00253158"/>
    <w:rsid w:val="002545E0"/>
    <w:rsid w:val="00256951"/>
    <w:rsid w:val="002604EB"/>
    <w:rsid w:val="002657D1"/>
    <w:rsid w:val="00271034"/>
    <w:rsid w:val="0027116D"/>
    <w:rsid w:val="0027382E"/>
    <w:rsid w:val="00274D3B"/>
    <w:rsid w:val="00276306"/>
    <w:rsid w:val="0028021C"/>
    <w:rsid w:val="00283B0F"/>
    <w:rsid w:val="002865F5"/>
    <w:rsid w:val="00292A36"/>
    <w:rsid w:val="002961EB"/>
    <w:rsid w:val="002B161B"/>
    <w:rsid w:val="002B26C1"/>
    <w:rsid w:val="002B4A29"/>
    <w:rsid w:val="002B52CC"/>
    <w:rsid w:val="002B67E0"/>
    <w:rsid w:val="002B79D3"/>
    <w:rsid w:val="002C1410"/>
    <w:rsid w:val="002C1801"/>
    <w:rsid w:val="002C3DC7"/>
    <w:rsid w:val="002C512A"/>
    <w:rsid w:val="002C5AC8"/>
    <w:rsid w:val="002C65F0"/>
    <w:rsid w:val="002C72BB"/>
    <w:rsid w:val="002C7B85"/>
    <w:rsid w:val="002C7D9A"/>
    <w:rsid w:val="002D22FA"/>
    <w:rsid w:val="002D49BD"/>
    <w:rsid w:val="002D5B4F"/>
    <w:rsid w:val="002D64A3"/>
    <w:rsid w:val="002D76D2"/>
    <w:rsid w:val="002E3194"/>
    <w:rsid w:val="002E38AD"/>
    <w:rsid w:val="002E3D8D"/>
    <w:rsid w:val="002E409C"/>
    <w:rsid w:val="002E722B"/>
    <w:rsid w:val="002F0418"/>
    <w:rsid w:val="002F4611"/>
    <w:rsid w:val="002F5E53"/>
    <w:rsid w:val="002F5FC2"/>
    <w:rsid w:val="002F680B"/>
    <w:rsid w:val="002F6D09"/>
    <w:rsid w:val="002F70B1"/>
    <w:rsid w:val="002F793B"/>
    <w:rsid w:val="00302505"/>
    <w:rsid w:val="003034FB"/>
    <w:rsid w:val="00303B1A"/>
    <w:rsid w:val="003073A6"/>
    <w:rsid w:val="00307D29"/>
    <w:rsid w:val="0031343D"/>
    <w:rsid w:val="003135AD"/>
    <w:rsid w:val="003173A3"/>
    <w:rsid w:val="00320A96"/>
    <w:rsid w:val="00324093"/>
    <w:rsid w:val="003258D0"/>
    <w:rsid w:val="00327226"/>
    <w:rsid w:val="00332264"/>
    <w:rsid w:val="003323DC"/>
    <w:rsid w:val="0033798F"/>
    <w:rsid w:val="003412E4"/>
    <w:rsid w:val="0034422C"/>
    <w:rsid w:val="0034427B"/>
    <w:rsid w:val="00344CE2"/>
    <w:rsid w:val="00352B29"/>
    <w:rsid w:val="00352D6E"/>
    <w:rsid w:val="00355A50"/>
    <w:rsid w:val="00360BBE"/>
    <w:rsid w:val="003652A7"/>
    <w:rsid w:val="00371BFD"/>
    <w:rsid w:val="00377F29"/>
    <w:rsid w:val="0038169D"/>
    <w:rsid w:val="00382C13"/>
    <w:rsid w:val="00382C58"/>
    <w:rsid w:val="00382EB9"/>
    <w:rsid w:val="0038474C"/>
    <w:rsid w:val="003925E1"/>
    <w:rsid w:val="00393F39"/>
    <w:rsid w:val="00397D9D"/>
    <w:rsid w:val="003A0002"/>
    <w:rsid w:val="003A11DB"/>
    <w:rsid w:val="003A4B04"/>
    <w:rsid w:val="003A66FD"/>
    <w:rsid w:val="003A77A6"/>
    <w:rsid w:val="003A7EFC"/>
    <w:rsid w:val="003B1E32"/>
    <w:rsid w:val="003C3F20"/>
    <w:rsid w:val="003D50C4"/>
    <w:rsid w:val="003D62FD"/>
    <w:rsid w:val="003D637D"/>
    <w:rsid w:val="003D730C"/>
    <w:rsid w:val="003E56D8"/>
    <w:rsid w:val="003E6A93"/>
    <w:rsid w:val="003F39AF"/>
    <w:rsid w:val="003F4644"/>
    <w:rsid w:val="003F4864"/>
    <w:rsid w:val="003F54EA"/>
    <w:rsid w:val="004003C7"/>
    <w:rsid w:val="0040366A"/>
    <w:rsid w:val="00410981"/>
    <w:rsid w:val="0042113F"/>
    <w:rsid w:val="004301AD"/>
    <w:rsid w:val="00432C21"/>
    <w:rsid w:val="00441CB3"/>
    <w:rsid w:val="004439DE"/>
    <w:rsid w:val="00446407"/>
    <w:rsid w:val="00447FF0"/>
    <w:rsid w:val="00452D7A"/>
    <w:rsid w:val="004609C6"/>
    <w:rsid w:val="004635F1"/>
    <w:rsid w:val="004637B0"/>
    <w:rsid w:val="00464590"/>
    <w:rsid w:val="00464987"/>
    <w:rsid w:val="004659B5"/>
    <w:rsid w:val="00470EF1"/>
    <w:rsid w:val="00472DCD"/>
    <w:rsid w:val="004732E6"/>
    <w:rsid w:val="00476139"/>
    <w:rsid w:val="00476553"/>
    <w:rsid w:val="00482B7B"/>
    <w:rsid w:val="00482FF2"/>
    <w:rsid w:val="00484552"/>
    <w:rsid w:val="00487DE8"/>
    <w:rsid w:val="00491B6B"/>
    <w:rsid w:val="00491DF8"/>
    <w:rsid w:val="00492AB5"/>
    <w:rsid w:val="0049307F"/>
    <w:rsid w:val="004932C9"/>
    <w:rsid w:val="00497DF2"/>
    <w:rsid w:val="004A144B"/>
    <w:rsid w:val="004A17E0"/>
    <w:rsid w:val="004A2761"/>
    <w:rsid w:val="004A33CD"/>
    <w:rsid w:val="004A3AC3"/>
    <w:rsid w:val="004A434B"/>
    <w:rsid w:val="004A6AE6"/>
    <w:rsid w:val="004A77A3"/>
    <w:rsid w:val="004B03BF"/>
    <w:rsid w:val="004B43AF"/>
    <w:rsid w:val="004B5944"/>
    <w:rsid w:val="004B5DC0"/>
    <w:rsid w:val="004C6A20"/>
    <w:rsid w:val="004C72AB"/>
    <w:rsid w:val="004D0649"/>
    <w:rsid w:val="004D4021"/>
    <w:rsid w:val="004D4038"/>
    <w:rsid w:val="004E00A8"/>
    <w:rsid w:val="004E0543"/>
    <w:rsid w:val="004E15CF"/>
    <w:rsid w:val="004E4A3C"/>
    <w:rsid w:val="004E7A4F"/>
    <w:rsid w:val="004E7D43"/>
    <w:rsid w:val="004F00CC"/>
    <w:rsid w:val="004F4B72"/>
    <w:rsid w:val="00500774"/>
    <w:rsid w:val="00501E2F"/>
    <w:rsid w:val="00503EF5"/>
    <w:rsid w:val="00503FB1"/>
    <w:rsid w:val="00504847"/>
    <w:rsid w:val="00506F23"/>
    <w:rsid w:val="005111C7"/>
    <w:rsid w:val="005119DE"/>
    <w:rsid w:val="0051306E"/>
    <w:rsid w:val="00515CEB"/>
    <w:rsid w:val="00515F68"/>
    <w:rsid w:val="005241C9"/>
    <w:rsid w:val="00524E4C"/>
    <w:rsid w:val="00527456"/>
    <w:rsid w:val="00527BBE"/>
    <w:rsid w:val="0053002C"/>
    <w:rsid w:val="00531030"/>
    <w:rsid w:val="00531AA2"/>
    <w:rsid w:val="00531E6F"/>
    <w:rsid w:val="00534B06"/>
    <w:rsid w:val="005361C7"/>
    <w:rsid w:val="00543A09"/>
    <w:rsid w:val="005446BF"/>
    <w:rsid w:val="005448AE"/>
    <w:rsid w:val="005463B8"/>
    <w:rsid w:val="0055147E"/>
    <w:rsid w:val="005554C3"/>
    <w:rsid w:val="00557BF8"/>
    <w:rsid w:val="0056571F"/>
    <w:rsid w:val="005659AB"/>
    <w:rsid w:val="005671EC"/>
    <w:rsid w:val="00567417"/>
    <w:rsid w:val="005702F5"/>
    <w:rsid w:val="00570351"/>
    <w:rsid w:val="00573CCD"/>
    <w:rsid w:val="00574525"/>
    <w:rsid w:val="00574934"/>
    <w:rsid w:val="00575977"/>
    <w:rsid w:val="00581DE6"/>
    <w:rsid w:val="00582509"/>
    <w:rsid w:val="00583FD7"/>
    <w:rsid w:val="00585347"/>
    <w:rsid w:val="00585A3F"/>
    <w:rsid w:val="00591F54"/>
    <w:rsid w:val="005924F9"/>
    <w:rsid w:val="00592C4B"/>
    <w:rsid w:val="00595312"/>
    <w:rsid w:val="005971EB"/>
    <w:rsid w:val="005A1930"/>
    <w:rsid w:val="005A4537"/>
    <w:rsid w:val="005A5F02"/>
    <w:rsid w:val="005B0067"/>
    <w:rsid w:val="005B2175"/>
    <w:rsid w:val="005B3EDE"/>
    <w:rsid w:val="005B4BA9"/>
    <w:rsid w:val="005B6E67"/>
    <w:rsid w:val="005C13DD"/>
    <w:rsid w:val="005C1780"/>
    <w:rsid w:val="005C5E80"/>
    <w:rsid w:val="005D0632"/>
    <w:rsid w:val="005D1A7B"/>
    <w:rsid w:val="005D4645"/>
    <w:rsid w:val="005D7A1E"/>
    <w:rsid w:val="005E1650"/>
    <w:rsid w:val="005E3BF7"/>
    <w:rsid w:val="005E618F"/>
    <w:rsid w:val="005E7B7B"/>
    <w:rsid w:val="005E7BE0"/>
    <w:rsid w:val="005E7C2A"/>
    <w:rsid w:val="005F27B6"/>
    <w:rsid w:val="005F6C4F"/>
    <w:rsid w:val="00600554"/>
    <w:rsid w:val="00602CC7"/>
    <w:rsid w:val="00602DB4"/>
    <w:rsid w:val="00604A87"/>
    <w:rsid w:val="0061287B"/>
    <w:rsid w:val="00614C3A"/>
    <w:rsid w:val="00621776"/>
    <w:rsid w:val="00621872"/>
    <w:rsid w:val="00624BF9"/>
    <w:rsid w:val="0063259B"/>
    <w:rsid w:val="00633562"/>
    <w:rsid w:val="00636D9A"/>
    <w:rsid w:val="00640DE2"/>
    <w:rsid w:val="00642465"/>
    <w:rsid w:val="006427B3"/>
    <w:rsid w:val="006427D3"/>
    <w:rsid w:val="006450A5"/>
    <w:rsid w:val="006476D7"/>
    <w:rsid w:val="00651D9E"/>
    <w:rsid w:val="00652890"/>
    <w:rsid w:val="006550E6"/>
    <w:rsid w:val="00655DEE"/>
    <w:rsid w:val="00661468"/>
    <w:rsid w:val="00662553"/>
    <w:rsid w:val="0066277D"/>
    <w:rsid w:val="00663075"/>
    <w:rsid w:val="00666B50"/>
    <w:rsid w:val="00667FC5"/>
    <w:rsid w:val="006722EB"/>
    <w:rsid w:val="00675906"/>
    <w:rsid w:val="0067769A"/>
    <w:rsid w:val="0068090B"/>
    <w:rsid w:val="00683654"/>
    <w:rsid w:val="006868C7"/>
    <w:rsid w:val="00686EEB"/>
    <w:rsid w:val="006902B5"/>
    <w:rsid w:val="00694B72"/>
    <w:rsid w:val="00695953"/>
    <w:rsid w:val="006A03B6"/>
    <w:rsid w:val="006A271E"/>
    <w:rsid w:val="006A3F0D"/>
    <w:rsid w:val="006A4515"/>
    <w:rsid w:val="006A6587"/>
    <w:rsid w:val="006A7EED"/>
    <w:rsid w:val="006B43FE"/>
    <w:rsid w:val="006B5B1E"/>
    <w:rsid w:val="006B65A7"/>
    <w:rsid w:val="006C2F3F"/>
    <w:rsid w:val="006C78AA"/>
    <w:rsid w:val="006D361C"/>
    <w:rsid w:val="006D61F9"/>
    <w:rsid w:val="006D628F"/>
    <w:rsid w:val="006E0928"/>
    <w:rsid w:val="006E47DB"/>
    <w:rsid w:val="006E581B"/>
    <w:rsid w:val="006E76BF"/>
    <w:rsid w:val="006F04D4"/>
    <w:rsid w:val="006F4AB2"/>
    <w:rsid w:val="006F5240"/>
    <w:rsid w:val="007019BE"/>
    <w:rsid w:val="007022EB"/>
    <w:rsid w:val="007063BA"/>
    <w:rsid w:val="0071108C"/>
    <w:rsid w:val="007110EE"/>
    <w:rsid w:val="00711908"/>
    <w:rsid w:val="00712CED"/>
    <w:rsid w:val="007140F9"/>
    <w:rsid w:val="007159A3"/>
    <w:rsid w:val="00716C0B"/>
    <w:rsid w:val="00720C57"/>
    <w:rsid w:val="00724FA3"/>
    <w:rsid w:val="00730251"/>
    <w:rsid w:val="00730C3C"/>
    <w:rsid w:val="0073280B"/>
    <w:rsid w:val="00740C5D"/>
    <w:rsid w:val="00740DDD"/>
    <w:rsid w:val="00744137"/>
    <w:rsid w:val="007472A7"/>
    <w:rsid w:val="00750B5B"/>
    <w:rsid w:val="007512BE"/>
    <w:rsid w:val="00751CE7"/>
    <w:rsid w:val="007537C4"/>
    <w:rsid w:val="007548C7"/>
    <w:rsid w:val="00754B5D"/>
    <w:rsid w:val="00756F01"/>
    <w:rsid w:val="0075733C"/>
    <w:rsid w:val="00762064"/>
    <w:rsid w:val="007666EF"/>
    <w:rsid w:val="0077163A"/>
    <w:rsid w:val="007726AB"/>
    <w:rsid w:val="00774B83"/>
    <w:rsid w:val="00777FFE"/>
    <w:rsid w:val="0078521E"/>
    <w:rsid w:val="00785752"/>
    <w:rsid w:val="00790C73"/>
    <w:rsid w:val="007A4C58"/>
    <w:rsid w:val="007A4C5E"/>
    <w:rsid w:val="007A59C8"/>
    <w:rsid w:val="007A712E"/>
    <w:rsid w:val="007A794B"/>
    <w:rsid w:val="007B2237"/>
    <w:rsid w:val="007B22A1"/>
    <w:rsid w:val="007C246B"/>
    <w:rsid w:val="007C5FD2"/>
    <w:rsid w:val="007C6639"/>
    <w:rsid w:val="007C685B"/>
    <w:rsid w:val="007D11B9"/>
    <w:rsid w:val="007D5F63"/>
    <w:rsid w:val="007E04A7"/>
    <w:rsid w:val="007E100E"/>
    <w:rsid w:val="007E40A6"/>
    <w:rsid w:val="007F7847"/>
    <w:rsid w:val="008004A0"/>
    <w:rsid w:val="0080139E"/>
    <w:rsid w:val="00803FD3"/>
    <w:rsid w:val="00804B94"/>
    <w:rsid w:val="00807B11"/>
    <w:rsid w:val="008105C5"/>
    <w:rsid w:val="008109F6"/>
    <w:rsid w:val="008137DB"/>
    <w:rsid w:val="00814921"/>
    <w:rsid w:val="00815474"/>
    <w:rsid w:val="0082046E"/>
    <w:rsid w:val="00826D47"/>
    <w:rsid w:val="00830D29"/>
    <w:rsid w:val="00832A99"/>
    <w:rsid w:val="00834CA5"/>
    <w:rsid w:val="00835F46"/>
    <w:rsid w:val="008368F1"/>
    <w:rsid w:val="0083771F"/>
    <w:rsid w:val="00837A0E"/>
    <w:rsid w:val="00837C11"/>
    <w:rsid w:val="008477BF"/>
    <w:rsid w:val="00847F08"/>
    <w:rsid w:val="00861248"/>
    <w:rsid w:val="00861E71"/>
    <w:rsid w:val="00867801"/>
    <w:rsid w:val="008755ED"/>
    <w:rsid w:val="00875B7F"/>
    <w:rsid w:val="008763BF"/>
    <w:rsid w:val="00880B2D"/>
    <w:rsid w:val="00883AB0"/>
    <w:rsid w:val="00885CBC"/>
    <w:rsid w:val="00890F30"/>
    <w:rsid w:val="00892F90"/>
    <w:rsid w:val="00894108"/>
    <w:rsid w:val="00894A05"/>
    <w:rsid w:val="008A4A7B"/>
    <w:rsid w:val="008A7783"/>
    <w:rsid w:val="008A7C7E"/>
    <w:rsid w:val="008B1DFA"/>
    <w:rsid w:val="008B3432"/>
    <w:rsid w:val="008C1DC0"/>
    <w:rsid w:val="008C2762"/>
    <w:rsid w:val="008C2B24"/>
    <w:rsid w:val="008C38C3"/>
    <w:rsid w:val="008C7112"/>
    <w:rsid w:val="008C79DF"/>
    <w:rsid w:val="008D065E"/>
    <w:rsid w:val="008D067A"/>
    <w:rsid w:val="008D07C1"/>
    <w:rsid w:val="008D11C1"/>
    <w:rsid w:val="008D1380"/>
    <w:rsid w:val="008D3AF1"/>
    <w:rsid w:val="008D6F0F"/>
    <w:rsid w:val="008E0AF1"/>
    <w:rsid w:val="008E3AEB"/>
    <w:rsid w:val="008E579E"/>
    <w:rsid w:val="008E7633"/>
    <w:rsid w:val="008E7B2E"/>
    <w:rsid w:val="008F23A4"/>
    <w:rsid w:val="008F2765"/>
    <w:rsid w:val="008F5C4E"/>
    <w:rsid w:val="008F6E35"/>
    <w:rsid w:val="008F7220"/>
    <w:rsid w:val="00901CB4"/>
    <w:rsid w:val="009044DC"/>
    <w:rsid w:val="0091415F"/>
    <w:rsid w:val="00916150"/>
    <w:rsid w:val="00916814"/>
    <w:rsid w:val="00921806"/>
    <w:rsid w:val="009238EE"/>
    <w:rsid w:val="00926159"/>
    <w:rsid w:val="009330C7"/>
    <w:rsid w:val="00937B59"/>
    <w:rsid w:val="009413A3"/>
    <w:rsid w:val="00941DD5"/>
    <w:rsid w:val="0094279E"/>
    <w:rsid w:val="00944E47"/>
    <w:rsid w:val="00956230"/>
    <w:rsid w:val="00956AAD"/>
    <w:rsid w:val="00962BF5"/>
    <w:rsid w:val="00963B60"/>
    <w:rsid w:val="0098397C"/>
    <w:rsid w:val="00987097"/>
    <w:rsid w:val="00987D47"/>
    <w:rsid w:val="00993255"/>
    <w:rsid w:val="00995444"/>
    <w:rsid w:val="00995836"/>
    <w:rsid w:val="00996D9C"/>
    <w:rsid w:val="00997767"/>
    <w:rsid w:val="009A2393"/>
    <w:rsid w:val="009A5891"/>
    <w:rsid w:val="009A6B32"/>
    <w:rsid w:val="009A6B5C"/>
    <w:rsid w:val="009A6CC6"/>
    <w:rsid w:val="009B1B31"/>
    <w:rsid w:val="009B6B4E"/>
    <w:rsid w:val="009C0573"/>
    <w:rsid w:val="009C2D49"/>
    <w:rsid w:val="009D06C5"/>
    <w:rsid w:val="009D0A57"/>
    <w:rsid w:val="009D51C8"/>
    <w:rsid w:val="009D534C"/>
    <w:rsid w:val="009D61CD"/>
    <w:rsid w:val="009D728C"/>
    <w:rsid w:val="009E05B0"/>
    <w:rsid w:val="009E0716"/>
    <w:rsid w:val="009E1A27"/>
    <w:rsid w:val="009E29D2"/>
    <w:rsid w:val="009E5B14"/>
    <w:rsid w:val="009E7C3E"/>
    <w:rsid w:val="009F20AC"/>
    <w:rsid w:val="009F313C"/>
    <w:rsid w:val="009F6397"/>
    <w:rsid w:val="00A01155"/>
    <w:rsid w:val="00A0495D"/>
    <w:rsid w:val="00A10E16"/>
    <w:rsid w:val="00A1750F"/>
    <w:rsid w:val="00A20576"/>
    <w:rsid w:val="00A2563A"/>
    <w:rsid w:val="00A261C2"/>
    <w:rsid w:val="00A262F0"/>
    <w:rsid w:val="00A26F39"/>
    <w:rsid w:val="00A33505"/>
    <w:rsid w:val="00A40857"/>
    <w:rsid w:val="00A424B1"/>
    <w:rsid w:val="00A52EF8"/>
    <w:rsid w:val="00A5566F"/>
    <w:rsid w:val="00A55D13"/>
    <w:rsid w:val="00A56780"/>
    <w:rsid w:val="00A571A9"/>
    <w:rsid w:val="00A57268"/>
    <w:rsid w:val="00A6557C"/>
    <w:rsid w:val="00A67039"/>
    <w:rsid w:val="00A73625"/>
    <w:rsid w:val="00A75AF8"/>
    <w:rsid w:val="00A77D32"/>
    <w:rsid w:val="00A86CD6"/>
    <w:rsid w:val="00A8717E"/>
    <w:rsid w:val="00A90A7A"/>
    <w:rsid w:val="00A95479"/>
    <w:rsid w:val="00AA437C"/>
    <w:rsid w:val="00AA63D0"/>
    <w:rsid w:val="00AA699E"/>
    <w:rsid w:val="00AB1C64"/>
    <w:rsid w:val="00AB549D"/>
    <w:rsid w:val="00AB78F0"/>
    <w:rsid w:val="00AC1C96"/>
    <w:rsid w:val="00AC70B3"/>
    <w:rsid w:val="00AD2BC0"/>
    <w:rsid w:val="00AD738D"/>
    <w:rsid w:val="00AE13A8"/>
    <w:rsid w:val="00AE2A76"/>
    <w:rsid w:val="00AE58C9"/>
    <w:rsid w:val="00AF495D"/>
    <w:rsid w:val="00B00D2F"/>
    <w:rsid w:val="00B01396"/>
    <w:rsid w:val="00B03C2E"/>
    <w:rsid w:val="00B04AE4"/>
    <w:rsid w:val="00B109D0"/>
    <w:rsid w:val="00B12BF9"/>
    <w:rsid w:val="00B20C0B"/>
    <w:rsid w:val="00B2132B"/>
    <w:rsid w:val="00B21C7C"/>
    <w:rsid w:val="00B226C8"/>
    <w:rsid w:val="00B2400D"/>
    <w:rsid w:val="00B254A8"/>
    <w:rsid w:val="00B2792C"/>
    <w:rsid w:val="00B279A7"/>
    <w:rsid w:val="00B30991"/>
    <w:rsid w:val="00B30D24"/>
    <w:rsid w:val="00B368CF"/>
    <w:rsid w:val="00B40DF9"/>
    <w:rsid w:val="00B451D1"/>
    <w:rsid w:val="00B4547A"/>
    <w:rsid w:val="00B50E11"/>
    <w:rsid w:val="00B511B0"/>
    <w:rsid w:val="00B575E2"/>
    <w:rsid w:val="00B57E90"/>
    <w:rsid w:val="00B606C2"/>
    <w:rsid w:val="00B60C80"/>
    <w:rsid w:val="00B640F2"/>
    <w:rsid w:val="00B64186"/>
    <w:rsid w:val="00B676D7"/>
    <w:rsid w:val="00B679E1"/>
    <w:rsid w:val="00B7073C"/>
    <w:rsid w:val="00B70FDA"/>
    <w:rsid w:val="00B80EF3"/>
    <w:rsid w:val="00B8126D"/>
    <w:rsid w:val="00B81E05"/>
    <w:rsid w:val="00B835BB"/>
    <w:rsid w:val="00B84573"/>
    <w:rsid w:val="00B858A1"/>
    <w:rsid w:val="00B92DC8"/>
    <w:rsid w:val="00B9335D"/>
    <w:rsid w:val="00B9486E"/>
    <w:rsid w:val="00B96BD4"/>
    <w:rsid w:val="00B9750D"/>
    <w:rsid w:val="00B976A9"/>
    <w:rsid w:val="00BA6055"/>
    <w:rsid w:val="00BA7673"/>
    <w:rsid w:val="00BA7CC6"/>
    <w:rsid w:val="00BA7E30"/>
    <w:rsid w:val="00BB0BF5"/>
    <w:rsid w:val="00BB2276"/>
    <w:rsid w:val="00BB4565"/>
    <w:rsid w:val="00BB65AC"/>
    <w:rsid w:val="00BC133A"/>
    <w:rsid w:val="00BC14B3"/>
    <w:rsid w:val="00BC156B"/>
    <w:rsid w:val="00BC434F"/>
    <w:rsid w:val="00BC4F99"/>
    <w:rsid w:val="00BD051A"/>
    <w:rsid w:val="00BD2909"/>
    <w:rsid w:val="00BD4967"/>
    <w:rsid w:val="00BD57B4"/>
    <w:rsid w:val="00BD6DF6"/>
    <w:rsid w:val="00BE1FC8"/>
    <w:rsid w:val="00BE2545"/>
    <w:rsid w:val="00BF0F2D"/>
    <w:rsid w:val="00BF2906"/>
    <w:rsid w:val="00BF2B88"/>
    <w:rsid w:val="00BF2C80"/>
    <w:rsid w:val="00BF66CE"/>
    <w:rsid w:val="00C02C39"/>
    <w:rsid w:val="00C03CAE"/>
    <w:rsid w:val="00C06ACE"/>
    <w:rsid w:val="00C10C69"/>
    <w:rsid w:val="00C1554D"/>
    <w:rsid w:val="00C1721E"/>
    <w:rsid w:val="00C17A49"/>
    <w:rsid w:val="00C17D6E"/>
    <w:rsid w:val="00C205B7"/>
    <w:rsid w:val="00C21553"/>
    <w:rsid w:val="00C219A7"/>
    <w:rsid w:val="00C32209"/>
    <w:rsid w:val="00C32FAA"/>
    <w:rsid w:val="00C35E19"/>
    <w:rsid w:val="00C378EF"/>
    <w:rsid w:val="00C37B29"/>
    <w:rsid w:val="00C4424E"/>
    <w:rsid w:val="00C457AB"/>
    <w:rsid w:val="00C45933"/>
    <w:rsid w:val="00C4609B"/>
    <w:rsid w:val="00C51442"/>
    <w:rsid w:val="00C55212"/>
    <w:rsid w:val="00C64144"/>
    <w:rsid w:val="00C6531A"/>
    <w:rsid w:val="00C678FD"/>
    <w:rsid w:val="00C7202A"/>
    <w:rsid w:val="00C75798"/>
    <w:rsid w:val="00C76785"/>
    <w:rsid w:val="00C837A1"/>
    <w:rsid w:val="00C900A9"/>
    <w:rsid w:val="00C90790"/>
    <w:rsid w:val="00C91479"/>
    <w:rsid w:val="00C96845"/>
    <w:rsid w:val="00C97D3F"/>
    <w:rsid w:val="00CA009F"/>
    <w:rsid w:val="00CA0B93"/>
    <w:rsid w:val="00CA2A1A"/>
    <w:rsid w:val="00CA322B"/>
    <w:rsid w:val="00CA4DB8"/>
    <w:rsid w:val="00CB2229"/>
    <w:rsid w:val="00CB27A6"/>
    <w:rsid w:val="00CB3AF6"/>
    <w:rsid w:val="00CB3C13"/>
    <w:rsid w:val="00CB5CF4"/>
    <w:rsid w:val="00CB6A13"/>
    <w:rsid w:val="00CC1FAE"/>
    <w:rsid w:val="00CC4078"/>
    <w:rsid w:val="00CC5461"/>
    <w:rsid w:val="00CC54E5"/>
    <w:rsid w:val="00CD15B3"/>
    <w:rsid w:val="00CE115F"/>
    <w:rsid w:val="00CE1304"/>
    <w:rsid w:val="00CE36B9"/>
    <w:rsid w:val="00CE3FD1"/>
    <w:rsid w:val="00CE620E"/>
    <w:rsid w:val="00CF1ED5"/>
    <w:rsid w:val="00CF3D95"/>
    <w:rsid w:val="00CF498D"/>
    <w:rsid w:val="00CF53A9"/>
    <w:rsid w:val="00D02A19"/>
    <w:rsid w:val="00D03AF9"/>
    <w:rsid w:val="00D063A0"/>
    <w:rsid w:val="00D07E32"/>
    <w:rsid w:val="00D12F50"/>
    <w:rsid w:val="00D13A82"/>
    <w:rsid w:val="00D13DB7"/>
    <w:rsid w:val="00D1542B"/>
    <w:rsid w:val="00D208B8"/>
    <w:rsid w:val="00D24AB3"/>
    <w:rsid w:val="00D30F79"/>
    <w:rsid w:val="00D317AE"/>
    <w:rsid w:val="00D32359"/>
    <w:rsid w:val="00D34F15"/>
    <w:rsid w:val="00D36D12"/>
    <w:rsid w:val="00D43857"/>
    <w:rsid w:val="00D44796"/>
    <w:rsid w:val="00D4667E"/>
    <w:rsid w:val="00D503C6"/>
    <w:rsid w:val="00D528FF"/>
    <w:rsid w:val="00D5655A"/>
    <w:rsid w:val="00D60F11"/>
    <w:rsid w:val="00D61BFC"/>
    <w:rsid w:val="00D61C45"/>
    <w:rsid w:val="00D66A18"/>
    <w:rsid w:val="00D70363"/>
    <w:rsid w:val="00D70511"/>
    <w:rsid w:val="00D70B92"/>
    <w:rsid w:val="00D70F61"/>
    <w:rsid w:val="00D72B22"/>
    <w:rsid w:val="00D73378"/>
    <w:rsid w:val="00D7365D"/>
    <w:rsid w:val="00D73AFC"/>
    <w:rsid w:val="00D8138B"/>
    <w:rsid w:val="00D82E3D"/>
    <w:rsid w:val="00D82F0B"/>
    <w:rsid w:val="00D871DB"/>
    <w:rsid w:val="00D91DF9"/>
    <w:rsid w:val="00D961C4"/>
    <w:rsid w:val="00D9755C"/>
    <w:rsid w:val="00D977FA"/>
    <w:rsid w:val="00DA0539"/>
    <w:rsid w:val="00DA267B"/>
    <w:rsid w:val="00DA555E"/>
    <w:rsid w:val="00DB286C"/>
    <w:rsid w:val="00DB477A"/>
    <w:rsid w:val="00DB71AC"/>
    <w:rsid w:val="00DC00D1"/>
    <w:rsid w:val="00DC0650"/>
    <w:rsid w:val="00DC19FE"/>
    <w:rsid w:val="00DC2E78"/>
    <w:rsid w:val="00DC4F7A"/>
    <w:rsid w:val="00DC69FF"/>
    <w:rsid w:val="00DC723F"/>
    <w:rsid w:val="00DD02A4"/>
    <w:rsid w:val="00DD46CF"/>
    <w:rsid w:val="00DD60E3"/>
    <w:rsid w:val="00DD6232"/>
    <w:rsid w:val="00DD6D9D"/>
    <w:rsid w:val="00DE1A02"/>
    <w:rsid w:val="00DE2E36"/>
    <w:rsid w:val="00DE45CF"/>
    <w:rsid w:val="00DE46A3"/>
    <w:rsid w:val="00DE5E21"/>
    <w:rsid w:val="00DF1973"/>
    <w:rsid w:val="00DF2D7E"/>
    <w:rsid w:val="00DF6E9E"/>
    <w:rsid w:val="00DF7375"/>
    <w:rsid w:val="00E00D41"/>
    <w:rsid w:val="00E037EA"/>
    <w:rsid w:val="00E04FBD"/>
    <w:rsid w:val="00E05C6C"/>
    <w:rsid w:val="00E078B3"/>
    <w:rsid w:val="00E10894"/>
    <w:rsid w:val="00E12C42"/>
    <w:rsid w:val="00E130D1"/>
    <w:rsid w:val="00E151CB"/>
    <w:rsid w:val="00E15388"/>
    <w:rsid w:val="00E157E1"/>
    <w:rsid w:val="00E2182C"/>
    <w:rsid w:val="00E21ED0"/>
    <w:rsid w:val="00E23562"/>
    <w:rsid w:val="00E25A32"/>
    <w:rsid w:val="00E25F9F"/>
    <w:rsid w:val="00E26110"/>
    <w:rsid w:val="00E300C8"/>
    <w:rsid w:val="00E325CF"/>
    <w:rsid w:val="00E32E44"/>
    <w:rsid w:val="00E335FA"/>
    <w:rsid w:val="00E3479A"/>
    <w:rsid w:val="00E34BA9"/>
    <w:rsid w:val="00E34C00"/>
    <w:rsid w:val="00E358D5"/>
    <w:rsid w:val="00E35D00"/>
    <w:rsid w:val="00E36FDD"/>
    <w:rsid w:val="00E403A0"/>
    <w:rsid w:val="00E40B0D"/>
    <w:rsid w:val="00E46C74"/>
    <w:rsid w:val="00E50AC9"/>
    <w:rsid w:val="00E50BF5"/>
    <w:rsid w:val="00E51C51"/>
    <w:rsid w:val="00E53FAA"/>
    <w:rsid w:val="00E548BD"/>
    <w:rsid w:val="00E55E62"/>
    <w:rsid w:val="00E60252"/>
    <w:rsid w:val="00E7085C"/>
    <w:rsid w:val="00E71420"/>
    <w:rsid w:val="00E71B6D"/>
    <w:rsid w:val="00E72693"/>
    <w:rsid w:val="00E72F5B"/>
    <w:rsid w:val="00E76D93"/>
    <w:rsid w:val="00E82B75"/>
    <w:rsid w:val="00E831D8"/>
    <w:rsid w:val="00E87CE7"/>
    <w:rsid w:val="00E94DA0"/>
    <w:rsid w:val="00E9560C"/>
    <w:rsid w:val="00E9697A"/>
    <w:rsid w:val="00E97343"/>
    <w:rsid w:val="00EA06D4"/>
    <w:rsid w:val="00EA472F"/>
    <w:rsid w:val="00EA5CC3"/>
    <w:rsid w:val="00EB0172"/>
    <w:rsid w:val="00EC27DE"/>
    <w:rsid w:val="00EC3473"/>
    <w:rsid w:val="00EC3E24"/>
    <w:rsid w:val="00EC4803"/>
    <w:rsid w:val="00ED169D"/>
    <w:rsid w:val="00ED4E8E"/>
    <w:rsid w:val="00ED7575"/>
    <w:rsid w:val="00ED7D71"/>
    <w:rsid w:val="00EE44C6"/>
    <w:rsid w:val="00EE7E8C"/>
    <w:rsid w:val="00EF0C0B"/>
    <w:rsid w:val="00EF11D4"/>
    <w:rsid w:val="00EF3608"/>
    <w:rsid w:val="00EF5751"/>
    <w:rsid w:val="00EF5CDB"/>
    <w:rsid w:val="00EF6341"/>
    <w:rsid w:val="00EF6A04"/>
    <w:rsid w:val="00EF6A76"/>
    <w:rsid w:val="00EF768B"/>
    <w:rsid w:val="00F02147"/>
    <w:rsid w:val="00F02727"/>
    <w:rsid w:val="00F0560A"/>
    <w:rsid w:val="00F15402"/>
    <w:rsid w:val="00F158D7"/>
    <w:rsid w:val="00F17C60"/>
    <w:rsid w:val="00F20EE5"/>
    <w:rsid w:val="00F24169"/>
    <w:rsid w:val="00F27725"/>
    <w:rsid w:val="00F307D2"/>
    <w:rsid w:val="00F31335"/>
    <w:rsid w:val="00F33517"/>
    <w:rsid w:val="00F3390B"/>
    <w:rsid w:val="00F36225"/>
    <w:rsid w:val="00F44833"/>
    <w:rsid w:val="00F45189"/>
    <w:rsid w:val="00F45CC2"/>
    <w:rsid w:val="00F46609"/>
    <w:rsid w:val="00F51F3C"/>
    <w:rsid w:val="00F544B0"/>
    <w:rsid w:val="00F54A15"/>
    <w:rsid w:val="00F5714C"/>
    <w:rsid w:val="00F64820"/>
    <w:rsid w:val="00F65DF7"/>
    <w:rsid w:val="00F66708"/>
    <w:rsid w:val="00F67C87"/>
    <w:rsid w:val="00F72F45"/>
    <w:rsid w:val="00F733CC"/>
    <w:rsid w:val="00F77449"/>
    <w:rsid w:val="00F80F76"/>
    <w:rsid w:val="00F82781"/>
    <w:rsid w:val="00F84C23"/>
    <w:rsid w:val="00F87900"/>
    <w:rsid w:val="00F918FF"/>
    <w:rsid w:val="00F9257E"/>
    <w:rsid w:val="00FA0C1C"/>
    <w:rsid w:val="00FA0DB9"/>
    <w:rsid w:val="00FA1A17"/>
    <w:rsid w:val="00FA1B84"/>
    <w:rsid w:val="00FA256F"/>
    <w:rsid w:val="00FA36E3"/>
    <w:rsid w:val="00FA4359"/>
    <w:rsid w:val="00FA4762"/>
    <w:rsid w:val="00FA4A9B"/>
    <w:rsid w:val="00FA7C50"/>
    <w:rsid w:val="00FB1F07"/>
    <w:rsid w:val="00FB2C56"/>
    <w:rsid w:val="00FB2DD0"/>
    <w:rsid w:val="00FB4712"/>
    <w:rsid w:val="00FC0816"/>
    <w:rsid w:val="00FC1DB4"/>
    <w:rsid w:val="00FC2573"/>
    <w:rsid w:val="00FC5C54"/>
    <w:rsid w:val="00FD3DE0"/>
    <w:rsid w:val="00FD7729"/>
    <w:rsid w:val="00FD7C22"/>
    <w:rsid w:val="00FE1A2E"/>
    <w:rsid w:val="00FE21B1"/>
    <w:rsid w:val="00FE53D6"/>
    <w:rsid w:val="00FE56A2"/>
    <w:rsid w:val="00FE6124"/>
    <w:rsid w:val="00FE71F3"/>
    <w:rsid w:val="00FE74C1"/>
    <w:rsid w:val="00FE7A3D"/>
    <w:rsid w:val="00FF1DE3"/>
    <w:rsid w:val="00FF3072"/>
    <w:rsid w:val="00FF32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4A434B"/>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4A434B"/>
    <w:pPr>
      <w:spacing w:after="100"/>
    </w:pPr>
  </w:style>
  <w:style w:type="paragraph" w:styleId="TOC2">
    <w:name w:val="toc 2"/>
    <w:basedOn w:val="Normal"/>
    <w:next w:val="Normal"/>
    <w:autoRedefine/>
    <w:uiPriority w:val="39"/>
    <w:unhideWhenUsed/>
    <w:rsid w:val="004A43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nada.ca/en/health-canada.html" TargetMode="External"/><Relationship Id="rId21" Type="http://schemas.openxmlformats.org/officeDocument/2006/relationships/hyperlink" Target="https://www.phc.ox.ac.uk/publications/2040493" TargetMode="External"/><Relationship Id="rId34" Type="http://schemas.openxmlformats.org/officeDocument/2006/relationships/hyperlink" Target="https://www.health.govt.nz/publications/whanau-ora-transforming-our-futures" TargetMode="External"/><Relationship Id="rId42" Type="http://schemas.openxmlformats.org/officeDocument/2006/relationships/hyperlink" Target="https://www.england.nhs.uk/about/equality/equality-hub/workforce-equality-data-standards/equality-standard/" TargetMode="External"/><Relationship Id="rId47" Type="http://schemas.openxmlformats.org/officeDocument/2006/relationships/hyperlink" Target="https://www.ons.gov.uk/peoplepopulationandcommunity/culturalidentity/language/articles/detailedanalysisenglishlanguageproficiencyinenglandandwales/2013-08-30" TargetMode="External"/><Relationship Id="rId50" Type="http://schemas.openxmlformats.org/officeDocument/2006/relationships/hyperlink" Target="https://www.palliativecare.org.au/wp-content/uploads/2019/12/PalliativeCare-Annual-Report-2018-19_FINAL.pdf" TargetMode="External"/><Relationship Id="rId55" Type="http://schemas.openxmlformats.org/officeDocument/2006/relationships/hyperlink" Target="https://www.gov.uk/government/publications/health-profile-for-england-2018" TargetMode="External"/><Relationship Id="rId63" Type="http://schemas.openxmlformats.org/officeDocument/2006/relationships/hyperlink" Target="https://www.cqc.org.uk/news/stories/different-ending-our-review-looking-end-life-care-published"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qc.org.uk/about-us/our-strategy-plans/equality-human-rights" TargetMode="External"/><Relationship Id="rId29" Type="http://schemas.openxmlformats.org/officeDocument/2006/relationships/hyperlink" Target="https://www.hospiceuk.org/publications-and-resources" TargetMode="External"/><Relationship Id="rId11" Type="http://schemas.openxmlformats.org/officeDocument/2006/relationships/hyperlink" Target="https://westminsterresearch.westminster.ac.uk/item/943y0/multilingual-capital-the-languages-of-london-s-schoolchildren-and-their-relevance-to-economic-socal-and-educational-policies" TargetMode="External"/><Relationship Id="rId24" Type="http://schemas.openxmlformats.org/officeDocument/2006/relationships/hyperlink" Target="https://www.gov.uk/guidance/equality-act-2010-guidance" TargetMode="External"/><Relationship Id="rId32" Type="http://schemas.openxmlformats.org/officeDocument/2006/relationships/hyperlink" Target="https://livingmyculture.ca/culture/" TargetMode="External"/><Relationship Id="rId37" Type="http://schemas.openxmlformats.org/officeDocument/2006/relationships/hyperlink" Target="https://www.england.nhs.uk/eolc/" TargetMode="External"/><Relationship Id="rId40" Type="http://schemas.openxmlformats.org/officeDocument/2006/relationships/hyperlink" Target="https://www.england.nhs.uk/publication/the-nhs-long-term-plan/" TargetMode="External"/><Relationship Id="rId45" Type="http://schemas.openxmlformats.org/officeDocument/2006/relationships/hyperlink" Target="https://www.nice.org.uk/guidance/QS13" TargetMode="External"/><Relationship Id="rId53" Type="http://schemas.openxmlformats.org/officeDocument/2006/relationships/hyperlink" Target="https://www.researchgate.net/publication/236880899_Papadopoulos_I_Ed_2006_Transcultural_Health_and_Social_Care_Develo" TargetMode="External"/><Relationship Id="rId58" Type="http://schemas.openxmlformats.org/officeDocument/2006/relationships/hyperlink" Target="https://www.skillsforcare.org.uk/Adult-Social-Care-Workforce-Data/workforceintelligence/Reports-and-visualisations/National-information/The-State-of-report.aspx" TargetMode="External"/><Relationship Id="rId66" Type="http://schemas.openxmlformats.org/officeDocument/2006/relationships/hyperlink" Target="https://www.ons.gov.uk/peoplepopulationandcommunity/healthandsocialcare/healthcaresystem/articles/2011censusanalysisunpaidcareinenglandandwales2011andcomparisonwith2001/2013-02-15" TargetMode="External"/><Relationship Id="rId5" Type="http://schemas.openxmlformats.org/officeDocument/2006/relationships/webSettings" Target="webSettings.xml"/><Relationship Id="rId61" Type="http://schemas.openxmlformats.org/officeDocument/2006/relationships/hyperlink" Target="https://www.legislation.gov.uk/ukpga/2012/7/contents" TargetMode="External"/><Relationship Id="rId19" Type="http://schemas.openxmlformats.org/officeDocument/2006/relationships/hyperlink" Target="https://www.gov.uk/government/publications/end-of-life-care-strategy-promoting-high-quality-care-for-adults-at-the-end-of-their-life" TargetMode="External"/><Relationship Id="rId14" Type="http://schemas.openxmlformats.org/officeDocument/2006/relationships/hyperlink" Target="https://pubmed.ncbi.nlm.nih.gov/12113146/" TargetMode="External"/><Relationship Id="rId22" Type="http://schemas.openxmlformats.org/officeDocument/2006/relationships/hyperlink" Target="https://gmintegratedcare.org.uk/greatermanchester-icp/" TargetMode="External"/><Relationship Id="rId27" Type="http://schemas.openxmlformats.org/officeDocument/2006/relationships/hyperlink" Target="https://hospiscare.co.uk/hospiscare-featured-in-national-report-for-equality-in-end-of-life-care/" TargetMode="External"/><Relationship Id="rId30" Type="http://schemas.openxmlformats.org/officeDocument/2006/relationships/hyperlink" Target="https://kclpure.kcl.ac.uk/portal/en/publications/which-ethnic-groups-have-the-poorest-health" TargetMode="External"/><Relationship Id="rId35" Type="http://schemas.openxmlformats.org/officeDocument/2006/relationships/hyperlink" Target="https://www.health.govt.nz/maori-health" TargetMode="External"/><Relationship Id="rId43" Type="http://schemas.openxmlformats.org/officeDocument/2006/relationships/hyperlink" Target="https://www.england.nhs.uk/accessible-information-standard/" TargetMode="External"/><Relationship Id="rId48" Type="http://schemas.openxmlformats.org/officeDocument/2006/relationships/hyperlink" Target="https://www.ons.gov.uk/peoplepopulationandcommunity/culturalidentity/ethnicity/bulletins/ethnicgroupenglandandwales/cens" TargetMode="External"/><Relationship Id="rId56" Type="http://schemas.openxmlformats.org/officeDocument/2006/relationships/hyperlink" Target="https://fingertips.phe.org.uk/profile/end-of-life" TargetMode="External"/><Relationship Id="rId64" Type="http://schemas.openxmlformats.org/officeDocument/2006/relationships/hyperlink" Target="https://www.england.nhs.uk/publication/workforce-race-equality-standard-2021/" TargetMode="External"/><Relationship Id="rId8" Type="http://schemas.openxmlformats.org/officeDocument/2006/relationships/image" Target="media/image1.png"/><Relationship Id="rId51" Type="http://schemas.openxmlformats.org/officeDocument/2006/relationships/hyperlink" Target="https://palliativecaresa.org.au/diverse-cultures/" TargetMode="External"/><Relationship Id="rId3" Type="http://schemas.openxmlformats.org/officeDocument/2006/relationships/styles" Target="styles.xml"/><Relationship Id="rId12" Type="http://schemas.openxmlformats.org/officeDocument/2006/relationships/hyperlink" Target="https://www.researchgate.net/publication/235930866_Systematic_Approaches_to_a_Successful_Literature_Review" TargetMode="External"/><Relationship Id="rId17" Type="http://schemas.openxmlformats.org/officeDocument/2006/relationships/hyperlink" Target="https://www.chpca.ca/wp-content/uploads/2024/03/2020-2021-Annual-Report.pdf" TargetMode="External"/><Relationship Id="rId25" Type="http://schemas.openxmlformats.org/officeDocument/2006/relationships/hyperlink" Target="https://www.gov.uk/government/publications/terminally-ill-adults-end-of-life-bill-equality-impact-assessment/terminally-ill-adults-end-of-life-bill-equality-impact-assessment-summary-as-introduced-to-the-lords" TargetMode="External"/><Relationship Id="rId33" Type="http://schemas.openxmlformats.org/officeDocument/2006/relationships/hyperlink" Target="https://www.mariecurie.org.uk/about-us/plans-reports-policies" TargetMode="External"/><Relationship Id="rId38" Type="http://schemas.openxmlformats.org/officeDocument/2006/relationships/hyperlink" Target="https://www.england.nhs.uk/2019/01/long-term-plan/" TargetMode="External"/><Relationship Id="rId46" Type="http://schemas.openxmlformats.org/officeDocument/2006/relationships/hyperlink" Target="https://www.researchgate.net/publication/320188032_Thematic_Analysis_Striving_to_Meet_the_Trustworthiness_Criteria" TargetMode="External"/><Relationship Id="rId59" Type="http://schemas.openxmlformats.org/officeDocument/2006/relationships/hyperlink" Target="https://www.selondonics.org/" TargetMode="External"/><Relationship Id="rId67" Type="http://schemas.openxmlformats.org/officeDocument/2006/relationships/fontTable" Target="fontTable.xml"/><Relationship Id="rId20" Type="http://schemas.openxmlformats.org/officeDocument/2006/relationships/hyperlink" Target="https://www.dignityindying.org.uk/assisted-dying/assisted-dying-around-the-world/canada/" TargetMode="External"/><Relationship Id="rId41" Type="http://schemas.openxmlformats.org/officeDocument/2006/relationships/hyperlink" Target="https://www.england.nhs.uk/about/equality/equality-hub/national-healthcare-inequalities-improvement-programme/core20plus5/" TargetMode="External"/><Relationship Id="rId54" Type="http://schemas.openxmlformats.org/officeDocument/2006/relationships/hyperlink" Target="https://www.researchgate.net/publication/325403420_Papadopoulos_I_2018_The_Papadopoulos_model_of_culturally_compete" TargetMode="External"/><Relationship Id="rId62" Type="http://schemas.openxmlformats.org/officeDocument/2006/relationships/hyperlink" Target="https://www.who.int/europe/news-room/fact-sheets/item/palliative-car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qc.org.uk/publication/state-care-202122" TargetMode="External"/><Relationship Id="rId23" Type="http://schemas.openxmlformats.org/officeDocument/2006/relationships/hyperlink" Target="https://www.ncbi.nlm.nih.gov/books/NBK259471/" TargetMode="External"/><Relationship Id="rId28" Type="http://schemas.openxmlformats.org/officeDocument/2006/relationships/hyperlink" Target="https://www.hospiceuk.org/publications-and-resources/equality-hospice-and-end-life-care-challenges-and-change" TargetMode="External"/><Relationship Id="rId36" Type="http://schemas.openxmlformats.org/officeDocument/2006/relationships/hyperlink" Target="https://www.england.nhs.uk/2016/08/accessible-information-standard/" TargetMode="External"/><Relationship Id="rId49" Type="http://schemas.openxmlformats.org/officeDocument/2006/relationships/hyperlink" Target="https://www.ons.gov.uk/peoplepopulationandcommunity/birthsdeathsandmarriages/deaths/bulletins/deathsregistrationsummar" TargetMode="External"/><Relationship Id="rId57" Type="http://schemas.openxmlformats.org/officeDocument/2006/relationships/hyperlink" Target="https://www.workingnurse.com/articles/cicely-saunders-founder-of-modern-hospice-care/" TargetMode="External"/><Relationship Id="rId10" Type="http://schemas.openxmlformats.org/officeDocument/2006/relationships/hyperlink" Target="https://books.google.co.uk/books/about/Doing_a_Literature_Review_in_Health_and.html?id=o8gvEAAAQBAJ&amp;redir_esc=y" TargetMode="External"/><Relationship Id="rId31" Type="http://schemas.openxmlformats.org/officeDocument/2006/relationships/hyperlink" Target="https://www.scirp.org/reference/referencespapers?referenceid=737360" TargetMode="External"/><Relationship Id="rId44" Type="http://schemas.openxmlformats.org/officeDocument/2006/relationships/hyperlink" Target="https://www.leadershipacademy.nhs.uk/programmes/mary-seacole-programme" TargetMode="External"/><Relationship Id="rId52" Type="http://schemas.openxmlformats.org/officeDocument/2006/relationships/hyperlink" Target="https://www.researchgate.net/publication/285849542_The_Papadopoulos_Tilki_and_Taylor_model_for_the_development_of_cult" TargetMode="External"/><Relationship Id="rId60" Type="http://schemas.openxmlformats.org/officeDocument/2006/relationships/hyperlink" Target="https://www.kingsfund.org.uk/insight-and-analysis/blogs/call-to-action-ethnic-health-inequalities" TargetMode="External"/><Relationship Id="rId65" Type="http://schemas.openxmlformats.org/officeDocument/2006/relationships/hyperlink" Target="https://www.ncpc.org.uk/ambitions-palliative-and-end-life-care%e2%80%99/"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researchgate.net/publication/267762679_Palliative_and_end_of_life_care_for_Black_Asian_and_Minority_Ethnic_" TargetMode="External"/><Relationship Id="rId18" Type="http://schemas.openxmlformats.org/officeDocument/2006/relationships/hyperlink" Target="https://documents.manchester.ac.uk/display.aspx?DocID=54691" TargetMode="External"/><Relationship Id="rId39" Type="http://schemas.openxmlformats.org/officeDocument/2006/relationships/hyperlink" Target="https://www.longtermplan.nhs.uk/publication/nhs-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57</Pages>
  <Words>15796</Words>
  <Characters>108681</Characters>
  <Application>Microsoft Office Word</Application>
  <DocSecurity>0</DocSecurity>
  <Lines>2527</Lines>
  <Paragraphs>745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Samrina Choudhry (2220771)</cp:lastModifiedBy>
  <cp:revision>741</cp:revision>
  <dcterms:created xsi:type="dcterms:W3CDTF">2025-05-21T09:27:00Z</dcterms:created>
  <dcterms:modified xsi:type="dcterms:W3CDTF">2025-11-26T10:51:00Z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bb91f58f-d524-4e46-aefe-22dd7bf2f99b</vt:lpwstr>
  </property>
</Properties>
</file>