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0522605" w14:textId="3E7DC1C3" w:rsidR="00A03DF8" w:rsidRDefault="00C94980" w:rsidP="00A03DF8">
      <w:r>
        <w:rPr>
          <w:noProof/>
        </w:rPr>
        <w:drawing>
          <wp:inline distT="0" distB="0" distL="0" distR="0" wp14:anchorId="61465BAD" wp14:editId="26ADB37F">
            <wp:extent cx="2133600" cy="1790700"/>
            <wp:effectExtent l="0" t="0" r="0" b="0"/>
            <wp:docPr id="115173371" name="Picture 3">
              <a:extLst xmlns:a="http://schemas.openxmlformats.org/drawingml/2006/main">
                <a:ext uri="{FF2B5EF4-FFF2-40B4-BE49-F238E27FC236}">
                  <a16:creationId xmlns:a16="http://schemas.microsoft.com/office/drawing/2014/main" id="{7277AA9A-5E4F-412F-8125-2300EE8706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33600" cy="1790700"/>
                    </a:xfrm>
                    <a:prstGeom prst="rect">
                      <a:avLst/>
                    </a:prstGeom>
                    <a:noFill/>
                    <a:ln>
                      <a:noFill/>
                    </a:ln>
                  </pic:spPr>
                </pic:pic>
              </a:graphicData>
            </a:graphic>
          </wp:inline>
        </w:drawing>
      </w:r>
    </w:p>
    <w:p w14:paraId="655721D7" w14:textId="77777777" w:rsidR="00A44E63" w:rsidRDefault="00A44E63" w:rsidP="00A03DF8"/>
    <w:p w14:paraId="3203E73F" w14:textId="77777777" w:rsidR="00A44E63" w:rsidRDefault="00A44E63" w:rsidP="00A03DF8"/>
    <w:p w14:paraId="3FB69F4E" w14:textId="77777777" w:rsidR="00A44E63" w:rsidRDefault="00A44E63" w:rsidP="00A03DF8"/>
    <w:p w14:paraId="1B24AEE1" w14:textId="00040728" w:rsidR="000B6041" w:rsidRPr="000B6041" w:rsidRDefault="000B6041" w:rsidP="000B6041">
      <w:pPr>
        <w:spacing w:line="360" w:lineRule="auto"/>
        <w:rPr>
          <w:rFonts w:ascii="Arial" w:eastAsia="Aptos" w:hAnsi="Arial" w:cs="Arial"/>
          <w:color w:val="1D2125"/>
          <w:sz w:val="32"/>
          <w:szCs w:val="32"/>
          <w:lang w:eastAsia="en-US"/>
          <w14:ligatures w14:val="none"/>
        </w:rPr>
      </w:pPr>
      <w:r w:rsidRPr="000B6041">
        <w:rPr>
          <w:rFonts w:ascii="Arial" w:eastAsia="Aptos" w:hAnsi="Arial" w:cs="Arial"/>
          <w:b/>
          <w:bCs/>
          <w:color w:val="000000"/>
          <w:sz w:val="32"/>
          <w:szCs w:val="32"/>
          <w:lang w:eastAsia="en-US"/>
          <w14:ligatures w14:val="none"/>
        </w:rPr>
        <w:t>Component 1</w:t>
      </w:r>
    </w:p>
    <w:p w14:paraId="6955BEA9" w14:textId="77777777" w:rsidR="000B6041" w:rsidRPr="000B6041" w:rsidRDefault="000B6041" w:rsidP="000B6041">
      <w:pPr>
        <w:spacing w:line="360" w:lineRule="auto"/>
        <w:rPr>
          <w:rFonts w:ascii="Arial" w:eastAsia="Aptos" w:hAnsi="Arial" w:cs="Arial"/>
          <w:b/>
          <w:bCs/>
          <w:color w:val="1D2125"/>
          <w:sz w:val="32"/>
          <w:szCs w:val="32"/>
          <w:lang w:eastAsia="en-US"/>
          <w14:ligatures w14:val="none"/>
        </w:rPr>
      </w:pPr>
    </w:p>
    <w:p w14:paraId="198039D4" w14:textId="52EF1B0D" w:rsidR="000B6041" w:rsidRPr="000B6041" w:rsidRDefault="000B6041" w:rsidP="000B6041">
      <w:pPr>
        <w:spacing w:line="360" w:lineRule="auto"/>
        <w:rPr>
          <w:rFonts w:ascii="Arial" w:eastAsia="Aptos" w:hAnsi="Arial" w:cs="Arial"/>
          <w:b/>
          <w:bCs/>
          <w:color w:val="1D2125"/>
          <w:sz w:val="32"/>
          <w:szCs w:val="32"/>
          <w:lang w:eastAsia="en-US"/>
          <w14:ligatures w14:val="none"/>
        </w:rPr>
      </w:pPr>
      <w:r w:rsidRPr="000B6041">
        <w:rPr>
          <w:rFonts w:ascii="Arial" w:eastAsia="Aptos" w:hAnsi="Arial" w:cs="Arial"/>
          <w:b/>
          <w:bCs/>
          <w:color w:val="1D2125"/>
          <w:sz w:val="32"/>
          <w:szCs w:val="32"/>
          <w:lang w:eastAsia="en-US"/>
          <w14:ligatures w14:val="none"/>
        </w:rPr>
        <w:t>Student name:</w:t>
      </w:r>
      <w:r w:rsidR="00E22DDD">
        <w:rPr>
          <w:rFonts w:ascii="Arial" w:eastAsia="Aptos" w:hAnsi="Arial" w:cs="Arial"/>
          <w:b/>
          <w:bCs/>
          <w:color w:val="1D2125"/>
          <w:sz w:val="32"/>
          <w:szCs w:val="32"/>
          <w:lang w:eastAsia="en-US"/>
          <w14:ligatures w14:val="none"/>
        </w:rPr>
        <w:t xml:space="preserve"> T</w:t>
      </w:r>
      <w:r w:rsidR="005E1FCE">
        <w:rPr>
          <w:rFonts w:ascii="Arial" w:eastAsia="Aptos" w:hAnsi="Arial" w:cs="Arial"/>
          <w:b/>
          <w:bCs/>
          <w:color w:val="1D2125"/>
          <w:sz w:val="32"/>
          <w:szCs w:val="32"/>
          <w:lang w:eastAsia="en-US"/>
          <w14:ligatures w14:val="none"/>
        </w:rPr>
        <w:t>eresa Sansone</w:t>
      </w:r>
    </w:p>
    <w:p w14:paraId="67374B16" w14:textId="4FA3A023" w:rsidR="000B6041" w:rsidRPr="000B6041" w:rsidRDefault="000B6041" w:rsidP="000B6041">
      <w:pPr>
        <w:spacing w:line="360" w:lineRule="auto"/>
        <w:rPr>
          <w:rFonts w:ascii="Arial" w:eastAsia="Aptos" w:hAnsi="Arial" w:cs="Arial"/>
          <w:b/>
          <w:bCs/>
          <w:color w:val="1D2125"/>
          <w:sz w:val="32"/>
          <w:szCs w:val="32"/>
          <w:lang w:eastAsia="en-US"/>
          <w14:ligatures w14:val="none"/>
        </w:rPr>
      </w:pPr>
      <w:r w:rsidRPr="000B6041">
        <w:rPr>
          <w:rFonts w:ascii="Arial" w:eastAsia="Aptos" w:hAnsi="Arial" w:cs="Arial"/>
          <w:b/>
          <w:bCs/>
          <w:color w:val="1D2125"/>
          <w:sz w:val="32"/>
          <w:szCs w:val="32"/>
          <w:lang w:eastAsia="en-US"/>
          <w14:ligatures w14:val="none"/>
        </w:rPr>
        <w:t>Student number:</w:t>
      </w:r>
      <w:r w:rsidR="005E1FCE">
        <w:rPr>
          <w:rFonts w:ascii="Arial" w:eastAsia="Aptos" w:hAnsi="Arial" w:cs="Arial"/>
          <w:b/>
          <w:bCs/>
          <w:color w:val="1D2125"/>
          <w:sz w:val="32"/>
          <w:szCs w:val="32"/>
          <w:lang w:eastAsia="en-US"/>
          <w14:ligatures w14:val="none"/>
        </w:rPr>
        <w:t xml:space="preserve"> </w:t>
      </w:r>
      <w:r w:rsidR="00D75D3C">
        <w:rPr>
          <w:rFonts w:ascii="Arial" w:eastAsia="Aptos" w:hAnsi="Arial" w:cs="Arial"/>
          <w:b/>
          <w:bCs/>
          <w:color w:val="1D2125"/>
          <w:sz w:val="32"/>
          <w:szCs w:val="32"/>
          <w:lang w:eastAsia="en-US"/>
          <w14:ligatures w14:val="none"/>
        </w:rPr>
        <w:t>2422964</w:t>
      </w:r>
    </w:p>
    <w:p w14:paraId="4F48795C" w14:textId="174B7C12" w:rsidR="000B6041" w:rsidRDefault="000B6041" w:rsidP="000B6041">
      <w:pPr>
        <w:spacing w:line="360" w:lineRule="auto"/>
        <w:rPr>
          <w:rFonts w:ascii="Arial" w:eastAsia="Aptos" w:hAnsi="Arial" w:cs="Arial"/>
          <w:b/>
          <w:bCs/>
          <w:color w:val="1D2125"/>
          <w:sz w:val="32"/>
          <w:szCs w:val="32"/>
          <w:lang w:eastAsia="en-US"/>
          <w14:ligatures w14:val="none"/>
        </w:rPr>
      </w:pPr>
      <w:r w:rsidRPr="000B6041">
        <w:rPr>
          <w:rFonts w:ascii="Arial" w:eastAsia="Aptos" w:hAnsi="Arial" w:cs="Arial"/>
          <w:b/>
          <w:bCs/>
          <w:color w:val="1D2125"/>
          <w:sz w:val="32"/>
          <w:szCs w:val="32"/>
          <w:lang w:eastAsia="en-US"/>
          <w14:ligatures w14:val="none"/>
        </w:rPr>
        <w:t>Lecturer’s name:</w:t>
      </w:r>
      <w:r w:rsidR="00D75D3C">
        <w:rPr>
          <w:rFonts w:ascii="Arial" w:eastAsia="Aptos" w:hAnsi="Arial" w:cs="Arial"/>
          <w:b/>
          <w:bCs/>
          <w:color w:val="1D2125"/>
          <w:sz w:val="32"/>
          <w:szCs w:val="32"/>
          <w:lang w:eastAsia="en-US"/>
          <w14:ligatures w14:val="none"/>
        </w:rPr>
        <w:t xml:space="preserve"> Laila </w:t>
      </w:r>
      <w:proofErr w:type="spellStart"/>
      <w:r w:rsidR="00D75D3C">
        <w:rPr>
          <w:rFonts w:ascii="Arial" w:eastAsia="Aptos" w:hAnsi="Arial" w:cs="Arial"/>
          <w:b/>
          <w:bCs/>
          <w:color w:val="1D2125"/>
          <w:sz w:val="32"/>
          <w:szCs w:val="32"/>
          <w:lang w:eastAsia="en-US"/>
          <w14:ligatures w14:val="none"/>
        </w:rPr>
        <w:t>Surani</w:t>
      </w:r>
      <w:proofErr w:type="spellEnd"/>
    </w:p>
    <w:p w14:paraId="4A3C973A" w14:textId="61AEA328" w:rsidR="00405FDB" w:rsidRPr="000B6041" w:rsidRDefault="00405FDB" w:rsidP="000B6041">
      <w:pPr>
        <w:spacing w:line="360" w:lineRule="auto"/>
        <w:rPr>
          <w:rFonts w:ascii="Arial" w:eastAsia="Aptos" w:hAnsi="Arial" w:cs="Arial"/>
          <w:b/>
          <w:bCs/>
          <w:color w:val="1D2125"/>
          <w:sz w:val="32"/>
          <w:szCs w:val="32"/>
          <w:lang w:eastAsia="en-US"/>
          <w14:ligatures w14:val="none"/>
        </w:rPr>
      </w:pPr>
      <w:r>
        <w:rPr>
          <w:rFonts w:ascii="Arial" w:eastAsia="Aptos" w:hAnsi="Arial" w:cs="Arial"/>
          <w:b/>
          <w:bCs/>
          <w:color w:val="1D2125"/>
          <w:sz w:val="32"/>
          <w:szCs w:val="32"/>
          <w:lang w:eastAsia="en-US"/>
          <w14:ligatures w14:val="none"/>
        </w:rPr>
        <w:t>Mo</w:t>
      </w:r>
      <w:r w:rsidR="00124A11">
        <w:rPr>
          <w:rFonts w:ascii="Arial" w:eastAsia="Aptos" w:hAnsi="Arial" w:cs="Arial"/>
          <w:b/>
          <w:bCs/>
          <w:color w:val="1D2125"/>
          <w:sz w:val="32"/>
          <w:szCs w:val="32"/>
          <w:lang w:eastAsia="en-US"/>
          <w14:ligatures w14:val="none"/>
        </w:rPr>
        <w:t xml:space="preserve">dule number: </w:t>
      </w:r>
      <w:r w:rsidR="00F41279">
        <w:rPr>
          <w:rFonts w:ascii="Arial" w:eastAsia="Aptos" w:hAnsi="Arial" w:cs="Arial"/>
          <w:b/>
          <w:bCs/>
          <w:color w:val="1D2125"/>
          <w:sz w:val="32"/>
          <w:szCs w:val="32"/>
          <w:lang w:eastAsia="en-US"/>
          <w14:ligatures w14:val="none"/>
        </w:rPr>
        <w:t>BMHP5014</w:t>
      </w:r>
    </w:p>
    <w:p w14:paraId="2A64AD9E" w14:textId="77777777" w:rsidR="000B6041" w:rsidRPr="000B6041" w:rsidRDefault="000B6041" w:rsidP="000B6041">
      <w:pPr>
        <w:spacing w:line="360" w:lineRule="auto"/>
        <w:rPr>
          <w:rFonts w:ascii="Aptos" w:eastAsia="Aptos" w:hAnsi="Aptos" w:cs="Times New Roman"/>
          <w:sz w:val="36"/>
          <w:szCs w:val="36"/>
          <w:lang w:eastAsia="en-US"/>
          <w14:ligatures w14:val="none"/>
        </w:rPr>
      </w:pPr>
    </w:p>
    <w:p w14:paraId="73654F27" w14:textId="77777777" w:rsidR="000B6041" w:rsidRPr="000B6041" w:rsidRDefault="000B6041" w:rsidP="000B6041">
      <w:pPr>
        <w:spacing w:line="360" w:lineRule="auto"/>
        <w:rPr>
          <w:rFonts w:ascii="Arial" w:eastAsia="Aptos" w:hAnsi="Arial" w:cs="Arial"/>
          <w:sz w:val="36"/>
          <w:szCs w:val="36"/>
          <w:lang w:eastAsia="en-US"/>
          <w14:ligatures w14:val="none"/>
        </w:rPr>
      </w:pPr>
    </w:p>
    <w:p w14:paraId="1696A402" w14:textId="77777777" w:rsidR="00750ABE" w:rsidRDefault="00750ABE" w:rsidP="000B6041">
      <w:pPr>
        <w:spacing w:line="360" w:lineRule="auto"/>
        <w:rPr>
          <w:rFonts w:ascii="Arial" w:eastAsia="Aptos" w:hAnsi="Arial" w:cs="Arial"/>
          <w:sz w:val="36"/>
          <w:szCs w:val="36"/>
          <w:lang w:eastAsia="en-US"/>
          <w14:ligatures w14:val="none"/>
        </w:rPr>
      </w:pPr>
    </w:p>
    <w:p w14:paraId="2C4DBEE2" w14:textId="77777777" w:rsidR="00750ABE" w:rsidRDefault="00750ABE" w:rsidP="000B6041">
      <w:pPr>
        <w:spacing w:line="360" w:lineRule="auto"/>
        <w:rPr>
          <w:rFonts w:ascii="Arial" w:eastAsia="Aptos" w:hAnsi="Arial" w:cs="Arial"/>
          <w:sz w:val="36"/>
          <w:szCs w:val="36"/>
          <w:lang w:eastAsia="en-US"/>
          <w14:ligatures w14:val="none"/>
        </w:rPr>
      </w:pPr>
    </w:p>
    <w:p w14:paraId="584AD340" w14:textId="77777777" w:rsidR="00750ABE" w:rsidRPr="000B6041" w:rsidRDefault="00750ABE" w:rsidP="000B6041">
      <w:pPr>
        <w:spacing w:line="360" w:lineRule="auto"/>
        <w:rPr>
          <w:rFonts w:ascii="Arial" w:eastAsia="Aptos" w:hAnsi="Arial" w:cs="Arial"/>
          <w:sz w:val="36"/>
          <w:szCs w:val="36"/>
          <w:lang w:eastAsia="en-US"/>
          <w14:ligatures w14:val="none"/>
        </w:rPr>
      </w:pPr>
    </w:p>
    <w:p w14:paraId="109A7352" w14:textId="77777777" w:rsidR="000B6041" w:rsidRPr="000B6041" w:rsidRDefault="000B6041" w:rsidP="000B6041">
      <w:pPr>
        <w:spacing w:line="360" w:lineRule="auto"/>
        <w:rPr>
          <w:rFonts w:ascii="Arial" w:eastAsia="Aptos" w:hAnsi="Arial" w:cs="Arial"/>
          <w:sz w:val="36"/>
          <w:szCs w:val="36"/>
          <w:lang w:eastAsia="en-US"/>
          <w14:ligatures w14:val="none"/>
        </w:rPr>
      </w:pPr>
    </w:p>
    <w:p w14:paraId="1046D6B3" w14:textId="77777777" w:rsidR="000B6041" w:rsidRPr="000B6041" w:rsidRDefault="000B6041" w:rsidP="000B6041">
      <w:pPr>
        <w:spacing w:line="360" w:lineRule="auto"/>
        <w:rPr>
          <w:rFonts w:ascii="Arial" w:eastAsia="Aptos" w:hAnsi="Arial" w:cs="Arial"/>
          <w:sz w:val="36"/>
          <w:szCs w:val="36"/>
          <w:lang w:eastAsia="en-US"/>
          <w14:ligatures w14:val="none"/>
        </w:rPr>
      </w:pPr>
    </w:p>
    <w:p w14:paraId="08A75691" w14:textId="77777777" w:rsidR="000B6041" w:rsidRPr="00E54A49" w:rsidRDefault="000B6041" w:rsidP="00E54A49">
      <w:pPr>
        <w:spacing w:before="100" w:beforeAutospacing="1" w:after="100" w:afterAutospacing="1" w:line="360" w:lineRule="auto"/>
        <w:rPr>
          <w:rFonts w:ascii="Arial" w:eastAsia="Times New Roman" w:hAnsi="Arial" w:cs="Arial"/>
          <w:b/>
          <w:bCs/>
          <w:color w:val="000000"/>
          <w:kern w:val="0"/>
          <w:sz w:val="22"/>
          <w:szCs w:val="22"/>
          <w14:ligatures w14:val="none"/>
        </w:rPr>
      </w:pPr>
      <w:r w:rsidRPr="00E54A49">
        <w:rPr>
          <w:rFonts w:ascii="Arial" w:eastAsia="Times New Roman" w:hAnsi="Arial" w:cs="Arial"/>
          <w:b/>
          <w:bCs/>
          <w:color w:val="000000"/>
          <w:kern w:val="0"/>
          <w:sz w:val="22"/>
          <w:szCs w:val="22"/>
          <w14:ligatures w14:val="none"/>
        </w:rPr>
        <w:lastRenderedPageBreak/>
        <w:t>Table of contents</w:t>
      </w:r>
    </w:p>
    <w:p w14:paraId="16B09B5F" w14:textId="77777777" w:rsidR="000B6041" w:rsidRPr="00E54A49" w:rsidRDefault="000B6041" w:rsidP="00E54A49">
      <w:pPr>
        <w:spacing w:before="100" w:beforeAutospacing="1" w:after="100" w:afterAutospacing="1" w:line="360" w:lineRule="auto"/>
        <w:rPr>
          <w:rFonts w:ascii="Arial" w:eastAsia="Times New Roman" w:hAnsi="Arial" w:cs="Arial"/>
          <w:b/>
          <w:bCs/>
          <w:color w:val="000000"/>
          <w:kern w:val="0"/>
          <w:sz w:val="22"/>
          <w:szCs w:val="22"/>
          <w14:ligatures w14:val="none"/>
        </w:rPr>
      </w:pPr>
    </w:p>
    <w:p w14:paraId="1F5AE289" w14:textId="77777777" w:rsidR="00B17863" w:rsidRPr="00E54A49" w:rsidRDefault="00B17863" w:rsidP="00E54A49">
      <w:pPr>
        <w:spacing w:line="360" w:lineRule="auto"/>
        <w:rPr>
          <w:rFonts w:ascii="Arial" w:eastAsia="Aptos" w:hAnsi="Arial" w:cs="Arial"/>
          <w:b/>
          <w:bCs/>
          <w:sz w:val="22"/>
          <w:szCs w:val="22"/>
          <w:lang w:eastAsia="en-US"/>
          <w14:ligatures w14:val="none"/>
        </w:rPr>
      </w:pPr>
      <w:r w:rsidRPr="00E54A49">
        <w:rPr>
          <w:rFonts w:ascii="Arial" w:eastAsia="Aptos" w:hAnsi="Arial" w:cs="Arial"/>
          <w:b/>
          <w:bCs/>
          <w:sz w:val="22"/>
          <w:szCs w:val="22"/>
          <w:lang w:eastAsia="en-US"/>
          <w14:ligatures w14:val="none"/>
        </w:rPr>
        <w:t>CONTENTS</w:t>
      </w:r>
    </w:p>
    <w:p w14:paraId="7CB16893" w14:textId="77777777" w:rsidR="00B17863" w:rsidRPr="00E54A49" w:rsidRDefault="00B17863" w:rsidP="00E54A49">
      <w:pPr>
        <w:spacing w:line="360" w:lineRule="auto"/>
        <w:rPr>
          <w:rFonts w:ascii="Arial" w:eastAsia="Aptos" w:hAnsi="Arial" w:cs="Arial"/>
          <w:b/>
          <w:bCs/>
          <w:sz w:val="22"/>
          <w:szCs w:val="22"/>
          <w:lang w:eastAsia="en-US"/>
          <w14:ligatures w14:val="none"/>
        </w:rPr>
      </w:pPr>
    </w:p>
    <w:p w14:paraId="3D05C231" w14:textId="77777777" w:rsidR="00B17863" w:rsidRPr="00E54A49" w:rsidRDefault="00B17863" w:rsidP="00E54A49">
      <w:pPr>
        <w:spacing w:line="360" w:lineRule="auto"/>
        <w:rPr>
          <w:rFonts w:ascii="Arial" w:eastAsia="Aptos" w:hAnsi="Arial" w:cs="Arial"/>
          <w:b/>
          <w:bCs/>
          <w:sz w:val="22"/>
          <w:szCs w:val="22"/>
          <w:lang w:eastAsia="en-US"/>
          <w14:ligatures w14:val="none"/>
        </w:rPr>
      </w:pPr>
      <w:r w:rsidRPr="00E54A49">
        <w:rPr>
          <w:rFonts w:ascii="Arial" w:eastAsia="Aptos" w:hAnsi="Arial" w:cs="Arial"/>
          <w:b/>
          <w:bCs/>
          <w:sz w:val="22"/>
          <w:szCs w:val="22"/>
          <w:lang w:eastAsia="en-US"/>
          <w14:ligatures w14:val="none"/>
        </w:rPr>
        <w:t>Introduction .......................................................... 1</w:t>
      </w:r>
    </w:p>
    <w:p w14:paraId="20F7B622" w14:textId="77777777" w:rsidR="00B17863" w:rsidRPr="00E54A49" w:rsidRDefault="00B17863" w:rsidP="00E54A49">
      <w:pPr>
        <w:spacing w:line="360" w:lineRule="auto"/>
        <w:rPr>
          <w:rFonts w:ascii="Arial" w:eastAsia="Aptos" w:hAnsi="Arial" w:cs="Arial"/>
          <w:b/>
          <w:bCs/>
          <w:sz w:val="22"/>
          <w:szCs w:val="22"/>
          <w:lang w:eastAsia="en-US"/>
          <w14:ligatures w14:val="none"/>
        </w:rPr>
      </w:pPr>
    </w:p>
    <w:p w14:paraId="5A12F225" w14:textId="77777777" w:rsidR="00B17863" w:rsidRPr="00E54A49" w:rsidRDefault="00B17863" w:rsidP="00E54A49">
      <w:pPr>
        <w:spacing w:line="360" w:lineRule="auto"/>
        <w:rPr>
          <w:rFonts w:ascii="Arial" w:eastAsia="Aptos" w:hAnsi="Arial" w:cs="Arial"/>
          <w:b/>
          <w:bCs/>
          <w:sz w:val="22"/>
          <w:szCs w:val="22"/>
          <w:lang w:eastAsia="en-US"/>
          <w14:ligatures w14:val="none"/>
        </w:rPr>
      </w:pPr>
      <w:r w:rsidRPr="00E54A49">
        <w:rPr>
          <w:rFonts w:ascii="Arial" w:eastAsia="Aptos" w:hAnsi="Arial" w:cs="Arial"/>
          <w:b/>
          <w:bCs/>
          <w:sz w:val="22"/>
          <w:szCs w:val="22"/>
          <w:lang w:eastAsia="en-US"/>
          <w14:ligatures w14:val="none"/>
        </w:rPr>
        <w:t>Task 1 – Defining Key Concepts in Practice ............... 2</w:t>
      </w:r>
    </w:p>
    <w:p w14:paraId="2A16E2D0" w14:textId="77777777" w:rsidR="00B17863" w:rsidRPr="00E54A49" w:rsidRDefault="00B17863" w:rsidP="00E54A49">
      <w:pPr>
        <w:spacing w:line="360" w:lineRule="auto"/>
        <w:rPr>
          <w:rFonts w:ascii="Arial" w:eastAsia="Aptos" w:hAnsi="Arial" w:cs="Arial"/>
          <w:b/>
          <w:bCs/>
          <w:sz w:val="22"/>
          <w:szCs w:val="22"/>
          <w:lang w:eastAsia="en-US"/>
          <w14:ligatures w14:val="none"/>
        </w:rPr>
      </w:pPr>
    </w:p>
    <w:p w14:paraId="4B0800D5" w14:textId="77777777" w:rsidR="00B17863" w:rsidRPr="00E54A49" w:rsidRDefault="00B17863" w:rsidP="00E54A49">
      <w:pPr>
        <w:spacing w:line="360" w:lineRule="auto"/>
        <w:rPr>
          <w:rFonts w:ascii="Arial" w:eastAsia="Aptos" w:hAnsi="Arial" w:cs="Arial"/>
          <w:b/>
          <w:bCs/>
          <w:sz w:val="22"/>
          <w:szCs w:val="22"/>
          <w:lang w:eastAsia="en-US"/>
          <w14:ligatures w14:val="none"/>
        </w:rPr>
      </w:pPr>
      <w:r w:rsidRPr="00E54A49">
        <w:rPr>
          <w:rFonts w:ascii="Arial" w:eastAsia="Aptos" w:hAnsi="Arial" w:cs="Arial"/>
          <w:b/>
          <w:bCs/>
          <w:sz w:val="22"/>
          <w:szCs w:val="22"/>
          <w:lang w:eastAsia="en-US"/>
          <w14:ligatures w14:val="none"/>
        </w:rPr>
        <w:t>Task 2 – Staff Burnout ............................................. 5</w:t>
      </w:r>
    </w:p>
    <w:p w14:paraId="0D14B8DC" w14:textId="77777777" w:rsidR="00B17863" w:rsidRPr="00E54A49" w:rsidRDefault="00B17863" w:rsidP="00E54A49">
      <w:pPr>
        <w:spacing w:line="360" w:lineRule="auto"/>
        <w:rPr>
          <w:rFonts w:ascii="Arial" w:eastAsia="Aptos" w:hAnsi="Arial" w:cs="Arial"/>
          <w:b/>
          <w:bCs/>
          <w:sz w:val="22"/>
          <w:szCs w:val="22"/>
          <w:lang w:eastAsia="en-US"/>
          <w14:ligatures w14:val="none"/>
        </w:rPr>
      </w:pPr>
    </w:p>
    <w:p w14:paraId="6F047C5A" w14:textId="77777777" w:rsidR="00B17863" w:rsidRPr="00E54A49" w:rsidRDefault="00B17863" w:rsidP="00E54A49">
      <w:pPr>
        <w:spacing w:line="360" w:lineRule="auto"/>
        <w:rPr>
          <w:rFonts w:ascii="Arial" w:eastAsia="Aptos" w:hAnsi="Arial" w:cs="Arial"/>
          <w:b/>
          <w:bCs/>
          <w:sz w:val="22"/>
          <w:szCs w:val="22"/>
          <w:lang w:eastAsia="en-US"/>
          <w14:ligatures w14:val="none"/>
        </w:rPr>
      </w:pPr>
      <w:r w:rsidRPr="00E54A49">
        <w:rPr>
          <w:rFonts w:ascii="Arial" w:eastAsia="Aptos" w:hAnsi="Arial" w:cs="Arial"/>
          <w:b/>
          <w:bCs/>
          <w:sz w:val="22"/>
          <w:szCs w:val="22"/>
          <w:lang w:eastAsia="en-US"/>
          <w14:ligatures w14:val="none"/>
        </w:rPr>
        <w:t>Task 3 – Self-Reflection of Group Activity ................. 6</w:t>
      </w:r>
    </w:p>
    <w:p w14:paraId="1A237DE3" w14:textId="77777777" w:rsidR="00B17863" w:rsidRPr="00E54A49" w:rsidRDefault="00B17863" w:rsidP="00E54A49">
      <w:pPr>
        <w:spacing w:line="360" w:lineRule="auto"/>
        <w:rPr>
          <w:rFonts w:ascii="Arial" w:eastAsia="Aptos" w:hAnsi="Arial" w:cs="Arial"/>
          <w:b/>
          <w:bCs/>
          <w:sz w:val="22"/>
          <w:szCs w:val="22"/>
          <w:lang w:eastAsia="en-US"/>
          <w14:ligatures w14:val="none"/>
        </w:rPr>
      </w:pPr>
    </w:p>
    <w:p w14:paraId="5EA1243C" w14:textId="77777777" w:rsidR="00B17863" w:rsidRPr="00E54A49" w:rsidRDefault="00B17863" w:rsidP="00E54A49">
      <w:pPr>
        <w:spacing w:line="360" w:lineRule="auto"/>
        <w:rPr>
          <w:rFonts w:ascii="Arial" w:eastAsia="Aptos" w:hAnsi="Arial" w:cs="Arial"/>
          <w:b/>
          <w:bCs/>
          <w:sz w:val="22"/>
          <w:szCs w:val="22"/>
          <w:lang w:eastAsia="en-US"/>
          <w14:ligatures w14:val="none"/>
        </w:rPr>
      </w:pPr>
      <w:r w:rsidRPr="00E54A49">
        <w:rPr>
          <w:rFonts w:ascii="Arial" w:eastAsia="Aptos" w:hAnsi="Arial" w:cs="Arial"/>
          <w:b/>
          <w:bCs/>
          <w:sz w:val="22"/>
          <w:szCs w:val="22"/>
          <w:lang w:eastAsia="en-US"/>
          <w14:ligatures w14:val="none"/>
        </w:rPr>
        <w:t>Task 4 – Case Study Analysis of a UK Innovation ...... 7</w:t>
      </w:r>
    </w:p>
    <w:p w14:paraId="66F80988" w14:textId="77777777" w:rsidR="00B17863" w:rsidRPr="00E54A49" w:rsidRDefault="00B17863" w:rsidP="00E54A49">
      <w:pPr>
        <w:spacing w:line="360" w:lineRule="auto"/>
        <w:rPr>
          <w:rFonts w:ascii="Arial" w:eastAsia="Aptos" w:hAnsi="Arial" w:cs="Arial"/>
          <w:b/>
          <w:bCs/>
          <w:sz w:val="22"/>
          <w:szCs w:val="22"/>
          <w:lang w:eastAsia="en-US"/>
          <w14:ligatures w14:val="none"/>
        </w:rPr>
      </w:pPr>
    </w:p>
    <w:p w14:paraId="54928A49" w14:textId="77777777" w:rsidR="00B17863" w:rsidRPr="00E54A49" w:rsidRDefault="00B17863" w:rsidP="00E54A49">
      <w:pPr>
        <w:spacing w:line="360" w:lineRule="auto"/>
        <w:rPr>
          <w:rFonts w:ascii="Arial" w:eastAsia="Aptos" w:hAnsi="Arial" w:cs="Arial"/>
          <w:b/>
          <w:bCs/>
          <w:sz w:val="22"/>
          <w:szCs w:val="22"/>
          <w:lang w:eastAsia="en-US"/>
          <w14:ligatures w14:val="none"/>
        </w:rPr>
      </w:pPr>
      <w:r w:rsidRPr="00E54A49">
        <w:rPr>
          <w:rFonts w:ascii="Arial" w:eastAsia="Aptos" w:hAnsi="Arial" w:cs="Arial"/>
          <w:b/>
          <w:bCs/>
          <w:sz w:val="22"/>
          <w:szCs w:val="22"/>
          <w:lang w:eastAsia="en-US"/>
          <w14:ligatures w14:val="none"/>
        </w:rPr>
        <w:t>Task 5 – Research Task ........................................... 8</w:t>
      </w:r>
    </w:p>
    <w:p w14:paraId="14CFF13B" w14:textId="77777777" w:rsidR="00B17863" w:rsidRPr="00E54A49" w:rsidRDefault="00B17863" w:rsidP="00E54A49">
      <w:pPr>
        <w:spacing w:line="360" w:lineRule="auto"/>
        <w:rPr>
          <w:rFonts w:ascii="Arial" w:eastAsia="Aptos" w:hAnsi="Arial" w:cs="Arial"/>
          <w:b/>
          <w:bCs/>
          <w:sz w:val="22"/>
          <w:szCs w:val="22"/>
          <w:lang w:eastAsia="en-US"/>
          <w14:ligatures w14:val="none"/>
        </w:rPr>
      </w:pPr>
    </w:p>
    <w:p w14:paraId="08662EB1" w14:textId="77777777" w:rsidR="00B17863" w:rsidRPr="00E54A49" w:rsidRDefault="00B17863" w:rsidP="00E54A49">
      <w:pPr>
        <w:spacing w:line="360" w:lineRule="auto"/>
        <w:rPr>
          <w:rFonts w:ascii="Arial" w:eastAsia="Aptos" w:hAnsi="Arial" w:cs="Arial"/>
          <w:b/>
          <w:bCs/>
          <w:sz w:val="22"/>
          <w:szCs w:val="22"/>
          <w:lang w:eastAsia="en-US"/>
          <w14:ligatures w14:val="none"/>
        </w:rPr>
      </w:pPr>
      <w:r w:rsidRPr="00E54A49">
        <w:rPr>
          <w:rFonts w:ascii="Arial" w:eastAsia="Aptos" w:hAnsi="Arial" w:cs="Arial"/>
          <w:b/>
          <w:bCs/>
          <w:sz w:val="22"/>
          <w:szCs w:val="22"/>
          <w:lang w:eastAsia="en-US"/>
          <w14:ligatures w14:val="none"/>
        </w:rPr>
        <w:t>Task 6 – Digital Health Technologies ....................... 9</w:t>
      </w:r>
    </w:p>
    <w:p w14:paraId="4E83F8CB" w14:textId="2E643EB6" w:rsidR="00B17863" w:rsidRPr="00E54A49" w:rsidRDefault="00B17863" w:rsidP="00E54A49">
      <w:pPr>
        <w:spacing w:line="360" w:lineRule="auto"/>
        <w:rPr>
          <w:rFonts w:ascii="Arial" w:eastAsia="Aptos" w:hAnsi="Arial" w:cs="Arial"/>
          <w:b/>
          <w:bCs/>
          <w:sz w:val="22"/>
          <w:szCs w:val="22"/>
          <w:lang w:eastAsia="en-US"/>
          <w14:ligatures w14:val="none"/>
        </w:rPr>
      </w:pPr>
      <w:r w:rsidRPr="00E54A49">
        <w:rPr>
          <w:rFonts w:ascii="Arial" w:eastAsia="Aptos" w:hAnsi="Arial" w:cs="Arial"/>
          <w:b/>
          <w:bCs/>
          <w:sz w:val="22"/>
          <w:szCs w:val="22"/>
          <w:lang w:eastAsia="en-US"/>
          <w14:ligatures w14:val="none"/>
        </w:rPr>
        <w:t xml:space="preserve">   </w:t>
      </w:r>
    </w:p>
    <w:p w14:paraId="003CA746" w14:textId="77777777" w:rsidR="00B17863" w:rsidRPr="00E54A49" w:rsidRDefault="00B17863" w:rsidP="00E54A49">
      <w:pPr>
        <w:spacing w:line="360" w:lineRule="auto"/>
        <w:rPr>
          <w:rFonts w:ascii="Arial" w:eastAsia="Aptos" w:hAnsi="Arial" w:cs="Arial"/>
          <w:b/>
          <w:bCs/>
          <w:sz w:val="22"/>
          <w:szCs w:val="22"/>
          <w:lang w:eastAsia="en-US"/>
          <w14:ligatures w14:val="none"/>
        </w:rPr>
      </w:pPr>
      <w:r w:rsidRPr="00E54A49">
        <w:rPr>
          <w:rFonts w:ascii="Arial" w:eastAsia="Aptos" w:hAnsi="Arial" w:cs="Arial"/>
          <w:b/>
          <w:bCs/>
          <w:sz w:val="22"/>
          <w:szCs w:val="22"/>
          <w:lang w:eastAsia="en-US"/>
          <w14:ligatures w14:val="none"/>
        </w:rPr>
        <w:t>Task 7 – Understanding the NHS Healthcare Leadership Model .......... 12</w:t>
      </w:r>
    </w:p>
    <w:p w14:paraId="31E9DCF5" w14:textId="77777777" w:rsidR="00B17863" w:rsidRPr="00E54A49" w:rsidRDefault="00B17863" w:rsidP="00E54A49">
      <w:pPr>
        <w:spacing w:line="360" w:lineRule="auto"/>
        <w:rPr>
          <w:rFonts w:ascii="Arial" w:eastAsia="Aptos" w:hAnsi="Arial" w:cs="Arial"/>
          <w:b/>
          <w:bCs/>
          <w:sz w:val="22"/>
          <w:szCs w:val="22"/>
          <w:lang w:eastAsia="en-US"/>
          <w14:ligatures w14:val="none"/>
        </w:rPr>
      </w:pPr>
    </w:p>
    <w:p w14:paraId="73CE6324" w14:textId="77777777" w:rsidR="00B17863" w:rsidRPr="00E54A49" w:rsidRDefault="00B17863" w:rsidP="00E54A49">
      <w:pPr>
        <w:spacing w:line="360" w:lineRule="auto"/>
        <w:rPr>
          <w:rFonts w:ascii="Arial" w:eastAsia="Aptos" w:hAnsi="Arial" w:cs="Arial"/>
          <w:b/>
          <w:bCs/>
          <w:sz w:val="22"/>
          <w:szCs w:val="22"/>
          <w:lang w:eastAsia="en-US"/>
          <w14:ligatures w14:val="none"/>
        </w:rPr>
      </w:pPr>
      <w:r w:rsidRPr="00E54A49">
        <w:rPr>
          <w:rFonts w:ascii="Arial" w:eastAsia="Aptos" w:hAnsi="Arial" w:cs="Arial"/>
          <w:b/>
          <w:bCs/>
          <w:sz w:val="22"/>
          <w:szCs w:val="22"/>
          <w:lang w:eastAsia="en-US"/>
          <w14:ligatures w14:val="none"/>
        </w:rPr>
        <w:t>Task 8 – Self-Reflection Journal Entry ..................... 14</w:t>
      </w:r>
    </w:p>
    <w:p w14:paraId="4FBE56E3" w14:textId="77777777" w:rsidR="00B17863" w:rsidRPr="00E54A49" w:rsidRDefault="00B17863" w:rsidP="00E54A49">
      <w:pPr>
        <w:spacing w:line="360" w:lineRule="auto"/>
        <w:rPr>
          <w:rFonts w:ascii="Arial" w:eastAsia="Aptos" w:hAnsi="Arial" w:cs="Arial"/>
          <w:b/>
          <w:bCs/>
          <w:sz w:val="22"/>
          <w:szCs w:val="22"/>
          <w:lang w:eastAsia="en-US"/>
          <w14:ligatures w14:val="none"/>
        </w:rPr>
      </w:pPr>
    </w:p>
    <w:p w14:paraId="4C20DAFC" w14:textId="54181137" w:rsidR="000B6041" w:rsidRPr="00E54A49" w:rsidRDefault="00B17863" w:rsidP="00E54A49">
      <w:pPr>
        <w:spacing w:line="360" w:lineRule="auto"/>
        <w:rPr>
          <w:rFonts w:ascii="Arial" w:eastAsia="Aptos" w:hAnsi="Arial" w:cs="Arial"/>
          <w:b/>
          <w:bCs/>
          <w:sz w:val="22"/>
          <w:szCs w:val="22"/>
          <w:lang w:eastAsia="en-US"/>
          <w14:ligatures w14:val="none"/>
        </w:rPr>
      </w:pPr>
      <w:r w:rsidRPr="00E54A49">
        <w:rPr>
          <w:rFonts w:ascii="Arial" w:eastAsia="Aptos" w:hAnsi="Arial" w:cs="Arial"/>
          <w:b/>
          <w:bCs/>
          <w:sz w:val="22"/>
          <w:szCs w:val="22"/>
          <w:lang w:eastAsia="en-US"/>
          <w14:ligatures w14:val="none"/>
        </w:rPr>
        <w:t>References ............................................................ 15</w:t>
      </w:r>
    </w:p>
    <w:p w14:paraId="45FCA17E" w14:textId="77777777" w:rsidR="00A44E63" w:rsidRPr="00E54A49" w:rsidRDefault="00A44E63" w:rsidP="00E54A49">
      <w:pPr>
        <w:spacing w:line="360" w:lineRule="auto"/>
        <w:rPr>
          <w:rFonts w:ascii="Arial" w:hAnsi="Arial" w:cs="Arial"/>
          <w:sz w:val="22"/>
          <w:szCs w:val="22"/>
        </w:rPr>
      </w:pPr>
    </w:p>
    <w:p w14:paraId="6B56F6F8" w14:textId="29254799" w:rsidR="001D5635" w:rsidRPr="00E54A49" w:rsidRDefault="001D5635" w:rsidP="00E54A49">
      <w:pPr>
        <w:spacing w:line="360" w:lineRule="auto"/>
        <w:rPr>
          <w:rFonts w:ascii="Arial" w:hAnsi="Arial" w:cs="Arial"/>
          <w:sz w:val="22"/>
          <w:szCs w:val="22"/>
        </w:rPr>
      </w:pPr>
    </w:p>
    <w:p w14:paraId="5EED4FDC" w14:textId="77777777" w:rsidR="00C347EA" w:rsidRPr="00E54A49" w:rsidRDefault="00C347EA" w:rsidP="00E54A49">
      <w:pPr>
        <w:spacing w:before="100" w:beforeAutospacing="1" w:after="100" w:afterAutospacing="1" w:line="360" w:lineRule="auto"/>
        <w:outlineLvl w:val="2"/>
        <w:rPr>
          <w:rFonts w:ascii="Arial" w:eastAsia="Times New Roman" w:hAnsi="Arial" w:cs="Arial"/>
          <w:b/>
          <w:bCs/>
          <w:kern w:val="0"/>
          <w:sz w:val="22"/>
          <w:szCs w:val="22"/>
          <w14:ligatures w14:val="none"/>
        </w:rPr>
      </w:pPr>
      <w:r w:rsidRPr="00E54A49">
        <w:rPr>
          <w:rFonts w:ascii="Arial" w:eastAsia="Times New Roman" w:hAnsi="Arial" w:cs="Arial"/>
          <w:b/>
          <w:bCs/>
          <w:kern w:val="0"/>
          <w:sz w:val="22"/>
          <w:szCs w:val="22"/>
          <w14:ligatures w14:val="none"/>
        </w:rPr>
        <w:lastRenderedPageBreak/>
        <w:t>Introduction</w:t>
      </w:r>
    </w:p>
    <w:p w14:paraId="39416F26" w14:textId="6C8B77A7" w:rsidR="007932AC" w:rsidRPr="00E54A49" w:rsidRDefault="007932AC" w:rsidP="00E54A49">
      <w:pPr>
        <w:pStyle w:val="p1"/>
        <w:spacing w:line="360" w:lineRule="auto"/>
        <w:rPr>
          <w:rFonts w:ascii="Arial" w:hAnsi="Arial" w:cs="Arial"/>
          <w:sz w:val="22"/>
          <w:szCs w:val="22"/>
        </w:rPr>
      </w:pPr>
      <w:r w:rsidRPr="00E54A49">
        <w:rPr>
          <w:rFonts w:ascii="Arial" w:hAnsi="Arial" w:cs="Arial"/>
          <w:sz w:val="22"/>
          <w:szCs w:val="22"/>
        </w:rPr>
        <w:t xml:space="preserve">Innovation, creativity and effective leadership are essential in delivering high-quality health and social care. They encourage professionals to think differently, solve problems and improve the support </w:t>
      </w:r>
      <w:r w:rsidR="008E5093" w:rsidRPr="00E54A49">
        <w:rPr>
          <w:rFonts w:ascii="Arial" w:hAnsi="Arial" w:cs="Arial"/>
          <w:sz w:val="22"/>
          <w:szCs w:val="22"/>
        </w:rPr>
        <w:t xml:space="preserve">of </w:t>
      </w:r>
      <w:r w:rsidR="00290377" w:rsidRPr="00E54A49">
        <w:rPr>
          <w:rFonts w:ascii="Arial" w:hAnsi="Arial" w:cs="Arial"/>
          <w:sz w:val="22"/>
          <w:szCs w:val="22"/>
        </w:rPr>
        <w:t>patients</w:t>
      </w:r>
      <w:r w:rsidR="00026D3E" w:rsidRPr="00E54A49">
        <w:rPr>
          <w:rFonts w:ascii="Arial" w:hAnsi="Arial" w:cs="Arial"/>
          <w:sz w:val="22"/>
          <w:szCs w:val="22"/>
        </w:rPr>
        <w:t xml:space="preserve"> and </w:t>
      </w:r>
      <w:r w:rsidR="008E5093" w:rsidRPr="00E54A49">
        <w:rPr>
          <w:rFonts w:ascii="Arial" w:hAnsi="Arial" w:cs="Arial"/>
          <w:sz w:val="22"/>
          <w:szCs w:val="22"/>
        </w:rPr>
        <w:t>service users</w:t>
      </w:r>
      <w:r w:rsidRPr="00E54A49">
        <w:rPr>
          <w:rFonts w:ascii="Arial" w:hAnsi="Arial" w:cs="Arial"/>
          <w:sz w:val="22"/>
          <w:szCs w:val="22"/>
        </w:rPr>
        <w:t xml:space="preserve">. </w:t>
      </w:r>
      <w:r w:rsidR="007B65EE" w:rsidRPr="00E54A49">
        <w:rPr>
          <w:rFonts w:ascii="Arial" w:hAnsi="Arial" w:cs="Arial"/>
          <w:sz w:val="22"/>
          <w:szCs w:val="22"/>
        </w:rPr>
        <w:t>In</w:t>
      </w:r>
      <w:r w:rsidRPr="00E54A49">
        <w:rPr>
          <w:rFonts w:ascii="Arial" w:hAnsi="Arial" w:cs="Arial"/>
          <w:sz w:val="22"/>
          <w:szCs w:val="22"/>
        </w:rPr>
        <w:t xml:space="preserve"> this portfolio, I will explore the key concepts of innovation, creativity, value creation and change, explaining why they are important in practice. I will also reflect on what I have learned during this module and discuss how these concepts can contribute to improving the quality of care, promoting person-centred practice and supporting positive experiences for </w:t>
      </w:r>
      <w:r w:rsidR="009C6C9B">
        <w:rPr>
          <w:rFonts w:ascii="Arial" w:hAnsi="Arial" w:cs="Arial"/>
          <w:sz w:val="22"/>
          <w:szCs w:val="22"/>
        </w:rPr>
        <w:t xml:space="preserve">patients </w:t>
      </w:r>
      <w:r w:rsidR="00B34E21" w:rsidRPr="00E54A49">
        <w:rPr>
          <w:rFonts w:ascii="Arial" w:hAnsi="Arial" w:cs="Arial"/>
          <w:sz w:val="22"/>
          <w:szCs w:val="22"/>
        </w:rPr>
        <w:t>and service users</w:t>
      </w:r>
      <w:r w:rsidRPr="00E54A49">
        <w:rPr>
          <w:rFonts w:ascii="Arial" w:hAnsi="Arial" w:cs="Arial"/>
          <w:sz w:val="22"/>
          <w:szCs w:val="22"/>
        </w:rPr>
        <w:t>.</w:t>
      </w:r>
    </w:p>
    <w:p w14:paraId="52BE2EA7" w14:textId="77777777" w:rsidR="007932AC" w:rsidRPr="00E54A49" w:rsidRDefault="007932AC" w:rsidP="00E54A49">
      <w:pPr>
        <w:spacing w:before="100" w:beforeAutospacing="1" w:after="100" w:afterAutospacing="1" w:line="360" w:lineRule="auto"/>
        <w:outlineLvl w:val="2"/>
        <w:rPr>
          <w:rFonts w:ascii="Arial" w:eastAsia="Times New Roman" w:hAnsi="Arial" w:cs="Arial"/>
          <w:b/>
          <w:bCs/>
          <w:kern w:val="0"/>
          <w:sz w:val="22"/>
          <w:szCs w:val="22"/>
          <w14:ligatures w14:val="none"/>
        </w:rPr>
      </w:pPr>
    </w:p>
    <w:p w14:paraId="496D7F42" w14:textId="77777777" w:rsidR="007932AC" w:rsidRPr="00E54A49" w:rsidRDefault="007932AC" w:rsidP="00E54A49">
      <w:pPr>
        <w:spacing w:before="100" w:beforeAutospacing="1" w:after="100" w:afterAutospacing="1" w:line="360" w:lineRule="auto"/>
        <w:outlineLvl w:val="2"/>
        <w:rPr>
          <w:rFonts w:ascii="Arial" w:eastAsia="Times New Roman" w:hAnsi="Arial" w:cs="Arial"/>
          <w:b/>
          <w:bCs/>
          <w:kern w:val="0"/>
          <w:sz w:val="22"/>
          <w:szCs w:val="22"/>
          <w14:ligatures w14:val="none"/>
        </w:rPr>
      </w:pPr>
    </w:p>
    <w:p w14:paraId="3A894F74" w14:textId="7E5A5AB6" w:rsidR="00A03DF8" w:rsidRPr="00A54F47" w:rsidRDefault="00A03DF8" w:rsidP="00E54A49">
      <w:pPr>
        <w:spacing w:line="360" w:lineRule="auto"/>
        <w:rPr>
          <w:rFonts w:ascii="Arial" w:hAnsi="Arial" w:cs="Arial"/>
          <w:b/>
          <w:bCs/>
          <w:sz w:val="22"/>
          <w:szCs w:val="22"/>
        </w:rPr>
      </w:pPr>
      <w:r w:rsidRPr="00A54F47">
        <w:rPr>
          <w:rFonts w:ascii="Arial" w:hAnsi="Arial" w:cs="Arial"/>
          <w:b/>
          <w:bCs/>
          <w:sz w:val="22"/>
          <w:szCs w:val="22"/>
        </w:rPr>
        <w:t>Task 1 – Defining Key Concepts in Practice</w:t>
      </w:r>
    </w:p>
    <w:p w14:paraId="40B9F37A" w14:textId="77777777" w:rsidR="00A03DF8" w:rsidRPr="00E54A49" w:rsidRDefault="00A03DF8" w:rsidP="00E54A49">
      <w:pPr>
        <w:spacing w:line="360" w:lineRule="auto"/>
        <w:rPr>
          <w:rFonts w:ascii="Arial" w:hAnsi="Arial" w:cs="Arial"/>
          <w:sz w:val="22"/>
          <w:szCs w:val="22"/>
        </w:rPr>
      </w:pPr>
    </w:p>
    <w:p w14:paraId="38BE5D19" w14:textId="589CE2AD" w:rsidR="00A03DF8" w:rsidRPr="00E54A49" w:rsidRDefault="00A03DF8" w:rsidP="00E54A49">
      <w:pPr>
        <w:spacing w:line="360" w:lineRule="auto"/>
        <w:rPr>
          <w:rFonts w:ascii="Arial" w:hAnsi="Arial" w:cs="Arial"/>
          <w:sz w:val="22"/>
          <w:szCs w:val="22"/>
        </w:rPr>
      </w:pPr>
      <w:r w:rsidRPr="00E54A49">
        <w:rPr>
          <w:rFonts w:ascii="Arial" w:hAnsi="Arial" w:cs="Arial"/>
          <w:sz w:val="22"/>
          <w:szCs w:val="22"/>
        </w:rPr>
        <w:t xml:space="preserve">Innovation is the process of introducing new ideas, methods, or technologies that improve </w:t>
      </w:r>
      <w:r w:rsidR="003B6AAC" w:rsidRPr="00E54A49">
        <w:rPr>
          <w:rFonts w:ascii="Arial" w:hAnsi="Arial" w:cs="Arial"/>
          <w:sz w:val="22"/>
          <w:szCs w:val="22"/>
        </w:rPr>
        <w:t xml:space="preserve">the quality </w:t>
      </w:r>
      <w:r w:rsidR="00C923ED" w:rsidRPr="00E54A49">
        <w:rPr>
          <w:rFonts w:ascii="Arial" w:hAnsi="Arial" w:cs="Arial"/>
          <w:sz w:val="22"/>
          <w:szCs w:val="22"/>
        </w:rPr>
        <w:t>and delivery of health and social care</w:t>
      </w:r>
      <w:r w:rsidRPr="00E54A49">
        <w:rPr>
          <w:rFonts w:ascii="Arial" w:hAnsi="Arial" w:cs="Arial"/>
          <w:sz w:val="22"/>
          <w:szCs w:val="22"/>
        </w:rPr>
        <w:t xml:space="preserve"> services (</w:t>
      </w:r>
      <w:r w:rsidR="00061CE3" w:rsidRPr="00E54A49">
        <w:rPr>
          <w:rFonts w:ascii="Arial" w:hAnsi="Arial" w:cs="Arial"/>
          <w:sz w:val="22"/>
          <w:szCs w:val="22"/>
        </w:rPr>
        <w:t>NHS England</w:t>
      </w:r>
      <w:r w:rsidR="004A3B7B" w:rsidRPr="00E54A49">
        <w:rPr>
          <w:rFonts w:ascii="Arial" w:hAnsi="Arial" w:cs="Arial"/>
          <w:sz w:val="22"/>
          <w:szCs w:val="22"/>
        </w:rPr>
        <w:t xml:space="preserve">, </w:t>
      </w:r>
      <w:r w:rsidR="00E57197" w:rsidRPr="00E54A49">
        <w:rPr>
          <w:rFonts w:ascii="Arial" w:hAnsi="Arial" w:cs="Arial"/>
          <w:sz w:val="22"/>
          <w:szCs w:val="22"/>
        </w:rPr>
        <w:t>2024</w:t>
      </w:r>
      <w:r w:rsidRPr="00E54A49">
        <w:rPr>
          <w:rFonts w:ascii="Arial" w:hAnsi="Arial" w:cs="Arial"/>
          <w:sz w:val="22"/>
          <w:szCs w:val="22"/>
        </w:rPr>
        <w:t>). In health and social care, innovation is essential because it improves the quality, safety, and efficiency of services while responding to changing population needs</w:t>
      </w:r>
      <w:r w:rsidR="00E51132" w:rsidRPr="00E54A49">
        <w:rPr>
          <w:rFonts w:ascii="Arial" w:hAnsi="Arial" w:cs="Arial"/>
          <w:sz w:val="22"/>
          <w:szCs w:val="22"/>
        </w:rPr>
        <w:t>.</w:t>
      </w:r>
      <w:r w:rsidR="0078215E">
        <w:rPr>
          <w:rFonts w:ascii="Arial" w:hAnsi="Arial" w:cs="Arial"/>
          <w:sz w:val="22"/>
          <w:szCs w:val="22"/>
        </w:rPr>
        <w:t xml:space="preserve"> </w:t>
      </w:r>
      <w:r w:rsidR="0078215E" w:rsidRPr="0078215E">
        <w:rPr>
          <w:rFonts w:ascii="Arial" w:hAnsi="Arial" w:cs="Arial"/>
          <w:sz w:val="22"/>
          <w:szCs w:val="22"/>
        </w:rPr>
        <w:t>Rogers’ Diffusion of Innovation Theory explains how innovations spread through organisations. However, the theory assumes staff are willing to adopt change, which may not reflect healthcare settings affected by limited resources, resistance to change or workforce pressures (Rogers, 2003).</w:t>
      </w:r>
      <w:r w:rsidR="0078215E" w:rsidRPr="00E54A49">
        <w:rPr>
          <w:rFonts w:ascii="Arial" w:hAnsi="Arial" w:cs="Arial"/>
          <w:sz w:val="22"/>
          <w:szCs w:val="22"/>
        </w:rPr>
        <w:t xml:space="preserve"> </w:t>
      </w:r>
      <w:r w:rsidRPr="00E54A49">
        <w:rPr>
          <w:rFonts w:ascii="Arial" w:hAnsi="Arial" w:cs="Arial"/>
          <w:sz w:val="22"/>
          <w:szCs w:val="22"/>
        </w:rPr>
        <w:t xml:space="preserve"> </w:t>
      </w:r>
      <w:r w:rsidR="00453E11" w:rsidRPr="00453E11">
        <w:rPr>
          <w:rFonts w:ascii="Arial" w:hAnsi="Arial" w:cs="Arial"/>
          <w:sz w:val="22"/>
          <w:szCs w:val="22"/>
        </w:rPr>
        <w:t>A practical example is the introduction of electronic care records in residential care settings, which has improved information sharing and supported safer person-centred care (NHS England, 2024). However, their success depends on adequate staff training, organisational support and reliable digital infrastructure, meaning the benefits may not be achieved equally across all care settings.</w:t>
      </w:r>
    </w:p>
    <w:p w14:paraId="7A065062" w14:textId="77777777" w:rsidR="00A03DF8" w:rsidRPr="00E54A49" w:rsidRDefault="00A03DF8" w:rsidP="00E54A49">
      <w:pPr>
        <w:spacing w:line="360" w:lineRule="auto"/>
        <w:rPr>
          <w:rFonts w:ascii="Arial" w:hAnsi="Arial" w:cs="Arial"/>
          <w:sz w:val="22"/>
          <w:szCs w:val="22"/>
        </w:rPr>
      </w:pPr>
    </w:p>
    <w:p w14:paraId="5F46CAAB" w14:textId="097BC718" w:rsidR="00A03DF8" w:rsidRPr="00E54A49" w:rsidRDefault="00A03DF8" w:rsidP="00E54A49">
      <w:pPr>
        <w:spacing w:line="360" w:lineRule="auto"/>
        <w:rPr>
          <w:rFonts w:ascii="Arial" w:hAnsi="Arial" w:cs="Arial"/>
          <w:sz w:val="22"/>
          <w:szCs w:val="22"/>
        </w:rPr>
      </w:pPr>
      <w:r w:rsidRPr="00E54A49">
        <w:rPr>
          <w:rFonts w:ascii="Arial" w:hAnsi="Arial" w:cs="Arial"/>
          <w:sz w:val="22"/>
          <w:szCs w:val="22"/>
        </w:rPr>
        <w:t>Creativity refers to the ability to generate original and useful ideas that solve problems or improve practice (</w:t>
      </w:r>
      <w:proofErr w:type="spellStart"/>
      <w:r w:rsidRPr="00E54A49">
        <w:rPr>
          <w:rFonts w:ascii="Arial" w:hAnsi="Arial" w:cs="Arial"/>
          <w:sz w:val="22"/>
          <w:szCs w:val="22"/>
        </w:rPr>
        <w:t>Amabile</w:t>
      </w:r>
      <w:proofErr w:type="spellEnd"/>
      <w:r w:rsidRPr="00E54A49">
        <w:rPr>
          <w:rFonts w:ascii="Arial" w:hAnsi="Arial" w:cs="Arial"/>
          <w:sz w:val="22"/>
          <w:szCs w:val="22"/>
        </w:rPr>
        <w:t xml:space="preserve">, 1996). According to </w:t>
      </w:r>
      <w:proofErr w:type="spellStart"/>
      <w:r w:rsidRPr="00E54A49">
        <w:rPr>
          <w:rFonts w:ascii="Arial" w:hAnsi="Arial" w:cs="Arial"/>
          <w:sz w:val="22"/>
          <w:szCs w:val="22"/>
        </w:rPr>
        <w:t>Amabile’s</w:t>
      </w:r>
      <w:proofErr w:type="spellEnd"/>
      <w:r w:rsidRPr="00E54A49">
        <w:rPr>
          <w:rFonts w:ascii="Arial" w:hAnsi="Arial" w:cs="Arial"/>
          <w:sz w:val="22"/>
          <w:szCs w:val="22"/>
        </w:rPr>
        <w:t xml:space="preserve"> Componential Theory of Creativity, creativity is influenced by domain knowledge, creative-thinking skills, and intrinsic motivation (</w:t>
      </w:r>
      <w:proofErr w:type="spellStart"/>
      <w:r w:rsidRPr="00E54A49">
        <w:rPr>
          <w:rFonts w:ascii="Arial" w:hAnsi="Arial" w:cs="Arial"/>
          <w:sz w:val="22"/>
          <w:szCs w:val="22"/>
        </w:rPr>
        <w:t>Amabile</w:t>
      </w:r>
      <w:proofErr w:type="spellEnd"/>
      <w:r w:rsidRPr="00E54A49">
        <w:rPr>
          <w:rFonts w:ascii="Arial" w:hAnsi="Arial" w:cs="Arial"/>
          <w:sz w:val="22"/>
          <w:szCs w:val="22"/>
        </w:rPr>
        <w:t xml:space="preserve">, 1996). Creativity is important in health and social care because professionals often need to adapt their approach to meet the diverse physical, emotional, and social needs of individuals (Skills for Care, 2023).  </w:t>
      </w:r>
      <w:r w:rsidR="00411522" w:rsidRPr="00411522">
        <w:rPr>
          <w:rFonts w:ascii="Arial" w:hAnsi="Arial" w:cs="Arial"/>
          <w:sz w:val="22"/>
          <w:szCs w:val="22"/>
        </w:rPr>
        <w:t xml:space="preserve">For example, personalised activities, music therapy and memory boxes can improve communication and reduce anxiety for people living with </w:t>
      </w:r>
      <w:r w:rsidR="00411522" w:rsidRPr="00411522">
        <w:rPr>
          <w:rFonts w:ascii="Arial" w:hAnsi="Arial" w:cs="Arial"/>
          <w:sz w:val="22"/>
          <w:szCs w:val="22"/>
        </w:rPr>
        <w:lastRenderedPageBreak/>
        <w:t>dementia (Alzheimer’s Society, 2024). However, these approaches may be difficult to deliver consistently because limited staffing and resources can restrict opportunities for personalised care.</w:t>
      </w:r>
    </w:p>
    <w:p w14:paraId="39D9E0C2" w14:textId="77777777" w:rsidR="00A03DF8" w:rsidRPr="00E54A49" w:rsidRDefault="00A03DF8" w:rsidP="00E54A49">
      <w:pPr>
        <w:spacing w:line="360" w:lineRule="auto"/>
        <w:rPr>
          <w:rFonts w:ascii="Arial" w:hAnsi="Arial" w:cs="Arial"/>
          <w:sz w:val="22"/>
          <w:szCs w:val="22"/>
        </w:rPr>
      </w:pPr>
    </w:p>
    <w:p w14:paraId="2AFB0FB0" w14:textId="300A553B" w:rsidR="00FA656F" w:rsidRPr="00E54A49" w:rsidRDefault="00FA656F" w:rsidP="00E54A49">
      <w:pPr>
        <w:spacing w:line="360" w:lineRule="auto"/>
        <w:rPr>
          <w:rFonts w:ascii="Arial" w:hAnsi="Arial" w:cs="Arial"/>
          <w:sz w:val="22"/>
          <w:szCs w:val="22"/>
        </w:rPr>
      </w:pPr>
    </w:p>
    <w:p w14:paraId="6C1F39FB" w14:textId="6C643534" w:rsidR="00337DAB" w:rsidRPr="00E54A49" w:rsidRDefault="0067692C" w:rsidP="00A54F47">
      <w:pPr>
        <w:pStyle w:val="p1"/>
        <w:spacing w:line="360" w:lineRule="auto"/>
        <w:rPr>
          <w:rFonts w:ascii="Arial" w:hAnsi="Arial" w:cs="Arial"/>
          <w:sz w:val="22"/>
          <w:szCs w:val="22"/>
        </w:rPr>
      </w:pPr>
      <w:r w:rsidRPr="005F6C5C">
        <w:rPr>
          <w:rFonts w:ascii="Arial" w:hAnsi="Arial" w:cs="Arial"/>
          <w:sz w:val="22"/>
          <w:szCs w:val="22"/>
        </w:rPr>
        <w:t>Value creation</w:t>
      </w:r>
      <w:r w:rsidRPr="00E54A49">
        <w:rPr>
          <w:rStyle w:val="s2"/>
          <w:rFonts w:ascii="Arial" w:hAnsi="Arial" w:cs="Arial"/>
          <w:sz w:val="22"/>
          <w:szCs w:val="22"/>
        </w:rPr>
        <w:t xml:space="preserve"> refers to improving outcomes for patients and service users while making the best possible use of available resources. In health and social care, creating value means delivering safe, effective and person-centred care that improves people’s health, independence and quality of life (NICE, 2023). Rather than focusing only on the number of services delivered, organisations should consider whether the care provided genuinely meets individuals’ needs and produces positive outcomes. </w:t>
      </w:r>
      <w:r w:rsidR="00290673" w:rsidRPr="00290673">
        <w:rPr>
          <w:rStyle w:val="s2"/>
          <w:rFonts w:ascii="Arial" w:hAnsi="Arial" w:cs="Arial"/>
          <w:sz w:val="22"/>
          <w:szCs w:val="22"/>
        </w:rPr>
        <w:t>Supporting people to remain as independent as possible promotes dignity and confidence while reducing future care needs (NICE, 2023). However, financial pressures and workforce shortages may limit organisations’ ability to consistently deliver person-centred care.</w:t>
      </w:r>
    </w:p>
    <w:p w14:paraId="6037F4DC" w14:textId="77777777" w:rsidR="00DC7B9B" w:rsidRPr="00A54F47" w:rsidRDefault="00DC7B9B" w:rsidP="00E54A49">
      <w:pPr>
        <w:spacing w:line="360" w:lineRule="auto"/>
        <w:rPr>
          <w:rFonts w:ascii="Arial" w:hAnsi="Arial" w:cs="Arial"/>
          <w:sz w:val="22"/>
          <w:szCs w:val="22"/>
        </w:rPr>
      </w:pPr>
    </w:p>
    <w:p w14:paraId="68DA1748" w14:textId="0BF1B334" w:rsidR="002D058D" w:rsidRPr="00A54F47" w:rsidRDefault="00DC7B9B" w:rsidP="00E54A49">
      <w:pPr>
        <w:spacing w:line="360" w:lineRule="auto"/>
        <w:rPr>
          <w:rFonts w:ascii="Arial" w:hAnsi="Arial" w:cs="Arial"/>
          <w:b/>
          <w:bCs/>
          <w:sz w:val="22"/>
          <w:szCs w:val="22"/>
        </w:rPr>
      </w:pPr>
      <w:r w:rsidRPr="00A54F47">
        <w:rPr>
          <w:rFonts w:ascii="Arial" w:hAnsi="Arial" w:cs="Arial"/>
          <w:b/>
          <w:bCs/>
          <w:sz w:val="22"/>
          <w:szCs w:val="22"/>
        </w:rPr>
        <w:t>Task 2</w:t>
      </w:r>
      <w:r w:rsidR="004D5736" w:rsidRPr="00A54F47">
        <w:rPr>
          <w:rFonts w:ascii="Arial" w:hAnsi="Arial" w:cs="Arial"/>
          <w:b/>
          <w:bCs/>
          <w:sz w:val="22"/>
          <w:szCs w:val="22"/>
        </w:rPr>
        <w:t xml:space="preserve">: </w:t>
      </w:r>
      <w:r w:rsidR="0075308C" w:rsidRPr="00A54F47">
        <w:rPr>
          <w:rFonts w:ascii="Arial" w:hAnsi="Arial" w:cs="Arial"/>
          <w:b/>
          <w:bCs/>
          <w:sz w:val="22"/>
          <w:szCs w:val="22"/>
        </w:rPr>
        <w:t xml:space="preserve">Staff Burnout </w:t>
      </w:r>
    </w:p>
    <w:p w14:paraId="04FD3A4E" w14:textId="59890E3C" w:rsidR="003E6853" w:rsidRPr="00A54F47" w:rsidRDefault="003A0A8E" w:rsidP="00E54A49">
      <w:pPr>
        <w:pStyle w:val="p1"/>
        <w:spacing w:line="360" w:lineRule="auto"/>
        <w:rPr>
          <w:rFonts w:ascii="Arial" w:hAnsi="Arial" w:cs="Arial"/>
          <w:sz w:val="22"/>
          <w:szCs w:val="22"/>
        </w:rPr>
      </w:pPr>
      <w:r w:rsidRPr="00A54F47">
        <w:rPr>
          <w:rFonts w:ascii="Arial" w:hAnsi="Arial" w:cs="Arial"/>
          <w:sz w:val="22"/>
          <w:szCs w:val="22"/>
        </w:rPr>
        <w:t>Staff burnout is a significant challenge in health and social care because it affects both staff wellbeing and the quality of care provided to patients and service users (West, Bailey and Williams, 2020). Burnout is commonly associated with staff shortages, heavy workloads and long working hours, which can leave employees physically and emotionally exhausted (</w:t>
      </w:r>
      <w:proofErr w:type="spellStart"/>
      <w:r w:rsidRPr="00A54F47">
        <w:rPr>
          <w:rFonts w:ascii="Arial" w:hAnsi="Arial" w:cs="Arial"/>
          <w:sz w:val="22"/>
          <w:szCs w:val="22"/>
        </w:rPr>
        <w:t>Maslach</w:t>
      </w:r>
      <w:proofErr w:type="spellEnd"/>
      <w:r w:rsidRPr="00A54F47">
        <w:rPr>
          <w:rFonts w:ascii="Arial" w:hAnsi="Arial" w:cs="Arial"/>
          <w:sz w:val="22"/>
          <w:szCs w:val="22"/>
        </w:rPr>
        <w:t xml:space="preserve"> and </w:t>
      </w:r>
      <w:proofErr w:type="spellStart"/>
      <w:r w:rsidRPr="00A54F47">
        <w:rPr>
          <w:rFonts w:ascii="Arial" w:hAnsi="Arial" w:cs="Arial"/>
          <w:sz w:val="22"/>
          <w:szCs w:val="22"/>
        </w:rPr>
        <w:t>Leiter</w:t>
      </w:r>
      <w:proofErr w:type="spellEnd"/>
      <w:r w:rsidRPr="00A54F47">
        <w:rPr>
          <w:rFonts w:ascii="Arial" w:hAnsi="Arial" w:cs="Arial"/>
          <w:sz w:val="22"/>
          <w:szCs w:val="22"/>
        </w:rPr>
        <w:t xml:space="preserve">, 2016). Meadows (2008) explains that health and social care </w:t>
      </w:r>
      <w:r w:rsidR="000C62DF" w:rsidRPr="00A54F47">
        <w:rPr>
          <w:rFonts w:ascii="Arial" w:hAnsi="Arial" w:cs="Arial"/>
          <w:sz w:val="22"/>
          <w:szCs w:val="22"/>
        </w:rPr>
        <w:t>operate</w:t>
      </w:r>
      <w:r w:rsidRPr="00A54F47">
        <w:rPr>
          <w:rFonts w:ascii="Arial" w:hAnsi="Arial" w:cs="Arial"/>
          <w:sz w:val="22"/>
          <w:szCs w:val="22"/>
        </w:rPr>
        <w:t xml:space="preserve"> as an interconnected system, meaning that one problem can quickly create or worsen another. For example, if two carers are absent from a care home, the remaining staff may need to care for more residents, miss their breaks and work beyond their contracted hours. Over time, this increases stress, fatigue and the likelihood of burnout. As staff become increasingly overwhelmed, they may have less time to communicate effectively, respond to people’s individual needs or carry out tasks safely, which can reduce the quality of care and increase the risk of errors (West, Bailey and Williams, 2020). </w:t>
      </w:r>
      <w:r w:rsidR="003E6853" w:rsidRPr="003E6853">
        <w:rPr>
          <w:rFonts w:ascii="Arial" w:hAnsi="Arial" w:cs="Arial"/>
          <w:sz w:val="22"/>
          <w:szCs w:val="22"/>
        </w:rPr>
        <w:t>Reducing burnout requires safe staffing levels, supportive leadership and investment in staff wellbeing. However, workforce shortages and financial pressures mean these strategies can be difficult to sustain, highlighting the need for long-term organisational commitment.</w:t>
      </w:r>
    </w:p>
    <w:p w14:paraId="79DCD4A5" w14:textId="12E4915F" w:rsidR="00E40E20" w:rsidRPr="000C62DF" w:rsidRDefault="007A7224" w:rsidP="00E54A49">
      <w:pPr>
        <w:pStyle w:val="p1"/>
        <w:spacing w:line="360" w:lineRule="auto"/>
        <w:rPr>
          <w:rFonts w:ascii="Arial" w:hAnsi="Arial" w:cs="Arial"/>
          <w:b/>
          <w:bCs/>
          <w:sz w:val="22"/>
          <w:szCs w:val="22"/>
        </w:rPr>
      </w:pPr>
      <w:r w:rsidRPr="000C62DF">
        <w:rPr>
          <w:rFonts w:ascii="Arial" w:hAnsi="Arial" w:cs="Arial"/>
          <w:b/>
          <w:bCs/>
          <w:noProof/>
          <w:sz w:val="22"/>
          <w:szCs w:val="22"/>
        </w:rPr>
        <w:lastRenderedPageBreak/>
        <w:drawing>
          <wp:anchor distT="0" distB="0" distL="114300" distR="114300" simplePos="0" relativeHeight="251658240" behindDoc="0" locked="0" layoutInCell="1" allowOverlap="1" wp14:anchorId="65A99F3C" wp14:editId="60CA98B9">
            <wp:simplePos x="0" y="0"/>
            <wp:positionH relativeFrom="margin">
              <wp:posOffset>-617220</wp:posOffset>
            </wp:positionH>
            <wp:positionV relativeFrom="paragraph">
              <wp:posOffset>175260</wp:posOffset>
            </wp:positionV>
            <wp:extent cx="6766560" cy="4257675"/>
            <wp:effectExtent l="0" t="0" r="0" b="9525"/>
            <wp:wrapTopAndBottom/>
            <wp:docPr id="188524373" name="Picture 1">
              <a:extLst xmlns:a="http://schemas.openxmlformats.org/drawingml/2006/main">
                <a:ext uri="{FF2B5EF4-FFF2-40B4-BE49-F238E27FC236}">
                  <a16:creationId xmlns:a16="http://schemas.microsoft.com/office/drawing/2014/main" id="{6BB0E493-6731-4744-87FD-C12B19C85A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24373" name="Picture 188524373"/>
                    <pic:cNvPicPr/>
                  </pic:nvPicPr>
                  <pic:blipFill>
                    <a:blip r:embed="rId8">
                      <a:extLst>
                        <a:ext uri="{28A0092B-C50C-407E-A947-70E740481C1C}">
                          <a14:useLocalDpi xmlns:a14="http://schemas.microsoft.com/office/drawing/2010/main" val="0"/>
                        </a:ext>
                      </a:extLst>
                    </a:blip>
                    <a:stretch>
                      <a:fillRect/>
                    </a:stretch>
                  </pic:blipFill>
                  <pic:spPr>
                    <a:xfrm>
                      <a:off x="0" y="0"/>
                      <a:ext cx="6766560" cy="4257675"/>
                    </a:xfrm>
                    <a:prstGeom prst="rect">
                      <a:avLst/>
                    </a:prstGeom>
                  </pic:spPr>
                </pic:pic>
              </a:graphicData>
            </a:graphic>
            <wp14:sizeRelH relativeFrom="margin">
              <wp14:pctWidth>0</wp14:pctWidth>
            </wp14:sizeRelH>
            <wp14:sizeRelV relativeFrom="margin">
              <wp14:pctHeight>0</wp14:pctHeight>
            </wp14:sizeRelV>
          </wp:anchor>
        </w:drawing>
      </w:r>
    </w:p>
    <w:p w14:paraId="549E9ECD" w14:textId="51C7802A" w:rsidR="00E75EE0" w:rsidRPr="00E54A49" w:rsidRDefault="00E75EE0" w:rsidP="00E54A49">
      <w:pPr>
        <w:pStyle w:val="p1"/>
        <w:spacing w:line="360" w:lineRule="auto"/>
        <w:rPr>
          <w:rFonts w:ascii="Arial" w:hAnsi="Arial" w:cs="Arial"/>
          <w:b/>
          <w:bCs/>
          <w:sz w:val="22"/>
          <w:szCs w:val="22"/>
        </w:rPr>
      </w:pPr>
    </w:p>
    <w:p w14:paraId="42C56951" w14:textId="77777777" w:rsidR="000A2B51" w:rsidRPr="00E54A49" w:rsidRDefault="000A2B51" w:rsidP="00E54A49">
      <w:pPr>
        <w:pStyle w:val="p1"/>
        <w:spacing w:line="360" w:lineRule="auto"/>
        <w:rPr>
          <w:rFonts w:ascii="Arial" w:hAnsi="Arial" w:cs="Arial"/>
          <w:b/>
          <w:bCs/>
          <w:sz w:val="22"/>
          <w:szCs w:val="22"/>
        </w:rPr>
      </w:pPr>
    </w:p>
    <w:p w14:paraId="29BC2DB5" w14:textId="77777777" w:rsidR="000A2B51" w:rsidRPr="00E54A49" w:rsidRDefault="000A2B51" w:rsidP="00E54A49">
      <w:pPr>
        <w:pStyle w:val="p1"/>
        <w:spacing w:line="360" w:lineRule="auto"/>
        <w:rPr>
          <w:rFonts w:ascii="Arial" w:hAnsi="Arial" w:cs="Arial"/>
          <w:b/>
          <w:bCs/>
          <w:sz w:val="22"/>
          <w:szCs w:val="22"/>
        </w:rPr>
      </w:pPr>
    </w:p>
    <w:p w14:paraId="290B0BC2" w14:textId="77777777" w:rsidR="000A2B51" w:rsidRPr="00E54A49" w:rsidRDefault="000A2B51" w:rsidP="00E54A49">
      <w:pPr>
        <w:pStyle w:val="p1"/>
        <w:spacing w:line="360" w:lineRule="auto"/>
        <w:rPr>
          <w:rFonts w:ascii="Arial" w:hAnsi="Arial" w:cs="Arial"/>
          <w:b/>
          <w:bCs/>
          <w:sz w:val="22"/>
          <w:szCs w:val="22"/>
        </w:rPr>
      </w:pPr>
    </w:p>
    <w:p w14:paraId="603E95EC" w14:textId="77777777" w:rsidR="00E75EE0" w:rsidRPr="00E54A49" w:rsidRDefault="00E75EE0" w:rsidP="00E54A49">
      <w:pPr>
        <w:pStyle w:val="p1"/>
        <w:spacing w:line="360" w:lineRule="auto"/>
        <w:rPr>
          <w:rFonts w:ascii="Arial" w:hAnsi="Arial" w:cs="Arial"/>
          <w:sz w:val="22"/>
          <w:szCs w:val="22"/>
        </w:rPr>
      </w:pPr>
    </w:p>
    <w:p w14:paraId="504E374B" w14:textId="257E97C5" w:rsidR="008F252A" w:rsidRPr="00E54A49" w:rsidRDefault="008F252A" w:rsidP="00E54A49">
      <w:pPr>
        <w:spacing w:before="100" w:beforeAutospacing="1" w:after="100" w:afterAutospacing="1" w:line="360" w:lineRule="auto"/>
        <w:outlineLvl w:val="2"/>
        <w:rPr>
          <w:rFonts w:ascii="Arial" w:eastAsia="Times New Roman" w:hAnsi="Arial" w:cs="Arial"/>
          <w:b/>
          <w:bCs/>
          <w:kern w:val="0"/>
          <w:sz w:val="22"/>
          <w:szCs w:val="22"/>
          <w14:ligatures w14:val="none"/>
        </w:rPr>
      </w:pPr>
      <w:r w:rsidRPr="00E54A49">
        <w:rPr>
          <w:rFonts w:ascii="Arial" w:eastAsia="Times New Roman" w:hAnsi="Arial" w:cs="Arial"/>
          <w:b/>
          <w:bCs/>
          <w:kern w:val="0"/>
          <w:sz w:val="22"/>
          <w:szCs w:val="22"/>
          <w14:ligatures w14:val="none"/>
        </w:rPr>
        <w:t>Task 3 – Self-Reflection of Group Activity (Gibbs’ Reflective Cycle)</w:t>
      </w:r>
    </w:p>
    <w:p w14:paraId="29A8C4BF" w14:textId="77777777" w:rsidR="00BD4C65" w:rsidRPr="00E54A49" w:rsidRDefault="00BD4C65" w:rsidP="00E54A49">
      <w:pPr>
        <w:pStyle w:val="p1"/>
        <w:spacing w:line="360" w:lineRule="auto"/>
        <w:rPr>
          <w:rStyle w:val="s1"/>
          <w:rFonts w:ascii="Arial" w:hAnsi="Arial" w:cs="Arial"/>
          <w:sz w:val="22"/>
          <w:szCs w:val="22"/>
        </w:rPr>
      </w:pPr>
      <w:r w:rsidRPr="00E54A49">
        <w:rPr>
          <w:rFonts w:ascii="Arial" w:hAnsi="Arial" w:cs="Arial"/>
          <w:sz w:val="22"/>
          <w:szCs w:val="22"/>
        </w:rPr>
        <w:t xml:space="preserve">Using </w:t>
      </w:r>
      <w:r w:rsidRPr="00B97E59">
        <w:rPr>
          <w:rStyle w:val="s2"/>
          <w:rFonts w:ascii="Arial" w:hAnsi="Arial" w:cs="Arial"/>
          <w:sz w:val="22"/>
          <w:szCs w:val="22"/>
        </w:rPr>
        <w:t>Gibbs’ Reflective Cycle (1988)</w:t>
      </w:r>
      <w:r w:rsidRPr="00B97E59">
        <w:rPr>
          <w:rStyle w:val="s1"/>
          <w:rFonts w:ascii="Arial" w:hAnsi="Arial" w:cs="Arial"/>
          <w:sz w:val="22"/>
          <w:szCs w:val="22"/>
        </w:rPr>
        <w:t>,</w:t>
      </w:r>
      <w:r w:rsidRPr="00E54A49">
        <w:rPr>
          <w:rStyle w:val="s1"/>
          <w:rFonts w:ascii="Arial" w:hAnsi="Arial" w:cs="Arial"/>
          <w:sz w:val="22"/>
          <w:szCs w:val="22"/>
        </w:rPr>
        <w:t xml:space="preserve"> I reflected on my contribution during the group activity on divergent and convergent thinking. The purpose of the activity was to explore a range of possible solutions before selecting the most suitable one. Through this exercise, I learned that divergent thinking encourages creativity and the generation of different ideas, while convergent thinking focuses on evaluating those ideas to identify the most practical solution.</w:t>
      </w:r>
    </w:p>
    <w:p w14:paraId="4A909759" w14:textId="77777777" w:rsidR="00BD4C65" w:rsidRPr="00E54A49" w:rsidRDefault="00BD4C65" w:rsidP="00E54A49">
      <w:pPr>
        <w:pStyle w:val="p1"/>
        <w:spacing w:line="360" w:lineRule="auto"/>
        <w:rPr>
          <w:rStyle w:val="s1"/>
          <w:rFonts w:ascii="Arial" w:hAnsi="Arial" w:cs="Arial"/>
          <w:sz w:val="22"/>
          <w:szCs w:val="22"/>
        </w:rPr>
      </w:pPr>
      <w:r w:rsidRPr="00E54A49">
        <w:rPr>
          <w:rFonts w:ascii="Arial" w:hAnsi="Arial" w:cs="Arial"/>
          <w:sz w:val="22"/>
          <w:szCs w:val="22"/>
        </w:rPr>
        <w:t xml:space="preserve">During the discussion, I suggested using </w:t>
      </w:r>
      <w:r w:rsidRPr="001C7D3E">
        <w:rPr>
          <w:rStyle w:val="s2"/>
          <w:rFonts w:ascii="Arial" w:hAnsi="Arial" w:cs="Arial"/>
          <w:sz w:val="22"/>
          <w:szCs w:val="22"/>
        </w:rPr>
        <w:t>divergent thinking</w:t>
      </w:r>
      <w:r w:rsidRPr="00E54A49">
        <w:rPr>
          <w:rStyle w:val="s1"/>
          <w:rFonts w:ascii="Arial" w:hAnsi="Arial" w:cs="Arial"/>
          <w:sz w:val="22"/>
          <w:szCs w:val="22"/>
        </w:rPr>
        <w:t xml:space="preserve"> to address Stanley’s vaccination programme because the situation involved several challenges, including staff shortages and </w:t>
      </w:r>
      <w:r w:rsidRPr="00E54A49">
        <w:rPr>
          <w:rStyle w:val="s1"/>
          <w:rFonts w:ascii="Arial" w:hAnsi="Arial" w:cs="Arial"/>
          <w:sz w:val="22"/>
          <w:szCs w:val="22"/>
        </w:rPr>
        <w:lastRenderedPageBreak/>
        <w:t>limited vaccine availability. I recommended increasing staffing levels, sharing responsibilities within the team and working with community organisations to improve access to vaccination for vulnerable groups. Listening to the ideas of other group members also showed me that combining different perspectives often leads to stronger and more effective solutions than relying on one person’s opinion.</w:t>
      </w:r>
    </w:p>
    <w:p w14:paraId="280B0182" w14:textId="5A4D546A" w:rsidR="00BD4C65" w:rsidRPr="00E54A49" w:rsidRDefault="00BD4C65" w:rsidP="00E54A49">
      <w:pPr>
        <w:pStyle w:val="p2"/>
        <w:spacing w:line="360" w:lineRule="auto"/>
        <w:rPr>
          <w:rFonts w:ascii="Arial" w:hAnsi="Arial" w:cs="Arial"/>
          <w:sz w:val="22"/>
          <w:szCs w:val="22"/>
        </w:rPr>
      </w:pPr>
      <w:r w:rsidRPr="00E54A49">
        <w:rPr>
          <w:rFonts w:ascii="Arial" w:hAnsi="Arial" w:cs="Arial"/>
          <w:sz w:val="22"/>
          <w:szCs w:val="22"/>
        </w:rPr>
        <w:t>Reflecting on the activity, I realised that I enjoy thinking creatively and suggesting new ideas. However, I also recognised the importance of taking time to critically evaluate those ideas before making a final decision. The experience helped me develop my communication, teamwork and problem-solving skills, while increasing my confidence in contributing to group discussions. In future group activities and professional practice, I will encourage  team members to share their ideas and use both divergent and convergent thinking to support well-informed, realistic and person-centred decision-making.</w:t>
      </w:r>
    </w:p>
    <w:p w14:paraId="10ECC734" w14:textId="0ADA2E2F" w:rsidR="0080585F" w:rsidRPr="00E54A49" w:rsidRDefault="0080585F" w:rsidP="00E54A49">
      <w:pPr>
        <w:spacing w:before="100" w:beforeAutospacing="1" w:after="100" w:afterAutospacing="1" w:line="360" w:lineRule="auto"/>
        <w:outlineLvl w:val="0"/>
        <w:rPr>
          <w:rFonts w:ascii="Arial" w:eastAsia="Times New Roman" w:hAnsi="Arial" w:cs="Arial"/>
          <w:b/>
          <w:bCs/>
          <w:kern w:val="36"/>
          <w:sz w:val="22"/>
          <w:szCs w:val="22"/>
          <w14:ligatures w14:val="none"/>
        </w:rPr>
      </w:pPr>
      <w:r w:rsidRPr="00E54A49">
        <w:rPr>
          <w:rFonts w:ascii="Arial" w:eastAsia="Times New Roman" w:hAnsi="Arial" w:cs="Arial"/>
          <w:b/>
          <w:bCs/>
          <w:kern w:val="36"/>
          <w:sz w:val="22"/>
          <w:szCs w:val="22"/>
          <w14:ligatures w14:val="none"/>
        </w:rPr>
        <w:t>Task 4 – Case Study Analysis of a UK Innovation</w:t>
      </w:r>
    </w:p>
    <w:p w14:paraId="12C02833" w14:textId="77777777" w:rsidR="00BD1866" w:rsidRPr="00E54A49" w:rsidRDefault="00BD1866" w:rsidP="00E54A49">
      <w:pPr>
        <w:pStyle w:val="p1"/>
        <w:spacing w:line="360" w:lineRule="auto"/>
        <w:rPr>
          <w:rFonts w:ascii="Arial" w:hAnsi="Arial" w:cs="Arial"/>
          <w:sz w:val="22"/>
          <w:szCs w:val="22"/>
        </w:rPr>
      </w:pPr>
      <w:r w:rsidRPr="00E54A49">
        <w:rPr>
          <w:rFonts w:ascii="Arial" w:hAnsi="Arial" w:cs="Arial"/>
          <w:sz w:val="22"/>
          <w:szCs w:val="22"/>
        </w:rPr>
        <w:t>HealthCall Digital Care Homes is a UK digital innovation designed to improve communication between care homes and NHS professionals while reducing avoidable hospital admissions (Garner et al., 2024). Before the programme was introduced, care home staff often relied on telephone calls to seek clinical advice, which could delay decision-making and increase unnecessary hospital transfers (Russell et al., 2025).</w:t>
      </w:r>
    </w:p>
    <w:p w14:paraId="70D2DC41" w14:textId="77777777" w:rsidR="00BD1866" w:rsidRPr="00E54A49" w:rsidRDefault="00BD1866" w:rsidP="00E54A49">
      <w:pPr>
        <w:pStyle w:val="p1"/>
        <w:spacing w:line="360" w:lineRule="auto"/>
        <w:rPr>
          <w:rFonts w:ascii="Arial" w:hAnsi="Arial" w:cs="Arial"/>
          <w:sz w:val="22"/>
          <w:szCs w:val="22"/>
        </w:rPr>
      </w:pPr>
      <w:r w:rsidRPr="00E54A49">
        <w:rPr>
          <w:rFonts w:ascii="Arial" w:hAnsi="Arial" w:cs="Arial"/>
          <w:sz w:val="22"/>
          <w:szCs w:val="22"/>
        </w:rPr>
        <w:t>The programme uses a digital application that allows care home staff to record residents’ observations, calculate an early warning score and securely share this information with NHS clinicians. This enables faster clinical assessment and supports more timely decisions, helping residents receive appropriate care without always needing to attend hospital (Russell et al., 2025).</w:t>
      </w:r>
    </w:p>
    <w:p w14:paraId="64589E80" w14:textId="77777777" w:rsidR="00BD1866" w:rsidRPr="00E54A49" w:rsidRDefault="00BD1866" w:rsidP="00E54A49">
      <w:pPr>
        <w:pStyle w:val="p1"/>
        <w:spacing w:line="360" w:lineRule="auto"/>
        <w:rPr>
          <w:rFonts w:ascii="Arial" w:hAnsi="Arial" w:cs="Arial"/>
          <w:sz w:val="22"/>
          <w:szCs w:val="22"/>
        </w:rPr>
      </w:pPr>
      <w:r w:rsidRPr="00E54A49">
        <w:rPr>
          <w:rFonts w:ascii="Arial" w:hAnsi="Arial" w:cs="Arial"/>
          <w:sz w:val="22"/>
          <w:szCs w:val="22"/>
        </w:rPr>
        <w:t>Evidence suggests the programme has benefited residents, care staff and the wider health service. Residents receive quicker clinical support while remaining in familiar surroundings, staff have greater confidence when managing deteriorating residents, and the NHS has reported fewer emergency department attendances, fewer hospital admissions and shorter hospital stays (Garner et al., 2024).</w:t>
      </w:r>
    </w:p>
    <w:p w14:paraId="1F3E459A" w14:textId="3E7AA311" w:rsidR="00AD7637" w:rsidRPr="00E54A49" w:rsidRDefault="00BD1866" w:rsidP="002C2D56">
      <w:pPr>
        <w:pStyle w:val="p2"/>
        <w:spacing w:line="360" w:lineRule="auto"/>
        <w:rPr>
          <w:rFonts w:ascii="Arial" w:eastAsia="Times New Roman" w:hAnsi="Arial" w:cs="Arial"/>
          <w:b/>
          <w:bCs/>
          <w:sz w:val="22"/>
          <w:szCs w:val="22"/>
        </w:rPr>
      </w:pPr>
      <w:r w:rsidRPr="00E54A49">
        <w:rPr>
          <w:rFonts w:ascii="Arial" w:hAnsi="Arial" w:cs="Arial"/>
          <w:sz w:val="22"/>
          <w:szCs w:val="22"/>
        </w:rPr>
        <w:t xml:space="preserve">Rogers’ Diffusion of Innovation Theory suggests that new ideas are more likely to be adopted when they are easy to use, fit existing practice and clearly improve outcomes (Rogers, 2003). </w:t>
      </w:r>
      <w:r w:rsidR="002C2D56" w:rsidRPr="002C2D56">
        <w:rPr>
          <w:rFonts w:ascii="Arial" w:hAnsi="Arial" w:cs="Arial"/>
          <w:sz w:val="22"/>
          <w:szCs w:val="22"/>
        </w:rPr>
        <w:t xml:space="preserve">Although HealthCall has shown positive results, its success depends on staff training, digital skills and reliable technological infrastructure. These requirements may </w:t>
      </w:r>
      <w:r w:rsidR="002C2D56" w:rsidRPr="002C2D56">
        <w:rPr>
          <w:rFonts w:ascii="Arial" w:hAnsi="Arial" w:cs="Arial"/>
          <w:sz w:val="22"/>
          <w:szCs w:val="22"/>
        </w:rPr>
        <w:lastRenderedPageBreak/>
        <w:t>limit implementation in organisations with limited resources, suggesting that organisational readiness is as important as the technology itself.</w:t>
      </w:r>
    </w:p>
    <w:p w14:paraId="325DF8B1" w14:textId="7F95EA5E" w:rsidR="006D2F3B" w:rsidRPr="00E54A49" w:rsidRDefault="006D2F3B" w:rsidP="00E54A49">
      <w:pPr>
        <w:spacing w:before="100" w:beforeAutospacing="1" w:after="100" w:afterAutospacing="1" w:line="360" w:lineRule="auto"/>
        <w:outlineLvl w:val="2"/>
        <w:rPr>
          <w:rFonts w:ascii="Arial" w:eastAsia="Times New Roman" w:hAnsi="Arial" w:cs="Arial"/>
          <w:b/>
          <w:bCs/>
          <w:kern w:val="0"/>
          <w:sz w:val="22"/>
          <w:szCs w:val="22"/>
          <w14:ligatures w14:val="none"/>
        </w:rPr>
      </w:pPr>
      <w:r w:rsidRPr="00E54A49">
        <w:rPr>
          <w:rFonts w:ascii="Arial" w:eastAsia="Times New Roman" w:hAnsi="Arial" w:cs="Arial"/>
          <w:b/>
          <w:bCs/>
          <w:kern w:val="0"/>
          <w:sz w:val="22"/>
          <w:szCs w:val="22"/>
          <w14:ligatures w14:val="none"/>
        </w:rPr>
        <w:t>Task 5</w:t>
      </w:r>
    </w:p>
    <w:p w14:paraId="5A1A7B23" w14:textId="77777777" w:rsidR="006D2F3B" w:rsidRPr="00E54A49" w:rsidRDefault="006D2F3B" w:rsidP="00E54A49">
      <w:pPr>
        <w:spacing w:before="100" w:beforeAutospacing="1" w:after="100" w:afterAutospacing="1" w:line="360" w:lineRule="auto"/>
        <w:rPr>
          <w:rFonts w:ascii="Arial" w:hAnsi="Arial" w:cs="Arial"/>
          <w:kern w:val="0"/>
          <w:sz w:val="22"/>
          <w:szCs w:val="22"/>
          <w14:ligatures w14:val="none"/>
        </w:rPr>
      </w:pPr>
      <w:r w:rsidRPr="00E54A49">
        <w:rPr>
          <w:rFonts w:ascii="Arial" w:hAnsi="Arial" w:cs="Arial"/>
          <w:b/>
          <w:bCs/>
          <w:kern w:val="0"/>
          <w:sz w:val="22"/>
          <w:szCs w:val="22"/>
          <w14:ligatures w14:val="none"/>
        </w:rPr>
        <w:t>Current Issue: Digital Inequality in Health and Social Care</w:t>
      </w:r>
    </w:p>
    <w:p w14:paraId="36C5C607" w14:textId="77777777" w:rsidR="00570396" w:rsidRPr="00E54A49" w:rsidRDefault="00570396" w:rsidP="00E54A49">
      <w:pPr>
        <w:pStyle w:val="p1"/>
        <w:spacing w:line="360" w:lineRule="auto"/>
        <w:rPr>
          <w:rFonts w:ascii="Arial" w:hAnsi="Arial" w:cs="Arial"/>
          <w:sz w:val="22"/>
          <w:szCs w:val="22"/>
        </w:rPr>
      </w:pPr>
      <w:r w:rsidRPr="00E54A49">
        <w:rPr>
          <w:rFonts w:ascii="Arial" w:hAnsi="Arial" w:cs="Arial"/>
          <w:sz w:val="22"/>
          <w:szCs w:val="22"/>
        </w:rPr>
        <w:t>Digital inequality has become a growing concern in health and social care because many NHS services now rely on digital technology to deliver care and communicate with patients (Watts, 2020). However, not everyone has equal access to digital devices, reliable internet connections or the skills needed to use online services. Older adults, people on lower incomes and those living in disadvantaged communities are more likely to experience digital exclusion, making it harder to book appointments, attend virtual consultations and access health information (Watts, 2020).</w:t>
      </w:r>
    </w:p>
    <w:p w14:paraId="5C4AD80D" w14:textId="3AE2D08D" w:rsidR="00570396" w:rsidRPr="00E54A49" w:rsidRDefault="00570396" w:rsidP="00E54A49">
      <w:pPr>
        <w:pStyle w:val="p1"/>
        <w:spacing w:line="360" w:lineRule="auto"/>
        <w:rPr>
          <w:rFonts w:ascii="Arial" w:hAnsi="Arial" w:cs="Arial"/>
          <w:sz w:val="22"/>
          <w:szCs w:val="22"/>
        </w:rPr>
      </w:pPr>
      <w:r w:rsidRPr="00E54A49">
        <w:rPr>
          <w:rFonts w:ascii="Arial" w:hAnsi="Arial" w:cs="Arial"/>
          <w:sz w:val="22"/>
          <w:szCs w:val="22"/>
        </w:rPr>
        <w:t xml:space="preserve">Robinson et al. (2020) argue that digital inequality is not only about access to technology but also about digital confidence, skills and social support. This suggests that simply providing digital devices is unlikely to solve the problem unless people also receive the support needed to use them effectively. </w:t>
      </w:r>
      <w:r w:rsidR="000E1D9E" w:rsidRPr="000E1D9E">
        <w:rPr>
          <w:rFonts w:ascii="Arial" w:hAnsi="Arial" w:cs="Arial"/>
          <w:sz w:val="22"/>
          <w:szCs w:val="22"/>
        </w:rPr>
        <w:t>Both studies agree that digital inequality reduces access to healthcare. However, Robinson et al. (2020) provide a broader perspective by considering digital confidence, education and social support, whereas Watts (2020) focuses mainly on access to technology. This suggests Robinson et al.’s findings offer a more comprehensive understanding for health and social care practice.</w:t>
      </w:r>
    </w:p>
    <w:p w14:paraId="3E4F5EF0" w14:textId="77777777" w:rsidR="00570396" w:rsidRPr="00E54A49" w:rsidRDefault="00570396" w:rsidP="00E54A49">
      <w:pPr>
        <w:pStyle w:val="p2"/>
        <w:spacing w:line="360" w:lineRule="auto"/>
        <w:rPr>
          <w:rFonts w:ascii="Arial" w:hAnsi="Arial" w:cs="Arial"/>
          <w:sz w:val="22"/>
          <w:szCs w:val="22"/>
        </w:rPr>
      </w:pPr>
      <w:r w:rsidRPr="00E54A49">
        <w:rPr>
          <w:rFonts w:ascii="Arial" w:hAnsi="Arial" w:cs="Arial"/>
          <w:sz w:val="22"/>
          <w:szCs w:val="22"/>
        </w:rPr>
        <w:t>These findings reflect the Social Determinants of Health framework, which recognises that social and economic factors have a significant influence on health outcomes (Marmot et al., 2020). In practice, health and social care organisations should continue offering face-to-face services while improving digital access, skills and support to reduce health inequalities.</w:t>
      </w:r>
    </w:p>
    <w:p w14:paraId="4F88EB14" w14:textId="77777777" w:rsidR="00BB0DED" w:rsidRPr="00E54A49" w:rsidRDefault="00BB0DED" w:rsidP="00E54A49">
      <w:pPr>
        <w:pStyle w:val="p2"/>
        <w:spacing w:line="360" w:lineRule="auto"/>
        <w:rPr>
          <w:rFonts w:ascii="Arial" w:hAnsi="Arial" w:cs="Arial"/>
          <w:sz w:val="22"/>
          <w:szCs w:val="22"/>
        </w:rPr>
      </w:pPr>
    </w:p>
    <w:p w14:paraId="761F0AB0" w14:textId="0269007B" w:rsidR="005258AB" w:rsidRPr="00E54A49" w:rsidRDefault="005258AB" w:rsidP="00E54A49">
      <w:pPr>
        <w:spacing w:before="100" w:beforeAutospacing="1" w:after="100" w:afterAutospacing="1" w:line="360" w:lineRule="auto"/>
        <w:outlineLvl w:val="2"/>
        <w:rPr>
          <w:rFonts w:ascii="Arial" w:eastAsia="Times New Roman" w:hAnsi="Arial" w:cs="Arial"/>
          <w:b/>
          <w:bCs/>
          <w:kern w:val="0"/>
          <w:sz w:val="22"/>
          <w:szCs w:val="22"/>
          <w14:ligatures w14:val="none"/>
        </w:rPr>
      </w:pPr>
      <w:r w:rsidRPr="00E54A49">
        <w:rPr>
          <w:rFonts w:ascii="Arial" w:eastAsia="Times New Roman" w:hAnsi="Arial" w:cs="Arial"/>
          <w:b/>
          <w:bCs/>
          <w:kern w:val="0"/>
          <w:sz w:val="22"/>
          <w:szCs w:val="22"/>
          <w14:ligatures w14:val="none"/>
        </w:rPr>
        <w:t>Task 6</w:t>
      </w:r>
      <w:r w:rsidR="00C36A45" w:rsidRPr="00E54A49">
        <w:rPr>
          <w:rFonts w:ascii="Arial" w:eastAsia="Times New Roman" w:hAnsi="Arial" w:cs="Arial"/>
          <w:b/>
          <w:bCs/>
          <w:kern w:val="0"/>
          <w:sz w:val="22"/>
          <w:szCs w:val="22"/>
          <w14:ligatures w14:val="none"/>
        </w:rPr>
        <w:t xml:space="preserve"> </w:t>
      </w:r>
      <w:r w:rsidRPr="00E54A49">
        <w:rPr>
          <w:rFonts w:ascii="Arial" w:eastAsia="Times New Roman" w:hAnsi="Arial" w:cs="Arial"/>
          <w:b/>
          <w:bCs/>
          <w:kern w:val="0"/>
          <w:sz w:val="22"/>
          <w:szCs w:val="22"/>
          <w14:ligatures w14:val="none"/>
        </w:rPr>
        <w:t>Discuss one benefit of using wearable health technologies to support the management of chronic health conditions</w:t>
      </w:r>
    </w:p>
    <w:p w14:paraId="7949DE57" w14:textId="77777777" w:rsidR="00741506" w:rsidRPr="00E54A49" w:rsidRDefault="00741506" w:rsidP="00E54A49">
      <w:pPr>
        <w:pStyle w:val="p1"/>
        <w:spacing w:line="360" w:lineRule="auto"/>
        <w:rPr>
          <w:rFonts w:ascii="Arial" w:hAnsi="Arial" w:cs="Arial"/>
          <w:sz w:val="22"/>
          <w:szCs w:val="22"/>
        </w:rPr>
      </w:pPr>
      <w:r w:rsidRPr="00E54A49">
        <w:rPr>
          <w:rFonts w:ascii="Arial" w:hAnsi="Arial" w:cs="Arial"/>
          <w:sz w:val="22"/>
          <w:szCs w:val="22"/>
        </w:rPr>
        <w:t xml:space="preserve">One important benefit of wearable health technologies is that they help people with long-term conditions monitor their health more regularly without needing frequent hospital visits. Devices such as smartwatches and continuous glucose monitors can record heart rate, physical activity and blood glucose levels, allowing both patients and healthcare professionals to identify changes early and respond before a condition becomes more </w:t>
      </w:r>
      <w:r w:rsidRPr="00E54A49">
        <w:rPr>
          <w:rFonts w:ascii="Arial" w:hAnsi="Arial" w:cs="Arial"/>
          <w:sz w:val="22"/>
          <w:szCs w:val="22"/>
        </w:rPr>
        <w:lastRenderedPageBreak/>
        <w:t>serious (Lum et al., 2024). This can encourage people to take a more active role in managing their own health, improve treatment adherence and support better long-term outcomes (Gagnon et al., 2024).</w:t>
      </w:r>
    </w:p>
    <w:p w14:paraId="21E3A326" w14:textId="77777777" w:rsidR="00741506" w:rsidRPr="00E54A49" w:rsidRDefault="00741506" w:rsidP="00E54A49">
      <w:pPr>
        <w:pStyle w:val="p2"/>
        <w:spacing w:line="360" w:lineRule="auto"/>
        <w:rPr>
          <w:rFonts w:ascii="Arial" w:hAnsi="Arial" w:cs="Arial"/>
          <w:sz w:val="22"/>
          <w:szCs w:val="22"/>
        </w:rPr>
      </w:pPr>
      <w:r w:rsidRPr="00E54A49">
        <w:rPr>
          <w:rFonts w:ascii="Arial" w:hAnsi="Arial" w:cs="Arial"/>
          <w:sz w:val="22"/>
          <w:szCs w:val="22"/>
        </w:rPr>
        <w:t>Despite these benefits, wearable technology may not be suitable for everyone. Some people may struggle with digital skills, lose motivation to use the devices over time or have concerns about relying on technology (Lum et al., 2024). The Technology Acceptance Model suggests that people are more likely to use digital health technologies when they believe they are useful and easy to use (Davis, 1989).</w:t>
      </w:r>
    </w:p>
    <w:p w14:paraId="6EA3395C" w14:textId="77777777" w:rsidR="005258AB" w:rsidRPr="00E54A49" w:rsidRDefault="005258AB" w:rsidP="00E54A49">
      <w:pPr>
        <w:spacing w:after="0" w:line="360" w:lineRule="auto"/>
        <w:rPr>
          <w:rFonts w:ascii="Arial" w:eastAsia="Times New Roman" w:hAnsi="Arial" w:cs="Arial"/>
          <w:kern w:val="0"/>
          <w:sz w:val="22"/>
          <w:szCs w:val="22"/>
          <w14:ligatures w14:val="none"/>
        </w:rPr>
      </w:pPr>
      <w:r w:rsidRPr="00E54A49">
        <w:rPr>
          <w:rFonts w:ascii="Arial" w:eastAsia="Times New Roman" w:hAnsi="Arial" w:cs="Arial"/>
          <w:noProof/>
          <w:kern w:val="0"/>
          <w:sz w:val="22"/>
          <w:szCs w:val="22"/>
          <w14:ligatures w14:val="none"/>
        </w:rPr>
        <mc:AlternateContent>
          <mc:Choice Requires="wps">
            <w:drawing>
              <wp:inline distT="0" distB="0" distL="0" distR="0" wp14:anchorId="25D5A197" wp14:editId="0FA4EB56">
                <wp:extent cx="5731510" cy="1270"/>
                <wp:effectExtent l="0" t="31750" r="0" b="36830"/>
                <wp:docPr id="1046595294" name="Rectangle 2">
                  <a:extLst xmlns:a="http://schemas.openxmlformats.org/drawingml/2006/main">
                    <a:ext uri="{FF2B5EF4-FFF2-40B4-BE49-F238E27FC236}">
                      <a16:creationId xmlns:a16="http://schemas.microsoft.com/office/drawing/2014/main" id="{2CD5E8AF-DE98-4477-9E31-D0502E55AFF7}"/>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C262F1B"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" filled="f">
                <o:lock v:ext="edit" aspectratio="t"/>
                <w10:anchorlock/>
              </v:rect>
            </w:pict>
          </mc:Fallback>
        </mc:AlternateContent>
      </w:r>
    </w:p>
    <w:p w14:paraId="06DC623B" w14:textId="05438AF5" w:rsidR="005258AB" w:rsidRPr="00E54A49" w:rsidRDefault="005258AB" w:rsidP="00E54A49">
      <w:pPr>
        <w:spacing w:before="100" w:beforeAutospacing="1" w:after="100" w:afterAutospacing="1" w:line="360" w:lineRule="auto"/>
        <w:outlineLvl w:val="2"/>
        <w:rPr>
          <w:rFonts w:ascii="Arial" w:eastAsia="Times New Roman" w:hAnsi="Arial" w:cs="Arial"/>
          <w:b/>
          <w:bCs/>
          <w:kern w:val="0"/>
          <w:sz w:val="22"/>
          <w:szCs w:val="22"/>
          <w14:ligatures w14:val="none"/>
        </w:rPr>
      </w:pPr>
      <w:r w:rsidRPr="00E54A49">
        <w:rPr>
          <w:rFonts w:ascii="Arial" w:eastAsia="Times New Roman" w:hAnsi="Arial" w:cs="Arial"/>
          <w:b/>
          <w:bCs/>
          <w:kern w:val="0"/>
          <w:sz w:val="22"/>
          <w:szCs w:val="22"/>
          <w14:ligatures w14:val="none"/>
        </w:rPr>
        <w:t>Describe how electronic health records (EHRs) improve communication and collaboration between healthcare providers</w:t>
      </w:r>
    </w:p>
    <w:p w14:paraId="70FD466C" w14:textId="77777777" w:rsidR="00EF1B95" w:rsidRPr="00E54A49" w:rsidRDefault="00EF1B95" w:rsidP="00E54A49">
      <w:pPr>
        <w:pStyle w:val="p1"/>
        <w:spacing w:line="360" w:lineRule="auto"/>
        <w:rPr>
          <w:rFonts w:ascii="Arial" w:hAnsi="Arial" w:cs="Arial"/>
          <w:sz w:val="22"/>
          <w:szCs w:val="22"/>
        </w:rPr>
      </w:pPr>
      <w:r w:rsidRPr="00E54A49">
        <w:rPr>
          <w:rFonts w:ascii="Arial" w:hAnsi="Arial" w:cs="Arial"/>
          <w:sz w:val="22"/>
          <w:szCs w:val="22"/>
        </w:rPr>
        <w:t>Electronic Health Records (EHRs) improve communication by allowing authorised healthcare professionals to access the same patient information wherever care is delivered. This reduces duplicated tests, incomplete records and medication errors while supporting safer decision-making across multidisciplinary teams (</w:t>
      </w:r>
      <w:proofErr w:type="spellStart"/>
      <w:r w:rsidRPr="00E54A49">
        <w:rPr>
          <w:rFonts w:ascii="Arial" w:hAnsi="Arial" w:cs="Arial"/>
          <w:sz w:val="22"/>
          <w:szCs w:val="22"/>
        </w:rPr>
        <w:t>Alomar</w:t>
      </w:r>
      <w:proofErr w:type="spellEnd"/>
      <w:r w:rsidRPr="00E54A49">
        <w:rPr>
          <w:rFonts w:ascii="Arial" w:hAnsi="Arial" w:cs="Arial"/>
          <w:sz w:val="22"/>
          <w:szCs w:val="22"/>
        </w:rPr>
        <w:t xml:space="preserve"> et al., 2024). For example, GPs, hospital consultants and community nurses can view the same clinical information, making it easier to coordinate treatment and provide continuity of care.</w:t>
      </w:r>
    </w:p>
    <w:p w14:paraId="3F838C21" w14:textId="77777777" w:rsidR="00EF1B95" w:rsidRPr="00E54A49" w:rsidRDefault="00EF1B95" w:rsidP="00E54A49">
      <w:pPr>
        <w:pStyle w:val="p2"/>
        <w:spacing w:line="360" w:lineRule="auto"/>
        <w:rPr>
          <w:rFonts w:ascii="Arial" w:hAnsi="Arial" w:cs="Arial"/>
          <w:sz w:val="22"/>
          <w:szCs w:val="22"/>
        </w:rPr>
      </w:pPr>
      <w:r w:rsidRPr="00E54A49">
        <w:rPr>
          <w:rFonts w:ascii="Arial" w:hAnsi="Arial" w:cs="Arial"/>
          <w:sz w:val="22"/>
          <w:szCs w:val="22"/>
        </w:rPr>
        <w:t>Research also suggests that giving patients access to their electronic records can increase their understanding of their condition and encourage them to become more involved in decisions about their care (</w:t>
      </w:r>
      <w:proofErr w:type="spellStart"/>
      <w:r w:rsidRPr="00E54A49">
        <w:rPr>
          <w:rFonts w:ascii="Arial" w:hAnsi="Arial" w:cs="Arial"/>
          <w:sz w:val="22"/>
          <w:szCs w:val="22"/>
        </w:rPr>
        <w:t>Alomar</w:t>
      </w:r>
      <w:proofErr w:type="spellEnd"/>
      <w:r w:rsidRPr="00E54A49">
        <w:rPr>
          <w:rFonts w:ascii="Arial" w:hAnsi="Arial" w:cs="Arial"/>
          <w:sz w:val="22"/>
          <w:szCs w:val="22"/>
        </w:rPr>
        <w:t xml:space="preserve"> et al., 2024). However, successful implementation depends on staff training, effective cybersecurity and systems that can communicate with one another (Pong et al., 2024). The Technology Acceptance Model explains that healthcare professionals are more likely to adopt digital systems when they believe they are beneficial and straightforward to use (Davis, 1989).</w:t>
      </w:r>
    </w:p>
    <w:p w14:paraId="599153F0" w14:textId="0C989E5E" w:rsidR="005258AB" w:rsidRDefault="005258AB" w:rsidP="00E54A49">
      <w:pPr>
        <w:spacing w:after="0" w:line="360" w:lineRule="auto"/>
        <w:rPr>
          <w:rFonts w:ascii="Arial" w:eastAsia="Times New Roman" w:hAnsi="Arial" w:cs="Arial"/>
          <w:kern w:val="0"/>
          <w:sz w:val="22"/>
          <w:szCs w:val="22"/>
          <w14:ligatures w14:val="none"/>
        </w:rPr>
      </w:pPr>
    </w:p>
    <w:p w14:paraId="6E31EE87" w14:textId="77777777" w:rsidR="00A65F80" w:rsidRPr="00E54A49" w:rsidRDefault="00A65F80" w:rsidP="00E54A49">
      <w:pPr>
        <w:spacing w:after="0" w:line="360" w:lineRule="auto"/>
        <w:rPr>
          <w:rFonts w:ascii="Arial" w:eastAsia="Times New Roman" w:hAnsi="Arial" w:cs="Arial"/>
          <w:kern w:val="0"/>
          <w:sz w:val="22"/>
          <w:szCs w:val="22"/>
          <w14:ligatures w14:val="none"/>
        </w:rPr>
      </w:pPr>
    </w:p>
    <w:p w14:paraId="374DF7E1" w14:textId="68F7CD0E" w:rsidR="005258AB" w:rsidRPr="00E54A49" w:rsidRDefault="005258AB" w:rsidP="00E54A49">
      <w:pPr>
        <w:spacing w:before="100" w:beforeAutospacing="1" w:after="100" w:afterAutospacing="1" w:line="360" w:lineRule="auto"/>
        <w:outlineLvl w:val="2"/>
        <w:rPr>
          <w:rFonts w:ascii="Arial" w:eastAsia="Times New Roman" w:hAnsi="Arial" w:cs="Arial"/>
          <w:b/>
          <w:bCs/>
          <w:kern w:val="0"/>
          <w:sz w:val="22"/>
          <w:szCs w:val="22"/>
          <w14:ligatures w14:val="none"/>
        </w:rPr>
      </w:pPr>
      <w:r w:rsidRPr="00E54A49">
        <w:rPr>
          <w:rFonts w:ascii="Arial" w:eastAsia="Times New Roman" w:hAnsi="Arial" w:cs="Arial"/>
          <w:b/>
          <w:bCs/>
          <w:kern w:val="0"/>
          <w:sz w:val="22"/>
          <w:szCs w:val="22"/>
          <w14:ligatures w14:val="none"/>
        </w:rPr>
        <w:t>Explore how digital technology can support preventative care and health promotion</w:t>
      </w:r>
    </w:p>
    <w:p w14:paraId="1553F151" w14:textId="77777777" w:rsidR="00117EDC" w:rsidRPr="00E54A49" w:rsidRDefault="00117EDC" w:rsidP="00E54A49">
      <w:pPr>
        <w:pStyle w:val="p1"/>
        <w:spacing w:line="360" w:lineRule="auto"/>
        <w:rPr>
          <w:rFonts w:ascii="Arial" w:hAnsi="Arial" w:cs="Arial"/>
          <w:sz w:val="22"/>
          <w:szCs w:val="22"/>
        </w:rPr>
      </w:pPr>
      <w:r w:rsidRPr="00E54A49">
        <w:rPr>
          <w:rFonts w:ascii="Arial" w:hAnsi="Arial" w:cs="Arial"/>
          <w:sz w:val="22"/>
          <w:szCs w:val="22"/>
        </w:rPr>
        <w:t xml:space="preserve">Digital technology can support preventative care and health promotion by helping people identify health risks earlier and make healthier lifestyle choices. Mobile health applications and wearable devices can remind people to exercise, take medication, attend screening appointments and monitor changes in their health, encouraging them to take a more active </w:t>
      </w:r>
      <w:r w:rsidRPr="00E54A49">
        <w:rPr>
          <w:rFonts w:ascii="Arial" w:hAnsi="Arial" w:cs="Arial"/>
          <w:sz w:val="22"/>
          <w:szCs w:val="22"/>
        </w:rPr>
        <w:lastRenderedPageBreak/>
        <w:t>role in preventing illness (Lum et al., 2024). For example, someone at risk of developing type 2 diabetes could use a fitness app linked to a smartwatch to track daily activity, receive personalised feedback and monitor progress towards their exercise goals.</w:t>
      </w:r>
    </w:p>
    <w:p w14:paraId="505D6925" w14:textId="77777777" w:rsidR="00117EDC" w:rsidRDefault="00117EDC" w:rsidP="00E54A49">
      <w:pPr>
        <w:pStyle w:val="p2"/>
        <w:spacing w:line="360" w:lineRule="auto"/>
        <w:rPr>
          <w:rFonts w:ascii="Arial" w:hAnsi="Arial" w:cs="Arial"/>
          <w:sz w:val="22"/>
          <w:szCs w:val="22"/>
        </w:rPr>
      </w:pPr>
      <w:r w:rsidRPr="00E54A49">
        <w:rPr>
          <w:rFonts w:ascii="Arial" w:hAnsi="Arial" w:cs="Arial"/>
          <w:sz w:val="22"/>
          <w:szCs w:val="22"/>
        </w:rPr>
        <w:t>Research suggests that digital health technologies can improve self-management, strengthen communication between patients and healthcare professionals, and encourage healthier behaviours when they are integrated into routine care (Pong et al., 2024). However, not everyone benefits equally because limited access to digital technology and lower levels of digital literacy can reduce engagement with these services. The Technology Acceptance Model explains that people are more likely to use digital health technologies when they believe they are useful and easy to use (Davis, 1989).</w:t>
      </w:r>
    </w:p>
    <w:p w14:paraId="14617BD5" w14:textId="77777777" w:rsidR="00740D49" w:rsidRDefault="00740D49" w:rsidP="00E54A49">
      <w:pPr>
        <w:pStyle w:val="p2"/>
        <w:spacing w:line="360" w:lineRule="auto"/>
        <w:rPr>
          <w:rFonts w:ascii="Arial" w:hAnsi="Arial" w:cs="Arial"/>
          <w:sz w:val="22"/>
          <w:szCs w:val="22"/>
        </w:rPr>
      </w:pPr>
    </w:p>
    <w:p w14:paraId="570D1DC8" w14:textId="77777777" w:rsidR="00740D49" w:rsidRDefault="00740D49" w:rsidP="00E54A49">
      <w:pPr>
        <w:pStyle w:val="p2"/>
        <w:spacing w:line="360" w:lineRule="auto"/>
        <w:rPr>
          <w:rFonts w:ascii="Arial" w:hAnsi="Arial" w:cs="Arial"/>
          <w:sz w:val="22"/>
          <w:szCs w:val="22"/>
        </w:rPr>
      </w:pPr>
    </w:p>
    <w:p w14:paraId="012CD631" w14:textId="77777777" w:rsidR="00740D49" w:rsidRDefault="00740D49" w:rsidP="00E54A49">
      <w:pPr>
        <w:pStyle w:val="p2"/>
        <w:spacing w:line="360" w:lineRule="auto"/>
        <w:rPr>
          <w:rFonts w:ascii="Arial" w:hAnsi="Arial" w:cs="Arial"/>
          <w:sz w:val="22"/>
          <w:szCs w:val="22"/>
        </w:rPr>
      </w:pPr>
    </w:p>
    <w:p w14:paraId="18705A48" w14:textId="77777777" w:rsidR="00740D49" w:rsidRDefault="00740D49" w:rsidP="00E54A49">
      <w:pPr>
        <w:pStyle w:val="p2"/>
        <w:spacing w:line="360" w:lineRule="auto"/>
        <w:rPr>
          <w:rFonts w:ascii="Arial" w:hAnsi="Arial" w:cs="Arial"/>
          <w:sz w:val="22"/>
          <w:szCs w:val="22"/>
        </w:rPr>
      </w:pPr>
    </w:p>
    <w:p w14:paraId="3BFECC41" w14:textId="77777777" w:rsidR="00740D49" w:rsidRPr="00E54A49" w:rsidRDefault="00740D49" w:rsidP="00E54A49">
      <w:pPr>
        <w:pStyle w:val="p2"/>
        <w:spacing w:line="360" w:lineRule="auto"/>
        <w:rPr>
          <w:rFonts w:ascii="Arial" w:hAnsi="Arial" w:cs="Arial"/>
          <w:sz w:val="22"/>
          <w:szCs w:val="22"/>
        </w:rPr>
      </w:pPr>
    </w:p>
    <w:p w14:paraId="4B99AE73" w14:textId="79D371AC" w:rsidR="00C32CAC" w:rsidRPr="00E54A49" w:rsidRDefault="00C32CAC" w:rsidP="00E54A49">
      <w:pPr>
        <w:spacing w:before="100" w:beforeAutospacing="1" w:after="100" w:afterAutospacing="1" w:line="360" w:lineRule="auto"/>
        <w:outlineLvl w:val="1"/>
        <w:rPr>
          <w:rFonts w:ascii="Arial" w:eastAsia="Times New Roman" w:hAnsi="Arial" w:cs="Arial"/>
          <w:b/>
          <w:bCs/>
          <w:kern w:val="0"/>
          <w:sz w:val="22"/>
          <w:szCs w:val="22"/>
          <w14:ligatures w14:val="none"/>
        </w:rPr>
      </w:pPr>
      <w:r w:rsidRPr="00E54A49">
        <w:rPr>
          <w:rFonts w:ascii="Arial" w:eastAsia="Times New Roman" w:hAnsi="Arial" w:cs="Arial"/>
          <w:b/>
          <w:bCs/>
          <w:kern w:val="0"/>
          <w:sz w:val="22"/>
          <w:szCs w:val="22"/>
          <w14:ligatures w14:val="none"/>
        </w:rPr>
        <w:t>Task 7 – Understanding the NHS Leadership Framework</w:t>
      </w:r>
    </w:p>
    <w:p w14:paraId="547103A2" w14:textId="77777777" w:rsidR="00E01E0C" w:rsidRPr="00E54A49" w:rsidRDefault="00E01E0C" w:rsidP="00E54A49">
      <w:pPr>
        <w:pStyle w:val="p1"/>
        <w:spacing w:line="360" w:lineRule="auto"/>
        <w:rPr>
          <w:rFonts w:ascii="Arial" w:hAnsi="Arial" w:cs="Arial"/>
          <w:sz w:val="22"/>
          <w:szCs w:val="22"/>
        </w:rPr>
      </w:pPr>
      <w:r w:rsidRPr="00E54A49">
        <w:rPr>
          <w:rFonts w:ascii="Arial" w:hAnsi="Arial" w:cs="Arial"/>
          <w:sz w:val="22"/>
          <w:szCs w:val="22"/>
        </w:rPr>
        <w:t>The NHS Healthcare Leadership Model outlines the behaviours and values expected of leaders working in health and social care. Its purpose is to help leaders develop the skills needed to support staff, improve services and deliver safe, person-centred care (NHS Leadership Academy, 2023). Rather than focusing only on management, the model highlights the importance of building positive relationships, encouraging teamwork and creating an environment where staff feel confident to share ideas. It includes behaviours such as leading with care, inspiring shared purpose, engaging the team and evaluating information, all of which contribute to improving the quality of care and supporting continuous service improvement. Research shows that effective leadership can increase staff engagement, improve teamwork and lead to better outcomes for people using services (West et al., 2022).</w:t>
      </w:r>
    </w:p>
    <w:p w14:paraId="36C94667" w14:textId="77777777" w:rsidR="008670E9" w:rsidRDefault="00E01E0C" w:rsidP="009D4D03">
      <w:pPr>
        <w:pStyle w:val="p1"/>
        <w:spacing w:line="360" w:lineRule="auto"/>
        <w:rPr>
          <w:rFonts w:ascii="Arial" w:hAnsi="Arial" w:cs="Arial"/>
          <w:sz w:val="22"/>
          <w:szCs w:val="22"/>
        </w:rPr>
      </w:pPr>
      <w:r w:rsidRPr="00E54A49">
        <w:rPr>
          <w:rFonts w:ascii="Arial" w:hAnsi="Arial" w:cs="Arial"/>
          <w:sz w:val="22"/>
          <w:szCs w:val="22"/>
        </w:rPr>
        <w:t xml:space="preserve">The leadership behaviour that stands out to me most is leading with care. Leaders who show empathy, respect and genuine concern for their staff are more likely to build trust and encourage open communication (West et al., 2022). When staff feel valued and supported, </w:t>
      </w:r>
      <w:r w:rsidRPr="00E54A49">
        <w:rPr>
          <w:rFonts w:ascii="Arial" w:hAnsi="Arial" w:cs="Arial"/>
          <w:sz w:val="22"/>
          <w:szCs w:val="22"/>
        </w:rPr>
        <w:lastRenderedPageBreak/>
        <w:t xml:space="preserve">they are more confident in sharing ideas and contributing to service improvements. For example, encouraging staff to suggest ways of improving communication with service users or reducing medication errors can lead to positive changes in practice. </w:t>
      </w:r>
      <w:r w:rsidR="009D4D03" w:rsidRPr="009D4D03">
        <w:rPr>
          <w:rFonts w:ascii="Arial" w:hAnsi="Arial" w:cs="Arial"/>
          <w:sz w:val="22"/>
          <w:szCs w:val="22"/>
        </w:rPr>
        <w:t xml:space="preserve">This reflects Transformational Leadership Theory, which explains that leaders inspire and motivate others through a shared vision and support (Bass and </w:t>
      </w:r>
      <w:proofErr w:type="spellStart"/>
      <w:r w:rsidR="009D4D03" w:rsidRPr="009D4D03">
        <w:rPr>
          <w:rFonts w:ascii="Arial" w:hAnsi="Arial" w:cs="Arial"/>
          <w:sz w:val="22"/>
          <w:szCs w:val="22"/>
        </w:rPr>
        <w:t>Avolio</w:t>
      </w:r>
      <w:proofErr w:type="spellEnd"/>
      <w:r w:rsidR="009D4D03" w:rsidRPr="009D4D03">
        <w:rPr>
          <w:rFonts w:ascii="Arial" w:hAnsi="Arial" w:cs="Arial"/>
          <w:sz w:val="22"/>
          <w:szCs w:val="22"/>
        </w:rPr>
        <w:t>, 1994). However, no single leadership style is effective in every healthcare setting, so leaders must adapt their approach to meet the needs of different teams and situations.”</w:t>
      </w:r>
    </w:p>
    <w:p w14:paraId="770AE84B" w14:textId="6BA1BC7F" w:rsidR="00E01E0C" w:rsidRPr="00E54A49" w:rsidRDefault="00E01E0C" w:rsidP="009D4D03">
      <w:pPr>
        <w:pStyle w:val="p1"/>
        <w:spacing w:line="360" w:lineRule="auto"/>
        <w:rPr>
          <w:rFonts w:ascii="Arial" w:hAnsi="Arial" w:cs="Arial"/>
          <w:sz w:val="22"/>
          <w:szCs w:val="22"/>
        </w:rPr>
      </w:pPr>
      <w:r w:rsidRPr="00E54A49">
        <w:rPr>
          <w:rFonts w:ascii="Arial" w:hAnsi="Arial" w:cs="Arial"/>
          <w:sz w:val="22"/>
          <w:szCs w:val="22"/>
        </w:rPr>
        <w:t>This module has changed the way I think about creativity and innovation in health and social care. At the beginning, I believed innovation was mainly about introducing new technology. I now understand that it also includes improving communication, leadership and everyday practice to achieve better outcomes for service users (NHS Leadership Academy, 2023). In my future role, I want to encourage teamwork, listen to different perspectives and use evidence to improve the quality and safety of care.</w:t>
      </w:r>
    </w:p>
    <w:p w14:paraId="73E707FF" w14:textId="77777777" w:rsidR="008245F1" w:rsidRPr="00E54A49" w:rsidRDefault="008245F1" w:rsidP="00E54A49">
      <w:pPr>
        <w:spacing w:line="360" w:lineRule="auto"/>
        <w:rPr>
          <w:rFonts w:ascii="Arial" w:hAnsi="Arial" w:cs="Arial"/>
          <w:sz w:val="22"/>
          <w:szCs w:val="22"/>
        </w:rPr>
      </w:pPr>
    </w:p>
    <w:p w14:paraId="389F6168" w14:textId="74AD85C5" w:rsidR="008245F1" w:rsidRPr="00E54A49" w:rsidRDefault="008245F1" w:rsidP="00E54A49">
      <w:pPr>
        <w:spacing w:before="100" w:beforeAutospacing="1" w:after="100" w:afterAutospacing="1" w:line="360" w:lineRule="auto"/>
        <w:outlineLvl w:val="1"/>
        <w:rPr>
          <w:rFonts w:ascii="Arial" w:eastAsia="Times New Roman" w:hAnsi="Arial" w:cs="Arial"/>
          <w:b/>
          <w:bCs/>
          <w:kern w:val="0"/>
          <w:sz w:val="22"/>
          <w:szCs w:val="22"/>
          <w14:ligatures w14:val="none"/>
        </w:rPr>
      </w:pPr>
      <w:r w:rsidRPr="00E54A49">
        <w:rPr>
          <w:rFonts w:ascii="Arial" w:eastAsia="Times New Roman" w:hAnsi="Arial" w:cs="Arial"/>
          <w:b/>
          <w:bCs/>
          <w:kern w:val="0"/>
          <w:sz w:val="22"/>
          <w:szCs w:val="22"/>
          <w14:ligatures w14:val="none"/>
        </w:rPr>
        <w:t>Task 8 – Self-Reflection Journal Entry</w:t>
      </w:r>
    </w:p>
    <w:p w14:paraId="60E240B3" w14:textId="3D97D565" w:rsidR="008245F1" w:rsidRPr="00E54A49" w:rsidRDefault="00413880" w:rsidP="001E744A">
      <w:pPr>
        <w:pStyle w:val="p1"/>
        <w:spacing w:line="360" w:lineRule="auto"/>
        <w:rPr>
          <w:rFonts w:ascii="Arial" w:hAnsi="Arial" w:cs="Arial"/>
          <w:sz w:val="22"/>
          <w:szCs w:val="22"/>
        </w:rPr>
      </w:pPr>
      <w:r w:rsidRPr="00E54A49">
        <w:rPr>
          <w:rFonts w:ascii="Arial" w:hAnsi="Arial" w:cs="Arial"/>
          <w:sz w:val="22"/>
          <w:szCs w:val="22"/>
        </w:rPr>
        <w:t xml:space="preserve">Using Gibbs’ Reflective Cycle (1988), I reflected on how my understanding of creativity, innovation and value creation has changed during this module. At the beginning, I thought innovation was mainly about introducing new technology into health and social care. However, designing the Dementia Safety Smartwatch prototype changed my perspective because it showed me that innovation should begin by identifying a real problem experienced by service users before developing a practical solution. Our group designed a smartwatch with GPS tracking, medication reminders, a one-touch SOS button and automatic fall detection to improve the safety, independence and wellbeing of people living with dementia. The prototype also reflects the principles of the </w:t>
      </w:r>
      <w:r w:rsidRPr="006073D8">
        <w:rPr>
          <w:rStyle w:val="s2"/>
          <w:rFonts w:ascii="Arial" w:hAnsi="Arial" w:cs="Arial"/>
          <w:sz w:val="22"/>
          <w:szCs w:val="22"/>
        </w:rPr>
        <w:t>Care Act 2014</w:t>
      </w:r>
      <w:r w:rsidRPr="00E54A49">
        <w:rPr>
          <w:rStyle w:val="s1"/>
          <w:rFonts w:ascii="Arial" w:hAnsi="Arial" w:cs="Arial"/>
          <w:sz w:val="22"/>
          <w:szCs w:val="22"/>
        </w:rPr>
        <w:t xml:space="preserve">, which promotes wellbeing and independence, and </w:t>
      </w:r>
      <w:r w:rsidRPr="006073D8">
        <w:rPr>
          <w:rStyle w:val="s1"/>
          <w:rFonts w:ascii="Arial" w:hAnsi="Arial" w:cs="Arial"/>
          <w:sz w:val="22"/>
          <w:szCs w:val="22"/>
        </w:rPr>
        <w:t xml:space="preserve">the </w:t>
      </w:r>
      <w:r w:rsidRPr="006073D8">
        <w:rPr>
          <w:rStyle w:val="s2"/>
          <w:rFonts w:ascii="Arial" w:hAnsi="Arial" w:cs="Arial"/>
          <w:sz w:val="22"/>
          <w:szCs w:val="22"/>
        </w:rPr>
        <w:t>Mental Capacity Act 2005</w:t>
      </w:r>
      <w:r w:rsidRPr="00E54A49">
        <w:rPr>
          <w:rStyle w:val="s1"/>
          <w:rFonts w:ascii="Arial" w:hAnsi="Arial" w:cs="Arial"/>
          <w:sz w:val="22"/>
          <w:szCs w:val="22"/>
        </w:rPr>
        <w:t xml:space="preserve">, which supports protecting people while respecting their rights and dignity. </w:t>
      </w:r>
      <w:r w:rsidR="001E744A" w:rsidRPr="001E744A">
        <w:rPr>
          <w:rStyle w:val="s1"/>
          <w:rFonts w:ascii="Arial" w:hAnsi="Arial" w:cs="Arial"/>
          <w:sz w:val="22"/>
          <w:szCs w:val="22"/>
        </w:rPr>
        <w:t xml:space="preserve">This activity helped me realise that successful innovation is not simply about introducing new technology but about identifying genuine needs and developing practical, person-centred solutions. It also highlighted that implementing innovation can be challenging because factors such as limited resources, staff readiness and organisational support may influence whether new ideas are successfully adopted. In my future role, I will critically evaluate new ideas before implementing them, work collaboratively with colleagues and use evidence-based practice to improve the quality and safety of care. Regular reflection will continue to support my </w:t>
      </w:r>
      <w:r w:rsidR="001E744A" w:rsidRPr="001E744A">
        <w:rPr>
          <w:rStyle w:val="s1"/>
          <w:rFonts w:ascii="Arial" w:hAnsi="Arial" w:cs="Arial"/>
          <w:sz w:val="22"/>
          <w:szCs w:val="22"/>
        </w:rPr>
        <w:lastRenderedPageBreak/>
        <w:t>professional development by helping me evaluate my decisions and identify areas for improvement (Gibbs, 1988).</w:t>
      </w:r>
    </w:p>
    <w:p w14:paraId="07AF203C" w14:textId="77777777" w:rsidR="00346B0E" w:rsidRPr="00E54A49" w:rsidRDefault="00346B0E" w:rsidP="00E54A49">
      <w:pPr>
        <w:spacing w:line="360" w:lineRule="auto"/>
        <w:rPr>
          <w:rFonts w:ascii="Arial" w:hAnsi="Arial" w:cs="Arial"/>
          <w:sz w:val="22"/>
          <w:szCs w:val="22"/>
        </w:rPr>
      </w:pPr>
    </w:p>
    <w:p w14:paraId="5E980E01" w14:textId="77777777" w:rsidR="00346B0E" w:rsidRPr="00E54A49" w:rsidRDefault="00346B0E" w:rsidP="00E54A49">
      <w:pPr>
        <w:spacing w:line="360" w:lineRule="auto"/>
        <w:rPr>
          <w:rFonts w:ascii="Arial" w:hAnsi="Arial" w:cs="Arial"/>
          <w:sz w:val="22"/>
          <w:szCs w:val="22"/>
        </w:rPr>
      </w:pPr>
    </w:p>
    <w:p w14:paraId="409F4730" w14:textId="77777777" w:rsidR="00F452E0" w:rsidRPr="00A65F80" w:rsidRDefault="00F452E0" w:rsidP="00F452E0">
      <w:pPr>
        <w:spacing w:line="360" w:lineRule="auto"/>
        <w:rPr>
          <w:rFonts w:ascii="Arial" w:hAnsi="Arial" w:cs="Arial"/>
          <w:b/>
          <w:bCs/>
          <w:sz w:val="22"/>
          <w:szCs w:val="22"/>
        </w:rPr>
      </w:pPr>
      <w:r w:rsidRPr="00A65F80">
        <w:rPr>
          <w:rFonts w:ascii="Arial" w:hAnsi="Arial" w:cs="Arial"/>
          <w:b/>
          <w:bCs/>
          <w:sz w:val="22"/>
          <w:szCs w:val="22"/>
        </w:rPr>
        <w:t xml:space="preserve">References </w:t>
      </w:r>
    </w:p>
    <w:p w14:paraId="397ADD52" w14:textId="77777777" w:rsidR="00F452E0" w:rsidRPr="00E54A49" w:rsidRDefault="00F452E0" w:rsidP="00F452E0">
      <w:pPr>
        <w:spacing w:line="360" w:lineRule="auto"/>
        <w:rPr>
          <w:rFonts w:ascii="Arial" w:hAnsi="Arial" w:cs="Arial"/>
          <w:sz w:val="22"/>
          <w:szCs w:val="22"/>
        </w:rPr>
      </w:pPr>
    </w:p>
    <w:p w14:paraId="4AB54017" w14:textId="6D1FCF9E" w:rsidR="00F452E0" w:rsidRDefault="00F452E0" w:rsidP="00E54A49">
      <w:pPr>
        <w:pStyle w:val="p1"/>
        <w:spacing w:line="360" w:lineRule="auto"/>
        <w:rPr>
          <w:rFonts w:ascii="Arial" w:hAnsi="Arial" w:cs="Arial"/>
          <w:sz w:val="22"/>
          <w:szCs w:val="22"/>
        </w:rPr>
      </w:pPr>
      <w:proofErr w:type="spellStart"/>
      <w:r w:rsidRPr="00E54A49">
        <w:rPr>
          <w:rFonts w:ascii="Arial" w:hAnsi="Arial" w:cs="Arial"/>
          <w:sz w:val="22"/>
          <w:szCs w:val="22"/>
        </w:rPr>
        <w:t>Alomar</w:t>
      </w:r>
      <w:proofErr w:type="spellEnd"/>
      <w:r w:rsidRPr="00E54A49">
        <w:rPr>
          <w:rFonts w:ascii="Arial" w:hAnsi="Arial" w:cs="Arial"/>
          <w:sz w:val="22"/>
          <w:szCs w:val="22"/>
        </w:rPr>
        <w:t xml:space="preserve">, D., </w:t>
      </w:r>
      <w:proofErr w:type="spellStart"/>
      <w:r w:rsidRPr="00E54A49">
        <w:rPr>
          <w:rFonts w:ascii="Arial" w:hAnsi="Arial" w:cs="Arial"/>
          <w:sz w:val="22"/>
          <w:szCs w:val="22"/>
        </w:rPr>
        <w:t>Almashmoum</w:t>
      </w:r>
      <w:proofErr w:type="spellEnd"/>
      <w:r w:rsidRPr="00E54A49">
        <w:rPr>
          <w:rFonts w:ascii="Arial" w:hAnsi="Arial" w:cs="Arial"/>
          <w:sz w:val="22"/>
          <w:szCs w:val="22"/>
        </w:rPr>
        <w:t xml:space="preserve">, M., </w:t>
      </w:r>
      <w:proofErr w:type="spellStart"/>
      <w:r w:rsidRPr="00E54A49">
        <w:rPr>
          <w:rFonts w:ascii="Arial" w:hAnsi="Arial" w:cs="Arial"/>
          <w:sz w:val="22"/>
          <w:szCs w:val="22"/>
        </w:rPr>
        <w:t>Eleftheriou</w:t>
      </w:r>
      <w:proofErr w:type="spellEnd"/>
      <w:r w:rsidRPr="00E54A49">
        <w:rPr>
          <w:rFonts w:ascii="Arial" w:hAnsi="Arial" w:cs="Arial"/>
          <w:sz w:val="22"/>
          <w:szCs w:val="22"/>
        </w:rPr>
        <w:t xml:space="preserve">, I., </w:t>
      </w:r>
      <w:proofErr w:type="spellStart"/>
      <w:r w:rsidRPr="00E54A49">
        <w:rPr>
          <w:rFonts w:ascii="Arial" w:hAnsi="Arial" w:cs="Arial"/>
          <w:sz w:val="22"/>
          <w:szCs w:val="22"/>
        </w:rPr>
        <w:t>Whelan</w:t>
      </w:r>
      <w:proofErr w:type="spellEnd"/>
      <w:r w:rsidRPr="00E54A49">
        <w:rPr>
          <w:rFonts w:ascii="Arial" w:hAnsi="Arial" w:cs="Arial"/>
          <w:sz w:val="22"/>
          <w:szCs w:val="22"/>
        </w:rPr>
        <w:t xml:space="preserve">, P. and Ainsworth, J. (2024) ‘The impact of patient access to electronic health records on healthcare engagement: A systematic review’, </w:t>
      </w:r>
      <w:r w:rsidRPr="00E54A49">
        <w:rPr>
          <w:rStyle w:val="s2"/>
          <w:rFonts w:ascii="Arial" w:hAnsi="Arial" w:cs="Arial"/>
          <w:i/>
          <w:iCs/>
          <w:sz w:val="22"/>
          <w:szCs w:val="22"/>
        </w:rPr>
        <w:t>Journal of Medical Internet Research</w:t>
      </w:r>
      <w:r w:rsidRPr="00E54A49">
        <w:rPr>
          <w:rStyle w:val="s1"/>
          <w:rFonts w:ascii="Arial" w:hAnsi="Arial" w:cs="Arial"/>
          <w:sz w:val="22"/>
          <w:szCs w:val="22"/>
        </w:rPr>
        <w:t>, 26, e56473.</w:t>
      </w:r>
    </w:p>
    <w:p w14:paraId="182C2D0A" w14:textId="06E2ED46"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Alzheimer’s Society (2024) </w:t>
      </w:r>
      <w:r w:rsidRPr="00E54A49">
        <w:rPr>
          <w:rStyle w:val="s2"/>
          <w:rFonts w:ascii="Arial" w:hAnsi="Arial" w:cs="Arial"/>
          <w:i/>
          <w:iCs/>
          <w:sz w:val="22"/>
          <w:szCs w:val="22"/>
        </w:rPr>
        <w:t>Dementia support</w:t>
      </w:r>
      <w:r w:rsidRPr="00E54A49">
        <w:rPr>
          <w:rStyle w:val="s1"/>
          <w:rFonts w:ascii="Arial" w:hAnsi="Arial" w:cs="Arial"/>
          <w:sz w:val="22"/>
          <w:szCs w:val="22"/>
        </w:rPr>
        <w:t>. London: Alzheimer’s Society.</w:t>
      </w:r>
    </w:p>
    <w:p w14:paraId="71C88D01" w14:textId="77777777" w:rsidR="00D545A1" w:rsidRPr="00E54A49" w:rsidRDefault="00D545A1" w:rsidP="00E54A49">
      <w:pPr>
        <w:pStyle w:val="p1"/>
        <w:spacing w:line="360" w:lineRule="auto"/>
        <w:rPr>
          <w:rStyle w:val="s1"/>
          <w:rFonts w:ascii="Arial" w:hAnsi="Arial" w:cs="Arial"/>
          <w:sz w:val="22"/>
          <w:szCs w:val="22"/>
        </w:rPr>
      </w:pPr>
      <w:proofErr w:type="spellStart"/>
      <w:r w:rsidRPr="00E54A49">
        <w:rPr>
          <w:rFonts w:ascii="Arial" w:hAnsi="Arial" w:cs="Arial"/>
          <w:sz w:val="22"/>
          <w:szCs w:val="22"/>
        </w:rPr>
        <w:t>Amabile</w:t>
      </w:r>
      <w:proofErr w:type="spellEnd"/>
      <w:r w:rsidRPr="00E54A49">
        <w:rPr>
          <w:rFonts w:ascii="Arial" w:hAnsi="Arial" w:cs="Arial"/>
          <w:sz w:val="22"/>
          <w:szCs w:val="22"/>
        </w:rPr>
        <w:t xml:space="preserve">, T.M. (1996) </w:t>
      </w:r>
      <w:r w:rsidRPr="00E54A49">
        <w:rPr>
          <w:rStyle w:val="s2"/>
          <w:rFonts w:ascii="Arial" w:hAnsi="Arial" w:cs="Arial"/>
          <w:i/>
          <w:iCs/>
          <w:sz w:val="22"/>
          <w:szCs w:val="22"/>
        </w:rPr>
        <w:t>Creativity in Context</w:t>
      </w:r>
      <w:r w:rsidRPr="00E54A49">
        <w:rPr>
          <w:rStyle w:val="s1"/>
          <w:rFonts w:ascii="Arial" w:hAnsi="Arial" w:cs="Arial"/>
          <w:sz w:val="22"/>
          <w:szCs w:val="22"/>
        </w:rPr>
        <w:t>. Boulder, CO: Westview Press.</w:t>
      </w:r>
    </w:p>
    <w:p w14:paraId="35D65E4B"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Bass, B.M. and </w:t>
      </w:r>
      <w:proofErr w:type="spellStart"/>
      <w:r w:rsidRPr="00E54A49">
        <w:rPr>
          <w:rFonts w:ascii="Arial" w:hAnsi="Arial" w:cs="Arial"/>
          <w:sz w:val="22"/>
          <w:szCs w:val="22"/>
        </w:rPr>
        <w:t>Avolio</w:t>
      </w:r>
      <w:proofErr w:type="spellEnd"/>
      <w:r w:rsidRPr="00E54A49">
        <w:rPr>
          <w:rFonts w:ascii="Arial" w:hAnsi="Arial" w:cs="Arial"/>
          <w:sz w:val="22"/>
          <w:szCs w:val="22"/>
        </w:rPr>
        <w:t xml:space="preserve">, B.J. (1994) </w:t>
      </w:r>
      <w:r w:rsidRPr="00E54A49">
        <w:rPr>
          <w:rStyle w:val="s2"/>
          <w:rFonts w:ascii="Arial" w:hAnsi="Arial" w:cs="Arial"/>
          <w:i/>
          <w:iCs/>
          <w:sz w:val="22"/>
          <w:szCs w:val="22"/>
        </w:rPr>
        <w:t xml:space="preserve">Improving </w:t>
      </w:r>
      <w:proofErr w:type="spellStart"/>
      <w:r w:rsidRPr="00E54A49">
        <w:rPr>
          <w:rStyle w:val="s2"/>
          <w:rFonts w:ascii="Arial" w:hAnsi="Arial" w:cs="Arial"/>
          <w:i/>
          <w:iCs/>
          <w:sz w:val="22"/>
          <w:szCs w:val="22"/>
        </w:rPr>
        <w:t>Organizational</w:t>
      </w:r>
      <w:proofErr w:type="spellEnd"/>
      <w:r w:rsidRPr="00E54A49">
        <w:rPr>
          <w:rStyle w:val="s2"/>
          <w:rFonts w:ascii="Arial" w:hAnsi="Arial" w:cs="Arial"/>
          <w:i/>
          <w:iCs/>
          <w:sz w:val="22"/>
          <w:szCs w:val="22"/>
        </w:rPr>
        <w:t xml:space="preserve"> Effectiveness Through Transformational Leadership</w:t>
      </w:r>
      <w:r w:rsidRPr="00E54A49">
        <w:rPr>
          <w:rStyle w:val="s1"/>
          <w:rFonts w:ascii="Arial" w:hAnsi="Arial" w:cs="Arial"/>
          <w:sz w:val="22"/>
          <w:szCs w:val="22"/>
        </w:rPr>
        <w:t>. Thousand Oaks, CA: Sage Publications.</w:t>
      </w:r>
    </w:p>
    <w:p w14:paraId="7BEC318B" w14:textId="77777777" w:rsidR="00D545A1" w:rsidRPr="00E54A49" w:rsidRDefault="00D545A1" w:rsidP="00E54A49">
      <w:pPr>
        <w:pStyle w:val="p1"/>
        <w:spacing w:line="360" w:lineRule="auto"/>
        <w:rPr>
          <w:rFonts w:ascii="Arial" w:hAnsi="Arial" w:cs="Arial"/>
          <w:sz w:val="22"/>
          <w:szCs w:val="22"/>
        </w:rPr>
      </w:pPr>
      <w:r w:rsidRPr="00E54A49">
        <w:rPr>
          <w:rFonts w:ascii="Arial" w:hAnsi="Arial" w:cs="Arial"/>
          <w:sz w:val="22"/>
          <w:szCs w:val="22"/>
        </w:rPr>
        <w:t>Care Act 2014. (2014) c.23. London: The Stationery Office.</w:t>
      </w:r>
    </w:p>
    <w:p w14:paraId="2F359A95"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Davis, F.D. (1989) ‘Perceived usefulness, perceived ease of use and user acceptance of information technology’, </w:t>
      </w:r>
      <w:r w:rsidRPr="00E54A49">
        <w:rPr>
          <w:rStyle w:val="s2"/>
          <w:rFonts w:ascii="Arial" w:hAnsi="Arial" w:cs="Arial"/>
          <w:i/>
          <w:iCs/>
          <w:sz w:val="22"/>
          <w:szCs w:val="22"/>
        </w:rPr>
        <w:t>MIS Quarterly</w:t>
      </w:r>
      <w:r w:rsidRPr="00E54A49">
        <w:rPr>
          <w:rStyle w:val="s1"/>
          <w:rFonts w:ascii="Arial" w:hAnsi="Arial" w:cs="Arial"/>
          <w:sz w:val="22"/>
          <w:szCs w:val="22"/>
        </w:rPr>
        <w:t>, 13(3), pp. 319–340.</w:t>
      </w:r>
    </w:p>
    <w:p w14:paraId="36780DFC"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Gagnon, M.P., Ouellet, S., </w:t>
      </w:r>
      <w:proofErr w:type="spellStart"/>
      <w:r w:rsidRPr="00E54A49">
        <w:rPr>
          <w:rFonts w:ascii="Arial" w:hAnsi="Arial" w:cs="Arial"/>
          <w:sz w:val="22"/>
          <w:szCs w:val="22"/>
        </w:rPr>
        <w:t>Attisso</w:t>
      </w:r>
      <w:proofErr w:type="spellEnd"/>
      <w:r w:rsidRPr="00E54A49">
        <w:rPr>
          <w:rFonts w:ascii="Arial" w:hAnsi="Arial" w:cs="Arial"/>
          <w:sz w:val="22"/>
          <w:szCs w:val="22"/>
        </w:rPr>
        <w:t xml:space="preserve">, E., Supper, W., </w:t>
      </w:r>
      <w:proofErr w:type="spellStart"/>
      <w:r w:rsidRPr="00E54A49">
        <w:rPr>
          <w:rFonts w:ascii="Arial" w:hAnsi="Arial" w:cs="Arial"/>
          <w:sz w:val="22"/>
          <w:szCs w:val="22"/>
        </w:rPr>
        <w:t>Amil</w:t>
      </w:r>
      <w:proofErr w:type="spellEnd"/>
      <w:r w:rsidRPr="00E54A49">
        <w:rPr>
          <w:rFonts w:ascii="Arial" w:hAnsi="Arial" w:cs="Arial"/>
          <w:sz w:val="22"/>
          <w:szCs w:val="22"/>
        </w:rPr>
        <w:t xml:space="preserve">, S., Rhéaume, C., </w:t>
      </w:r>
      <w:proofErr w:type="spellStart"/>
      <w:r w:rsidRPr="00E54A49">
        <w:rPr>
          <w:rFonts w:ascii="Arial" w:hAnsi="Arial" w:cs="Arial"/>
          <w:sz w:val="22"/>
          <w:szCs w:val="22"/>
        </w:rPr>
        <w:t>Paquette</w:t>
      </w:r>
      <w:proofErr w:type="spellEnd"/>
      <w:r w:rsidRPr="00E54A49">
        <w:rPr>
          <w:rFonts w:ascii="Arial" w:hAnsi="Arial" w:cs="Arial"/>
          <w:sz w:val="22"/>
          <w:szCs w:val="22"/>
        </w:rPr>
        <w:t xml:space="preserve">, J.S., </w:t>
      </w:r>
      <w:proofErr w:type="spellStart"/>
      <w:r w:rsidRPr="00E54A49">
        <w:rPr>
          <w:rFonts w:ascii="Arial" w:hAnsi="Arial" w:cs="Arial"/>
          <w:sz w:val="22"/>
          <w:szCs w:val="22"/>
        </w:rPr>
        <w:t>Chabot</w:t>
      </w:r>
      <w:proofErr w:type="spellEnd"/>
      <w:r w:rsidRPr="00E54A49">
        <w:rPr>
          <w:rFonts w:ascii="Arial" w:hAnsi="Arial" w:cs="Arial"/>
          <w:sz w:val="22"/>
          <w:szCs w:val="22"/>
        </w:rPr>
        <w:t xml:space="preserve">, C., </w:t>
      </w:r>
      <w:proofErr w:type="spellStart"/>
      <w:r w:rsidRPr="00E54A49">
        <w:rPr>
          <w:rFonts w:ascii="Arial" w:hAnsi="Arial" w:cs="Arial"/>
          <w:sz w:val="22"/>
          <w:szCs w:val="22"/>
        </w:rPr>
        <w:t>Laferrière</w:t>
      </w:r>
      <w:proofErr w:type="spellEnd"/>
      <w:r w:rsidRPr="00E54A49">
        <w:rPr>
          <w:rFonts w:ascii="Arial" w:hAnsi="Arial" w:cs="Arial"/>
          <w:sz w:val="22"/>
          <w:szCs w:val="22"/>
        </w:rPr>
        <w:t xml:space="preserve">, M.C. and </w:t>
      </w:r>
      <w:proofErr w:type="spellStart"/>
      <w:r w:rsidRPr="00E54A49">
        <w:rPr>
          <w:rFonts w:ascii="Arial" w:hAnsi="Arial" w:cs="Arial"/>
          <w:sz w:val="22"/>
          <w:szCs w:val="22"/>
        </w:rPr>
        <w:t>Sasseville</w:t>
      </w:r>
      <w:proofErr w:type="spellEnd"/>
      <w:r w:rsidRPr="00E54A49">
        <w:rPr>
          <w:rFonts w:ascii="Arial" w:hAnsi="Arial" w:cs="Arial"/>
          <w:sz w:val="22"/>
          <w:szCs w:val="22"/>
        </w:rPr>
        <w:t xml:space="preserve">, M. (2024) ‘Wearable devices for supporting chronic disease self-management: A scoping review’, </w:t>
      </w:r>
      <w:r w:rsidRPr="00E54A49">
        <w:rPr>
          <w:rStyle w:val="s2"/>
          <w:rFonts w:ascii="Arial" w:hAnsi="Arial" w:cs="Arial"/>
          <w:i/>
          <w:iCs/>
          <w:sz w:val="22"/>
          <w:szCs w:val="22"/>
        </w:rPr>
        <w:t>Interactive Journal of Medical Research</w:t>
      </w:r>
      <w:r w:rsidRPr="00E54A49">
        <w:rPr>
          <w:rStyle w:val="s1"/>
          <w:rFonts w:ascii="Arial" w:hAnsi="Arial" w:cs="Arial"/>
          <w:sz w:val="22"/>
          <w:szCs w:val="22"/>
        </w:rPr>
        <w:t>, 13, e55925.</w:t>
      </w:r>
    </w:p>
    <w:p w14:paraId="36BD5DCE"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Garner, A., Lewis, J., Dixon, S. </w:t>
      </w:r>
      <w:r w:rsidRPr="00E54A49">
        <w:rPr>
          <w:rStyle w:val="s2"/>
          <w:rFonts w:ascii="Arial" w:hAnsi="Arial" w:cs="Arial"/>
          <w:i/>
          <w:iCs/>
          <w:sz w:val="22"/>
          <w:szCs w:val="22"/>
        </w:rPr>
        <w:t>et al.</w:t>
      </w:r>
      <w:r w:rsidRPr="00E54A49">
        <w:rPr>
          <w:rStyle w:val="s1"/>
          <w:rFonts w:ascii="Arial" w:hAnsi="Arial" w:cs="Arial"/>
          <w:sz w:val="22"/>
          <w:szCs w:val="22"/>
        </w:rPr>
        <w:t xml:space="preserve"> (2024) ‘The impact of digital technology in care homes on unplanned secondary care usage and associated costs’, </w:t>
      </w:r>
      <w:r w:rsidRPr="00E54A49">
        <w:rPr>
          <w:rStyle w:val="s2"/>
          <w:rFonts w:ascii="Arial" w:hAnsi="Arial" w:cs="Arial"/>
          <w:i/>
          <w:iCs/>
          <w:sz w:val="22"/>
          <w:szCs w:val="22"/>
        </w:rPr>
        <w:t>Age and Ageing</w:t>
      </w:r>
      <w:r w:rsidRPr="00E54A49">
        <w:rPr>
          <w:rStyle w:val="s1"/>
          <w:rFonts w:ascii="Arial" w:hAnsi="Arial" w:cs="Arial"/>
          <w:sz w:val="22"/>
          <w:szCs w:val="22"/>
        </w:rPr>
        <w:t>, 53(2).</w:t>
      </w:r>
    </w:p>
    <w:p w14:paraId="19C478D6"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Gibbs, G. (1988) </w:t>
      </w:r>
      <w:r w:rsidRPr="00E54A49">
        <w:rPr>
          <w:rStyle w:val="s2"/>
          <w:rFonts w:ascii="Arial" w:hAnsi="Arial" w:cs="Arial"/>
          <w:i/>
          <w:iCs/>
          <w:sz w:val="22"/>
          <w:szCs w:val="22"/>
        </w:rPr>
        <w:t>Learning by Doing: A Guide to Teaching and Learning Methods</w:t>
      </w:r>
      <w:r w:rsidRPr="00E54A49">
        <w:rPr>
          <w:rStyle w:val="s1"/>
          <w:rFonts w:ascii="Arial" w:hAnsi="Arial" w:cs="Arial"/>
          <w:sz w:val="22"/>
          <w:szCs w:val="22"/>
        </w:rPr>
        <w:t>. Oxford: Oxford Polytechnic.</w:t>
      </w:r>
    </w:p>
    <w:p w14:paraId="215C6AC8"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Lum, E., Lim, Z.J., Zhang, M.W.B. </w:t>
      </w:r>
      <w:r w:rsidRPr="00E54A49">
        <w:rPr>
          <w:rStyle w:val="s2"/>
          <w:rFonts w:ascii="Arial" w:hAnsi="Arial" w:cs="Arial"/>
          <w:i/>
          <w:iCs/>
          <w:sz w:val="22"/>
          <w:szCs w:val="22"/>
        </w:rPr>
        <w:t>et al.</w:t>
      </w:r>
      <w:r w:rsidRPr="00E54A49">
        <w:rPr>
          <w:rStyle w:val="s1"/>
          <w:rFonts w:ascii="Arial" w:hAnsi="Arial" w:cs="Arial"/>
          <w:sz w:val="22"/>
          <w:szCs w:val="22"/>
        </w:rPr>
        <w:t xml:space="preserve"> (2024) ‘Current implementation of digital health in chronic disease management: A scoping review’, </w:t>
      </w:r>
      <w:r w:rsidRPr="00E54A49">
        <w:rPr>
          <w:rStyle w:val="s2"/>
          <w:rFonts w:ascii="Arial" w:hAnsi="Arial" w:cs="Arial"/>
          <w:i/>
          <w:iCs/>
          <w:sz w:val="22"/>
          <w:szCs w:val="22"/>
        </w:rPr>
        <w:t>Journal of Medical Internet Research</w:t>
      </w:r>
      <w:r w:rsidRPr="00E54A49">
        <w:rPr>
          <w:rStyle w:val="s1"/>
          <w:rFonts w:ascii="Arial" w:hAnsi="Arial" w:cs="Arial"/>
          <w:sz w:val="22"/>
          <w:szCs w:val="22"/>
        </w:rPr>
        <w:t>, 26, e53576.</w:t>
      </w:r>
    </w:p>
    <w:p w14:paraId="7179479B"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lastRenderedPageBreak/>
        <w:t xml:space="preserve">Marmot, M., Allen, J., Boyce, T., </w:t>
      </w:r>
      <w:proofErr w:type="spellStart"/>
      <w:r w:rsidRPr="00E54A49">
        <w:rPr>
          <w:rFonts w:ascii="Arial" w:hAnsi="Arial" w:cs="Arial"/>
          <w:sz w:val="22"/>
          <w:szCs w:val="22"/>
        </w:rPr>
        <w:t>Goldblatt</w:t>
      </w:r>
      <w:proofErr w:type="spellEnd"/>
      <w:r w:rsidRPr="00E54A49">
        <w:rPr>
          <w:rFonts w:ascii="Arial" w:hAnsi="Arial" w:cs="Arial"/>
          <w:sz w:val="22"/>
          <w:szCs w:val="22"/>
        </w:rPr>
        <w:t xml:space="preserve">, P. and Morrison, J. (2020) </w:t>
      </w:r>
      <w:r w:rsidRPr="00E54A49">
        <w:rPr>
          <w:rStyle w:val="s2"/>
          <w:rFonts w:ascii="Arial" w:hAnsi="Arial" w:cs="Arial"/>
          <w:i/>
          <w:iCs/>
          <w:sz w:val="22"/>
          <w:szCs w:val="22"/>
        </w:rPr>
        <w:t>Health Equity in England: The Marmot Review 10 Years On</w:t>
      </w:r>
      <w:r w:rsidRPr="00E54A49">
        <w:rPr>
          <w:rStyle w:val="s1"/>
          <w:rFonts w:ascii="Arial" w:hAnsi="Arial" w:cs="Arial"/>
          <w:sz w:val="22"/>
          <w:szCs w:val="22"/>
        </w:rPr>
        <w:t>. London: Institute of Health Equity.</w:t>
      </w:r>
    </w:p>
    <w:p w14:paraId="54BCF40D" w14:textId="77777777" w:rsidR="00D545A1" w:rsidRPr="00E54A49" w:rsidRDefault="00D545A1" w:rsidP="00E54A49">
      <w:pPr>
        <w:pStyle w:val="p1"/>
        <w:spacing w:line="360" w:lineRule="auto"/>
        <w:rPr>
          <w:rStyle w:val="s1"/>
          <w:rFonts w:ascii="Arial" w:hAnsi="Arial" w:cs="Arial"/>
          <w:sz w:val="22"/>
          <w:szCs w:val="22"/>
        </w:rPr>
      </w:pPr>
      <w:proofErr w:type="spellStart"/>
      <w:r w:rsidRPr="00E54A49">
        <w:rPr>
          <w:rFonts w:ascii="Arial" w:hAnsi="Arial" w:cs="Arial"/>
          <w:sz w:val="22"/>
          <w:szCs w:val="22"/>
        </w:rPr>
        <w:t>Maslach</w:t>
      </w:r>
      <w:proofErr w:type="spellEnd"/>
      <w:r w:rsidRPr="00E54A49">
        <w:rPr>
          <w:rFonts w:ascii="Arial" w:hAnsi="Arial" w:cs="Arial"/>
          <w:sz w:val="22"/>
          <w:szCs w:val="22"/>
        </w:rPr>
        <w:t xml:space="preserve">, C. and </w:t>
      </w:r>
      <w:proofErr w:type="spellStart"/>
      <w:r w:rsidRPr="00E54A49">
        <w:rPr>
          <w:rFonts w:ascii="Arial" w:hAnsi="Arial" w:cs="Arial"/>
          <w:sz w:val="22"/>
          <w:szCs w:val="22"/>
        </w:rPr>
        <w:t>Leiter</w:t>
      </w:r>
      <w:proofErr w:type="spellEnd"/>
      <w:r w:rsidRPr="00E54A49">
        <w:rPr>
          <w:rFonts w:ascii="Arial" w:hAnsi="Arial" w:cs="Arial"/>
          <w:sz w:val="22"/>
          <w:szCs w:val="22"/>
        </w:rPr>
        <w:t xml:space="preserve">, M.P. (2016) </w:t>
      </w:r>
      <w:r w:rsidRPr="00E54A49">
        <w:rPr>
          <w:rStyle w:val="s2"/>
          <w:rFonts w:ascii="Arial" w:hAnsi="Arial" w:cs="Arial"/>
          <w:i/>
          <w:iCs/>
          <w:sz w:val="22"/>
          <w:szCs w:val="22"/>
        </w:rPr>
        <w:t>Burnout</w:t>
      </w:r>
      <w:r w:rsidRPr="00E54A49">
        <w:rPr>
          <w:rStyle w:val="s1"/>
          <w:rFonts w:ascii="Arial" w:hAnsi="Arial" w:cs="Arial"/>
          <w:sz w:val="22"/>
          <w:szCs w:val="22"/>
        </w:rPr>
        <w:t xml:space="preserve">. 2nd </w:t>
      </w:r>
      <w:proofErr w:type="spellStart"/>
      <w:r w:rsidRPr="00E54A49">
        <w:rPr>
          <w:rStyle w:val="s1"/>
          <w:rFonts w:ascii="Arial" w:hAnsi="Arial" w:cs="Arial"/>
          <w:sz w:val="22"/>
          <w:szCs w:val="22"/>
        </w:rPr>
        <w:t>edn</w:t>
      </w:r>
      <w:proofErr w:type="spellEnd"/>
      <w:r w:rsidRPr="00E54A49">
        <w:rPr>
          <w:rStyle w:val="s1"/>
          <w:rFonts w:ascii="Arial" w:hAnsi="Arial" w:cs="Arial"/>
          <w:sz w:val="22"/>
          <w:szCs w:val="22"/>
        </w:rPr>
        <w:t>. Hoboken, NJ: John Wiley &amp; Sons.</w:t>
      </w:r>
    </w:p>
    <w:p w14:paraId="6FEB8264" w14:textId="77777777" w:rsidR="00D545A1" w:rsidRPr="00E54A49" w:rsidRDefault="00D545A1" w:rsidP="00E54A49">
      <w:pPr>
        <w:pStyle w:val="p1"/>
        <w:spacing w:line="360" w:lineRule="auto"/>
        <w:rPr>
          <w:rFonts w:ascii="Arial" w:hAnsi="Arial" w:cs="Arial"/>
          <w:sz w:val="22"/>
          <w:szCs w:val="22"/>
        </w:rPr>
      </w:pPr>
      <w:r w:rsidRPr="00E54A49">
        <w:rPr>
          <w:rFonts w:ascii="Arial" w:hAnsi="Arial" w:cs="Arial"/>
          <w:sz w:val="22"/>
          <w:szCs w:val="22"/>
        </w:rPr>
        <w:t>Mental Capacity Act 2005. (2005) c.9. London: The Stationery Office.</w:t>
      </w:r>
    </w:p>
    <w:p w14:paraId="38F63735"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National Institute for Health and Care Excellence (NICE) (2023) </w:t>
      </w:r>
      <w:r w:rsidRPr="00E54A49">
        <w:rPr>
          <w:rStyle w:val="s2"/>
          <w:rFonts w:ascii="Arial" w:hAnsi="Arial" w:cs="Arial"/>
          <w:i/>
          <w:iCs/>
          <w:sz w:val="22"/>
          <w:szCs w:val="22"/>
        </w:rPr>
        <w:t>Shared decision making (NG197).</w:t>
      </w:r>
      <w:r w:rsidRPr="00E54A49">
        <w:rPr>
          <w:rStyle w:val="s1"/>
          <w:rFonts w:ascii="Arial" w:hAnsi="Arial" w:cs="Arial"/>
          <w:sz w:val="22"/>
          <w:szCs w:val="22"/>
        </w:rPr>
        <w:t xml:space="preserve"> London: NICE.</w:t>
      </w:r>
    </w:p>
    <w:p w14:paraId="58B0AFEA"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NHS England (2024) </w:t>
      </w:r>
      <w:r w:rsidRPr="00E54A49">
        <w:rPr>
          <w:rStyle w:val="s2"/>
          <w:rFonts w:ascii="Arial" w:hAnsi="Arial" w:cs="Arial"/>
          <w:i/>
          <w:iCs/>
          <w:sz w:val="22"/>
          <w:szCs w:val="22"/>
        </w:rPr>
        <w:t>Digital transformation in health and social care</w:t>
      </w:r>
      <w:r w:rsidRPr="00E54A49">
        <w:rPr>
          <w:rStyle w:val="s1"/>
          <w:rFonts w:ascii="Arial" w:hAnsi="Arial" w:cs="Arial"/>
          <w:sz w:val="22"/>
          <w:szCs w:val="22"/>
        </w:rPr>
        <w:t>. London: NHS England.</w:t>
      </w:r>
    </w:p>
    <w:p w14:paraId="0D597EAD"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NHS Leadership Academy (2023) </w:t>
      </w:r>
      <w:r w:rsidRPr="00E54A49">
        <w:rPr>
          <w:rStyle w:val="s2"/>
          <w:rFonts w:ascii="Arial" w:hAnsi="Arial" w:cs="Arial"/>
          <w:i/>
          <w:iCs/>
          <w:sz w:val="22"/>
          <w:szCs w:val="22"/>
        </w:rPr>
        <w:t>Healthcare Leadership Model</w:t>
      </w:r>
      <w:r w:rsidRPr="00E54A49">
        <w:rPr>
          <w:rStyle w:val="s1"/>
          <w:rFonts w:ascii="Arial" w:hAnsi="Arial" w:cs="Arial"/>
          <w:sz w:val="22"/>
          <w:szCs w:val="22"/>
        </w:rPr>
        <w:t>. Leeds: NHS Leadership Academy.</w:t>
      </w:r>
    </w:p>
    <w:p w14:paraId="3D5D5E15"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Pong, K. </w:t>
      </w:r>
      <w:r w:rsidRPr="00E54A49">
        <w:rPr>
          <w:rStyle w:val="s2"/>
          <w:rFonts w:ascii="Arial" w:hAnsi="Arial" w:cs="Arial"/>
          <w:i/>
          <w:iCs/>
          <w:sz w:val="22"/>
          <w:szCs w:val="22"/>
        </w:rPr>
        <w:t>et al.</w:t>
      </w:r>
      <w:r w:rsidRPr="00E54A49">
        <w:rPr>
          <w:rStyle w:val="s1"/>
          <w:rFonts w:ascii="Arial" w:hAnsi="Arial" w:cs="Arial"/>
          <w:sz w:val="22"/>
          <w:szCs w:val="22"/>
        </w:rPr>
        <w:t xml:space="preserve"> (2024) ‘Interoperability and cybersecurity challenges in electronic health records: A review’, </w:t>
      </w:r>
      <w:r w:rsidRPr="00E54A49">
        <w:rPr>
          <w:rStyle w:val="s2"/>
          <w:rFonts w:ascii="Arial" w:hAnsi="Arial" w:cs="Arial"/>
          <w:i/>
          <w:iCs/>
          <w:sz w:val="22"/>
          <w:szCs w:val="22"/>
        </w:rPr>
        <w:t>Journal of Medical Internet Research</w:t>
      </w:r>
      <w:r w:rsidRPr="00E54A49">
        <w:rPr>
          <w:rStyle w:val="s1"/>
          <w:rFonts w:ascii="Arial" w:hAnsi="Arial" w:cs="Arial"/>
          <w:sz w:val="22"/>
          <w:szCs w:val="22"/>
        </w:rPr>
        <w:t>, 26.</w:t>
      </w:r>
    </w:p>
    <w:p w14:paraId="41EF1E0D"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Robinson, L., Schulz, J., Blank, G. and </w:t>
      </w:r>
      <w:proofErr w:type="spellStart"/>
      <w:r w:rsidRPr="00E54A49">
        <w:rPr>
          <w:rFonts w:ascii="Arial" w:hAnsi="Arial" w:cs="Arial"/>
          <w:sz w:val="22"/>
          <w:szCs w:val="22"/>
        </w:rPr>
        <w:t>Ragnedda</w:t>
      </w:r>
      <w:proofErr w:type="spellEnd"/>
      <w:r w:rsidRPr="00E54A49">
        <w:rPr>
          <w:rFonts w:ascii="Arial" w:hAnsi="Arial" w:cs="Arial"/>
          <w:sz w:val="22"/>
          <w:szCs w:val="22"/>
        </w:rPr>
        <w:t xml:space="preserve">, M. (2020) ‘Digital inequalities 2.0: Legacy inequalities in the information age’, </w:t>
      </w:r>
      <w:r w:rsidRPr="00E54A49">
        <w:rPr>
          <w:rStyle w:val="s2"/>
          <w:rFonts w:ascii="Arial" w:hAnsi="Arial" w:cs="Arial"/>
          <w:i/>
          <w:iCs/>
          <w:sz w:val="22"/>
          <w:szCs w:val="22"/>
        </w:rPr>
        <w:t>First Monday</w:t>
      </w:r>
      <w:r w:rsidRPr="00E54A49">
        <w:rPr>
          <w:rStyle w:val="s1"/>
          <w:rFonts w:ascii="Arial" w:hAnsi="Arial" w:cs="Arial"/>
          <w:sz w:val="22"/>
          <w:szCs w:val="22"/>
        </w:rPr>
        <w:t>, 25(7).</w:t>
      </w:r>
    </w:p>
    <w:p w14:paraId="0D60AB12"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Rogers, E.M. (2003) </w:t>
      </w:r>
      <w:r w:rsidRPr="00E54A49">
        <w:rPr>
          <w:rStyle w:val="s2"/>
          <w:rFonts w:ascii="Arial" w:hAnsi="Arial" w:cs="Arial"/>
          <w:i/>
          <w:iCs/>
          <w:sz w:val="22"/>
          <w:szCs w:val="22"/>
        </w:rPr>
        <w:t>Diffusion of Innovations</w:t>
      </w:r>
      <w:r w:rsidRPr="00E54A49">
        <w:rPr>
          <w:rStyle w:val="s1"/>
          <w:rFonts w:ascii="Arial" w:hAnsi="Arial" w:cs="Arial"/>
          <w:sz w:val="22"/>
          <w:szCs w:val="22"/>
        </w:rPr>
        <w:t xml:space="preserve">. 5th </w:t>
      </w:r>
      <w:proofErr w:type="spellStart"/>
      <w:r w:rsidRPr="00E54A49">
        <w:rPr>
          <w:rStyle w:val="s1"/>
          <w:rFonts w:ascii="Arial" w:hAnsi="Arial" w:cs="Arial"/>
          <w:sz w:val="22"/>
          <w:szCs w:val="22"/>
        </w:rPr>
        <w:t>edn</w:t>
      </w:r>
      <w:proofErr w:type="spellEnd"/>
      <w:r w:rsidRPr="00E54A49">
        <w:rPr>
          <w:rStyle w:val="s1"/>
          <w:rFonts w:ascii="Arial" w:hAnsi="Arial" w:cs="Arial"/>
          <w:sz w:val="22"/>
          <w:szCs w:val="22"/>
        </w:rPr>
        <w:t>. New York: Free Press.</w:t>
      </w:r>
    </w:p>
    <w:p w14:paraId="508F9CEB"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Russell, S. </w:t>
      </w:r>
      <w:r w:rsidRPr="00E54A49">
        <w:rPr>
          <w:rStyle w:val="s2"/>
          <w:rFonts w:ascii="Arial" w:hAnsi="Arial" w:cs="Arial"/>
          <w:i/>
          <w:iCs/>
          <w:sz w:val="22"/>
          <w:szCs w:val="22"/>
        </w:rPr>
        <w:t>et al.</w:t>
      </w:r>
      <w:r w:rsidRPr="00E54A49">
        <w:rPr>
          <w:rStyle w:val="s1"/>
          <w:rFonts w:ascii="Arial" w:hAnsi="Arial" w:cs="Arial"/>
          <w:sz w:val="22"/>
          <w:szCs w:val="22"/>
        </w:rPr>
        <w:t xml:space="preserve"> (2025) ‘Use of a digital application to enhance communication and triage between care homes and National Health Service community services in the United Kingdom’, </w:t>
      </w:r>
      <w:r w:rsidRPr="00E54A49">
        <w:rPr>
          <w:rStyle w:val="s2"/>
          <w:rFonts w:ascii="Arial" w:hAnsi="Arial" w:cs="Arial"/>
          <w:i/>
          <w:iCs/>
          <w:sz w:val="22"/>
          <w:szCs w:val="22"/>
        </w:rPr>
        <w:t>BMC Geriatrics</w:t>
      </w:r>
      <w:r w:rsidRPr="00E54A49">
        <w:rPr>
          <w:rStyle w:val="s1"/>
          <w:rFonts w:ascii="Arial" w:hAnsi="Arial" w:cs="Arial"/>
          <w:sz w:val="22"/>
          <w:szCs w:val="22"/>
        </w:rPr>
        <w:t>, 25.</w:t>
      </w:r>
    </w:p>
    <w:p w14:paraId="3083B2DF"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Skills for Care (2023) </w:t>
      </w:r>
      <w:r w:rsidRPr="00E54A49">
        <w:rPr>
          <w:rStyle w:val="s2"/>
          <w:rFonts w:ascii="Arial" w:hAnsi="Arial" w:cs="Arial"/>
          <w:i/>
          <w:iCs/>
          <w:sz w:val="22"/>
          <w:szCs w:val="22"/>
        </w:rPr>
        <w:t>The state of the adult social care sector and workforce in England</w:t>
      </w:r>
      <w:r w:rsidRPr="00E54A49">
        <w:rPr>
          <w:rStyle w:val="s1"/>
          <w:rFonts w:ascii="Arial" w:hAnsi="Arial" w:cs="Arial"/>
          <w:sz w:val="22"/>
          <w:szCs w:val="22"/>
        </w:rPr>
        <w:t>. Leeds: Skills for Care.</w:t>
      </w:r>
    </w:p>
    <w:p w14:paraId="4771E423"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Watts, G. (2020) ‘COVID-19 and the digital divide in the UK’, </w:t>
      </w:r>
      <w:r w:rsidRPr="00E54A49">
        <w:rPr>
          <w:rStyle w:val="s2"/>
          <w:rFonts w:ascii="Arial" w:hAnsi="Arial" w:cs="Arial"/>
          <w:i/>
          <w:iCs/>
          <w:sz w:val="22"/>
          <w:szCs w:val="22"/>
        </w:rPr>
        <w:t>The Lancet Digital Health</w:t>
      </w:r>
      <w:r w:rsidRPr="00E54A49">
        <w:rPr>
          <w:rStyle w:val="s1"/>
          <w:rFonts w:ascii="Arial" w:hAnsi="Arial" w:cs="Arial"/>
          <w:sz w:val="22"/>
          <w:szCs w:val="22"/>
        </w:rPr>
        <w:t>, 2(8), pp. e395–e396.</w:t>
      </w:r>
    </w:p>
    <w:p w14:paraId="7749E55C" w14:textId="77777777" w:rsidR="00D545A1" w:rsidRPr="00E54A49" w:rsidRDefault="00D545A1" w:rsidP="00E54A49">
      <w:pPr>
        <w:pStyle w:val="p1"/>
        <w:spacing w:line="360" w:lineRule="auto"/>
        <w:rPr>
          <w:rStyle w:val="s1"/>
          <w:rFonts w:ascii="Arial" w:hAnsi="Arial" w:cs="Arial"/>
          <w:sz w:val="22"/>
          <w:szCs w:val="22"/>
        </w:rPr>
      </w:pPr>
      <w:r w:rsidRPr="00E54A49">
        <w:rPr>
          <w:rFonts w:ascii="Arial" w:hAnsi="Arial" w:cs="Arial"/>
          <w:sz w:val="22"/>
          <w:szCs w:val="22"/>
        </w:rPr>
        <w:t xml:space="preserve">West, M., Bailey, S. and Williams, E. (2020) </w:t>
      </w:r>
      <w:r w:rsidRPr="00E54A49">
        <w:rPr>
          <w:rStyle w:val="s2"/>
          <w:rFonts w:ascii="Arial" w:hAnsi="Arial" w:cs="Arial"/>
          <w:i/>
          <w:iCs/>
          <w:sz w:val="22"/>
          <w:szCs w:val="22"/>
        </w:rPr>
        <w:t>The Courage of Compassion: Supporting Nurses and Midwives to Deliver High-Quality Care</w:t>
      </w:r>
      <w:r w:rsidRPr="00E54A49">
        <w:rPr>
          <w:rStyle w:val="s1"/>
          <w:rFonts w:ascii="Arial" w:hAnsi="Arial" w:cs="Arial"/>
          <w:sz w:val="22"/>
          <w:szCs w:val="22"/>
        </w:rPr>
        <w:t>. London: The King’s Fund.</w:t>
      </w:r>
    </w:p>
    <w:p w14:paraId="68F0E1AC" w14:textId="77777777" w:rsidR="00D545A1" w:rsidRPr="00E54A49" w:rsidRDefault="00D545A1" w:rsidP="00E54A49">
      <w:pPr>
        <w:pStyle w:val="p2"/>
        <w:spacing w:line="360" w:lineRule="auto"/>
        <w:rPr>
          <w:rStyle w:val="s1"/>
          <w:rFonts w:ascii="Arial" w:hAnsi="Arial" w:cs="Arial"/>
          <w:sz w:val="22"/>
          <w:szCs w:val="22"/>
        </w:rPr>
      </w:pPr>
      <w:r w:rsidRPr="00E54A49">
        <w:rPr>
          <w:rFonts w:ascii="Arial" w:hAnsi="Arial" w:cs="Arial"/>
          <w:sz w:val="22"/>
          <w:szCs w:val="22"/>
        </w:rPr>
        <w:t xml:space="preserve">West, M., Bailey, S., Williams, E. </w:t>
      </w:r>
      <w:r w:rsidRPr="00E54A49">
        <w:rPr>
          <w:rStyle w:val="s2"/>
          <w:rFonts w:ascii="Arial" w:hAnsi="Arial" w:cs="Arial"/>
          <w:i/>
          <w:iCs/>
          <w:sz w:val="22"/>
          <w:szCs w:val="22"/>
        </w:rPr>
        <w:t>et al.</w:t>
      </w:r>
      <w:r w:rsidRPr="00E54A49">
        <w:rPr>
          <w:rStyle w:val="s1"/>
          <w:rFonts w:ascii="Arial" w:hAnsi="Arial" w:cs="Arial"/>
          <w:sz w:val="22"/>
          <w:szCs w:val="22"/>
        </w:rPr>
        <w:t xml:space="preserve"> (2022) </w:t>
      </w:r>
      <w:r w:rsidRPr="00E54A49">
        <w:rPr>
          <w:rStyle w:val="s2"/>
          <w:rFonts w:ascii="Arial" w:hAnsi="Arial" w:cs="Arial"/>
          <w:i/>
          <w:iCs/>
          <w:sz w:val="22"/>
          <w:szCs w:val="22"/>
        </w:rPr>
        <w:t>Compassionate Leadership for Compassionate Health and Care</w:t>
      </w:r>
      <w:r w:rsidRPr="00E54A49">
        <w:rPr>
          <w:rStyle w:val="s1"/>
          <w:rFonts w:ascii="Arial" w:hAnsi="Arial" w:cs="Arial"/>
          <w:sz w:val="22"/>
          <w:szCs w:val="22"/>
        </w:rPr>
        <w:t>. London: The King’s Fund.</w:t>
      </w:r>
    </w:p>
    <w:p w14:paraId="39D24844" w14:textId="77777777" w:rsidR="008245F1" w:rsidRPr="00E54A49" w:rsidRDefault="008245F1" w:rsidP="00E54A49">
      <w:pPr>
        <w:spacing w:line="360" w:lineRule="auto"/>
        <w:rPr>
          <w:rFonts w:ascii="Arial" w:hAnsi="Arial" w:cs="Arial"/>
          <w:sz w:val="22"/>
          <w:szCs w:val="22"/>
        </w:rPr>
      </w:pPr>
    </w:p>
    <w:sectPr w:rsidR="008245F1" w:rsidRPr="00E54A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58641B7" w14:textId="77777777" w:rsidR="00D5326F" w:rsidRDefault="00D5326F" w:rsidP="00F3289F">
      <w:pPr>
        <w:spacing w:after="0" w:line="240" w:lineRule="auto"/>
      </w:pPr>
      <w:r>
        <w:separator/>
      </w:r>
    </w:p>
  </w:endnote>
  <w:endnote w:type="continuationSeparator" w:id="0">
    <w:p w14:paraId="4BE294A5" w14:textId="77777777" w:rsidR="00D5326F" w:rsidRDefault="00D5326F" w:rsidP="00F328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Yu Mincho">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DCF11BD" w14:textId="77777777" w:rsidR="00D5326F" w:rsidRDefault="00D5326F" w:rsidP="00F3289F">
      <w:pPr>
        <w:spacing w:after="0" w:line="240" w:lineRule="auto"/>
      </w:pPr>
      <w:r>
        <w:separator/>
      </w:r>
    </w:p>
  </w:footnote>
  <w:footnote w:type="continuationSeparator" w:id="0">
    <w:p w14:paraId="724FE983" w14:textId="77777777" w:rsidR="00D5326F" w:rsidRDefault="00D5326F" w:rsidP="00F328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56F"/>
    <w:rsid w:val="00000718"/>
    <w:rsid w:val="00000723"/>
    <w:rsid w:val="00002366"/>
    <w:rsid w:val="000030C6"/>
    <w:rsid w:val="0001322F"/>
    <w:rsid w:val="00013E14"/>
    <w:rsid w:val="00026D3E"/>
    <w:rsid w:val="00035A1A"/>
    <w:rsid w:val="000400AA"/>
    <w:rsid w:val="00045D80"/>
    <w:rsid w:val="00051C57"/>
    <w:rsid w:val="00054259"/>
    <w:rsid w:val="0005664D"/>
    <w:rsid w:val="00061CE3"/>
    <w:rsid w:val="000728EB"/>
    <w:rsid w:val="00075824"/>
    <w:rsid w:val="000821A5"/>
    <w:rsid w:val="000A2B51"/>
    <w:rsid w:val="000A53DF"/>
    <w:rsid w:val="000B208A"/>
    <w:rsid w:val="000B6041"/>
    <w:rsid w:val="000C12A8"/>
    <w:rsid w:val="000C62DF"/>
    <w:rsid w:val="000C7009"/>
    <w:rsid w:val="000D3BF7"/>
    <w:rsid w:val="000E1D9E"/>
    <w:rsid w:val="000E4870"/>
    <w:rsid w:val="000E7CC9"/>
    <w:rsid w:val="000F088B"/>
    <w:rsid w:val="00102A10"/>
    <w:rsid w:val="001166EF"/>
    <w:rsid w:val="00117793"/>
    <w:rsid w:val="00117EDC"/>
    <w:rsid w:val="00120092"/>
    <w:rsid w:val="001236A1"/>
    <w:rsid w:val="00124A11"/>
    <w:rsid w:val="001263F4"/>
    <w:rsid w:val="001318FD"/>
    <w:rsid w:val="00141035"/>
    <w:rsid w:val="001476F0"/>
    <w:rsid w:val="00155D55"/>
    <w:rsid w:val="00162C8B"/>
    <w:rsid w:val="00164787"/>
    <w:rsid w:val="001706E0"/>
    <w:rsid w:val="0018253E"/>
    <w:rsid w:val="00184AFE"/>
    <w:rsid w:val="00190F37"/>
    <w:rsid w:val="00191A09"/>
    <w:rsid w:val="0019223A"/>
    <w:rsid w:val="00192B66"/>
    <w:rsid w:val="00195D99"/>
    <w:rsid w:val="001B29E4"/>
    <w:rsid w:val="001B34F9"/>
    <w:rsid w:val="001B4AB6"/>
    <w:rsid w:val="001C2265"/>
    <w:rsid w:val="001C7D3E"/>
    <w:rsid w:val="001D1593"/>
    <w:rsid w:val="001D4C70"/>
    <w:rsid w:val="001D5635"/>
    <w:rsid w:val="001E43FE"/>
    <w:rsid w:val="001E744A"/>
    <w:rsid w:val="001F5037"/>
    <w:rsid w:val="001F6C82"/>
    <w:rsid w:val="0020149B"/>
    <w:rsid w:val="002100F7"/>
    <w:rsid w:val="002117B5"/>
    <w:rsid w:val="00232369"/>
    <w:rsid w:val="002708CE"/>
    <w:rsid w:val="00270CA6"/>
    <w:rsid w:val="00270EE4"/>
    <w:rsid w:val="002750DC"/>
    <w:rsid w:val="00281E85"/>
    <w:rsid w:val="00287304"/>
    <w:rsid w:val="002876A5"/>
    <w:rsid w:val="0028786E"/>
    <w:rsid w:val="00290377"/>
    <w:rsid w:val="00290673"/>
    <w:rsid w:val="002A09B8"/>
    <w:rsid w:val="002A25D2"/>
    <w:rsid w:val="002C2D22"/>
    <w:rsid w:val="002C2D56"/>
    <w:rsid w:val="002C3048"/>
    <w:rsid w:val="002D058D"/>
    <w:rsid w:val="002D377B"/>
    <w:rsid w:val="002D4B35"/>
    <w:rsid w:val="002D5226"/>
    <w:rsid w:val="002E4FEF"/>
    <w:rsid w:val="002E73A1"/>
    <w:rsid w:val="003077B3"/>
    <w:rsid w:val="003149E6"/>
    <w:rsid w:val="00315B99"/>
    <w:rsid w:val="00323764"/>
    <w:rsid w:val="0032643E"/>
    <w:rsid w:val="00331EB6"/>
    <w:rsid w:val="00337DAB"/>
    <w:rsid w:val="0034566C"/>
    <w:rsid w:val="00346B0E"/>
    <w:rsid w:val="0035321E"/>
    <w:rsid w:val="0035329A"/>
    <w:rsid w:val="003565F0"/>
    <w:rsid w:val="0036008A"/>
    <w:rsid w:val="0036105B"/>
    <w:rsid w:val="00362300"/>
    <w:rsid w:val="00373DFF"/>
    <w:rsid w:val="00384716"/>
    <w:rsid w:val="003853F8"/>
    <w:rsid w:val="003874AF"/>
    <w:rsid w:val="0039295A"/>
    <w:rsid w:val="00397CDA"/>
    <w:rsid w:val="003A0A8E"/>
    <w:rsid w:val="003B6214"/>
    <w:rsid w:val="003B6AAC"/>
    <w:rsid w:val="003D2F89"/>
    <w:rsid w:val="003E36C7"/>
    <w:rsid w:val="003E6853"/>
    <w:rsid w:val="00403591"/>
    <w:rsid w:val="00405FDB"/>
    <w:rsid w:val="00411522"/>
    <w:rsid w:val="00411F64"/>
    <w:rsid w:val="00413880"/>
    <w:rsid w:val="004205A9"/>
    <w:rsid w:val="004242C8"/>
    <w:rsid w:val="00425620"/>
    <w:rsid w:val="00425B5C"/>
    <w:rsid w:val="00434DD0"/>
    <w:rsid w:val="004369D9"/>
    <w:rsid w:val="00445200"/>
    <w:rsid w:val="00447FF4"/>
    <w:rsid w:val="00453E11"/>
    <w:rsid w:val="00462FE9"/>
    <w:rsid w:val="00467648"/>
    <w:rsid w:val="004744CD"/>
    <w:rsid w:val="00474B46"/>
    <w:rsid w:val="0048081F"/>
    <w:rsid w:val="00483B65"/>
    <w:rsid w:val="004A3523"/>
    <w:rsid w:val="004A3AE3"/>
    <w:rsid w:val="004A3B7B"/>
    <w:rsid w:val="004B35C4"/>
    <w:rsid w:val="004B4C13"/>
    <w:rsid w:val="004C3401"/>
    <w:rsid w:val="004D062D"/>
    <w:rsid w:val="004D2B4D"/>
    <w:rsid w:val="004D5736"/>
    <w:rsid w:val="004E1301"/>
    <w:rsid w:val="004E19DD"/>
    <w:rsid w:val="004F0A36"/>
    <w:rsid w:val="004F13B9"/>
    <w:rsid w:val="004F18E5"/>
    <w:rsid w:val="004F1E87"/>
    <w:rsid w:val="004F4623"/>
    <w:rsid w:val="004F5889"/>
    <w:rsid w:val="0051097D"/>
    <w:rsid w:val="00510C81"/>
    <w:rsid w:val="00512E22"/>
    <w:rsid w:val="00517DAA"/>
    <w:rsid w:val="0052089E"/>
    <w:rsid w:val="005218F7"/>
    <w:rsid w:val="005258AB"/>
    <w:rsid w:val="00537D33"/>
    <w:rsid w:val="00546461"/>
    <w:rsid w:val="00547C72"/>
    <w:rsid w:val="00554693"/>
    <w:rsid w:val="0056123C"/>
    <w:rsid w:val="00561A16"/>
    <w:rsid w:val="00570396"/>
    <w:rsid w:val="00570E8D"/>
    <w:rsid w:val="00572B1B"/>
    <w:rsid w:val="005761BE"/>
    <w:rsid w:val="0058039D"/>
    <w:rsid w:val="00581E41"/>
    <w:rsid w:val="00584704"/>
    <w:rsid w:val="005868FC"/>
    <w:rsid w:val="005906CF"/>
    <w:rsid w:val="005A7FB4"/>
    <w:rsid w:val="005B1A70"/>
    <w:rsid w:val="005C66DA"/>
    <w:rsid w:val="005E1FCE"/>
    <w:rsid w:val="005E2829"/>
    <w:rsid w:val="005E4C65"/>
    <w:rsid w:val="005F6C5C"/>
    <w:rsid w:val="006005F8"/>
    <w:rsid w:val="00603E33"/>
    <w:rsid w:val="006049A8"/>
    <w:rsid w:val="006073D8"/>
    <w:rsid w:val="00624736"/>
    <w:rsid w:val="006259E3"/>
    <w:rsid w:val="00641178"/>
    <w:rsid w:val="0064300F"/>
    <w:rsid w:val="0064654F"/>
    <w:rsid w:val="00652290"/>
    <w:rsid w:val="00657BB8"/>
    <w:rsid w:val="006735F9"/>
    <w:rsid w:val="0067692C"/>
    <w:rsid w:val="00677783"/>
    <w:rsid w:val="0067792B"/>
    <w:rsid w:val="00684A46"/>
    <w:rsid w:val="00685814"/>
    <w:rsid w:val="00687F7F"/>
    <w:rsid w:val="00691DB6"/>
    <w:rsid w:val="006A0927"/>
    <w:rsid w:val="006A0C9C"/>
    <w:rsid w:val="006A245D"/>
    <w:rsid w:val="006A26C9"/>
    <w:rsid w:val="006A38DA"/>
    <w:rsid w:val="006A3C34"/>
    <w:rsid w:val="006A5947"/>
    <w:rsid w:val="006B217E"/>
    <w:rsid w:val="006C017A"/>
    <w:rsid w:val="006C07D7"/>
    <w:rsid w:val="006D2F3B"/>
    <w:rsid w:val="006D3512"/>
    <w:rsid w:val="006F4FB7"/>
    <w:rsid w:val="006F7E9A"/>
    <w:rsid w:val="00700EA3"/>
    <w:rsid w:val="00703971"/>
    <w:rsid w:val="007074F0"/>
    <w:rsid w:val="00707C71"/>
    <w:rsid w:val="00721F79"/>
    <w:rsid w:val="00740D49"/>
    <w:rsid w:val="00741506"/>
    <w:rsid w:val="0074752C"/>
    <w:rsid w:val="00750ABE"/>
    <w:rsid w:val="00752E3E"/>
    <w:rsid w:val="0075308C"/>
    <w:rsid w:val="00776657"/>
    <w:rsid w:val="0078215E"/>
    <w:rsid w:val="007932AC"/>
    <w:rsid w:val="007A7224"/>
    <w:rsid w:val="007B2D00"/>
    <w:rsid w:val="007B65EE"/>
    <w:rsid w:val="007C26E7"/>
    <w:rsid w:val="007D0114"/>
    <w:rsid w:val="007D5830"/>
    <w:rsid w:val="007D6BF6"/>
    <w:rsid w:val="007E153C"/>
    <w:rsid w:val="007E1E21"/>
    <w:rsid w:val="007E46D4"/>
    <w:rsid w:val="007E4803"/>
    <w:rsid w:val="007F34C5"/>
    <w:rsid w:val="007F43A6"/>
    <w:rsid w:val="007F790D"/>
    <w:rsid w:val="0080585F"/>
    <w:rsid w:val="008245F1"/>
    <w:rsid w:val="00830AF6"/>
    <w:rsid w:val="008320F6"/>
    <w:rsid w:val="008402A4"/>
    <w:rsid w:val="00841B4B"/>
    <w:rsid w:val="008470A2"/>
    <w:rsid w:val="00850BCA"/>
    <w:rsid w:val="00851724"/>
    <w:rsid w:val="00855DFF"/>
    <w:rsid w:val="0086206F"/>
    <w:rsid w:val="00862433"/>
    <w:rsid w:val="008670E9"/>
    <w:rsid w:val="0087067D"/>
    <w:rsid w:val="00870C3F"/>
    <w:rsid w:val="00895305"/>
    <w:rsid w:val="008959CB"/>
    <w:rsid w:val="008B1459"/>
    <w:rsid w:val="008B29BD"/>
    <w:rsid w:val="008B6DBC"/>
    <w:rsid w:val="008C488F"/>
    <w:rsid w:val="008E1AC0"/>
    <w:rsid w:val="008E3117"/>
    <w:rsid w:val="008E3709"/>
    <w:rsid w:val="008E5093"/>
    <w:rsid w:val="008F252A"/>
    <w:rsid w:val="008F3692"/>
    <w:rsid w:val="008F65D5"/>
    <w:rsid w:val="00901DDD"/>
    <w:rsid w:val="009020D1"/>
    <w:rsid w:val="00915772"/>
    <w:rsid w:val="009162B4"/>
    <w:rsid w:val="00916815"/>
    <w:rsid w:val="0092650C"/>
    <w:rsid w:val="00952509"/>
    <w:rsid w:val="00956D42"/>
    <w:rsid w:val="00957934"/>
    <w:rsid w:val="00964F12"/>
    <w:rsid w:val="00967DB2"/>
    <w:rsid w:val="00973723"/>
    <w:rsid w:val="00976622"/>
    <w:rsid w:val="00982217"/>
    <w:rsid w:val="009860D7"/>
    <w:rsid w:val="00986A5A"/>
    <w:rsid w:val="00991C4A"/>
    <w:rsid w:val="00995041"/>
    <w:rsid w:val="00995592"/>
    <w:rsid w:val="009961C4"/>
    <w:rsid w:val="009A1846"/>
    <w:rsid w:val="009A6277"/>
    <w:rsid w:val="009C1C56"/>
    <w:rsid w:val="009C6C9B"/>
    <w:rsid w:val="009C76FF"/>
    <w:rsid w:val="009D090B"/>
    <w:rsid w:val="009D45CE"/>
    <w:rsid w:val="009D4D03"/>
    <w:rsid w:val="009D4F0F"/>
    <w:rsid w:val="009D7D9C"/>
    <w:rsid w:val="009E0668"/>
    <w:rsid w:val="009F1476"/>
    <w:rsid w:val="009F1765"/>
    <w:rsid w:val="00A0005C"/>
    <w:rsid w:val="00A01141"/>
    <w:rsid w:val="00A03DF8"/>
    <w:rsid w:val="00A075FC"/>
    <w:rsid w:val="00A07867"/>
    <w:rsid w:val="00A07FBC"/>
    <w:rsid w:val="00A13E91"/>
    <w:rsid w:val="00A148AD"/>
    <w:rsid w:val="00A17CE5"/>
    <w:rsid w:val="00A20341"/>
    <w:rsid w:val="00A2324F"/>
    <w:rsid w:val="00A26F66"/>
    <w:rsid w:val="00A26FC2"/>
    <w:rsid w:val="00A3058E"/>
    <w:rsid w:val="00A31C32"/>
    <w:rsid w:val="00A34221"/>
    <w:rsid w:val="00A44E63"/>
    <w:rsid w:val="00A45404"/>
    <w:rsid w:val="00A519A6"/>
    <w:rsid w:val="00A54F47"/>
    <w:rsid w:val="00A60DB0"/>
    <w:rsid w:val="00A65F80"/>
    <w:rsid w:val="00A67D9F"/>
    <w:rsid w:val="00A73D2A"/>
    <w:rsid w:val="00A755BA"/>
    <w:rsid w:val="00A8271B"/>
    <w:rsid w:val="00A83399"/>
    <w:rsid w:val="00A83878"/>
    <w:rsid w:val="00A84922"/>
    <w:rsid w:val="00A901C2"/>
    <w:rsid w:val="00A92B04"/>
    <w:rsid w:val="00AA4384"/>
    <w:rsid w:val="00AA5DF9"/>
    <w:rsid w:val="00AB1C70"/>
    <w:rsid w:val="00AB1D0F"/>
    <w:rsid w:val="00AB298A"/>
    <w:rsid w:val="00AD6EE2"/>
    <w:rsid w:val="00AD760C"/>
    <w:rsid w:val="00AD7637"/>
    <w:rsid w:val="00AE2658"/>
    <w:rsid w:val="00AE274C"/>
    <w:rsid w:val="00AE2E05"/>
    <w:rsid w:val="00AF350F"/>
    <w:rsid w:val="00AF3C96"/>
    <w:rsid w:val="00B0138B"/>
    <w:rsid w:val="00B01EEA"/>
    <w:rsid w:val="00B075AA"/>
    <w:rsid w:val="00B12145"/>
    <w:rsid w:val="00B136B2"/>
    <w:rsid w:val="00B17863"/>
    <w:rsid w:val="00B2431F"/>
    <w:rsid w:val="00B25884"/>
    <w:rsid w:val="00B34E21"/>
    <w:rsid w:val="00B3618E"/>
    <w:rsid w:val="00B52544"/>
    <w:rsid w:val="00B53929"/>
    <w:rsid w:val="00B54C13"/>
    <w:rsid w:val="00B552F3"/>
    <w:rsid w:val="00B72608"/>
    <w:rsid w:val="00B7345B"/>
    <w:rsid w:val="00B96912"/>
    <w:rsid w:val="00B97E59"/>
    <w:rsid w:val="00BA4DF1"/>
    <w:rsid w:val="00BB0DED"/>
    <w:rsid w:val="00BB1E9C"/>
    <w:rsid w:val="00BD1866"/>
    <w:rsid w:val="00BD37FA"/>
    <w:rsid w:val="00BD4C65"/>
    <w:rsid w:val="00BD701F"/>
    <w:rsid w:val="00BE1EC1"/>
    <w:rsid w:val="00BE60C6"/>
    <w:rsid w:val="00BF648D"/>
    <w:rsid w:val="00C04C90"/>
    <w:rsid w:val="00C17F9F"/>
    <w:rsid w:val="00C32CAC"/>
    <w:rsid w:val="00C347EA"/>
    <w:rsid w:val="00C36A45"/>
    <w:rsid w:val="00C426E9"/>
    <w:rsid w:val="00C43C8A"/>
    <w:rsid w:val="00C65D67"/>
    <w:rsid w:val="00C67FD0"/>
    <w:rsid w:val="00C7004D"/>
    <w:rsid w:val="00C71933"/>
    <w:rsid w:val="00C74BB5"/>
    <w:rsid w:val="00C77ACC"/>
    <w:rsid w:val="00C827CB"/>
    <w:rsid w:val="00C83B79"/>
    <w:rsid w:val="00C913F0"/>
    <w:rsid w:val="00C91A12"/>
    <w:rsid w:val="00C923ED"/>
    <w:rsid w:val="00C94980"/>
    <w:rsid w:val="00CB268E"/>
    <w:rsid w:val="00CB3299"/>
    <w:rsid w:val="00CC0CDF"/>
    <w:rsid w:val="00CC3BAF"/>
    <w:rsid w:val="00CD6021"/>
    <w:rsid w:val="00CE3BA7"/>
    <w:rsid w:val="00CE7BC0"/>
    <w:rsid w:val="00CF6468"/>
    <w:rsid w:val="00CF72A9"/>
    <w:rsid w:val="00D011C0"/>
    <w:rsid w:val="00D042DB"/>
    <w:rsid w:val="00D27814"/>
    <w:rsid w:val="00D35730"/>
    <w:rsid w:val="00D4135C"/>
    <w:rsid w:val="00D46BDF"/>
    <w:rsid w:val="00D5326F"/>
    <w:rsid w:val="00D545A1"/>
    <w:rsid w:val="00D627C1"/>
    <w:rsid w:val="00D648B0"/>
    <w:rsid w:val="00D7191E"/>
    <w:rsid w:val="00D72E85"/>
    <w:rsid w:val="00D75D3C"/>
    <w:rsid w:val="00D910A7"/>
    <w:rsid w:val="00D9524A"/>
    <w:rsid w:val="00DA080A"/>
    <w:rsid w:val="00DA2BA2"/>
    <w:rsid w:val="00DA36F4"/>
    <w:rsid w:val="00DA5C6B"/>
    <w:rsid w:val="00DB3CAA"/>
    <w:rsid w:val="00DB50D1"/>
    <w:rsid w:val="00DB5E29"/>
    <w:rsid w:val="00DC53CE"/>
    <w:rsid w:val="00DC7B9B"/>
    <w:rsid w:val="00DD08AD"/>
    <w:rsid w:val="00DD0EDC"/>
    <w:rsid w:val="00DD5D8C"/>
    <w:rsid w:val="00DD66A2"/>
    <w:rsid w:val="00DD6993"/>
    <w:rsid w:val="00DE3882"/>
    <w:rsid w:val="00DF6824"/>
    <w:rsid w:val="00E01E0C"/>
    <w:rsid w:val="00E055DA"/>
    <w:rsid w:val="00E0729C"/>
    <w:rsid w:val="00E11CC3"/>
    <w:rsid w:val="00E13286"/>
    <w:rsid w:val="00E17AC5"/>
    <w:rsid w:val="00E201E5"/>
    <w:rsid w:val="00E225BE"/>
    <w:rsid w:val="00E22CC8"/>
    <w:rsid w:val="00E22DDD"/>
    <w:rsid w:val="00E26BA3"/>
    <w:rsid w:val="00E30E24"/>
    <w:rsid w:val="00E40E20"/>
    <w:rsid w:val="00E4172D"/>
    <w:rsid w:val="00E45304"/>
    <w:rsid w:val="00E471E1"/>
    <w:rsid w:val="00E51132"/>
    <w:rsid w:val="00E54591"/>
    <w:rsid w:val="00E54A49"/>
    <w:rsid w:val="00E57197"/>
    <w:rsid w:val="00E57D23"/>
    <w:rsid w:val="00E60A0A"/>
    <w:rsid w:val="00E73D05"/>
    <w:rsid w:val="00E75EE0"/>
    <w:rsid w:val="00E85D43"/>
    <w:rsid w:val="00EA41B8"/>
    <w:rsid w:val="00EB0768"/>
    <w:rsid w:val="00EB1626"/>
    <w:rsid w:val="00EC61F6"/>
    <w:rsid w:val="00EF1B95"/>
    <w:rsid w:val="00EF26FC"/>
    <w:rsid w:val="00EF3E04"/>
    <w:rsid w:val="00F0352D"/>
    <w:rsid w:val="00F036FB"/>
    <w:rsid w:val="00F060B6"/>
    <w:rsid w:val="00F07C7D"/>
    <w:rsid w:val="00F11144"/>
    <w:rsid w:val="00F14756"/>
    <w:rsid w:val="00F20642"/>
    <w:rsid w:val="00F21D98"/>
    <w:rsid w:val="00F21EDC"/>
    <w:rsid w:val="00F30DA9"/>
    <w:rsid w:val="00F30F86"/>
    <w:rsid w:val="00F31A65"/>
    <w:rsid w:val="00F3289F"/>
    <w:rsid w:val="00F41279"/>
    <w:rsid w:val="00F41B50"/>
    <w:rsid w:val="00F4255C"/>
    <w:rsid w:val="00F452E0"/>
    <w:rsid w:val="00F46718"/>
    <w:rsid w:val="00F51ED5"/>
    <w:rsid w:val="00F606A0"/>
    <w:rsid w:val="00F710BA"/>
    <w:rsid w:val="00F80D96"/>
    <w:rsid w:val="00F84DE3"/>
    <w:rsid w:val="00F90832"/>
    <w:rsid w:val="00F955F4"/>
    <w:rsid w:val="00F95B4F"/>
    <w:rsid w:val="00F9618C"/>
    <w:rsid w:val="00FA060C"/>
    <w:rsid w:val="00FA656F"/>
    <w:rsid w:val="00FA6983"/>
    <w:rsid w:val="00FB12E3"/>
    <w:rsid w:val="00FB2E09"/>
    <w:rsid w:val="00FB4E25"/>
    <w:rsid w:val="00FB5499"/>
    <w:rsid w:val="00FC390F"/>
    <w:rsid w:val="00FD4905"/>
    <w:rsid w:val="00FD5204"/>
    <w:rsid w:val="00FE18B2"/>
    <w:rsid w:val="00FE2B99"/>
    <w:rsid w:val="00FE4731"/>
    <w:rsid w:val="00FE54B0"/>
    <w:rsid w:val="00FE63D5"/>
    <w:rsid w:val="00FF1728"/>
    <w:rsid w:val="00FF41C3"/>
    <w:rsid w:val="00FF5AAF"/>
    <w:rsid w:val="00FF6360"/>
    <w:rsid w:val="00FF6A3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8044740"/>
  <w15:chartTrackingRefBased/>
  <w15:docId w15:val="{C802ED8C-4476-CD4E-9D3E-973CFF99C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656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A656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A656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A656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A656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A65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65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65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65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56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A656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A656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A656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A656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A65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65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65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656F"/>
    <w:rPr>
      <w:rFonts w:eastAsiaTheme="majorEastAsia" w:cstheme="majorBidi"/>
      <w:color w:val="272727" w:themeColor="text1" w:themeTint="D8"/>
    </w:rPr>
  </w:style>
  <w:style w:type="paragraph" w:styleId="Title">
    <w:name w:val="Title"/>
    <w:basedOn w:val="Normal"/>
    <w:next w:val="Normal"/>
    <w:link w:val="TitleChar"/>
    <w:uiPriority w:val="10"/>
    <w:qFormat/>
    <w:rsid w:val="00FA65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65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65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65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656F"/>
    <w:pPr>
      <w:spacing w:before="160"/>
      <w:jc w:val="center"/>
    </w:pPr>
    <w:rPr>
      <w:i/>
      <w:iCs/>
      <w:color w:val="404040" w:themeColor="text1" w:themeTint="BF"/>
    </w:rPr>
  </w:style>
  <w:style w:type="character" w:customStyle="1" w:styleId="QuoteChar">
    <w:name w:val="Quote Char"/>
    <w:basedOn w:val="DefaultParagraphFont"/>
    <w:link w:val="Quote"/>
    <w:uiPriority w:val="29"/>
    <w:rsid w:val="00FA656F"/>
    <w:rPr>
      <w:i/>
      <w:iCs/>
      <w:color w:val="404040" w:themeColor="text1" w:themeTint="BF"/>
    </w:rPr>
  </w:style>
  <w:style w:type="paragraph" w:styleId="ListParagraph">
    <w:name w:val="List Paragraph"/>
    <w:basedOn w:val="Normal"/>
    <w:uiPriority w:val="34"/>
    <w:qFormat/>
    <w:rsid w:val="00FA656F"/>
    <w:pPr>
      <w:ind w:left="720"/>
      <w:contextualSpacing/>
    </w:pPr>
  </w:style>
  <w:style w:type="character" w:styleId="IntenseEmphasis">
    <w:name w:val="Intense Emphasis"/>
    <w:basedOn w:val="DefaultParagraphFont"/>
    <w:uiPriority w:val="21"/>
    <w:qFormat/>
    <w:rsid w:val="00FA656F"/>
    <w:rPr>
      <w:i/>
      <w:iCs/>
      <w:color w:val="2F5496" w:themeColor="accent1" w:themeShade="BF"/>
    </w:rPr>
  </w:style>
  <w:style w:type="paragraph" w:styleId="IntenseQuote">
    <w:name w:val="Intense Quote"/>
    <w:basedOn w:val="Normal"/>
    <w:next w:val="Normal"/>
    <w:link w:val="IntenseQuoteChar"/>
    <w:uiPriority w:val="30"/>
    <w:qFormat/>
    <w:rsid w:val="00FA65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A656F"/>
    <w:rPr>
      <w:i/>
      <w:iCs/>
      <w:color w:val="2F5496" w:themeColor="accent1" w:themeShade="BF"/>
    </w:rPr>
  </w:style>
  <w:style w:type="character" w:styleId="IntenseReference">
    <w:name w:val="Intense Reference"/>
    <w:basedOn w:val="DefaultParagraphFont"/>
    <w:uiPriority w:val="32"/>
    <w:qFormat/>
    <w:rsid w:val="00FA656F"/>
    <w:rPr>
      <w:b/>
      <w:bCs/>
      <w:smallCaps/>
      <w:color w:val="2F5496" w:themeColor="accent1" w:themeShade="BF"/>
      <w:spacing w:val="5"/>
    </w:rPr>
  </w:style>
  <w:style w:type="paragraph" w:styleId="Header">
    <w:name w:val="header"/>
    <w:basedOn w:val="Normal"/>
    <w:link w:val="HeaderChar"/>
    <w:uiPriority w:val="99"/>
    <w:unhideWhenUsed/>
    <w:rsid w:val="00F328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89F"/>
  </w:style>
  <w:style w:type="paragraph" w:styleId="Footer">
    <w:name w:val="footer"/>
    <w:basedOn w:val="Normal"/>
    <w:link w:val="FooterChar"/>
    <w:uiPriority w:val="99"/>
    <w:unhideWhenUsed/>
    <w:rsid w:val="00F328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89F"/>
  </w:style>
  <w:style w:type="paragraph" w:customStyle="1" w:styleId="s3">
    <w:name w:val="s3"/>
    <w:basedOn w:val="Normal"/>
    <w:rsid w:val="0052089E"/>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52089E"/>
  </w:style>
  <w:style w:type="character" w:customStyle="1" w:styleId="bumpedfont17">
    <w:name w:val="bumpedfont17"/>
    <w:basedOn w:val="DefaultParagraphFont"/>
    <w:rsid w:val="0052089E"/>
  </w:style>
  <w:style w:type="paragraph" w:customStyle="1" w:styleId="s8">
    <w:name w:val="s8"/>
    <w:basedOn w:val="Normal"/>
    <w:rsid w:val="0052089E"/>
    <w:pPr>
      <w:spacing w:before="100" w:beforeAutospacing="1" w:after="100" w:afterAutospacing="1" w:line="240" w:lineRule="auto"/>
    </w:pPr>
    <w:rPr>
      <w:rFonts w:ascii="Times New Roman" w:hAnsi="Times New Roman" w:cs="Times New Roman"/>
      <w:kern w:val="0"/>
      <w14:ligatures w14:val="none"/>
    </w:rPr>
  </w:style>
  <w:style w:type="paragraph" w:customStyle="1" w:styleId="s10">
    <w:name w:val="s10"/>
    <w:basedOn w:val="Normal"/>
    <w:rsid w:val="0052089E"/>
    <w:pPr>
      <w:spacing w:before="100" w:beforeAutospacing="1" w:after="100" w:afterAutospacing="1" w:line="240" w:lineRule="auto"/>
    </w:pPr>
    <w:rPr>
      <w:rFonts w:ascii="Times New Roman" w:hAnsi="Times New Roman" w:cs="Times New Roman"/>
      <w:kern w:val="0"/>
      <w14:ligatures w14:val="none"/>
    </w:rPr>
  </w:style>
  <w:style w:type="paragraph" w:customStyle="1" w:styleId="s11">
    <w:name w:val="s11"/>
    <w:basedOn w:val="Normal"/>
    <w:rsid w:val="0052089E"/>
    <w:pPr>
      <w:spacing w:before="100" w:beforeAutospacing="1" w:after="100" w:afterAutospacing="1" w:line="240" w:lineRule="auto"/>
    </w:pPr>
    <w:rPr>
      <w:rFonts w:ascii="Times New Roman" w:hAnsi="Times New Roman" w:cs="Times New Roman"/>
      <w:kern w:val="0"/>
      <w14:ligatures w14:val="none"/>
    </w:rPr>
  </w:style>
  <w:style w:type="paragraph" w:customStyle="1" w:styleId="s12">
    <w:name w:val="s12"/>
    <w:basedOn w:val="Normal"/>
    <w:rsid w:val="0052089E"/>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E85D43"/>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8F252A"/>
  </w:style>
  <w:style w:type="paragraph" w:customStyle="1" w:styleId="p2">
    <w:name w:val="p2"/>
    <w:basedOn w:val="Normal"/>
    <w:rsid w:val="008F252A"/>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F252A"/>
  </w:style>
  <w:style w:type="paragraph" w:customStyle="1" w:styleId="p3">
    <w:name w:val="p3"/>
    <w:basedOn w:val="Normal"/>
    <w:rsid w:val="006D2F3B"/>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8C488F"/>
    <w:rPr>
      <w:color w:val="0000FF"/>
      <w:u w:val="single"/>
    </w:rPr>
  </w:style>
  <w:style w:type="character" w:styleId="UnresolvedMention">
    <w:name w:val="Unresolved Mention"/>
    <w:basedOn w:val="DefaultParagraphFont"/>
    <w:uiPriority w:val="99"/>
    <w:semiHidden/>
    <w:unhideWhenUsed/>
    <w:rsid w:val="008F65D5"/>
    <w:rPr>
      <w:color w:val="605E5C"/>
      <w:shd w:val="clear" w:color="auto" w:fill="E1DFDD"/>
    </w:rPr>
  </w:style>
  <w:style w:type="character" w:styleId="Strong">
    <w:name w:val="Strong"/>
    <w:uiPriority w:val="22"/>
    <w:qFormat/>
    <w:rsid w:val="000B6041"/>
    <w:rPr>
      <w:b/>
      <w:bCs/>
    </w:rPr>
  </w:style>
  <w:style w:type="paragraph" w:styleId="NormalWeb">
    <w:name w:val="Normal (Web)"/>
    <w:basedOn w:val="Normal"/>
    <w:uiPriority w:val="99"/>
    <w:unhideWhenUsed/>
    <w:rsid w:val="000B6041"/>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3213</Words>
  <Characters>18318</Characters>
  <Application>Microsoft Office Word</Application>
  <DocSecurity>0</DocSecurity>
  <Lines>152</Lines>
  <Paragraphs>42</Paragraphs>
  <ScaleCrop>false</ScaleCrop>
  <Company/>
  <LinksUpToDate>false</LinksUpToDate>
  <CharactersWithSpaces>21489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sansone</dc:creator>
  <cp:keywords/>
  <dc:description/>
  <cp:lastModifiedBy>teresa sansone</cp:lastModifiedBy>
  <cp:revision>2</cp:revision>
  <dcterms:created xsi:type="dcterms:W3CDTF">2026-07-31T07:40:00Z</dcterms:created>
  <dcterms:modified xsi:type="dcterms:W3CDTF">2026-07-31T07:40:00Z</dcterms:modified>
</cp:coreProperties>
</file>