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8FEE1" w14:textId="2B5F443D" w:rsidR="005C1DB6" w:rsidRPr="005C1DB6" w:rsidRDefault="005C1DB6" w:rsidP="005C1DB6">
      <w:pPr>
        <w:spacing w:line="276" w:lineRule="auto"/>
        <w:jc w:val="center"/>
        <w:rPr>
          <w:rFonts w:ascii="Arial" w:hAnsi="Arial" w:cs="Arial"/>
          <w:b/>
          <w:bCs/>
          <w:lang w:val="en-GB"/>
        </w:rPr>
      </w:pPr>
      <w:r w:rsidRPr="005C1DB6">
        <w:rPr>
          <w:rFonts w:ascii="Arial" w:hAnsi="Arial" w:cs="Arial"/>
          <w:b/>
          <w:bCs/>
        </w:rPr>
        <w:t xml:space="preserve">Student Name: </w:t>
      </w:r>
      <w:r w:rsidRPr="005C1DB6">
        <w:rPr>
          <w:rFonts w:ascii="Arial" w:hAnsi="Arial" w:cs="Arial"/>
        </w:rPr>
        <w:t>Shamim</w:t>
      </w:r>
      <w:r w:rsidRPr="005C1DB6">
        <w:rPr>
          <w:rFonts w:ascii="Arial" w:hAnsi="Arial" w:cs="Arial"/>
        </w:rPr>
        <w:t xml:space="preserve"> Munsha</w:t>
      </w:r>
      <w:r w:rsidRPr="005C1DB6">
        <w:rPr>
          <w:rFonts w:ascii="Arial" w:hAnsi="Arial" w:cs="Arial"/>
          <w:b/>
          <w:bCs/>
          <w:lang w:val="en-GB"/>
        </w:rPr>
        <w:t> </w:t>
      </w:r>
    </w:p>
    <w:p w14:paraId="10C6B916" w14:textId="2A29973E" w:rsidR="005C1DB6" w:rsidRPr="005C1DB6" w:rsidRDefault="005C1DB6" w:rsidP="005C1DB6">
      <w:pPr>
        <w:spacing w:line="276" w:lineRule="auto"/>
        <w:jc w:val="center"/>
        <w:rPr>
          <w:rFonts w:ascii="Arial" w:hAnsi="Arial" w:cs="Arial"/>
          <w:lang w:val="en-GB"/>
        </w:rPr>
      </w:pPr>
      <w:r w:rsidRPr="005C1DB6">
        <w:rPr>
          <w:rFonts w:ascii="Arial" w:hAnsi="Arial" w:cs="Arial"/>
          <w:b/>
          <w:bCs/>
        </w:rPr>
        <w:t xml:space="preserve">Student Number: </w:t>
      </w:r>
      <w:r w:rsidRPr="005C1DB6">
        <w:rPr>
          <w:rFonts w:ascii="Arial" w:hAnsi="Arial" w:cs="Arial"/>
        </w:rPr>
        <w:t>2209401</w:t>
      </w:r>
    </w:p>
    <w:p w14:paraId="32B72F13" w14:textId="77777777" w:rsidR="005C1DB6" w:rsidRPr="005C1DB6" w:rsidRDefault="005C1DB6" w:rsidP="005C1DB6">
      <w:pPr>
        <w:spacing w:line="276" w:lineRule="auto"/>
        <w:jc w:val="center"/>
        <w:rPr>
          <w:rFonts w:ascii="Arial" w:hAnsi="Arial" w:cs="Arial"/>
          <w:lang w:val="en-GB"/>
        </w:rPr>
      </w:pPr>
      <w:r w:rsidRPr="005C1DB6">
        <w:rPr>
          <w:rFonts w:ascii="Arial" w:hAnsi="Arial" w:cs="Arial"/>
          <w:b/>
          <w:bCs/>
        </w:rPr>
        <w:t xml:space="preserve">Module Name: </w:t>
      </w:r>
      <w:r w:rsidRPr="005C1DB6">
        <w:rPr>
          <w:rFonts w:ascii="Arial" w:hAnsi="Arial" w:cs="Arial"/>
        </w:rPr>
        <w:t>Community Care and Management of</w:t>
      </w:r>
      <w:r w:rsidRPr="005C1DB6">
        <w:rPr>
          <w:rFonts w:ascii="Arial" w:hAnsi="Arial" w:cs="Arial"/>
          <w:lang w:val="en-GB"/>
        </w:rPr>
        <w:t> </w:t>
      </w:r>
    </w:p>
    <w:p w14:paraId="3895BA94" w14:textId="77777777" w:rsidR="005C1DB6" w:rsidRPr="005C1DB6" w:rsidRDefault="005C1DB6" w:rsidP="005C1DB6">
      <w:pPr>
        <w:spacing w:line="276" w:lineRule="auto"/>
        <w:jc w:val="center"/>
        <w:rPr>
          <w:rFonts w:ascii="Arial" w:hAnsi="Arial" w:cs="Arial"/>
          <w:lang w:val="en-GB"/>
        </w:rPr>
      </w:pPr>
      <w:r w:rsidRPr="005C1DB6">
        <w:rPr>
          <w:rFonts w:ascii="Arial" w:hAnsi="Arial" w:cs="Arial"/>
        </w:rPr>
        <w:t> Longer-term Condition </w:t>
      </w:r>
      <w:r w:rsidRPr="005C1DB6">
        <w:rPr>
          <w:rFonts w:ascii="Arial" w:hAnsi="Arial" w:cs="Arial"/>
          <w:lang w:val="en-GB"/>
        </w:rPr>
        <w:t> </w:t>
      </w:r>
    </w:p>
    <w:p w14:paraId="63238EF7" w14:textId="77777777" w:rsidR="005C1DB6" w:rsidRPr="005C1DB6" w:rsidRDefault="005C1DB6" w:rsidP="005C1DB6">
      <w:pPr>
        <w:spacing w:line="276" w:lineRule="auto"/>
        <w:jc w:val="center"/>
        <w:rPr>
          <w:rFonts w:ascii="Arial" w:hAnsi="Arial" w:cs="Arial"/>
          <w:lang w:val="en-GB"/>
        </w:rPr>
      </w:pPr>
      <w:r w:rsidRPr="005C1DB6">
        <w:rPr>
          <w:rFonts w:ascii="Arial" w:hAnsi="Arial" w:cs="Arial"/>
          <w:b/>
          <w:bCs/>
        </w:rPr>
        <w:t xml:space="preserve">Module Code: </w:t>
      </w:r>
      <w:r w:rsidRPr="005C1DB6">
        <w:rPr>
          <w:rFonts w:ascii="Arial" w:hAnsi="Arial" w:cs="Arial"/>
        </w:rPr>
        <w:t>LCHS7003</w:t>
      </w:r>
      <w:r w:rsidRPr="005C1DB6">
        <w:rPr>
          <w:rFonts w:ascii="Arial" w:hAnsi="Arial" w:cs="Arial"/>
          <w:lang w:val="en-GB"/>
        </w:rPr>
        <w:t> </w:t>
      </w:r>
    </w:p>
    <w:p w14:paraId="66307358" w14:textId="77777777" w:rsidR="005C1DB6" w:rsidRPr="005C1DB6" w:rsidRDefault="005C1DB6" w:rsidP="005C1DB6">
      <w:pPr>
        <w:spacing w:line="276" w:lineRule="auto"/>
        <w:jc w:val="center"/>
        <w:rPr>
          <w:rFonts w:ascii="Arial" w:hAnsi="Arial" w:cs="Arial"/>
          <w:lang w:val="en-GB"/>
        </w:rPr>
      </w:pPr>
      <w:r w:rsidRPr="005C1DB6">
        <w:rPr>
          <w:rFonts w:ascii="Arial" w:hAnsi="Arial" w:cs="Arial"/>
          <w:b/>
          <w:bCs/>
        </w:rPr>
        <w:t xml:space="preserve">Lecture Name: </w:t>
      </w:r>
      <w:r w:rsidRPr="005C1DB6">
        <w:rPr>
          <w:rFonts w:ascii="Arial" w:hAnsi="Arial" w:cs="Arial"/>
        </w:rPr>
        <w:t>Dr Aishat Bakre</w:t>
      </w:r>
      <w:r w:rsidRPr="005C1DB6">
        <w:rPr>
          <w:rFonts w:ascii="Arial" w:hAnsi="Arial" w:cs="Arial"/>
          <w:lang w:val="en-GB"/>
        </w:rPr>
        <w:t> </w:t>
      </w:r>
    </w:p>
    <w:p w14:paraId="0F8E04FE" w14:textId="77777777" w:rsidR="005C1DB6" w:rsidRDefault="005C1DB6" w:rsidP="00634344">
      <w:pPr>
        <w:spacing w:line="276" w:lineRule="auto"/>
        <w:jc w:val="center"/>
        <w:rPr>
          <w:rFonts w:ascii="Arial" w:hAnsi="Arial" w:cs="Arial"/>
          <w:b/>
          <w:bCs/>
          <w:sz w:val="24"/>
          <w:szCs w:val="24"/>
          <w:lang w:val="en-GB"/>
        </w:rPr>
      </w:pPr>
    </w:p>
    <w:p w14:paraId="0F63A50C" w14:textId="77777777" w:rsidR="005C1DB6" w:rsidRDefault="005C1DB6" w:rsidP="00634344">
      <w:pPr>
        <w:spacing w:line="276" w:lineRule="auto"/>
        <w:jc w:val="center"/>
        <w:rPr>
          <w:rFonts w:ascii="Arial" w:hAnsi="Arial" w:cs="Arial"/>
          <w:b/>
          <w:bCs/>
          <w:sz w:val="24"/>
          <w:szCs w:val="24"/>
          <w:lang w:val="en-GB"/>
        </w:rPr>
      </w:pPr>
    </w:p>
    <w:p w14:paraId="59F93527" w14:textId="77777777" w:rsidR="005C1DB6" w:rsidRDefault="005C1DB6" w:rsidP="00634344">
      <w:pPr>
        <w:spacing w:line="276" w:lineRule="auto"/>
        <w:jc w:val="center"/>
        <w:rPr>
          <w:rFonts w:ascii="Arial" w:hAnsi="Arial" w:cs="Arial"/>
          <w:b/>
          <w:bCs/>
          <w:sz w:val="24"/>
          <w:szCs w:val="24"/>
          <w:lang w:val="en-GB"/>
        </w:rPr>
      </w:pPr>
    </w:p>
    <w:p w14:paraId="6234EF3A" w14:textId="77777777" w:rsidR="005C1DB6" w:rsidRDefault="005C1DB6" w:rsidP="00634344">
      <w:pPr>
        <w:spacing w:line="276" w:lineRule="auto"/>
        <w:jc w:val="center"/>
        <w:rPr>
          <w:rFonts w:ascii="Arial" w:hAnsi="Arial" w:cs="Arial"/>
          <w:b/>
          <w:bCs/>
          <w:sz w:val="24"/>
          <w:szCs w:val="24"/>
          <w:lang w:val="en-GB"/>
        </w:rPr>
      </w:pPr>
    </w:p>
    <w:p w14:paraId="7B34D457" w14:textId="395FFE4B" w:rsidR="0063036E" w:rsidRPr="005C1DB6" w:rsidRDefault="0063036E" w:rsidP="005C1DB6">
      <w:pPr>
        <w:spacing w:line="276" w:lineRule="auto"/>
        <w:jc w:val="center"/>
        <w:rPr>
          <w:rFonts w:ascii="Arial" w:hAnsi="Arial" w:cs="Arial"/>
          <w:b/>
          <w:bCs/>
          <w:lang w:val="en-GB"/>
        </w:rPr>
      </w:pPr>
      <w:r w:rsidRPr="005C1DB6">
        <w:rPr>
          <w:rFonts w:ascii="Arial" w:hAnsi="Arial" w:cs="Arial"/>
          <w:b/>
          <w:bCs/>
          <w:lang w:val="en-GB"/>
        </w:rPr>
        <w:t>Parkinson's Disease: An Information Booklet for Health and Care Professionals</w:t>
      </w:r>
      <w:r w:rsidR="005C1DB6">
        <w:rPr>
          <w:rFonts w:ascii="Arial" w:hAnsi="Arial" w:cs="Arial"/>
          <w:b/>
          <w:bCs/>
          <w:lang w:val="en-GB"/>
        </w:rPr>
        <w:t>.</w:t>
      </w:r>
    </w:p>
    <w:p w14:paraId="34C2FC93" w14:textId="77777777" w:rsidR="0063036E" w:rsidRPr="00E34841" w:rsidRDefault="0063036E" w:rsidP="00634344">
      <w:pPr>
        <w:spacing w:line="276" w:lineRule="auto"/>
        <w:jc w:val="center"/>
        <w:rPr>
          <w:rFonts w:ascii="Arial" w:hAnsi="Arial" w:cs="Arial"/>
          <w:b/>
          <w:bCs/>
          <w:sz w:val="24"/>
          <w:szCs w:val="24"/>
          <w:lang w:val="en-GB"/>
        </w:rPr>
      </w:pPr>
    </w:p>
    <w:p w14:paraId="37606DB1" w14:textId="0AA2A6FE" w:rsidR="0063036E" w:rsidRPr="00E34841" w:rsidRDefault="006B086D" w:rsidP="00634344">
      <w:pPr>
        <w:spacing w:line="276" w:lineRule="auto"/>
        <w:jc w:val="center"/>
        <w:rPr>
          <w:rFonts w:ascii="Arial" w:hAnsi="Arial" w:cs="Arial"/>
          <w:b/>
          <w:bCs/>
          <w:sz w:val="24"/>
          <w:szCs w:val="24"/>
          <w:lang w:val="en-GB"/>
        </w:rPr>
      </w:pPr>
      <w:r w:rsidRPr="006B086D">
        <w:rPr>
          <w:rFonts w:ascii="Arial" w:hAnsi="Arial" w:cs="Arial"/>
          <w:b/>
          <w:bCs/>
          <w:noProof/>
          <w:sz w:val="24"/>
          <w:szCs w:val="24"/>
          <w:lang w:val="en-GB"/>
        </w:rPr>
        <w:drawing>
          <wp:inline distT="0" distB="0" distL="0" distR="0" wp14:anchorId="1CED1BDE" wp14:editId="07AE5519">
            <wp:extent cx="2781300" cy="3331705"/>
            <wp:effectExtent l="0" t="0" r="0" b="2540"/>
            <wp:docPr id="141894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947926" name=""/>
                    <pic:cNvPicPr/>
                  </pic:nvPicPr>
                  <pic:blipFill>
                    <a:blip r:embed="rId8"/>
                    <a:stretch>
                      <a:fillRect/>
                    </a:stretch>
                  </pic:blipFill>
                  <pic:spPr>
                    <a:xfrm>
                      <a:off x="0" y="0"/>
                      <a:ext cx="2786001" cy="3337337"/>
                    </a:xfrm>
                    <a:prstGeom prst="rect">
                      <a:avLst/>
                    </a:prstGeom>
                  </pic:spPr>
                </pic:pic>
              </a:graphicData>
            </a:graphic>
          </wp:inline>
        </w:drawing>
      </w:r>
    </w:p>
    <w:p w14:paraId="095CF46C" w14:textId="77777777" w:rsidR="0063036E" w:rsidRPr="00E34841" w:rsidRDefault="0063036E" w:rsidP="00634344">
      <w:pPr>
        <w:spacing w:line="276" w:lineRule="auto"/>
        <w:jc w:val="center"/>
        <w:rPr>
          <w:rFonts w:ascii="Arial" w:hAnsi="Arial" w:cs="Arial"/>
          <w:b/>
          <w:bCs/>
          <w:sz w:val="24"/>
          <w:szCs w:val="24"/>
          <w:lang w:val="en-GB"/>
        </w:rPr>
      </w:pPr>
    </w:p>
    <w:p w14:paraId="75ED5307" w14:textId="77777777" w:rsidR="0063036E" w:rsidRPr="00E34841" w:rsidRDefault="0063036E" w:rsidP="00634344">
      <w:pPr>
        <w:spacing w:line="276" w:lineRule="auto"/>
        <w:jc w:val="both"/>
        <w:rPr>
          <w:rFonts w:ascii="Arial" w:eastAsiaTheme="majorEastAsia" w:hAnsi="Arial" w:cs="Arial"/>
          <w:b/>
          <w:sz w:val="24"/>
          <w:szCs w:val="24"/>
          <w:lang w:val="en-GB"/>
        </w:rPr>
      </w:pPr>
      <w:r w:rsidRPr="00E34841">
        <w:rPr>
          <w:rFonts w:ascii="Arial" w:hAnsi="Arial" w:cs="Arial"/>
          <w:sz w:val="24"/>
          <w:szCs w:val="24"/>
          <w:lang w:val="en-GB"/>
        </w:rPr>
        <w:br w:type="page"/>
      </w:r>
    </w:p>
    <w:sdt>
      <w:sdtPr>
        <w:id w:val="-792518500"/>
        <w:docPartObj>
          <w:docPartGallery w:val="Table of Contents"/>
          <w:docPartUnique/>
        </w:docPartObj>
      </w:sdtPr>
      <w:sdtEndPr>
        <w:rPr>
          <w:rFonts w:ascii="Calibri" w:eastAsia="Calibri" w:hAnsi="Calibri" w:cs="Calibri"/>
          <w:b/>
          <w:bCs/>
          <w:color w:val="auto"/>
          <w:sz w:val="22"/>
          <w:szCs w:val="22"/>
          <w:lang w:val="en-US" w:eastAsia="zh-CN"/>
        </w:rPr>
      </w:sdtEndPr>
      <w:sdtContent>
        <w:p w14:paraId="7BB0B76B" w14:textId="24C3034A" w:rsidR="005C1DB6" w:rsidRDefault="005C1DB6">
          <w:pPr>
            <w:pStyle w:val="TOCHeading"/>
          </w:pPr>
          <w:r>
            <w:t>Contents</w:t>
          </w:r>
        </w:p>
        <w:p w14:paraId="56EA2E16" w14:textId="309561C6" w:rsidR="005C1DB6" w:rsidRDefault="005C1DB6">
          <w:pPr>
            <w:pStyle w:val="TOC2"/>
            <w:tabs>
              <w:tab w:val="right" w:leader="dot" w:pos="9350"/>
            </w:tabs>
            <w:rPr>
              <w:noProof/>
            </w:rPr>
          </w:pPr>
          <w:r>
            <w:fldChar w:fldCharType="begin"/>
          </w:r>
          <w:r>
            <w:instrText xml:space="preserve"> TOC \o "1-3" \h \z \u </w:instrText>
          </w:r>
          <w:r>
            <w:fldChar w:fldCharType="separate"/>
          </w:r>
          <w:hyperlink w:anchor="_Toc243648008" w:history="1">
            <w:r w:rsidRPr="003043B6">
              <w:rPr>
                <w:rStyle w:val="Hyperlink"/>
                <w:rFonts w:cs="Arial"/>
                <w:noProof/>
              </w:rPr>
              <w:t>1. What is Parkinson's disease?</w:t>
            </w:r>
            <w:r>
              <w:rPr>
                <w:noProof/>
                <w:webHidden/>
              </w:rPr>
              <w:tab/>
            </w:r>
            <w:r>
              <w:rPr>
                <w:noProof/>
                <w:webHidden/>
              </w:rPr>
              <w:fldChar w:fldCharType="begin"/>
            </w:r>
            <w:r>
              <w:rPr>
                <w:noProof/>
                <w:webHidden/>
              </w:rPr>
              <w:instrText xml:space="preserve"> PAGEREF _Toc243648008 \h </w:instrText>
            </w:r>
            <w:r>
              <w:rPr>
                <w:noProof/>
                <w:webHidden/>
              </w:rPr>
            </w:r>
            <w:r>
              <w:rPr>
                <w:noProof/>
                <w:webHidden/>
              </w:rPr>
              <w:fldChar w:fldCharType="separate"/>
            </w:r>
            <w:r>
              <w:rPr>
                <w:noProof/>
                <w:webHidden/>
              </w:rPr>
              <w:t>2</w:t>
            </w:r>
            <w:r>
              <w:rPr>
                <w:noProof/>
                <w:webHidden/>
              </w:rPr>
              <w:fldChar w:fldCharType="end"/>
            </w:r>
          </w:hyperlink>
        </w:p>
        <w:p w14:paraId="70F6F741" w14:textId="153E1CE1" w:rsidR="005C1DB6" w:rsidRDefault="005C1DB6">
          <w:pPr>
            <w:pStyle w:val="TOC3"/>
            <w:tabs>
              <w:tab w:val="right" w:leader="dot" w:pos="9350"/>
            </w:tabs>
            <w:rPr>
              <w:noProof/>
            </w:rPr>
          </w:pPr>
          <w:hyperlink w:anchor="_Toc243648009" w:history="1">
            <w:r w:rsidRPr="003043B6">
              <w:rPr>
                <w:rStyle w:val="Hyperlink"/>
                <w:rFonts w:cs="Arial"/>
                <w:noProof/>
              </w:rPr>
              <w:t>Definition</w:t>
            </w:r>
            <w:r>
              <w:rPr>
                <w:noProof/>
                <w:webHidden/>
              </w:rPr>
              <w:tab/>
            </w:r>
            <w:r>
              <w:rPr>
                <w:noProof/>
                <w:webHidden/>
              </w:rPr>
              <w:fldChar w:fldCharType="begin"/>
            </w:r>
            <w:r>
              <w:rPr>
                <w:noProof/>
                <w:webHidden/>
              </w:rPr>
              <w:instrText xml:space="preserve"> PAGEREF _Toc243648009 \h </w:instrText>
            </w:r>
            <w:r>
              <w:rPr>
                <w:noProof/>
                <w:webHidden/>
              </w:rPr>
            </w:r>
            <w:r>
              <w:rPr>
                <w:noProof/>
                <w:webHidden/>
              </w:rPr>
              <w:fldChar w:fldCharType="separate"/>
            </w:r>
            <w:r>
              <w:rPr>
                <w:noProof/>
                <w:webHidden/>
              </w:rPr>
              <w:t>2</w:t>
            </w:r>
            <w:r>
              <w:rPr>
                <w:noProof/>
                <w:webHidden/>
              </w:rPr>
              <w:fldChar w:fldCharType="end"/>
            </w:r>
          </w:hyperlink>
        </w:p>
        <w:p w14:paraId="4D785CB8" w14:textId="4F09BF33" w:rsidR="005C1DB6" w:rsidRDefault="005C1DB6">
          <w:pPr>
            <w:pStyle w:val="TOC3"/>
            <w:tabs>
              <w:tab w:val="right" w:leader="dot" w:pos="9350"/>
            </w:tabs>
            <w:rPr>
              <w:noProof/>
            </w:rPr>
          </w:pPr>
          <w:hyperlink w:anchor="_Toc243648010" w:history="1">
            <w:r w:rsidRPr="003043B6">
              <w:rPr>
                <w:rStyle w:val="Hyperlink"/>
                <w:rFonts w:cs="Arial"/>
                <w:noProof/>
              </w:rPr>
              <w:t>How common is it?</w:t>
            </w:r>
            <w:r>
              <w:rPr>
                <w:noProof/>
                <w:webHidden/>
              </w:rPr>
              <w:tab/>
            </w:r>
            <w:r>
              <w:rPr>
                <w:noProof/>
                <w:webHidden/>
              </w:rPr>
              <w:fldChar w:fldCharType="begin"/>
            </w:r>
            <w:r>
              <w:rPr>
                <w:noProof/>
                <w:webHidden/>
              </w:rPr>
              <w:instrText xml:space="preserve"> PAGEREF _Toc243648010 \h </w:instrText>
            </w:r>
            <w:r>
              <w:rPr>
                <w:noProof/>
                <w:webHidden/>
              </w:rPr>
            </w:r>
            <w:r>
              <w:rPr>
                <w:noProof/>
                <w:webHidden/>
              </w:rPr>
              <w:fldChar w:fldCharType="separate"/>
            </w:r>
            <w:r>
              <w:rPr>
                <w:noProof/>
                <w:webHidden/>
              </w:rPr>
              <w:t>3</w:t>
            </w:r>
            <w:r>
              <w:rPr>
                <w:noProof/>
                <w:webHidden/>
              </w:rPr>
              <w:fldChar w:fldCharType="end"/>
            </w:r>
          </w:hyperlink>
        </w:p>
        <w:p w14:paraId="1D89CC19" w14:textId="3D4F6BCE" w:rsidR="005C1DB6" w:rsidRDefault="005C1DB6">
          <w:pPr>
            <w:pStyle w:val="TOC3"/>
            <w:tabs>
              <w:tab w:val="right" w:leader="dot" w:pos="9350"/>
            </w:tabs>
            <w:rPr>
              <w:noProof/>
            </w:rPr>
          </w:pPr>
          <w:hyperlink w:anchor="_Toc243648011" w:history="1">
            <w:r w:rsidRPr="003043B6">
              <w:rPr>
                <w:rStyle w:val="Hyperlink"/>
                <w:rFonts w:cs="Arial"/>
                <w:noProof/>
              </w:rPr>
              <w:t>Risk factors and causes</w:t>
            </w:r>
            <w:r>
              <w:rPr>
                <w:noProof/>
                <w:webHidden/>
              </w:rPr>
              <w:tab/>
            </w:r>
            <w:r>
              <w:rPr>
                <w:noProof/>
                <w:webHidden/>
              </w:rPr>
              <w:fldChar w:fldCharType="begin"/>
            </w:r>
            <w:r>
              <w:rPr>
                <w:noProof/>
                <w:webHidden/>
              </w:rPr>
              <w:instrText xml:space="preserve"> PAGEREF _Toc243648011 \h </w:instrText>
            </w:r>
            <w:r>
              <w:rPr>
                <w:noProof/>
                <w:webHidden/>
              </w:rPr>
            </w:r>
            <w:r>
              <w:rPr>
                <w:noProof/>
                <w:webHidden/>
              </w:rPr>
              <w:fldChar w:fldCharType="separate"/>
            </w:r>
            <w:r>
              <w:rPr>
                <w:noProof/>
                <w:webHidden/>
              </w:rPr>
              <w:t>3</w:t>
            </w:r>
            <w:r>
              <w:rPr>
                <w:noProof/>
                <w:webHidden/>
              </w:rPr>
              <w:fldChar w:fldCharType="end"/>
            </w:r>
          </w:hyperlink>
        </w:p>
        <w:p w14:paraId="4A6798F9" w14:textId="107C277D" w:rsidR="005C1DB6" w:rsidRDefault="005C1DB6">
          <w:pPr>
            <w:pStyle w:val="TOC2"/>
            <w:tabs>
              <w:tab w:val="right" w:leader="dot" w:pos="9350"/>
            </w:tabs>
            <w:rPr>
              <w:noProof/>
            </w:rPr>
          </w:pPr>
          <w:hyperlink w:anchor="_Toc243648012" w:history="1">
            <w:r w:rsidRPr="003043B6">
              <w:rPr>
                <w:rStyle w:val="Hyperlink"/>
                <w:rFonts w:cs="Arial"/>
                <w:noProof/>
              </w:rPr>
              <w:t>2. How Parkinson's affects the person and the family</w:t>
            </w:r>
            <w:r>
              <w:rPr>
                <w:noProof/>
                <w:webHidden/>
              </w:rPr>
              <w:tab/>
            </w:r>
            <w:r>
              <w:rPr>
                <w:noProof/>
                <w:webHidden/>
              </w:rPr>
              <w:fldChar w:fldCharType="begin"/>
            </w:r>
            <w:r>
              <w:rPr>
                <w:noProof/>
                <w:webHidden/>
              </w:rPr>
              <w:instrText xml:space="preserve"> PAGEREF _Toc243648012 \h </w:instrText>
            </w:r>
            <w:r>
              <w:rPr>
                <w:noProof/>
                <w:webHidden/>
              </w:rPr>
            </w:r>
            <w:r>
              <w:rPr>
                <w:noProof/>
                <w:webHidden/>
              </w:rPr>
              <w:fldChar w:fldCharType="separate"/>
            </w:r>
            <w:r>
              <w:rPr>
                <w:noProof/>
                <w:webHidden/>
              </w:rPr>
              <w:t>3</w:t>
            </w:r>
            <w:r>
              <w:rPr>
                <w:noProof/>
                <w:webHidden/>
              </w:rPr>
              <w:fldChar w:fldCharType="end"/>
            </w:r>
          </w:hyperlink>
        </w:p>
        <w:p w14:paraId="036463A6" w14:textId="56978414" w:rsidR="005C1DB6" w:rsidRDefault="005C1DB6">
          <w:pPr>
            <w:pStyle w:val="TOC3"/>
            <w:tabs>
              <w:tab w:val="right" w:leader="dot" w:pos="9350"/>
            </w:tabs>
            <w:rPr>
              <w:noProof/>
            </w:rPr>
          </w:pPr>
          <w:hyperlink w:anchor="_Toc243648013" w:history="1">
            <w:r w:rsidRPr="003043B6">
              <w:rPr>
                <w:rStyle w:val="Hyperlink"/>
                <w:rFonts w:cs="Arial"/>
                <w:noProof/>
              </w:rPr>
              <w:t>Physical impact</w:t>
            </w:r>
            <w:r>
              <w:rPr>
                <w:noProof/>
                <w:webHidden/>
              </w:rPr>
              <w:tab/>
            </w:r>
            <w:r>
              <w:rPr>
                <w:noProof/>
                <w:webHidden/>
              </w:rPr>
              <w:fldChar w:fldCharType="begin"/>
            </w:r>
            <w:r>
              <w:rPr>
                <w:noProof/>
                <w:webHidden/>
              </w:rPr>
              <w:instrText xml:space="preserve"> PAGEREF _Toc243648013 \h </w:instrText>
            </w:r>
            <w:r>
              <w:rPr>
                <w:noProof/>
                <w:webHidden/>
              </w:rPr>
            </w:r>
            <w:r>
              <w:rPr>
                <w:noProof/>
                <w:webHidden/>
              </w:rPr>
              <w:fldChar w:fldCharType="separate"/>
            </w:r>
            <w:r>
              <w:rPr>
                <w:noProof/>
                <w:webHidden/>
              </w:rPr>
              <w:t>3</w:t>
            </w:r>
            <w:r>
              <w:rPr>
                <w:noProof/>
                <w:webHidden/>
              </w:rPr>
              <w:fldChar w:fldCharType="end"/>
            </w:r>
          </w:hyperlink>
        </w:p>
        <w:p w14:paraId="3D4F8CF4" w14:textId="22983245" w:rsidR="005C1DB6" w:rsidRDefault="005C1DB6">
          <w:pPr>
            <w:pStyle w:val="TOC3"/>
            <w:tabs>
              <w:tab w:val="right" w:leader="dot" w:pos="9350"/>
            </w:tabs>
            <w:rPr>
              <w:noProof/>
            </w:rPr>
          </w:pPr>
          <w:hyperlink w:anchor="_Toc243648014" w:history="1">
            <w:r w:rsidRPr="003043B6">
              <w:rPr>
                <w:rStyle w:val="Hyperlink"/>
                <w:rFonts w:cs="Arial"/>
                <w:noProof/>
              </w:rPr>
              <w:t>Psychological impact</w:t>
            </w:r>
            <w:r>
              <w:rPr>
                <w:noProof/>
                <w:webHidden/>
              </w:rPr>
              <w:tab/>
            </w:r>
            <w:r>
              <w:rPr>
                <w:noProof/>
                <w:webHidden/>
              </w:rPr>
              <w:fldChar w:fldCharType="begin"/>
            </w:r>
            <w:r>
              <w:rPr>
                <w:noProof/>
                <w:webHidden/>
              </w:rPr>
              <w:instrText xml:space="preserve"> PAGEREF _Toc243648014 \h </w:instrText>
            </w:r>
            <w:r>
              <w:rPr>
                <w:noProof/>
                <w:webHidden/>
              </w:rPr>
            </w:r>
            <w:r>
              <w:rPr>
                <w:noProof/>
                <w:webHidden/>
              </w:rPr>
              <w:fldChar w:fldCharType="separate"/>
            </w:r>
            <w:r>
              <w:rPr>
                <w:noProof/>
                <w:webHidden/>
              </w:rPr>
              <w:t>4</w:t>
            </w:r>
            <w:r>
              <w:rPr>
                <w:noProof/>
                <w:webHidden/>
              </w:rPr>
              <w:fldChar w:fldCharType="end"/>
            </w:r>
          </w:hyperlink>
        </w:p>
        <w:p w14:paraId="2FDF4894" w14:textId="37A10DE7" w:rsidR="005C1DB6" w:rsidRDefault="005C1DB6">
          <w:pPr>
            <w:pStyle w:val="TOC3"/>
            <w:tabs>
              <w:tab w:val="right" w:leader="dot" w:pos="9350"/>
            </w:tabs>
            <w:rPr>
              <w:noProof/>
            </w:rPr>
          </w:pPr>
          <w:hyperlink w:anchor="_Toc243648015" w:history="1">
            <w:r w:rsidRPr="003043B6">
              <w:rPr>
                <w:rStyle w:val="Hyperlink"/>
                <w:rFonts w:cs="Arial"/>
                <w:noProof/>
              </w:rPr>
              <w:t>Social impact</w:t>
            </w:r>
            <w:r>
              <w:rPr>
                <w:noProof/>
                <w:webHidden/>
              </w:rPr>
              <w:tab/>
            </w:r>
            <w:r>
              <w:rPr>
                <w:noProof/>
                <w:webHidden/>
              </w:rPr>
              <w:fldChar w:fldCharType="begin"/>
            </w:r>
            <w:r>
              <w:rPr>
                <w:noProof/>
                <w:webHidden/>
              </w:rPr>
              <w:instrText xml:space="preserve"> PAGEREF _Toc243648015 \h </w:instrText>
            </w:r>
            <w:r>
              <w:rPr>
                <w:noProof/>
                <w:webHidden/>
              </w:rPr>
            </w:r>
            <w:r>
              <w:rPr>
                <w:noProof/>
                <w:webHidden/>
              </w:rPr>
              <w:fldChar w:fldCharType="separate"/>
            </w:r>
            <w:r>
              <w:rPr>
                <w:noProof/>
                <w:webHidden/>
              </w:rPr>
              <w:t>4</w:t>
            </w:r>
            <w:r>
              <w:rPr>
                <w:noProof/>
                <w:webHidden/>
              </w:rPr>
              <w:fldChar w:fldCharType="end"/>
            </w:r>
          </w:hyperlink>
        </w:p>
        <w:p w14:paraId="23F02ABD" w14:textId="4DB6D8CE" w:rsidR="005C1DB6" w:rsidRDefault="005C1DB6">
          <w:pPr>
            <w:pStyle w:val="TOC3"/>
            <w:tabs>
              <w:tab w:val="right" w:leader="dot" w:pos="9350"/>
            </w:tabs>
            <w:rPr>
              <w:noProof/>
            </w:rPr>
          </w:pPr>
          <w:hyperlink w:anchor="_Toc243648016" w:history="1">
            <w:r w:rsidRPr="003043B6">
              <w:rPr>
                <w:rStyle w:val="Hyperlink"/>
                <w:rFonts w:cs="Arial"/>
                <w:noProof/>
              </w:rPr>
              <w:t>Wider impact on families and carers</w:t>
            </w:r>
            <w:r>
              <w:rPr>
                <w:noProof/>
                <w:webHidden/>
              </w:rPr>
              <w:tab/>
            </w:r>
            <w:r>
              <w:rPr>
                <w:noProof/>
                <w:webHidden/>
              </w:rPr>
              <w:fldChar w:fldCharType="begin"/>
            </w:r>
            <w:r>
              <w:rPr>
                <w:noProof/>
                <w:webHidden/>
              </w:rPr>
              <w:instrText xml:space="preserve"> PAGEREF _Toc243648016 \h </w:instrText>
            </w:r>
            <w:r>
              <w:rPr>
                <w:noProof/>
                <w:webHidden/>
              </w:rPr>
            </w:r>
            <w:r>
              <w:rPr>
                <w:noProof/>
                <w:webHidden/>
              </w:rPr>
              <w:fldChar w:fldCharType="separate"/>
            </w:r>
            <w:r>
              <w:rPr>
                <w:noProof/>
                <w:webHidden/>
              </w:rPr>
              <w:t>4</w:t>
            </w:r>
            <w:r>
              <w:rPr>
                <w:noProof/>
                <w:webHidden/>
              </w:rPr>
              <w:fldChar w:fldCharType="end"/>
            </w:r>
          </w:hyperlink>
        </w:p>
        <w:p w14:paraId="4FA44763" w14:textId="208B7818" w:rsidR="005C1DB6" w:rsidRDefault="005C1DB6">
          <w:pPr>
            <w:pStyle w:val="TOC2"/>
            <w:tabs>
              <w:tab w:val="right" w:leader="dot" w:pos="9350"/>
            </w:tabs>
            <w:rPr>
              <w:noProof/>
            </w:rPr>
          </w:pPr>
          <w:hyperlink w:anchor="_Toc243648017" w:history="1">
            <w:r w:rsidRPr="003043B6">
              <w:rPr>
                <w:rStyle w:val="Hyperlink"/>
                <w:rFonts w:cs="Arial"/>
                <w:noProof/>
              </w:rPr>
              <w:t>3. Evidence-based treatments on the NHS</w:t>
            </w:r>
            <w:r>
              <w:rPr>
                <w:noProof/>
                <w:webHidden/>
              </w:rPr>
              <w:tab/>
            </w:r>
            <w:r>
              <w:rPr>
                <w:noProof/>
                <w:webHidden/>
              </w:rPr>
              <w:fldChar w:fldCharType="begin"/>
            </w:r>
            <w:r>
              <w:rPr>
                <w:noProof/>
                <w:webHidden/>
              </w:rPr>
              <w:instrText xml:space="preserve"> PAGEREF _Toc243648017 \h </w:instrText>
            </w:r>
            <w:r>
              <w:rPr>
                <w:noProof/>
                <w:webHidden/>
              </w:rPr>
            </w:r>
            <w:r>
              <w:rPr>
                <w:noProof/>
                <w:webHidden/>
              </w:rPr>
              <w:fldChar w:fldCharType="separate"/>
            </w:r>
            <w:r>
              <w:rPr>
                <w:noProof/>
                <w:webHidden/>
              </w:rPr>
              <w:t>5</w:t>
            </w:r>
            <w:r>
              <w:rPr>
                <w:noProof/>
                <w:webHidden/>
              </w:rPr>
              <w:fldChar w:fldCharType="end"/>
            </w:r>
          </w:hyperlink>
        </w:p>
        <w:p w14:paraId="6C5379AD" w14:textId="680527F9" w:rsidR="005C1DB6" w:rsidRDefault="005C1DB6">
          <w:pPr>
            <w:pStyle w:val="TOC2"/>
            <w:tabs>
              <w:tab w:val="right" w:leader="dot" w:pos="9350"/>
            </w:tabs>
            <w:rPr>
              <w:noProof/>
            </w:rPr>
          </w:pPr>
          <w:hyperlink w:anchor="_Toc243648018" w:history="1">
            <w:r w:rsidRPr="003043B6">
              <w:rPr>
                <w:rStyle w:val="Hyperlink"/>
                <w:rFonts w:cs="Arial"/>
                <w:noProof/>
              </w:rPr>
              <w:t>4. Models of care: one UK and one international</w:t>
            </w:r>
            <w:r>
              <w:rPr>
                <w:noProof/>
                <w:webHidden/>
              </w:rPr>
              <w:tab/>
            </w:r>
            <w:r>
              <w:rPr>
                <w:noProof/>
                <w:webHidden/>
              </w:rPr>
              <w:fldChar w:fldCharType="begin"/>
            </w:r>
            <w:r>
              <w:rPr>
                <w:noProof/>
                <w:webHidden/>
              </w:rPr>
              <w:instrText xml:space="preserve"> PAGEREF _Toc243648018 \h </w:instrText>
            </w:r>
            <w:r>
              <w:rPr>
                <w:noProof/>
                <w:webHidden/>
              </w:rPr>
            </w:r>
            <w:r>
              <w:rPr>
                <w:noProof/>
                <w:webHidden/>
              </w:rPr>
              <w:fldChar w:fldCharType="separate"/>
            </w:r>
            <w:r>
              <w:rPr>
                <w:noProof/>
                <w:webHidden/>
              </w:rPr>
              <w:t>5</w:t>
            </w:r>
            <w:r>
              <w:rPr>
                <w:noProof/>
                <w:webHidden/>
              </w:rPr>
              <w:fldChar w:fldCharType="end"/>
            </w:r>
          </w:hyperlink>
        </w:p>
        <w:p w14:paraId="596FE472" w14:textId="03D6BA18" w:rsidR="005C1DB6" w:rsidRDefault="005C1DB6">
          <w:pPr>
            <w:pStyle w:val="TOC3"/>
            <w:tabs>
              <w:tab w:val="right" w:leader="dot" w:pos="9350"/>
            </w:tabs>
            <w:rPr>
              <w:noProof/>
            </w:rPr>
          </w:pPr>
          <w:hyperlink w:anchor="_Toc243648019" w:history="1">
            <w:r w:rsidRPr="003043B6">
              <w:rPr>
                <w:rStyle w:val="Hyperlink"/>
                <w:rFonts w:cs="Arial"/>
                <w:noProof/>
              </w:rPr>
              <w:t>International model: ParkinsonNet (Netherlands)</w:t>
            </w:r>
            <w:r>
              <w:rPr>
                <w:noProof/>
                <w:webHidden/>
              </w:rPr>
              <w:tab/>
            </w:r>
            <w:r>
              <w:rPr>
                <w:noProof/>
                <w:webHidden/>
              </w:rPr>
              <w:fldChar w:fldCharType="begin"/>
            </w:r>
            <w:r>
              <w:rPr>
                <w:noProof/>
                <w:webHidden/>
              </w:rPr>
              <w:instrText xml:space="preserve"> PAGEREF _Toc243648019 \h </w:instrText>
            </w:r>
            <w:r>
              <w:rPr>
                <w:noProof/>
                <w:webHidden/>
              </w:rPr>
            </w:r>
            <w:r>
              <w:rPr>
                <w:noProof/>
                <w:webHidden/>
              </w:rPr>
              <w:fldChar w:fldCharType="separate"/>
            </w:r>
            <w:r>
              <w:rPr>
                <w:noProof/>
                <w:webHidden/>
              </w:rPr>
              <w:t>7</w:t>
            </w:r>
            <w:r>
              <w:rPr>
                <w:noProof/>
                <w:webHidden/>
              </w:rPr>
              <w:fldChar w:fldCharType="end"/>
            </w:r>
          </w:hyperlink>
        </w:p>
        <w:p w14:paraId="349BDA55" w14:textId="29B9924A" w:rsidR="005C1DB6" w:rsidRDefault="005C1DB6">
          <w:pPr>
            <w:pStyle w:val="TOC3"/>
            <w:tabs>
              <w:tab w:val="right" w:leader="dot" w:pos="9350"/>
            </w:tabs>
            <w:rPr>
              <w:noProof/>
            </w:rPr>
          </w:pPr>
          <w:hyperlink w:anchor="_Toc243648020" w:history="1">
            <w:r w:rsidRPr="003043B6">
              <w:rPr>
                <w:rStyle w:val="Hyperlink"/>
                <w:rFonts w:cs="Arial"/>
                <w:noProof/>
              </w:rPr>
              <w:t>Comparing the two models</w:t>
            </w:r>
            <w:r>
              <w:rPr>
                <w:noProof/>
                <w:webHidden/>
              </w:rPr>
              <w:tab/>
            </w:r>
            <w:r>
              <w:rPr>
                <w:noProof/>
                <w:webHidden/>
              </w:rPr>
              <w:fldChar w:fldCharType="begin"/>
            </w:r>
            <w:r>
              <w:rPr>
                <w:noProof/>
                <w:webHidden/>
              </w:rPr>
              <w:instrText xml:space="preserve"> PAGEREF _Toc243648020 \h </w:instrText>
            </w:r>
            <w:r>
              <w:rPr>
                <w:noProof/>
                <w:webHidden/>
              </w:rPr>
            </w:r>
            <w:r>
              <w:rPr>
                <w:noProof/>
                <w:webHidden/>
              </w:rPr>
              <w:fldChar w:fldCharType="separate"/>
            </w:r>
            <w:r>
              <w:rPr>
                <w:noProof/>
                <w:webHidden/>
              </w:rPr>
              <w:t>9</w:t>
            </w:r>
            <w:r>
              <w:rPr>
                <w:noProof/>
                <w:webHidden/>
              </w:rPr>
              <w:fldChar w:fldCharType="end"/>
            </w:r>
          </w:hyperlink>
        </w:p>
        <w:p w14:paraId="5A13BE74" w14:textId="2FCAB5F8" w:rsidR="005C1DB6" w:rsidRDefault="005C1DB6">
          <w:pPr>
            <w:pStyle w:val="TOC2"/>
            <w:tabs>
              <w:tab w:val="right" w:leader="dot" w:pos="9350"/>
            </w:tabs>
            <w:rPr>
              <w:noProof/>
            </w:rPr>
          </w:pPr>
          <w:hyperlink w:anchor="_Toc243648021" w:history="1">
            <w:r w:rsidRPr="003043B6">
              <w:rPr>
                <w:rStyle w:val="Hyperlink"/>
                <w:rFonts w:cs="Arial"/>
                <w:noProof/>
              </w:rPr>
              <w:t>5. Local and national policy</w:t>
            </w:r>
            <w:r>
              <w:rPr>
                <w:noProof/>
                <w:webHidden/>
              </w:rPr>
              <w:tab/>
            </w:r>
            <w:r>
              <w:rPr>
                <w:noProof/>
                <w:webHidden/>
              </w:rPr>
              <w:fldChar w:fldCharType="begin"/>
            </w:r>
            <w:r>
              <w:rPr>
                <w:noProof/>
                <w:webHidden/>
              </w:rPr>
              <w:instrText xml:space="preserve"> PAGEREF _Toc243648021 \h </w:instrText>
            </w:r>
            <w:r>
              <w:rPr>
                <w:noProof/>
                <w:webHidden/>
              </w:rPr>
            </w:r>
            <w:r>
              <w:rPr>
                <w:noProof/>
                <w:webHidden/>
              </w:rPr>
              <w:fldChar w:fldCharType="separate"/>
            </w:r>
            <w:r>
              <w:rPr>
                <w:noProof/>
                <w:webHidden/>
              </w:rPr>
              <w:t>9</w:t>
            </w:r>
            <w:r>
              <w:rPr>
                <w:noProof/>
                <w:webHidden/>
              </w:rPr>
              <w:fldChar w:fldCharType="end"/>
            </w:r>
          </w:hyperlink>
        </w:p>
        <w:p w14:paraId="427E3E3C" w14:textId="2099E1E1" w:rsidR="005C1DB6" w:rsidRDefault="005C1DB6">
          <w:pPr>
            <w:pStyle w:val="TOC3"/>
            <w:tabs>
              <w:tab w:val="right" w:leader="dot" w:pos="9350"/>
            </w:tabs>
            <w:rPr>
              <w:noProof/>
            </w:rPr>
          </w:pPr>
          <w:hyperlink w:anchor="_Toc243648022" w:history="1">
            <w:r w:rsidRPr="003043B6">
              <w:rPr>
                <w:rStyle w:val="Hyperlink"/>
                <w:rFonts w:cs="Arial"/>
                <w:noProof/>
              </w:rPr>
              <w:t>National agendas</w:t>
            </w:r>
            <w:r>
              <w:rPr>
                <w:noProof/>
                <w:webHidden/>
              </w:rPr>
              <w:tab/>
            </w:r>
            <w:r>
              <w:rPr>
                <w:noProof/>
                <w:webHidden/>
              </w:rPr>
              <w:fldChar w:fldCharType="begin"/>
            </w:r>
            <w:r>
              <w:rPr>
                <w:noProof/>
                <w:webHidden/>
              </w:rPr>
              <w:instrText xml:space="preserve"> PAGEREF _Toc243648022 \h </w:instrText>
            </w:r>
            <w:r>
              <w:rPr>
                <w:noProof/>
                <w:webHidden/>
              </w:rPr>
            </w:r>
            <w:r>
              <w:rPr>
                <w:noProof/>
                <w:webHidden/>
              </w:rPr>
              <w:fldChar w:fldCharType="separate"/>
            </w:r>
            <w:r>
              <w:rPr>
                <w:noProof/>
                <w:webHidden/>
              </w:rPr>
              <w:t>9</w:t>
            </w:r>
            <w:r>
              <w:rPr>
                <w:noProof/>
                <w:webHidden/>
              </w:rPr>
              <w:fldChar w:fldCharType="end"/>
            </w:r>
          </w:hyperlink>
        </w:p>
        <w:p w14:paraId="00265253" w14:textId="744C3A6C" w:rsidR="005C1DB6" w:rsidRDefault="005C1DB6">
          <w:pPr>
            <w:pStyle w:val="TOC3"/>
            <w:tabs>
              <w:tab w:val="right" w:leader="dot" w:pos="9350"/>
            </w:tabs>
            <w:rPr>
              <w:noProof/>
            </w:rPr>
          </w:pPr>
          <w:hyperlink w:anchor="_Toc243648023" w:history="1">
            <w:r w:rsidRPr="003043B6">
              <w:rPr>
                <w:rStyle w:val="Hyperlink"/>
                <w:rFonts w:cs="Arial"/>
                <w:noProof/>
              </w:rPr>
              <w:t>Local agendas</w:t>
            </w:r>
            <w:r>
              <w:rPr>
                <w:noProof/>
                <w:webHidden/>
              </w:rPr>
              <w:tab/>
            </w:r>
            <w:r>
              <w:rPr>
                <w:noProof/>
                <w:webHidden/>
              </w:rPr>
              <w:fldChar w:fldCharType="begin"/>
            </w:r>
            <w:r>
              <w:rPr>
                <w:noProof/>
                <w:webHidden/>
              </w:rPr>
              <w:instrText xml:space="preserve"> PAGEREF _Toc243648023 \h </w:instrText>
            </w:r>
            <w:r>
              <w:rPr>
                <w:noProof/>
                <w:webHidden/>
              </w:rPr>
            </w:r>
            <w:r>
              <w:rPr>
                <w:noProof/>
                <w:webHidden/>
              </w:rPr>
              <w:fldChar w:fldCharType="separate"/>
            </w:r>
            <w:r>
              <w:rPr>
                <w:noProof/>
                <w:webHidden/>
              </w:rPr>
              <w:t>9</w:t>
            </w:r>
            <w:r>
              <w:rPr>
                <w:noProof/>
                <w:webHidden/>
              </w:rPr>
              <w:fldChar w:fldCharType="end"/>
            </w:r>
          </w:hyperlink>
        </w:p>
        <w:p w14:paraId="5930FB6A" w14:textId="24B3CA94" w:rsidR="005C1DB6" w:rsidRDefault="005C1DB6">
          <w:pPr>
            <w:pStyle w:val="TOC2"/>
            <w:tabs>
              <w:tab w:val="right" w:leader="dot" w:pos="9350"/>
            </w:tabs>
            <w:rPr>
              <w:noProof/>
            </w:rPr>
          </w:pPr>
          <w:hyperlink w:anchor="_Toc243648024" w:history="1">
            <w:r w:rsidRPr="003043B6">
              <w:rPr>
                <w:rStyle w:val="Hyperlink"/>
                <w:rFonts w:cs="Arial"/>
                <w:noProof/>
              </w:rPr>
              <w:t>6. Recommendations for practice</w:t>
            </w:r>
            <w:r>
              <w:rPr>
                <w:noProof/>
                <w:webHidden/>
              </w:rPr>
              <w:tab/>
            </w:r>
            <w:r>
              <w:rPr>
                <w:noProof/>
                <w:webHidden/>
              </w:rPr>
              <w:fldChar w:fldCharType="begin"/>
            </w:r>
            <w:r>
              <w:rPr>
                <w:noProof/>
                <w:webHidden/>
              </w:rPr>
              <w:instrText xml:space="preserve"> PAGEREF _Toc243648024 \h </w:instrText>
            </w:r>
            <w:r>
              <w:rPr>
                <w:noProof/>
                <w:webHidden/>
              </w:rPr>
            </w:r>
            <w:r>
              <w:rPr>
                <w:noProof/>
                <w:webHidden/>
              </w:rPr>
              <w:fldChar w:fldCharType="separate"/>
            </w:r>
            <w:r>
              <w:rPr>
                <w:noProof/>
                <w:webHidden/>
              </w:rPr>
              <w:t>10</w:t>
            </w:r>
            <w:r>
              <w:rPr>
                <w:noProof/>
                <w:webHidden/>
              </w:rPr>
              <w:fldChar w:fldCharType="end"/>
            </w:r>
          </w:hyperlink>
        </w:p>
        <w:p w14:paraId="4729F35E" w14:textId="67D80EAB" w:rsidR="005C1DB6" w:rsidRDefault="005C1DB6">
          <w:pPr>
            <w:pStyle w:val="TOC3"/>
            <w:tabs>
              <w:tab w:val="right" w:leader="dot" w:pos="9350"/>
            </w:tabs>
            <w:rPr>
              <w:noProof/>
            </w:rPr>
          </w:pPr>
          <w:hyperlink w:anchor="_Toc243648025" w:history="1">
            <w:r w:rsidRPr="003043B6">
              <w:rPr>
                <w:rStyle w:val="Hyperlink"/>
                <w:rFonts w:cs="Arial"/>
                <w:noProof/>
              </w:rPr>
              <w:t>Person-centred care</w:t>
            </w:r>
            <w:r>
              <w:rPr>
                <w:noProof/>
                <w:webHidden/>
              </w:rPr>
              <w:tab/>
            </w:r>
            <w:r>
              <w:rPr>
                <w:noProof/>
                <w:webHidden/>
              </w:rPr>
              <w:fldChar w:fldCharType="begin"/>
            </w:r>
            <w:r>
              <w:rPr>
                <w:noProof/>
                <w:webHidden/>
              </w:rPr>
              <w:instrText xml:space="preserve"> PAGEREF _Toc243648025 \h </w:instrText>
            </w:r>
            <w:r>
              <w:rPr>
                <w:noProof/>
                <w:webHidden/>
              </w:rPr>
            </w:r>
            <w:r>
              <w:rPr>
                <w:noProof/>
                <w:webHidden/>
              </w:rPr>
              <w:fldChar w:fldCharType="separate"/>
            </w:r>
            <w:r>
              <w:rPr>
                <w:noProof/>
                <w:webHidden/>
              </w:rPr>
              <w:t>10</w:t>
            </w:r>
            <w:r>
              <w:rPr>
                <w:noProof/>
                <w:webHidden/>
              </w:rPr>
              <w:fldChar w:fldCharType="end"/>
            </w:r>
          </w:hyperlink>
        </w:p>
        <w:p w14:paraId="2F6A278E" w14:textId="2C6AF2E9" w:rsidR="005C1DB6" w:rsidRDefault="005C1DB6">
          <w:pPr>
            <w:pStyle w:val="TOC3"/>
            <w:tabs>
              <w:tab w:val="right" w:leader="dot" w:pos="9350"/>
            </w:tabs>
            <w:rPr>
              <w:noProof/>
            </w:rPr>
          </w:pPr>
          <w:hyperlink w:anchor="_Toc243648026" w:history="1">
            <w:r w:rsidRPr="003043B6">
              <w:rPr>
                <w:rStyle w:val="Hyperlink"/>
                <w:rFonts w:cs="Arial"/>
                <w:noProof/>
              </w:rPr>
              <w:t>Self-management</w:t>
            </w:r>
            <w:r>
              <w:rPr>
                <w:noProof/>
                <w:webHidden/>
              </w:rPr>
              <w:tab/>
            </w:r>
            <w:r>
              <w:rPr>
                <w:noProof/>
                <w:webHidden/>
              </w:rPr>
              <w:fldChar w:fldCharType="begin"/>
            </w:r>
            <w:r>
              <w:rPr>
                <w:noProof/>
                <w:webHidden/>
              </w:rPr>
              <w:instrText xml:space="preserve"> PAGEREF _Toc243648026 \h </w:instrText>
            </w:r>
            <w:r>
              <w:rPr>
                <w:noProof/>
                <w:webHidden/>
              </w:rPr>
            </w:r>
            <w:r>
              <w:rPr>
                <w:noProof/>
                <w:webHidden/>
              </w:rPr>
              <w:fldChar w:fldCharType="separate"/>
            </w:r>
            <w:r>
              <w:rPr>
                <w:noProof/>
                <w:webHidden/>
              </w:rPr>
              <w:t>10</w:t>
            </w:r>
            <w:r>
              <w:rPr>
                <w:noProof/>
                <w:webHidden/>
              </w:rPr>
              <w:fldChar w:fldCharType="end"/>
            </w:r>
          </w:hyperlink>
        </w:p>
        <w:p w14:paraId="167C343A" w14:textId="71DDE320" w:rsidR="005C1DB6" w:rsidRDefault="005C1DB6">
          <w:pPr>
            <w:pStyle w:val="TOC3"/>
            <w:tabs>
              <w:tab w:val="right" w:leader="dot" w:pos="9350"/>
            </w:tabs>
            <w:rPr>
              <w:noProof/>
            </w:rPr>
          </w:pPr>
          <w:hyperlink w:anchor="_Toc243648027" w:history="1">
            <w:r w:rsidRPr="003043B6">
              <w:rPr>
                <w:rStyle w:val="Hyperlink"/>
                <w:rFonts w:cs="Arial"/>
                <w:noProof/>
              </w:rPr>
              <w:t>End-of-life care</w:t>
            </w:r>
            <w:r>
              <w:rPr>
                <w:noProof/>
                <w:webHidden/>
              </w:rPr>
              <w:tab/>
            </w:r>
            <w:r>
              <w:rPr>
                <w:noProof/>
                <w:webHidden/>
              </w:rPr>
              <w:fldChar w:fldCharType="begin"/>
            </w:r>
            <w:r>
              <w:rPr>
                <w:noProof/>
                <w:webHidden/>
              </w:rPr>
              <w:instrText xml:space="preserve"> PAGEREF _Toc243648027 \h </w:instrText>
            </w:r>
            <w:r>
              <w:rPr>
                <w:noProof/>
                <w:webHidden/>
              </w:rPr>
            </w:r>
            <w:r>
              <w:rPr>
                <w:noProof/>
                <w:webHidden/>
              </w:rPr>
              <w:fldChar w:fldCharType="separate"/>
            </w:r>
            <w:r>
              <w:rPr>
                <w:noProof/>
                <w:webHidden/>
              </w:rPr>
              <w:t>11</w:t>
            </w:r>
            <w:r>
              <w:rPr>
                <w:noProof/>
                <w:webHidden/>
              </w:rPr>
              <w:fldChar w:fldCharType="end"/>
            </w:r>
          </w:hyperlink>
        </w:p>
        <w:p w14:paraId="35EC4D0B" w14:textId="28F577CD" w:rsidR="005C1DB6" w:rsidRDefault="005C1DB6">
          <w:pPr>
            <w:pStyle w:val="TOC2"/>
            <w:tabs>
              <w:tab w:val="right" w:leader="dot" w:pos="9350"/>
            </w:tabs>
            <w:rPr>
              <w:noProof/>
            </w:rPr>
          </w:pPr>
          <w:hyperlink w:anchor="_Toc243648028" w:history="1">
            <w:r w:rsidRPr="003043B6">
              <w:rPr>
                <w:rStyle w:val="Hyperlink"/>
                <w:rFonts w:cs="Arial"/>
                <w:noProof/>
              </w:rPr>
              <w:t>7. Conclusion</w:t>
            </w:r>
            <w:r>
              <w:rPr>
                <w:noProof/>
                <w:webHidden/>
              </w:rPr>
              <w:tab/>
            </w:r>
            <w:r>
              <w:rPr>
                <w:noProof/>
                <w:webHidden/>
              </w:rPr>
              <w:fldChar w:fldCharType="begin"/>
            </w:r>
            <w:r>
              <w:rPr>
                <w:noProof/>
                <w:webHidden/>
              </w:rPr>
              <w:instrText xml:space="preserve"> PAGEREF _Toc243648028 \h </w:instrText>
            </w:r>
            <w:r>
              <w:rPr>
                <w:noProof/>
                <w:webHidden/>
              </w:rPr>
            </w:r>
            <w:r>
              <w:rPr>
                <w:noProof/>
                <w:webHidden/>
              </w:rPr>
              <w:fldChar w:fldCharType="separate"/>
            </w:r>
            <w:r>
              <w:rPr>
                <w:noProof/>
                <w:webHidden/>
              </w:rPr>
              <w:t>11</w:t>
            </w:r>
            <w:r>
              <w:rPr>
                <w:noProof/>
                <w:webHidden/>
              </w:rPr>
              <w:fldChar w:fldCharType="end"/>
            </w:r>
          </w:hyperlink>
        </w:p>
        <w:p w14:paraId="45546CC6" w14:textId="1B95EE97" w:rsidR="005C1DB6" w:rsidRDefault="005C1DB6">
          <w:pPr>
            <w:pStyle w:val="TOC2"/>
            <w:tabs>
              <w:tab w:val="right" w:leader="dot" w:pos="9350"/>
            </w:tabs>
            <w:rPr>
              <w:noProof/>
            </w:rPr>
          </w:pPr>
          <w:hyperlink w:anchor="_Toc243648029" w:history="1">
            <w:r w:rsidRPr="003043B6">
              <w:rPr>
                <w:rStyle w:val="Hyperlink"/>
                <w:rFonts w:cs="Arial"/>
                <w:noProof/>
              </w:rPr>
              <w:t>References</w:t>
            </w:r>
            <w:r>
              <w:rPr>
                <w:noProof/>
                <w:webHidden/>
              </w:rPr>
              <w:tab/>
            </w:r>
            <w:r>
              <w:rPr>
                <w:noProof/>
                <w:webHidden/>
              </w:rPr>
              <w:fldChar w:fldCharType="begin"/>
            </w:r>
            <w:r>
              <w:rPr>
                <w:noProof/>
                <w:webHidden/>
              </w:rPr>
              <w:instrText xml:space="preserve"> PAGEREF _Toc243648029 \h </w:instrText>
            </w:r>
            <w:r>
              <w:rPr>
                <w:noProof/>
                <w:webHidden/>
              </w:rPr>
            </w:r>
            <w:r>
              <w:rPr>
                <w:noProof/>
                <w:webHidden/>
              </w:rPr>
              <w:fldChar w:fldCharType="separate"/>
            </w:r>
            <w:r>
              <w:rPr>
                <w:noProof/>
                <w:webHidden/>
              </w:rPr>
              <w:t>12</w:t>
            </w:r>
            <w:r>
              <w:rPr>
                <w:noProof/>
                <w:webHidden/>
              </w:rPr>
              <w:fldChar w:fldCharType="end"/>
            </w:r>
          </w:hyperlink>
        </w:p>
        <w:p w14:paraId="45797457" w14:textId="61EEE48E" w:rsidR="005C1DB6" w:rsidRDefault="005C1DB6">
          <w:r>
            <w:rPr>
              <w:b/>
              <w:bCs/>
            </w:rPr>
            <w:fldChar w:fldCharType="end"/>
          </w:r>
        </w:p>
      </w:sdtContent>
    </w:sdt>
    <w:p w14:paraId="6D42CD2D" w14:textId="77777777" w:rsidR="00634344" w:rsidRDefault="00634344" w:rsidP="00634344">
      <w:pPr>
        <w:spacing w:line="276" w:lineRule="auto"/>
        <w:jc w:val="both"/>
        <w:rPr>
          <w:rFonts w:ascii="Arial" w:hAnsi="Arial" w:cs="Arial"/>
          <w:sz w:val="24"/>
          <w:szCs w:val="24"/>
        </w:rPr>
      </w:pPr>
    </w:p>
    <w:p w14:paraId="7A992AF2" w14:textId="77777777" w:rsidR="005C1DB6" w:rsidRDefault="005C1DB6" w:rsidP="00634344">
      <w:pPr>
        <w:spacing w:line="276" w:lineRule="auto"/>
        <w:jc w:val="both"/>
        <w:rPr>
          <w:rFonts w:ascii="Arial" w:hAnsi="Arial" w:cs="Arial"/>
          <w:sz w:val="24"/>
          <w:szCs w:val="24"/>
        </w:rPr>
      </w:pPr>
    </w:p>
    <w:p w14:paraId="79E56C89" w14:textId="77777777" w:rsidR="005C1DB6" w:rsidRDefault="005C1DB6" w:rsidP="00634344">
      <w:pPr>
        <w:spacing w:line="276" w:lineRule="auto"/>
        <w:jc w:val="both"/>
        <w:rPr>
          <w:rFonts w:ascii="Arial" w:hAnsi="Arial" w:cs="Arial"/>
          <w:sz w:val="24"/>
          <w:szCs w:val="24"/>
        </w:rPr>
      </w:pPr>
    </w:p>
    <w:p w14:paraId="143001FA" w14:textId="77777777" w:rsidR="005C1DB6" w:rsidRDefault="005C1DB6" w:rsidP="00634344">
      <w:pPr>
        <w:spacing w:line="276" w:lineRule="auto"/>
        <w:jc w:val="both"/>
        <w:rPr>
          <w:rFonts w:ascii="Arial" w:hAnsi="Arial" w:cs="Arial"/>
          <w:sz w:val="24"/>
          <w:szCs w:val="24"/>
        </w:rPr>
      </w:pPr>
    </w:p>
    <w:p w14:paraId="108C0AA5" w14:textId="77777777" w:rsidR="005C1DB6" w:rsidRDefault="005C1DB6" w:rsidP="00634344">
      <w:pPr>
        <w:spacing w:line="276" w:lineRule="auto"/>
        <w:jc w:val="both"/>
        <w:rPr>
          <w:rFonts w:ascii="Arial" w:hAnsi="Arial" w:cs="Arial"/>
          <w:sz w:val="24"/>
          <w:szCs w:val="24"/>
        </w:rPr>
      </w:pPr>
    </w:p>
    <w:p w14:paraId="0DD37633" w14:textId="77777777" w:rsidR="005C1DB6" w:rsidRDefault="005C1DB6" w:rsidP="00634344">
      <w:pPr>
        <w:spacing w:line="276" w:lineRule="auto"/>
        <w:jc w:val="both"/>
        <w:rPr>
          <w:rFonts w:ascii="Arial" w:hAnsi="Arial" w:cs="Arial"/>
          <w:sz w:val="24"/>
          <w:szCs w:val="24"/>
        </w:rPr>
      </w:pPr>
    </w:p>
    <w:p w14:paraId="03EFCCF1" w14:textId="77777777" w:rsidR="005C1DB6" w:rsidRPr="00E34841" w:rsidRDefault="005C1DB6" w:rsidP="00634344">
      <w:pPr>
        <w:spacing w:line="276" w:lineRule="auto"/>
        <w:jc w:val="both"/>
        <w:rPr>
          <w:rFonts w:ascii="Arial" w:hAnsi="Arial" w:cs="Arial"/>
          <w:sz w:val="24"/>
          <w:szCs w:val="24"/>
        </w:rPr>
      </w:pPr>
    </w:p>
    <w:p w14:paraId="53509E22" w14:textId="2251D76F" w:rsidR="0029711F" w:rsidRPr="00E34841" w:rsidRDefault="00183E5F" w:rsidP="00634344">
      <w:pPr>
        <w:pStyle w:val="Heading2"/>
        <w:spacing w:line="276" w:lineRule="auto"/>
        <w:jc w:val="both"/>
        <w:rPr>
          <w:rFonts w:cs="Arial"/>
          <w:szCs w:val="24"/>
        </w:rPr>
      </w:pPr>
      <w:bookmarkStart w:id="0" w:name="_Toc243648008"/>
      <w:r>
        <w:rPr>
          <w:rFonts w:cs="Arial"/>
          <w:szCs w:val="24"/>
        </w:rPr>
        <w:lastRenderedPageBreak/>
        <w:t>1</w:t>
      </w:r>
      <w:r w:rsidR="0029711F" w:rsidRPr="00E34841">
        <w:rPr>
          <w:rFonts w:cs="Arial"/>
          <w:szCs w:val="24"/>
        </w:rPr>
        <w:t>. What is Parkinson's disease?</w:t>
      </w:r>
      <w:bookmarkEnd w:id="0"/>
    </w:p>
    <w:p w14:paraId="56CF60E2" w14:textId="77777777" w:rsidR="0029711F" w:rsidRPr="00E34841" w:rsidRDefault="0029711F" w:rsidP="00634344">
      <w:pPr>
        <w:pStyle w:val="Heading3"/>
        <w:spacing w:line="276" w:lineRule="auto"/>
        <w:jc w:val="both"/>
        <w:rPr>
          <w:rFonts w:cs="Arial"/>
          <w:szCs w:val="24"/>
        </w:rPr>
      </w:pPr>
      <w:bookmarkStart w:id="1" w:name="_Toc243648009"/>
      <w:r w:rsidRPr="00E34841">
        <w:rPr>
          <w:rFonts w:cs="Arial"/>
          <w:szCs w:val="24"/>
        </w:rPr>
        <w:t>Definition</w:t>
      </w:r>
      <w:bookmarkEnd w:id="1"/>
    </w:p>
    <w:p w14:paraId="58C35753" w14:textId="36482079" w:rsidR="004328C3" w:rsidRPr="005C1DB6" w:rsidRDefault="004328C3" w:rsidP="00634344">
      <w:pPr>
        <w:spacing w:line="276" w:lineRule="auto"/>
        <w:jc w:val="both"/>
        <w:rPr>
          <w:rFonts w:ascii="Arial" w:hAnsi="Arial" w:cs="Arial"/>
        </w:rPr>
      </w:pPr>
      <w:r w:rsidRPr="005C1DB6">
        <w:rPr>
          <w:rFonts w:ascii="Arial" w:hAnsi="Arial" w:cs="Arial"/>
        </w:rPr>
        <w:t>Parkinson's disease (PD) is a progressive condition of the brain that causes the cells in the brain to lose their ability to produce the neurotransmitter dopamine, which makes movement slower and harder to control</w:t>
      </w:r>
      <w:r w:rsidR="008D0B22" w:rsidRPr="005C1DB6">
        <w:rPr>
          <w:rFonts w:ascii="Arial" w:hAnsi="Arial" w:cs="Arial"/>
        </w:rPr>
        <w:t xml:space="preserve"> (NHS, 2022)</w:t>
      </w:r>
      <w:r w:rsidRPr="005C1DB6">
        <w:rPr>
          <w:rFonts w:ascii="Arial" w:hAnsi="Arial" w:cs="Arial"/>
        </w:rPr>
        <w:t>. The Movement Disorder Society (MDS) criteria are based on two steps. The first is a person must have parkinsonism, which is characterized by slowness of movement, or bradykinesia, and either muscle stiffness (rigidity) or resting tremor. Second, the clinician needs to make a judgement about whether PD is the most probable cause (Postuma et al., 2018).</w:t>
      </w:r>
    </w:p>
    <w:p w14:paraId="05AFBD48" w14:textId="77777777" w:rsidR="00E34841" w:rsidRPr="00E34841" w:rsidRDefault="00E34841" w:rsidP="00E34841">
      <w:pPr>
        <w:keepNext/>
        <w:spacing w:line="276" w:lineRule="auto"/>
        <w:jc w:val="center"/>
      </w:pPr>
      <w:r w:rsidRPr="00E34841">
        <w:rPr>
          <w:rFonts w:ascii="Arial" w:hAnsi="Arial" w:cs="Arial"/>
          <w:noProof/>
          <w:sz w:val="24"/>
          <w:szCs w:val="24"/>
        </w:rPr>
        <w:drawing>
          <wp:inline distT="0" distB="0" distL="0" distR="0" wp14:anchorId="2FE18962" wp14:editId="59522B0B">
            <wp:extent cx="3533499" cy="2967355"/>
            <wp:effectExtent l="0" t="0" r="0" b="4445"/>
            <wp:docPr id="1444278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78006" name=""/>
                    <pic:cNvPicPr/>
                  </pic:nvPicPr>
                  <pic:blipFill rotWithShape="1">
                    <a:blip r:embed="rId9"/>
                    <a:srcRect l="2625"/>
                    <a:stretch>
                      <a:fillRect/>
                    </a:stretch>
                  </pic:blipFill>
                  <pic:spPr bwMode="auto">
                    <a:xfrm>
                      <a:off x="0" y="0"/>
                      <a:ext cx="3536320" cy="2969724"/>
                    </a:xfrm>
                    <a:prstGeom prst="rect">
                      <a:avLst/>
                    </a:prstGeom>
                    <a:ln>
                      <a:noFill/>
                    </a:ln>
                    <a:extLst>
                      <a:ext uri="{53640926-AAD7-44D8-BBD7-CCE9431645EC}">
                        <a14:shadowObscured xmlns:a14="http://schemas.microsoft.com/office/drawing/2010/main"/>
                      </a:ext>
                    </a:extLst>
                  </pic:spPr>
                </pic:pic>
              </a:graphicData>
            </a:graphic>
          </wp:inline>
        </w:drawing>
      </w:r>
    </w:p>
    <w:p w14:paraId="177F5DE1" w14:textId="2734DAA7" w:rsidR="00E34841" w:rsidRPr="00E34841" w:rsidRDefault="00E34841" w:rsidP="00E34841">
      <w:pPr>
        <w:pStyle w:val="Caption"/>
        <w:jc w:val="center"/>
        <w:rPr>
          <w:rFonts w:ascii="Arial" w:hAnsi="Arial" w:cs="Arial"/>
          <w:color w:val="auto"/>
          <w:szCs w:val="24"/>
        </w:rPr>
      </w:pPr>
      <w:r w:rsidRPr="00E34841">
        <w:rPr>
          <w:color w:val="auto"/>
        </w:rPr>
        <w:t xml:space="preserve">Figure </w:t>
      </w:r>
      <w:r w:rsidRPr="00E34841">
        <w:rPr>
          <w:color w:val="auto"/>
        </w:rPr>
        <w:fldChar w:fldCharType="begin"/>
      </w:r>
      <w:r w:rsidRPr="00E34841">
        <w:rPr>
          <w:color w:val="auto"/>
        </w:rPr>
        <w:instrText xml:space="preserve"> SEQ Figure \* ARABIC </w:instrText>
      </w:r>
      <w:r w:rsidRPr="00E34841">
        <w:rPr>
          <w:color w:val="auto"/>
        </w:rPr>
        <w:fldChar w:fldCharType="separate"/>
      </w:r>
      <w:r w:rsidRPr="00E34841">
        <w:rPr>
          <w:noProof/>
          <w:color w:val="auto"/>
        </w:rPr>
        <w:t>1</w:t>
      </w:r>
      <w:r w:rsidRPr="00E34841">
        <w:rPr>
          <w:color w:val="auto"/>
        </w:rPr>
        <w:fldChar w:fldCharType="end"/>
      </w:r>
      <w:r w:rsidRPr="00E34841">
        <w:rPr>
          <w:color w:val="auto"/>
        </w:rPr>
        <w:t xml:space="preserve"> Parkinson's Disease. Chouhan et al (2025)</w:t>
      </w:r>
    </w:p>
    <w:p w14:paraId="3D358E83" w14:textId="20424BBA" w:rsidR="00A34E3C" w:rsidRPr="005C1DB6" w:rsidRDefault="00FD7B87" w:rsidP="00634344">
      <w:pPr>
        <w:spacing w:line="276" w:lineRule="auto"/>
        <w:jc w:val="both"/>
        <w:rPr>
          <w:rFonts w:ascii="Arial" w:hAnsi="Arial" w:cs="Arial"/>
          <w:lang w:val="en-GB"/>
        </w:rPr>
      </w:pPr>
      <w:r w:rsidRPr="005C1DB6">
        <w:rPr>
          <w:rFonts w:ascii="Arial" w:hAnsi="Arial" w:cs="Arial"/>
        </w:rPr>
        <w:t xml:space="preserve">Parkinson’s disease (PD) is a progressive neurodegenerative disorder characterised mainly by tremor, rigidity and bradykinesia (Luo et al., 2025). These motor signs result from the degeneration of dopamine-producing neurons and the resulting fall in dopamine (Wu et al., 2025). Bradykinesia, together with rigidity or rest tremor, is essential for identifying parkinsonism (Postuma et al., 2018). As PD progresses, balance problems and falls develop, yet patients are often referred to rehabilitation only once falls have already occurred (Goldman et al., 2024). Non-motor symptoms include sleep disturbance, pain, autonomic dysfunction, psychiatric problems such as depression and anxiety, and cognitive impairment (Pirtošek, 2024). These can begin during a prodromal phase lasting several years before diagnosis (Chen et al., 2021). Depression affects around 31% of patients and anxiety around 41% (Khedr et al., 2020). However, in the UK, infrequent specialist appointments mean that many non-motor symptoms go overlooked or undeclared (Kehagia et al., 2024). </w:t>
      </w:r>
    </w:p>
    <w:p w14:paraId="00179428" w14:textId="20424BBA" w:rsidR="0029711F" w:rsidRPr="00E34841" w:rsidRDefault="0029711F" w:rsidP="00634344">
      <w:pPr>
        <w:pStyle w:val="Heading3"/>
        <w:spacing w:line="276" w:lineRule="auto"/>
        <w:jc w:val="both"/>
        <w:rPr>
          <w:rFonts w:cs="Arial"/>
          <w:szCs w:val="24"/>
        </w:rPr>
      </w:pPr>
      <w:bookmarkStart w:id="2" w:name="_Toc243648010"/>
      <w:r w:rsidRPr="00E34841">
        <w:rPr>
          <w:rFonts w:cs="Arial"/>
          <w:szCs w:val="24"/>
        </w:rPr>
        <w:lastRenderedPageBreak/>
        <w:t>How common is it?</w:t>
      </w:r>
      <w:bookmarkEnd w:id="2"/>
    </w:p>
    <w:p w14:paraId="0AC3614F" w14:textId="7CA92AAB" w:rsidR="003672CE" w:rsidRPr="005C1DB6" w:rsidRDefault="003672CE" w:rsidP="003672CE">
      <w:pPr>
        <w:spacing w:line="276" w:lineRule="auto"/>
        <w:jc w:val="both"/>
        <w:rPr>
          <w:rFonts w:ascii="Arial" w:hAnsi="Arial" w:cs="Arial"/>
        </w:rPr>
      </w:pPr>
      <w:r w:rsidRPr="005C1DB6">
        <w:rPr>
          <w:rFonts w:ascii="Arial" w:hAnsi="Arial" w:cs="Arial"/>
        </w:rPr>
        <w:t>Parkinson’s disease (PD) has the fastest-rising prevalence of all neurodegenerative diseases (Okunoye et al., 2022). Worldwide, cases increased from 2.5 million in 1990 to 6.1 million in 2016 and 11.77 million in 2021 (Luo et al., 2025). In 2021, PD caused 7.47 million disability-adjusted life years (DALYs), representing a 161.8% increase since 1990. Cases are projected to reach 25.2 million by 2050, largely due to population ageing (Su et al., 2025).</w:t>
      </w:r>
      <w:r w:rsidR="00172086" w:rsidRPr="005C1DB6">
        <w:rPr>
          <w:rFonts w:ascii="Arial" w:hAnsi="Arial" w:cs="Arial"/>
        </w:rPr>
        <w:t xml:space="preserve"> </w:t>
      </w:r>
      <w:r w:rsidRPr="005C1DB6">
        <w:rPr>
          <w:rFonts w:ascii="Arial" w:hAnsi="Arial" w:cs="Arial"/>
        </w:rPr>
        <w:t xml:space="preserve">In the UK, approximately 115,846 people had PD in 2016, causing 5,438 deaths and 69,262 DALYs (Dorsey et al., 2018). However, evidence on changing prevalence and incidence is mixed. Although Dorsey et al. (2018) reported a 22.3% increase in age-standardised prevalence between 1990 and 2016, Okunoye et al. (2022) found stable age-adjusted incidence between 2006 and 2016. Similarly, Varden, Walker and O’Callaghan (2024) identified no overall </w:t>
      </w:r>
      <w:r w:rsidR="0029160A" w:rsidRPr="005C1DB6">
        <w:rPr>
          <w:rFonts w:ascii="Arial" w:hAnsi="Arial" w:cs="Arial"/>
        </w:rPr>
        <w:t>rising</w:t>
      </w:r>
      <w:r w:rsidRPr="005C1DB6">
        <w:rPr>
          <w:rFonts w:ascii="Arial" w:hAnsi="Arial" w:cs="Arial"/>
        </w:rPr>
        <w:t xml:space="preserve"> trend in UK studies between 1961 and 2007.</w:t>
      </w:r>
      <w:r w:rsidR="00172086" w:rsidRPr="005C1DB6">
        <w:rPr>
          <w:rFonts w:ascii="Arial" w:hAnsi="Arial" w:cs="Arial"/>
        </w:rPr>
        <w:t xml:space="preserve"> </w:t>
      </w:r>
      <w:r w:rsidRPr="005C1DB6">
        <w:rPr>
          <w:rFonts w:ascii="Arial" w:hAnsi="Arial" w:cs="Arial"/>
        </w:rPr>
        <w:t xml:space="preserve">These differences partly reflect methodological limitations. GP records may under-report cases, while prescription data exclude patients not receiving dopaminergic medication. </w:t>
      </w:r>
    </w:p>
    <w:p w14:paraId="6C5D7BBA" w14:textId="23F8946B" w:rsidR="0029711F" w:rsidRPr="00E34841" w:rsidRDefault="0029711F" w:rsidP="003672CE">
      <w:pPr>
        <w:spacing w:line="276" w:lineRule="auto"/>
        <w:jc w:val="both"/>
        <w:rPr>
          <w:rFonts w:ascii="Arial" w:hAnsi="Arial" w:cs="Arial"/>
          <w:sz w:val="24"/>
          <w:szCs w:val="24"/>
        </w:rPr>
      </w:pPr>
    </w:p>
    <w:p w14:paraId="596071D9" w14:textId="6557C25F" w:rsidR="0029711F" w:rsidRPr="00E34841" w:rsidRDefault="0029711F" w:rsidP="00634344">
      <w:pPr>
        <w:pStyle w:val="Heading3"/>
        <w:spacing w:line="276" w:lineRule="auto"/>
        <w:jc w:val="both"/>
        <w:rPr>
          <w:rFonts w:cs="Arial"/>
          <w:szCs w:val="24"/>
        </w:rPr>
      </w:pPr>
      <w:bookmarkStart w:id="3" w:name="_Toc243648011"/>
      <w:r w:rsidRPr="00E34841">
        <w:rPr>
          <w:rFonts w:cs="Arial"/>
          <w:szCs w:val="24"/>
        </w:rPr>
        <w:t xml:space="preserve">Risk factors and </w:t>
      </w:r>
      <w:bookmarkEnd w:id="3"/>
      <w:r w:rsidR="0029160A" w:rsidRPr="00E34841">
        <w:rPr>
          <w:rFonts w:cs="Arial"/>
          <w:szCs w:val="24"/>
        </w:rPr>
        <w:t>causes.</w:t>
      </w:r>
    </w:p>
    <w:p w14:paraId="7ACCB3E1" w14:textId="11A68FF1" w:rsidR="00397129" w:rsidRPr="00E34841" w:rsidRDefault="00373B33" w:rsidP="00373B33">
      <w:pPr>
        <w:spacing w:line="276" w:lineRule="auto"/>
        <w:jc w:val="both"/>
        <w:rPr>
          <w:rFonts w:ascii="Arial" w:hAnsi="Arial" w:cs="Arial"/>
          <w:sz w:val="24"/>
          <w:szCs w:val="24"/>
          <w:lang w:val="en-GB"/>
        </w:rPr>
      </w:pPr>
      <w:r w:rsidRPr="005C1DB6">
        <w:rPr>
          <w:rFonts w:ascii="Arial" w:hAnsi="Arial" w:cs="Arial"/>
        </w:rPr>
        <w:t>Around 90% of Parkinson’s disease (PD) cases have no single clear cause, while about 10% have a genetic cause, most commonly involving the LRRK2 gene. Age is the greatest risk factor (Varden, Walker and O’Callaghan, 2024), and men are 1.4 times more likely to develop PD than women (Dorsey et al., 2018). Lifetime pesticide exposure is associated with 80% higher odds of PD, with herbicides showing the strongest evidence (da Silva et al., 2026). Diabetes, dairy intake and depression have been linked to higher risk, and physical activity, coffee and tea to lower risk (Chen et al., 2021). However, these are associations rather than causes, and 84.7% of the reviews were of critically low quality (Chen et al., 2021). Regular physical activity could prevent nearly 5% of projected cases by 2050 (Su et al., 2025), so prevention should promote exercise and safer pesticide use</w:t>
      </w:r>
      <w:r w:rsidRPr="00373B33">
        <w:rPr>
          <w:rFonts w:ascii="Arial" w:hAnsi="Arial" w:cs="Arial"/>
          <w:sz w:val="24"/>
          <w:szCs w:val="24"/>
        </w:rPr>
        <w:t>.</w:t>
      </w:r>
    </w:p>
    <w:p w14:paraId="0242209D" w14:textId="4F6AF56A" w:rsidR="0029711F" w:rsidRPr="00E34841" w:rsidRDefault="0029711F" w:rsidP="00634344">
      <w:pPr>
        <w:spacing w:line="276" w:lineRule="auto"/>
        <w:jc w:val="both"/>
        <w:rPr>
          <w:rFonts w:ascii="Arial" w:hAnsi="Arial" w:cs="Arial"/>
          <w:sz w:val="24"/>
          <w:szCs w:val="24"/>
          <w:lang w:val="en-GB"/>
        </w:rPr>
      </w:pPr>
    </w:p>
    <w:p w14:paraId="3DE9D544" w14:textId="16CA3602" w:rsidR="0029711F" w:rsidRPr="00E34841" w:rsidRDefault="00183E5F" w:rsidP="00634344">
      <w:pPr>
        <w:pStyle w:val="Heading2"/>
        <w:spacing w:line="276" w:lineRule="auto"/>
        <w:jc w:val="both"/>
        <w:rPr>
          <w:rFonts w:cs="Arial"/>
          <w:szCs w:val="24"/>
        </w:rPr>
      </w:pPr>
      <w:bookmarkStart w:id="4" w:name="_Toc243648012"/>
      <w:r>
        <w:rPr>
          <w:rFonts w:cs="Arial"/>
          <w:szCs w:val="24"/>
        </w:rPr>
        <w:t>2</w:t>
      </w:r>
      <w:r w:rsidR="0029711F" w:rsidRPr="00E34841">
        <w:rPr>
          <w:rFonts w:cs="Arial"/>
          <w:szCs w:val="24"/>
        </w:rPr>
        <w:t>. How Parkinson's affects the person and the family</w:t>
      </w:r>
      <w:bookmarkEnd w:id="4"/>
    </w:p>
    <w:p w14:paraId="4EA76E51" w14:textId="77777777" w:rsidR="0029711F" w:rsidRPr="00E34841" w:rsidRDefault="0029711F" w:rsidP="00634344">
      <w:pPr>
        <w:pStyle w:val="Heading3"/>
        <w:spacing w:line="276" w:lineRule="auto"/>
        <w:jc w:val="both"/>
        <w:rPr>
          <w:rFonts w:cs="Arial"/>
          <w:szCs w:val="24"/>
        </w:rPr>
      </w:pPr>
      <w:bookmarkStart w:id="5" w:name="_Toc243648013"/>
      <w:r w:rsidRPr="00E34841">
        <w:rPr>
          <w:rFonts w:cs="Arial"/>
          <w:szCs w:val="24"/>
        </w:rPr>
        <w:t>Physical impact</w:t>
      </w:r>
      <w:bookmarkEnd w:id="5"/>
    </w:p>
    <w:p w14:paraId="4F9FD217" w14:textId="26F6DEC3" w:rsidR="005C1DB6" w:rsidRDefault="00B4052B" w:rsidP="005C1DB6">
      <w:pPr>
        <w:spacing w:line="276" w:lineRule="auto"/>
        <w:jc w:val="both"/>
        <w:rPr>
          <w:rFonts w:ascii="Arial" w:hAnsi="Arial" w:cs="Arial"/>
        </w:rPr>
      </w:pPr>
      <w:r w:rsidRPr="005C1DB6">
        <w:rPr>
          <w:rFonts w:ascii="Arial" w:hAnsi="Arial" w:cs="Arial"/>
        </w:rPr>
        <w:t>Parkinson’s disease (PD) causes tremors, stiffness, slow movement and non-motor symptoms, including constipation, sleep disturbances and bladder problems. Symptom severity increases with age and disease duration (Morimoto et al., 2023). Falls affect 45–68% of patients annually, with previous falls, poor balance and walking difficulties predicting future falls (Murueta-Goyena, Muiño and Gómez-Esteban, 2024). Early physiotherapy and home safety assessments can reduce risks. Treatment may also cause complications, including levodopa-related dyskinesia and dopamine agonist-related impulse control disorders, such as gambling and excessive shopping (Voon et al., 2017). Families need guidance to recognise these impacts.</w:t>
      </w:r>
      <w:bookmarkStart w:id="6" w:name="_Toc243648014"/>
    </w:p>
    <w:p w14:paraId="2F29F2AF" w14:textId="77777777" w:rsidR="005C1DB6" w:rsidRPr="005C1DB6" w:rsidRDefault="005C1DB6" w:rsidP="005C1DB6">
      <w:pPr>
        <w:spacing w:line="276" w:lineRule="auto"/>
        <w:jc w:val="both"/>
        <w:rPr>
          <w:rFonts w:ascii="Arial" w:hAnsi="Arial" w:cs="Arial"/>
        </w:rPr>
      </w:pPr>
    </w:p>
    <w:p w14:paraId="5BEB5714" w14:textId="1E0C0EC8" w:rsidR="0029711F" w:rsidRPr="00E34841" w:rsidRDefault="0029711F" w:rsidP="00634344">
      <w:pPr>
        <w:pStyle w:val="Heading3"/>
        <w:spacing w:line="276" w:lineRule="auto"/>
        <w:jc w:val="both"/>
        <w:rPr>
          <w:rFonts w:cs="Arial"/>
          <w:szCs w:val="24"/>
        </w:rPr>
      </w:pPr>
      <w:r w:rsidRPr="00E34841">
        <w:rPr>
          <w:rFonts w:cs="Arial"/>
          <w:szCs w:val="24"/>
        </w:rPr>
        <w:lastRenderedPageBreak/>
        <w:t>Psychological impact</w:t>
      </w:r>
      <w:bookmarkEnd w:id="6"/>
    </w:p>
    <w:p w14:paraId="21667AD0" w14:textId="16BD972F" w:rsidR="0029711F" w:rsidRPr="005C1DB6" w:rsidRDefault="005268D8" w:rsidP="00634344">
      <w:pPr>
        <w:spacing w:line="276" w:lineRule="auto"/>
        <w:jc w:val="both"/>
        <w:rPr>
          <w:rFonts w:ascii="Arial" w:hAnsi="Arial" w:cs="Arial"/>
        </w:rPr>
      </w:pPr>
      <w:r w:rsidRPr="005C1DB6">
        <w:rPr>
          <w:rFonts w:ascii="Arial" w:hAnsi="Arial" w:cs="Arial"/>
        </w:rPr>
        <w:t xml:space="preserve">In addition to the impact on physical functioning, PD also </w:t>
      </w:r>
      <w:r w:rsidR="0029160A" w:rsidRPr="005C1DB6">
        <w:rPr>
          <w:rFonts w:ascii="Arial" w:hAnsi="Arial" w:cs="Arial"/>
        </w:rPr>
        <w:t>affects</w:t>
      </w:r>
      <w:r w:rsidRPr="005C1DB6">
        <w:rPr>
          <w:rFonts w:ascii="Arial" w:hAnsi="Arial" w:cs="Arial"/>
        </w:rPr>
        <w:t xml:space="preserve"> mental health. Over three-quarters of the individuals in the 49 studies included in the review were diagnosed with a depressive disorder (31%) or major depression (14%) (Chendo et al., 2022). Hallucinations and illusions may be experienced too. Of those who were newly diagnosed, 27% experienced illusions in the first three years after diagnosis, and early hallucinatory symptoms were linked to later memory impairment (ffytche et al., 2017). While the rate of reporting from studies differed, the results do emphasize the need to be aware of and respond to psychological symptoms.</w:t>
      </w:r>
    </w:p>
    <w:p w14:paraId="40A1E647" w14:textId="77777777" w:rsidR="005C1DB6" w:rsidRPr="005C1DB6" w:rsidRDefault="005C1DB6" w:rsidP="00634344">
      <w:pPr>
        <w:pStyle w:val="Heading3"/>
        <w:spacing w:line="276" w:lineRule="auto"/>
        <w:jc w:val="both"/>
        <w:rPr>
          <w:rFonts w:cs="Arial"/>
          <w:sz w:val="22"/>
          <w:szCs w:val="22"/>
        </w:rPr>
      </w:pPr>
      <w:bookmarkStart w:id="7" w:name="_Toc243648015"/>
    </w:p>
    <w:p w14:paraId="73825274" w14:textId="1F8EB426" w:rsidR="0029711F" w:rsidRPr="00E34841" w:rsidRDefault="0029711F" w:rsidP="00634344">
      <w:pPr>
        <w:pStyle w:val="Heading3"/>
        <w:spacing w:line="276" w:lineRule="auto"/>
        <w:jc w:val="both"/>
        <w:rPr>
          <w:rFonts w:cs="Arial"/>
          <w:szCs w:val="24"/>
        </w:rPr>
      </w:pPr>
      <w:r w:rsidRPr="00E34841">
        <w:rPr>
          <w:rFonts w:cs="Arial"/>
          <w:szCs w:val="24"/>
        </w:rPr>
        <w:t>Social impact</w:t>
      </w:r>
      <w:bookmarkEnd w:id="7"/>
    </w:p>
    <w:p w14:paraId="0C63EAF7" w14:textId="51062684" w:rsidR="0029711F" w:rsidRPr="005C1DB6" w:rsidRDefault="005268D8" w:rsidP="00634344">
      <w:pPr>
        <w:spacing w:line="276" w:lineRule="auto"/>
        <w:jc w:val="both"/>
        <w:rPr>
          <w:rFonts w:ascii="Arial" w:hAnsi="Arial" w:cs="Arial"/>
        </w:rPr>
      </w:pPr>
      <w:r w:rsidRPr="005C1DB6">
        <w:rPr>
          <w:rFonts w:ascii="Arial" w:hAnsi="Arial" w:cs="Arial"/>
        </w:rPr>
        <w:t xml:space="preserve">Employment, </w:t>
      </w:r>
      <w:r w:rsidR="005C1DB6" w:rsidRPr="005C1DB6">
        <w:rPr>
          <w:rFonts w:ascii="Arial" w:hAnsi="Arial" w:cs="Arial"/>
        </w:rPr>
        <w:t>relationships</w:t>
      </w:r>
      <w:r w:rsidRPr="005C1DB6">
        <w:rPr>
          <w:rFonts w:ascii="Arial" w:hAnsi="Arial" w:cs="Arial"/>
        </w:rPr>
        <w:t xml:space="preserve"> and social participation can be impacted by PD. A survey of 560 respondents in 28 countries across Europe showed that 34% had lost their paid position, usually 4.2 years after they were diagnosed. This was largely because of fatigue, and less than a quarter received early support in the workplace (Collett et al., 2023). There's also stigma, which can lead to embarrassment and isolation. Both people with PD and their carers had misconceptions about tremors and ageing, according to Crooks et al. (2025). Loneliness was also noted by 37% of individuals with PD in a survey of people with PD across Europe, compared to 20% of people without PD. The latter was also correlated with a reduced quality of life 2 years later (Prell, Schönenberg and Heimrich, 2023).</w:t>
      </w:r>
    </w:p>
    <w:p w14:paraId="338C11AC" w14:textId="77777777" w:rsidR="005C1DB6" w:rsidRDefault="005C1DB6" w:rsidP="00634344">
      <w:pPr>
        <w:pStyle w:val="Heading3"/>
        <w:spacing w:line="276" w:lineRule="auto"/>
        <w:jc w:val="both"/>
        <w:rPr>
          <w:rFonts w:cs="Arial"/>
          <w:szCs w:val="24"/>
        </w:rPr>
      </w:pPr>
      <w:bookmarkStart w:id="8" w:name="_Toc243648016"/>
    </w:p>
    <w:p w14:paraId="7039BB3A" w14:textId="71A3CA12" w:rsidR="0029711F" w:rsidRPr="00E34841" w:rsidRDefault="0029711F" w:rsidP="00634344">
      <w:pPr>
        <w:pStyle w:val="Heading3"/>
        <w:spacing w:line="276" w:lineRule="auto"/>
        <w:jc w:val="both"/>
        <w:rPr>
          <w:rFonts w:cs="Arial"/>
          <w:szCs w:val="24"/>
        </w:rPr>
      </w:pPr>
      <w:r w:rsidRPr="00E34841">
        <w:rPr>
          <w:rFonts w:cs="Arial"/>
          <w:szCs w:val="24"/>
        </w:rPr>
        <w:t>Wider impact on families and carers</w:t>
      </w:r>
      <w:bookmarkEnd w:id="8"/>
    </w:p>
    <w:p w14:paraId="1BB7B4E7" w14:textId="753C73BF" w:rsidR="005C1DB6" w:rsidRPr="005C1DB6" w:rsidRDefault="001F4558" w:rsidP="005C1DB6">
      <w:pPr>
        <w:spacing w:line="276" w:lineRule="auto"/>
        <w:jc w:val="both"/>
        <w:rPr>
          <w:rFonts w:ascii="Arial" w:hAnsi="Arial" w:cs="Arial"/>
        </w:rPr>
      </w:pPr>
      <w:r w:rsidRPr="005C1DB6">
        <w:rPr>
          <w:rFonts w:ascii="Arial" w:hAnsi="Arial" w:cs="Arial"/>
        </w:rPr>
        <w:t>Family members provide most day-to-day care for people with Parkinson’s disease (PD). A review of 28 studies across 12 countries identified 38 factors associated with increased carer burden, particularly depression, poor patient quality of life and reduced independence (Wu et al., 2025). Cognitive impairment also affects families. An Australian study found mild memory impairment in approximately half of 103 patients and dementia in 16.5% (Lubomski, Davis and Sue, 2021). Carers of advanced PD patients report constant responsibility, poorly coordinated services and inadequate future planning (Read et al., 2023). Therefore, carers need better information, coordinated support and recognition as care partners.</w:t>
      </w:r>
      <w:bookmarkStart w:id="9" w:name="_Toc243648017"/>
    </w:p>
    <w:p w14:paraId="5358D6B1" w14:textId="69E1EFC1" w:rsidR="0029711F" w:rsidRPr="00E34841" w:rsidRDefault="00183E5F" w:rsidP="00634344">
      <w:pPr>
        <w:pStyle w:val="Heading2"/>
        <w:spacing w:line="276" w:lineRule="auto"/>
        <w:jc w:val="both"/>
        <w:rPr>
          <w:rFonts w:cs="Arial"/>
          <w:szCs w:val="24"/>
        </w:rPr>
      </w:pPr>
      <w:r>
        <w:rPr>
          <w:rFonts w:cs="Arial"/>
          <w:szCs w:val="24"/>
        </w:rPr>
        <w:t>3</w:t>
      </w:r>
      <w:r w:rsidR="0029711F" w:rsidRPr="00E34841">
        <w:rPr>
          <w:rFonts w:cs="Arial"/>
          <w:szCs w:val="24"/>
        </w:rPr>
        <w:t>. Evidence-based treatments on the NHS</w:t>
      </w:r>
      <w:bookmarkEnd w:id="9"/>
    </w:p>
    <w:p w14:paraId="0C0D70AA" w14:textId="77777777" w:rsidR="0077072F" w:rsidRPr="0029160A" w:rsidRDefault="0077072F" w:rsidP="0077072F">
      <w:pPr>
        <w:spacing w:line="276" w:lineRule="auto"/>
        <w:jc w:val="both"/>
        <w:rPr>
          <w:rFonts w:ascii="Arial" w:hAnsi="Arial" w:cs="Arial"/>
          <w:lang w:val="en-GB"/>
        </w:rPr>
      </w:pPr>
      <w:r w:rsidRPr="0029160A">
        <w:rPr>
          <w:rFonts w:ascii="Arial" w:hAnsi="Arial" w:cs="Arial"/>
          <w:lang w:val="en-GB"/>
        </w:rPr>
        <w:t>NHS care follows NICE guideline NG71. It says the person and their family should be involved in every treatment decision, and all patients should have access to a Parkinson’s nurse specialist (Rogers et al., 2017). Early treatment options are levodopa, dopamine agonists or monoamine oxidase B inhibitors, while advanced PD may be treated with apomorphine or deep brain stimulation (DBS). NICE also recommends PD-specific physiotherapy, occupational therapy and speech and language therapy (Rogers et al., 2017).</w:t>
      </w:r>
    </w:p>
    <w:p w14:paraId="7AA7CF5E" w14:textId="77777777" w:rsidR="0077072F" w:rsidRPr="0029160A" w:rsidRDefault="0077072F" w:rsidP="0077072F">
      <w:pPr>
        <w:spacing w:line="276" w:lineRule="auto"/>
        <w:jc w:val="both"/>
        <w:rPr>
          <w:rFonts w:ascii="Arial" w:hAnsi="Arial" w:cs="Arial"/>
          <w:lang w:val="en-GB"/>
        </w:rPr>
      </w:pPr>
      <w:r w:rsidRPr="0029160A">
        <w:rPr>
          <w:rFonts w:ascii="Arial" w:hAnsi="Arial" w:cs="Arial"/>
          <w:lang w:val="en-GB"/>
        </w:rPr>
        <w:t>For many years, clinicians delayed levodopa, fearing it would stop working or cause early complications. However, the UK PD MED trial, which followed 1,593 people for 15 years, found slightly better quality of life in those starting levodopa, despite more dyskinesia (70%</w:t>
      </w:r>
      <w:r w:rsidRPr="0077072F">
        <w:rPr>
          <w:rFonts w:ascii="Arial" w:hAnsi="Arial" w:cs="Arial"/>
          <w:sz w:val="24"/>
          <w:szCs w:val="24"/>
          <w:lang w:val="en-GB"/>
        </w:rPr>
        <w:t xml:space="preserve"> versus 63%) </w:t>
      </w:r>
      <w:r w:rsidRPr="0029160A">
        <w:rPr>
          <w:rFonts w:ascii="Arial" w:hAnsi="Arial" w:cs="Arial"/>
          <w:lang w:val="en-GB"/>
        </w:rPr>
        <w:lastRenderedPageBreak/>
        <w:t>(Clarke et al., 2023). The benefit was small and only published as a conference abstract. Treatment should therefore be based on individual priorities through shared decision-making. For example, a younger person wishing to keep working may accept the risk of dyskinesia, while an older person may prefer to avoid the hallucinations and impulse control disorders associated with dopamine agonists (Rogers et al., 2017).</w:t>
      </w:r>
    </w:p>
    <w:p w14:paraId="12CB5066" w14:textId="77777777" w:rsidR="0077072F" w:rsidRPr="0029160A" w:rsidRDefault="0077072F" w:rsidP="0077072F">
      <w:pPr>
        <w:spacing w:line="276" w:lineRule="auto"/>
        <w:jc w:val="both"/>
        <w:rPr>
          <w:rFonts w:ascii="Arial" w:hAnsi="Arial" w:cs="Arial"/>
          <w:lang w:val="en-GB"/>
        </w:rPr>
      </w:pPr>
      <w:r w:rsidRPr="0029160A">
        <w:rPr>
          <w:rFonts w:ascii="Arial" w:hAnsi="Arial" w:cs="Arial"/>
          <w:lang w:val="en-GB"/>
        </w:rPr>
        <w:t>DBS improves motor function for up to 10 years, but the benefit declines over time, and quality-of-life gains seen at one year are usually lost by five years (Limousin and Foltynie, 2019). Many patients are also lost to follow-up, so outcomes may appear better than they are. Patients therefore need realistic information about benefits, risks and limitations before surgery. Rehabilitation is another often-overlooked part of management, and an international consensus recommends starting therapy early with coordinated multidisciplinary support throughout the condition, not only in advanced stages (Goldman et al., 2024).</w:t>
      </w:r>
    </w:p>
    <w:p w14:paraId="26BBE45D" w14:textId="3BA20B25" w:rsidR="0029711F" w:rsidRPr="00183E5F" w:rsidRDefault="0029711F" w:rsidP="00183E5F">
      <w:pPr>
        <w:spacing w:line="276" w:lineRule="auto"/>
        <w:jc w:val="both"/>
        <w:rPr>
          <w:rFonts w:ascii="Arial" w:hAnsi="Arial" w:cs="Arial"/>
          <w:sz w:val="24"/>
          <w:szCs w:val="24"/>
          <w:lang w:val="en-GB"/>
        </w:rPr>
      </w:pPr>
    </w:p>
    <w:p w14:paraId="11347936" w14:textId="79534BCB" w:rsidR="0029711F" w:rsidRPr="00E34841" w:rsidRDefault="00183E5F" w:rsidP="00634344">
      <w:pPr>
        <w:pStyle w:val="Heading2"/>
        <w:spacing w:line="276" w:lineRule="auto"/>
        <w:jc w:val="both"/>
        <w:rPr>
          <w:rFonts w:cs="Arial"/>
          <w:szCs w:val="24"/>
        </w:rPr>
      </w:pPr>
      <w:bookmarkStart w:id="10" w:name="_Toc243648018"/>
      <w:r>
        <w:rPr>
          <w:rFonts w:cs="Arial"/>
          <w:szCs w:val="24"/>
        </w:rPr>
        <w:t>4</w:t>
      </w:r>
      <w:r w:rsidR="0029711F" w:rsidRPr="00E34841">
        <w:rPr>
          <w:rFonts w:cs="Arial"/>
          <w:szCs w:val="24"/>
        </w:rPr>
        <w:t>. Models of care: one UK and one international</w:t>
      </w:r>
      <w:bookmarkEnd w:id="10"/>
    </w:p>
    <w:p w14:paraId="251AD3A7" w14:textId="77777777" w:rsidR="0029711F" w:rsidRPr="0029160A" w:rsidRDefault="0029711F" w:rsidP="00634344">
      <w:pPr>
        <w:spacing w:line="276" w:lineRule="auto"/>
        <w:jc w:val="both"/>
        <w:rPr>
          <w:rFonts w:ascii="Arial" w:hAnsi="Arial" w:cs="Arial"/>
        </w:rPr>
      </w:pPr>
      <w:r w:rsidRPr="0029160A">
        <w:rPr>
          <w:rFonts w:ascii="Arial" w:hAnsi="Arial" w:cs="Arial"/>
        </w:rPr>
        <w:t>Without a clear model, PD care breaks into pieces, as the carers in section 3 described.</w:t>
      </w:r>
    </w:p>
    <w:p w14:paraId="07AC7331" w14:textId="01406967" w:rsidR="00C5639D" w:rsidRPr="00E34841" w:rsidRDefault="00C5639D" w:rsidP="00C5639D">
      <w:pPr>
        <w:spacing w:line="276" w:lineRule="auto"/>
        <w:jc w:val="both"/>
        <w:rPr>
          <w:rFonts w:ascii="Arial" w:eastAsiaTheme="majorEastAsia" w:hAnsi="Arial" w:cs="Arial"/>
          <w:b/>
          <w:sz w:val="24"/>
          <w:szCs w:val="24"/>
        </w:rPr>
      </w:pPr>
      <w:r w:rsidRPr="00E34841">
        <w:rPr>
          <w:rFonts w:ascii="Arial" w:eastAsiaTheme="majorEastAsia" w:hAnsi="Arial" w:cs="Arial"/>
          <w:b/>
          <w:sz w:val="24"/>
          <w:szCs w:val="24"/>
        </w:rPr>
        <w:t>UK model: Year of Care care and support planning and the “House of Care Model”</w:t>
      </w:r>
    </w:p>
    <w:p w14:paraId="5B6528E3" w14:textId="42245A64" w:rsidR="00C5639D" w:rsidRPr="0029160A" w:rsidRDefault="00C5639D" w:rsidP="00C5639D">
      <w:pPr>
        <w:spacing w:line="276" w:lineRule="auto"/>
        <w:jc w:val="both"/>
        <w:rPr>
          <w:rFonts w:ascii="Arial" w:hAnsi="Arial" w:cs="Arial"/>
          <w:lang w:val="en-GB"/>
        </w:rPr>
      </w:pPr>
      <w:r w:rsidRPr="0029160A">
        <w:rPr>
          <w:rFonts w:ascii="Arial" w:hAnsi="Arial" w:cs="Arial"/>
          <w:lang w:val="en-GB"/>
        </w:rPr>
        <w:t>Without a clear model, Parkinson’s disease (PD) care becomes fragmented, as the carers in Section 3 described. The Year of Care approach was developed in UK general practice over 15 years and tested in more than 40 health communities across England and Scotland (Roberts et al., 2019). Originally designed for diabetes, it turns the international Chronic Care Model into practical steps centred on care and support planning, a planned conversation that starts with what matters to the person rather than clinical targets alone (Roberts et al., 2019). It now forms part of the NHS Comprehensive Model of Personalised Care, a priority of the NHS Long Term Plan (Johnson et al., 2023).</w:t>
      </w:r>
    </w:p>
    <w:p w14:paraId="2AE01083" w14:textId="77777777" w:rsidR="00633DE7" w:rsidRPr="00E34841" w:rsidRDefault="00633DE7" w:rsidP="00633DE7">
      <w:pPr>
        <w:keepNext/>
        <w:spacing w:line="276" w:lineRule="auto"/>
        <w:jc w:val="both"/>
      </w:pPr>
      <w:r w:rsidRPr="00E34841">
        <w:rPr>
          <w:rFonts w:ascii="Arial" w:hAnsi="Arial" w:cs="Arial"/>
          <w:noProof/>
          <w:sz w:val="24"/>
          <w:szCs w:val="24"/>
          <w:lang w:val="en-GB"/>
        </w:rPr>
        <w:lastRenderedPageBreak/>
        <w:drawing>
          <wp:inline distT="0" distB="0" distL="0" distR="0" wp14:anchorId="0C3810C0" wp14:editId="37E0EA70">
            <wp:extent cx="5943600" cy="4207510"/>
            <wp:effectExtent l="0" t="0" r="0" b="2540"/>
            <wp:docPr id="122715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152524" name=""/>
                    <pic:cNvPicPr/>
                  </pic:nvPicPr>
                  <pic:blipFill>
                    <a:blip r:embed="rId10"/>
                    <a:stretch>
                      <a:fillRect/>
                    </a:stretch>
                  </pic:blipFill>
                  <pic:spPr>
                    <a:xfrm>
                      <a:off x="0" y="0"/>
                      <a:ext cx="5943600" cy="4207510"/>
                    </a:xfrm>
                    <a:prstGeom prst="rect">
                      <a:avLst/>
                    </a:prstGeom>
                  </pic:spPr>
                </pic:pic>
              </a:graphicData>
            </a:graphic>
          </wp:inline>
        </w:drawing>
      </w:r>
    </w:p>
    <w:p w14:paraId="35838137" w14:textId="77777777" w:rsidR="0029160A" w:rsidRDefault="0029160A" w:rsidP="00633DE7">
      <w:pPr>
        <w:pStyle w:val="Caption"/>
        <w:jc w:val="both"/>
        <w:rPr>
          <w:color w:val="auto"/>
        </w:rPr>
      </w:pPr>
    </w:p>
    <w:p w14:paraId="674C4ECA" w14:textId="25B1EAA5" w:rsidR="00633DE7" w:rsidRPr="00E34841" w:rsidRDefault="00633DE7" w:rsidP="00633DE7">
      <w:pPr>
        <w:pStyle w:val="Caption"/>
        <w:jc w:val="both"/>
        <w:rPr>
          <w:rFonts w:ascii="Arial" w:hAnsi="Arial" w:cs="Arial"/>
          <w:color w:val="auto"/>
          <w:szCs w:val="24"/>
          <w:lang w:val="en-GB"/>
        </w:rPr>
      </w:pPr>
      <w:r w:rsidRPr="00E34841">
        <w:rPr>
          <w:color w:val="auto"/>
        </w:rPr>
        <w:t xml:space="preserve">Figure </w:t>
      </w:r>
      <w:r w:rsidRPr="00E34841">
        <w:rPr>
          <w:color w:val="auto"/>
        </w:rPr>
        <w:fldChar w:fldCharType="begin"/>
      </w:r>
      <w:r w:rsidRPr="00E34841">
        <w:rPr>
          <w:color w:val="auto"/>
        </w:rPr>
        <w:instrText xml:space="preserve"> SEQ Figure \* ARABIC </w:instrText>
      </w:r>
      <w:r w:rsidRPr="00E34841">
        <w:rPr>
          <w:color w:val="auto"/>
        </w:rPr>
        <w:fldChar w:fldCharType="separate"/>
      </w:r>
      <w:r w:rsidR="00E34841" w:rsidRPr="00E34841">
        <w:rPr>
          <w:noProof/>
          <w:color w:val="auto"/>
        </w:rPr>
        <w:t>2</w:t>
      </w:r>
      <w:r w:rsidRPr="00E34841">
        <w:rPr>
          <w:color w:val="auto"/>
        </w:rPr>
        <w:fldChar w:fldCharType="end"/>
      </w:r>
      <w:r w:rsidRPr="00E34841">
        <w:rPr>
          <w:color w:val="auto"/>
        </w:rPr>
        <w:t xml:space="preserve"> The Year of Care House. Reproduced from Roberts et al. (2019, p. 9) under a Creative Commons CC BY 4.0 licence.</w:t>
      </w:r>
    </w:p>
    <w:p w14:paraId="39E2062E" w14:textId="77777777" w:rsidR="00C5639D" w:rsidRPr="0029160A" w:rsidRDefault="00C5639D" w:rsidP="00C5639D">
      <w:pPr>
        <w:spacing w:line="276" w:lineRule="auto"/>
        <w:jc w:val="both"/>
        <w:rPr>
          <w:rFonts w:ascii="Arial" w:hAnsi="Arial" w:cs="Arial"/>
          <w:lang w:val="en-GB"/>
        </w:rPr>
      </w:pPr>
      <w:r w:rsidRPr="0029160A">
        <w:rPr>
          <w:rFonts w:ascii="Arial" w:hAnsi="Arial" w:cs="Arial"/>
          <w:lang w:val="en-GB"/>
        </w:rPr>
        <w:t>The House of Care (Figure 5.1) is a checklist of what must be in place. Its walls are engaged, informed individuals and professionals committed to partnership, its roof is organisational systems such as IT templates, appointments and adequate consultation time, and its foundation is whole-system commissioning. If any part is missing, the structure fails (Roberts et al., 2019).</w:t>
      </w:r>
    </w:p>
    <w:p w14:paraId="2F13E5CF" w14:textId="77777777" w:rsidR="00C5639D" w:rsidRPr="0029160A" w:rsidRDefault="00C5639D" w:rsidP="00C5639D">
      <w:pPr>
        <w:spacing w:line="276" w:lineRule="auto"/>
        <w:jc w:val="both"/>
        <w:rPr>
          <w:rFonts w:ascii="Arial" w:hAnsi="Arial" w:cs="Arial"/>
          <w:lang w:val="en-GB"/>
        </w:rPr>
      </w:pPr>
      <w:r w:rsidRPr="0029160A">
        <w:rPr>
          <w:rFonts w:ascii="Arial" w:hAnsi="Arial" w:cs="Arial"/>
          <w:lang w:val="en-GB"/>
        </w:rPr>
        <w:t>For people with PD, the model can be managed through five steps. During preparation, the person and their carer complete home questionnaires on non-motor symptoms, mood, sleep, falls and carer strain, and receive their results with prompts one to two weeks before the appointment (Roberts et al., 2019). This is feasible, as over 90% of home questionnaires were returned in an NHS remote PD pathway (Kehagia et al., 2024). The conversation, ideally led by a Parkinson’s nurse specialist, begins with the person’s own concerns before clinical issues. The agreed plan is then recorded in the person’s own words, including medication timings and a hospital admission plan, and shared with the GP, neurology and social care. Actions may include early referral to physiotherapy, occupational therapy and speech and language therapy (Rogers et al., 2017), exercise groups and a carer’s assessment. Finally, review is timed according to need, becoming more frequent as PD progresses, with palliative care referral considered at any stage (Rogers et al., 2017).</w:t>
      </w:r>
    </w:p>
    <w:p w14:paraId="2963FA89" w14:textId="77777777" w:rsidR="00C5639D" w:rsidRPr="0029160A" w:rsidRDefault="00C5639D" w:rsidP="00C5639D">
      <w:pPr>
        <w:spacing w:line="276" w:lineRule="auto"/>
        <w:jc w:val="both"/>
        <w:rPr>
          <w:rFonts w:ascii="Arial" w:hAnsi="Arial" w:cs="Arial"/>
          <w:lang w:val="en-GB"/>
        </w:rPr>
      </w:pPr>
      <w:r w:rsidRPr="0029160A">
        <w:rPr>
          <w:rFonts w:ascii="Arial" w:hAnsi="Arial" w:cs="Arial"/>
          <w:lang w:val="en-GB"/>
        </w:rPr>
        <w:lastRenderedPageBreak/>
        <w:t>The model fits routine NHS general practice, suits people with multiple conditions, and participating sites reported improved patient experience, staff satisfaction and teamwork (Roberts et al., 2019). It also addresses PD care that is often reactive and physician-centred (van Halteren et al., 2020). However, the evidence is weak, as Roberts et al. (2019) describe a feasibility study that was never tested against usual care, relied on self-reported improvements and lacked economic evaluation. Designed for diabetes, it also depends on practice nurses who may lack PD expertise. Furthermore, Johnson et al. (2023) found that 85% of clinicians reported exploring what mattered to patients, yet only 37% of service users experienced this, with staff citing limited time and resources. Self-management programmes alone have also shown no significant improvement in quality of life in PD (Pigott et al., 2022). Therefore, the model works best when the whole House is implemented and linked to specialist multidisciplinary care.</w:t>
      </w:r>
    </w:p>
    <w:p w14:paraId="30C21B62" w14:textId="1EF36698" w:rsidR="0029711F" w:rsidRPr="00E34841" w:rsidRDefault="0029711F" w:rsidP="00634344">
      <w:pPr>
        <w:spacing w:line="276" w:lineRule="auto"/>
        <w:jc w:val="both"/>
        <w:rPr>
          <w:rFonts w:ascii="Arial" w:hAnsi="Arial" w:cs="Arial"/>
          <w:sz w:val="24"/>
          <w:szCs w:val="24"/>
          <w:lang w:val="en-GB"/>
        </w:rPr>
      </w:pPr>
    </w:p>
    <w:p w14:paraId="21A15B71" w14:textId="77777777" w:rsidR="0029711F" w:rsidRDefault="0029711F" w:rsidP="00634344">
      <w:pPr>
        <w:pStyle w:val="Heading3"/>
        <w:spacing w:line="276" w:lineRule="auto"/>
        <w:jc w:val="both"/>
        <w:rPr>
          <w:rFonts w:cs="Arial"/>
          <w:szCs w:val="24"/>
        </w:rPr>
      </w:pPr>
      <w:bookmarkStart w:id="11" w:name="_Toc243648019"/>
      <w:r w:rsidRPr="00E34841">
        <w:rPr>
          <w:rFonts w:cs="Arial"/>
          <w:szCs w:val="24"/>
        </w:rPr>
        <w:t>International model: ParkinsonNet (Netherlands)</w:t>
      </w:r>
      <w:bookmarkEnd w:id="11"/>
    </w:p>
    <w:p w14:paraId="697143E1" w14:textId="77777777" w:rsidR="0029160A" w:rsidRPr="0029160A" w:rsidRDefault="0029160A" w:rsidP="0029160A"/>
    <w:p w14:paraId="3489210F" w14:textId="77777777" w:rsidR="00626FDC" w:rsidRPr="0029160A" w:rsidRDefault="00626FDC" w:rsidP="00626FDC">
      <w:pPr>
        <w:spacing w:line="276" w:lineRule="auto"/>
        <w:jc w:val="both"/>
        <w:rPr>
          <w:rFonts w:ascii="Arial" w:hAnsi="Arial" w:cs="Arial"/>
          <w:lang w:val="en-GB"/>
        </w:rPr>
      </w:pPr>
      <w:r w:rsidRPr="0029160A">
        <w:rPr>
          <w:rFonts w:ascii="Arial" w:hAnsi="Arial" w:cs="Arial"/>
          <w:lang w:val="en-GB"/>
        </w:rPr>
        <w:t>ParkinsonNet was founded in 2004 as a network of Parkinson’s-trained physiotherapists in one Dutch region and has since grown to 70 regional networks with around 3,000 trained professionals from 12 disciplines (Bloem et al., 2017). It is now regarded as an excellent example of multidisciplinary care organised through regional networks supported by expert clinics (Pirtošek, 2024). Like the House of Care, it reflects the Chronic Care Model (Figure 5.2), which links informed, activated patients with a prepared, proactive care team (Wagner, 1998). ParkinsonNet is built on three forms of empowerment. Professionals must complete PD training, attend ongoing education and treat a minimum number of PD patients each year. Patients are engaged through education such as ParkinsonTV. Regional teams meet regularly to discuss complex cases (Bloem et al., 2017).</w:t>
      </w:r>
    </w:p>
    <w:p w14:paraId="4A62F4B1" w14:textId="24C27C56" w:rsidR="00A81736" w:rsidRPr="00E34841" w:rsidRDefault="001E2DF3" w:rsidP="002407B4">
      <w:pPr>
        <w:spacing w:line="276" w:lineRule="auto"/>
        <w:jc w:val="center"/>
        <w:rPr>
          <w:rFonts w:ascii="Arial" w:hAnsi="Arial" w:cs="Arial"/>
          <w:sz w:val="24"/>
          <w:szCs w:val="24"/>
          <w:lang w:val="en-GB"/>
        </w:rPr>
      </w:pPr>
      <w:r w:rsidRPr="00E34841">
        <w:rPr>
          <w:rFonts w:ascii="Arial" w:hAnsi="Arial" w:cs="Arial"/>
          <w:noProof/>
          <w:sz w:val="24"/>
          <w:szCs w:val="24"/>
          <w:lang w:val="en-GB"/>
        </w:rPr>
        <w:lastRenderedPageBreak/>
        <w:drawing>
          <wp:inline distT="0" distB="0" distL="0" distR="0" wp14:anchorId="5428C449" wp14:editId="5C7668A7">
            <wp:extent cx="4809350" cy="3711575"/>
            <wp:effectExtent l="0" t="0" r="0" b="3175"/>
            <wp:docPr id="21006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64155" name=""/>
                    <pic:cNvPicPr/>
                  </pic:nvPicPr>
                  <pic:blipFill rotWithShape="1">
                    <a:blip r:embed="rId11"/>
                    <a:srcRect l="1751"/>
                    <a:stretch>
                      <a:fillRect/>
                    </a:stretch>
                  </pic:blipFill>
                  <pic:spPr bwMode="auto">
                    <a:xfrm>
                      <a:off x="0" y="0"/>
                      <a:ext cx="4813495" cy="3714774"/>
                    </a:xfrm>
                    <a:prstGeom prst="rect">
                      <a:avLst/>
                    </a:prstGeom>
                    <a:ln>
                      <a:noFill/>
                    </a:ln>
                    <a:extLst>
                      <a:ext uri="{53640926-AAD7-44D8-BBD7-CCE9431645EC}">
                        <a14:shadowObscured xmlns:a14="http://schemas.microsoft.com/office/drawing/2010/main"/>
                      </a:ext>
                    </a:extLst>
                  </pic:spPr>
                </pic:pic>
              </a:graphicData>
            </a:graphic>
          </wp:inline>
        </w:drawing>
      </w:r>
    </w:p>
    <w:p w14:paraId="0BC60835" w14:textId="653C0FCB" w:rsidR="00626FDC" w:rsidRPr="00E34841" w:rsidRDefault="00626FDC" w:rsidP="00626FDC">
      <w:pPr>
        <w:spacing w:line="276" w:lineRule="auto"/>
        <w:jc w:val="both"/>
        <w:rPr>
          <w:rFonts w:ascii="Arial" w:hAnsi="Arial" w:cs="Arial"/>
          <w:sz w:val="24"/>
          <w:szCs w:val="24"/>
          <w:lang w:val="en-GB"/>
        </w:rPr>
      </w:pPr>
      <w:r w:rsidRPr="00E34841">
        <w:rPr>
          <w:rFonts w:ascii="Arial" w:hAnsi="Arial" w:cs="Arial"/>
          <w:sz w:val="24"/>
          <w:szCs w:val="24"/>
          <w:lang w:val="en-GB"/>
        </w:rPr>
        <w:br/>
      </w:r>
      <w:r w:rsidRPr="00E34841">
        <w:rPr>
          <w:rFonts w:ascii="Arial" w:hAnsi="Arial" w:cs="Arial"/>
          <w:i/>
          <w:iCs/>
          <w:sz w:val="24"/>
          <w:szCs w:val="24"/>
          <w:lang w:val="en-GB"/>
        </w:rPr>
        <w:t xml:space="preserve">Figure 5.2: The Chronic Care Model. Source: </w:t>
      </w:r>
      <w:r w:rsidR="001E2DF3" w:rsidRPr="00E34841">
        <w:rPr>
          <w:rFonts w:ascii="Arial" w:hAnsi="Arial" w:cs="Arial"/>
          <w:i/>
          <w:iCs/>
          <w:sz w:val="24"/>
          <w:szCs w:val="24"/>
          <w:lang w:val="en-GB"/>
        </w:rPr>
        <w:t>Ca</w:t>
      </w:r>
      <w:r w:rsidR="002407B4" w:rsidRPr="00E34841">
        <w:rPr>
          <w:rFonts w:ascii="Arial" w:hAnsi="Arial" w:cs="Arial"/>
          <w:i/>
          <w:iCs/>
          <w:sz w:val="24"/>
          <w:szCs w:val="24"/>
          <w:lang w:val="en-GB"/>
        </w:rPr>
        <w:t>bo et al</w:t>
      </w:r>
      <w:r w:rsidRPr="00E34841">
        <w:rPr>
          <w:rFonts w:ascii="Arial" w:hAnsi="Arial" w:cs="Arial"/>
          <w:i/>
          <w:iCs/>
          <w:sz w:val="24"/>
          <w:szCs w:val="24"/>
          <w:lang w:val="en-GB"/>
        </w:rPr>
        <w:t xml:space="preserve"> (</w:t>
      </w:r>
      <w:r w:rsidR="001E2DF3" w:rsidRPr="00E34841">
        <w:rPr>
          <w:rFonts w:ascii="Arial" w:hAnsi="Arial" w:cs="Arial"/>
          <w:i/>
          <w:iCs/>
          <w:sz w:val="24"/>
          <w:szCs w:val="24"/>
          <w:lang w:val="en-GB"/>
        </w:rPr>
        <w:t>2018</w:t>
      </w:r>
      <w:r w:rsidRPr="00E34841">
        <w:rPr>
          <w:rFonts w:ascii="Arial" w:hAnsi="Arial" w:cs="Arial"/>
          <w:i/>
          <w:iCs/>
          <w:sz w:val="24"/>
          <w:szCs w:val="24"/>
          <w:lang w:val="en-GB"/>
        </w:rPr>
        <w:t>).</w:t>
      </w:r>
    </w:p>
    <w:p w14:paraId="47357EDE" w14:textId="77777777" w:rsidR="00626FDC" w:rsidRPr="0029160A" w:rsidRDefault="00626FDC" w:rsidP="00626FDC">
      <w:pPr>
        <w:spacing w:line="276" w:lineRule="auto"/>
        <w:jc w:val="both"/>
        <w:rPr>
          <w:rFonts w:ascii="Arial" w:hAnsi="Arial" w:cs="Arial"/>
          <w:lang w:val="en-GB"/>
        </w:rPr>
      </w:pPr>
      <w:r w:rsidRPr="0029160A">
        <w:rPr>
          <w:rFonts w:ascii="Arial" w:hAnsi="Arial" w:cs="Arial"/>
          <w:lang w:val="en-GB"/>
        </w:rPr>
        <w:t>This approach addresses a current gap. Fewer than one-third of people with PD are referred for rehabilitation, with only 8% referred to occupational therapy and 7.5% to speech and language therapy, and referral often happens only after falls or swallowing problems occur (Goldman et al., 2024). ParkinsonNet tackles this by concentrating care among trained specialists. A national claims analysis found a 50% reduction in hip fractures and fewer hospital admissions, and annual savings of at least US$439 per patient far exceed maintenance costs of around US$29 per patient (Bloem et al., 2017).</w:t>
      </w:r>
    </w:p>
    <w:p w14:paraId="6A50EB87" w14:textId="77777777" w:rsidR="00626FDC" w:rsidRPr="0029160A" w:rsidRDefault="00626FDC" w:rsidP="00626FDC">
      <w:pPr>
        <w:spacing w:line="276" w:lineRule="auto"/>
        <w:jc w:val="both"/>
        <w:rPr>
          <w:rFonts w:ascii="Arial" w:hAnsi="Arial" w:cs="Arial"/>
          <w:lang w:val="en-GB"/>
        </w:rPr>
      </w:pPr>
      <w:r w:rsidRPr="0029160A">
        <w:rPr>
          <w:rFonts w:ascii="Arial" w:hAnsi="Arial" w:cs="Arial"/>
          <w:lang w:val="en-GB"/>
        </w:rPr>
        <w:t>However, the evidence has important limitations. The hip fracture finding came from an observational study, which cannot prove cause and effect, and a cluster-randomised trial found no difference in patient outcomes compared with usual care, only lower costs (Bloem et al., 2017). The main evaluation was also written by ParkinsonNet’s own medical director, which raises a risk of bias. More widely, multidisciplinary PD care is still limited by few controlled trials, a lack of comprehensive guidelines and under-referral (Pirtošek, 2024). ParkinsonNet also lacks long-term funding, as Dutch insurers struggle to pay for care spread across separate budgets (Bloem et al., 2017). As NHS services are similarly divided between primary, secondary and social care, the model would need adapting for the UK.</w:t>
      </w:r>
    </w:p>
    <w:p w14:paraId="67A8EF07" w14:textId="7F3D8BB6" w:rsidR="003A1D59" w:rsidRPr="00E34841" w:rsidRDefault="003A1D59" w:rsidP="00626FDC">
      <w:pPr>
        <w:spacing w:line="276" w:lineRule="auto"/>
        <w:jc w:val="both"/>
        <w:rPr>
          <w:rFonts w:ascii="Arial" w:hAnsi="Arial" w:cs="Arial"/>
          <w:sz w:val="24"/>
          <w:szCs w:val="24"/>
          <w:lang w:val="en-GB"/>
        </w:rPr>
      </w:pPr>
    </w:p>
    <w:p w14:paraId="6764A0B6" w14:textId="77777777" w:rsidR="0029711F" w:rsidRPr="00E34841" w:rsidRDefault="0029711F" w:rsidP="00634344">
      <w:pPr>
        <w:pStyle w:val="Heading3"/>
        <w:spacing w:line="276" w:lineRule="auto"/>
        <w:jc w:val="both"/>
        <w:rPr>
          <w:rFonts w:cs="Arial"/>
          <w:szCs w:val="24"/>
        </w:rPr>
      </w:pPr>
      <w:bookmarkStart w:id="12" w:name="_Toc243648020"/>
      <w:r w:rsidRPr="00E34841">
        <w:rPr>
          <w:rFonts w:cs="Arial"/>
          <w:szCs w:val="24"/>
        </w:rPr>
        <w:lastRenderedPageBreak/>
        <w:t>Comparing the two models</w:t>
      </w:r>
      <w:bookmarkEnd w:id="12"/>
    </w:p>
    <w:p w14:paraId="17A7B839" w14:textId="2C99DB08" w:rsidR="00997F0B" w:rsidRPr="0029160A" w:rsidRDefault="00B4052B" w:rsidP="00B4052B">
      <w:pPr>
        <w:spacing w:line="276" w:lineRule="auto"/>
        <w:jc w:val="both"/>
        <w:rPr>
          <w:rFonts w:ascii="Arial" w:hAnsi="Arial" w:cs="Arial"/>
          <w:lang w:val="en-GB"/>
        </w:rPr>
      </w:pPr>
      <w:r w:rsidRPr="0029160A">
        <w:rPr>
          <w:rFonts w:ascii="Arial" w:hAnsi="Arial" w:cs="Arial"/>
        </w:rPr>
        <w:t>The House of Care provides person-centred care across multiple conditions through GP-based support planning, but lacks PD-specific expertise (Roberts et al., 2019). ParkinsonNet develops specialist skills through trained therapists and minimum caseloads, reducing hip fractures by 50% and saving at least US$439 per patient annually (Bloem et al., 2017). However, integrated PD care evidence remains limited, with only small quality-of-life benefits reported (Rajan et al., 2020). A UK service could combine both models by linking specialist PD networks with GP care planning, supported by care coordination, patient navigation, early intervention and quality monitoring (van Halteren et al., 2020).</w:t>
      </w:r>
    </w:p>
    <w:p w14:paraId="0937E8D4" w14:textId="77777777" w:rsidR="00997F0B" w:rsidRPr="00E34841" w:rsidRDefault="00997F0B" w:rsidP="00634344">
      <w:pPr>
        <w:pStyle w:val="Heading2"/>
        <w:spacing w:line="276" w:lineRule="auto"/>
        <w:jc w:val="both"/>
        <w:rPr>
          <w:rFonts w:cs="Arial"/>
          <w:szCs w:val="24"/>
        </w:rPr>
      </w:pPr>
    </w:p>
    <w:p w14:paraId="565E6A9C" w14:textId="6A75C0A5" w:rsidR="0029711F" w:rsidRPr="00E34841" w:rsidRDefault="0042724E" w:rsidP="00634344">
      <w:pPr>
        <w:pStyle w:val="Heading2"/>
        <w:spacing w:line="276" w:lineRule="auto"/>
        <w:jc w:val="both"/>
        <w:rPr>
          <w:rFonts w:cs="Arial"/>
          <w:szCs w:val="24"/>
        </w:rPr>
      </w:pPr>
      <w:bookmarkStart w:id="13" w:name="_Toc243648021"/>
      <w:r>
        <w:rPr>
          <w:rFonts w:cs="Arial"/>
          <w:szCs w:val="24"/>
        </w:rPr>
        <w:t>5</w:t>
      </w:r>
      <w:r w:rsidR="0029711F" w:rsidRPr="00E34841">
        <w:rPr>
          <w:rFonts w:cs="Arial"/>
          <w:szCs w:val="24"/>
        </w:rPr>
        <w:t>. Local and national policy</w:t>
      </w:r>
      <w:bookmarkEnd w:id="13"/>
    </w:p>
    <w:p w14:paraId="7F2CD3F6" w14:textId="77777777" w:rsidR="0029711F" w:rsidRPr="0029160A" w:rsidRDefault="0029711F" w:rsidP="00634344">
      <w:pPr>
        <w:spacing w:line="276" w:lineRule="auto"/>
        <w:jc w:val="both"/>
        <w:rPr>
          <w:rFonts w:ascii="Arial" w:hAnsi="Arial" w:cs="Arial"/>
        </w:rPr>
      </w:pPr>
      <w:r w:rsidRPr="0029160A">
        <w:rPr>
          <w:rFonts w:ascii="Arial" w:hAnsi="Arial" w:cs="Arial"/>
        </w:rPr>
        <w:t>England has no national PD plan, so care is shaped by general long-term condition policies, which often fall short in delivery.</w:t>
      </w:r>
    </w:p>
    <w:p w14:paraId="75CC76C8" w14:textId="77777777" w:rsidR="0029711F" w:rsidRDefault="0029711F" w:rsidP="00634344">
      <w:pPr>
        <w:pStyle w:val="Heading3"/>
        <w:spacing w:line="276" w:lineRule="auto"/>
        <w:jc w:val="both"/>
        <w:rPr>
          <w:rFonts w:cs="Arial"/>
          <w:szCs w:val="24"/>
        </w:rPr>
      </w:pPr>
      <w:bookmarkStart w:id="14" w:name="_Toc243648022"/>
      <w:r w:rsidRPr="00E34841">
        <w:rPr>
          <w:rFonts w:cs="Arial"/>
          <w:szCs w:val="24"/>
        </w:rPr>
        <w:t>National agendas</w:t>
      </w:r>
      <w:bookmarkEnd w:id="14"/>
    </w:p>
    <w:p w14:paraId="450DD3EB" w14:textId="77777777" w:rsidR="007268EB" w:rsidRPr="0029160A" w:rsidRDefault="007268EB" w:rsidP="007268EB">
      <w:pPr>
        <w:spacing w:line="276" w:lineRule="auto"/>
        <w:jc w:val="both"/>
        <w:rPr>
          <w:rFonts w:ascii="Arial" w:hAnsi="Arial" w:cs="Arial"/>
          <w:lang w:val="en-GB"/>
        </w:rPr>
      </w:pPr>
      <w:r w:rsidRPr="0029160A">
        <w:rPr>
          <w:rFonts w:ascii="Arial" w:hAnsi="Arial" w:cs="Arial"/>
          <w:lang w:val="en-GB"/>
        </w:rPr>
        <w:t>The Care Act 2014 allows people with PD and their carers to request needs assessments, but support depends on council funding and staff knowledge (Barnes et al., 2017). The NHS Long Term Plan (2019) promised joined-up, personalised care with an extra £20.5 billion a year by 2023/24, but COVID-19 disrupted delivery, leaving 31 million fewer GP appointments than expected (Patel, Thomas and Quilter-Pinner, 2021). The Health and Care Act 2022 formalised 42 integrated care systems (ICSs) for joint NHS and council planning, yet staffing gaps exceed 100,000 and services vary widely (Dunn et al., 2022).</w:t>
      </w:r>
    </w:p>
    <w:p w14:paraId="3E87BB0F" w14:textId="2A06DBC2" w:rsidR="007268EB" w:rsidRPr="0029160A" w:rsidRDefault="007268EB" w:rsidP="007268EB">
      <w:pPr>
        <w:spacing w:line="276" w:lineRule="auto"/>
        <w:jc w:val="both"/>
        <w:rPr>
          <w:rFonts w:ascii="Arial" w:hAnsi="Arial" w:cs="Arial"/>
          <w:lang w:val="en-GB"/>
        </w:rPr>
      </w:pPr>
      <w:r w:rsidRPr="0029160A">
        <w:rPr>
          <w:rFonts w:ascii="Arial" w:hAnsi="Arial" w:cs="Arial"/>
          <w:lang w:val="en-GB"/>
        </w:rPr>
        <w:t xml:space="preserve">The </w:t>
      </w:r>
      <w:r w:rsidR="0029160A" w:rsidRPr="0029160A">
        <w:rPr>
          <w:rFonts w:ascii="Arial" w:hAnsi="Arial" w:cs="Arial"/>
          <w:lang w:val="en-GB"/>
        </w:rPr>
        <w:t>10-Year</w:t>
      </w:r>
      <w:r w:rsidRPr="0029160A">
        <w:rPr>
          <w:rFonts w:ascii="Arial" w:hAnsi="Arial" w:cs="Arial"/>
          <w:lang w:val="en-GB"/>
        </w:rPr>
        <w:t xml:space="preserve"> Health Plan (2025) aims to shift care from hospital to community, analogue to digital and sickness to prevention. Care closer to home suits PD, but Alderwick (2025) warns the plan “borders on techno-optimism”, expecting technology to solve problems of staffing, money and inequality. Tremors and memory problems may make apps hard to use, widening inequalities. Joined-up care improves patient experience but rarely saves money (Alderwick, 2025).</w:t>
      </w:r>
    </w:p>
    <w:p w14:paraId="781FFC5F" w14:textId="77777777" w:rsidR="007268EB" w:rsidRPr="0029160A" w:rsidRDefault="007268EB" w:rsidP="007268EB">
      <w:pPr>
        <w:spacing w:line="276" w:lineRule="auto"/>
        <w:jc w:val="both"/>
        <w:rPr>
          <w:rFonts w:ascii="Arial" w:hAnsi="Arial" w:cs="Arial"/>
          <w:lang w:val="en-GB"/>
        </w:rPr>
      </w:pPr>
      <w:r w:rsidRPr="0029160A">
        <w:rPr>
          <w:rFonts w:ascii="Arial" w:hAnsi="Arial" w:cs="Arial"/>
          <w:lang w:val="en-GB"/>
        </w:rPr>
        <w:t>For remote care, national surveys of 2,463 patients and carers and 593 neurologists found that people valued convenience but worried about quality, privacy and fairness, with some seeing remote appointments as “less real” (Fuller et al., 2026). It should be a choice, not the default.</w:t>
      </w:r>
    </w:p>
    <w:p w14:paraId="5AE8DE09" w14:textId="77777777" w:rsidR="005C1DB6" w:rsidRDefault="005C1DB6" w:rsidP="00634344">
      <w:pPr>
        <w:pStyle w:val="Heading3"/>
        <w:spacing w:line="276" w:lineRule="auto"/>
        <w:jc w:val="both"/>
        <w:rPr>
          <w:rFonts w:cs="Arial"/>
          <w:szCs w:val="24"/>
        </w:rPr>
      </w:pPr>
      <w:bookmarkStart w:id="15" w:name="_Toc243648023"/>
    </w:p>
    <w:p w14:paraId="06C2BF94" w14:textId="6178AA01" w:rsidR="0029711F" w:rsidRPr="00E34841" w:rsidRDefault="0029711F" w:rsidP="00634344">
      <w:pPr>
        <w:pStyle w:val="Heading3"/>
        <w:spacing w:line="276" w:lineRule="auto"/>
        <w:jc w:val="both"/>
        <w:rPr>
          <w:rFonts w:cs="Arial"/>
          <w:szCs w:val="24"/>
        </w:rPr>
      </w:pPr>
      <w:r w:rsidRPr="00E34841">
        <w:rPr>
          <w:rFonts w:cs="Arial"/>
          <w:szCs w:val="24"/>
        </w:rPr>
        <w:t>Local agendas</w:t>
      </w:r>
      <w:bookmarkEnd w:id="15"/>
    </w:p>
    <w:p w14:paraId="783C47C3" w14:textId="77777777" w:rsidR="0029711F" w:rsidRPr="0029160A" w:rsidRDefault="0029711F" w:rsidP="00634344">
      <w:pPr>
        <w:spacing w:line="276" w:lineRule="auto"/>
        <w:jc w:val="both"/>
        <w:rPr>
          <w:rFonts w:ascii="Arial" w:hAnsi="Arial" w:cs="Arial"/>
        </w:rPr>
      </w:pPr>
      <w:r w:rsidRPr="0029160A">
        <w:rPr>
          <w:rFonts w:ascii="Arial" w:hAnsi="Arial" w:cs="Arial"/>
        </w:rPr>
        <w:t>Under each ICS, councils must produce a Joint Health and Wellbeing Strategy. A study of 20 deprived areas found that most strategies were weak on health inequalities. Budget cuts explained differences in life expectancy better than the strategies did (Tompson et al., 2024). Local plans therefore cannot fix poor care unless they are funded.</w:t>
      </w:r>
    </w:p>
    <w:p w14:paraId="3B99EA1E" w14:textId="77777777" w:rsidR="0029711F" w:rsidRPr="0029160A" w:rsidRDefault="0029711F" w:rsidP="00634344">
      <w:pPr>
        <w:spacing w:line="276" w:lineRule="auto"/>
        <w:jc w:val="both"/>
        <w:rPr>
          <w:rFonts w:ascii="Arial" w:hAnsi="Arial" w:cs="Arial"/>
        </w:rPr>
      </w:pPr>
      <w:r w:rsidRPr="0029160A">
        <w:rPr>
          <w:rFonts w:ascii="Arial" w:hAnsi="Arial" w:cs="Arial"/>
        </w:rPr>
        <w:t>Two NHS trusts show what local action can achieve:</w:t>
      </w:r>
    </w:p>
    <w:p w14:paraId="1AB7587E" w14:textId="77777777" w:rsidR="0029711F" w:rsidRDefault="0029711F" w:rsidP="00634344">
      <w:pPr>
        <w:pStyle w:val="ListParagraph"/>
        <w:numPr>
          <w:ilvl w:val="0"/>
          <w:numId w:val="7"/>
        </w:numPr>
        <w:spacing w:line="276" w:lineRule="auto"/>
        <w:jc w:val="both"/>
        <w:rPr>
          <w:rFonts w:ascii="Arial" w:hAnsi="Arial" w:cs="Arial"/>
        </w:rPr>
      </w:pPr>
      <w:r w:rsidRPr="00E34841">
        <w:rPr>
          <w:rFonts w:ascii="Arial" w:hAnsi="Arial" w:cs="Arial"/>
          <w:b/>
          <w:sz w:val="24"/>
          <w:szCs w:val="24"/>
        </w:rPr>
        <w:lastRenderedPageBreak/>
        <w:t>Leeds (hospital care):</w:t>
      </w:r>
      <w:r w:rsidRPr="00E34841">
        <w:rPr>
          <w:rFonts w:ascii="Arial" w:hAnsi="Arial" w:cs="Arial"/>
          <w:sz w:val="24"/>
          <w:szCs w:val="24"/>
        </w:rPr>
        <w:t xml:space="preserve"> </w:t>
      </w:r>
      <w:r w:rsidRPr="0029160A">
        <w:rPr>
          <w:rFonts w:ascii="Arial" w:hAnsi="Arial" w:cs="Arial"/>
        </w:rPr>
        <w:t>A wife wrote to complain that her husband had missed doses of his PD medicine in hospital. Missed doses can cause choking and pneumonia. Leeds formed a team that included her. Across 90 wards, missed doses fell from 15.1% to 0.6%, and the wait for the first dose fell from over 7 hours to under 1 hour (Corrado et al., 2020).</w:t>
      </w:r>
    </w:p>
    <w:p w14:paraId="12850E00" w14:textId="77777777" w:rsidR="0029160A" w:rsidRPr="0029160A" w:rsidRDefault="0029160A" w:rsidP="0029160A">
      <w:pPr>
        <w:pStyle w:val="ListParagraph"/>
        <w:spacing w:line="276" w:lineRule="auto"/>
        <w:jc w:val="both"/>
        <w:rPr>
          <w:rFonts w:ascii="Arial" w:hAnsi="Arial" w:cs="Arial"/>
        </w:rPr>
      </w:pPr>
    </w:p>
    <w:p w14:paraId="06CA9A37" w14:textId="77777777" w:rsidR="0029711F" w:rsidRPr="0029160A" w:rsidRDefault="0029711F" w:rsidP="00634344">
      <w:pPr>
        <w:pStyle w:val="ListParagraph"/>
        <w:numPr>
          <w:ilvl w:val="0"/>
          <w:numId w:val="7"/>
        </w:numPr>
        <w:spacing w:line="276" w:lineRule="auto"/>
        <w:jc w:val="both"/>
        <w:rPr>
          <w:rFonts w:ascii="Arial" w:hAnsi="Arial" w:cs="Arial"/>
        </w:rPr>
      </w:pPr>
      <w:r w:rsidRPr="00E34841">
        <w:rPr>
          <w:rFonts w:ascii="Arial" w:hAnsi="Arial" w:cs="Arial"/>
          <w:b/>
          <w:sz w:val="24"/>
          <w:szCs w:val="24"/>
        </w:rPr>
        <w:t>Plymouth (home care):</w:t>
      </w:r>
      <w:r w:rsidRPr="00E34841">
        <w:rPr>
          <w:rFonts w:ascii="Arial" w:hAnsi="Arial" w:cs="Arial"/>
          <w:sz w:val="24"/>
          <w:szCs w:val="24"/>
        </w:rPr>
        <w:t xml:space="preserve"> </w:t>
      </w:r>
      <w:r w:rsidRPr="0029160A">
        <w:rPr>
          <w:rFonts w:ascii="Arial" w:hAnsi="Arial" w:cs="Arial"/>
        </w:rPr>
        <w:t>A "Home Based Care" pathway used self-management, remote monitoring and the option to call for help. After 6 months, symptoms were stable and more patients felt listened to (90% compared with 79%). The service met 93% of national audit standards (Kehagia et al., 2024).</w:t>
      </w:r>
    </w:p>
    <w:p w14:paraId="258AEB8D" w14:textId="77777777" w:rsidR="0029711F" w:rsidRPr="0029160A" w:rsidRDefault="0029711F" w:rsidP="00634344">
      <w:pPr>
        <w:spacing w:line="276" w:lineRule="auto"/>
        <w:jc w:val="both"/>
        <w:rPr>
          <w:rFonts w:ascii="Arial" w:hAnsi="Arial" w:cs="Arial"/>
        </w:rPr>
      </w:pPr>
      <w:r w:rsidRPr="0029160A">
        <w:rPr>
          <w:rFonts w:ascii="Arial" w:hAnsi="Arial" w:cs="Arial"/>
        </w:rPr>
        <w:t>Both projects were small, local and not tested against a control group. Even so, they show that simple, locally led changes can work, and ICSs should spread them.</w:t>
      </w:r>
    </w:p>
    <w:p w14:paraId="5D7B4335" w14:textId="569F4EB9" w:rsidR="0029711F" w:rsidRPr="00E34841" w:rsidRDefault="0042724E" w:rsidP="00634344">
      <w:pPr>
        <w:pStyle w:val="Heading2"/>
        <w:spacing w:line="276" w:lineRule="auto"/>
        <w:jc w:val="both"/>
        <w:rPr>
          <w:rFonts w:cs="Arial"/>
          <w:szCs w:val="24"/>
        </w:rPr>
      </w:pPr>
      <w:bookmarkStart w:id="16" w:name="_Toc243648024"/>
      <w:r>
        <w:rPr>
          <w:rFonts w:cs="Arial"/>
          <w:szCs w:val="24"/>
        </w:rPr>
        <w:t>6</w:t>
      </w:r>
      <w:r w:rsidR="0029711F" w:rsidRPr="00E34841">
        <w:rPr>
          <w:rFonts w:cs="Arial"/>
          <w:szCs w:val="24"/>
        </w:rPr>
        <w:t>. Recommendations for practice</w:t>
      </w:r>
      <w:bookmarkEnd w:id="16"/>
    </w:p>
    <w:p w14:paraId="5CCE30ED" w14:textId="77777777" w:rsidR="0029711F" w:rsidRPr="00E34841" w:rsidRDefault="0029711F" w:rsidP="00634344">
      <w:pPr>
        <w:pStyle w:val="Heading3"/>
        <w:spacing w:line="276" w:lineRule="auto"/>
        <w:jc w:val="both"/>
        <w:rPr>
          <w:rFonts w:cs="Arial"/>
          <w:szCs w:val="24"/>
        </w:rPr>
      </w:pPr>
      <w:bookmarkStart w:id="17" w:name="_Toc243648025"/>
      <w:r w:rsidRPr="00E34841">
        <w:rPr>
          <w:rFonts w:cs="Arial"/>
          <w:szCs w:val="24"/>
        </w:rPr>
        <w:t>Person-centred care</w:t>
      </w:r>
      <w:bookmarkEnd w:id="17"/>
    </w:p>
    <w:p w14:paraId="6D37EAC8" w14:textId="74A69877" w:rsidR="0029711F" w:rsidRPr="0029160A" w:rsidRDefault="00790409" w:rsidP="00634344">
      <w:pPr>
        <w:spacing w:line="276" w:lineRule="auto"/>
        <w:jc w:val="both"/>
        <w:rPr>
          <w:rFonts w:ascii="Arial" w:hAnsi="Arial" w:cs="Arial"/>
        </w:rPr>
      </w:pPr>
      <w:r w:rsidRPr="0029160A">
        <w:rPr>
          <w:rFonts w:ascii="Arial" w:hAnsi="Arial" w:cs="Arial"/>
        </w:rPr>
        <w:t>Not everyone with PD is interested in the same role when it comes to decisions. Preferences shift as a function of type of decision and over time in a Canadian clinic. There was an overwhelming majority wanting full information, with some favouring the doctor to guide on their complex choices (Zizzo et al., 2017).</w:t>
      </w:r>
    </w:p>
    <w:p w14:paraId="1536F012" w14:textId="21A780DC" w:rsidR="0029711F" w:rsidRPr="0029160A" w:rsidRDefault="0029711F" w:rsidP="00634344">
      <w:pPr>
        <w:pStyle w:val="ListParagraph"/>
        <w:numPr>
          <w:ilvl w:val="0"/>
          <w:numId w:val="8"/>
        </w:numPr>
        <w:spacing w:line="276" w:lineRule="auto"/>
        <w:jc w:val="both"/>
        <w:rPr>
          <w:rFonts w:ascii="Arial" w:hAnsi="Arial" w:cs="Arial"/>
        </w:rPr>
      </w:pPr>
      <w:r w:rsidRPr="0029160A">
        <w:rPr>
          <w:rFonts w:ascii="Arial" w:hAnsi="Arial" w:cs="Arial"/>
        </w:rPr>
        <w:t xml:space="preserve">Ask each person how involved they want to </w:t>
      </w:r>
      <w:r w:rsidR="0029160A" w:rsidRPr="0029160A">
        <w:rPr>
          <w:rFonts w:ascii="Arial" w:hAnsi="Arial" w:cs="Arial"/>
        </w:rPr>
        <w:t>be and</w:t>
      </w:r>
      <w:r w:rsidRPr="0029160A">
        <w:rPr>
          <w:rFonts w:ascii="Arial" w:hAnsi="Arial" w:cs="Arial"/>
        </w:rPr>
        <w:t xml:space="preserve"> ask again as the condition changes.</w:t>
      </w:r>
    </w:p>
    <w:p w14:paraId="77A4AE4A" w14:textId="77777777" w:rsidR="0029711F" w:rsidRPr="0029160A" w:rsidRDefault="0029711F" w:rsidP="00634344">
      <w:pPr>
        <w:pStyle w:val="ListParagraph"/>
        <w:numPr>
          <w:ilvl w:val="0"/>
          <w:numId w:val="8"/>
        </w:numPr>
        <w:spacing w:line="276" w:lineRule="auto"/>
        <w:jc w:val="both"/>
        <w:rPr>
          <w:rFonts w:ascii="Arial" w:hAnsi="Arial" w:cs="Arial"/>
        </w:rPr>
      </w:pPr>
      <w:r w:rsidRPr="0029160A">
        <w:rPr>
          <w:rFonts w:ascii="Arial" w:hAnsi="Arial" w:cs="Arial"/>
        </w:rPr>
        <w:t>Use care and support planning (section 5): share results before the appointment and agree goals that matter to the person.</w:t>
      </w:r>
    </w:p>
    <w:p w14:paraId="03BF3F3A" w14:textId="59B3C73B" w:rsidR="0029711F" w:rsidRPr="0029160A" w:rsidRDefault="0029711F" w:rsidP="00634344">
      <w:pPr>
        <w:pStyle w:val="ListParagraph"/>
        <w:numPr>
          <w:ilvl w:val="0"/>
          <w:numId w:val="8"/>
        </w:numPr>
        <w:spacing w:line="276" w:lineRule="auto"/>
        <w:jc w:val="both"/>
        <w:rPr>
          <w:rFonts w:ascii="Arial" w:hAnsi="Arial" w:cs="Arial"/>
        </w:rPr>
      </w:pPr>
      <w:r w:rsidRPr="0029160A">
        <w:rPr>
          <w:rFonts w:ascii="Arial" w:hAnsi="Arial" w:cs="Arial"/>
        </w:rPr>
        <w:t xml:space="preserve">Involve family carers as </w:t>
      </w:r>
      <w:r w:rsidR="0029160A" w:rsidRPr="0029160A">
        <w:rPr>
          <w:rFonts w:ascii="Arial" w:hAnsi="Arial" w:cs="Arial"/>
        </w:rPr>
        <w:t>partners and</w:t>
      </w:r>
      <w:r w:rsidRPr="0029160A">
        <w:rPr>
          <w:rFonts w:ascii="Arial" w:hAnsi="Arial" w:cs="Arial"/>
        </w:rPr>
        <w:t xml:space="preserve"> offer them a Care Act carer's assessment (Barnes et al., 2017; Read et al., 2023).</w:t>
      </w:r>
    </w:p>
    <w:p w14:paraId="5AE94EBD" w14:textId="77777777" w:rsidR="0029711F" w:rsidRPr="0029160A" w:rsidRDefault="0029711F" w:rsidP="00634344">
      <w:pPr>
        <w:pStyle w:val="ListParagraph"/>
        <w:numPr>
          <w:ilvl w:val="0"/>
          <w:numId w:val="8"/>
        </w:numPr>
        <w:spacing w:line="276" w:lineRule="auto"/>
        <w:jc w:val="both"/>
        <w:rPr>
          <w:rFonts w:ascii="Arial" w:hAnsi="Arial" w:cs="Arial"/>
        </w:rPr>
      </w:pPr>
      <w:r w:rsidRPr="0029160A">
        <w:rPr>
          <w:rFonts w:ascii="Arial" w:hAnsi="Arial" w:cs="Arial"/>
        </w:rPr>
        <w:t>Screen for depression, anxiety, memory problems and impulse control disorders at every review.</w:t>
      </w:r>
    </w:p>
    <w:p w14:paraId="437E8B1E" w14:textId="77777777" w:rsidR="0029711F" w:rsidRPr="00E34841" w:rsidRDefault="0029711F" w:rsidP="00634344">
      <w:pPr>
        <w:pStyle w:val="Heading3"/>
        <w:spacing w:line="276" w:lineRule="auto"/>
        <w:jc w:val="both"/>
        <w:rPr>
          <w:rFonts w:cs="Arial"/>
          <w:szCs w:val="24"/>
        </w:rPr>
      </w:pPr>
      <w:bookmarkStart w:id="18" w:name="_Toc243648026"/>
      <w:r w:rsidRPr="00E34841">
        <w:rPr>
          <w:rFonts w:cs="Arial"/>
          <w:szCs w:val="24"/>
        </w:rPr>
        <w:t>Self-management</w:t>
      </w:r>
      <w:bookmarkEnd w:id="18"/>
    </w:p>
    <w:p w14:paraId="68ABCB4C" w14:textId="0A66ED53" w:rsidR="0029711F" w:rsidRPr="0029160A" w:rsidRDefault="0029711F" w:rsidP="00634344">
      <w:pPr>
        <w:spacing w:line="276" w:lineRule="auto"/>
        <w:jc w:val="both"/>
        <w:rPr>
          <w:rFonts w:ascii="Arial" w:hAnsi="Arial" w:cs="Arial"/>
        </w:rPr>
      </w:pPr>
      <w:r w:rsidRPr="0029160A">
        <w:rPr>
          <w:rFonts w:ascii="Arial" w:hAnsi="Arial" w:cs="Arial"/>
        </w:rPr>
        <w:t xml:space="preserve">The evidence here is mixed. </w:t>
      </w:r>
      <w:r w:rsidR="00B61160" w:rsidRPr="0029160A">
        <w:rPr>
          <w:rFonts w:ascii="Arial" w:hAnsi="Arial" w:cs="Arial"/>
        </w:rPr>
        <w:t>Only four of the 36 studies were shown to have a beneficial effect on quality of life, and no effect was seen in a meta-analysis. The evidence was rated "very low" quality (Pigott et al., 2022). Newer programmes are looking more promising, however. An 8-week course for patients and carers (EMPOWER-PD) had a positive effect on confidence and movement symptoms and lowered clinic contacts (Thomsen et al., 2025) but no control group.</w:t>
      </w:r>
    </w:p>
    <w:p w14:paraId="21A314CD" w14:textId="4EEB9196" w:rsidR="0029711F" w:rsidRPr="0029160A" w:rsidRDefault="0029711F" w:rsidP="00634344">
      <w:pPr>
        <w:pStyle w:val="ListParagraph"/>
        <w:numPr>
          <w:ilvl w:val="0"/>
          <w:numId w:val="13"/>
        </w:numPr>
        <w:spacing w:line="276" w:lineRule="auto"/>
        <w:jc w:val="both"/>
        <w:rPr>
          <w:rFonts w:ascii="Arial" w:hAnsi="Arial" w:cs="Arial"/>
        </w:rPr>
      </w:pPr>
      <w:r w:rsidRPr="0029160A">
        <w:rPr>
          <w:rFonts w:ascii="Arial" w:hAnsi="Arial" w:cs="Arial"/>
        </w:rPr>
        <w:t xml:space="preserve">Offer group self-management education that includes carers, exercise and </w:t>
      </w:r>
      <w:r w:rsidR="0029160A" w:rsidRPr="0029160A">
        <w:rPr>
          <w:rFonts w:ascii="Arial" w:hAnsi="Arial" w:cs="Arial"/>
        </w:rPr>
        <w:t>goal setting</w:t>
      </w:r>
      <w:r w:rsidRPr="0029160A">
        <w:rPr>
          <w:rFonts w:ascii="Arial" w:hAnsi="Arial" w:cs="Arial"/>
        </w:rPr>
        <w:t>, rather than leaflets alone.</w:t>
      </w:r>
    </w:p>
    <w:p w14:paraId="0861CF6C" w14:textId="77777777" w:rsidR="0029711F" w:rsidRPr="0029160A" w:rsidRDefault="0029711F" w:rsidP="00634344">
      <w:pPr>
        <w:pStyle w:val="ListParagraph"/>
        <w:numPr>
          <w:ilvl w:val="0"/>
          <w:numId w:val="13"/>
        </w:numPr>
        <w:spacing w:line="276" w:lineRule="auto"/>
        <w:jc w:val="both"/>
        <w:rPr>
          <w:rFonts w:ascii="Arial" w:hAnsi="Arial" w:cs="Arial"/>
        </w:rPr>
      </w:pPr>
      <w:r w:rsidRPr="0029160A">
        <w:rPr>
          <w:rFonts w:ascii="Arial" w:hAnsi="Arial" w:cs="Arial"/>
        </w:rPr>
        <w:t>"Prescribe" exercise from diagnosis (Johansson et al., 2022).</w:t>
      </w:r>
    </w:p>
    <w:p w14:paraId="2B5F18A2" w14:textId="48516A0E" w:rsidR="0029711F" w:rsidRPr="0029160A" w:rsidRDefault="0029711F" w:rsidP="00634344">
      <w:pPr>
        <w:pStyle w:val="ListParagraph"/>
        <w:numPr>
          <w:ilvl w:val="0"/>
          <w:numId w:val="13"/>
        </w:numPr>
        <w:spacing w:line="276" w:lineRule="auto"/>
        <w:jc w:val="both"/>
        <w:rPr>
          <w:rFonts w:ascii="Arial" w:hAnsi="Arial" w:cs="Arial"/>
        </w:rPr>
      </w:pPr>
      <w:r w:rsidRPr="0029160A">
        <w:rPr>
          <w:rFonts w:ascii="Arial" w:hAnsi="Arial" w:cs="Arial"/>
        </w:rPr>
        <w:t xml:space="preserve">Use remote monitoring and video appointments where people want </w:t>
      </w:r>
      <w:r w:rsidR="0029160A" w:rsidRPr="0029160A">
        <w:rPr>
          <w:rFonts w:ascii="Arial" w:hAnsi="Arial" w:cs="Arial"/>
        </w:rPr>
        <w:t>them but</w:t>
      </w:r>
      <w:r w:rsidRPr="0029160A">
        <w:rPr>
          <w:rFonts w:ascii="Arial" w:hAnsi="Arial" w:cs="Arial"/>
        </w:rPr>
        <w:t xml:space="preserve"> always keep a face-to-face option. Remote tools cannot yet replace in-person diagnosis, and large trials are still lacking (van den Bergh et al., 2021).</w:t>
      </w:r>
    </w:p>
    <w:p w14:paraId="7A40D3BE" w14:textId="21ACCEC7" w:rsidR="0029711F" w:rsidRPr="0029160A" w:rsidRDefault="0029711F" w:rsidP="00634344">
      <w:pPr>
        <w:pStyle w:val="ListParagraph"/>
        <w:numPr>
          <w:ilvl w:val="0"/>
          <w:numId w:val="13"/>
        </w:numPr>
        <w:spacing w:line="276" w:lineRule="auto"/>
        <w:jc w:val="both"/>
        <w:rPr>
          <w:rFonts w:ascii="Arial" w:hAnsi="Arial" w:cs="Arial"/>
        </w:rPr>
      </w:pPr>
      <w:r w:rsidRPr="0029160A">
        <w:rPr>
          <w:rFonts w:ascii="Arial" w:hAnsi="Arial" w:cs="Arial"/>
        </w:rPr>
        <w:t xml:space="preserve">Teach patients and carers about "Get It </w:t>
      </w:r>
      <w:r w:rsidR="0029160A" w:rsidRPr="0029160A">
        <w:rPr>
          <w:rFonts w:ascii="Arial" w:hAnsi="Arial" w:cs="Arial"/>
        </w:rPr>
        <w:t>on</w:t>
      </w:r>
      <w:r w:rsidRPr="0029160A">
        <w:rPr>
          <w:rFonts w:ascii="Arial" w:hAnsi="Arial" w:cs="Arial"/>
        </w:rPr>
        <w:t xml:space="preserve"> Time" so they can ask for medicines on time in hospital. Hospitals should copy the Leeds approach (Corrado et al., 2020).</w:t>
      </w:r>
    </w:p>
    <w:p w14:paraId="24081883" w14:textId="324B0B98" w:rsidR="0029711F" w:rsidRPr="00E34841" w:rsidRDefault="0029711F" w:rsidP="00634344">
      <w:pPr>
        <w:pStyle w:val="Heading3"/>
        <w:spacing w:line="276" w:lineRule="auto"/>
        <w:jc w:val="both"/>
        <w:rPr>
          <w:rFonts w:cs="Arial"/>
          <w:szCs w:val="24"/>
        </w:rPr>
      </w:pPr>
      <w:bookmarkStart w:id="19" w:name="_Toc243648027"/>
      <w:r w:rsidRPr="00E34841">
        <w:rPr>
          <w:rFonts w:cs="Arial"/>
          <w:szCs w:val="24"/>
        </w:rPr>
        <w:lastRenderedPageBreak/>
        <w:t xml:space="preserve">End-of-life </w:t>
      </w:r>
      <w:bookmarkEnd w:id="19"/>
      <w:r w:rsidR="0029160A" w:rsidRPr="00E34841">
        <w:rPr>
          <w:rFonts w:cs="Arial"/>
          <w:szCs w:val="24"/>
        </w:rPr>
        <w:t>care.</w:t>
      </w:r>
    </w:p>
    <w:p w14:paraId="7279819D" w14:textId="77777777" w:rsidR="00475AE0" w:rsidRPr="0029160A" w:rsidRDefault="00475AE0" w:rsidP="00475AE0">
      <w:pPr>
        <w:spacing w:line="276" w:lineRule="auto"/>
        <w:jc w:val="both"/>
        <w:rPr>
          <w:rFonts w:ascii="Arial" w:hAnsi="Arial" w:cs="Arial"/>
          <w:lang w:val="en-GB"/>
        </w:rPr>
      </w:pPr>
      <w:r w:rsidRPr="0029160A">
        <w:rPr>
          <w:rFonts w:ascii="Arial" w:hAnsi="Arial" w:cs="Arial"/>
          <w:lang w:val="en-GB"/>
        </w:rPr>
        <w:t>PD is life-limiting, yet palliative care is often offered late because of limited knowledge, unclear timing and few home-based services (Garon et al., 2025). In line with England’s Ambitions framework (Wee, 2016), professionals should:</w:t>
      </w:r>
    </w:p>
    <w:p w14:paraId="3A6E5148" w14:textId="77777777" w:rsidR="00475AE0" w:rsidRPr="0029160A" w:rsidRDefault="00475AE0" w:rsidP="00475AE0">
      <w:pPr>
        <w:numPr>
          <w:ilvl w:val="0"/>
          <w:numId w:val="14"/>
        </w:numPr>
        <w:spacing w:line="276" w:lineRule="auto"/>
        <w:jc w:val="both"/>
        <w:rPr>
          <w:rFonts w:ascii="Arial" w:hAnsi="Arial" w:cs="Arial"/>
          <w:lang w:val="en-GB"/>
        </w:rPr>
      </w:pPr>
      <w:r w:rsidRPr="0029160A">
        <w:rPr>
          <w:rFonts w:ascii="Arial" w:hAnsi="Arial" w:cs="Arial"/>
          <w:lang w:val="en-GB"/>
        </w:rPr>
        <w:t>Start a palliative approach early, with specialist input for complex needs.</w:t>
      </w:r>
    </w:p>
    <w:p w14:paraId="35310AB4" w14:textId="77777777" w:rsidR="00475AE0" w:rsidRPr="0029160A" w:rsidRDefault="00475AE0" w:rsidP="00475AE0">
      <w:pPr>
        <w:numPr>
          <w:ilvl w:val="0"/>
          <w:numId w:val="14"/>
        </w:numPr>
        <w:spacing w:line="276" w:lineRule="auto"/>
        <w:jc w:val="both"/>
        <w:rPr>
          <w:rFonts w:ascii="Arial" w:hAnsi="Arial" w:cs="Arial"/>
          <w:lang w:val="en-GB"/>
        </w:rPr>
      </w:pPr>
      <w:r w:rsidRPr="0029160A">
        <w:rPr>
          <w:rFonts w:ascii="Arial" w:hAnsi="Arial" w:cs="Arial"/>
          <w:lang w:val="en-GB"/>
        </w:rPr>
        <w:t>Watch for last-year-of-life triggers such as swallowing problems, aspiration pneumonia and weight loss (Oliver and Veronese, 2020).</w:t>
      </w:r>
    </w:p>
    <w:p w14:paraId="3574632C" w14:textId="77777777" w:rsidR="00475AE0" w:rsidRPr="0029160A" w:rsidRDefault="00475AE0" w:rsidP="00475AE0">
      <w:pPr>
        <w:numPr>
          <w:ilvl w:val="0"/>
          <w:numId w:val="14"/>
        </w:numPr>
        <w:spacing w:line="276" w:lineRule="auto"/>
        <w:jc w:val="both"/>
        <w:rPr>
          <w:rFonts w:ascii="Arial" w:hAnsi="Arial" w:cs="Arial"/>
          <w:lang w:val="en-GB"/>
        </w:rPr>
      </w:pPr>
      <w:r w:rsidRPr="0029160A">
        <w:rPr>
          <w:rFonts w:ascii="Arial" w:hAnsi="Arial" w:cs="Arial"/>
          <w:lang w:val="en-GB"/>
        </w:rPr>
        <w:t>Begin advance care planning before cognitive decline or DBS (Sokol et al., 2019).</w:t>
      </w:r>
    </w:p>
    <w:p w14:paraId="30D65735" w14:textId="21C3D407" w:rsidR="0029711F" w:rsidRPr="00475AE0" w:rsidRDefault="0029711F" w:rsidP="00475AE0">
      <w:pPr>
        <w:spacing w:line="276" w:lineRule="auto"/>
        <w:jc w:val="both"/>
        <w:rPr>
          <w:rFonts w:ascii="Arial" w:hAnsi="Arial" w:cs="Arial"/>
          <w:sz w:val="24"/>
          <w:szCs w:val="24"/>
          <w:lang w:val="en-GB"/>
        </w:rPr>
      </w:pPr>
    </w:p>
    <w:p w14:paraId="29DC67E5" w14:textId="541C76EE" w:rsidR="0029711F" w:rsidRPr="00E34841" w:rsidRDefault="0042724E" w:rsidP="00634344">
      <w:pPr>
        <w:pStyle w:val="Heading2"/>
        <w:spacing w:line="276" w:lineRule="auto"/>
        <w:jc w:val="both"/>
        <w:rPr>
          <w:rFonts w:cs="Arial"/>
          <w:szCs w:val="24"/>
        </w:rPr>
      </w:pPr>
      <w:bookmarkStart w:id="20" w:name="_Toc243648028"/>
      <w:r>
        <w:rPr>
          <w:rFonts w:cs="Arial"/>
          <w:szCs w:val="24"/>
        </w:rPr>
        <w:t>7</w:t>
      </w:r>
      <w:r w:rsidR="0029711F" w:rsidRPr="00E34841">
        <w:rPr>
          <w:rFonts w:cs="Arial"/>
          <w:szCs w:val="24"/>
        </w:rPr>
        <w:t>. Conclusion</w:t>
      </w:r>
      <w:bookmarkEnd w:id="20"/>
    </w:p>
    <w:p w14:paraId="057B521B" w14:textId="48D4FDFA" w:rsidR="006D7106" w:rsidRPr="0029160A" w:rsidRDefault="0029711F" w:rsidP="006D7106">
      <w:pPr>
        <w:spacing w:line="276" w:lineRule="auto"/>
        <w:jc w:val="both"/>
        <w:rPr>
          <w:rFonts w:ascii="Arial" w:hAnsi="Arial" w:cs="Arial"/>
          <w:lang w:val="en-GB"/>
        </w:rPr>
      </w:pPr>
      <w:r w:rsidRPr="0029160A">
        <w:rPr>
          <w:rFonts w:ascii="Arial" w:hAnsi="Arial" w:cs="Arial"/>
        </w:rPr>
        <w:t xml:space="preserve">PD is growing worldwide, mainly because people live longer. </w:t>
      </w:r>
      <w:r w:rsidR="006D7106" w:rsidRPr="0029160A">
        <w:rPr>
          <w:rFonts w:ascii="Arial" w:hAnsi="Arial" w:cs="Arial"/>
          <w:lang w:val="en-GB"/>
        </w:rPr>
        <w:t xml:space="preserve">The risk for an individual in the UK appears to be steady, but the number of people with PD will continue to increase. The impact of PD is on the body, mind, work, relationships and whole families. The evidence suggests there are three key areas of weakness: fragmentation of care, overstretched carers and too little, too late palliative care. National policy promotes the joined up and personalised approach to care, however implementation requires local funding and leadership. These gaps could be filled by a combination of the </w:t>
      </w:r>
      <w:r w:rsidR="0042724E" w:rsidRPr="0029160A">
        <w:rPr>
          <w:rFonts w:ascii="Arial" w:hAnsi="Arial" w:cs="Arial"/>
          <w:lang w:val="en-GB"/>
        </w:rPr>
        <w:t>person-centred</w:t>
      </w:r>
      <w:r w:rsidR="006D7106" w:rsidRPr="0029160A">
        <w:rPr>
          <w:rFonts w:ascii="Arial" w:hAnsi="Arial" w:cs="Arial"/>
          <w:lang w:val="en-GB"/>
        </w:rPr>
        <w:t xml:space="preserve"> House of Care and the specialist networks used like those in ParkinsonNet. Further research is required in the UK settings of self-management and integrated care.</w:t>
      </w:r>
    </w:p>
    <w:p w14:paraId="67CC54E6" w14:textId="77777777" w:rsidR="006E6463" w:rsidRPr="00E34841" w:rsidRDefault="006E6463" w:rsidP="009E499B">
      <w:pPr>
        <w:spacing w:line="276" w:lineRule="auto"/>
        <w:jc w:val="both"/>
        <w:rPr>
          <w:rFonts w:ascii="Arial" w:hAnsi="Arial" w:cs="Arial"/>
          <w:b/>
          <w:bCs/>
          <w:sz w:val="24"/>
          <w:szCs w:val="24"/>
        </w:rPr>
      </w:pPr>
    </w:p>
    <w:p w14:paraId="2844956C" w14:textId="54CF8EA7" w:rsidR="0029711F" w:rsidRPr="005C1DB6" w:rsidRDefault="00A81736" w:rsidP="005C1DB6">
      <w:pPr>
        <w:rPr>
          <w:rFonts w:ascii="Arial" w:eastAsiaTheme="majorEastAsia" w:hAnsi="Arial" w:cs="Arial"/>
          <w:b/>
          <w:bCs/>
          <w:sz w:val="24"/>
          <w:szCs w:val="24"/>
        </w:rPr>
      </w:pPr>
      <w:r w:rsidRPr="00E34841">
        <w:rPr>
          <w:rFonts w:cs="Arial"/>
          <w:szCs w:val="24"/>
        </w:rPr>
        <w:br w:type="page"/>
      </w:r>
      <w:bookmarkStart w:id="21" w:name="_Toc243648029"/>
      <w:r w:rsidR="0029711F" w:rsidRPr="005C1DB6">
        <w:rPr>
          <w:rFonts w:cs="Arial"/>
          <w:b/>
          <w:bCs/>
          <w:sz w:val="24"/>
          <w:szCs w:val="24"/>
        </w:rPr>
        <w:lastRenderedPageBreak/>
        <w:t>References</w:t>
      </w:r>
      <w:bookmarkEnd w:id="21"/>
      <w:r w:rsidR="005C1DB6">
        <w:rPr>
          <w:rFonts w:cs="Arial"/>
          <w:b/>
          <w:bCs/>
          <w:sz w:val="24"/>
          <w:szCs w:val="24"/>
        </w:rPr>
        <w:t>.</w:t>
      </w:r>
    </w:p>
    <w:p w14:paraId="6A2514DE" w14:textId="563F7BAB"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Alderwick, H. (2025) 'Government's </w:t>
      </w:r>
      <w:r w:rsidR="0029160A" w:rsidRPr="00E34841">
        <w:rPr>
          <w:rFonts w:ascii="Arial" w:hAnsi="Arial" w:cs="Arial"/>
          <w:sz w:val="24"/>
          <w:szCs w:val="24"/>
        </w:rPr>
        <w:t>10-year</w:t>
      </w:r>
      <w:r w:rsidRPr="00E34841">
        <w:rPr>
          <w:rFonts w:ascii="Arial" w:hAnsi="Arial" w:cs="Arial"/>
          <w:sz w:val="24"/>
          <w:szCs w:val="24"/>
        </w:rPr>
        <w:t xml:space="preserve"> plan for the NHS in England', </w:t>
      </w:r>
      <w:r w:rsidRPr="00E34841">
        <w:rPr>
          <w:rFonts w:ascii="Arial" w:hAnsi="Arial" w:cs="Arial"/>
          <w:i/>
          <w:sz w:val="24"/>
          <w:szCs w:val="24"/>
        </w:rPr>
        <w:t>BMJ</w:t>
      </w:r>
      <w:r w:rsidRPr="00E34841">
        <w:rPr>
          <w:rFonts w:ascii="Arial" w:hAnsi="Arial" w:cs="Arial"/>
          <w:sz w:val="24"/>
          <w:szCs w:val="24"/>
        </w:rPr>
        <w:t>, 390.</w:t>
      </w:r>
    </w:p>
    <w:p w14:paraId="2B9E712D"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Barnes, D., Boland, B., Linhart, K. and Wilson, K. (2017) 'Personalisation and social care assessment – the Care Act 2014', </w:t>
      </w:r>
      <w:r w:rsidRPr="00E34841">
        <w:rPr>
          <w:rFonts w:ascii="Arial" w:hAnsi="Arial" w:cs="Arial"/>
          <w:i/>
          <w:sz w:val="24"/>
          <w:szCs w:val="24"/>
        </w:rPr>
        <w:t>BJPsych Bulletin</w:t>
      </w:r>
      <w:r w:rsidRPr="00E34841">
        <w:rPr>
          <w:rFonts w:ascii="Arial" w:hAnsi="Arial" w:cs="Arial"/>
          <w:sz w:val="24"/>
          <w:szCs w:val="24"/>
        </w:rPr>
        <w:t>, 41(3), pp. 176–180.</w:t>
      </w:r>
    </w:p>
    <w:p w14:paraId="78688DBB"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Bloem, B.R. et al. </w:t>
      </w:r>
      <w:r w:rsidRPr="00E34841">
        <w:rPr>
          <w:rFonts w:ascii="Arial" w:hAnsi="Arial" w:cs="Arial"/>
          <w:sz w:val="24"/>
          <w:szCs w:val="24"/>
        </w:rPr>
        <w:t xml:space="preserve">(2017) 'ParkinsonNet: a low-cost health care innovation with a systems approach from the Netherlands', </w:t>
      </w:r>
      <w:r w:rsidRPr="00E34841">
        <w:rPr>
          <w:rFonts w:ascii="Arial" w:hAnsi="Arial" w:cs="Arial"/>
          <w:i/>
          <w:sz w:val="24"/>
          <w:szCs w:val="24"/>
        </w:rPr>
        <w:t>Health Affairs</w:t>
      </w:r>
      <w:r w:rsidRPr="00E34841">
        <w:rPr>
          <w:rFonts w:ascii="Arial" w:hAnsi="Arial" w:cs="Arial"/>
          <w:sz w:val="24"/>
          <w:szCs w:val="24"/>
        </w:rPr>
        <w:t>, 36(11), pp. 1987–1996.</w:t>
      </w:r>
    </w:p>
    <w:p w14:paraId="5E123C96"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Chen, Y. et al. (2021) 'Non-genetic risk factors for Parkinson's disease: an overview of 46 systematic reviews', </w:t>
      </w:r>
      <w:r w:rsidRPr="00E34841">
        <w:rPr>
          <w:rFonts w:ascii="Arial" w:hAnsi="Arial" w:cs="Arial"/>
          <w:i/>
          <w:sz w:val="24"/>
          <w:szCs w:val="24"/>
        </w:rPr>
        <w:t>Journal of Parkinson's Disease</w:t>
      </w:r>
      <w:r w:rsidRPr="00E34841">
        <w:rPr>
          <w:rFonts w:ascii="Arial" w:hAnsi="Arial" w:cs="Arial"/>
          <w:sz w:val="24"/>
          <w:szCs w:val="24"/>
        </w:rPr>
        <w:t>, 11(3), pp. 919–935.</w:t>
      </w:r>
    </w:p>
    <w:p w14:paraId="7CAB37DB"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Chendo, I. et al. (2022) 'Frequency of depressive disorders in Parkinson's disease: a systematic review and meta-analysis', </w:t>
      </w:r>
      <w:r w:rsidRPr="00E34841">
        <w:rPr>
          <w:rFonts w:ascii="Arial" w:hAnsi="Arial" w:cs="Arial"/>
          <w:i/>
          <w:sz w:val="24"/>
          <w:szCs w:val="24"/>
        </w:rPr>
        <w:t>Journal of Parkinson's Disease</w:t>
      </w:r>
      <w:r w:rsidRPr="00E34841">
        <w:rPr>
          <w:rFonts w:ascii="Arial" w:hAnsi="Arial" w:cs="Arial"/>
          <w:sz w:val="24"/>
          <w:szCs w:val="24"/>
        </w:rPr>
        <w:t>, 12(5), pp. 1409–1418.</w:t>
      </w:r>
    </w:p>
    <w:p w14:paraId="4F8AC5F1"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Clarke, C. et al. (2023) '15-year effects of initiating treatment for Parkinson's disease with dopamine agonists or monoamine oxidase B inhibitors compared with levodopa: final results of PD MED early disease randomisation' [Conference abstract], </w:t>
      </w:r>
      <w:r w:rsidRPr="00E34841">
        <w:rPr>
          <w:rFonts w:ascii="Arial" w:hAnsi="Arial" w:cs="Arial"/>
          <w:i/>
          <w:sz w:val="24"/>
          <w:szCs w:val="24"/>
        </w:rPr>
        <w:t>Movement Disorders</w:t>
      </w:r>
      <w:r w:rsidRPr="00E34841">
        <w:rPr>
          <w:rFonts w:ascii="Arial" w:hAnsi="Arial" w:cs="Arial"/>
          <w:sz w:val="24"/>
          <w:szCs w:val="24"/>
        </w:rPr>
        <w:t>, 38(Suppl. 1).</w:t>
      </w:r>
    </w:p>
    <w:p w14:paraId="19D89248"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Collett, J. et al. (2023) 'Lost employment potential and supporting people with Parkinson's to stay in work: insights from a pan European cross-sectional survey', </w:t>
      </w:r>
      <w:r w:rsidRPr="00E34841">
        <w:rPr>
          <w:rFonts w:ascii="Arial" w:hAnsi="Arial" w:cs="Arial"/>
          <w:i/>
          <w:sz w:val="24"/>
          <w:szCs w:val="24"/>
        </w:rPr>
        <w:t>Disability and Rehabilitation</w:t>
      </w:r>
      <w:r w:rsidRPr="00E34841">
        <w:rPr>
          <w:rFonts w:ascii="Arial" w:hAnsi="Arial" w:cs="Arial"/>
          <w:sz w:val="24"/>
          <w:szCs w:val="24"/>
        </w:rPr>
        <w:t>, 45(5). doi:10.1080/09638288.2022.2043460.</w:t>
      </w:r>
    </w:p>
    <w:p w14:paraId="2470A4EE"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Corrado, J. et al. (2020) 'Get Parkinson's medications on time: the Leeds QI project', </w:t>
      </w:r>
      <w:r w:rsidRPr="00E34841">
        <w:rPr>
          <w:rFonts w:ascii="Arial" w:hAnsi="Arial" w:cs="Arial"/>
          <w:i/>
          <w:sz w:val="24"/>
          <w:szCs w:val="24"/>
        </w:rPr>
        <w:t>Age and Ageing</w:t>
      </w:r>
      <w:r w:rsidRPr="00E34841">
        <w:rPr>
          <w:rFonts w:ascii="Arial" w:hAnsi="Arial" w:cs="Arial"/>
          <w:sz w:val="24"/>
          <w:szCs w:val="24"/>
        </w:rPr>
        <w:t>, 49(5), pp. 865–872.</w:t>
      </w:r>
    </w:p>
    <w:p w14:paraId="107410F6"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Crooks, S. et al. (2025) 'Exploring the stigma experienced by people affected by Parkinson's disease: a systematic review', </w:t>
      </w:r>
      <w:r w:rsidRPr="00E34841">
        <w:rPr>
          <w:rFonts w:ascii="Arial" w:hAnsi="Arial" w:cs="Arial"/>
          <w:i/>
          <w:sz w:val="24"/>
          <w:szCs w:val="24"/>
        </w:rPr>
        <w:t>BMC Public Health</w:t>
      </w:r>
      <w:r w:rsidRPr="00E34841">
        <w:rPr>
          <w:rFonts w:ascii="Arial" w:hAnsi="Arial" w:cs="Arial"/>
          <w:sz w:val="24"/>
          <w:szCs w:val="24"/>
        </w:rPr>
        <w:t>, 25(1), p. 25.</w:t>
      </w:r>
    </w:p>
    <w:p w14:paraId="56C91346" w14:textId="0AAE0130" w:rsidR="00A81736" w:rsidRPr="00E34841" w:rsidRDefault="00A81736"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Cabo, Javier &amp; Ramírez Uceda, José &amp; Muiños, Verónica &amp; Lopez, Javier &amp; De Castro Lozano, Carlos. (2018). Ubiquitous Computing and Its Applications in </w:t>
      </w:r>
      <w:r w:rsidR="0029160A" w:rsidRPr="00E34841">
        <w:rPr>
          <w:rFonts w:ascii="Arial" w:hAnsi="Arial" w:cs="Arial"/>
          <w:sz w:val="24"/>
          <w:szCs w:val="24"/>
        </w:rPr>
        <w:t>Disease</w:t>
      </w:r>
      <w:r w:rsidRPr="00E34841">
        <w:rPr>
          <w:rFonts w:ascii="Arial" w:hAnsi="Arial" w:cs="Arial"/>
          <w:sz w:val="24"/>
          <w:szCs w:val="24"/>
        </w:rPr>
        <w:t xml:space="preserve"> Management in a Ubiquitous City. Journal of Computer and Communications. 06. 19-42. 10.4236/jcc.2018.63002.</w:t>
      </w:r>
    </w:p>
    <w:p w14:paraId="76A4C860" w14:textId="25099487" w:rsidR="00E34841" w:rsidRPr="00E34841" w:rsidRDefault="00E34841" w:rsidP="002B4217">
      <w:pPr>
        <w:spacing w:line="240" w:lineRule="auto"/>
        <w:ind w:left="720" w:hanging="720"/>
        <w:jc w:val="both"/>
        <w:rPr>
          <w:rFonts w:ascii="Arial" w:hAnsi="Arial" w:cs="Arial"/>
          <w:sz w:val="24"/>
          <w:szCs w:val="24"/>
        </w:rPr>
      </w:pPr>
      <w:r w:rsidRPr="00E34841">
        <w:rPr>
          <w:rFonts w:ascii="Arial" w:hAnsi="Arial" w:cs="Arial"/>
          <w:sz w:val="24"/>
          <w:szCs w:val="24"/>
        </w:rPr>
        <w:t>Chouhan, Anand &amp; Kumar, Sumit &amp; Rathore, Meena &amp; Kumar, Hemant &amp; Saxsena, Manshi. (2025). The role of the lymphatic system in brain clearance mechanisms implications for neurodegenerative disorders. Indian Journal of Clinical Anatomy and Physiology. 11. 205-210. 10.18231/j.ijcap.2024.044.</w:t>
      </w:r>
    </w:p>
    <w:p w14:paraId="4FBB6051"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da Silva, P.H.P. et al. (2026) 'Revisiting the association of pesticide exposure and Parkinson's disease: systematic review and meta-analysis', </w:t>
      </w:r>
      <w:r w:rsidRPr="00E34841">
        <w:rPr>
          <w:rFonts w:ascii="Arial" w:hAnsi="Arial" w:cs="Arial"/>
          <w:i/>
          <w:sz w:val="24"/>
          <w:szCs w:val="24"/>
        </w:rPr>
        <w:t>Environmental Toxicology</w:t>
      </w:r>
      <w:r w:rsidRPr="00E34841">
        <w:rPr>
          <w:rFonts w:ascii="Arial" w:hAnsi="Arial" w:cs="Arial"/>
          <w:sz w:val="24"/>
          <w:szCs w:val="24"/>
        </w:rPr>
        <w:t>.</w:t>
      </w:r>
    </w:p>
    <w:p w14:paraId="626AF10B"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Dorsey, E.R. et al. (2018) 'Global, regional, and national burden of Parkinson's disease, 1990–2016: a systematic analysis for the Global Burden of Disease Study 2016', </w:t>
      </w:r>
      <w:r w:rsidRPr="00E34841">
        <w:rPr>
          <w:rFonts w:ascii="Arial" w:hAnsi="Arial" w:cs="Arial"/>
          <w:i/>
          <w:sz w:val="24"/>
          <w:szCs w:val="24"/>
        </w:rPr>
        <w:t>The Lancet Neurology</w:t>
      </w:r>
      <w:r w:rsidRPr="00E34841">
        <w:rPr>
          <w:rFonts w:ascii="Arial" w:hAnsi="Arial" w:cs="Arial"/>
          <w:sz w:val="24"/>
          <w:szCs w:val="24"/>
        </w:rPr>
        <w:t>, 17(11), pp. 939–953.</w:t>
      </w:r>
    </w:p>
    <w:p w14:paraId="3BAE293C"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Dunn, P., Fraser, C., Williamson, S. and Alderwick, H. (2022) </w:t>
      </w:r>
      <w:r w:rsidRPr="00E34841">
        <w:rPr>
          <w:rFonts w:ascii="Arial" w:hAnsi="Arial" w:cs="Arial"/>
          <w:i/>
          <w:sz w:val="24"/>
          <w:szCs w:val="24"/>
        </w:rPr>
        <w:t>Integrated care systems: what do they look like?</w:t>
      </w:r>
      <w:r w:rsidRPr="00E34841">
        <w:rPr>
          <w:rFonts w:ascii="Arial" w:hAnsi="Arial" w:cs="Arial"/>
          <w:sz w:val="24"/>
          <w:szCs w:val="24"/>
        </w:rPr>
        <w:t xml:space="preserve"> London: The Health Foundation.</w:t>
      </w:r>
    </w:p>
    <w:p w14:paraId="2370AE67"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lastRenderedPageBreak/>
        <w:t xml:space="preserve">ffytche, D.H. et al. (2017) 'Risk factors for early psychosis in PD: insights from the Parkinson's Progression Markers Initiative', </w:t>
      </w:r>
      <w:r w:rsidRPr="00E34841">
        <w:rPr>
          <w:rFonts w:ascii="Arial" w:hAnsi="Arial" w:cs="Arial"/>
          <w:i/>
          <w:sz w:val="24"/>
          <w:szCs w:val="24"/>
        </w:rPr>
        <w:t>Journal of Neurology, Neurosurgery &amp; Psychiatry</w:t>
      </w:r>
      <w:r w:rsidRPr="00E34841">
        <w:rPr>
          <w:rFonts w:ascii="Arial" w:hAnsi="Arial" w:cs="Arial"/>
          <w:sz w:val="24"/>
          <w:szCs w:val="24"/>
        </w:rPr>
        <w:t>, 88(4), pp. 325–331.</w:t>
      </w:r>
    </w:p>
    <w:p w14:paraId="34DF6376"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Fuller, P. et al. (2026) 'REMOTE-Neuro: co-produced recommendations to optimise remote neurology', </w:t>
      </w:r>
      <w:r w:rsidRPr="00E34841">
        <w:rPr>
          <w:rFonts w:ascii="Arial" w:hAnsi="Arial" w:cs="Arial"/>
          <w:i/>
          <w:sz w:val="24"/>
          <w:szCs w:val="24"/>
        </w:rPr>
        <w:t>BMJ Neurology Open</w:t>
      </w:r>
      <w:r w:rsidRPr="00E34841">
        <w:rPr>
          <w:rFonts w:ascii="Arial" w:hAnsi="Arial" w:cs="Arial"/>
          <w:sz w:val="24"/>
          <w:szCs w:val="24"/>
        </w:rPr>
        <w:t>, 8(1), e001518.</w:t>
      </w:r>
    </w:p>
    <w:p w14:paraId="78F768A0"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Garon, M. et al. (2025) 'Early thinking palliative care for people with Parkinson's disease: a thematic synthesis based on a systematic mixed-methods review', </w:t>
      </w:r>
      <w:r w:rsidRPr="00E34841">
        <w:rPr>
          <w:rFonts w:ascii="Arial" w:hAnsi="Arial" w:cs="Arial"/>
          <w:i/>
          <w:sz w:val="24"/>
          <w:szCs w:val="24"/>
        </w:rPr>
        <w:t>Journal of Parkinson's Disease</w:t>
      </w:r>
      <w:r w:rsidRPr="00E34841">
        <w:rPr>
          <w:rFonts w:ascii="Arial" w:hAnsi="Arial" w:cs="Arial"/>
          <w:sz w:val="24"/>
          <w:szCs w:val="24"/>
        </w:rPr>
        <w:t>, 15(4), pp. 710–758.</w:t>
      </w:r>
    </w:p>
    <w:p w14:paraId="4675BC42"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Goldman, J.G. et al. </w:t>
      </w:r>
      <w:r w:rsidRPr="00E34841">
        <w:rPr>
          <w:rFonts w:ascii="Arial" w:hAnsi="Arial" w:cs="Arial"/>
          <w:sz w:val="24"/>
          <w:szCs w:val="24"/>
        </w:rPr>
        <w:t xml:space="preserve">(2024) 'Delivering multidisciplinary rehabilitation care in Parkinson's disease: an international consensus statement', </w:t>
      </w:r>
      <w:r w:rsidRPr="00E34841">
        <w:rPr>
          <w:rFonts w:ascii="Arial" w:hAnsi="Arial" w:cs="Arial"/>
          <w:i/>
          <w:sz w:val="24"/>
          <w:szCs w:val="24"/>
        </w:rPr>
        <w:t>Journal of Parkinson's Disease</w:t>
      </w:r>
      <w:r w:rsidRPr="00E34841">
        <w:rPr>
          <w:rFonts w:ascii="Arial" w:hAnsi="Arial" w:cs="Arial"/>
          <w:sz w:val="24"/>
          <w:szCs w:val="24"/>
        </w:rPr>
        <w:t>, 14(1), pp. 135–166.</w:t>
      </w:r>
    </w:p>
    <w:p w14:paraId="2DC40CD0"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Johansson, M.E. et al. </w:t>
      </w:r>
      <w:r w:rsidRPr="00E34841">
        <w:rPr>
          <w:rFonts w:ascii="Arial" w:hAnsi="Arial" w:cs="Arial"/>
          <w:sz w:val="24"/>
          <w:szCs w:val="24"/>
        </w:rPr>
        <w:t xml:space="preserve">(2022) 'Aerobic exercise alters brain function and structure in Parkinson's disease: a randomized controlled trial', </w:t>
      </w:r>
      <w:r w:rsidRPr="00E34841">
        <w:rPr>
          <w:rFonts w:ascii="Arial" w:hAnsi="Arial" w:cs="Arial"/>
          <w:i/>
          <w:sz w:val="24"/>
          <w:szCs w:val="24"/>
        </w:rPr>
        <w:t>Annals of Neurology</w:t>
      </w:r>
      <w:r w:rsidRPr="00E34841">
        <w:rPr>
          <w:rFonts w:ascii="Arial" w:hAnsi="Arial" w:cs="Arial"/>
          <w:sz w:val="24"/>
          <w:szCs w:val="24"/>
        </w:rPr>
        <w:t>, 91(2), pp. 203–216.</w:t>
      </w:r>
    </w:p>
    <w:p w14:paraId="552C636C"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Johnson, L. et al. (2023) 'Improving personalised care, through the development of a service evaluation tool to assess, understand and monitor delivery', </w:t>
      </w:r>
      <w:r w:rsidRPr="00E34841">
        <w:rPr>
          <w:rFonts w:ascii="Arial" w:hAnsi="Arial" w:cs="Arial"/>
          <w:i/>
          <w:sz w:val="24"/>
          <w:szCs w:val="24"/>
        </w:rPr>
        <w:t>BMJ Open Quality</w:t>
      </w:r>
      <w:r w:rsidRPr="00E34841">
        <w:rPr>
          <w:rFonts w:ascii="Arial" w:hAnsi="Arial" w:cs="Arial"/>
          <w:sz w:val="24"/>
          <w:szCs w:val="24"/>
        </w:rPr>
        <w:t>, 12(3), e002324.</w:t>
      </w:r>
    </w:p>
    <w:p w14:paraId="22EF1A9A"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Kehagia, A.A. et al. </w:t>
      </w:r>
      <w:r w:rsidRPr="00E34841">
        <w:rPr>
          <w:rFonts w:ascii="Arial" w:hAnsi="Arial" w:cs="Arial"/>
          <w:sz w:val="24"/>
          <w:szCs w:val="24"/>
        </w:rPr>
        <w:t xml:space="preserve">(2024) 'Real-world evaluation of the feasibility, acceptability and safety of a remote, self-management Parkinson's disease care pathway: a healthcare improvement initiative', </w:t>
      </w:r>
      <w:r w:rsidRPr="00E34841">
        <w:rPr>
          <w:rFonts w:ascii="Arial" w:hAnsi="Arial" w:cs="Arial"/>
          <w:i/>
          <w:sz w:val="24"/>
          <w:szCs w:val="24"/>
        </w:rPr>
        <w:t>Journal of Parkinson's Disease</w:t>
      </w:r>
      <w:r w:rsidRPr="00E34841">
        <w:rPr>
          <w:rFonts w:ascii="Arial" w:hAnsi="Arial" w:cs="Arial"/>
          <w:sz w:val="24"/>
          <w:szCs w:val="24"/>
        </w:rPr>
        <w:t>, 14(1), pp. 197–208.</w:t>
      </w:r>
    </w:p>
    <w:p w14:paraId="21151017"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Limousin, P. and Foltynie, T. (2019) 'Long-term outcomes of deep brain stimulation in Parkinson disease', </w:t>
      </w:r>
      <w:r w:rsidRPr="00E34841">
        <w:rPr>
          <w:rFonts w:ascii="Arial" w:hAnsi="Arial" w:cs="Arial"/>
          <w:i/>
          <w:sz w:val="24"/>
          <w:szCs w:val="24"/>
        </w:rPr>
        <w:t>Nature Reviews Neurology</w:t>
      </w:r>
      <w:r w:rsidRPr="00E34841">
        <w:rPr>
          <w:rFonts w:ascii="Arial" w:hAnsi="Arial" w:cs="Arial"/>
          <w:sz w:val="24"/>
          <w:szCs w:val="24"/>
        </w:rPr>
        <w:t>, 15(4), pp. 234–242.</w:t>
      </w:r>
    </w:p>
    <w:p w14:paraId="4016FBC0"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Lubomski, M., Davis, R.L. and Sue, C.M. (2021) 'Cognitive influences in Parkinson's disease patients and their caregivers: perspectives from an Australian cohort', </w:t>
      </w:r>
      <w:r w:rsidRPr="00E34841">
        <w:rPr>
          <w:rFonts w:ascii="Arial" w:hAnsi="Arial" w:cs="Arial"/>
          <w:i/>
          <w:sz w:val="24"/>
          <w:szCs w:val="24"/>
        </w:rPr>
        <w:t>Frontiers in Neurology</w:t>
      </w:r>
      <w:r w:rsidRPr="00E34841">
        <w:rPr>
          <w:rFonts w:ascii="Arial" w:hAnsi="Arial" w:cs="Arial"/>
          <w:sz w:val="24"/>
          <w:szCs w:val="24"/>
        </w:rPr>
        <w:t>, 12, 673816.</w:t>
      </w:r>
    </w:p>
    <w:p w14:paraId="4CC4D3D5"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Morimoto, R. et al. (2023) 'Associations between non-motor symptoms and patient characteristics in Parkinson's disease: a multicenter cross-sectional study', </w:t>
      </w:r>
      <w:r w:rsidRPr="00E34841">
        <w:rPr>
          <w:rFonts w:ascii="Arial" w:hAnsi="Arial" w:cs="Arial"/>
          <w:i/>
          <w:sz w:val="24"/>
          <w:szCs w:val="24"/>
        </w:rPr>
        <w:t>Frontiers in Aging Neuroscience</w:t>
      </w:r>
      <w:r w:rsidRPr="00E34841">
        <w:rPr>
          <w:rFonts w:ascii="Arial" w:hAnsi="Arial" w:cs="Arial"/>
          <w:sz w:val="24"/>
          <w:szCs w:val="24"/>
        </w:rPr>
        <w:t>, 15, 1252596.</w:t>
      </w:r>
    </w:p>
    <w:p w14:paraId="35FF7F7A"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Murueta-Goyena, A., Muiño, O. and Gómez-Esteban, J.C. (2024) 'Prognostic factors for falls in Parkinson's disease: a systematic review', </w:t>
      </w:r>
      <w:r w:rsidRPr="00E34841">
        <w:rPr>
          <w:rFonts w:ascii="Arial" w:hAnsi="Arial" w:cs="Arial"/>
          <w:i/>
          <w:sz w:val="24"/>
          <w:szCs w:val="24"/>
        </w:rPr>
        <w:t>Acta Neurologica Belgica</w:t>
      </w:r>
      <w:r w:rsidRPr="00E34841">
        <w:rPr>
          <w:rFonts w:ascii="Arial" w:hAnsi="Arial" w:cs="Arial"/>
          <w:sz w:val="24"/>
          <w:szCs w:val="24"/>
        </w:rPr>
        <w:t>, 124, pp. 395–406.</w:t>
      </w:r>
    </w:p>
    <w:p w14:paraId="1DE7242C" w14:textId="3F15C1B6" w:rsidR="008D0B22" w:rsidRPr="00E34841" w:rsidRDefault="008D0B22"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NHS (2022) </w:t>
      </w:r>
      <w:r w:rsidRPr="00E34841">
        <w:rPr>
          <w:rFonts w:ascii="Arial" w:hAnsi="Arial" w:cs="Arial"/>
          <w:i/>
          <w:iCs/>
          <w:sz w:val="24"/>
          <w:szCs w:val="24"/>
        </w:rPr>
        <w:t>Parkinson’s disease – Overview</w:t>
      </w:r>
      <w:r w:rsidRPr="00E34841">
        <w:rPr>
          <w:rFonts w:ascii="Arial" w:hAnsi="Arial" w:cs="Arial"/>
          <w:sz w:val="24"/>
          <w:szCs w:val="24"/>
        </w:rPr>
        <w:t xml:space="preserve">. Available at: </w:t>
      </w:r>
      <w:hyperlink r:id="rId12" w:history="1">
        <w:r w:rsidRPr="00E34841">
          <w:rPr>
            <w:rStyle w:val="Hyperlink"/>
            <w:rFonts w:ascii="Arial" w:hAnsi="Arial" w:cs="Arial"/>
            <w:color w:val="auto"/>
            <w:sz w:val="24"/>
            <w:szCs w:val="24"/>
          </w:rPr>
          <w:t>https://www.nhs.uk/conditions/parkinsons-disease/</w:t>
        </w:r>
      </w:hyperlink>
      <w:r w:rsidRPr="00E34841">
        <w:rPr>
          <w:rFonts w:ascii="Arial" w:hAnsi="Arial" w:cs="Arial"/>
          <w:sz w:val="24"/>
          <w:szCs w:val="24"/>
        </w:rPr>
        <w:t xml:space="preserve"> (Accessed: 23 October 2026).</w:t>
      </w:r>
    </w:p>
    <w:p w14:paraId="25CA30C8"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Okunoye, O., Marston, L., Walters, K. and Schrag, A. (2022) 'Change in the incidence of Parkinson's disease in a large UK primary care database', </w:t>
      </w:r>
      <w:r w:rsidRPr="00E34841">
        <w:rPr>
          <w:rFonts w:ascii="Arial" w:hAnsi="Arial" w:cs="Arial"/>
          <w:i/>
          <w:sz w:val="24"/>
          <w:szCs w:val="24"/>
        </w:rPr>
        <w:t>npj Parkinson's Disease</w:t>
      </w:r>
      <w:r w:rsidRPr="00E34841">
        <w:rPr>
          <w:rFonts w:ascii="Arial" w:hAnsi="Arial" w:cs="Arial"/>
          <w:sz w:val="24"/>
          <w:szCs w:val="24"/>
        </w:rPr>
        <w:t>, 8(1), p. 23.</w:t>
      </w:r>
    </w:p>
    <w:p w14:paraId="58BE2ABE"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Oliver, D. and Veronese, S. (2020) 'Specialist palliative care for Parkinson's disease', </w:t>
      </w:r>
      <w:r w:rsidRPr="00E34841">
        <w:rPr>
          <w:rFonts w:ascii="Arial" w:hAnsi="Arial" w:cs="Arial"/>
          <w:i/>
          <w:sz w:val="24"/>
          <w:szCs w:val="24"/>
        </w:rPr>
        <w:t>Annals of Palliative Medicine</w:t>
      </w:r>
      <w:r w:rsidRPr="00E34841">
        <w:rPr>
          <w:rFonts w:ascii="Arial" w:hAnsi="Arial" w:cs="Arial"/>
          <w:sz w:val="24"/>
          <w:szCs w:val="24"/>
        </w:rPr>
        <w:t>, 9(Suppl 1), pp. S52–S62.</w:t>
      </w:r>
    </w:p>
    <w:p w14:paraId="127A9CCF"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lastRenderedPageBreak/>
        <w:t xml:space="preserve">Patel, P., Thomas, C. and Quilter-Pinner, H. (2021) </w:t>
      </w:r>
      <w:r w:rsidRPr="00E34841">
        <w:rPr>
          <w:rFonts w:ascii="Arial" w:hAnsi="Arial" w:cs="Arial"/>
          <w:i/>
          <w:sz w:val="24"/>
          <w:szCs w:val="24"/>
        </w:rPr>
        <w:t>State of health and care: the NHS Long Term Plan after COVID-19</w:t>
      </w:r>
      <w:r w:rsidRPr="00E34841">
        <w:rPr>
          <w:rFonts w:ascii="Arial" w:hAnsi="Arial" w:cs="Arial"/>
          <w:sz w:val="24"/>
          <w:szCs w:val="24"/>
        </w:rPr>
        <w:t>. London: Institute for Public Policy Research.</w:t>
      </w:r>
    </w:p>
    <w:p w14:paraId="04DE6641"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Pigott, J.S., Kane, E.J., Ambler, G., Walters, K. and Schrag, A. (2022) 'Systematic review and meta-analysis of clinical effectiveness of self-management interventions in Parkinson's disease', </w:t>
      </w:r>
      <w:r w:rsidRPr="00E34841">
        <w:rPr>
          <w:rFonts w:ascii="Arial" w:hAnsi="Arial" w:cs="Arial"/>
          <w:i/>
          <w:sz w:val="24"/>
          <w:szCs w:val="24"/>
        </w:rPr>
        <w:t>BMC Geriatrics</w:t>
      </w:r>
      <w:r w:rsidRPr="00E34841">
        <w:rPr>
          <w:rFonts w:ascii="Arial" w:hAnsi="Arial" w:cs="Arial"/>
          <w:sz w:val="24"/>
          <w:szCs w:val="24"/>
        </w:rPr>
        <w:t>, 22(1), p. 45.</w:t>
      </w:r>
    </w:p>
    <w:p w14:paraId="63056FCD"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Pirtošek, Z. (2024) 'Breaking barriers in Parkinson's care: the multidisciplinary team approach', </w:t>
      </w:r>
      <w:r w:rsidRPr="00E34841">
        <w:rPr>
          <w:rFonts w:ascii="Arial" w:hAnsi="Arial" w:cs="Arial"/>
          <w:i/>
          <w:sz w:val="24"/>
          <w:szCs w:val="24"/>
        </w:rPr>
        <w:t>Journal of Neural Transmission</w:t>
      </w:r>
      <w:r w:rsidRPr="00E34841">
        <w:rPr>
          <w:rFonts w:ascii="Arial" w:hAnsi="Arial" w:cs="Arial"/>
          <w:sz w:val="24"/>
          <w:szCs w:val="24"/>
        </w:rPr>
        <w:t>, 131(11), pp. 1349–1361.</w:t>
      </w:r>
    </w:p>
    <w:p w14:paraId="629F0168"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Postuma, R.B. et al. </w:t>
      </w:r>
      <w:r w:rsidRPr="00E34841">
        <w:rPr>
          <w:rFonts w:ascii="Arial" w:hAnsi="Arial" w:cs="Arial"/>
          <w:sz w:val="24"/>
          <w:szCs w:val="24"/>
        </w:rPr>
        <w:t xml:space="preserve">(2018) 'Validation of the MDS clinical diagnostic criteria for Parkinson's disease', </w:t>
      </w:r>
      <w:r w:rsidRPr="00E34841">
        <w:rPr>
          <w:rFonts w:ascii="Arial" w:hAnsi="Arial" w:cs="Arial"/>
          <w:i/>
          <w:sz w:val="24"/>
          <w:szCs w:val="24"/>
        </w:rPr>
        <w:t>Movement Disorders</w:t>
      </w:r>
      <w:r w:rsidRPr="00E34841">
        <w:rPr>
          <w:rFonts w:ascii="Arial" w:hAnsi="Arial" w:cs="Arial"/>
          <w:sz w:val="24"/>
          <w:szCs w:val="24"/>
        </w:rPr>
        <w:t>, 33(10), pp. 1601–1608.</w:t>
      </w:r>
    </w:p>
    <w:p w14:paraId="0905EF3E"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Prell, T., Schönenberg, A. and Heimrich, K.G. (2023) 'The impact of loneliness on quality of life in people with Parkinson's disease: results from the Survey of Health, Ageing and Retirement in Europe', </w:t>
      </w:r>
      <w:r w:rsidRPr="00E34841">
        <w:rPr>
          <w:rFonts w:ascii="Arial" w:hAnsi="Arial" w:cs="Arial"/>
          <w:i/>
          <w:sz w:val="24"/>
          <w:szCs w:val="24"/>
        </w:rPr>
        <w:t>Frontiers in Medicine</w:t>
      </w:r>
      <w:r w:rsidRPr="00E34841">
        <w:rPr>
          <w:rFonts w:ascii="Arial" w:hAnsi="Arial" w:cs="Arial"/>
          <w:sz w:val="24"/>
          <w:szCs w:val="24"/>
        </w:rPr>
        <w:t>, 10, 1183289.</w:t>
      </w:r>
    </w:p>
    <w:p w14:paraId="43B7C5AF"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Radder, D.L. et al. (2020) 'Recommendations for the organization of multidisciplinary clinical care teams in Parkinson's disease', </w:t>
      </w:r>
      <w:r w:rsidRPr="00E34841">
        <w:rPr>
          <w:rFonts w:ascii="Arial" w:hAnsi="Arial" w:cs="Arial"/>
          <w:i/>
          <w:sz w:val="24"/>
          <w:szCs w:val="24"/>
        </w:rPr>
        <w:t>Journal of Parkinson's Disease</w:t>
      </w:r>
      <w:r w:rsidRPr="00E34841">
        <w:rPr>
          <w:rFonts w:ascii="Arial" w:hAnsi="Arial" w:cs="Arial"/>
          <w:sz w:val="24"/>
          <w:szCs w:val="24"/>
        </w:rPr>
        <w:t>, 10(3), pp. 1087–1098.</w:t>
      </w:r>
    </w:p>
    <w:p w14:paraId="7C27B232"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Rajan, R. et al. (2020) 'Integrated care in Parkinson's disease: a systematic review and meta-analysis', </w:t>
      </w:r>
      <w:r w:rsidRPr="00E34841">
        <w:rPr>
          <w:rFonts w:ascii="Arial" w:hAnsi="Arial" w:cs="Arial"/>
          <w:i/>
          <w:sz w:val="24"/>
          <w:szCs w:val="24"/>
        </w:rPr>
        <w:t>Movement Disorders</w:t>
      </w:r>
      <w:r w:rsidRPr="00E34841">
        <w:rPr>
          <w:rFonts w:ascii="Arial" w:hAnsi="Arial" w:cs="Arial"/>
          <w:sz w:val="24"/>
          <w:szCs w:val="24"/>
        </w:rPr>
        <w:t>, 35(9), pp. 1509–1531.</w:t>
      </w:r>
    </w:p>
    <w:p w14:paraId="19EC3063"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Read, J. et al. (2023) 'The lived experience of caregiving and perception of service provision among family-caregivers of people with late-stage Parkinson's: a qualitative study', </w:t>
      </w:r>
      <w:r w:rsidRPr="00E34841">
        <w:rPr>
          <w:rFonts w:ascii="Arial" w:hAnsi="Arial" w:cs="Arial"/>
          <w:i/>
          <w:sz w:val="24"/>
          <w:szCs w:val="24"/>
        </w:rPr>
        <w:t>Parkinson's Disease</w:t>
      </w:r>
      <w:r w:rsidRPr="00E34841">
        <w:rPr>
          <w:rFonts w:ascii="Arial" w:hAnsi="Arial" w:cs="Arial"/>
          <w:sz w:val="24"/>
          <w:szCs w:val="24"/>
        </w:rPr>
        <w:t>, 2023(1), 4483517.</w:t>
      </w:r>
    </w:p>
    <w:p w14:paraId="15090223"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Roberts, S. et al. (2019) 'The Year of Care approach: developing a model and delivery programme for care and support planning in long term conditions within general practice', </w:t>
      </w:r>
      <w:r w:rsidRPr="00E34841">
        <w:rPr>
          <w:rFonts w:ascii="Arial" w:hAnsi="Arial" w:cs="Arial"/>
          <w:i/>
          <w:sz w:val="24"/>
          <w:szCs w:val="24"/>
        </w:rPr>
        <w:t>BMC Family Practice</w:t>
      </w:r>
      <w:r w:rsidRPr="00E34841">
        <w:rPr>
          <w:rFonts w:ascii="Arial" w:hAnsi="Arial" w:cs="Arial"/>
          <w:sz w:val="24"/>
          <w:szCs w:val="24"/>
        </w:rPr>
        <w:t>, 20(1), p. 153.</w:t>
      </w:r>
    </w:p>
    <w:p w14:paraId="15A3A6B9"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Rogers, G., Davies, D., Pink, J. and Cooper, P. (2017) 'Parkinson's disease: summary of updated NICE guidance', </w:t>
      </w:r>
      <w:r w:rsidRPr="00E34841">
        <w:rPr>
          <w:rFonts w:ascii="Arial" w:hAnsi="Arial" w:cs="Arial"/>
          <w:i/>
          <w:sz w:val="24"/>
          <w:szCs w:val="24"/>
        </w:rPr>
        <w:t>BMJ</w:t>
      </w:r>
      <w:r w:rsidRPr="00E34841">
        <w:rPr>
          <w:rFonts w:ascii="Arial" w:hAnsi="Arial" w:cs="Arial"/>
          <w:sz w:val="24"/>
          <w:szCs w:val="24"/>
        </w:rPr>
        <w:t>, 358, j1951.</w:t>
      </w:r>
    </w:p>
    <w:p w14:paraId="423FCEEA"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Rosebraugh, M., Stodtmann, S., Liu, W. and Facheris, M.F. (2022) 'Foslevodopa/foscarbidopa subcutaneous infusion maintains equivalent levodopa exposure to levodopa-carbidopa intestinal gel delivered to the jejunum', </w:t>
      </w:r>
      <w:r w:rsidRPr="00E34841">
        <w:rPr>
          <w:rFonts w:ascii="Arial" w:hAnsi="Arial" w:cs="Arial"/>
          <w:i/>
          <w:sz w:val="24"/>
          <w:szCs w:val="24"/>
        </w:rPr>
        <w:t>Parkinsonism &amp; Related Disorders</w:t>
      </w:r>
      <w:r w:rsidRPr="00E34841">
        <w:rPr>
          <w:rFonts w:ascii="Arial" w:hAnsi="Arial" w:cs="Arial"/>
          <w:sz w:val="24"/>
          <w:szCs w:val="24"/>
        </w:rPr>
        <w:t>, 97, pp. 68–72.</w:t>
      </w:r>
    </w:p>
    <w:p w14:paraId="24F1BA54"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Sokol, L.L. et al. (2019) 'Advance care planning in Parkinson's disease: ethical challenges and future directions', </w:t>
      </w:r>
      <w:r w:rsidRPr="00E34841">
        <w:rPr>
          <w:rFonts w:ascii="Arial" w:hAnsi="Arial" w:cs="Arial"/>
          <w:i/>
          <w:sz w:val="24"/>
          <w:szCs w:val="24"/>
        </w:rPr>
        <w:t>npj Parkinson's Disease</w:t>
      </w:r>
      <w:r w:rsidRPr="00E34841">
        <w:rPr>
          <w:rFonts w:ascii="Arial" w:hAnsi="Arial" w:cs="Arial"/>
          <w:sz w:val="24"/>
          <w:szCs w:val="24"/>
        </w:rPr>
        <w:t>, 5(1), p. 24.</w:t>
      </w:r>
    </w:p>
    <w:p w14:paraId="688601C1"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Su, D. et al. (2025) 'Projections for prevalence of Parkinson's disease and its driving factors in 195 countries and territories to 2050: modelling study of Global Burden of Disease Study 2021', </w:t>
      </w:r>
      <w:r w:rsidRPr="00E34841">
        <w:rPr>
          <w:rFonts w:ascii="Arial" w:hAnsi="Arial" w:cs="Arial"/>
          <w:i/>
          <w:sz w:val="24"/>
          <w:szCs w:val="24"/>
        </w:rPr>
        <w:t>BMJ</w:t>
      </w:r>
      <w:r w:rsidRPr="00E34841">
        <w:rPr>
          <w:rFonts w:ascii="Arial" w:hAnsi="Arial" w:cs="Arial"/>
          <w:sz w:val="24"/>
          <w:szCs w:val="24"/>
        </w:rPr>
        <w:t>, 388.</w:t>
      </w:r>
    </w:p>
    <w:p w14:paraId="77FE2FC3"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Thomsen, T.H. et al. </w:t>
      </w:r>
      <w:r w:rsidRPr="00E34841">
        <w:rPr>
          <w:rFonts w:ascii="Arial" w:hAnsi="Arial" w:cs="Arial"/>
          <w:sz w:val="24"/>
          <w:szCs w:val="24"/>
        </w:rPr>
        <w:t xml:space="preserve">(2025) 'EMPOWER-PD: evaluation of an 8-week co-designed self-management program in people with Parkinson's disease and their caregivers: an intervention study with long-term follow-up', </w:t>
      </w:r>
      <w:r w:rsidRPr="00E34841">
        <w:rPr>
          <w:rFonts w:ascii="Arial" w:hAnsi="Arial" w:cs="Arial"/>
          <w:i/>
          <w:sz w:val="24"/>
          <w:szCs w:val="24"/>
        </w:rPr>
        <w:t>Parkinson's Disease</w:t>
      </w:r>
      <w:r w:rsidRPr="00E34841">
        <w:rPr>
          <w:rFonts w:ascii="Arial" w:hAnsi="Arial" w:cs="Arial"/>
          <w:sz w:val="24"/>
          <w:szCs w:val="24"/>
        </w:rPr>
        <w:t>, 2025(1), 9413261.</w:t>
      </w:r>
    </w:p>
    <w:p w14:paraId="6D7B4632"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lastRenderedPageBreak/>
        <w:t xml:space="preserve">Tompson, A. et al. (2024) 'Assessment and qualitative comparative analysis of English local authority Joint Health and Wellbeing Strategies to improve health under austerity conditions, 2013–2017', </w:t>
      </w:r>
      <w:r w:rsidRPr="00E34841">
        <w:rPr>
          <w:rFonts w:ascii="Arial" w:hAnsi="Arial" w:cs="Arial"/>
          <w:i/>
          <w:sz w:val="24"/>
          <w:szCs w:val="24"/>
        </w:rPr>
        <w:t>Health &amp; Social Care in the Community</w:t>
      </w:r>
      <w:r w:rsidRPr="00E34841">
        <w:rPr>
          <w:rFonts w:ascii="Arial" w:hAnsi="Arial" w:cs="Arial"/>
          <w:sz w:val="24"/>
          <w:szCs w:val="24"/>
        </w:rPr>
        <w:t>, 2024(1), 4764325.</w:t>
      </w:r>
    </w:p>
    <w:p w14:paraId="2D40DDD5"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van den Bergh, R., Bloem, B.R., Meinders, M.J. and Evers, L.J. (2021) 'The state of telemedicine for persons with Parkinson's disease', </w:t>
      </w:r>
      <w:r w:rsidRPr="00E34841">
        <w:rPr>
          <w:rFonts w:ascii="Arial" w:hAnsi="Arial" w:cs="Arial"/>
          <w:i/>
          <w:sz w:val="24"/>
          <w:szCs w:val="24"/>
        </w:rPr>
        <w:t>Current Opinion in Neurology</w:t>
      </w:r>
      <w:r w:rsidRPr="00E34841">
        <w:rPr>
          <w:rFonts w:ascii="Arial" w:hAnsi="Arial" w:cs="Arial"/>
          <w:sz w:val="24"/>
          <w:szCs w:val="24"/>
        </w:rPr>
        <w:t>, 34(4), pp. 589–597.</w:t>
      </w:r>
    </w:p>
    <w:p w14:paraId="2C8AFCFC"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lang w:val="fi-FI"/>
        </w:rPr>
        <w:t xml:space="preserve">van Halteren, A.D. et al. </w:t>
      </w:r>
      <w:r w:rsidRPr="00E34841">
        <w:rPr>
          <w:rFonts w:ascii="Arial" w:hAnsi="Arial" w:cs="Arial"/>
          <w:sz w:val="24"/>
          <w:szCs w:val="24"/>
        </w:rPr>
        <w:t xml:space="preserve">(2020) 'Personalized care management for persons with Parkinson's disease', </w:t>
      </w:r>
      <w:r w:rsidRPr="00E34841">
        <w:rPr>
          <w:rFonts w:ascii="Arial" w:hAnsi="Arial" w:cs="Arial"/>
          <w:i/>
          <w:sz w:val="24"/>
          <w:szCs w:val="24"/>
        </w:rPr>
        <w:t>Journal of Parkinson's Disease</w:t>
      </w:r>
      <w:r w:rsidRPr="00E34841">
        <w:rPr>
          <w:rFonts w:ascii="Arial" w:hAnsi="Arial" w:cs="Arial"/>
          <w:sz w:val="24"/>
          <w:szCs w:val="24"/>
        </w:rPr>
        <w:t>, 10(s1), pp. S11–S20.</w:t>
      </w:r>
    </w:p>
    <w:p w14:paraId="6B1829C2"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Varden, R., Walker, R. and O'Callaghan, A. (2024) 'No trend to rising rates: a review of Parkinson's prevalence studies in the United Kingdom', </w:t>
      </w:r>
      <w:r w:rsidRPr="00E34841">
        <w:rPr>
          <w:rFonts w:ascii="Arial" w:hAnsi="Arial" w:cs="Arial"/>
          <w:i/>
          <w:sz w:val="24"/>
          <w:szCs w:val="24"/>
        </w:rPr>
        <w:t>Parkinsonism &amp; Related Disorders</w:t>
      </w:r>
      <w:r w:rsidRPr="00E34841">
        <w:rPr>
          <w:rFonts w:ascii="Arial" w:hAnsi="Arial" w:cs="Arial"/>
          <w:sz w:val="24"/>
          <w:szCs w:val="24"/>
        </w:rPr>
        <w:t>, 128, p. 107015.</w:t>
      </w:r>
    </w:p>
    <w:p w14:paraId="1906EBFE"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Voon, V. et al. (2017) 'Impulse control disorders and levodopa-induced dyskinesias in Parkinson's disease: an update', </w:t>
      </w:r>
      <w:r w:rsidRPr="00E34841">
        <w:rPr>
          <w:rFonts w:ascii="Arial" w:hAnsi="Arial" w:cs="Arial"/>
          <w:i/>
          <w:sz w:val="24"/>
          <w:szCs w:val="24"/>
        </w:rPr>
        <w:t>The Lancet Neurology</w:t>
      </w:r>
      <w:r w:rsidRPr="00E34841">
        <w:rPr>
          <w:rFonts w:ascii="Arial" w:hAnsi="Arial" w:cs="Arial"/>
          <w:sz w:val="24"/>
          <w:szCs w:val="24"/>
        </w:rPr>
        <w:t>, 16(3), pp. 238–250.</w:t>
      </w:r>
    </w:p>
    <w:p w14:paraId="39983422"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Wee, B. (2016) 'Ambitions for palliative and end-of-life care', </w:t>
      </w:r>
      <w:r w:rsidRPr="00E34841">
        <w:rPr>
          <w:rFonts w:ascii="Arial" w:hAnsi="Arial" w:cs="Arial"/>
          <w:i/>
          <w:sz w:val="24"/>
          <w:szCs w:val="24"/>
        </w:rPr>
        <w:t>Clinical Medicine</w:t>
      </w:r>
      <w:r w:rsidRPr="00E34841">
        <w:rPr>
          <w:rFonts w:ascii="Arial" w:hAnsi="Arial" w:cs="Arial"/>
          <w:sz w:val="24"/>
          <w:szCs w:val="24"/>
        </w:rPr>
        <w:t>, 16(3), p. 213.</w:t>
      </w:r>
    </w:p>
    <w:p w14:paraId="1F14D36C"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Wu, J. et al. (2025) 'Factors associated with higher caregiver burden among informal caregivers of Parkinson's disease: a systematic review', </w:t>
      </w:r>
      <w:r w:rsidRPr="00E34841">
        <w:rPr>
          <w:rFonts w:ascii="Arial" w:hAnsi="Arial" w:cs="Arial"/>
          <w:i/>
          <w:sz w:val="24"/>
          <w:szCs w:val="24"/>
        </w:rPr>
        <w:t>Medicine</w:t>
      </w:r>
      <w:r w:rsidRPr="00E34841">
        <w:rPr>
          <w:rFonts w:ascii="Arial" w:hAnsi="Arial" w:cs="Arial"/>
          <w:sz w:val="24"/>
          <w:szCs w:val="24"/>
        </w:rPr>
        <w:t>, 104(4), e41275.</w:t>
      </w:r>
    </w:p>
    <w:p w14:paraId="7CFF8C41" w14:textId="77777777" w:rsidR="0029711F" w:rsidRPr="00E34841" w:rsidRDefault="0029711F" w:rsidP="002B4217">
      <w:pPr>
        <w:spacing w:line="240" w:lineRule="auto"/>
        <w:ind w:left="720" w:hanging="720"/>
        <w:jc w:val="both"/>
        <w:rPr>
          <w:rFonts w:ascii="Arial" w:hAnsi="Arial" w:cs="Arial"/>
          <w:sz w:val="24"/>
          <w:szCs w:val="24"/>
        </w:rPr>
      </w:pPr>
      <w:r w:rsidRPr="00E34841">
        <w:rPr>
          <w:rFonts w:ascii="Arial" w:hAnsi="Arial" w:cs="Arial"/>
          <w:sz w:val="24"/>
          <w:szCs w:val="24"/>
        </w:rPr>
        <w:t xml:space="preserve">Zizzo, N., Bell, E., Lafontaine, A.L. and Racine, E. (2017) 'Examining chronic care patient preferences for involvement in health-care decision making: the case of Parkinson's disease patients in a patient-centred clinic', </w:t>
      </w:r>
      <w:r w:rsidRPr="00E34841">
        <w:rPr>
          <w:rFonts w:ascii="Arial" w:hAnsi="Arial" w:cs="Arial"/>
          <w:i/>
          <w:sz w:val="24"/>
          <w:szCs w:val="24"/>
        </w:rPr>
        <w:t>Health Expectations</w:t>
      </w:r>
      <w:r w:rsidRPr="00E34841">
        <w:rPr>
          <w:rFonts w:ascii="Arial" w:hAnsi="Arial" w:cs="Arial"/>
          <w:sz w:val="24"/>
          <w:szCs w:val="24"/>
        </w:rPr>
        <w:t>, 20(4), pp. 655–664.</w:t>
      </w:r>
    </w:p>
    <w:p w14:paraId="2DB15BBA" w14:textId="77777777" w:rsidR="00DA733F" w:rsidRPr="00E34841" w:rsidRDefault="00DA733F" w:rsidP="00634344">
      <w:pPr>
        <w:pStyle w:val="Heading2"/>
        <w:spacing w:line="276" w:lineRule="auto"/>
        <w:jc w:val="both"/>
        <w:rPr>
          <w:rFonts w:cs="Arial"/>
          <w:szCs w:val="24"/>
        </w:rPr>
      </w:pPr>
    </w:p>
    <w:sectPr w:rsidR="00DA733F" w:rsidRPr="00E34841" w:rsidSect="0063036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1CBAA" w14:textId="77777777" w:rsidR="00807D50" w:rsidRDefault="00807D50" w:rsidP="005C1DB6">
      <w:pPr>
        <w:spacing w:after="0" w:line="240" w:lineRule="auto"/>
      </w:pPr>
      <w:r>
        <w:separator/>
      </w:r>
    </w:p>
  </w:endnote>
  <w:endnote w:type="continuationSeparator" w:id="0">
    <w:p w14:paraId="37929502" w14:textId="77777777" w:rsidR="00807D50" w:rsidRDefault="00807D50" w:rsidP="005C1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E632E" w14:textId="77777777" w:rsidR="00807D50" w:rsidRDefault="00807D50" w:rsidP="005C1DB6">
      <w:pPr>
        <w:spacing w:after="0" w:line="240" w:lineRule="auto"/>
      </w:pPr>
      <w:r>
        <w:separator/>
      </w:r>
    </w:p>
  </w:footnote>
  <w:footnote w:type="continuationSeparator" w:id="0">
    <w:p w14:paraId="308ACAA8" w14:textId="77777777" w:rsidR="00807D50" w:rsidRDefault="00807D50" w:rsidP="005C1D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826E4"/>
    <w:multiLevelType w:val="hybridMultilevel"/>
    <w:tmpl w:val="735E65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left"/>
      <w:pPr>
        <w:ind w:left="216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left"/>
      <w:pPr>
        <w:ind w:left="4320" w:hanging="36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left"/>
      <w:pPr>
        <w:ind w:left="6480" w:hanging="360"/>
      </w:pPr>
    </w:lvl>
  </w:abstractNum>
  <w:abstractNum w:abstractNumId="1" w15:restartNumberingAfterBreak="0">
    <w:nsid w:val="0FA30E8D"/>
    <w:multiLevelType w:val="hybridMultilevel"/>
    <w:tmpl w:val="CC0ED388"/>
    <w:lvl w:ilvl="0" w:tplc="841A71A6">
      <w:start w:val="1"/>
      <w:numFmt w:val="bullet"/>
      <w:lvlText w:val="•"/>
      <w:lvlJc w:val="left"/>
      <w:pPr>
        <w:ind w:left="720" w:hanging="360"/>
      </w:pPr>
    </w:lvl>
    <w:lvl w:ilvl="1" w:tplc="6F546902">
      <w:start w:val="1"/>
      <w:numFmt w:val="bullet"/>
      <w:lvlText w:val="o"/>
      <w:lvlJc w:val="left"/>
      <w:pPr>
        <w:ind w:left="1440" w:hanging="360"/>
      </w:pPr>
    </w:lvl>
    <w:lvl w:ilvl="2" w:tplc="06E85656">
      <w:start w:val="1"/>
      <w:numFmt w:val="bullet"/>
      <w:lvlText w:val="▪"/>
      <w:lvlJc w:val="left"/>
      <w:pPr>
        <w:ind w:left="2160" w:hanging="360"/>
      </w:pPr>
    </w:lvl>
    <w:lvl w:ilvl="3" w:tplc="7B18E79E">
      <w:start w:val="1"/>
      <w:numFmt w:val="bullet"/>
      <w:lvlText w:val="•"/>
      <w:lvlJc w:val="left"/>
      <w:pPr>
        <w:ind w:left="2880" w:hanging="360"/>
      </w:pPr>
    </w:lvl>
    <w:lvl w:ilvl="4" w:tplc="2138E034">
      <w:start w:val="1"/>
      <w:numFmt w:val="bullet"/>
      <w:lvlText w:val="o"/>
      <w:lvlJc w:val="left"/>
      <w:pPr>
        <w:ind w:left="3600" w:hanging="360"/>
      </w:pPr>
    </w:lvl>
    <w:lvl w:ilvl="5" w:tplc="A51CB06C">
      <w:start w:val="1"/>
      <w:numFmt w:val="bullet"/>
      <w:lvlText w:val="▪"/>
      <w:lvlJc w:val="left"/>
      <w:pPr>
        <w:ind w:left="4320" w:hanging="360"/>
      </w:pPr>
    </w:lvl>
    <w:lvl w:ilvl="6" w:tplc="CE1811A6">
      <w:start w:val="1"/>
      <w:numFmt w:val="bullet"/>
      <w:lvlText w:val="•"/>
      <w:lvlJc w:val="left"/>
      <w:pPr>
        <w:ind w:left="5040" w:hanging="360"/>
      </w:pPr>
    </w:lvl>
    <w:lvl w:ilvl="7" w:tplc="498C0B1C">
      <w:start w:val="1"/>
      <w:numFmt w:val="bullet"/>
      <w:lvlText w:val="o"/>
      <w:lvlJc w:val="left"/>
      <w:pPr>
        <w:ind w:left="5760" w:hanging="360"/>
      </w:pPr>
    </w:lvl>
    <w:lvl w:ilvl="8" w:tplc="8908660C">
      <w:start w:val="1"/>
      <w:numFmt w:val="bullet"/>
      <w:lvlText w:val="▪"/>
      <w:lvlJc w:val="left"/>
      <w:pPr>
        <w:ind w:left="6480" w:hanging="360"/>
      </w:pPr>
    </w:lvl>
  </w:abstractNum>
  <w:abstractNum w:abstractNumId="2" w15:restartNumberingAfterBreak="0">
    <w:nsid w:val="162F3B0E"/>
    <w:multiLevelType w:val="hybridMultilevel"/>
    <w:tmpl w:val="B15A683E"/>
    <w:lvl w:ilvl="0" w:tplc="A0929B1A">
      <w:start w:val="1"/>
      <w:numFmt w:val="decimal"/>
      <w:lvlText w:val="%1."/>
      <w:lvlJc w:val="left"/>
      <w:pPr>
        <w:ind w:left="720" w:hanging="360"/>
      </w:pPr>
    </w:lvl>
    <w:lvl w:ilvl="1" w:tplc="B42ED2EA">
      <w:start w:val="1"/>
      <w:numFmt w:val="lowerLetter"/>
      <w:lvlText w:val="%2."/>
      <w:lvlJc w:val="left"/>
      <w:pPr>
        <w:ind w:left="1440" w:hanging="360"/>
      </w:pPr>
    </w:lvl>
    <w:lvl w:ilvl="2" w:tplc="E4BA547A">
      <w:start w:val="1"/>
      <w:numFmt w:val="lowerRoman"/>
      <w:lvlText w:val="%3."/>
      <w:lvlJc w:val="left"/>
      <w:pPr>
        <w:ind w:left="2160" w:hanging="360"/>
      </w:pPr>
    </w:lvl>
    <w:lvl w:ilvl="3" w:tplc="29586A2E">
      <w:start w:val="1"/>
      <w:numFmt w:val="decimal"/>
      <w:lvlText w:val="%4."/>
      <w:lvlJc w:val="left"/>
      <w:pPr>
        <w:ind w:left="2880" w:hanging="360"/>
      </w:pPr>
    </w:lvl>
    <w:lvl w:ilvl="4" w:tplc="FD08BE2C">
      <w:start w:val="1"/>
      <w:numFmt w:val="lowerLetter"/>
      <w:lvlText w:val="%5."/>
      <w:lvlJc w:val="left"/>
      <w:pPr>
        <w:ind w:left="3600" w:hanging="360"/>
      </w:pPr>
    </w:lvl>
    <w:lvl w:ilvl="5" w:tplc="1318D5B8">
      <w:start w:val="1"/>
      <w:numFmt w:val="lowerRoman"/>
      <w:lvlText w:val="%6."/>
      <w:lvlJc w:val="left"/>
      <w:pPr>
        <w:ind w:left="4320" w:hanging="360"/>
      </w:pPr>
    </w:lvl>
    <w:lvl w:ilvl="6" w:tplc="894CC692">
      <w:start w:val="1"/>
      <w:numFmt w:val="decimal"/>
      <w:lvlText w:val="%7."/>
      <w:lvlJc w:val="left"/>
      <w:pPr>
        <w:ind w:left="5040" w:hanging="360"/>
      </w:pPr>
    </w:lvl>
    <w:lvl w:ilvl="7" w:tplc="8BB05E40">
      <w:start w:val="1"/>
      <w:numFmt w:val="lowerLetter"/>
      <w:lvlText w:val="%8."/>
      <w:lvlJc w:val="left"/>
      <w:pPr>
        <w:ind w:left="5760" w:hanging="360"/>
      </w:pPr>
    </w:lvl>
    <w:lvl w:ilvl="8" w:tplc="5336A6E8">
      <w:start w:val="1"/>
      <w:numFmt w:val="lowerRoman"/>
      <w:lvlText w:val="%9."/>
      <w:lvlJc w:val="left"/>
      <w:pPr>
        <w:ind w:left="6480" w:hanging="360"/>
      </w:pPr>
    </w:lvl>
  </w:abstractNum>
  <w:abstractNum w:abstractNumId="3" w15:restartNumberingAfterBreak="0">
    <w:nsid w:val="29EE430A"/>
    <w:multiLevelType w:val="hybridMultilevel"/>
    <w:tmpl w:val="B15A683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left"/>
      <w:pPr>
        <w:ind w:left="216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left"/>
      <w:pPr>
        <w:ind w:left="4320" w:hanging="36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left"/>
      <w:pPr>
        <w:ind w:left="6480" w:hanging="360"/>
      </w:pPr>
    </w:lvl>
  </w:abstractNum>
  <w:abstractNum w:abstractNumId="4" w15:restartNumberingAfterBreak="0">
    <w:nsid w:val="2A7B6F49"/>
    <w:multiLevelType w:val="hybridMultilevel"/>
    <w:tmpl w:val="735E65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left"/>
      <w:pPr>
        <w:ind w:left="216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left"/>
      <w:pPr>
        <w:ind w:left="4320" w:hanging="36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left"/>
      <w:pPr>
        <w:ind w:left="6480" w:hanging="360"/>
      </w:pPr>
    </w:lvl>
  </w:abstractNum>
  <w:abstractNum w:abstractNumId="5" w15:restartNumberingAfterBreak="0">
    <w:nsid w:val="35B656D2"/>
    <w:multiLevelType w:val="hybridMultilevel"/>
    <w:tmpl w:val="105875BE"/>
    <w:lvl w:ilvl="0" w:tplc="73F4F550">
      <w:start w:val="1"/>
      <w:numFmt w:val="bullet"/>
      <w:lvlText w:val="•"/>
      <w:lvlJc w:val="left"/>
      <w:pPr>
        <w:ind w:left="720" w:hanging="360"/>
      </w:pPr>
    </w:lvl>
    <w:lvl w:ilvl="1" w:tplc="A2C04768">
      <w:start w:val="1"/>
      <w:numFmt w:val="bullet"/>
      <w:lvlText w:val="o"/>
      <w:lvlJc w:val="left"/>
      <w:pPr>
        <w:ind w:left="1440" w:hanging="360"/>
      </w:pPr>
    </w:lvl>
    <w:lvl w:ilvl="2" w:tplc="C484B7DE">
      <w:start w:val="1"/>
      <w:numFmt w:val="bullet"/>
      <w:lvlText w:val="▪"/>
      <w:lvlJc w:val="left"/>
      <w:pPr>
        <w:ind w:left="2160" w:hanging="360"/>
      </w:pPr>
    </w:lvl>
    <w:lvl w:ilvl="3" w:tplc="50F66D5C">
      <w:start w:val="1"/>
      <w:numFmt w:val="bullet"/>
      <w:lvlText w:val="•"/>
      <w:lvlJc w:val="left"/>
      <w:pPr>
        <w:ind w:left="2880" w:hanging="360"/>
      </w:pPr>
    </w:lvl>
    <w:lvl w:ilvl="4" w:tplc="D8364964">
      <w:start w:val="1"/>
      <w:numFmt w:val="bullet"/>
      <w:lvlText w:val="o"/>
      <w:lvlJc w:val="left"/>
      <w:pPr>
        <w:ind w:left="3600" w:hanging="360"/>
      </w:pPr>
    </w:lvl>
    <w:lvl w:ilvl="5" w:tplc="013A7FDA">
      <w:start w:val="1"/>
      <w:numFmt w:val="bullet"/>
      <w:lvlText w:val="▪"/>
      <w:lvlJc w:val="left"/>
      <w:pPr>
        <w:ind w:left="4320" w:hanging="360"/>
      </w:pPr>
    </w:lvl>
    <w:lvl w:ilvl="6" w:tplc="3F4212D0">
      <w:start w:val="1"/>
      <w:numFmt w:val="bullet"/>
      <w:lvlText w:val="•"/>
      <w:lvlJc w:val="left"/>
      <w:pPr>
        <w:ind w:left="5040" w:hanging="360"/>
      </w:pPr>
    </w:lvl>
    <w:lvl w:ilvl="7" w:tplc="F1F4B3D0">
      <w:start w:val="1"/>
      <w:numFmt w:val="bullet"/>
      <w:lvlText w:val="o"/>
      <w:lvlJc w:val="left"/>
      <w:pPr>
        <w:ind w:left="5760" w:hanging="360"/>
      </w:pPr>
    </w:lvl>
    <w:lvl w:ilvl="8" w:tplc="C0EA6BDE">
      <w:start w:val="1"/>
      <w:numFmt w:val="bullet"/>
      <w:lvlText w:val="▪"/>
      <w:lvlJc w:val="left"/>
      <w:pPr>
        <w:ind w:left="6480" w:hanging="360"/>
      </w:pPr>
    </w:lvl>
  </w:abstractNum>
  <w:abstractNum w:abstractNumId="6" w15:restartNumberingAfterBreak="0">
    <w:nsid w:val="4B6E0A19"/>
    <w:multiLevelType w:val="hybridMultilevel"/>
    <w:tmpl w:val="1F543AC6"/>
    <w:lvl w:ilvl="0" w:tplc="1D7EB682">
      <w:start w:val="1"/>
      <w:numFmt w:val="decimal"/>
      <w:lvlText w:val="%1."/>
      <w:lvlJc w:val="left"/>
      <w:pPr>
        <w:ind w:left="720" w:hanging="360"/>
      </w:pPr>
    </w:lvl>
    <w:lvl w:ilvl="1" w:tplc="13EA5774">
      <w:start w:val="1"/>
      <w:numFmt w:val="lowerLetter"/>
      <w:lvlText w:val="%2."/>
      <w:lvlJc w:val="left"/>
      <w:pPr>
        <w:ind w:left="1440" w:hanging="360"/>
      </w:pPr>
    </w:lvl>
    <w:lvl w:ilvl="2" w:tplc="5D0ADB32">
      <w:start w:val="1"/>
      <w:numFmt w:val="lowerRoman"/>
      <w:lvlText w:val="%3."/>
      <w:lvlJc w:val="left"/>
      <w:pPr>
        <w:ind w:left="2160" w:hanging="360"/>
      </w:pPr>
    </w:lvl>
    <w:lvl w:ilvl="3" w:tplc="BCB279B0">
      <w:start w:val="1"/>
      <w:numFmt w:val="decimal"/>
      <w:lvlText w:val="%4."/>
      <w:lvlJc w:val="left"/>
      <w:pPr>
        <w:ind w:left="2880" w:hanging="360"/>
      </w:pPr>
    </w:lvl>
    <w:lvl w:ilvl="4" w:tplc="BD749C0A">
      <w:start w:val="1"/>
      <w:numFmt w:val="lowerLetter"/>
      <w:lvlText w:val="%5."/>
      <w:lvlJc w:val="left"/>
      <w:pPr>
        <w:ind w:left="3600" w:hanging="360"/>
      </w:pPr>
    </w:lvl>
    <w:lvl w:ilvl="5" w:tplc="C91A9526">
      <w:start w:val="1"/>
      <w:numFmt w:val="lowerRoman"/>
      <w:lvlText w:val="%6."/>
      <w:lvlJc w:val="left"/>
      <w:pPr>
        <w:ind w:left="4320" w:hanging="360"/>
      </w:pPr>
    </w:lvl>
    <w:lvl w:ilvl="6" w:tplc="40345ED2">
      <w:start w:val="1"/>
      <w:numFmt w:val="decimal"/>
      <w:lvlText w:val="%7."/>
      <w:lvlJc w:val="left"/>
      <w:pPr>
        <w:ind w:left="5040" w:hanging="360"/>
      </w:pPr>
    </w:lvl>
    <w:lvl w:ilvl="7" w:tplc="F898713E">
      <w:start w:val="1"/>
      <w:numFmt w:val="lowerLetter"/>
      <w:lvlText w:val="%8."/>
      <w:lvlJc w:val="left"/>
      <w:pPr>
        <w:ind w:left="5760" w:hanging="360"/>
      </w:pPr>
    </w:lvl>
    <w:lvl w:ilvl="8" w:tplc="E66EB750">
      <w:start w:val="1"/>
      <w:numFmt w:val="lowerRoman"/>
      <w:lvlText w:val="%9."/>
      <w:lvlJc w:val="left"/>
      <w:pPr>
        <w:ind w:left="6480" w:hanging="360"/>
      </w:pPr>
    </w:lvl>
  </w:abstractNum>
  <w:abstractNum w:abstractNumId="7" w15:restartNumberingAfterBreak="0">
    <w:nsid w:val="4FAD5A9B"/>
    <w:multiLevelType w:val="hybridMultilevel"/>
    <w:tmpl w:val="B15A683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left"/>
      <w:pPr>
        <w:ind w:left="216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left"/>
      <w:pPr>
        <w:ind w:left="4320" w:hanging="36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left"/>
      <w:pPr>
        <w:ind w:left="6480" w:hanging="360"/>
      </w:pPr>
    </w:lvl>
  </w:abstractNum>
  <w:abstractNum w:abstractNumId="8" w15:restartNumberingAfterBreak="0">
    <w:nsid w:val="59C81026"/>
    <w:multiLevelType w:val="multilevel"/>
    <w:tmpl w:val="70A84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2D657F"/>
    <w:multiLevelType w:val="hybridMultilevel"/>
    <w:tmpl w:val="E80A5774"/>
    <w:lvl w:ilvl="0" w:tplc="7332E262">
      <w:start w:val="1"/>
      <w:numFmt w:val="bullet"/>
      <w:lvlText w:val="•"/>
      <w:lvlJc w:val="left"/>
      <w:pPr>
        <w:ind w:left="720" w:hanging="360"/>
      </w:pPr>
    </w:lvl>
    <w:lvl w:ilvl="1" w:tplc="6316A65A">
      <w:start w:val="1"/>
      <w:numFmt w:val="bullet"/>
      <w:lvlText w:val="o"/>
      <w:lvlJc w:val="left"/>
      <w:pPr>
        <w:ind w:left="1440" w:hanging="360"/>
      </w:pPr>
    </w:lvl>
    <w:lvl w:ilvl="2" w:tplc="4A56230E">
      <w:start w:val="1"/>
      <w:numFmt w:val="bullet"/>
      <w:lvlText w:val="▪"/>
      <w:lvlJc w:val="left"/>
      <w:pPr>
        <w:ind w:left="2160" w:hanging="360"/>
      </w:pPr>
    </w:lvl>
    <w:lvl w:ilvl="3" w:tplc="439AED88">
      <w:start w:val="1"/>
      <w:numFmt w:val="bullet"/>
      <w:lvlText w:val="•"/>
      <w:lvlJc w:val="left"/>
      <w:pPr>
        <w:ind w:left="2880" w:hanging="360"/>
      </w:pPr>
    </w:lvl>
    <w:lvl w:ilvl="4" w:tplc="2122652A">
      <w:start w:val="1"/>
      <w:numFmt w:val="bullet"/>
      <w:lvlText w:val="o"/>
      <w:lvlJc w:val="left"/>
      <w:pPr>
        <w:ind w:left="3600" w:hanging="360"/>
      </w:pPr>
    </w:lvl>
    <w:lvl w:ilvl="5" w:tplc="55B8FBC8">
      <w:start w:val="1"/>
      <w:numFmt w:val="bullet"/>
      <w:lvlText w:val="▪"/>
      <w:lvlJc w:val="left"/>
      <w:pPr>
        <w:ind w:left="4320" w:hanging="360"/>
      </w:pPr>
    </w:lvl>
    <w:lvl w:ilvl="6" w:tplc="ADB21CB4">
      <w:start w:val="1"/>
      <w:numFmt w:val="bullet"/>
      <w:lvlText w:val="•"/>
      <w:lvlJc w:val="left"/>
      <w:pPr>
        <w:ind w:left="5040" w:hanging="360"/>
      </w:pPr>
    </w:lvl>
    <w:lvl w:ilvl="7" w:tplc="A24E032E">
      <w:start w:val="1"/>
      <w:numFmt w:val="bullet"/>
      <w:lvlText w:val="o"/>
      <w:lvlJc w:val="left"/>
      <w:pPr>
        <w:ind w:left="5760" w:hanging="360"/>
      </w:pPr>
    </w:lvl>
    <w:lvl w:ilvl="8" w:tplc="49F81668">
      <w:start w:val="1"/>
      <w:numFmt w:val="bullet"/>
      <w:lvlText w:val="▪"/>
      <w:lvlJc w:val="left"/>
      <w:pPr>
        <w:ind w:left="6480" w:hanging="360"/>
      </w:pPr>
    </w:lvl>
  </w:abstractNum>
  <w:abstractNum w:abstractNumId="10" w15:restartNumberingAfterBreak="0">
    <w:nsid w:val="77537BE1"/>
    <w:multiLevelType w:val="hybridMultilevel"/>
    <w:tmpl w:val="735E6572"/>
    <w:lvl w:ilvl="0" w:tplc="22A6C196">
      <w:start w:val="1"/>
      <w:numFmt w:val="decimal"/>
      <w:lvlText w:val="%1."/>
      <w:lvlJc w:val="left"/>
      <w:pPr>
        <w:ind w:left="720" w:hanging="360"/>
      </w:pPr>
    </w:lvl>
    <w:lvl w:ilvl="1" w:tplc="33827216">
      <w:start w:val="1"/>
      <w:numFmt w:val="lowerLetter"/>
      <w:lvlText w:val="%2."/>
      <w:lvlJc w:val="left"/>
      <w:pPr>
        <w:ind w:left="1440" w:hanging="360"/>
      </w:pPr>
    </w:lvl>
    <w:lvl w:ilvl="2" w:tplc="18909BA8">
      <w:start w:val="1"/>
      <w:numFmt w:val="lowerRoman"/>
      <w:lvlText w:val="%3."/>
      <w:lvlJc w:val="left"/>
      <w:pPr>
        <w:ind w:left="2160" w:hanging="360"/>
      </w:pPr>
    </w:lvl>
    <w:lvl w:ilvl="3" w:tplc="1638B8B2">
      <w:start w:val="1"/>
      <w:numFmt w:val="decimal"/>
      <w:lvlText w:val="%4."/>
      <w:lvlJc w:val="left"/>
      <w:pPr>
        <w:ind w:left="2880" w:hanging="360"/>
      </w:pPr>
    </w:lvl>
    <w:lvl w:ilvl="4" w:tplc="30A0CAA2">
      <w:start w:val="1"/>
      <w:numFmt w:val="lowerLetter"/>
      <w:lvlText w:val="%5."/>
      <w:lvlJc w:val="left"/>
      <w:pPr>
        <w:ind w:left="3600" w:hanging="360"/>
      </w:pPr>
    </w:lvl>
    <w:lvl w:ilvl="5" w:tplc="4BC657AC">
      <w:start w:val="1"/>
      <w:numFmt w:val="lowerRoman"/>
      <w:lvlText w:val="%6."/>
      <w:lvlJc w:val="left"/>
      <w:pPr>
        <w:ind w:left="4320" w:hanging="360"/>
      </w:pPr>
    </w:lvl>
    <w:lvl w:ilvl="6" w:tplc="DA50D846">
      <w:start w:val="1"/>
      <w:numFmt w:val="decimal"/>
      <w:lvlText w:val="%7."/>
      <w:lvlJc w:val="left"/>
      <w:pPr>
        <w:ind w:left="5040" w:hanging="360"/>
      </w:pPr>
    </w:lvl>
    <w:lvl w:ilvl="7" w:tplc="724A005A">
      <w:start w:val="1"/>
      <w:numFmt w:val="lowerLetter"/>
      <w:lvlText w:val="%8."/>
      <w:lvlJc w:val="left"/>
      <w:pPr>
        <w:ind w:left="5760" w:hanging="360"/>
      </w:pPr>
    </w:lvl>
    <w:lvl w:ilvl="8" w:tplc="F5C6325E">
      <w:start w:val="1"/>
      <w:numFmt w:val="lowerRoman"/>
      <w:lvlText w:val="%9."/>
      <w:lvlJc w:val="left"/>
      <w:pPr>
        <w:ind w:left="6480" w:hanging="360"/>
      </w:pPr>
    </w:lvl>
  </w:abstractNum>
  <w:num w:numId="1" w16cid:durableId="1999454612">
    <w:abstractNumId w:val="9"/>
  </w:num>
  <w:num w:numId="2" w16cid:durableId="1455756807">
    <w:abstractNumId w:val="6"/>
    <w:lvlOverride w:ilvl="0">
      <w:startOverride w:val="1"/>
    </w:lvlOverride>
  </w:num>
  <w:num w:numId="3" w16cid:durableId="72510573">
    <w:abstractNumId w:val="1"/>
  </w:num>
  <w:num w:numId="4" w16cid:durableId="788164915">
    <w:abstractNumId w:val="2"/>
    <w:lvlOverride w:ilvl="0">
      <w:startOverride w:val="1"/>
    </w:lvlOverride>
  </w:num>
  <w:num w:numId="5" w16cid:durableId="155002589">
    <w:abstractNumId w:val="3"/>
  </w:num>
  <w:num w:numId="6" w16cid:durableId="1201281380">
    <w:abstractNumId w:val="7"/>
  </w:num>
  <w:num w:numId="7" w16cid:durableId="289018171">
    <w:abstractNumId w:val="5"/>
  </w:num>
  <w:num w:numId="8" w16cid:durableId="1785029059">
    <w:abstractNumId w:val="10"/>
    <w:lvlOverride w:ilvl="0">
      <w:startOverride w:val="1"/>
    </w:lvlOverride>
  </w:num>
  <w:num w:numId="9" w16cid:durableId="2242090">
    <w:abstractNumId w:val="10"/>
    <w:lvlOverride w:ilvl="0">
      <w:startOverride w:val="5"/>
    </w:lvlOverride>
  </w:num>
  <w:num w:numId="10" w16cid:durableId="1977687228">
    <w:abstractNumId w:val="10"/>
    <w:lvlOverride w:ilvl="0">
      <w:startOverride w:val="9"/>
    </w:lvlOverride>
  </w:num>
  <w:num w:numId="11" w16cid:durableId="384960185">
    <w:abstractNumId w:val="10"/>
  </w:num>
  <w:num w:numId="12" w16cid:durableId="612903580">
    <w:abstractNumId w:val="4"/>
  </w:num>
  <w:num w:numId="13" w16cid:durableId="601258372">
    <w:abstractNumId w:val="0"/>
  </w:num>
  <w:num w:numId="14" w16cid:durableId="17598645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A69"/>
    <w:rsid w:val="00017DB6"/>
    <w:rsid w:val="000229E6"/>
    <w:rsid w:val="000317F0"/>
    <w:rsid w:val="0003377F"/>
    <w:rsid w:val="000C0C08"/>
    <w:rsid w:val="000E5F56"/>
    <w:rsid w:val="00130B74"/>
    <w:rsid w:val="00140709"/>
    <w:rsid w:val="00154650"/>
    <w:rsid w:val="00154867"/>
    <w:rsid w:val="00163950"/>
    <w:rsid w:val="00171939"/>
    <w:rsid w:val="00172086"/>
    <w:rsid w:val="00183E5F"/>
    <w:rsid w:val="001A7069"/>
    <w:rsid w:val="001E2DF3"/>
    <w:rsid w:val="001F4558"/>
    <w:rsid w:val="00203924"/>
    <w:rsid w:val="00230330"/>
    <w:rsid w:val="002406CC"/>
    <w:rsid w:val="002407B4"/>
    <w:rsid w:val="00264661"/>
    <w:rsid w:val="00273883"/>
    <w:rsid w:val="00280F77"/>
    <w:rsid w:val="0029160A"/>
    <w:rsid w:val="0029711F"/>
    <w:rsid w:val="002B14E3"/>
    <w:rsid w:val="002B4217"/>
    <w:rsid w:val="002E290D"/>
    <w:rsid w:val="002E2C1C"/>
    <w:rsid w:val="00303D2F"/>
    <w:rsid w:val="00321A8E"/>
    <w:rsid w:val="003672CE"/>
    <w:rsid w:val="00373B33"/>
    <w:rsid w:val="00397129"/>
    <w:rsid w:val="003A1D59"/>
    <w:rsid w:val="003C5F89"/>
    <w:rsid w:val="003F77BB"/>
    <w:rsid w:val="0042724E"/>
    <w:rsid w:val="004328C3"/>
    <w:rsid w:val="00440696"/>
    <w:rsid w:val="0047369B"/>
    <w:rsid w:val="00475AE0"/>
    <w:rsid w:val="004776E2"/>
    <w:rsid w:val="00492D96"/>
    <w:rsid w:val="004D2DCB"/>
    <w:rsid w:val="004D6E17"/>
    <w:rsid w:val="004E03CC"/>
    <w:rsid w:val="005268D8"/>
    <w:rsid w:val="00543650"/>
    <w:rsid w:val="00550F26"/>
    <w:rsid w:val="0057448F"/>
    <w:rsid w:val="005856FA"/>
    <w:rsid w:val="005876D2"/>
    <w:rsid w:val="0059457B"/>
    <w:rsid w:val="005A6D4F"/>
    <w:rsid w:val="005C1DB6"/>
    <w:rsid w:val="005C503E"/>
    <w:rsid w:val="005D6679"/>
    <w:rsid w:val="006065D0"/>
    <w:rsid w:val="00621D5D"/>
    <w:rsid w:val="00626FDC"/>
    <w:rsid w:val="0063036E"/>
    <w:rsid w:val="00631768"/>
    <w:rsid w:val="00633DE7"/>
    <w:rsid w:val="00634344"/>
    <w:rsid w:val="0066507E"/>
    <w:rsid w:val="006A10DC"/>
    <w:rsid w:val="006A2D23"/>
    <w:rsid w:val="006B086D"/>
    <w:rsid w:val="006D7106"/>
    <w:rsid w:val="006E6463"/>
    <w:rsid w:val="00720BC6"/>
    <w:rsid w:val="007263E7"/>
    <w:rsid w:val="007268EB"/>
    <w:rsid w:val="007279A6"/>
    <w:rsid w:val="00736FD5"/>
    <w:rsid w:val="00745584"/>
    <w:rsid w:val="0077072F"/>
    <w:rsid w:val="00790409"/>
    <w:rsid w:val="007B7F60"/>
    <w:rsid w:val="007C7E4F"/>
    <w:rsid w:val="007F1453"/>
    <w:rsid w:val="00807D50"/>
    <w:rsid w:val="0081397D"/>
    <w:rsid w:val="008176E6"/>
    <w:rsid w:val="00896404"/>
    <w:rsid w:val="008B61E1"/>
    <w:rsid w:val="008D0B22"/>
    <w:rsid w:val="008D737D"/>
    <w:rsid w:val="008F04D7"/>
    <w:rsid w:val="00915571"/>
    <w:rsid w:val="00935D37"/>
    <w:rsid w:val="009869ED"/>
    <w:rsid w:val="00997F0B"/>
    <w:rsid w:val="009A62B9"/>
    <w:rsid w:val="009D6894"/>
    <w:rsid w:val="009E499B"/>
    <w:rsid w:val="00A0513C"/>
    <w:rsid w:val="00A0652E"/>
    <w:rsid w:val="00A10002"/>
    <w:rsid w:val="00A24012"/>
    <w:rsid w:val="00A34E3C"/>
    <w:rsid w:val="00A377A9"/>
    <w:rsid w:val="00A415D1"/>
    <w:rsid w:val="00A51A69"/>
    <w:rsid w:val="00A52803"/>
    <w:rsid w:val="00A663EF"/>
    <w:rsid w:val="00A67374"/>
    <w:rsid w:val="00A71D4C"/>
    <w:rsid w:val="00A81736"/>
    <w:rsid w:val="00A82E76"/>
    <w:rsid w:val="00AE40C9"/>
    <w:rsid w:val="00AE5FE1"/>
    <w:rsid w:val="00B153BF"/>
    <w:rsid w:val="00B2503F"/>
    <w:rsid w:val="00B4052B"/>
    <w:rsid w:val="00B61160"/>
    <w:rsid w:val="00B769E1"/>
    <w:rsid w:val="00BC79B7"/>
    <w:rsid w:val="00C11FEF"/>
    <w:rsid w:val="00C2115E"/>
    <w:rsid w:val="00C415C9"/>
    <w:rsid w:val="00C45026"/>
    <w:rsid w:val="00C5639D"/>
    <w:rsid w:val="00C66549"/>
    <w:rsid w:val="00C77E6B"/>
    <w:rsid w:val="00C82D18"/>
    <w:rsid w:val="00C86A5C"/>
    <w:rsid w:val="00C90C20"/>
    <w:rsid w:val="00CC0B36"/>
    <w:rsid w:val="00CD3AAD"/>
    <w:rsid w:val="00CE2496"/>
    <w:rsid w:val="00D05F81"/>
    <w:rsid w:val="00D70930"/>
    <w:rsid w:val="00DA733F"/>
    <w:rsid w:val="00DC79DF"/>
    <w:rsid w:val="00DE2CDC"/>
    <w:rsid w:val="00E13948"/>
    <w:rsid w:val="00E31D81"/>
    <w:rsid w:val="00E34841"/>
    <w:rsid w:val="00E3754A"/>
    <w:rsid w:val="00E97DBF"/>
    <w:rsid w:val="00EB5278"/>
    <w:rsid w:val="00EC083C"/>
    <w:rsid w:val="00EC332A"/>
    <w:rsid w:val="00EC788B"/>
    <w:rsid w:val="00F65417"/>
    <w:rsid w:val="00F83EBA"/>
    <w:rsid w:val="00F871B4"/>
    <w:rsid w:val="00FC63D8"/>
    <w:rsid w:val="00FD7B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02C1E"/>
  <w15:chartTrackingRefBased/>
  <w15:docId w15:val="{9EA640E8-3A91-4E18-8FA0-3FB5C7165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E76"/>
    <w:rPr>
      <w:rFonts w:ascii="Calibri" w:eastAsia="Calibri" w:hAnsi="Calibri" w:cs="Calibri"/>
      <w:kern w:val="0"/>
      <w14:ligatures w14:val="none"/>
    </w:rPr>
  </w:style>
  <w:style w:type="paragraph" w:styleId="Heading1">
    <w:name w:val="heading 1"/>
    <w:basedOn w:val="Normal"/>
    <w:next w:val="Normal"/>
    <w:link w:val="Heading1Char"/>
    <w:uiPriority w:val="9"/>
    <w:qFormat/>
    <w:rsid w:val="0063036E"/>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unhideWhenUsed/>
    <w:qFormat/>
    <w:rsid w:val="0063036E"/>
    <w:pPr>
      <w:keepNext/>
      <w:keepLines/>
      <w:spacing w:before="160" w:after="80"/>
      <w:outlineLvl w:val="1"/>
    </w:pPr>
    <w:rPr>
      <w:rFonts w:ascii="Arial" w:eastAsiaTheme="majorEastAsia" w:hAnsi="Arial" w:cstheme="majorBidi"/>
      <w:b/>
      <w:sz w:val="24"/>
      <w:szCs w:val="32"/>
    </w:rPr>
  </w:style>
  <w:style w:type="paragraph" w:styleId="Heading3">
    <w:name w:val="heading 3"/>
    <w:basedOn w:val="Normal"/>
    <w:next w:val="Normal"/>
    <w:link w:val="Heading3Char"/>
    <w:uiPriority w:val="9"/>
    <w:unhideWhenUsed/>
    <w:qFormat/>
    <w:rsid w:val="0029711F"/>
    <w:pPr>
      <w:keepNext/>
      <w:keepLines/>
      <w:spacing w:before="160" w:after="80"/>
      <w:outlineLvl w:val="2"/>
    </w:pPr>
    <w:rPr>
      <w:rFonts w:ascii="Arial" w:eastAsiaTheme="majorEastAsia" w:hAnsi="Arial" w:cstheme="majorBidi"/>
      <w:b/>
      <w:sz w:val="24"/>
      <w:szCs w:val="28"/>
    </w:rPr>
  </w:style>
  <w:style w:type="paragraph" w:styleId="Heading4">
    <w:name w:val="heading 4"/>
    <w:basedOn w:val="Normal"/>
    <w:next w:val="Normal"/>
    <w:link w:val="Heading4Char"/>
    <w:uiPriority w:val="9"/>
    <w:semiHidden/>
    <w:unhideWhenUsed/>
    <w:qFormat/>
    <w:rsid w:val="00A51A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1A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1A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A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A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A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36E"/>
    <w:rPr>
      <w:rFonts w:ascii="Arial" w:eastAsiaTheme="majorEastAsia" w:hAnsi="Arial" w:cstheme="majorBidi"/>
      <w:b/>
      <w:kern w:val="0"/>
      <w:sz w:val="24"/>
      <w:szCs w:val="40"/>
      <w14:ligatures w14:val="none"/>
    </w:rPr>
  </w:style>
  <w:style w:type="character" w:customStyle="1" w:styleId="Heading2Char">
    <w:name w:val="Heading 2 Char"/>
    <w:basedOn w:val="DefaultParagraphFont"/>
    <w:link w:val="Heading2"/>
    <w:uiPriority w:val="9"/>
    <w:rsid w:val="0063036E"/>
    <w:rPr>
      <w:rFonts w:ascii="Arial" w:eastAsiaTheme="majorEastAsia" w:hAnsi="Arial" w:cstheme="majorBidi"/>
      <w:b/>
      <w:kern w:val="0"/>
      <w:sz w:val="24"/>
      <w:szCs w:val="32"/>
      <w14:ligatures w14:val="none"/>
    </w:rPr>
  </w:style>
  <w:style w:type="character" w:customStyle="1" w:styleId="Heading3Char">
    <w:name w:val="Heading 3 Char"/>
    <w:basedOn w:val="DefaultParagraphFont"/>
    <w:link w:val="Heading3"/>
    <w:uiPriority w:val="9"/>
    <w:rsid w:val="0029711F"/>
    <w:rPr>
      <w:rFonts w:ascii="Arial" w:eastAsiaTheme="majorEastAsia" w:hAnsi="Arial" w:cstheme="majorBidi"/>
      <w:b/>
      <w:kern w:val="0"/>
      <w:sz w:val="24"/>
      <w:szCs w:val="28"/>
      <w14:ligatures w14:val="none"/>
    </w:rPr>
  </w:style>
  <w:style w:type="character" w:customStyle="1" w:styleId="Heading4Char">
    <w:name w:val="Heading 4 Char"/>
    <w:basedOn w:val="DefaultParagraphFont"/>
    <w:link w:val="Heading4"/>
    <w:uiPriority w:val="9"/>
    <w:semiHidden/>
    <w:rsid w:val="00A51A6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51A6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51A6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51A6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51A6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51A6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51A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A6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51A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A6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51A69"/>
    <w:pPr>
      <w:spacing w:before="160"/>
      <w:jc w:val="center"/>
    </w:pPr>
    <w:rPr>
      <w:i/>
      <w:iCs/>
      <w:color w:val="404040" w:themeColor="text1" w:themeTint="BF"/>
    </w:rPr>
  </w:style>
  <w:style w:type="character" w:customStyle="1" w:styleId="QuoteChar">
    <w:name w:val="Quote Char"/>
    <w:basedOn w:val="DefaultParagraphFont"/>
    <w:link w:val="Quote"/>
    <w:uiPriority w:val="29"/>
    <w:rsid w:val="00A51A69"/>
    <w:rPr>
      <w:i/>
      <w:iCs/>
      <w:color w:val="404040" w:themeColor="text1" w:themeTint="BF"/>
      <w:lang w:val="en-GB"/>
    </w:rPr>
  </w:style>
  <w:style w:type="paragraph" w:styleId="ListParagraph">
    <w:name w:val="List Paragraph"/>
    <w:basedOn w:val="Normal"/>
    <w:qFormat/>
    <w:rsid w:val="00A51A69"/>
    <w:pPr>
      <w:ind w:left="720"/>
      <w:contextualSpacing/>
    </w:pPr>
  </w:style>
  <w:style w:type="character" w:styleId="IntenseEmphasis">
    <w:name w:val="Intense Emphasis"/>
    <w:basedOn w:val="DefaultParagraphFont"/>
    <w:uiPriority w:val="21"/>
    <w:qFormat/>
    <w:rsid w:val="00A51A69"/>
    <w:rPr>
      <w:i/>
      <w:iCs/>
      <w:color w:val="2F5496" w:themeColor="accent1" w:themeShade="BF"/>
    </w:rPr>
  </w:style>
  <w:style w:type="paragraph" w:styleId="IntenseQuote">
    <w:name w:val="Intense Quote"/>
    <w:basedOn w:val="Normal"/>
    <w:next w:val="Normal"/>
    <w:link w:val="IntenseQuoteChar"/>
    <w:uiPriority w:val="30"/>
    <w:qFormat/>
    <w:rsid w:val="00A51A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1A69"/>
    <w:rPr>
      <w:i/>
      <w:iCs/>
      <w:color w:val="2F5496" w:themeColor="accent1" w:themeShade="BF"/>
      <w:lang w:val="en-GB"/>
    </w:rPr>
  </w:style>
  <w:style w:type="character" w:styleId="IntenseReference">
    <w:name w:val="Intense Reference"/>
    <w:basedOn w:val="DefaultParagraphFont"/>
    <w:uiPriority w:val="32"/>
    <w:qFormat/>
    <w:rsid w:val="00A51A69"/>
    <w:rPr>
      <w:b/>
      <w:bCs/>
      <w:smallCaps/>
      <w:color w:val="2F5496" w:themeColor="accent1" w:themeShade="BF"/>
      <w:spacing w:val="5"/>
    </w:rPr>
  </w:style>
  <w:style w:type="table" w:styleId="TableGrid">
    <w:name w:val="Table Grid"/>
    <w:basedOn w:val="TableNormal"/>
    <w:rsid w:val="00A82E76"/>
    <w:rPr>
      <w:rFonts w:ascii="Calibri" w:eastAsia="Calibri" w:hAnsi="Calibri" w:cs="Calibri"/>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03924"/>
    <w:pPr>
      <w:spacing w:after="0" w:line="240" w:lineRule="auto"/>
    </w:pPr>
    <w:rPr>
      <w:rFonts w:ascii="Calibri" w:eastAsia="Calibri" w:hAnsi="Calibri" w:cs="Calibri"/>
      <w:kern w:val="0"/>
      <w14:ligatures w14:val="none"/>
    </w:rPr>
  </w:style>
  <w:style w:type="character" w:styleId="Hyperlink">
    <w:name w:val="Hyperlink"/>
    <w:uiPriority w:val="99"/>
    <w:rsid w:val="0063036E"/>
    <w:rPr>
      <w:color w:val="0563C1"/>
      <w:u w:val="single"/>
    </w:rPr>
  </w:style>
  <w:style w:type="character" w:styleId="UnresolvedMention">
    <w:name w:val="Unresolved Mention"/>
    <w:basedOn w:val="DefaultParagraphFont"/>
    <w:uiPriority w:val="99"/>
    <w:semiHidden/>
    <w:unhideWhenUsed/>
    <w:rsid w:val="008D0B22"/>
    <w:rPr>
      <w:color w:val="605E5C"/>
      <w:shd w:val="clear" w:color="auto" w:fill="E1DFDD"/>
    </w:rPr>
  </w:style>
  <w:style w:type="paragraph" w:styleId="Caption">
    <w:name w:val="caption"/>
    <w:basedOn w:val="Normal"/>
    <w:next w:val="Normal"/>
    <w:uiPriority w:val="35"/>
    <w:unhideWhenUsed/>
    <w:qFormat/>
    <w:rsid w:val="0066507E"/>
    <w:pPr>
      <w:spacing w:after="200" w:line="240" w:lineRule="auto"/>
    </w:pPr>
    <w:rPr>
      <w:i/>
      <w:iCs/>
      <w:color w:val="44546A" w:themeColor="text2"/>
      <w:sz w:val="24"/>
      <w:szCs w:val="18"/>
    </w:rPr>
  </w:style>
  <w:style w:type="paragraph" w:styleId="TOCHeading">
    <w:name w:val="TOC Heading"/>
    <w:basedOn w:val="Heading1"/>
    <w:next w:val="Normal"/>
    <w:uiPriority w:val="39"/>
    <w:unhideWhenUsed/>
    <w:qFormat/>
    <w:rsid w:val="005C1DB6"/>
    <w:pPr>
      <w:spacing w:before="240" w:after="0"/>
      <w:outlineLvl w:val="9"/>
    </w:pPr>
    <w:rPr>
      <w:rFonts w:asciiTheme="majorHAnsi" w:hAnsiTheme="majorHAnsi"/>
      <w:b w:val="0"/>
      <w:color w:val="2F5496" w:themeColor="accent1" w:themeShade="BF"/>
      <w:sz w:val="32"/>
      <w:szCs w:val="32"/>
      <w:lang w:val="en-GB" w:eastAsia="en-GB"/>
    </w:rPr>
  </w:style>
  <w:style w:type="paragraph" w:styleId="TOC2">
    <w:name w:val="toc 2"/>
    <w:basedOn w:val="Normal"/>
    <w:next w:val="Normal"/>
    <w:autoRedefine/>
    <w:uiPriority w:val="39"/>
    <w:unhideWhenUsed/>
    <w:rsid w:val="005C1DB6"/>
    <w:pPr>
      <w:spacing w:after="100"/>
      <w:ind w:left="220"/>
    </w:pPr>
  </w:style>
  <w:style w:type="paragraph" w:styleId="TOC3">
    <w:name w:val="toc 3"/>
    <w:basedOn w:val="Normal"/>
    <w:next w:val="Normal"/>
    <w:autoRedefine/>
    <w:uiPriority w:val="39"/>
    <w:unhideWhenUsed/>
    <w:rsid w:val="005C1DB6"/>
    <w:pPr>
      <w:spacing w:after="100"/>
      <w:ind w:left="440"/>
    </w:pPr>
  </w:style>
  <w:style w:type="paragraph" w:styleId="Header">
    <w:name w:val="header"/>
    <w:basedOn w:val="Normal"/>
    <w:link w:val="HeaderChar"/>
    <w:uiPriority w:val="99"/>
    <w:unhideWhenUsed/>
    <w:rsid w:val="005C1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DB6"/>
    <w:rPr>
      <w:rFonts w:ascii="Calibri" w:eastAsia="Calibri" w:hAnsi="Calibri" w:cs="Calibri"/>
      <w:kern w:val="0"/>
      <w14:ligatures w14:val="none"/>
    </w:rPr>
  </w:style>
  <w:style w:type="paragraph" w:styleId="Footer">
    <w:name w:val="footer"/>
    <w:basedOn w:val="Normal"/>
    <w:link w:val="FooterChar"/>
    <w:uiPriority w:val="99"/>
    <w:unhideWhenUsed/>
    <w:rsid w:val="005C1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DB6"/>
    <w:rPr>
      <w:rFonts w:ascii="Calibri" w:eastAsia="Calibri" w:hAnsi="Calibri" w:cs="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parkinsons-disea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18600-51A7-47E4-A073-5A11E992F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4924</Words>
  <Characters>28072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Shamim Munsha (2209401)</cp:lastModifiedBy>
  <cp:revision>2</cp:revision>
  <dcterms:created xsi:type="dcterms:W3CDTF">2026-10-23T10:57:00Z</dcterms:created>
  <dcterms:modified xsi:type="dcterms:W3CDTF">2026-10-23T10:57:00Z</dcterms:modified>
</cp:coreProperties>
</file>