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4B3B50" w14:textId="63A0AC9B" w:rsidR="00D3025C" w:rsidRDefault="004957AF" w:rsidP="004957AF">
      <w:pPr>
        <w:pStyle w:val="Title"/>
        <w:rPr>
          <w:b/>
          <w:bCs/>
          <w:sz w:val="32"/>
          <w:szCs w:val="32"/>
        </w:rPr>
      </w:pPr>
      <w:bookmarkStart w:id="0" w:name="_vzspzs3vuvp8" w:colFirst="0" w:colLast="0"/>
      <w:bookmarkEnd w:id="0"/>
      <w:r>
        <w:rPr>
          <w:b/>
          <w:bCs/>
          <w:noProof/>
          <w:kern w:val="36"/>
          <w:sz w:val="48"/>
          <w:szCs w:val="48"/>
          <w:lang w:eastAsia="en-IN"/>
        </w:rPr>
        <w:drawing>
          <wp:inline distT="0" distB="0" distL="0" distR="0" wp14:anchorId="260A9A0A" wp14:editId="667D77E9">
            <wp:extent cx="2909455" cy="964970"/>
            <wp:effectExtent l="0" t="0" r="5715" b="6985"/>
            <wp:docPr id="2064767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767309" name="Picture 2064767309"/>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46788" cy="977352"/>
                    </a:xfrm>
                    <a:prstGeom prst="rect">
                      <a:avLst/>
                    </a:prstGeom>
                  </pic:spPr>
                </pic:pic>
              </a:graphicData>
            </a:graphic>
          </wp:inline>
        </w:drawing>
      </w:r>
    </w:p>
    <w:p w14:paraId="2908C0BE" w14:textId="77777777" w:rsidR="00CD44EF" w:rsidRDefault="00CD44EF" w:rsidP="004957AF">
      <w:pPr>
        <w:spacing w:before="100" w:beforeAutospacing="1" w:after="100" w:afterAutospacing="1" w:line="240" w:lineRule="auto"/>
        <w:outlineLvl w:val="0"/>
        <w:rPr>
          <w:b/>
          <w:bCs/>
          <w:kern w:val="36"/>
          <w:sz w:val="32"/>
          <w:szCs w:val="32"/>
          <w:lang w:eastAsia="en-IN"/>
        </w:rPr>
      </w:pPr>
    </w:p>
    <w:p w14:paraId="06D95288" w14:textId="77777777" w:rsidR="00CD44EF" w:rsidRDefault="00CD44EF" w:rsidP="004957AF">
      <w:pPr>
        <w:spacing w:before="100" w:beforeAutospacing="1" w:after="100" w:afterAutospacing="1" w:line="240" w:lineRule="auto"/>
        <w:outlineLvl w:val="0"/>
        <w:rPr>
          <w:b/>
          <w:bCs/>
          <w:kern w:val="36"/>
          <w:sz w:val="32"/>
          <w:szCs w:val="32"/>
          <w:lang w:eastAsia="en-IN"/>
        </w:rPr>
      </w:pPr>
    </w:p>
    <w:p w14:paraId="61A0BB64" w14:textId="77777777" w:rsidR="00CD44EF" w:rsidRDefault="00CD44EF" w:rsidP="004957AF">
      <w:pPr>
        <w:spacing w:before="100" w:beforeAutospacing="1" w:after="100" w:afterAutospacing="1" w:line="240" w:lineRule="auto"/>
        <w:outlineLvl w:val="0"/>
        <w:rPr>
          <w:b/>
          <w:bCs/>
          <w:kern w:val="36"/>
          <w:sz w:val="32"/>
          <w:szCs w:val="32"/>
          <w:lang w:eastAsia="en-IN"/>
        </w:rPr>
      </w:pPr>
    </w:p>
    <w:p w14:paraId="3BA183F4" w14:textId="5A3FEE2B" w:rsidR="004957AF" w:rsidRPr="0087403A" w:rsidRDefault="004957AF" w:rsidP="004957AF">
      <w:pPr>
        <w:spacing w:before="100" w:beforeAutospacing="1" w:after="100" w:afterAutospacing="1" w:line="240" w:lineRule="auto"/>
        <w:outlineLvl w:val="0"/>
        <w:rPr>
          <w:b/>
          <w:bCs/>
          <w:kern w:val="36"/>
          <w:sz w:val="32"/>
          <w:szCs w:val="32"/>
          <w:lang w:eastAsia="en-IN"/>
        </w:rPr>
      </w:pPr>
      <w:r w:rsidRPr="0087403A">
        <w:rPr>
          <w:b/>
          <w:bCs/>
          <w:kern w:val="36"/>
          <w:sz w:val="32"/>
          <w:szCs w:val="32"/>
          <w:lang w:eastAsia="en-IN"/>
        </w:rPr>
        <w:t>Title: Financial Management Assessment Report</w:t>
      </w:r>
    </w:p>
    <w:p w14:paraId="3E4FF50B" w14:textId="77777777" w:rsidR="004957AF" w:rsidRPr="0087403A" w:rsidRDefault="004957AF" w:rsidP="004957AF">
      <w:pPr>
        <w:spacing w:before="100" w:beforeAutospacing="1" w:after="100" w:afterAutospacing="1" w:line="240" w:lineRule="auto"/>
        <w:outlineLvl w:val="0"/>
        <w:rPr>
          <w:b/>
          <w:bCs/>
          <w:kern w:val="36"/>
          <w:sz w:val="32"/>
          <w:szCs w:val="32"/>
          <w:lang w:eastAsia="en-IN"/>
        </w:rPr>
      </w:pPr>
      <w:r w:rsidRPr="0087403A">
        <w:rPr>
          <w:b/>
          <w:bCs/>
          <w:kern w:val="36"/>
          <w:sz w:val="32"/>
          <w:szCs w:val="32"/>
          <w:lang w:eastAsia="en-IN"/>
        </w:rPr>
        <w:t xml:space="preserve">Name: </w:t>
      </w:r>
      <w:r>
        <w:rPr>
          <w:b/>
          <w:bCs/>
          <w:kern w:val="36"/>
          <w:sz w:val="32"/>
          <w:szCs w:val="32"/>
          <w:lang w:eastAsia="en-IN"/>
        </w:rPr>
        <w:t>SAMIR AHMED SHAIKH</w:t>
      </w:r>
    </w:p>
    <w:p w14:paraId="1C7872D3" w14:textId="77777777" w:rsidR="004957AF" w:rsidRDefault="004957AF" w:rsidP="004957AF">
      <w:pPr>
        <w:spacing w:before="100" w:beforeAutospacing="1" w:after="100" w:afterAutospacing="1" w:line="240" w:lineRule="auto"/>
        <w:outlineLvl w:val="0"/>
        <w:rPr>
          <w:b/>
          <w:bCs/>
          <w:kern w:val="36"/>
          <w:sz w:val="32"/>
          <w:szCs w:val="32"/>
          <w:lang w:eastAsia="en-IN"/>
        </w:rPr>
      </w:pPr>
      <w:r w:rsidRPr="0087403A">
        <w:rPr>
          <w:b/>
          <w:bCs/>
          <w:kern w:val="36"/>
          <w:sz w:val="32"/>
          <w:szCs w:val="32"/>
          <w:lang w:eastAsia="en-IN"/>
        </w:rPr>
        <w:t xml:space="preserve">Student ID: </w:t>
      </w:r>
      <w:r>
        <w:rPr>
          <w:b/>
          <w:bCs/>
          <w:kern w:val="36"/>
          <w:sz w:val="32"/>
          <w:szCs w:val="32"/>
          <w:lang w:eastAsia="en-IN"/>
        </w:rPr>
        <w:t>2314039</w:t>
      </w:r>
    </w:p>
    <w:p w14:paraId="7E60F775" w14:textId="6D10E820" w:rsidR="00C814A1" w:rsidRPr="0087403A" w:rsidRDefault="00C814A1" w:rsidP="004957AF">
      <w:pPr>
        <w:spacing w:before="100" w:beforeAutospacing="1" w:after="100" w:afterAutospacing="1" w:line="240" w:lineRule="auto"/>
        <w:outlineLvl w:val="0"/>
        <w:rPr>
          <w:b/>
          <w:bCs/>
          <w:kern w:val="36"/>
          <w:sz w:val="32"/>
          <w:szCs w:val="32"/>
          <w:lang w:eastAsia="en-IN"/>
        </w:rPr>
      </w:pPr>
      <w:r w:rsidRPr="00C814A1">
        <w:rPr>
          <w:b/>
          <w:bCs/>
          <w:kern w:val="36"/>
          <w:sz w:val="32"/>
          <w:szCs w:val="32"/>
          <w:lang w:eastAsia="en-IN"/>
        </w:rPr>
        <w:t>Module Code:</w:t>
      </w:r>
      <w:r w:rsidRPr="00C814A1">
        <w:t xml:space="preserve"> </w:t>
      </w:r>
      <w:r w:rsidRPr="00C814A1">
        <w:rPr>
          <w:b/>
          <w:bCs/>
          <w:kern w:val="36"/>
          <w:sz w:val="32"/>
          <w:szCs w:val="32"/>
          <w:lang w:eastAsia="en-IN"/>
        </w:rPr>
        <w:t>(LCMB7002)1</w:t>
      </w:r>
    </w:p>
    <w:p w14:paraId="53D9DB99" w14:textId="081C2C40" w:rsidR="004957AF" w:rsidRDefault="004957AF" w:rsidP="004957AF">
      <w:pPr>
        <w:spacing w:before="100" w:beforeAutospacing="1" w:after="100" w:afterAutospacing="1" w:line="240" w:lineRule="auto"/>
        <w:outlineLvl w:val="0"/>
        <w:rPr>
          <w:b/>
          <w:bCs/>
          <w:kern w:val="36"/>
          <w:sz w:val="32"/>
          <w:szCs w:val="32"/>
          <w:lang w:eastAsia="en-IN"/>
        </w:rPr>
      </w:pPr>
      <w:r w:rsidRPr="0087403A">
        <w:rPr>
          <w:b/>
          <w:bCs/>
          <w:kern w:val="36"/>
          <w:sz w:val="32"/>
          <w:szCs w:val="32"/>
          <w:lang w:eastAsia="en-IN"/>
        </w:rPr>
        <w:t xml:space="preserve">Module: Financial Management </w:t>
      </w:r>
    </w:p>
    <w:p w14:paraId="0E777FA0" w14:textId="25ADC3A8" w:rsidR="00C814A1" w:rsidRPr="0087403A" w:rsidRDefault="00C814A1" w:rsidP="004957AF">
      <w:pPr>
        <w:spacing w:before="100" w:beforeAutospacing="1" w:after="100" w:afterAutospacing="1" w:line="240" w:lineRule="auto"/>
        <w:outlineLvl w:val="0"/>
        <w:rPr>
          <w:b/>
          <w:bCs/>
          <w:kern w:val="36"/>
          <w:sz w:val="32"/>
          <w:szCs w:val="32"/>
          <w:lang w:eastAsia="en-IN"/>
        </w:rPr>
      </w:pPr>
      <w:r w:rsidRPr="00C814A1">
        <w:rPr>
          <w:b/>
          <w:bCs/>
          <w:kern w:val="36"/>
          <w:sz w:val="32"/>
          <w:szCs w:val="32"/>
          <w:lang w:eastAsia="en-IN"/>
        </w:rPr>
        <w:t>Lecturer:</w:t>
      </w:r>
      <w:r w:rsidR="005F48B8">
        <w:rPr>
          <w:b/>
          <w:bCs/>
          <w:kern w:val="36"/>
          <w:sz w:val="32"/>
          <w:szCs w:val="32"/>
          <w:lang w:eastAsia="en-IN"/>
        </w:rPr>
        <w:t xml:space="preserve"> David </w:t>
      </w:r>
      <w:r w:rsidR="00B83E96">
        <w:rPr>
          <w:b/>
          <w:bCs/>
          <w:kern w:val="36"/>
          <w:sz w:val="32"/>
          <w:szCs w:val="32"/>
          <w:lang w:eastAsia="en-IN"/>
        </w:rPr>
        <w:t>Coker</w:t>
      </w:r>
    </w:p>
    <w:p w14:paraId="781E409B" w14:textId="77777777" w:rsidR="004957AF" w:rsidRPr="004957AF" w:rsidRDefault="004957AF" w:rsidP="004957AF"/>
    <w:p w14:paraId="0E2F17E6" w14:textId="77777777" w:rsidR="00D3025C" w:rsidRDefault="00D3025C" w:rsidP="00D3025C">
      <w:pPr>
        <w:pStyle w:val="Title"/>
        <w:jc w:val="center"/>
        <w:rPr>
          <w:b/>
          <w:bCs/>
          <w:sz w:val="32"/>
          <w:szCs w:val="32"/>
        </w:rPr>
      </w:pPr>
    </w:p>
    <w:p w14:paraId="3FB48FFF" w14:textId="77777777" w:rsidR="00D3025C" w:rsidRDefault="00D3025C" w:rsidP="00D3025C">
      <w:pPr>
        <w:pStyle w:val="Title"/>
        <w:jc w:val="center"/>
        <w:rPr>
          <w:b/>
          <w:bCs/>
          <w:sz w:val="32"/>
          <w:szCs w:val="32"/>
        </w:rPr>
      </w:pPr>
    </w:p>
    <w:p w14:paraId="0D050162" w14:textId="77777777" w:rsidR="00D3025C" w:rsidRDefault="00D3025C" w:rsidP="00D3025C">
      <w:pPr>
        <w:pStyle w:val="Title"/>
        <w:jc w:val="center"/>
        <w:rPr>
          <w:b/>
          <w:bCs/>
          <w:sz w:val="32"/>
          <w:szCs w:val="32"/>
        </w:rPr>
      </w:pPr>
    </w:p>
    <w:p w14:paraId="1412B49E" w14:textId="77777777" w:rsidR="00D3025C" w:rsidRDefault="00D3025C" w:rsidP="00D3025C">
      <w:pPr>
        <w:pStyle w:val="Title"/>
        <w:jc w:val="center"/>
        <w:rPr>
          <w:b/>
          <w:bCs/>
          <w:sz w:val="32"/>
          <w:szCs w:val="32"/>
        </w:rPr>
      </w:pPr>
    </w:p>
    <w:p w14:paraId="2CA7C4BA" w14:textId="77777777" w:rsidR="00FF2F6D" w:rsidRDefault="00FF2F6D" w:rsidP="00D3025C">
      <w:pPr>
        <w:pStyle w:val="Title"/>
        <w:jc w:val="center"/>
        <w:rPr>
          <w:b/>
          <w:bCs/>
          <w:sz w:val="32"/>
          <w:szCs w:val="32"/>
        </w:rPr>
      </w:pPr>
    </w:p>
    <w:p w14:paraId="287AACF8" w14:textId="77777777" w:rsidR="00D3025C" w:rsidRPr="00FF2F6D" w:rsidRDefault="00000000" w:rsidP="00FF2F6D">
      <w:r>
        <w:br w:type="page"/>
      </w:r>
    </w:p>
    <w:sdt>
      <w:sdtPr>
        <w:rPr>
          <w:rFonts w:ascii="Times New Roman" w:eastAsia="Times New Roman" w:hAnsi="Times New Roman" w:cs="Times New Roman"/>
          <w:color w:val="auto"/>
          <w:sz w:val="24"/>
          <w:szCs w:val="24"/>
          <w:lang w:val="en" w:eastAsia="zh-CN"/>
        </w:rPr>
        <w:id w:val="1108468328"/>
        <w:docPartObj>
          <w:docPartGallery w:val="Table of Contents"/>
          <w:docPartUnique/>
        </w:docPartObj>
      </w:sdtPr>
      <w:sdtEndPr>
        <w:rPr>
          <w:b/>
          <w:bCs/>
          <w:noProof/>
        </w:rPr>
      </w:sdtEndPr>
      <w:sdtContent>
        <w:p w14:paraId="054A7393" w14:textId="77777777" w:rsidR="00D3025C" w:rsidRDefault="00000000" w:rsidP="00D3025C">
          <w:pPr>
            <w:pStyle w:val="TOCHeading"/>
            <w:jc w:val="center"/>
          </w:pPr>
          <w:r>
            <w:t>Table of Contents</w:t>
          </w:r>
        </w:p>
        <w:p w14:paraId="14407AD6" w14:textId="77777777" w:rsidR="00D3025C" w:rsidRDefault="00000000">
          <w:pPr>
            <w:pStyle w:val="TOC1"/>
            <w:tabs>
              <w:tab w:val="right" w:leader="dot" w:pos="9350"/>
            </w:tabs>
            <w:rPr>
              <w:noProof/>
            </w:rPr>
          </w:pPr>
          <w:r>
            <w:fldChar w:fldCharType="begin"/>
          </w:r>
          <w:r>
            <w:instrText xml:space="preserve"> TOC \o "1-3" \h \z \u </w:instrText>
          </w:r>
          <w:r>
            <w:fldChar w:fldCharType="separate"/>
          </w:r>
          <w:hyperlink w:anchor="_Toc163230854" w:history="1">
            <w:r w:rsidRPr="009C391B">
              <w:rPr>
                <w:rStyle w:val="Hyperlink"/>
                <w:noProof/>
                <w:lang w:val="en-GB"/>
              </w:rPr>
              <w:t>Introduction</w:t>
            </w:r>
            <w:r>
              <w:rPr>
                <w:noProof/>
                <w:webHidden/>
              </w:rPr>
              <w:tab/>
            </w:r>
            <w:r>
              <w:rPr>
                <w:noProof/>
                <w:webHidden/>
              </w:rPr>
              <w:fldChar w:fldCharType="begin"/>
            </w:r>
            <w:r>
              <w:rPr>
                <w:noProof/>
                <w:webHidden/>
              </w:rPr>
              <w:instrText xml:space="preserve"> PAGEREF _Toc163230854 \h </w:instrText>
            </w:r>
            <w:r>
              <w:rPr>
                <w:noProof/>
                <w:webHidden/>
              </w:rPr>
            </w:r>
            <w:r>
              <w:rPr>
                <w:noProof/>
                <w:webHidden/>
              </w:rPr>
              <w:fldChar w:fldCharType="separate"/>
            </w:r>
            <w:r>
              <w:rPr>
                <w:noProof/>
                <w:webHidden/>
              </w:rPr>
              <w:t>3</w:t>
            </w:r>
            <w:r>
              <w:rPr>
                <w:noProof/>
                <w:webHidden/>
              </w:rPr>
              <w:fldChar w:fldCharType="end"/>
            </w:r>
          </w:hyperlink>
        </w:p>
        <w:p w14:paraId="08B53292" w14:textId="77777777" w:rsidR="00D3025C" w:rsidRDefault="00000000">
          <w:pPr>
            <w:pStyle w:val="TOC1"/>
            <w:tabs>
              <w:tab w:val="right" w:leader="dot" w:pos="9350"/>
            </w:tabs>
            <w:rPr>
              <w:noProof/>
            </w:rPr>
          </w:pPr>
          <w:hyperlink w:anchor="_Toc163230855" w:history="1">
            <w:r w:rsidRPr="009C391B">
              <w:rPr>
                <w:rStyle w:val="Hyperlink"/>
                <w:noProof/>
                <w:lang w:val="en-GB"/>
              </w:rPr>
              <w:t>Part A: Background of  the Company</w:t>
            </w:r>
            <w:r>
              <w:rPr>
                <w:noProof/>
                <w:webHidden/>
              </w:rPr>
              <w:tab/>
            </w:r>
            <w:r>
              <w:rPr>
                <w:noProof/>
                <w:webHidden/>
              </w:rPr>
              <w:fldChar w:fldCharType="begin"/>
            </w:r>
            <w:r>
              <w:rPr>
                <w:noProof/>
                <w:webHidden/>
              </w:rPr>
              <w:instrText xml:space="preserve"> PAGEREF _Toc163230855 \h </w:instrText>
            </w:r>
            <w:r>
              <w:rPr>
                <w:noProof/>
                <w:webHidden/>
              </w:rPr>
            </w:r>
            <w:r>
              <w:rPr>
                <w:noProof/>
                <w:webHidden/>
              </w:rPr>
              <w:fldChar w:fldCharType="separate"/>
            </w:r>
            <w:r>
              <w:rPr>
                <w:noProof/>
                <w:webHidden/>
              </w:rPr>
              <w:t>3</w:t>
            </w:r>
            <w:r>
              <w:rPr>
                <w:noProof/>
                <w:webHidden/>
              </w:rPr>
              <w:fldChar w:fldCharType="end"/>
            </w:r>
          </w:hyperlink>
        </w:p>
        <w:p w14:paraId="2A61C1D0" w14:textId="77777777" w:rsidR="00D3025C" w:rsidRDefault="00000000">
          <w:pPr>
            <w:pStyle w:val="TOC1"/>
            <w:tabs>
              <w:tab w:val="right" w:leader="dot" w:pos="9350"/>
            </w:tabs>
            <w:rPr>
              <w:noProof/>
            </w:rPr>
          </w:pPr>
          <w:hyperlink w:anchor="_Toc163230856" w:history="1">
            <w:r w:rsidRPr="009C391B">
              <w:rPr>
                <w:rStyle w:val="Hyperlink"/>
                <w:noProof/>
                <w:lang w:val="en-GB"/>
              </w:rPr>
              <w:t>Part B: Critical evaluation of the firm’s financial performance</w:t>
            </w:r>
            <w:r>
              <w:rPr>
                <w:noProof/>
                <w:webHidden/>
              </w:rPr>
              <w:tab/>
            </w:r>
            <w:r>
              <w:rPr>
                <w:noProof/>
                <w:webHidden/>
              </w:rPr>
              <w:fldChar w:fldCharType="begin"/>
            </w:r>
            <w:r>
              <w:rPr>
                <w:noProof/>
                <w:webHidden/>
              </w:rPr>
              <w:instrText xml:space="preserve"> PAGEREF _Toc163230856 \h </w:instrText>
            </w:r>
            <w:r>
              <w:rPr>
                <w:noProof/>
                <w:webHidden/>
              </w:rPr>
            </w:r>
            <w:r>
              <w:rPr>
                <w:noProof/>
                <w:webHidden/>
              </w:rPr>
              <w:fldChar w:fldCharType="separate"/>
            </w:r>
            <w:r>
              <w:rPr>
                <w:noProof/>
                <w:webHidden/>
              </w:rPr>
              <w:t>6</w:t>
            </w:r>
            <w:r>
              <w:rPr>
                <w:noProof/>
                <w:webHidden/>
              </w:rPr>
              <w:fldChar w:fldCharType="end"/>
            </w:r>
          </w:hyperlink>
        </w:p>
        <w:p w14:paraId="035519F0" w14:textId="77777777" w:rsidR="00D3025C" w:rsidRDefault="00000000">
          <w:pPr>
            <w:pStyle w:val="TOC2"/>
            <w:tabs>
              <w:tab w:val="right" w:leader="dot" w:pos="9350"/>
            </w:tabs>
            <w:rPr>
              <w:noProof/>
            </w:rPr>
          </w:pPr>
          <w:hyperlink w:anchor="_Toc163230857" w:history="1">
            <w:r w:rsidRPr="009C391B">
              <w:rPr>
                <w:rStyle w:val="Hyperlink"/>
                <w:noProof/>
                <w:lang w:val="en-GB"/>
              </w:rPr>
              <w:t>Computation of the ratios for the past five years</w:t>
            </w:r>
            <w:r>
              <w:rPr>
                <w:noProof/>
                <w:webHidden/>
              </w:rPr>
              <w:tab/>
            </w:r>
            <w:r>
              <w:rPr>
                <w:noProof/>
                <w:webHidden/>
              </w:rPr>
              <w:fldChar w:fldCharType="begin"/>
            </w:r>
            <w:r>
              <w:rPr>
                <w:noProof/>
                <w:webHidden/>
              </w:rPr>
              <w:instrText xml:space="preserve"> PAGEREF _Toc163230857 \h </w:instrText>
            </w:r>
            <w:r>
              <w:rPr>
                <w:noProof/>
                <w:webHidden/>
              </w:rPr>
            </w:r>
            <w:r>
              <w:rPr>
                <w:noProof/>
                <w:webHidden/>
              </w:rPr>
              <w:fldChar w:fldCharType="separate"/>
            </w:r>
            <w:r>
              <w:rPr>
                <w:noProof/>
                <w:webHidden/>
              </w:rPr>
              <w:t>6</w:t>
            </w:r>
            <w:r>
              <w:rPr>
                <w:noProof/>
                <w:webHidden/>
              </w:rPr>
              <w:fldChar w:fldCharType="end"/>
            </w:r>
          </w:hyperlink>
        </w:p>
        <w:p w14:paraId="72D0C9B3" w14:textId="77777777" w:rsidR="00D3025C" w:rsidRDefault="00000000">
          <w:pPr>
            <w:pStyle w:val="TOC2"/>
            <w:tabs>
              <w:tab w:val="right" w:leader="dot" w:pos="9350"/>
            </w:tabs>
            <w:rPr>
              <w:noProof/>
            </w:rPr>
          </w:pPr>
          <w:hyperlink w:anchor="_Toc163230858" w:history="1">
            <w:r w:rsidRPr="009C391B">
              <w:rPr>
                <w:rStyle w:val="Hyperlink"/>
                <w:noProof/>
                <w:lang w:val="en-GB"/>
              </w:rPr>
              <w:t>Comparison of the firm with its major competitor based on the financial ratios</w:t>
            </w:r>
            <w:r>
              <w:rPr>
                <w:noProof/>
                <w:webHidden/>
              </w:rPr>
              <w:tab/>
            </w:r>
            <w:r>
              <w:rPr>
                <w:noProof/>
                <w:webHidden/>
              </w:rPr>
              <w:fldChar w:fldCharType="begin"/>
            </w:r>
            <w:r>
              <w:rPr>
                <w:noProof/>
                <w:webHidden/>
              </w:rPr>
              <w:instrText xml:space="preserve"> PAGEREF _Toc163230858 \h </w:instrText>
            </w:r>
            <w:r>
              <w:rPr>
                <w:noProof/>
                <w:webHidden/>
              </w:rPr>
            </w:r>
            <w:r>
              <w:rPr>
                <w:noProof/>
                <w:webHidden/>
              </w:rPr>
              <w:fldChar w:fldCharType="separate"/>
            </w:r>
            <w:r>
              <w:rPr>
                <w:noProof/>
                <w:webHidden/>
              </w:rPr>
              <w:t>12</w:t>
            </w:r>
            <w:r>
              <w:rPr>
                <w:noProof/>
                <w:webHidden/>
              </w:rPr>
              <w:fldChar w:fldCharType="end"/>
            </w:r>
          </w:hyperlink>
        </w:p>
        <w:p w14:paraId="4ED6DD1A" w14:textId="77777777" w:rsidR="00D3025C" w:rsidRDefault="00000000">
          <w:pPr>
            <w:pStyle w:val="TOC2"/>
            <w:tabs>
              <w:tab w:val="right" w:leader="dot" w:pos="9350"/>
            </w:tabs>
            <w:rPr>
              <w:noProof/>
            </w:rPr>
          </w:pPr>
          <w:hyperlink w:anchor="_Toc163230859" w:history="1">
            <w:r w:rsidRPr="009C391B">
              <w:rPr>
                <w:rStyle w:val="Hyperlink"/>
                <w:noProof/>
                <w:lang w:val="en-GB"/>
              </w:rPr>
              <w:t>Recommendation on enhancing the financial management of the firm</w:t>
            </w:r>
            <w:r>
              <w:rPr>
                <w:noProof/>
                <w:webHidden/>
              </w:rPr>
              <w:tab/>
            </w:r>
            <w:r>
              <w:rPr>
                <w:noProof/>
                <w:webHidden/>
              </w:rPr>
              <w:fldChar w:fldCharType="begin"/>
            </w:r>
            <w:r>
              <w:rPr>
                <w:noProof/>
                <w:webHidden/>
              </w:rPr>
              <w:instrText xml:space="preserve"> PAGEREF _Toc163230859 \h </w:instrText>
            </w:r>
            <w:r>
              <w:rPr>
                <w:noProof/>
                <w:webHidden/>
              </w:rPr>
            </w:r>
            <w:r>
              <w:rPr>
                <w:noProof/>
                <w:webHidden/>
              </w:rPr>
              <w:fldChar w:fldCharType="separate"/>
            </w:r>
            <w:r>
              <w:rPr>
                <w:noProof/>
                <w:webHidden/>
              </w:rPr>
              <w:t>15</w:t>
            </w:r>
            <w:r>
              <w:rPr>
                <w:noProof/>
                <w:webHidden/>
              </w:rPr>
              <w:fldChar w:fldCharType="end"/>
            </w:r>
          </w:hyperlink>
        </w:p>
        <w:p w14:paraId="23ED0FC7" w14:textId="77777777" w:rsidR="00D3025C" w:rsidRDefault="00000000">
          <w:pPr>
            <w:pStyle w:val="TOC1"/>
            <w:tabs>
              <w:tab w:val="right" w:leader="dot" w:pos="9350"/>
            </w:tabs>
            <w:rPr>
              <w:noProof/>
            </w:rPr>
          </w:pPr>
          <w:hyperlink w:anchor="_Toc163230860" w:history="1">
            <w:r w:rsidRPr="009C391B">
              <w:rPr>
                <w:rStyle w:val="Hyperlink"/>
                <w:noProof/>
                <w:lang w:val="en-GB"/>
              </w:rPr>
              <w:t>Part C: Determination of investment opportunities</w:t>
            </w:r>
            <w:r>
              <w:rPr>
                <w:noProof/>
                <w:webHidden/>
              </w:rPr>
              <w:tab/>
            </w:r>
            <w:r>
              <w:rPr>
                <w:noProof/>
                <w:webHidden/>
              </w:rPr>
              <w:fldChar w:fldCharType="begin"/>
            </w:r>
            <w:r>
              <w:rPr>
                <w:noProof/>
                <w:webHidden/>
              </w:rPr>
              <w:instrText xml:space="preserve"> PAGEREF _Toc163230860 \h </w:instrText>
            </w:r>
            <w:r>
              <w:rPr>
                <w:noProof/>
                <w:webHidden/>
              </w:rPr>
            </w:r>
            <w:r>
              <w:rPr>
                <w:noProof/>
                <w:webHidden/>
              </w:rPr>
              <w:fldChar w:fldCharType="separate"/>
            </w:r>
            <w:r>
              <w:rPr>
                <w:noProof/>
                <w:webHidden/>
              </w:rPr>
              <w:t>16</w:t>
            </w:r>
            <w:r>
              <w:rPr>
                <w:noProof/>
                <w:webHidden/>
              </w:rPr>
              <w:fldChar w:fldCharType="end"/>
            </w:r>
          </w:hyperlink>
        </w:p>
        <w:p w14:paraId="58831D42" w14:textId="77777777" w:rsidR="00D3025C" w:rsidRDefault="00000000">
          <w:pPr>
            <w:pStyle w:val="TOC2"/>
            <w:tabs>
              <w:tab w:val="right" w:leader="dot" w:pos="9350"/>
            </w:tabs>
            <w:rPr>
              <w:noProof/>
            </w:rPr>
          </w:pPr>
          <w:hyperlink w:anchor="_Toc163230861" w:history="1">
            <w:r w:rsidRPr="009C391B">
              <w:rPr>
                <w:rStyle w:val="Hyperlink"/>
                <w:noProof/>
                <w:lang w:val="en-GB"/>
              </w:rPr>
              <w:t>1. Suggestion on new investment opportunities</w:t>
            </w:r>
            <w:r>
              <w:rPr>
                <w:noProof/>
                <w:webHidden/>
              </w:rPr>
              <w:tab/>
            </w:r>
            <w:r>
              <w:rPr>
                <w:noProof/>
                <w:webHidden/>
              </w:rPr>
              <w:fldChar w:fldCharType="begin"/>
            </w:r>
            <w:r>
              <w:rPr>
                <w:noProof/>
                <w:webHidden/>
              </w:rPr>
              <w:instrText xml:space="preserve"> PAGEREF _Toc163230861 \h </w:instrText>
            </w:r>
            <w:r>
              <w:rPr>
                <w:noProof/>
                <w:webHidden/>
              </w:rPr>
            </w:r>
            <w:r>
              <w:rPr>
                <w:noProof/>
                <w:webHidden/>
              </w:rPr>
              <w:fldChar w:fldCharType="separate"/>
            </w:r>
            <w:r>
              <w:rPr>
                <w:noProof/>
                <w:webHidden/>
              </w:rPr>
              <w:t>16</w:t>
            </w:r>
            <w:r>
              <w:rPr>
                <w:noProof/>
                <w:webHidden/>
              </w:rPr>
              <w:fldChar w:fldCharType="end"/>
            </w:r>
          </w:hyperlink>
        </w:p>
        <w:p w14:paraId="39065042" w14:textId="77777777" w:rsidR="00D3025C" w:rsidRDefault="00000000">
          <w:pPr>
            <w:pStyle w:val="TOC2"/>
            <w:tabs>
              <w:tab w:val="right" w:leader="dot" w:pos="9350"/>
            </w:tabs>
            <w:rPr>
              <w:noProof/>
            </w:rPr>
          </w:pPr>
          <w:hyperlink w:anchor="_Toc163230862" w:history="1">
            <w:r w:rsidRPr="009C391B">
              <w:rPr>
                <w:rStyle w:val="Hyperlink"/>
                <w:noProof/>
                <w:lang w:val="en-GB"/>
              </w:rPr>
              <w:t>2. Comment on investment viability under new assumptions</w:t>
            </w:r>
            <w:r>
              <w:rPr>
                <w:noProof/>
                <w:webHidden/>
              </w:rPr>
              <w:tab/>
            </w:r>
            <w:r>
              <w:rPr>
                <w:noProof/>
                <w:webHidden/>
              </w:rPr>
              <w:fldChar w:fldCharType="begin"/>
            </w:r>
            <w:r>
              <w:rPr>
                <w:noProof/>
                <w:webHidden/>
              </w:rPr>
              <w:instrText xml:space="preserve"> PAGEREF _Toc163230862 \h </w:instrText>
            </w:r>
            <w:r>
              <w:rPr>
                <w:noProof/>
                <w:webHidden/>
              </w:rPr>
            </w:r>
            <w:r>
              <w:rPr>
                <w:noProof/>
                <w:webHidden/>
              </w:rPr>
              <w:fldChar w:fldCharType="separate"/>
            </w:r>
            <w:r>
              <w:rPr>
                <w:noProof/>
                <w:webHidden/>
              </w:rPr>
              <w:t>18</w:t>
            </w:r>
            <w:r>
              <w:rPr>
                <w:noProof/>
                <w:webHidden/>
              </w:rPr>
              <w:fldChar w:fldCharType="end"/>
            </w:r>
          </w:hyperlink>
        </w:p>
        <w:p w14:paraId="4241C14E" w14:textId="77777777" w:rsidR="00D3025C" w:rsidRDefault="00000000">
          <w:pPr>
            <w:pStyle w:val="TOC2"/>
            <w:tabs>
              <w:tab w:val="right" w:leader="dot" w:pos="9350"/>
            </w:tabs>
            <w:rPr>
              <w:noProof/>
            </w:rPr>
          </w:pPr>
          <w:hyperlink w:anchor="_Toc163230863" w:history="1">
            <w:r w:rsidRPr="009C391B">
              <w:rPr>
                <w:rStyle w:val="Hyperlink"/>
                <w:noProof/>
                <w:lang w:val="en-GB"/>
              </w:rPr>
              <w:t>3. Advantages and shortcomings of the PBP, ARR, and NPV techniques</w:t>
            </w:r>
            <w:r>
              <w:rPr>
                <w:noProof/>
                <w:webHidden/>
              </w:rPr>
              <w:tab/>
            </w:r>
            <w:r>
              <w:rPr>
                <w:noProof/>
                <w:webHidden/>
              </w:rPr>
              <w:fldChar w:fldCharType="begin"/>
            </w:r>
            <w:r>
              <w:rPr>
                <w:noProof/>
                <w:webHidden/>
              </w:rPr>
              <w:instrText xml:space="preserve"> PAGEREF _Toc163230863 \h </w:instrText>
            </w:r>
            <w:r>
              <w:rPr>
                <w:noProof/>
                <w:webHidden/>
              </w:rPr>
            </w:r>
            <w:r>
              <w:rPr>
                <w:noProof/>
                <w:webHidden/>
              </w:rPr>
              <w:fldChar w:fldCharType="separate"/>
            </w:r>
            <w:r>
              <w:rPr>
                <w:noProof/>
                <w:webHidden/>
              </w:rPr>
              <w:t>18</w:t>
            </w:r>
            <w:r>
              <w:rPr>
                <w:noProof/>
                <w:webHidden/>
              </w:rPr>
              <w:fldChar w:fldCharType="end"/>
            </w:r>
          </w:hyperlink>
        </w:p>
        <w:p w14:paraId="6FA19231" w14:textId="77777777" w:rsidR="00D3025C" w:rsidRDefault="00000000">
          <w:pPr>
            <w:pStyle w:val="TOC2"/>
            <w:tabs>
              <w:tab w:val="right" w:leader="dot" w:pos="9350"/>
            </w:tabs>
            <w:rPr>
              <w:noProof/>
            </w:rPr>
          </w:pPr>
          <w:hyperlink w:anchor="_Toc163230864" w:history="1">
            <w:r w:rsidRPr="009C391B">
              <w:rPr>
                <w:rStyle w:val="Hyperlink"/>
                <w:noProof/>
                <w:lang w:val="en-GB"/>
              </w:rPr>
              <w:t>4. Overview of non-financial factors management needs to consider</w:t>
            </w:r>
            <w:r>
              <w:rPr>
                <w:noProof/>
                <w:webHidden/>
              </w:rPr>
              <w:tab/>
            </w:r>
            <w:r>
              <w:rPr>
                <w:noProof/>
                <w:webHidden/>
              </w:rPr>
              <w:fldChar w:fldCharType="begin"/>
            </w:r>
            <w:r>
              <w:rPr>
                <w:noProof/>
                <w:webHidden/>
              </w:rPr>
              <w:instrText xml:space="preserve"> PAGEREF _Toc163230864 \h </w:instrText>
            </w:r>
            <w:r>
              <w:rPr>
                <w:noProof/>
                <w:webHidden/>
              </w:rPr>
            </w:r>
            <w:r>
              <w:rPr>
                <w:noProof/>
                <w:webHidden/>
              </w:rPr>
              <w:fldChar w:fldCharType="separate"/>
            </w:r>
            <w:r>
              <w:rPr>
                <w:noProof/>
                <w:webHidden/>
              </w:rPr>
              <w:t>20</w:t>
            </w:r>
            <w:r>
              <w:rPr>
                <w:noProof/>
                <w:webHidden/>
              </w:rPr>
              <w:fldChar w:fldCharType="end"/>
            </w:r>
          </w:hyperlink>
        </w:p>
        <w:p w14:paraId="24725F3C" w14:textId="77777777" w:rsidR="00D3025C" w:rsidRDefault="00000000">
          <w:pPr>
            <w:pStyle w:val="TOC1"/>
            <w:tabs>
              <w:tab w:val="right" w:leader="dot" w:pos="9350"/>
            </w:tabs>
            <w:rPr>
              <w:noProof/>
            </w:rPr>
          </w:pPr>
          <w:hyperlink w:anchor="_Toc163230865" w:history="1">
            <w:r w:rsidRPr="009C391B">
              <w:rPr>
                <w:rStyle w:val="Hyperlink"/>
                <w:noProof/>
                <w:lang w:val="en-GB"/>
              </w:rPr>
              <w:t>Conclusion</w:t>
            </w:r>
            <w:r>
              <w:rPr>
                <w:noProof/>
                <w:webHidden/>
              </w:rPr>
              <w:tab/>
            </w:r>
            <w:r>
              <w:rPr>
                <w:noProof/>
                <w:webHidden/>
              </w:rPr>
              <w:fldChar w:fldCharType="begin"/>
            </w:r>
            <w:r>
              <w:rPr>
                <w:noProof/>
                <w:webHidden/>
              </w:rPr>
              <w:instrText xml:space="preserve"> PAGEREF _Toc163230865 \h </w:instrText>
            </w:r>
            <w:r>
              <w:rPr>
                <w:noProof/>
                <w:webHidden/>
              </w:rPr>
            </w:r>
            <w:r>
              <w:rPr>
                <w:noProof/>
                <w:webHidden/>
              </w:rPr>
              <w:fldChar w:fldCharType="separate"/>
            </w:r>
            <w:r>
              <w:rPr>
                <w:noProof/>
                <w:webHidden/>
              </w:rPr>
              <w:t>21</w:t>
            </w:r>
            <w:r>
              <w:rPr>
                <w:noProof/>
                <w:webHidden/>
              </w:rPr>
              <w:fldChar w:fldCharType="end"/>
            </w:r>
          </w:hyperlink>
        </w:p>
        <w:p w14:paraId="52BC36F8" w14:textId="77777777" w:rsidR="00D3025C" w:rsidRDefault="00000000">
          <w:pPr>
            <w:pStyle w:val="TOC1"/>
            <w:tabs>
              <w:tab w:val="right" w:leader="dot" w:pos="9350"/>
            </w:tabs>
            <w:rPr>
              <w:noProof/>
            </w:rPr>
          </w:pPr>
          <w:hyperlink w:anchor="_Toc163230866" w:history="1">
            <w:r w:rsidRPr="009C391B">
              <w:rPr>
                <w:rStyle w:val="Hyperlink"/>
                <w:noProof/>
                <w:lang w:val="en-GB"/>
              </w:rPr>
              <w:t>References</w:t>
            </w:r>
            <w:r>
              <w:rPr>
                <w:noProof/>
                <w:webHidden/>
              </w:rPr>
              <w:tab/>
            </w:r>
            <w:r>
              <w:rPr>
                <w:noProof/>
                <w:webHidden/>
              </w:rPr>
              <w:fldChar w:fldCharType="begin"/>
            </w:r>
            <w:r>
              <w:rPr>
                <w:noProof/>
                <w:webHidden/>
              </w:rPr>
              <w:instrText xml:space="preserve"> PAGEREF _Toc163230866 \h </w:instrText>
            </w:r>
            <w:r>
              <w:rPr>
                <w:noProof/>
                <w:webHidden/>
              </w:rPr>
            </w:r>
            <w:r>
              <w:rPr>
                <w:noProof/>
                <w:webHidden/>
              </w:rPr>
              <w:fldChar w:fldCharType="separate"/>
            </w:r>
            <w:r>
              <w:rPr>
                <w:noProof/>
                <w:webHidden/>
              </w:rPr>
              <w:t>23</w:t>
            </w:r>
            <w:r>
              <w:rPr>
                <w:noProof/>
                <w:webHidden/>
              </w:rPr>
              <w:fldChar w:fldCharType="end"/>
            </w:r>
          </w:hyperlink>
        </w:p>
        <w:p w14:paraId="1995AE73" w14:textId="77777777" w:rsidR="00D3025C" w:rsidRDefault="00000000">
          <w:pPr>
            <w:pStyle w:val="TOC1"/>
            <w:tabs>
              <w:tab w:val="right" w:leader="dot" w:pos="9350"/>
            </w:tabs>
            <w:rPr>
              <w:noProof/>
            </w:rPr>
          </w:pPr>
          <w:hyperlink w:anchor="_Toc163230867" w:history="1">
            <w:r w:rsidRPr="009C391B">
              <w:rPr>
                <w:rStyle w:val="Hyperlink"/>
                <w:noProof/>
              </w:rPr>
              <w:t>Appendices</w:t>
            </w:r>
            <w:r>
              <w:rPr>
                <w:noProof/>
                <w:webHidden/>
              </w:rPr>
              <w:tab/>
            </w:r>
            <w:r>
              <w:rPr>
                <w:noProof/>
                <w:webHidden/>
              </w:rPr>
              <w:fldChar w:fldCharType="begin"/>
            </w:r>
            <w:r>
              <w:rPr>
                <w:noProof/>
                <w:webHidden/>
              </w:rPr>
              <w:instrText xml:space="preserve"> PAGEREF _Toc163230867 \h </w:instrText>
            </w:r>
            <w:r>
              <w:rPr>
                <w:noProof/>
                <w:webHidden/>
              </w:rPr>
            </w:r>
            <w:r>
              <w:rPr>
                <w:noProof/>
                <w:webHidden/>
              </w:rPr>
              <w:fldChar w:fldCharType="separate"/>
            </w:r>
            <w:r>
              <w:rPr>
                <w:noProof/>
                <w:webHidden/>
              </w:rPr>
              <w:t>27</w:t>
            </w:r>
            <w:r>
              <w:rPr>
                <w:noProof/>
                <w:webHidden/>
              </w:rPr>
              <w:fldChar w:fldCharType="end"/>
            </w:r>
          </w:hyperlink>
        </w:p>
        <w:p w14:paraId="1E5229E7" w14:textId="77777777" w:rsidR="00D3025C" w:rsidRDefault="00000000">
          <w:pPr>
            <w:pStyle w:val="TOC2"/>
            <w:tabs>
              <w:tab w:val="right" w:leader="dot" w:pos="9350"/>
            </w:tabs>
            <w:rPr>
              <w:noProof/>
            </w:rPr>
          </w:pPr>
          <w:hyperlink w:anchor="_Toc163230868" w:history="1">
            <w:r w:rsidRPr="009C391B">
              <w:rPr>
                <w:rStyle w:val="Hyperlink"/>
                <w:noProof/>
              </w:rPr>
              <w:t>Appendix 1: Ratio Analysis of General Motors and Ford Motors</w:t>
            </w:r>
            <w:r>
              <w:rPr>
                <w:noProof/>
                <w:webHidden/>
              </w:rPr>
              <w:tab/>
            </w:r>
            <w:r>
              <w:rPr>
                <w:noProof/>
                <w:webHidden/>
              </w:rPr>
              <w:fldChar w:fldCharType="begin"/>
            </w:r>
            <w:r>
              <w:rPr>
                <w:noProof/>
                <w:webHidden/>
              </w:rPr>
              <w:instrText xml:space="preserve"> PAGEREF _Toc163230868 \h </w:instrText>
            </w:r>
            <w:r>
              <w:rPr>
                <w:noProof/>
                <w:webHidden/>
              </w:rPr>
            </w:r>
            <w:r>
              <w:rPr>
                <w:noProof/>
                <w:webHidden/>
              </w:rPr>
              <w:fldChar w:fldCharType="separate"/>
            </w:r>
            <w:r>
              <w:rPr>
                <w:noProof/>
                <w:webHidden/>
              </w:rPr>
              <w:t>27</w:t>
            </w:r>
            <w:r>
              <w:rPr>
                <w:noProof/>
                <w:webHidden/>
              </w:rPr>
              <w:fldChar w:fldCharType="end"/>
            </w:r>
          </w:hyperlink>
        </w:p>
        <w:p w14:paraId="511E3844" w14:textId="77777777" w:rsidR="00D3025C" w:rsidRDefault="00000000">
          <w:pPr>
            <w:pStyle w:val="TOC2"/>
            <w:tabs>
              <w:tab w:val="right" w:leader="dot" w:pos="9350"/>
            </w:tabs>
            <w:rPr>
              <w:noProof/>
            </w:rPr>
          </w:pPr>
          <w:hyperlink w:anchor="_Toc163230869" w:history="1">
            <w:r w:rsidRPr="009C391B">
              <w:rPr>
                <w:rStyle w:val="Hyperlink"/>
                <w:noProof/>
              </w:rPr>
              <w:t>Appendix 2: Investment Proposals in Normal Case</w:t>
            </w:r>
            <w:r>
              <w:rPr>
                <w:noProof/>
                <w:webHidden/>
              </w:rPr>
              <w:tab/>
            </w:r>
            <w:r>
              <w:rPr>
                <w:noProof/>
                <w:webHidden/>
              </w:rPr>
              <w:fldChar w:fldCharType="begin"/>
            </w:r>
            <w:r>
              <w:rPr>
                <w:noProof/>
                <w:webHidden/>
              </w:rPr>
              <w:instrText xml:space="preserve"> PAGEREF _Toc163230869 \h </w:instrText>
            </w:r>
            <w:r>
              <w:rPr>
                <w:noProof/>
                <w:webHidden/>
              </w:rPr>
            </w:r>
            <w:r>
              <w:rPr>
                <w:noProof/>
                <w:webHidden/>
              </w:rPr>
              <w:fldChar w:fldCharType="separate"/>
            </w:r>
            <w:r>
              <w:rPr>
                <w:noProof/>
                <w:webHidden/>
              </w:rPr>
              <w:t>28</w:t>
            </w:r>
            <w:r>
              <w:rPr>
                <w:noProof/>
                <w:webHidden/>
              </w:rPr>
              <w:fldChar w:fldCharType="end"/>
            </w:r>
          </w:hyperlink>
        </w:p>
        <w:p w14:paraId="0F616F22" w14:textId="77777777" w:rsidR="00D3025C" w:rsidRDefault="00000000">
          <w:pPr>
            <w:pStyle w:val="TOC2"/>
            <w:tabs>
              <w:tab w:val="right" w:leader="dot" w:pos="9350"/>
            </w:tabs>
            <w:rPr>
              <w:noProof/>
            </w:rPr>
          </w:pPr>
          <w:hyperlink w:anchor="_Toc163230870" w:history="1">
            <w:r w:rsidRPr="009C391B">
              <w:rPr>
                <w:rStyle w:val="Hyperlink"/>
                <w:noProof/>
              </w:rPr>
              <w:t>Appendix 3: Investment Proposals in Assumption Case</w:t>
            </w:r>
            <w:r>
              <w:rPr>
                <w:noProof/>
                <w:webHidden/>
              </w:rPr>
              <w:tab/>
            </w:r>
            <w:r>
              <w:rPr>
                <w:noProof/>
                <w:webHidden/>
              </w:rPr>
              <w:fldChar w:fldCharType="begin"/>
            </w:r>
            <w:r>
              <w:rPr>
                <w:noProof/>
                <w:webHidden/>
              </w:rPr>
              <w:instrText xml:space="preserve"> PAGEREF _Toc163230870 \h </w:instrText>
            </w:r>
            <w:r>
              <w:rPr>
                <w:noProof/>
                <w:webHidden/>
              </w:rPr>
            </w:r>
            <w:r>
              <w:rPr>
                <w:noProof/>
                <w:webHidden/>
              </w:rPr>
              <w:fldChar w:fldCharType="separate"/>
            </w:r>
            <w:r>
              <w:rPr>
                <w:noProof/>
                <w:webHidden/>
              </w:rPr>
              <w:t>31</w:t>
            </w:r>
            <w:r>
              <w:rPr>
                <w:noProof/>
                <w:webHidden/>
              </w:rPr>
              <w:fldChar w:fldCharType="end"/>
            </w:r>
          </w:hyperlink>
        </w:p>
        <w:p w14:paraId="27F12A71" w14:textId="77777777" w:rsidR="00D3025C" w:rsidRDefault="00000000">
          <w:r>
            <w:rPr>
              <w:b/>
              <w:bCs/>
              <w:noProof/>
            </w:rPr>
            <w:fldChar w:fldCharType="end"/>
          </w:r>
        </w:p>
      </w:sdtContent>
    </w:sdt>
    <w:p w14:paraId="69F608A4" w14:textId="77777777" w:rsidR="00D3025C" w:rsidRDefault="00000000">
      <w:pPr>
        <w:rPr>
          <w:b/>
          <w:lang w:val="en-GB"/>
        </w:rPr>
      </w:pPr>
      <w:r>
        <w:rPr>
          <w:lang w:val="en-GB"/>
        </w:rPr>
        <w:br w:type="page"/>
      </w:r>
    </w:p>
    <w:p w14:paraId="00434D7E" w14:textId="5F2D70B1" w:rsidR="004957AF" w:rsidRDefault="004957AF" w:rsidP="004957AF">
      <w:pPr>
        <w:jc w:val="center"/>
        <w:rPr>
          <w:b/>
          <w:bCs/>
          <w:sz w:val="28"/>
          <w:szCs w:val="28"/>
          <w:lang w:val="en-GB"/>
        </w:rPr>
      </w:pPr>
      <w:bookmarkStart w:id="1" w:name="_Toc163230854"/>
      <w:r w:rsidRPr="004957AF">
        <w:rPr>
          <w:b/>
          <w:bCs/>
          <w:sz w:val="28"/>
          <w:szCs w:val="28"/>
          <w:lang w:val="en-GB"/>
        </w:rPr>
        <w:lastRenderedPageBreak/>
        <w:t>List of figures</w:t>
      </w:r>
    </w:p>
    <w:p w14:paraId="659D2CAF" w14:textId="617232AF" w:rsidR="004957AF" w:rsidRDefault="004957AF">
      <w:pPr>
        <w:pStyle w:val="TableofFigures"/>
        <w:tabs>
          <w:tab w:val="right" w:leader="dot" w:pos="9350"/>
        </w:tabs>
        <w:rPr>
          <w:rFonts w:asciiTheme="minorHAnsi" w:eastAsiaTheme="minorEastAsia" w:hAnsiTheme="minorHAnsi" w:cstheme="minorBidi"/>
          <w:noProof/>
          <w:kern w:val="2"/>
          <w:sz w:val="22"/>
          <w:szCs w:val="22"/>
          <w:lang w:val="en-IN"/>
          <w14:ligatures w14:val="standardContextual"/>
        </w:rPr>
      </w:pPr>
      <w:r>
        <w:rPr>
          <w:b/>
          <w:bCs/>
          <w:sz w:val="28"/>
          <w:szCs w:val="28"/>
          <w:lang w:val="en-GB"/>
        </w:rPr>
        <w:fldChar w:fldCharType="begin"/>
      </w:r>
      <w:r>
        <w:rPr>
          <w:b/>
          <w:bCs/>
          <w:sz w:val="28"/>
          <w:szCs w:val="28"/>
          <w:lang w:val="en-GB"/>
        </w:rPr>
        <w:instrText xml:space="preserve"> TOC \h \z \t "Heading 3" \c </w:instrText>
      </w:r>
      <w:r>
        <w:rPr>
          <w:b/>
          <w:bCs/>
          <w:sz w:val="28"/>
          <w:szCs w:val="28"/>
          <w:lang w:val="en-GB"/>
        </w:rPr>
        <w:fldChar w:fldCharType="separate"/>
      </w:r>
      <w:hyperlink w:anchor="_Toc164762693" w:history="1">
        <w:r w:rsidRPr="000F6EDA">
          <w:rPr>
            <w:rStyle w:val="Hyperlink"/>
            <w:noProof/>
          </w:rPr>
          <w:t>Figure 1: Revenue of the company in the last 10 Years</w:t>
        </w:r>
        <w:r>
          <w:rPr>
            <w:noProof/>
            <w:webHidden/>
          </w:rPr>
          <w:tab/>
        </w:r>
        <w:r>
          <w:rPr>
            <w:noProof/>
            <w:webHidden/>
          </w:rPr>
          <w:fldChar w:fldCharType="begin"/>
        </w:r>
        <w:r>
          <w:rPr>
            <w:noProof/>
            <w:webHidden/>
          </w:rPr>
          <w:instrText xml:space="preserve"> PAGEREF _Toc164762693 \h </w:instrText>
        </w:r>
        <w:r>
          <w:rPr>
            <w:noProof/>
            <w:webHidden/>
          </w:rPr>
        </w:r>
        <w:r>
          <w:rPr>
            <w:noProof/>
            <w:webHidden/>
          </w:rPr>
          <w:fldChar w:fldCharType="separate"/>
        </w:r>
        <w:r>
          <w:rPr>
            <w:noProof/>
            <w:webHidden/>
          </w:rPr>
          <w:t>5</w:t>
        </w:r>
        <w:r>
          <w:rPr>
            <w:noProof/>
            <w:webHidden/>
          </w:rPr>
          <w:fldChar w:fldCharType="end"/>
        </w:r>
      </w:hyperlink>
    </w:p>
    <w:p w14:paraId="59C81196" w14:textId="2F95D184" w:rsidR="004957AF" w:rsidRDefault="00000000">
      <w:pPr>
        <w:pStyle w:val="TableofFigures"/>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64762694" w:history="1">
        <w:r w:rsidR="004957AF" w:rsidRPr="000F6EDA">
          <w:rPr>
            <w:rStyle w:val="Hyperlink"/>
            <w:noProof/>
          </w:rPr>
          <w:t>Figure 2: Revenue of the firm region-wise</w:t>
        </w:r>
        <w:r w:rsidR="004957AF">
          <w:rPr>
            <w:noProof/>
            <w:webHidden/>
          </w:rPr>
          <w:tab/>
        </w:r>
        <w:r w:rsidR="004957AF">
          <w:rPr>
            <w:noProof/>
            <w:webHidden/>
          </w:rPr>
          <w:fldChar w:fldCharType="begin"/>
        </w:r>
        <w:r w:rsidR="004957AF">
          <w:rPr>
            <w:noProof/>
            <w:webHidden/>
          </w:rPr>
          <w:instrText xml:space="preserve"> PAGEREF _Toc164762694 \h </w:instrText>
        </w:r>
        <w:r w:rsidR="004957AF">
          <w:rPr>
            <w:noProof/>
            <w:webHidden/>
          </w:rPr>
        </w:r>
        <w:r w:rsidR="004957AF">
          <w:rPr>
            <w:noProof/>
            <w:webHidden/>
          </w:rPr>
          <w:fldChar w:fldCharType="separate"/>
        </w:r>
        <w:r w:rsidR="004957AF">
          <w:rPr>
            <w:noProof/>
            <w:webHidden/>
          </w:rPr>
          <w:t>6</w:t>
        </w:r>
        <w:r w:rsidR="004957AF">
          <w:rPr>
            <w:noProof/>
            <w:webHidden/>
          </w:rPr>
          <w:fldChar w:fldCharType="end"/>
        </w:r>
      </w:hyperlink>
    </w:p>
    <w:p w14:paraId="6B57836D" w14:textId="4316D03F" w:rsidR="004957AF" w:rsidRDefault="00000000">
      <w:pPr>
        <w:pStyle w:val="TableofFigures"/>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64762695" w:history="1">
        <w:r w:rsidR="004957AF" w:rsidRPr="000F6EDA">
          <w:rPr>
            <w:rStyle w:val="Hyperlink"/>
            <w:noProof/>
          </w:rPr>
          <w:t>Figure 3: Profitability ratio of General Motors</w:t>
        </w:r>
        <w:r w:rsidR="004957AF">
          <w:rPr>
            <w:noProof/>
            <w:webHidden/>
          </w:rPr>
          <w:tab/>
        </w:r>
        <w:r w:rsidR="004957AF">
          <w:rPr>
            <w:noProof/>
            <w:webHidden/>
          </w:rPr>
          <w:fldChar w:fldCharType="begin"/>
        </w:r>
        <w:r w:rsidR="004957AF">
          <w:rPr>
            <w:noProof/>
            <w:webHidden/>
          </w:rPr>
          <w:instrText xml:space="preserve"> PAGEREF _Toc164762695 \h </w:instrText>
        </w:r>
        <w:r w:rsidR="004957AF">
          <w:rPr>
            <w:noProof/>
            <w:webHidden/>
          </w:rPr>
        </w:r>
        <w:r w:rsidR="004957AF">
          <w:rPr>
            <w:noProof/>
            <w:webHidden/>
          </w:rPr>
          <w:fldChar w:fldCharType="separate"/>
        </w:r>
        <w:r w:rsidR="004957AF">
          <w:rPr>
            <w:noProof/>
            <w:webHidden/>
          </w:rPr>
          <w:t>8</w:t>
        </w:r>
        <w:r w:rsidR="004957AF">
          <w:rPr>
            <w:noProof/>
            <w:webHidden/>
          </w:rPr>
          <w:fldChar w:fldCharType="end"/>
        </w:r>
      </w:hyperlink>
    </w:p>
    <w:p w14:paraId="1759E7EF" w14:textId="5D35E0C7" w:rsidR="004957AF" w:rsidRDefault="00000000">
      <w:pPr>
        <w:pStyle w:val="TableofFigures"/>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64762696" w:history="1">
        <w:r w:rsidR="004957AF" w:rsidRPr="000F6EDA">
          <w:rPr>
            <w:rStyle w:val="Hyperlink"/>
            <w:noProof/>
          </w:rPr>
          <w:t>Figure 4: Liquidity Ratios</w:t>
        </w:r>
        <w:r w:rsidR="004957AF">
          <w:rPr>
            <w:noProof/>
            <w:webHidden/>
          </w:rPr>
          <w:tab/>
        </w:r>
        <w:r w:rsidR="004957AF">
          <w:rPr>
            <w:noProof/>
            <w:webHidden/>
          </w:rPr>
          <w:fldChar w:fldCharType="begin"/>
        </w:r>
        <w:r w:rsidR="004957AF">
          <w:rPr>
            <w:noProof/>
            <w:webHidden/>
          </w:rPr>
          <w:instrText xml:space="preserve"> PAGEREF _Toc164762696 \h </w:instrText>
        </w:r>
        <w:r w:rsidR="004957AF">
          <w:rPr>
            <w:noProof/>
            <w:webHidden/>
          </w:rPr>
        </w:r>
        <w:r w:rsidR="004957AF">
          <w:rPr>
            <w:noProof/>
            <w:webHidden/>
          </w:rPr>
          <w:fldChar w:fldCharType="separate"/>
        </w:r>
        <w:r w:rsidR="004957AF">
          <w:rPr>
            <w:noProof/>
            <w:webHidden/>
          </w:rPr>
          <w:t>9</w:t>
        </w:r>
        <w:r w:rsidR="004957AF">
          <w:rPr>
            <w:noProof/>
            <w:webHidden/>
          </w:rPr>
          <w:fldChar w:fldCharType="end"/>
        </w:r>
      </w:hyperlink>
    </w:p>
    <w:p w14:paraId="6F236EB3" w14:textId="58E82FCD" w:rsidR="004957AF" w:rsidRDefault="00000000">
      <w:pPr>
        <w:pStyle w:val="TableofFigures"/>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64762697" w:history="1">
        <w:r w:rsidR="004957AF" w:rsidRPr="000F6EDA">
          <w:rPr>
            <w:rStyle w:val="Hyperlink"/>
            <w:noProof/>
          </w:rPr>
          <w:t>Figure 5: Efficiency ratio</w:t>
        </w:r>
        <w:r w:rsidR="004957AF">
          <w:rPr>
            <w:noProof/>
            <w:webHidden/>
          </w:rPr>
          <w:tab/>
        </w:r>
        <w:r w:rsidR="004957AF">
          <w:rPr>
            <w:noProof/>
            <w:webHidden/>
          </w:rPr>
          <w:fldChar w:fldCharType="begin"/>
        </w:r>
        <w:r w:rsidR="004957AF">
          <w:rPr>
            <w:noProof/>
            <w:webHidden/>
          </w:rPr>
          <w:instrText xml:space="preserve"> PAGEREF _Toc164762697 \h </w:instrText>
        </w:r>
        <w:r w:rsidR="004957AF">
          <w:rPr>
            <w:noProof/>
            <w:webHidden/>
          </w:rPr>
        </w:r>
        <w:r w:rsidR="004957AF">
          <w:rPr>
            <w:noProof/>
            <w:webHidden/>
          </w:rPr>
          <w:fldChar w:fldCharType="separate"/>
        </w:r>
        <w:r w:rsidR="004957AF">
          <w:rPr>
            <w:noProof/>
            <w:webHidden/>
          </w:rPr>
          <w:t>11</w:t>
        </w:r>
        <w:r w:rsidR="004957AF">
          <w:rPr>
            <w:noProof/>
            <w:webHidden/>
          </w:rPr>
          <w:fldChar w:fldCharType="end"/>
        </w:r>
      </w:hyperlink>
    </w:p>
    <w:p w14:paraId="3D5AAFAE" w14:textId="443CFEBE" w:rsidR="004957AF" w:rsidRDefault="00000000">
      <w:pPr>
        <w:pStyle w:val="TableofFigures"/>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64762698" w:history="1">
        <w:r w:rsidR="004957AF" w:rsidRPr="000F6EDA">
          <w:rPr>
            <w:rStyle w:val="Hyperlink"/>
            <w:noProof/>
          </w:rPr>
          <w:t>Figure 6: Gearing Ratio</w:t>
        </w:r>
        <w:r w:rsidR="004957AF">
          <w:rPr>
            <w:noProof/>
            <w:webHidden/>
          </w:rPr>
          <w:tab/>
        </w:r>
        <w:r w:rsidR="004957AF">
          <w:rPr>
            <w:noProof/>
            <w:webHidden/>
          </w:rPr>
          <w:fldChar w:fldCharType="begin"/>
        </w:r>
        <w:r w:rsidR="004957AF">
          <w:rPr>
            <w:noProof/>
            <w:webHidden/>
          </w:rPr>
          <w:instrText xml:space="preserve"> PAGEREF _Toc164762698 \h </w:instrText>
        </w:r>
        <w:r w:rsidR="004957AF">
          <w:rPr>
            <w:noProof/>
            <w:webHidden/>
          </w:rPr>
        </w:r>
        <w:r w:rsidR="004957AF">
          <w:rPr>
            <w:noProof/>
            <w:webHidden/>
          </w:rPr>
          <w:fldChar w:fldCharType="separate"/>
        </w:r>
        <w:r w:rsidR="004957AF">
          <w:rPr>
            <w:noProof/>
            <w:webHidden/>
          </w:rPr>
          <w:t>12</w:t>
        </w:r>
        <w:r w:rsidR="004957AF">
          <w:rPr>
            <w:noProof/>
            <w:webHidden/>
          </w:rPr>
          <w:fldChar w:fldCharType="end"/>
        </w:r>
      </w:hyperlink>
    </w:p>
    <w:p w14:paraId="5B127A5B" w14:textId="75DCFCB9" w:rsidR="004957AF" w:rsidRDefault="00000000">
      <w:pPr>
        <w:pStyle w:val="TableofFigures"/>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64762699" w:history="1">
        <w:r w:rsidR="004957AF" w:rsidRPr="000F6EDA">
          <w:rPr>
            <w:rStyle w:val="Hyperlink"/>
            <w:noProof/>
          </w:rPr>
          <w:t>Figure 7: Comparison of Profitability performance</w:t>
        </w:r>
        <w:r w:rsidR="004957AF">
          <w:rPr>
            <w:noProof/>
            <w:webHidden/>
          </w:rPr>
          <w:tab/>
        </w:r>
        <w:r w:rsidR="004957AF">
          <w:rPr>
            <w:noProof/>
            <w:webHidden/>
          </w:rPr>
          <w:fldChar w:fldCharType="begin"/>
        </w:r>
        <w:r w:rsidR="004957AF">
          <w:rPr>
            <w:noProof/>
            <w:webHidden/>
          </w:rPr>
          <w:instrText xml:space="preserve"> PAGEREF _Toc164762699 \h </w:instrText>
        </w:r>
        <w:r w:rsidR="004957AF">
          <w:rPr>
            <w:noProof/>
            <w:webHidden/>
          </w:rPr>
        </w:r>
        <w:r w:rsidR="004957AF">
          <w:rPr>
            <w:noProof/>
            <w:webHidden/>
          </w:rPr>
          <w:fldChar w:fldCharType="separate"/>
        </w:r>
        <w:r w:rsidR="004957AF">
          <w:rPr>
            <w:noProof/>
            <w:webHidden/>
          </w:rPr>
          <w:t>13</w:t>
        </w:r>
        <w:r w:rsidR="004957AF">
          <w:rPr>
            <w:noProof/>
            <w:webHidden/>
          </w:rPr>
          <w:fldChar w:fldCharType="end"/>
        </w:r>
      </w:hyperlink>
    </w:p>
    <w:p w14:paraId="6EECCE39" w14:textId="3E13319C" w:rsidR="004957AF" w:rsidRDefault="00000000">
      <w:pPr>
        <w:pStyle w:val="TableofFigures"/>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64762700" w:history="1">
        <w:r w:rsidR="004957AF" w:rsidRPr="000F6EDA">
          <w:rPr>
            <w:rStyle w:val="Hyperlink"/>
            <w:noProof/>
          </w:rPr>
          <w:t>Figure 8: Comparison of Efficiency performance</w:t>
        </w:r>
        <w:r w:rsidR="004957AF">
          <w:rPr>
            <w:noProof/>
            <w:webHidden/>
          </w:rPr>
          <w:tab/>
        </w:r>
        <w:r w:rsidR="004957AF">
          <w:rPr>
            <w:noProof/>
            <w:webHidden/>
          </w:rPr>
          <w:fldChar w:fldCharType="begin"/>
        </w:r>
        <w:r w:rsidR="004957AF">
          <w:rPr>
            <w:noProof/>
            <w:webHidden/>
          </w:rPr>
          <w:instrText xml:space="preserve"> PAGEREF _Toc164762700 \h </w:instrText>
        </w:r>
        <w:r w:rsidR="004957AF">
          <w:rPr>
            <w:noProof/>
            <w:webHidden/>
          </w:rPr>
        </w:r>
        <w:r w:rsidR="004957AF">
          <w:rPr>
            <w:noProof/>
            <w:webHidden/>
          </w:rPr>
          <w:fldChar w:fldCharType="separate"/>
        </w:r>
        <w:r w:rsidR="004957AF">
          <w:rPr>
            <w:noProof/>
            <w:webHidden/>
          </w:rPr>
          <w:t>14</w:t>
        </w:r>
        <w:r w:rsidR="004957AF">
          <w:rPr>
            <w:noProof/>
            <w:webHidden/>
          </w:rPr>
          <w:fldChar w:fldCharType="end"/>
        </w:r>
      </w:hyperlink>
    </w:p>
    <w:p w14:paraId="0DB04065" w14:textId="6A4F2771" w:rsidR="004957AF" w:rsidRDefault="00000000">
      <w:pPr>
        <w:pStyle w:val="TableofFigures"/>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64762701" w:history="1">
        <w:r w:rsidR="004957AF" w:rsidRPr="000F6EDA">
          <w:rPr>
            <w:rStyle w:val="Hyperlink"/>
            <w:noProof/>
          </w:rPr>
          <w:t>Figure 9: Comparison of Liquidity performance</w:t>
        </w:r>
        <w:r w:rsidR="004957AF">
          <w:rPr>
            <w:noProof/>
            <w:webHidden/>
          </w:rPr>
          <w:tab/>
        </w:r>
        <w:r w:rsidR="004957AF">
          <w:rPr>
            <w:noProof/>
            <w:webHidden/>
          </w:rPr>
          <w:fldChar w:fldCharType="begin"/>
        </w:r>
        <w:r w:rsidR="004957AF">
          <w:rPr>
            <w:noProof/>
            <w:webHidden/>
          </w:rPr>
          <w:instrText xml:space="preserve"> PAGEREF _Toc164762701 \h </w:instrText>
        </w:r>
        <w:r w:rsidR="004957AF">
          <w:rPr>
            <w:noProof/>
            <w:webHidden/>
          </w:rPr>
        </w:r>
        <w:r w:rsidR="004957AF">
          <w:rPr>
            <w:noProof/>
            <w:webHidden/>
          </w:rPr>
          <w:fldChar w:fldCharType="separate"/>
        </w:r>
        <w:r w:rsidR="004957AF">
          <w:rPr>
            <w:noProof/>
            <w:webHidden/>
          </w:rPr>
          <w:t>15</w:t>
        </w:r>
        <w:r w:rsidR="004957AF">
          <w:rPr>
            <w:noProof/>
            <w:webHidden/>
          </w:rPr>
          <w:fldChar w:fldCharType="end"/>
        </w:r>
      </w:hyperlink>
    </w:p>
    <w:p w14:paraId="3DA31485" w14:textId="54F70FDC" w:rsidR="004957AF" w:rsidRDefault="00000000">
      <w:pPr>
        <w:pStyle w:val="TableofFigures"/>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64762702" w:history="1">
        <w:r w:rsidR="004957AF" w:rsidRPr="000F6EDA">
          <w:rPr>
            <w:rStyle w:val="Hyperlink"/>
            <w:noProof/>
          </w:rPr>
          <w:t>Figure 10: Comparison of Gearing performance</w:t>
        </w:r>
        <w:r w:rsidR="004957AF">
          <w:rPr>
            <w:noProof/>
            <w:webHidden/>
          </w:rPr>
          <w:tab/>
        </w:r>
        <w:r w:rsidR="004957AF">
          <w:rPr>
            <w:noProof/>
            <w:webHidden/>
          </w:rPr>
          <w:fldChar w:fldCharType="begin"/>
        </w:r>
        <w:r w:rsidR="004957AF">
          <w:rPr>
            <w:noProof/>
            <w:webHidden/>
          </w:rPr>
          <w:instrText xml:space="preserve"> PAGEREF _Toc164762702 \h </w:instrText>
        </w:r>
        <w:r w:rsidR="004957AF">
          <w:rPr>
            <w:noProof/>
            <w:webHidden/>
          </w:rPr>
        </w:r>
        <w:r w:rsidR="004957AF">
          <w:rPr>
            <w:noProof/>
            <w:webHidden/>
          </w:rPr>
          <w:fldChar w:fldCharType="separate"/>
        </w:r>
        <w:r w:rsidR="004957AF">
          <w:rPr>
            <w:noProof/>
            <w:webHidden/>
          </w:rPr>
          <w:t>16</w:t>
        </w:r>
        <w:r w:rsidR="004957AF">
          <w:rPr>
            <w:noProof/>
            <w:webHidden/>
          </w:rPr>
          <w:fldChar w:fldCharType="end"/>
        </w:r>
      </w:hyperlink>
    </w:p>
    <w:p w14:paraId="28D4718B" w14:textId="34570424" w:rsidR="004957AF" w:rsidRPr="004957AF" w:rsidRDefault="004957AF" w:rsidP="004957AF">
      <w:pPr>
        <w:jc w:val="center"/>
        <w:rPr>
          <w:b/>
          <w:bCs/>
          <w:sz w:val="28"/>
          <w:szCs w:val="28"/>
          <w:lang w:val="en-GB"/>
        </w:rPr>
      </w:pPr>
      <w:r>
        <w:rPr>
          <w:b/>
          <w:bCs/>
          <w:sz w:val="28"/>
          <w:szCs w:val="28"/>
          <w:lang w:val="en-GB"/>
        </w:rPr>
        <w:fldChar w:fldCharType="end"/>
      </w:r>
    </w:p>
    <w:p w14:paraId="19DD64CA" w14:textId="77777777" w:rsidR="004957AF" w:rsidRDefault="004957AF">
      <w:pPr>
        <w:rPr>
          <w:b/>
          <w:lang w:val="en-GB"/>
        </w:rPr>
      </w:pPr>
      <w:r>
        <w:rPr>
          <w:lang w:val="en-GB"/>
        </w:rPr>
        <w:br w:type="page"/>
      </w:r>
    </w:p>
    <w:p w14:paraId="1EB66262" w14:textId="4018FE37" w:rsidR="00B865C9" w:rsidRPr="008F2C7C" w:rsidRDefault="00000000">
      <w:pPr>
        <w:pStyle w:val="Heading1"/>
        <w:rPr>
          <w:lang w:val="en-GB"/>
        </w:rPr>
      </w:pPr>
      <w:r w:rsidRPr="008F2C7C">
        <w:rPr>
          <w:lang w:val="en-GB"/>
        </w:rPr>
        <w:lastRenderedPageBreak/>
        <w:t>Introduction</w:t>
      </w:r>
      <w:bookmarkEnd w:id="1"/>
      <w:r w:rsidRPr="008F2C7C">
        <w:rPr>
          <w:lang w:val="en-GB"/>
        </w:rPr>
        <w:t xml:space="preserve"> </w:t>
      </w:r>
    </w:p>
    <w:p w14:paraId="55E9052B" w14:textId="2591032D" w:rsidR="00B865C9" w:rsidRPr="008F2C7C" w:rsidRDefault="00000000">
      <w:pPr>
        <w:rPr>
          <w:lang w:val="en-GB"/>
        </w:rPr>
      </w:pPr>
      <w:r w:rsidRPr="008F2C7C">
        <w:rPr>
          <w:lang w:val="en-GB"/>
        </w:rPr>
        <w:t>Financial performance management refers to the strategic process of monitoring, controlling, and evaluating financial resources to attain a specific business goal. Every organisation requires finances to acquire physical resources, conduct production activities, and other operational activities</w:t>
      </w:r>
      <w:r w:rsidR="009E15C0">
        <w:rPr>
          <w:lang w:val="en-GB"/>
        </w:rPr>
        <w:t xml:space="preserve"> (</w:t>
      </w:r>
      <w:r w:rsidR="00F4109B" w:rsidRPr="00F4109B">
        <w:rPr>
          <w:lang w:val="en-GB"/>
        </w:rPr>
        <w:t>Augustyn</w:t>
      </w:r>
      <w:r w:rsidR="00F4109B">
        <w:rPr>
          <w:lang w:val="en-GB"/>
        </w:rPr>
        <w:t xml:space="preserve"> </w:t>
      </w:r>
      <w:r w:rsidR="00F4109B">
        <w:rPr>
          <w:i/>
          <w:iCs/>
          <w:lang w:val="en-GB"/>
        </w:rPr>
        <w:t>et al</w:t>
      </w:r>
      <w:r w:rsidR="00F4109B">
        <w:rPr>
          <w:lang w:val="en-GB"/>
        </w:rPr>
        <w:t>., 2021</w:t>
      </w:r>
      <w:r w:rsidR="009E15C0">
        <w:rPr>
          <w:lang w:val="en-GB"/>
        </w:rPr>
        <w:t>)</w:t>
      </w:r>
      <w:r w:rsidRPr="008F2C7C">
        <w:rPr>
          <w:lang w:val="en-GB"/>
        </w:rPr>
        <w:t xml:space="preserve">. Eventually, effective financial management assures businesses to make strategic investments in resources and opportunities in such a manner that the returns obtained are higher than the financing cost. However, the actual problem that withstands is the effective utilisation of the capital by means of financial planning and </w:t>
      </w:r>
      <w:r w:rsidR="009E15C0">
        <w:rPr>
          <w:lang w:val="en-GB"/>
        </w:rPr>
        <w:t>controlling (</w:t>
      </w:r>
      <w:r w:rsidR="00192A7D" w:rsidRPr="00192A7D">
        <w:rPr>
          <w:lang w:val="en-GB"/>
        </w:rPr>
        <w:t>Liu</w:t>
      </w:r>
      <w:r w:rsidR="00192A7D">
        <w:rPr>
          <w:lang w:val="en-GB"/>
        </w:rPr>
        <w:t xml:space="preserve"> </w:t>
      </w:r>
      <w:r w:rsidR="00192A7D">
        <w:rPr>
          <w:i/>
          <w:iCs/>
          <w:lang w:val="en-GB"/>
        </w:rPr>
        <w:t>et al</w:t>
      </w:r>
      <w:r w:rsidR="00192A7D">
        <w:rPr>
          <w:lang w:val="en-GB"/>
        </w:rPr>
        <w:t>., 2022</w:t>
      </w:r>
      <w:r w:rsidR="009E15C0">
        <w:rPr>
          <w:lang w:val="en-GB"/>
        </w:rPr>
        <w:t>)</w:t>
      </w:r>
      <w:r w:rsidRPr="008F2C7C">
        <w:rPr>
          <w:lang w:val="en-GB"/>
        </w:rPr>
        <w:t>.</w:t>
      </w:r>
      <w:r w:rsidR="009E15C0">
        <w:rPr>
          <w:lang w:val="en-GB"/>
        </w:rPr>
        <w:t xml:space="preserve"> </w:t>
      </w:r>
      <w:r w:rsidRPr="008F2C7C">
        <w:rPr>
          <w:lang w:val="en-GB"/>
        </w:rPr>
        <w:t xml:space="preserve">The current report delves into the financial performance evaluation of General Motors and the feasibility of the investment opportunities for the firm. The comparison of the firm with its potential competitor Ford Motors has been done to aid in determining the financial strengthening of the firm in the competitive market. </w:t>
      </w:r>
    </w:p>
    <w:p w14:paraId="67782BF8" w14:textId="77777777" w:rsidR="00B865C9" w:rsidRPr="008F2C7C" w:rsidRDefault="00000000">
      <w:pPr>
        <w:pStyle w:val="Heading1"/>
        <w:rPr>
          <w:lang w:val="en-GB"/>
        </w:rPr>
      </w:pPr>
      <w:bookmarkStart w:id="2" w:name="_mzc7uca7j6wc" w:colFirst="0" w:colLast="0"/>
      <w:bookmarkStart w:id="3" w:name="_Toc163230855"/>
      <w:bookmarkEnd w:id="2"/>
      <w:r w:rsidRPr="008F2C7C">
        <w:rPr>
          <w:lang w:val="en-GB"/>
        </w:rPr>
        <w:t xml:space="preserve">Part A: Background </w:t>
      </w:r>
      <w:r w:rsidR="00D70236" w:rsidRPr="008F2C7C">
        <w:rPr>
          <w:lang w:val="en-GB"/>
        </w:rPr>
        <w:t>of the</w:t>
      </w:r>
      <w:r w:rsidRPr="008F2C7C">
        <w:rPr>
          <w:lang w:val="en-GB"/>
        </w:rPr>
        <w:t xml:space="preserve"> Company</w:t>
      </w:r>
      <w:bookmarkEnd w:id="3"/>
      <w:r w:rsidRPr="008F2C7C">
        <w:rPr>
          <w:lang w:val="en-GB"/>
        </w:rPr>
        <w:t xml:space="preserve"> </w:t>
      </w:r>
    </w:p>
    <w:p w14:paraId="083BB1C6" w14:textId="77777777" w:rsidR="00B865C9" w:rsidRPr="008F2C7C" w:rsidRDefault="00000000">
      <w:pPr>
        <w:rPr>
          <w:b/>
          <w:i/>
          <w:lang w:val="en-GB"/>
        </w:rPr>
      </w:pPr>
      <w:r w:rsidRPr="008F2C7C">
        <w:rPr>
          <w:b/>
          <w:i/>
          <w:lang w:val="en-GB"/>
        </w:rPr>
        <w:t>Industry review</w:t>
      </w:r>
    </w:p>
    <w:p w14:paraId="751FA2E3" w14:textId="77777777" w:rsidR="00B865C9" w:rsidRPr="008F2C7C" w:rsidRDefault="00000000">
      <w:pPr>
        <w:rPr>
          <w:lang w:val="en-GB"/>
        </w:rPr>
      </w:pPr>
      <w:r w:rsidRPr="008F2C7C">
        <w:rPr>
          <w:lang w:val="en-GB"/>
        </w:rPr>
        <w:t xml:space="preserve">General Motors is a prominent American based- automobile manufacturing firm that engages in the designing, production, and sales of trucks, cars, and automobile parts. The firm even offers automotive financing services from the General Motors financial firm (Forbes.com, 2024). The company was founded in the year 1908 with its headquarters located in Detroit, Michigan. The company mainly operates through four segments GM International, Cruise and GM Financial, and GM North America. The employee strength of the company in the financial year 2023 </w:t>
      </w:r>
      <w:r w:rsidR="00D70236" w:rsidRPr="008F2C7C">
        <w:rPr>
          <w:lang w:val="en-GB"/>
        </w:rPr>
        <w:t>was 97,012</w:t>
      </w:r>
      <w:r w:rsidRPr="008F2C7C">
        <w:rPr>
          <w:lang w:val="en-GB"/>
        </w:rPr>
        <w:t xml:space="preserve">. </w:t>
      </w:r>
    </w:p>
    <w:p w14:paraId="59B8D3E0" w14:textId="77777777" w:rsidR="00B865C9" w:rsidRPr="008F2C7C" w:rsidRDefault="00B865C9">
      <w:pPr>
        <w:rPr>
          <w:lang w:val="en-GB"/>
        </w:rPr>
      </w:pPr>
    </w:p>
    <w:p w14:paraId="22A52A7E" w14:textId="77777777" w:rsidR="00B865C9" w:rsidRPr="008F2C7C" w:rsidRDefault="00000000">
      <w:pPr>
        <w:jc w:val="center"/>
        <w:rPr>
          <w:lang w:val="en-GB"/>
        </w:rPr>
      </w:pPr>
      <w:r w:rsidRPr="008F2C7C">
        <w:rPr>
          <w:noProof/>
          <w:lang w:val="en-GB"/>
        </w:rPr>
        <w:lastRenderedPageBreak/>
        <w:drawing>
          <wp:inline distT="114300" distB="114300" distL="114300" distR="114300" wp14:anchorId="0C27EAAA" wp14:editId="7262372D">
            <wp:extent cx="4159250" cy="2800350"/>
            <wp:effectExtent l="38100" t="38100" r="31750" b="38100"/>
            <wp:docPr id="6" name="image6.png"/>
            <wp:cNvGraphicFramePr/>
            <a:graphic xmlns:a="http://schemas.openxmlformats.org/drawingml/2006/main">
              <a:graphicData uri="http://schemas.openxmlformats.org/drawingml/2006/picture">
                <pic:pic xmlns:pic="http://schemas.openxmlformats.org/drawingml/2006/picture">
                  <pic:nvPicPr>
                    <pic:cNvPr id="6" name="image6.png"/>
                    <pic:cNvPicPr/>
                  </pic:nvPicPr>
                  <pic:blipFill>
                    <a:blip r:embed="rId8"/>
                    <a:stretch>
                      <a:fillRect/>
                    </a:stretch>
                  </pic:blipFill>
                  <pic:spPr>
                    <a:xfrm>
                      <a:off x="0" y="0"/>
                      <a:ext cx="4159250" cy="2800350"/>
                    </a:xfrm>
                    <a:prstGeom prst="rect">
                      <a:avLst/>
                    </a:prstGeom>
                    <a:ln w="25400">
                      <a:solidFill>
                        <a:srgbClr val="000000"/>
                      </a:solidFill>
                      <a:prstDash val="solid"/>
                    </a:ln>
                  </pic:spPr>
                </pic:pic>
              </a:graphicData>
            </a:graphic>
          </wp:inline>
        </w:drawing>
      </w:r>
    </w:p>
    <w:p w14:paraId="355BEFC0" w14:textId="77777777" w:rsidR="00B865C9" w:rsidRPr="008F2C7C" w:rsidRDefault="00000000" w:rsidP="008262AF">
      <w:pPr>
        <w:pStyle w:val="Heading3"/>
      </w:pPr>
      <w:bookmarkStart w:id="4" w:name="_Toc164762693"/>
      <w:r w:rsidRPr="008F2C7C">
        <w:t>Figure 1: Revenue of the company in the last 10 Years</w:t>
      </w:r>
      <w:bookmarkEnd w:id="4"/>
    </w:p>
    <w:p w14:paraId="230979A2" w14:textId="77777777" w:rsidR="00B865C9" w:rsidRPr="008F2C7C" w:rsidRDefault="00000000">
      <w:pPr>
        <w:jc w:val="center"/>
        <w:rPr>
          <w:lang w:val="en-GB"/>
        </w:rPr>
      </w:pPr>
      <w:r w:rsidRPr="008F2C7C">
        <w:rPr>
          <w:lang w:val="en-GB"/>
        </w:rPr>
        <w:t>(Source: Statista.com, 2024)</w:t>
      </w:r>
    </w:p>
    <w:p w14:paraId="3D8C105F" w14:textId="77777777" w:rsidR="00B865C9" w:rsidRPr="008F2C7C" w:rsidRDefault="00000000">
      <w:pPr>
        <w:rPr>
          <w:lang w:val="en-GB"/>
        </w:rPr>
      </w:pPr>
      <w:r w:rsidRPr="008F2C7C">
        <w:rPr>
          <w:lang w:val="en-GB"/>
        </w:rPr>
        <w:t xml:space="preserve">The revenue generated during the financial year 2023 has been 171.84 billion with a remarkable increase from 156.7 billion observed during the year 2022. A significant increase of 9.63 billion has been acquired with 3.4% in the market outside of North America (Statista.com, 2024). </w:t>
      </w:r>
    </w:p>
    <w:p w14:paraId="415CE228" w14:textId="77777777" w:rsidR="00B865C9" w:rsidRPr="008F2C7C" w:rsidRDefault="00000000">
      <w:pPr>
        <w:rPr>
          <w:b/>
          <w:i/>
          <w:lang w:val="en-GB"/>
        </w:rPr>
      </w:pPr>
      <w:r w:rsidRPr="008F2C7C">
        <w:rPr>
          <w:b/>
          <w:i/>
          <w:lang w:val="en-GB"/>
        </w:rPr>
        <w:t xml:space="preserve">Business Model </w:t>
      </w:r>
    </w:p>
    <w:p w14:paraId="235CE39D" w14:textId="77777777" w:rsidR="00B865C9" w:rsidRPr="008F2C7C" w:rsidRDefault="00000000">
      <w:pPr>
        <w:rPr>
          <w:lang w:val="en-GB"/>
        </w:rPr>
      </w:pPr>
      <w:r w:rsidRPr="008F2C7C">
        <w:rPr>
          <w:lang w:val="en-GB"/>
        </w:rPr>
        <w:t xml:space="preserve">The company operates in a business model that manufactures premium quality automobiles, a diverse vehicle portfolio, and innovation. It mainly abides by the generic strategy that is based on Porter’s model that increasingly focuses on cost leadership (Globaldata.com, 2024). The model aids in creating a competitive advantage on the basis of the low cost of products. The firm even offers leasing and financing options to customers by means of financial services and GM financial sectors (Annualreports.com, 2023). It allows the firm to purchase and lease vehicles with the payment plans. The company operates within a diverse business model and has efficient manufacturing capabilities and a global supply chain that allows it to develop economies of scale for production and product development. </w:t>
      </w:r>
    </w:p>
    <w:p w14:paraId="3D94B1A9" w14:textId="77777777" w:rsidR="00B865C9" w:rsidRPr="008F2C7C" w:rsidRDefault="00000000">
      <w:pPr>
        <w:rPr>
          <w:b/>
          <w:i/>
          <w:lang w:val="en-GB"/>
        </w:rPr>
      </w:pPr>
      <w:r w:rsidRPr="008F2C7C">
        <w:rPr>
          <w:b/>
          <w:i/>
          <w:lang w:val="en-GB"/>
        </w:rPr>
        <w:t>Market place</w:t>
      </w:r>
    </w:p>
    <w:p w14:paraId="0C708002" w14:textId="77777777" w:rsidR="00B865C9" w:rsidRPr="008F2C7C" w:rsidRDefault="00000000">
      <w:pPr>
        <w:rPr>
          <w:lang w:val="en-GB"/>
        </w:rPr>
      </w:pPr>
      <w:r w:rsidRPr="008F2C7C">
        <w:rPr>
          <w:lang w:val="en-GB"/>
        </w:rPr>
        <w:lastRenderedPageBreak/>
        <w:t xml:space="preserve">The firm has a substantial presence within the pivotal automobile market across the globe inclusive of China, Europe, North America, and emerging markets. </w:t>
      </w:r>
    </w:p>
    <w:p w14:paraId="52EB7783" w14:textId="77777777" w:rsidR="00B865C9" w:rsidRPr="008F2C7C" w:rsidRDefault="00000000">
      <w:pPr>
        <w:jc w:val="center"/>
        <w:rPr>
          <w:lang w:val="en-GB"/>
        </w:rPr>
      </w:pPr>
      <w:r w:rsidRPr="008F2C7C">
        <w:rPr>
          <w:noProof/>
          <w:lang w:val="en-GB"/>
        </w:rPr>
        <w:drawing>
          <wp:inline distT="114300" distB="114300" distL="114300" distR="114300" wp14:anchorId="3CEBABC1" wp14:editId="3828E3C1">
            <wp:extent cx="4337050" cy="2813050"/>
            <wp:effectExtent l="38100" t="38100" r="44450" b="4445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9"/>
                    <a:stretch>
                      <a:fillRect/>
                    </a:stretch>
                  </pic:blipFill>
                  <pic:spPr>
                    <a:xfrm>
                      <a:off x="0" y="0"/>
                      <a:ext cx="4337050" cy="2813050"/>
                    </a:xfrm>
                    <a:prstGeom prst="rect">
                      <a:avLst/>
                    </a:prstGeom>
                    <a:ln w="25400">
                      <a:solidFill>
                        <a:srgbClr val="000000"/>
                      </a:solidFill>
                      <a:prstDash val="solid"/>
                    </a:ln>
                  </pic:spPr>
                </pic:pic>
              </a:graphicData>
            </a:graphic>
          </wp:inline>
        </w:drawing>
      </w:r>
    </w:p>
    <w:p w14:paraId="2E54AB91" w14:textId="77777777" w:rsidR="00B865C9" w:rsidRPr="008F2C7C" w:rsidRDefault="00000000" w:rsidP="008262AF">
      <w:pPr>
        <w:pStyle w:val="Heading3"/>
      </w:pPr>
      <w:bookmarkStart w:id="5" w:name="_Toc164762694"/>
      <w:r w:rsidRPr="008F2C7C">
        <w:t>Figure 2: Revenue of the firm region-wise</w:t>
      </w:r>
      <w:bookmarkEnd w:id="5"/>
    </w:p>
    <w:p w14:paraId="01469E64" w14:textId="77777777" w:rsidR="00B865C9" w:rsidRPr="008F2C7C" w:rsidRDefault="00000000">
      <w:pPr>
        <w:jc w:val="center"/>
        <w:rPr>
          <w:lang w:val="en-GB"/>
        </w:rPr>
      </w:pPr>
      <w:r w:rsidRPr="008F2C7C">
        <w:rPr>
          <w:lang w:val="en-GB"/>
        </w:rPr>
        <w:t>(Source: Statista.com, 2023)</w:t>
      </w:r>
    </w:p>
    <w:p w14:paraId="0D370519" w14:textId="77777777" w:rsidR="00B865C9" w:rsidRPr="008F2C7C" w:rsidRDefault="00000000">
      <w:pPr>
        <w:rPr>
          <w:lang w:val="en-GB"/>
        </w:rPr>
      </w:pPr>
      <w:r w:rsidRPr="008F2C7C">
        <w:rPr>
          <w:lang w:val="en-GB"/>
        </w:rPr>
        <w:t xml:space="preserve">During the financial year 2023, General Motors generated around 157.7 billion in terms of revenue and sales from the prominent automotive sector. The figure compared to 143.97 billion during the year 2022 (Statista.com, 2023). The sector of the North American region contributes to 141.5 billion in the overall automotive sector. </w:t>
      </w:r>
    </w:p>
    <w:p w14:paraId="12CB4E5A" w14:textId="77777777" w:rsidR="00B865C9" w:rsidRPr="008F2C7C" w:rsidRDefault="00000000">
      <w:pPr>
        <w:rPr>
          <w:b/>
          <w:i/>
          <w:lang w:val="en-GB"/>
        </w:rPr>
      </w:pPr>
      <w:r w:rsidRPr="008F2C7C">
        <w:rPr>
          <w:b/>
          <w:i/>
          <w:lang w:val="en-GB"/>
        </w:rPr>
        <w:t>Major Competitor</w:t>
      </w:r>
    </w:p>
    <w:p w14:paraId="1C898F81" w14:textId="77777777" w:rsidR="00B865C9" w:rsidRPr="008F2C7C" w:rsidRDefault="00000000">
      <w:pPr>
        <w:rPr>
          <w:lang w:val="en-GB"/>
        </w:rPr>
      </w:pPr>
      <w:r w:rsidRPr="008F2C7C">
        <w:rPr>
          <w:lang w:val="en-GB"/>
        </w:rPr>
        <w:t xml:space="preserve">The major competitors of General Motors are Toyota Motors, Ford Motors Company, Volkswagen Group, Tesla Inc, Hyundai Motor Group, and Honda Motors. The competitors with other regional players as well as new entrants highly contribute to the competitive landscape of General Motors. </w:t>
      </w:r>
    </w:p>
    <w:p w14:paraId="6452F78E" w14:textId="77777777" w:rsidR="00B865C9" w:rsidRPr="008F2C7C" w:rsidRDefault="00000000">
      <w:pPr>
        <w:rPr>
          <w:b/>
          <w:i/>
          <w:lang w:val="en-GB"/>
        </w:rPr>
      </w:pPr>
      <w:r w:rsidRPr="008F2C7C">
        <w:rPr>
          <w:b/>
          <w:i/>
          <w:lang w:val="en-GB"/>
        </w:rPr>
        <w:t>Major events in the past five years</w:t>
      </w:r>
    </w:p>
    <w:p w14:paraId="5DEFE0CF" w14:textId="3B342758" w:rsidR="00B865C9" w:rsidRPr="008F2C7C" w:rsidRDefault="00000000">
      <w:pPr>
        <w:rPr>
          <w:lang w:val="en-GB"/>
        </w:rPr>
      </w:pPr>
      <w:r w:rsidRPr="008F2C7C">
        <w:rPr>
          <w:lang w:val="en-GB"/>
        </w:rPr>
        <w:t xml:space="preserve">During the financial year </w:t>
      </w:r>
      <w:r w:rsidRPr="008F2C7C">
        <w:rPr>
          <w:b/>
          <w:i/>
          <w:lang w:val="en-GB"/>
        </w:rPr>
        <w:t>2019</w:t>
      </w:r>
      <w:r w:rsidRPr="008F2C7C">
        <w:rPr>
          <w:lang w:val="en-GB"/>
        </w:rPr>
        <w:t xml:space="preserve">, General Motors announced a strategic partnership with Rivian Motors, an electric vehicle start-up with an investment of $ 500 million in the firm. In the year </w:t>
      </w:r>
      <w:r w:rsidRPr="008F2C7C">
        <w:rPr>
          <w:b/>
          <w:i/>
          <w:lang w:val="en-GB"/>
        </w:rPr>
        <w:t xml:space="preserve">2020, </w:t>
      </w:r>
      <w:r w:rsidRPr="008F2C7C">
        <w:rPr>
          <w:lang w:val="en-GB"/>
        </w:rPr>
        <w:t xml:space="preserve">the firm accelerated its efforts in EVs and announced plans for introducing the electric GMC </w:t>
      </w:r>
      <w:r w:rsidRPr="008F2C7C">
        <w:rPr>
          <w:lang w:val="en-GB"/>
        </w:rPr>
        <w:lastRenderedPageBreak/>
        <w:t xml:space="preserve">(Annualreports.com, 2023). This has been a strategic entry mark of the firm in the electric pickup trust sector as well as expansion of the EV lineup and competition with the prominent competitors with Tesla and other manufacturers. During the year </w:t>
      </w:r>
      <w:r w:rsidRPr="008F2C7C">
        <w:rPr>
          <w:b/>
          <w:i/>
          <w:lang w:val="en-GB"/>
        </w:rPr>
        <w:t>2021</w:t>
      </w:r>
      <w:r w:rsidRPr="008F2C7C">
        <w:rPr>
          <w:lang w:val="en-GB"/>
        </w:rPr>
        <w:t>, the company severely faced challenges because of the global semiconductor shortage. This led to high-level disruption in the production schedules and closures of plants affecting the vehicle revenue and deliverables</w:t>
      </w:r>
      <w:r w:rsidR="004B3143">
        <w:rPr>
          <w:lang w:val="en-GB"/>
        </w:rPr>
        <w:t xml:space="preserve"> (</w:t>
      </w:r>
      <w:r w:rsidR="004966D6" w:rsidRPr="00CD1C78">
        <w:t>theverge.com</w:t>
      </w:r>
      <w:r w:rsidR="004966D6">
        <w:t>, 2021</w:t>
      </w:r>
      <w:r w:rsidR="004B3143">
        <w:rPr>
          <w:lang w:val="en-GB"/>
        </w:rPr>
        <w:t>)</w:t>
      </w:r>
      <w:r w:rsidRPr="008F2C7C">
        <w:rPr>
          <w:lang w:val="en-GB"/>
        </w:rPr>
        <w:t xml:space="preserve">. During the financial year </w:t>
      </w:r>
      <w:r w:rsidRPr="008F2C7C">
        <w:rPr>
          <w:b/>
          <w:i/>
          <w:lang w:val="en-GB"/>
        </w:rPr>
        <w:t>2022</w:t>
      </w:r>
      <w:r w:rsidRPr="008F2C7C">
        <w:rPr>
          <w:lang w:val="en-GB"/>
        </w:rPr>
        <w:t xml:space="preserve">, the company formed strategic partnerships for advancing autonomous and electric vehicle initiatives (Annualreports.com, 2022). It involved strategic collaborations with tech firms, automotive manufacturers, and start-ups to leverage expertise and acceleration of resources. In the year </w:t>
      </w:r>
      <w:r w:rsidRPr="00D70236">
        <w:rPr>
          <w:b/>
          <w:bCs/>
          <w:i/>
          <w:iCs/>
          <w:lang w:val="en-GB"/>
        </w:rPr>
        <w:t>2023</w:t>
      </w:r>
      <w:r w:rsidRPr="008F2C7C">
        <w:rPr>
          <w:lang w:val="en-GB"/>
        </w:rPr>
        <w:t xml:space="preserve">, GM launched the </w:t>
      </w:r>
      <w:r w:rsidR="00D70236" w:rsidRPr="008F2C7C">
        <w:rPr>
          <w:lang w:val="en-GB"/>
        </w:rPr>
        <w:t>Ultrium</w:t>
      </w:r>
      <w:r w:rsidRPr="008F2C7C">
        <w:rPr>
          <w:lang w:val="en-GB"/>
        </w:rPr>
        <w:t xml:space="preserve"> platform which is a flexible electric vehicle for underpinning a vast range of electric vehicles across multiple brands. </w:t>
      </w:r>
    </w:p>
    <w:p w14:paraId="56903BAA" w14:textId="77777777" w:rsidR="00B865C9" w:rsidRPr="008F2C7C" w:rsidRDefault="00000000">
      <w:pPr>
        <w:pStyle w:val="Heading1"/>
        <w:rPr>
          <w:lang w:val="en-GB"/>
        </w:rPr>
      </w:pPr>
      <w:bookmarkStart w:id="6" w:name="_u8zfze21pqhq" w:colFirst="0" w:colLast="0"/>
      <w:bookmarkStart w:id="7" w:name="_Toc163230856"/>
      <w:bookmarkEnd w:id="6"/>
      <w:r w:rsidRPr="008F2C7C">
        <w:rPr>
          <w:lang w:val="en-GB"/>
        </w:rPr>
        <w:t>Part B: Critical evaluation of the firm’s financial performance</w:t>
      </w:r>
      <w:bookmarkEnd w:id="7"/>
    </w:p>
    <w:p w14:paraId="764DDA1F" w14:textId="77777777" w:rsidR="00B865C9" w:rsidRPr="008F2C7C" w:rsidRDefault="00000000">
      <w:pPr>
        <w:rPr>
          <w:lang w:val="en-GB"/>
        </w:rPr>
      </w:pPr>
      <w:r w:rsidRPr="008F2C7C">
        <w:rPr>
          <w:lang w:val="en-GB"/>
        </w:rPr>
        <w:t xml:space="preserve">Financial performance analysis aims to determine the financial and operational constraints of the firm with the evaluation of the financial statements and accounting methods used. Based on the research work of Kumara and Abhilash (2015), the automobile is regarded to be the most essential sector for the development of the economy. The core purpose behind the financial performance evaluation of General Motors is to utilise the firm’s performance for fetching opportunities and directing organisational improvements. For obtaining the financial performance overview of General Motors the financial ratios for the prior five years have been computed from 2019 to 2023. The four major categories of ratios namely profitability, liquidity, gearing, and efficiency ratios. </w:t>
      </w:r>
    </w:p>
    <w:p w14:paraId="23B5D0A6" w14:textId="77777777" w:rsidR="00B865C9" w:rsidRPr="008F2C7C" w:rsidRDefault="00000000">
      <w:pPr>
        <w:pStyle w:val="Heading2"/>
        <w:rPr>
          <w:lang w:val="en-GB"/>
        </w:rPr>
      </w:pPr>
      <w:bookmarkStart w:id="8" w:name="_oollinrlhpib" w:colFirst="0" w:colLast="0"/>
      <w:bookmarkStart w:id="9" w:name="_Toc163230857"/>
      <w:bookmarkEnd w:id="8"/>
      <w:r w:rsidRPr="008F2C7C">
        <w:rPr>
          <w:lang w:val="en-GB"/>
        </w:rPr>
        <w:t>Computation of the ratios for the past five years</w:t>
      </w:r>
      <w:bookmarkEnd w:id="9"/>
    </w:p>
    <w:p w14:paraId="11122DAD" w14:textId="77777777" w:rsidR="00B865C9" w:rsidRPr="008F2C7C" w:rsidRDefault="00000000">
      <w:pPr>
        <w:rPr>
          <w:lang w:val="en-GB"/>
        </w:rPr>
      </w:pPr>
      <w:r w:rsidRPr="008F2C7C">
        <w:rPr>
          <w:b/>
          <w:i/>
          <w:lang w:val="en-GB"/>
        </w:rPr>
        <w:t xml:space="preserve">Profitability Ratios- </w:t>
      </w:r>
      <w:r w:rsidRPr="008F2C7C">
        <w:rPr>
          <w:lang w:val="en-GB"/>
        </w:rPr>
        <w:t xml:space="preserve">The ratio measures what percentage of growth a firm earns relative to sales, profits, and assets for its own capital. Based on the views of Jihadi </w:t>
      </w:r>
      <w:r w:rsidRPr="008F2C7C">
        <w:rPr>
          <w:i/>
          <w:lang w:val="en-GB"/>
        </w:rPr>
        <w:t>et al</w:t>
      </w:r>
      <w:r w:rsidRPr="008F2C7C">
        <w:rPr>
          <w:lang w:val="en-GB"/>
        </w:rPr>
        <w:t xml:space="preserve">., (2021), the ratio indicates the ability of the firm to manage assets and generate revenue from them. The ratios offer insights into how effectively a firm utilises its resources and generate value for creditors, management, and investors to assess the financial performance. </w:t>
      </w:r>
    </w:p>
    <w:p w14:paraId="016EF043" w14:textId="77777777" w:rsidR="00B865C9" w:rsidRPr="008F2C7C" w:rsidRDefault="00000000">
      <w:pPr>
        <w:jc w:val="center"/>
        <w:rPr>
          <w:b/>
          <w:i/>
          <w:lang w:val="en-GB"/>
        </w:rPr>
      </w:pPr>
      <w:r w:rsidRPr="008F2C7C">
        <w:rPr>
          <w:b/>
          <w:i/>
          <w:noProof/>
          <w:lang w:val="en-GB"/>
        </w:rPr>
        <w:lastRenderedPageBreak/>
        <w:drawing>
          <wp:inline distT="114300" distB="114300" distL="114300" distR="114300" wp14:anchorId="13B63862" wp14:editId="509DD633">
            <wp:extent cx="4476750" cy="260985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0"/>
                    <a:stretch>
                      <a:fillRect/>
                    </a:stretch>
                  </pic:blipFill>
                  <pic:spPr>
                    <a:xfrm>
                      <a:off x="0" y="0"/>
                      <a:ext cx="4476750" cy="2609850"/>
                    </a:xfrm>
                    <a:prstGeom prst="rect">
                      <a:avLst/>
                    </a:prstGeom>
                  </pic:spPr>
                </pic:pic>
              </a:graphicData>
            </a:graphic>
          </wp:inline>
        </w:drawing>
      </w:r>
    </w:p>
    <w:p w14:paraId="1803E67A" w14:textId="77777777" w:rsidR="00B865C9" w:rsidRPr="008F2C7C" w:rsidRDefault="00000000" w:rsidP="008262AF">
      <w:pPr>
        <w:pStyle w:val="Heading3"/>
      </w:pPr>
      <w:bookmarkStart w:id="10" w:name="_Toc164762695"/>
      <w:r w:rsidRPr="008F2C7C">
        <w:t>Figure 3: Profitability ratio of General Motors</w:t>
      </w:r>
      <w:bookmarkEnd w:id="10"/>
    </w:p>
    <w:p w14:paraId="68AD8945" w14:textId="77777777" w:rsidR="00B865C9" w:rsidRPr="008F2C7C" w:rsidRDefault="00000000">
      <w:pPr>
        <w:jc w:val="center"/>
        <w:rPr>
          <w:lang w:val="en-GB"/>
        </w:rPr>
      </w:pPr>
      <w:r w:rsidRPr="008F2C7C">
        <w:rPr>
          <w:lang w:val="en-GB"/>
        </w:rPr>
        <w:t>(Source: Self-created)</w:t>
      </w:r>
    </w:p>
    <w:p w14:paraId="64781530" w14:textId="77777777" w:rsidR="00B865C9" w:rsidRPr="008F2C7C" w:rsidRDefault="00000000">
      <w:pPr>
        <w:rPr>
          <w:lang w:val="en-GB"/>
        </w:rPr>
      </w:pPr>
      <w:r w:rsidRPr="008F2C7C">
        <w:rPr>
          <w:lang w:val="en-GB"/>
        </w:rPr>
        <w:t xml:space="preserve">The graphical representation illustrates the profitability performance of General Motors from the year 2019 to 2023. It can be obtained that the ROE has risen from 15% to 16% in the years 2019 to 2023. As mentioned by Uwah </w:t>
      </w:r>
      <w:r w:rsidRPr="008F2C7C">
        <w:rPr>
          <w:i/>
          <w:lang w:val="en-GB"/>
        </w:rPr>
        <w:t>et al</w:t>
      </w:r>
      <w:r w:rsidRPr="008F2C7C">
        <w:rPr>
          <w:lang w:val="en-GB"/>
        </w:rPr>
        <w:t xml:space="preserve">., (2023), the higher ROE denotes the better performance of the firm and it is able to generate more profits with a lower amount of equity investment. On top of that, it can be seen that the ROE of the firm has been higher during the financial year 2021 with 17%. The ROE performance from 2019 to 2023 has been 15%, 14%, 17%, 15%, and 16% respectively. It can be seen that the ratio has been in a fluctuating trend over the years. According to the reports of Bloomberg.com (2024), the company highly relied on the North American division where the sales of the truck and sport utility vehicles tend to stay lofty. </w:t>
      </w:r>
    </w:p>
    <w:p w14:paraId="6DD1B0FF" w14:textId="77777777" w:rsidR="00B865C9" w:rsidRPr="008F2C7C" w:rsidRDefault="00000000">
      <w:pPr>
        <w:rPr>
          <w:lang w:val="en-GB"/>
        </w:rPr>
      </w:pPr>
      <w:r w:rsidRPr="008F2C7C">
        <w:rPr>
          <w:lang w:val="en-GB"/>
        </w:rPr>
        <w:t xml:space="preserve">The company even expects a capital expenditure of about $ 10.5 billion to $ 11.5 billion which is considerably lower than the estimates owing to the slowdown of the electric vehicles projects. Apart from this, the OPM of the firm has been evaluated which seems to be decreasing in 2023 compared to 2022. However, the ratio is improved from 2019 where it stood at 4%, and transitioned to 5% in the year 2023. Nevertheless, the ratio in the financial year 2021 and 2022 has been at its peak which is 7%. </w:t>
      </w:r>
    </w:p>
    <w:p w14:paraId="20800952" w14:textId="77777777" w:rsidR="00B865C9" w:rsidRPr="008F2C7C" w:rsidRDefault="00000000">
      <w:pPr>
        <w:rPr>
          <w:b/>
          <w:i/>
          <w:lang w:val="en-GB"/>
        </w:rPr>
      </w:pPr>
      <w:r w:rsidRPr="008F2C7C">
        <w:rPr>
          <w:b/>
          <w:i/>
          <w:lang w:val="en-GB"/>
        </w:rPr>
        <w:t>Liquidity Ratios</w:t>
      </w:r>
    </w:p>
    <w:p w14:paraId="6AF24ACE" w14:textId="77777777" w:rsidR="00B865C9" w:rsidRPr="008F2C7C" w:rsidRDefault="00000000">
      <w:pPr>
        <w:rPr>
          <w:lang w:val="en-GB"/>
        </w:rPr>
      </w:pPr>
      <w:r w:rsidRPr="008F2C7C">
        <w:rPr>
          <w:lang w:val="en-GB"/>
        </w:rPr>
        <w:lastRenderedPageBreak/>
        <w:t xml:space="preserve">These are financial metrics that gauge the ability of the firm to meet short-term obligations by easily converting its assets into cash and cash equivalents. Based on the views of Kalbuana </w:t>
      </w:r>
      <w:r w:rsidRPr="008F2C7C">
        <w:rPr>
          <w:i/>
          <w:lang w:val="en-GB"/>
        </w:rPr>
        <w:t>et al</w:t>
      </w:r>
      <w:r w:rsidRPr="008F2C7C">
        <w:rPr>
          <w:lang w:val="en-GB"/>
        </w:rPr>
        <w:t xml:space="preserve">., (2022), liquidity ratios are essential to determine the short-term ability of the firm to manage short-term considerations and enhance financial stability. The higher the ratio the better the financial performance of the company is evaluated to be. </w:t>
      </w:r>
    </w:p>
    <w:p w14:paraId="6C2CADA1" w14:textId="77777777" w:rsidR="00B865C9" w:rsidRPr="008F2C7C" w:rsidRDefault="00000000">
      <w:pPr>
        <w:jc w:val="center"/>
        <w:rPr>
          <w:b/>
          <w:i/>
          <w:lang w:val="en-GB"/>
        </w:rPr>
      </w:pPr>
      <w:r w:rsidRPr="008F2C7C">
        <w:rPr>
          <w:b/>
          <w:i/>
          <w:noProof/>
          <w:lang w:val="en-GB"/>
        </w:rPr>
        <w:drawing>
          <wp:inline distT="114300" distB="114300" distL="114300" distR="114300" wp14:anchorId="522F511F" wp14:editId="7C47EFFE">
            <wp:extent cx="4491038" cy="2411054"/>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1"/>
                    <a:stretch>
                      <a:fillRect/>
                    </a:stretch>
                  </pic:blipFill>
                  <pic:spPr>
                    <a:xfrm>
                      <a:off x="0" y="0"/>
                      <a:ext cx="4491038" cy="2411054"/>
                    </a:xfrm>
                    <a:prstGeom prst="rect">
                      <a:avLst/>
                    </a:prstGeom>
                    <a:ln w="25400">
                      <a:solidFill>
                        <a:srgbClr val="000000"/>
                      </a:solidFill>
                      <a:prstDash val="solid"/>
                    </a:ln>
                  </pic:spPr>
                </pic:pic>
              </a:graphicData>
            </a:graphic>
          </wp:inline>
        </w:drawing>
      </w:r>
    </w:p>
    <w:p w14:paraId="090DEFCE" w14:textId="77777777" w:rsidR="00B865C9" w:rsidRPr="008F2C7C" w:rsidRDefault="00000000" w:rsidP="008262AF">
      <w:pPr>
        <w:pStyle w:val="Heading3"/>
      </w:pPr>
      <w:bookmarkStart w:id="11" w:name="_Toc164762696"/>
      <w:r w:rsidRPr="008F2C7C">
        <w:t>Figure 4: Liquidity Ratios</w:t>
      </w:r>
      <w:bookmarkEnd w:id="11"/>
    </w:p>
    <w:p w14:paraId="76B55E1E" w14:textId="77777777" w:rsidR="00B865C9" w:rsidRPr="008F2C7C" w:rsidRDefault="00000000">
      <w:pPr>
        <w:jc w:val="center"/>
        <w:rPr>
          <w:lang w:val="en-GB"/>
        </w:rPr>
      </w:pPr>
      <w:r w:rsidRPr="008F2C7C">
        <w:rPr>
          <w:lang w:val="en-GB"/>
        </w:rPr>
        <w:t>(Source: Self-created)</w:t>
      </w:r>
    </w:p>
    <w:p w14:paraId="26E88C27" w14:textId="77777777" w:rsidR="00B865C9" w:rsidRPr="008F2C7C" w:rsidRDefault="00000000">
      <w:pPr>
        <w:rPr>
          <w:lang w:val="en-GB"/>
        </w:rPr>
      </w:pPr>
      <w:r w:rsidRPr="008F2C7C">
        <w:rPr>
          <w:lang w:val="en-GB"/>
        </w:rPr>
        <w:t xml:space="preserve">The above graph presents the liquidity performance of General Motors and depicts the relationship between current assets and current liabilities. As per the view of Pattiruhu and Paais (2020), maintaining an adequate balance between current liabilities and current assets that are crucial for tackling liquidity efficiently. The current ratio has been calculated by dividing the current assets by the current liabilities. The ratio has increased from 0.88 times to 1.08 times from 2019 to 2023 (Yahoo.com, 2023). During the financial year 2021, the ratio was 1.10, in 2020, it was 1.01 and in 2019 it was 0.88 times. </w:t>
      </w:r>
    </w:p>
    <w:p w14:paraId="42557355" w14:textId="3D916154" w:rsidR="00B865C9" w:rsidRPr="008F2C7C" w:rsidRDefault="00000000">
      <w:pPr>
        <w:rPr>
          <w:lang w:val="en-GB"/>
        </w:rPr>
      </w:pPr>
      <w:r w:rsidRPr="008F2C7C">
        <w:rPr>
          <w:lang w:val="en-GB"/>
        </w:rPr>
        <w:t>The rise in the ratio states that the company has integrated more efficient cash management strategies during the period which resulted in increasing levels of “cash and cash equivalents”. However, the ratio slightly measured a decrease in 2023 as compared to 2022 which changed from 1.10 to 1.08. Although the ratio is not substantially weaker or has considerable variances. The current assets of the company have increased from 74</w:t>
      </w:r>
      <w:r w:rsidR="005A6EFD">
        <w:rPr>
          <w:lang w:val="en-GB"/>
        </w:rPr>
        <w:t>, 992,</w:t>
      </w:r>
      <w:r w:rsidRPr="008F2C7C">
        <w:rPr>
          <w:lang w:val="en-GB"/>
        </w:rPr>
        <w:t xml:space="preserve">000 in the year 2019 to 101618000 in </w:t>
      </w:r>
      <w:r w:rsidRPr="008F2C7C">
        <w:rPr>
          <w:lang w:val="en-GB"/>
        </w:rPr>
        <w:lastRenderedPageBreak/>
        <w:t xml:space="preserve">the financial year 2023. On the other hand, the current liabilities of the company have increased from 84905000 in the year 2019 to 94445000 in 2023. The significant transition has created major changes in the liquidity performance of the firm. </w:t>
      </w:r>
    </w:p>
    <w:p w14:paraId="63366270" w14:textId="77777777" w:rsidR="00B865C9" w:rsidRPr="008F2C7C" w:rsidRDefault="00000000">
      <w:pPr>
        <w:rPr>
          <w:lang w:val="en-GB"/>
        </w:rPr>
      </w:pPr>
      <w:r w:rsidRPr="008F2C7C">
        <w:rPr>
          <w:lang w:val="en-GB"/>
        </w:rPr>
        <w:t xml:space="preserve">The Quick ratio of the GM has been calculated which shows that there has been improvement in the performance. It is clearly observed that the ratio has increased from 2019 to 2023 from 0.76 times to 0.90 times indicating a higher rate of liquidity and ability to mitigate the short-term liabilities. The ratio during the financial year 2019 to 2023 has been 0.76, 0.88, 0.93, 0.93, and 0.90 times respectively (Yahoo.com, 2023). Nevertheless, the transition of the ratio from 2022 to 2023 by 0.03 going downwards is to be taken into focus. The changes could be due to optimisation in the inventory management and account payment process that led to the change. Furthermore, in line trend, the current liabilities of the firm have even increased with time as compared to current assets. </w:t>
      </w:r>
    </w:p>
    <w:p w14:paraId="386B455E" w14:textId="77777777" w:rsidR="00B865C9" w:rsidRPr="008F2C7C" w:rsidRDefault="00000000">
      <w:pPr>
        <w:rPr>
          <w:b/>
          <w:i/>
          <w:lang w:val="en-GB"/>
        </w:rPr>
      </w:pPr>
      <w:r w:rsidRPr="008F2C7C">
        <w:rPr>
          <w:b/>
          <w:i/>
          <w:lang w:val="en-GB"/>
        </w:rPr>
        <w:t>Efficiency Ratios</w:t>
      </w:r>
    </w:p>
    <w:p w14:paraId="06510975" w14:textId="3741BDEE" w:rsidR="00B865C9" w:rsidRPr="008F2C7C" w:rsidRDefault="00000000">
      <w:pPr>
        <w:rPr>
          <w:lang w:val="en-GB"/>
        </w:rPr>
      </w:pPr>
      <w:r w:rsidRPr="008F2C7C">
        <w:rPr>
          <w:lang w:val="en-GB"/>
        </w:rPr>
        <w:t>Efficiency ratios even called activity ratios measure how efficiently the firm is using its liabilities and assets for generating revenue and profits. Based on the ideology of Bintara (2020), with the proper analysis of the ratio stakeholders are able to evaluate the effectiveness of the firm’s operations and evaluate the areas that need improvements. The ratio enables the firm to benchmark its performance with the industry average and competitors. By doing so the firm will be able to make up points and analyse areas where they are excelling or lagging and required to incorporate strategies for effective performance</w:t>
      </w:r>
      <w:r w:rsidR="006857F7">
        <w:rPr>
          <w:lang w:val="en-GB"/>
        </w:rPr>
        <w:t xml:space="preserve"> (</w:t>
      </w:r>
      <w:r w:rsidR="008275AF" w:rsidRPr="008275AF">
        <w:rPr>
          <w:lang w:val="en-GB"/>
        </w:rPr>
        <w:t>Bătae</w:t>
      </w:r>
      <w:r w:rsidR="008275AF">
        <w:rPr>
          <w:lang w:val="en-GB"/>
        </w:rPr>
        <w:t xml:space="preserve"> </w:t>
      </w:r>
      <w:r w:rsidR="008275AF">
        <w:rPr>
          <w:i/>
          <w:iCs/>
          <w:lang w:val="en-GB"/>
        </w:rPr>
        <w:t>et al</w:t>
      </w:r>
      <w:r w:rsidR="008275AF">
        <w:rPr>
          <w:lang w:val="en-GB"/>
        </w:rPr>
        <w:t>., 2020</w:t>
      </w:r>
      <w:r w:rsidR="006857F7">
        <w:rPr>
          <w:lang w:val="en-GB"/>
        </w:rPr>
        <w:t>)</w:t>
      </w:r>
      <w:r w:rsidRPr="008F2C7C">
        <w:rPr>
          <w:lang w:val="en-GB"/>
        </w:rPr>
        <w:t xml:space="preserve">. </w:t>
      </w:r>
    </w:p>
    <w:p w14:paraId="6DE48CF7" w14:textId="77777777" w:rsidR="00B865C9" w:rsidRPr="008F2C7C" w:rsidRDefault="00000000">
      <w:pPr>
        <w:jc w:val="center"/>
        <w:rPr>
          <w:b/>
          <w:i/>
          <w:lang w:val="en-GB"/>
        </w:rPr>
      </w:pPr>
      <w:r w:rsidRPr="008F2C7C">
        <w:rPr>
          <w:b/>
          <w:i/>
          <w:noProof/>
          <w:lang w:val="en-GB"/>
        </w:rPr>
        <w:drawing>
          <wp:inline distT="114300" distB="114300" distL="114300" distR="114300" wp14:anchorId="6ECEEC64" wp14:editId="134FA1C1">
            <wp:extent cx="3753112" cy="2375768"/>
            <wp:effectExtent l="25400" t="25400" r="25400" b="25400"/>
            <wp:docPr id="2" name="image5.png"/>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12"/>
                    <a:stretch>
                      <a:fillRect/>
                    </a:stretch>
                  </pic:blipFill>
                  <pic:spPr>
                    <a:xfrm>
                      <a:off x="0" y="0"/>
                      <a:ext cx="3753112" cy="2375768"/>
                    </a:xfrm>
                    <a:prstGeom prst="rect">
                      <a:avLst/>
                    </a:prstGeom>
                    <a:ln w="25400">
                      <a:solidFill>
                        <a:srgbClr val="000000"/>
                      </a:solidFill>
                      <a:prstDash val="dot"/>
                    </a:ln>
                  </pic:spPr>
                </pic:pic>
              </a:graphicData>
            </a:graphic>
          </wp:inline>
        </w:drawing>
      </w:r>
    </w:p>
    <w:p w14:paraId="7400DA29" w14:textId="77777777" w:rsidR="00B865C9" w:rsidRPr="008F2C7C" w:rsidRDefault="00000000" w:rsidP="008262AF">
      <w:pPr>
        <w:pStyle w:val="Heading3"/>
      </w:pPr>
      <w:bookmarkStart w:id="12" w:name="_Toc164762697"/>
      <w:r w:rsidRPr="008F2C7C">
        <w:lastRenderedPageBreak/>
        <w:t>Figure 5: Efficiency ratio</w:t>
      </w:r>
      <w:bookmarkEnd w:id="12"/>
    </w:p>
    <w:p w14:paraId="5FBE4F9A" w14:textId="77777777" w:rsidR="00B865C9" w:rsidRPr="008F2C7C" w:rsidRDefault="00000000">
      <w:pPr>
        <w:jc w:val="center"/>
        <w:rPr>
          <w:lang w:val="en-GB"/>
        </w:rPr>
      </w:pPr>
      <w:r w:rsidRPr="008F2C7C">
        <w:rPr>
          <w:lang w:val="en-GB"/>
        </w:rPr>
        <w:t>(Source: Self-developed)</w:t>
      </w:r>
    </w:p>
    <w:p w14:paraId="2300B8C3" w14:textId="77777777" w:rsidR="00B865C9" w:rsidRPr="008F2C7C" w:rsidRDefault="00000000">
      <w:pPr>
        <w:rPr>
          <w:lang w:val="en-GB"/>
        </w:rPr>
      </w:pPr>
      <w:r w:rsidRPr="008F2C7C">
        <w:rPr>
          <w:lang w:val="en-GB"/>
        </w:rPr>
        <w:t xml:space="preserve">The above graph denotes the efficiency performance of the company for the past five years. In the financial year 2024, the CEO of the firm plans to reduce the cost and sales of Electric Vehicles to 250000 in the year 2024 (Annualreports.com, 2023). The efficiency ratio of the firm has been determined using the “Inventory turnover period” and “Trade receivables period”. The inventory turnover period of GM has been 9.28 in 2023 as compared to 10.64 in the financial year 2019. Furthermore, the ratio during the years 2020, 2021, and 2022 has been 10.63, 8.40, and 8.83 respectively. Based on the research work of Pattiruhu and Paais (2020), the decrease in the inventory turnover ratio is beneficial for the firm. It indicates that the company is taking less time to sell off its inventories and rapidly convert them into cash. As a result of the decreasing number of days, the company is capable of enhancing its liquidity and ability to make higher capital investments in other areas as well. </w:t>
      </w:r>
    </w:p>
    <w:p w14:paraId="6DBCE74E" w14:textId="77777777" w:rsidR="00B865C9" w:rsidRPr="008F2C7C" w:rsidRDefault="00000000">
      <w:pPr>
        <w:rPr>
          <w:b/>
          <w:i/>
          <w:lang w:val="en-GB"/>
        </w:rPr>
      </w:pPr>
      <w:r w:rsidRPr="008F2C7C">
        <w:rPr>
          <w:lang w:val="en-GB"/>
        </w:rPr>
        <w:t xml:space="preserve">The trade receivable period of the company during the year 2019 was 88.93 which changed to 109.29 in the year 2023. Based on the ideology of Nariswari and Nugraha (2020), an increasing ratio is that the cash valuation of the firm is tied with accounts receivables for an increasingly longer period before being collected. Thus, as a negative implication of this, the firm might face cash flow constraints making it incredibly challenging to mitigate the financial obligations and make strategic investments in growth prospects. The ratio during the year 2020 to 2022 has been 102 days, 97.84 days, and 109 days respectively. </w:t>
      </w:r>
    </w:p>
    <w:p w14:paraId="03028CB5" w14:textId="77777777" w:rsidR="00B865C9" w:rsidRPr="008F2C7C" w:rsidRDefault="00000000">
      <w:pPr>
        <w:rPr>
          <w:b/>
          <w:i/>
          <w:lang w:val="en-GB"/>
        </w:rPr>
      </w:pPr>
      <w:r w:rsidRPr="008F2C7C">
        <w:rPr>
          <w:b/>
          <w:i/>
          <w:lang w:val="en-GB"/>
        </w:rPr>
        <w:t>Gearing Ratios</w:t>
      </w:r>
    </w:p>
    <w:p w14:paraId="13DCA87D" w14:textId="50AAA5D1" w:rsidR="00B865C9" w:rsidRPr="008F2C7C" w:rsidRDefault="00000000">
      <w:pPr>
        <w:rPr>
          <w:lang w:val="en-GB"/>
        </w:rPr>
      </w:pPr>
      <w:r w:rsidRPr="008F2C7C">
        <w:rPr>
          <w:lang w:val="en-GB"/>
        </w:rPr>
        <w:t xml:space="preserve">Gearing ratios are even termed leverage ratios that measure the extent to which the operations of the firm are financed in terms of debt and equity. As mentioned by Kalbuana </w:t>
      </w:r>
      <w:r w:rsidRPr="008F2C7C">
        <w:rPr>
          <w:i/>
          <w:lang w:val="en-GB"/>
        </w:rPr>
        <w:t>et al</w:t>
      </w:r>
      <w:r w:rsidRPr="008F2C7C">
        <w:rPr>
          <w:lang w:val="en-GB"/>
        </w:rPr>
        <w:t>., (2022), the ratio allows creditors, investors, and management to assess the financial risk of the firm. The obtainment of the gearing ratio offers insights into the financial structure, equity, and risk profile for meeting the financial obligations. The lower the ratio the lower the financial risk of the company is observed to be during the financial year</w:t>
      </w:r>
      <w:r w:rsidR="00F7523E">
        <w:rPr>
          <w:lang w:val="en-GB"/>
        </w:rPr>
        <w:t xml:space="preserve"> (</w:t>
      </w:r>
      <w:r w:rsidR="00135A50" w:rsidRPr="00135A50">
        <w:rPr>
          <w:lang w:val="en-GB"/>
        </w:rPr>
        <w:t>Augustyn</w:t>
      </w:r>
      <w:r w:rsidR="00135A50">
        <w:rPr>
          <w:lang w:val="en-GB"/>
        </w:rPr>
        <w:t xml:space="preserve"> </w:t>
      </w:r>
      <w:r w:rsidR="00135A50">
        <w:rPr>
          <w:i/>
          <w:iCs/>
          <w:lang w:val="en-GB"/>
        </w:rPr>
        <w:t>et al</w:t>
      </w:r>
      <w:r w:rsidR="00135A50">
        <w:rPr>
          <w:lang w:val="en-GB"/>
        </w:rPr>
        <w:t>., 2021</w:t>
      </w:r>
      <w:r w:rsidR="00F7523E">
        <w:rPr>
          <w:lang w:val="en-GB"/>
        </w:rPr>
        <w:t>)</w:t>
      </w:r>
      <w:r w:rsidRPr="008F2C7C">
        <w:rPr>
          <w:lang w:val="en-GB"/>
        </w:rPr>
        <w:t xml:space="preserve">. </w:t>
      </w:r>
    </w:p>
    <w:p w14:paraId="133887C0" w14:textId="77777777" w:rsidR="00B865C9" w:rsidRPr="008F2C7C" w:rsidRDefault="00000000">
      <w:pPr>
        <w:jc w:val="center"/>
        <w:rPr>
          <w:b/>
          <w:i/>
          <w:lang w:val="en-GB"/>
        </w:rPr>
      </w:pPr>
      <w:r w:rsidRPr="008F2C7C">
        <w:rPr>
          <w:b/>
          <w:i/>
          <w:noProof/>
          <w:lang w:val="en-GB"/>
        </w:rPr>
        <w:lastRenderedPageBreak/>
        <w:drawing>
          <wp:inline distT="114300" distB="114300" distL="114300" distR="114300" wp14:anchorId="70FD3277" wp14:editId="3C85F8C4">
            <wp:extent cx="3900488" cy="2194980"/>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13"/>
                    <a:stretch>
                      <a:fillRect/>
                    </a:stretch>
                  </pic:blipFill>
                  <pic:spPr>
                    <a:xfrm>
                      <a:off x="0" y="0"/>
                      <a:ext cx="3900488" cy="2194980"/>
                    </a:xfrm>
                    <a:prstGeom prst="rect">
                      <a:avLst/>
                    </a:prstGeom>
                    <a:ln w="25400">
                      <a:solidFill>
                        <a:srgbClr val="000000"/>
                      </a:solidFill>
                      <a:prstDash val="dash"/>
                    </a:ln>
                  </pic:spPr>
                </pic:pic>
              </a:graphicData>
            </a:graphic>
          </wp:inline>
        </w:drawing>
      </w:r>
    </w:p>
    <w:p w14:paraId="7ABC8E0A" w14:textId="77777777" w:rsidR="00B865C9" w:rsidRPr="008F2C7C" w:rsidRDefault="00000000" w:rsidP="008262AF">
      <w:pPr>
        <w:pStyle w:val="Heading3"/>
      </w:pPr>
      <w:bookmarkStart w:id="13" w:name="_Toc164762698"/>
      <w:r w:rsidRPr="008F2C7C">
        <w:t>Figure 6: Gearing Ratio</w:t>
      </w:r>
      <w:bookmarkEnd w:id="13"/>
    </w:p>
    <w:p w14:paraId="2EA205CD" w14:textId="77777777" w:rsidR="00B865C9" w:rsidRPr="008F2C7C" w:rsidRDefault="00000000">
      <w:pPr>
        <w:jc w:val="center"/>
        <w:rPr>
          <w:lang w:val="en-GB"/>
        </w:rPr>
      </w:pPr>
      <w:r w:rsidRPr="008F2C7C">
        <w:rPr>
          <w:lang w:val="en-GB"/>
        </w:rPr>
        <w:t>(Source: Self-created)</w:t>
      </w:r>
    </w:p>
    <w:p w14:paraId="18C5602B" w14:textId="77777777" w:rsidR="00B865C9" w:rsidRPr="008F2C7C" w:rsidRDefault="00000000">
      <w:pPr>
        <w:rPr>
          <w:lang w:val="en-GB"/>
        </w:rPr>
      </w:pPr>
      <w:r w:rsidRPr="008F2C7C">
        <w:rPr>
          <w:lang w:val="en-GB"/>
        </w:rPr>
        <w:t>The “Debt to equity” ratio of the firm has been determined for the firm during the financial year 2019 to 2023. The ratio has decreased over the years from 2.23 in 2019 to 1.91 in the year 2023. The debt amount of the company has increased in 2023 to 122648000 as compared to 102676000 in the year 2019. Thus, the equity valuation of the firm has equally increased over the years from 45957000 in 2019 to 64286000 in the year 2023 (Yahoo.com, 2023). The ratio in the year 2020 was 2.46 times which decreased to 1.85 times in 2021 and 1.71 times in 2022. Although the ratio of the company has been better than in 2019, still the performance has exhibited symptoms of higher financial risk in 2022 as compared to 2021 with an increase in ratio by 0.20 times.</w:t>
      </w:r>
    </w:p>
    <w:p w14:paraId="67070B2A" w14:textId="3BF911B4" w:rsidR="00B865C9" w:rsidRPr="008F2C7C" w:rsidRDefault="00000000">
      <w:pPr>
        <w:rPr>
          <w:lang w:val="en-GB"/>
        </w:rPr>
      </w:pPr>
      <w:r w:rsidRPr="008F2C7C">
        <w:rPr>
          <w:lang w:val="en-GB"/>
        </w:rPr>
        <w:t>Moving on to the “interest coverage ratio” which is calculated with the help of the formula operating profit/ interest expense. The ratio has increased from 7 times in 2019 to 10 times in the year 2023. Furthermore, going ahead the ratio remains equal for the prior three years</w:t>
      </w:r>
      <w:r w:rsidR="00E6381E">
        <w:rPr>
          <w:lang w:val="en-GB"/>
        </w:rPr>
        <w:t xml:space="preserve"> (Yahoo.com, 2023)</w:t>
      </w:r>
      <w:r w:rsidRPr="008F2C7C">
        <w:rPr>
          <w:lang w:val="en-GB"/>
        </w:rPr>
        <w:t xml:space="preserve">. Thus, the ratio depicts that the firm is highly financed by equity sources of financing instead of debt financing. Furthermore, the company has a generous amount of earnings for covering the interest obligations comfortably (Rahmiyanti and Nugroho, 2020). The increasing ratio tendency indicates that the firm has a higher level of flexibility to obtain growth opportunities. </w:t>
      </w:r>
    </w:p>
    <w:p w14:paraId="14443748" w14:textId="77777777" w:rsidR="00B865C9" w:rsidRPr="008F2C7C" w:rsidRDefault="00000000" w:rsidP="006A7DBB">
      <w:pPr>
        <w:pStyle w:val="Heading2"/>
        <w:rPr>
          <w:lang w:val="en-GB"/>
        </w:rPr>
      </w:pPr>
      <w:bookmarkStart w:id="14" w:name="_Toc163230858"/>
      <w:r w:rsidRPr="008F2C7C">
        <w:rPr>
          <w:lang w:val="en-GB"/>
        </w:rPr>
        <w:lastRenderedPageBreak/>
        <w:t>Comparison of the firm with its major competitor based on the financial ratios</w:t>
      </w:r>
      <w:bookmarkEnd w:id="14"/>
    </w:p>
    <w:p w14:paraId="180983A6" w14:textId="77777777" w:rsidR="00B865C9" w:rsidRPr="008F2C7C" w:rsidRDefault="00000000">
      <w:pPr>
        <w:rPr>
          <w:lang w:val="en-GB"/>
        </w:rPr>
      </w:pPr>
      <w:r w:rsidRPr="008F2C7C">
        <w:rPr>
          <w:lang w:val="en-GB"/>
        </w:rPr>
        <w:t>In the current competitive business environment, any organisation is required to conduct a comprehensive financial performance analysis by focusing on past financial health as well as the competitor's financial status to take corrective actions. As discussed by Alarussi, (2021), financial performance analysis of an organisation from different perspectives and points of view such as profitability and liquidity not only highlights areas of weakness and strength but also suggest possible steps for addressing identified challenges and financial obstacles. A comparison of the financial health of General Motors has been conducted by considering the financial status of its core competitor Ford Motors for over the last 5 years under four different financial ratios.</w:t>
      </w:r>
    </w:p>
    <w:p w14:paraId="400C3D83" w14:textId="77777777" w:rsidR="00B865C9" w:rsidRDefault="00000000">
      <w:pPr>
        <w:rPr>
          <w:b/>
          <w:bCs/>
          <w:i/>
          <w:iCs/>
          <w:lang w:val="en-GB"/>
        </w:rPr>
      </w:pPr>
      <w:r w:rsidRPr="008F2C7C">
        <w:rPr>
          <w:b/>
          <w:bCs/>
          <w:i/>
          <w:iCs/>
          <w:lang w:val="en-GB"/>
        </w:rPr>
        <w:t>Profitability performance comparison</w:t>
      </w:r>
    </w:p>
    <w:p w14:paraId="30A0ABFF" w14:textId="77777777" w:rsidR="009449F5" w:rsidRDefault="00000000" w:rsidP="009449F5">
      <w:pPr>
        <w:jc w:val="center"/>
        <w:rPr>
          <w:lang w:val="en-GB"/>
        </w:rPr>
      </w:pPr>
      <w:r w:rsidRPr="00757DD0">
        <w:rPr>
          <w:noProof/>
        </w:rPr>
        <w:drawing>
          <wp:inline distT="114300" distB="114300" distL="114300" distR="114300" wp14:anchorId="7AA542A7" wp14:editId="30FAFD80">
            <wp:extent cx="5731200" cy="3225800"/>
            <wp:effectExtent l="0" t="0" r="0" b="0"/>
            <wp:docPr id="1988732000" name="image2.png"/>
            <wp:cNvGraphicFramePr/>
            <a:graphic xmlns:a="http://schemas.openxmlformats.org/drawingml/2006/main">
              <a:graphicData uri="http://schemas.openxmlformats.org/drawingml/2006/picture">
                <pic:pic xmlns:pic="http://schemas.openxmlformats.org/drawingml/2006/picture">
                  <pic:nvPicPr>
                    <pic:cNvPr id="1988732000" name="image2.png"/>
                    <pic:cNvPicPr/>
                  </pic:nvPicPr>
                  <pic:blipFill>
                    <a:blip r:embed="rId14"/>
                    <a:stretch>
                      <a:fillRect/>
                    </a:stretch>
                  </pic:blipFill>
                  <pic:spPr>
                    <a:xfrm>
                      <a:off x="0" y="0"/>
                      <a:ext cx="5731200" cy="3225800"/>
                    </a:xfrm>
                    <a:prstGeom prst="rect">
                      <a:avLst/>
                    </a:prstGeom>
                  </pic:spPr>
                </pic:pic>
              </a:graphicData>
            </a:graphic>
          </wp:inline>
        </w:drawing>
      </w:r>
    </w:p>
    <w:p w14:paraId="1EF33493" w14:textId="77777777" w:rsidR="009449F5" w:rsidRDefault="00000000" w:rsidP="004957AF">
      <w:pPr>
        <w:pStyle w:val="Heading3"/>
      </w:pPr>
      <w:bookmarkStart w:id="15" w:name="_Toc164762699"/>
      <w:r w:rsidRPr="009449F5">
        <w:t>Figure 7: Comparison of Profitability performance</w:t>
      </w:r>
      <w:bookmarkEnd w:id="15"/>
    </w:p>
    <w:p w14:paraId="78F5AA49" w14:textId="77777777" w:rsidR="008262AF" w:rsidRPr="008F2C7C" w:rsidRDefault="008262AF" w:rsidP="008262AF">
      <w:pPr>
        <w:jc w:val="center"/>
        <w:rPr>
          <w:lang w:val="en-GB"/>
        </w:rPr>
      </w:pPr>
      <w:r w:rsidRPr="008F2C7C">
        <w:rPr>
          <w:lang w:val="en-GB"/>
        </w:rPr>
        <w:t>(Source: Self-created)</w:t>
      </w:r>
    </w:p>
    <w:p w14:paraId="09901EAE" w14:textId="77777777" w:rsidR="008262AF" w:rsidRPr="008262AF" w:rsidRDefault="008262AF" w:rsidP="008262AF">
      <w:pPr>
        <w:rPr>
          <w:lang w:val="en-GB"/>
        </w:rPr>
      </w:pPr>
    </w:p>
    <w:p w14:paraId="10AABF4E" w14:textId="77777777" w:rsidR="008262AF" w:rsidRPr="008262AF" w:rsidRDefault="008262AF" w:rsidP="008262AF">
      <w:pPr>
        <w:rPr>
          <w:lang w:val="en-GB"/>
        </w:rPr>
      </w:pPr>
    </w:p>
    <w:p w14:paraId="7334A432" w14:textId="77777777" w:rsidR="00B865C9" w:rsidRDefault="00000000" w:rsidP="006A7DBB">
      <w:pPr>
        <w:rPr>
          <w:lang w:val="en-GB"/>
        </w:rPr>
      </w:pPr>
      <w:r w:rsidRPr="008F2C7C">
        <w:rPr>
          <w:lang w:val="en-GB"/>
        </w:rPr>
        <w:lastRenderedPageBreak/>
        <w:t xml:space="preserve">It has been observed that the role of General Motors has been quite better over the last 5 years as compared with its competitor Ford Motors. As the ROE of the company will exist at 16% in 2023 whereas its competitor will be able to maintain ROE at 10%. However, Ford Motor has achieved the highest ROE in the last 5 years of financial health in 2021 at 37%. Apart from this, the operating margins of any organisation reflect how much an organisation generates revenue and controls its operating cost. As opined by Alhassan and Islam, (2021), the operating ratio of </w:t>
      </w:r>
      <w:r w:rsidR="008F2C7C" w:rsidRPr="008F2C7C">
        <w:rPr>
          <w:lang w:val="en-GB"/>
        </w:rPr>
        <w:t>General Motors</w:t>
      </w:r>
      <w:r w:rsidRPr="008F2C7C">
        <w:rPr>
          <w:lang w:val="en-GB"/>
        </w:rPr>
        <w:t xml:space="preserve"> has been estimated at 5% for 2023 which has been having a straight line in the last 5 years which indicates that the company has maintained a stable operating margin. Nevertheless, it has been suggested that companies should maintain more than 15% to achieve a positive profitability ratio. However, the operating margin of its competitor Ford Motors will fluctuate at 3% in 2023 which will increase from 0% in 2019 to -3% in 2020.</w:t>
      </w:r>
      <w:r w:rsidR="00795E40">
        <w:rPr>
          <w:lang w:val="en-GB"/>
        </w:rPr>
        <w:t xml:space="preserve"> It indicates better performance ability of the company. </w:t>
      </w:r>
    </w:p>
    <w:p w14:paraId="458C063A" w14:textId="77777777" w:rsidR="00B865C9" w:rsidRDefault="00000000">
      <w:pPr>
        <w:rPr>
          <w:b/>
          <w:bCs/>
          <w:i/>
          <w:iCs/>
          <w:lang w:val="en-GB"/>
        </w:rPr>
      </w:pPr>
      <w:r w:rsidRPr="008F2C7C">
        <w:rPr>
          <w:b/>
          <w:bCs/>
          <w:i/>
          <w:iCs/>
          <w:lang w:val="en-GB"/>
        </w:rPr>
        <w:t>Efficiency performance comparison</w:t>
      </w:r>
    </w:p>
    <w:p w14:paraId="27D7C6D9" w14:textId="77777777" w:rsidR="009449F5" w:rsidRDefault="00000000" w:rsidP="009449F5">
      <w:pPr>
        <w:jc w:val="center"/>
        <w:rPr>
          <w:b/>
          <w:bCs/>
          <w:i/>
          <w:iCs/>
          <w:lang w:val="en-GB"/>
        </w:rPr>
      </w:pPr>
      <w:r>
        <w:rPr>
          <w:noProof/>
        </w:rPr>
        <w:drawing>
          <wp:inline distT="114300" distB="114300" distL="114300" distR="114300" wp14:anchorId="27DBE2A8" wp14:editId="399301A0">
            <wp:extent cx="5731200" cy="3225800"/>
            <wp:effectExtent l="0" t="0" r="0" b="0"/>
            <wp:docPr id="1903814768" name="image5.png"/>
            <wp:cNvGraphicFramePr/>
            <a:graphic xmlns:a="http://schemas.openxmlformats.org/drawingml/2006/main">
              <a:graphicData uri="http://schemas.openxmlformats.org/drawingml/2006/picture">
                <pic:pic xmlns:pic="http://schemas.openxmlformats.org/drawingml/2006/picture">
                  <pic:nvPicPr>
                    <pic:cNvPr id="1903814768" name="image5.png"/>
                    <pic:cNvPicPr/>
                  </pic:nvPicPr>
                  <pic:blipFill>
                    <a:blip r:embed="rId15"/>
                    <a:stretch>
                      <a:fillRect/>
                    </a:stretch>
                  </pic:blipFill>
                  <pic:spPr>
                    <a:xfrm>
                      <a:off x="0" y="0"/>
                      <a:ext cx="5731200" cy="3225800"/>
                    </a:xfrm>
                    <a:prstGeom prst="rect">
                      <a:avLst/>
                    </a:prstGeom>
                  </pic:spPr>
                </pic:pic>
              </a:graphicData>
            </a:graphic>
          </wp:inline>
        </w:drawing>
      </w:r>
    </w:p>
    <w:p w14:paraId="1BF43C44" w14:textId="77777777" w:rsidR="009449F5" w:rsidRDefault="00000000" w:rsidP="004957AF">
      <w:pPr>
        <w:pStyle w:val="Heading3"/>
      </w:pPr>
      <w:bookmarkStart w:id="16" w:name="_Toc164762700"/>
      <w:r w:rsidRPr="009449F5">
        <w:t xml:space="preserve">Figure </w:t>
      </w:r>
      <w:r>
        <w:t>8</w:t>
      </w:r>
      <w:r w:rsidRPr="009449F5">
        <w:t xml:space="preserve">: Comparison of </w:t>
      </w:r>
      <w:r>
        <w:t>Efficiency</w:t>
      </w:r>
      <w:r w:rsidRPr="009449F5">
        <w:t xml:space="preserve"> performance</w:t>
      </w:r>
      <w:bookmarkEnd w:id="16"/>
    </w:p>
    <w:p w14:paraId="56A4DB9C" w14:textId="77777777" w:rsidR="00FD2FDB" w:rsidRPr="008F2C7C" w:rsidRDefault="00FD2FDB" w:rsidP="00FD2FDB">
      <w:pPr>
        <w:jc w:val="center"/>
        <w:rPr>
          <w:lang w:val="en-GB"/>
        </w:rPr>
      </w:pPr>
      <w:r w:rsidRPr="008F2C7C">
        <w:rPr>
          <w:lang w:val="en-GB"/>
        </w:rPr>
        <w:t>(Source: Self-created)</w:t>
      </w:r>
    </w:p>
    <w:p w14:paraId="5A71B11F" w14:textId="77777777" w:rsidR="00FD2FDB" w:rsidRPr="009449F5" w:rsidRDefault="00FD2FDB" w:rsidP="009449F5">
      <w:pPr>
        <w:jc w:val="center"/>
        <w:rPr>
          <w:b/>
          <w:bCs/>
          <w:lang w:val="en-GB"/>
        </w:rPr>
      </w:pPr>
    </w:p>
    <w:p w14:paraId="03B8B07C" w14:textId="77777777" w:rsidR="00B865C9" w:rsidRPr="008F2C7C" w:rsidRDefault="00000000" w:rsidP="006A7DBB">
      <w:pPr>
        <w:rPr>
          <w:lang w:val="en-GB"/>
        </w:rPr>
      </w:pPr>
      <w:r w:rsidRPr="008F2C7C">
        <w:rPr>
          <w:lang w:val="en-GB"/>
        </w:rPr>
        <w:lastRenderedPageBreak/>
        <w:t xml:space="preserve">The efficiency performance of any business organisation mainly depends on how much an organisation efficiently maintains its relationship with key stakeholders as well as considers financial benefits (Rashid, 2021). In the current case scenario, the efficiency and health of both organisations are compared by using the inventory turnover period and trade receivable period. The inventory turnover period of both organisations has been stable at around 9 days to 14 days. However, General Motors has maintained a low inventory turnover period as compared with its competitors. Apart from this trade receivable period of any business organisation reflects how much an organisation efficiently collects its credit sales amount from debtors. The trade reusable period of general motor has been flex fitting between 109 days in 2023 which has been slightly increased from the last 5 years whereas its competitor for motor has suffered from a slightly high receivable turnover period of around 128 days in 2023 which has been slightly decreased from last 5 years. </w:t>
      </w:r>
      <w:r w:rsidR="006A7DBB" w:rsidRPr="008F2C7C">
        <w:rPr>
          <w:lang w:val="en-GB"/>
        </w:rPr>
        <w:t>Therefore,</w:t>
      </w:r>
      <w:r w:rsidRPr="008F2C7C">
        <w:rPr>
          <w:lang w:val="en-GB"/>
        </w:rPr>
        <w:t xml:space="preserve"> it has been observed that both organisations have better inventory turnover periods and nevertheless suffer from high trade receivable periods which may reduce their operating capital capacity as well as financial strength.</w:t>
      </w:r>
    </w:p>
    <w:p w14:paraId="5F5725DD" w14:textId="77777777" w:rsidR="00B865C9" w:rsidRDefault="00000000">
      <w:pPr>
        <w:rPr>
          <w:b/>
          <w:bCs/>
          <w:i/>
          <w:iCs/>
          <w:lang w:val="en-GB"/>
        </w:rPr>
      </w:pPr>
      <w:r w:rsidRPr="008F2C7C">
        <w:rPr>
          <w:b/>
          <w:bCs/>
          <w:i/>
          <w:iCs/>
          <w:lang w:val="en-GB"/>
        </w:rPr>
        <w:t>Liquidity performance</w:t>
      </w:r>
      <w:r w:rsidR="006A7DBB" w:rsidRPr="008F2C7C">
        <w:rPr>
          <w:b/>
          <w:bCs/>
          <w:i/>
          <w:iCs/>
          <w:lang w:val="en-GB"/>
        </w:rPr>
        <w:t xml:space="preserve"> comparison</w:t>
      </w:r>
    </w:p>
    <w:p w14:paraId="2D547E8E" w14:textId="77777777" w:rsidR="004B0DC2" w:rsidRDefault="00000000" w:rsidP="004B0DC2">
      <w:pPr>
        <w:jc w:val="center"/>
        <w:rPr>
          <w:b/>
          <w:bCs/>
          <w:i/>
          <w:iCs/>
          <w:lang w:val="en-GB"/>
        </w:rPr>
      </w:pPr>
      <w:r>
        <w:rPr>
          <w:noProof/>
        </w:rPr>
        <w:drawing>
          <wp:inline distT="114300" distB="114300" distL="114300" distR="114300" wp14:anchorId="57B2329C" wp14:editId="6A4C828E">
            <wp:extent cx="5731200" cy="3225800"/>
            <wp:effectExtent l="0" t="0" r="0" b="0"/>
            <wp:docPr id="2071648273" name="image4.png"/>
            <wp:cNvGraphicFramePr/>
            <a:graphic xmlns:a="http://schemas.openxmlformats.org/drawingml/2006/main">
              <a:graphicData uri="http://schemas.openxmlformats.org/drawingml/2006/picture">
                <pic:pic xmlns:pic="http://schemas.openxmlformats.org/drawingml/2006/picture">
                  <pic:nvPicPr>
                    <pic:cNvPr id="2071648273" name="image4.png"/>
                    <pic:cNvPicPr/>
                  </pic:nvPicPr>
                  <pic:blipFill>
                    <a:blip r:embed="rId16"/>
                    <a:stretch>
                      <a:fillRect/>
                    </a:stretch>
                  </pic:blipFill>
                  <pic:spPr>
                    <a:xfrm>
                      <a:off x="0" y="0"/>
                      <a:ext cx="5731200" cy="3225800"/>
                    </a:xfrm>
                    <a:prstGeom prst="rect">
                      <a:avLst/>
                    </a:prstGeom>
                  </pic:spPr>
                </pic:pic>
              </a:graphicData>
            </a:graphic>
          </wp:inline>
        </w:drawing>
      </w:r>
    </w:p>
    <w:p w14:paraId="1D87DD50" w14:textId="77777777" w:rsidR="004B0DC2" w:rsidRDefault="00000000" w:rsidP="004957AF">
      <w:pPr>
        <w:pStyle w:val="Heading3"/>
      </w:pPr>
      <w:bookmarkStart w:id="17" w:name="_Toc164762701"/>
      <w:r w:rsidRPr="004B0DC2">
        <w:t>Figure 9: Comparison of Liquidity performance</w:t>
      </w:r>
      <w:bookmarkEnd w:id="17"/>
    </w:p>
    <w:p w14:paraId="7149D5BB" w14:textId="35E8140B" w:rsidR="00D264D5" w:rsidRPr="00D264D5" w:rsidRDefault="00D264D5" w:rsidP="004B0DC2">
      <w:pPr>
        <w:jc w:val="center"/>
        <w:rPr>
          <w:lang w:val="en-GB"/>
        </w:rPr>
      </w:pPr>
      <w:r>
        <w:rPr>
          <w:lang w:val="en-GB"/>
        </w:rPr>
        <w:t>(Source: Self-developed)</w:t>
      </w:r>
    </w:p>
    <w:p w14:paraId="004203BC" w14:textId="77777777" w:rsidR="00B865C9" w:rsidRPr="008F2C7C" w:rsidRDefault="00000000" w:rsidP="0046348A">
      <w:pPr>
        <w:rPr>
          <w:lang w:val="en-GB"/>
        </w:rPr>
      </w:pPr>
      <w:r w:rsidRPr="008F2C7C">
        <w:rPr>
          <w:lang w:val="en-GB"/>
        </w:rPr>
        <w:lastRenderedPageBreak/>
        <w:t>The liquidity health of any business entity is quite important for managing their regular and day-to-day business operations and paying short-term obligations to their creditors and suppliers (Zaitoun and Alqudah, 2020). The current ratio of General Motors has been slightly increased to 1.08 times in 2023 whereas Ford Motors has maintained a current ratio of 1.20 times for the last 5 years. On the other hand, the quick ratio of both organisations is quite better as it has fluctuated around an ideal quick ratio of 1 time. However, it has been observed that Ford Motor has maintained better liquidity performance as compared with its competitor General Motors.</w:t>
      </w:r>
    </w:p>
    <w:p w14:paraId="7F95E336" w14:textId="77777777" w:rsidR="00B865C9" w:rsidRDefault="00000000">
      <w:pPr>
        <w:rPr>
          <w:b/>
          <w:bCs/>
          <w:i/>
          <w:iCs/>
          <w:lang w:val="en-GB"/>
        </w:rPr>
      </w:pPr>
      <w:r w:rsidRPr="008F2C7C">
        <w:rPr>
          <w:b/>
          <w:bCs/>
          <w:i/>
          <w:iCs/>
          <w:lang w:val="en-GB"/>
        </w:rPr>
        <w:t>Financial gearing performance comparison</w:t>
      </w:r>
    </w:p>
    <w:p w14:paraId="343A9D5C" w14:textId="77777777" w:rsidR="009403FE" w:rsidRDefault="00000000">
      <w:pPr>
        <w:rPr>
          <w:b/>
          <w:bCs/>
          <w:i/>
          <w:iCs/>
          <w:lang w:val="en-GB"/>
        </w:rPr>
      </w:pPr>
      <w:r>
        <w:rPr>
          <w:noProof/>
        </w:rPr>
        <w:drawing>
          <wp:inline distT="114300" distB="114300" distL="114300" distR="114300" wp14:anchorId="14397368" wp14:editId="7B0D0CE2">
            <wp:extent cx="5731200" cy="3225800"/>
            <wp:effectExtent l="0" t="0" r="0" b="0"/>
            <wp:docPr id="1225452557" name="image6.png"/>
            <wp:cNvGraphicFramePr/>
            <a:graphic xmlns:a="http://schemas.openxmlformats.org/drawingml/2006/main">
              <a:graphicData uri="http://schemas.openxmlformats.org/drawingml/2006/picture">
                <pic:pic xmlns:pic="http://schemas.openxmlformats.org/drawingml/2006/picture">
                  <pic:nvPicPr>
                    <pic:cNvPr id="1225452557" name="image6.png"/>
                    <pic:cNvPicPr/>
                  </pic:nvPicPr>
                  <pic:blipFill>
                    <a:blip r:embed="rId17"/>
                    <a:stretch>
                      <a:fillRect/>
                    </a:stretch>
                  </pic:blipFill>
                  <pic:spPr>
                    <a:xfrm>
                      <a:off x="0" y="0"/>
                      <a:ext cx="5731200" cy="3225800"/>
                    </a:xfrm>
                    <a:prstGeom prst="rect">
                      <a:avLst/>
                    </a:prstGeom>
                  </pic:spPr>
                </pic:pic>
              </a:graphicData>
            </a:graphic>
          </wp:inline>
        </w:drawing>
      </w:r>
    </w:p>
    <w:p w14:paraId="47B39555" w14:textId="555A7E6F" w:rsidR="009403FE" w:rsidRDefault="00000000" w:rsidP="004957AF">
      <w:pPr>
        <w:pStyle w:val="Heading3"/>
      </w:pPr>
      <w:bookmarkStart w:id="18" w:name="_Toc164762702"/>
      <w:r w:rsidRPr="004B0DC2">
        <w:t xml:space="preserve">Figure </w:t>
      </w:r>
      <w:r w:rsidR="00C524C4">
        <w:t>10</w:t>
      </w:r>
      <w:r w:rsidRPr="004B0DC2">
        <w:t xml:space="preserve">: Comparison of </w:t>
      </w:r>
      <w:r>
        <w:t>Gearing</w:t>
      </w:r>
      <w:r w:rsidRPr="004B0DC2">
        <w:t xml:space="preserve"> performance</w:t>
      </w:r>
      <w:bookmarkEnd w:id="18"/>
    </w:p>
    <w:p w14:paraId="202BC4CC" w14:textId="37775B25" w:rsidR="00D264D5" w:rsidRPr="00D264D5" w:rsidRDefault="00D264D5" w:rsidP="00D264D5">
      <w:pPr>
        <w:jc w:val="center"/>
        <w:rPr>
          <w:lang w:val="en-GB"/>
        </w:rPr>
      </w:pPr>
      <w:r>
        <w:rPr>
          <w:lang w:val="en-GB"/>
        </w:rPr>
        <w:t>(Source: Self-developed)</w:t>
      </w:r>
    </w:p>
    <w:p w14:paraId="4F74BF96" w14:textId="77777777" w:rsidR="00B865C9" w:rsidRPr="008F2C7C" w:rsidRDefault="00000000" w:rsidP="009403FE">
      <w:pPr>
        <w:rPr>
          <w:lang w:val="en-GB"/>
        </w:rPr>
      </w:pPr>
      <w:r w:rsidRPr="008F2C7C">
        <w:rPr>
          <w:lang w:val="en-GB"/>
        </w:rPr>
        <w:t xml:space="preserve">The financial gearing performance of </w:t>
      </w:r>
      <w:r w:rsidR="0093793D">
        <w:rPr>
          <w:lang w:val="en-GB"/>
        </w:rPr>
        <w:t>G</w:t>
      </w:r>
      <w:r w:rsidRPr="008F2C7C">
        <w:rPr>
          <w:lang w:val="en-GB"/>
        </w:rPr>
        <w:t xml:space="preserve">eneral </w:t>
      </w:r>
      <w:r w:rsidR="0093793D">
        <w:rPr>
          <w:lang w:val="en-GB"/>
        </w:rPr>
        <w:t>M</w:t>
      </w:r>
      <w:r w:rsidRPr="008F2C7C">
        <w:rPr>
          <w:lang w:val="en-GB"/>
        </w:rPr>
        <w:t>otors is quite better as compared with its competitor Ford Motor (Effiong and Ejabu, 2020). Debt equity ratio of General Motors has been fluctuating around 1.91 Times which is low compared with its competitor Ford Motor. Apart from this, the interest coverage ratio of General Motors is also better with the highest interest coverage ratio obtained in 2023 whereas its competitor has maintained the highest interest coverage ratio of 5 times in 2022 which has been reduced to 4 times in 2023.</w:t>
      </w:r>
      <w:r w:rsidR="009403FE">
        <w:rPr>
          <w:lang w:val="en-GB"/>
        </w:rPr>
        <w:t xml:space="preserve"> </w:t>
      </w:r>
      <w:r w:rsidRPr="008F2C7C">
        <w:rPr>
          <w:lang w:val="en-GB"/>
        </w:rPr>
        <w:t xml:space="preserve">Overall, general Motors has maintained </w:t>
      </w:r>
      <w:r w:rsidRPr="008F2C7C">
        <w:rPr>
          <w:lang w:val="en-GB"/>
        </w:rPr>
        <w:lastRenderedPageBreak/>
        <w:t xml:space="preserve">better financial health from different perspectives compared with its competitive </w:t>
      </w:r>
      <w:r w:rsidR="0046348A" w:rsidRPr="008F2C7C">
        <w:rPr>
          <w:lang w:val="en-GB"/>
        </w:rPr>
        <w:t>Ford Motor</w:t>
      </w:r>
      <w:r w:rsidRPr="008F2C7C">
        <w:rPr>
          <w:lang w:val="en-GB"/>
        </w:rPr>
        <w:t xml:space="preserve">. As discussed by Wuave </w:t>
      </w:r>
      <w:r w:rsidRPr="008354E6">
        <w:rPr>
          <w:i/>
          <w:iCs/>
          <w:lang w:val="en-GB"/>
        </w:rPr>
        <w:t>et al</w:t>
      </w:r>
      <w:r w:rsidRPr="008F2C7C">
        <w:rPr>
          <w:lang w:val="en-GB"/>
        </w:rPr>
        <w:t>., (2020)</w:t>
      </w:r>
      <w:r w:rsidR="0046348A" w:rsidRPr="008F2C7C">
        <w:rPr>
          <w:lang w:val="en-GB"/>
        </w:rPr>
        <w:t>, t</w:t>
      </w:r>
      <w:r w:rsidRPr="008F2C7C">
        <w:rPr>
          <w:lang w:val="en-GB"/>
        </w:rPr>
        <w:t>he main reason behind the better financial performance is high revenue growth, and effective business operations which optimise resource allocation and control over all manufacturing and operation costs. Apart from this, both organisations have suffered from high receivable turnover periods which may reduce their overall financial strength by limiting their cash reserves.</w:t>
      </w:r>
    </w:p>
    <w:p w14:paraId="4CE6B1F0" w14:textId="77777777" w:rsidR="00B865C9" w:rsidRPr="008F2C7C" w:rsidRDefault="00000000" w:rsidP="0046348A">
      <w:pPr>
        <w:pStyle w:val="Heading2"/>
        <w:rPr>
          <w:lang w:val="en-GB"/>
        </w:rPr>
      </w:pPr>
      <w:bookmarkStart w:id="19" w:name="_Toc163230859"/>
      <w:r w:rsidRPr="008F2C7C">
        <w:rPr>
          <w:lang w:val="en-GB"/>
        </w:rPr>
        <w:t>Recommendation on enhancing the financial management of the firm</w:t>
      </w:r>
      <w:bookmarkEnd w:id="19"/>
    </w:p>
    <w:p w14:paraId="494512DD" w14:textId="77777777" w:rsidR="00B865C9" w:rsidRPr="008F2C7C" w:rsidRDefault="00000000">
      <w:pPr>
        <w:rPr>
          <w:lang w:val="en-GB"/>
        </w:rPr>
      </w:pPr>
      <w:r w:rsidRPr="008F2C7C">
        <w:rPr>
          <w:lang w:val="en-GB"/>
        </w:rPr>
        <w:t xml:space="preserve">Based on an analysis of the financial health of both organisations it has been noted that General Motors has maintained better financial performance compared with its competitors never the list required to consider some key areas like low operating margin and ROE ratio. As suggested by AL MOMANI </w:t>
      </w:r>
      <w:r w:rsidRPr="008354E6">
        <w:rPr>
          <w:i/>
          <w:iCs/>
          <w:lang w:val="en-GB"/>
        </w:rPr>
        <w:t>et al.,</w:t>
      </w:r>
      <w:r w:rsidRPr="008F2C7C">
        <w:rPr>
          <w:lang w:val="en-GB"/>
        </w:rPr>
        <w:t xml:space="preserve"> (2021), General Motors is required to increase its existing revenue by implementing digital and targeted marketing strategies to attract more consumers towards business operations. Apart from this, the company is also required to select alternative suppliers of resources and ensure favourable terms and prices which may reduce overall manufacturing costs and report expenditure (Sogomi </w:t>
      </w:r>
      <w:r w:rsidRPr="008354E6">
        <w:rPr>
          <w:i/>
          <w:iCs/>
          <w:lang w:val="en-GB"/>
        </w:rPr>
        <w:t>et al., 2022</w:t>
      </w:r>
      <w:r w:rsidRPr="008F2C7C">
        <w:rPr>
          <w:lang w:val="en-GB"/>
        </w:rPr>
        <w:t>). As a result, the company can increase overall business revenue and reduce costs which may result in high profitability. In addition, the company is also required to increase its castles as well as reduce current obligations to improve overall liquidity performance which may assist in attracting more suppliers and investors to engage with the organisation's business process. However, the general motor has a better interest coverage ratio nevertheless required to reduce its debt capital to maintain a balanced capital structure. These steps not only exist to reduce depth capital but also to maintain sustainability in capital structure.</w:t>
      </w:r>
    </w:p>
    <w:p w14:paraId="79F1777B" w14:textId="77777777" w:rsidR="00B865C9" w:rsidRPr="008F2C7C" w:rsidRDefault="00000000" w:rsidP="0046348A">
      <w:pPr>
        <w:pStyle w:val="Heading1"/>
        <w:rPr>
          <w:lang w:val="en-GB"/>
        </w:rPr>
      </w:pPr>
      <w:bookmarkStart w:id="20" w:name="_9v5cug2h2jy3" w:colFirst="0" w:colLast="0"/>
      <w:bookmarkStart w:id="21" w:name="_Toc163230860"/>
      <w:bookmarkEnd w:id="20"/>
      <w:r w:rsidRPr="008F2C7C">
        <w:rPr>
          <w:lang w:val="en-GB"/>
        </w:rPr>
        <w:t>Part C: Determination of investment opportunities</w:t>
      </w:r>
      <w:bookmarkEnd w:id="21"/>
    </w:p>
    <w:p w14:paraId="3F81A9A9" w14:textId="77777777" w:rsidR="00B865C9" w:rsidRPr="008F2C7C" w:rsidRDefault="00000000">
      <w:pPr>
        <w:pStyle w:val="Heading2"/>
        <w:keepNext w:val="0"/>
        <w:keepLines w:val="0"/>
        <w:spacing w:before="360" w:after="80"/>
        <w:rPr>
          <w:sz w:val="34"/>
          <w:szCs w:val="34"/>
          <w:lang w:val="en-GB"/>
        </w:rPr>
      </w:pPr>
      <w:bookmarkStart w:id="22" w:name="_pvn13j8klwvd" w:colFirst="0" w:colLast="0"/>
      <w:bookmarkStart w:id="23" w:name="_Toc163230861"/>
      <w:bookmarkEnd w:id="22"/>
      <w:r w:rsidRPr="008F2C7C">
        <w:rPr>
          <w:lang w:val="en-GB"/>
        </w:rPr>
        <w:t>1.</w:t>
      </w:r>
      <w:r w:rsidRPr="008F2C7C">
        <w:rPr>
          <w:sz w:val="34"/>
          <w:szCs w:val="34"/>
          <w:lang w:val="en-GB"/>
        </w:rPr>
        <w:t xml:space="preserve"> </w:t>
      </w:r>
      <w:r w:rsidRPr="008F2C7C">
        <w:rPr>
          <w:lang w:val="en-GB"/>
        </w:rPr>
        <w:t>Suggestion on new investment opportunities</w:t>
      </w:r>
      <w:bookmarkEnd w:id="23"/>
    </w:p>
    <w:p w14:paraId="6C569B86" w14:textId="77777777" w:rsidR="00B865C9" w:rsidRPr="008F2C7C" w:rsidRDefault="00000000">
      <w:pPr>
        <w:spacing w:before="240" w:after="240"/>
        <w:rPr>
          <w:lang w:val="en-GB"/>
        </w:rPr>
      </w:pPr>
      <w:r w:rsidRPr="008F2C7C">
        <w:rPr>
          <w:lang w:val="en-GB"/>
        </w:rPr>
        <w:t xml:space="preserve">Investment is a key financial aspect that needs to be considered by any business organisation at its initial stage to arrange the necessary environment and process for performing business operations around targeted business locations (Dai </w:t>
      </w:r>
      <w:r w:rsidRPr="008F2C7C">
        <w:rPr>
          <w:i/>
          <w:lang w:val="en-GB"/>
        </w:rPr>
        <w:t>et al</w:t>
      </w:r>
      <w:r w:rsidRPr="008F2C7C">
        <w:rPr>
          <w:lang w:val="en-GB"/>
        </w:rPr>
        <w:t xml:space="preserve">., 2022). In the current digital business landscape, each business organisation significantly invests in innovative technology and Research and development to innovate unique products and services to acquire a better competitive advantage </w:t>
      </w:r>
      <w:r w:rsidRPr="008F2C7C">
        <w:rPr>
          <w:lang w:val="en-GB"/>
        </w:rPr>
        <w:lastRenderedPageBreak/>
        <w:t>in the business industry. The current sections are also focused on a detailed analysis of the financial feasibility and availability of two proposed projects. The company has invested in innovating and developing new automobile parts and digital sensors to enhance the effectiveness and premium features of its vehicle product. However, the company has an investment opportunity such as Proposal A needs to invest in 5000 whereas in the proposal the company is required to invest around 1000. The project has an expected project life cycle of 4 years after that the project will be completed or closed by the organisation.</w:t>
      </w:r>
    </w:p>
    <w:p w14:paraId="5199496E" w14:textId="77777777" w:rsidR="00B865C9" w:rsidRPr="008F2C7C" w:rsidRDefault="00000000">
      <w:pPr>
        <w:spacing w:before="240" w:after="240"/>
        <w:rPr>
          <w:b/>
          <w:i/>
          <w:lang w:val="en-GB"/>
        </w:rPr>
      </w:pPr>
      <w:r w:rsidRPr="008F2C7C">
        <w:rPr>
          <w:b/>
          <w:i/>
          <w:lang w:val="en-GB"/>
        </w:rPr>
        <w:t>Net present value</w:t>
      </w:r>
    </w:p>
    <w:p w14:paraId="00A2F494" w14:textId="77777777" w:rsidR="00B865C9" w:rsidRPr="008F2C7C" w:rsidRDefault="00000000">
      <w:pPr>
        <w:spacing w:before="240" w:after="240"/>
        <w:rPr>
          <w:lang w:val="en-GB"/>
        </w:rPr>
      </w:pPr>
      <w:r w:rsidRPr="008F2C7C">
        <w:rPr>
          <w:lang w:val="en-GB"/>
        </w:rPr>
        <w:t xml:space="preserve">NPV is the economic worth of any project which depends on initial investment and total cash inflow in the entire project life cycle. As opined by Agung and Zuhri, (2023), NPV reflects how much a project is worth or how financially benefited an organisation is after recovering its entire initial investment. This investment appraisal technique is considered by an organisation while focused on optimising overall project work and organisational value. NPV of project Proposal A has been estimated at 0.57 after deducting the total initial investment from the total cash inflow in the entire project life cycle. However, the NPV of Project B has been estimated at 1995.67. NPV of both projects has been estimated at a discount rate of 0.75% which is too low from the perspective of current economic uncertainty and business dynamics </w:t>
      </w:r>
      <w:r w:rsidRPr="008F2C7C">
        <w:rPr>
          <w:b/>
          <w:i/>
          <w:lang w:val="en-GB"/>
        </w:rPr>
        <w:t>[Referred to appendix 1]</w:t>
      </w:r>
      <w:r w:rsidRPr="008F2C7C">
        <w:rPr>
          <w:lang w:val="en-GB"/>
        </w:rPr>
        <w:t>.</w:t>
      </w:r>
    </w:p>
    <w:p w14:paraId="068D8FA9" w14:textId="77777777" w:rsidR="00B865C9" w:rsidRPr="008F2C7C" w:rsidRDefault="00000000">
      <w:pPr>
        <w:spacing w:before="240" w:after="240"/>
        <w:rPr>
          <w:b/>
          <w:i/>
          <w:lang w:val="en-GB"/>
        </w:rPr>
      </w:pPr>
      <w:r w:rsidRPr="008F2C7C">
        <w:rPr>
          <w:b/>
          <w:i/>
          <w:lang w:val="en-GB"/>
        </w:rPr>
        <w:t>Payback period</w:t>
      </w:r>
    </w:p>
    <w:p w14:paraId="7FCCFB37" w14:textId="77777777" w:rsidR="00B865C9" w:rsidRPr="008F2C7C" w:rsidRDefault="00000000">
      <w:pPr>
        <w:spacing w:before="240" w:after="240"/>
        <w:rPr>
          <w:lang w:val="en-GB"/>
        </w:rPr>
      </w:pPr>
      <w:r w:rsidRPr="008F2C7C">
        <w:rPr>
          <w:lang w:val="en-GB"/>
        </w:rPr>
        <w:t xml:space="preserve">The payback period of any project reflects the minimum time required by investors as well as a project manager to recover the initial investment (Sinaga </w:t>
      </w:r>
      <w:r w:rsidRPr="008F2C7C">
        <w:rPr>
          <w:i/>
          <w:lang w:val="en-GB"/>
        </w:rPr>
        <w:t>et al</w:t>
      </w:r>
      <w:r w:rsidRPr="008F2C7C">
        <w:rPr>
          <w:lang w:val="en-GB"/>
        </w:rPr>
        <w:t xml:space="preserve">., 2023). A project should have a payback period longer than its project life cycle to recover any cell investment within the inter-project life cycle. From the current perspective, the company will require 2 years and 5 months to recover its initial investment while considering Proposal A for business expansion. Apart from this period of the project has been estimated at 7 months which is too low as compared with the payback period of project a. It has been noted that the company was able to recover the initial investment earlier in the project due to low initial investment as well as better caste inflow in the entire 3 years </w:t>
      </w:r>
      <w:r w:rsidRPr="008F2C7C">
        <w:rPr>
          <w:b/>
          <w:i/>
          <w:lang w:val="en-GB"/>
        </w:rPr>
        <w:t>[Referred to appendix 1]</w:t>
      </w:r>
      <w:r w:rsidRPr="008F2C7C">
        <w:rPr>
          <w:lang w:val="en-GB"/>
        </w:rPr>
        <w:t>.</w:t>
      </w:r>
    </w:p>
    <w:p w14:paraId="75CE7AD9" w14:textId="77777777" w:rsidR="00B865C9" w:rsidRPr="008F2C7C" w:rsidRDefault="00000000">
      <w:pPr>
        <w:spacing w:before="240" w:after="240"/>
        <w:rPr>
          <w:b/>
          <w:i/>
          <w:lang w:val="en-GB"/>
        </w:rPr>
      </w:pPr>
      <w:r w:rsidRPr="008F2C7C">
        <w:rPr>
          <w:b/>
          <w:i/>
          <w:lang w:val="en-GB"/>
        </w:rPr>
        <w:t>Average rate of return</w:t>
      </w:r>
    </w:p>
    <w:p w14:paraId="0D4BE02E" w14:textId="77777777" w:rsidR="00B865C9" w:rsidRPr="008F2C7C" w:rsidRDefault="00000000">
      <w:pPr>
        <w:spacing w:before="240" w:after="240"/>
        <w:rPr>
          <w:lang w:val="en-GB"/>
        </w:rPr>
      </w:pPr>
      <w:r w:rsidRPr="008F2C7C">
        <w:rPr>
          <w:lang w:val="en-GB"/>
        </w:rPr>
        <w:lastRenderedPageBreak/>
        <w:t xml:space="preserve">The average rate of return of any project mainly depends on a misal investment and aggregate cash inflow in the entire project life cycle (Huang </w:t>
      </w:r>
      <w:r w:rsidRPr="008F2C7C">
        <w:rPr>
          <w:i/>
          <w:lang w:val="en-GB"/>
        </w:rPr>
        <w:t>et al</w:t>
      </w:r>
      <w:r w:rsidRPr="008F2C7C">
        <w:rPr>
          <w:lang w:val="en-GB"/>
        </w:rPr>
        <w:t xml:space="preserve">., 2022). As initial investments of both projects are significantly different compared with each other which may make a significant difference in their ARR. The ART of Proposal A has been estimated at 1.16% which is too low compared with an ideal ARR of 15 to 20%. Apart from this, the ART of Proposal B has been calculated at 203.00% after considering investment and cash inflow or cash outflow in the entire project life cycle </w:t>
      </w:r>
      <w:r w:rsidRPr="008F2C7C">
        <w:rPr>
          <w:b/>
          <w:i/>
          <w:lang w:val="en-GB"/>
        </w:rPr>
        <w:t>[Referred to appendix 1]</w:t>
      </w:r>
      <w:r w:rsidRPr="008F2C7C">
        <w:rPr>
          <w:lang w:val="en-GB"/>
        </w:rPr>
        <w:t>.</w:t>
      </w:r>
    </w:p>
    <w:p w14:paraId="32E3F63D" w14:textId="77777777" w:rsidR="00B865C9" w:rsidRPr="008F2C7C" w:rsidRDefault="00000000">
      <w:pPr>
        <w:spacing w:before="240" w:after="240"/>
        <w:rPr>
          <w:lang w:val="en-GB"/>
        </w:rPr>
      </w:pPr>
      <w:r w:rsidRPr="008F2C7C">
        <w:rPr>
          <w:lang w:val="en-GB"/>
        </w:rPr>
        <w:t>After considering these three investments of result parameters of both proposals it can be concluded that Proposal B is more suitable for a company to make such an investment. As in Proposal B, the company can generate a positive NPV value which is economically beneficial for the company as well as recover in a Cell investment within 1 year which reflects this project is less risky. However, the art of Proposal B is also too high as compared with Proposal A witch as compared with Proposal A witch as compared with Proposal A which makes it more viable as compared with Proposal A.</w:t>
      </w:r>
    </w:p>
    <w:p w14:paraId="6E6A5E78" w14:textId="77777777" w:rsidR="00B865C9" w:rsidRPr="008F2C7C" w:rsidRDefault="00000000">
      <w:pPr>
        <w:pStyle w:val="Heading2"/>
        <w:keepNext w:val="0"/>
        <w:keepLines w:val="0"/>
        <w:spacing w:before="360" w:after="80"/>
        <w:rPr>
          <w:sz w:val="34"/>
          <w:szCs w:val="34"/>
          <w:lang w:val="en-GB"/>
        </w:rPr>
      </w:pPr>
      <w:bookmarkStart w:id="24" w:name="_nbsux8isuhwp" w:colFirst="0" w:colLast="0"/>
      <w:bookmarkStart w:id="25" w:name="_Toc163230862"/>
      <w:bookmarkEnd w:id="24"/>
      <w:r w:rsidRPr="008F2C7C">
        <w:rPr>
          <w:lang w:val="en-GB"/>
        </w:rPr>
        <w:t>2</w:t>
      </w:r>
      <w:r w:rsidRPr="008F2C7C">
        <w:rPr>
          <w:sz w:val="34"/>
          <w:szCs w:val="34"/>
          <w:lang w:val="en-GB"/>
        </w:rPr>
        <w:t xml:space="preserve">. </w:t>
      </w:r>
      <w:r w:rsidRPr="008F2C7C">
        <w:rPr>
          <w:lang w:val="en-GB"/>
        </w:rPr>
        <w:t>Comment on investment viability under new assumptions</w:t>
      </w:r>
      <w:bookmarkEnd w:id="25"/>
    </w:p>
    <w:p w14:paraId="01B71969" w14:textId="77777777" w:rsidR="00B865C9" w:rsidRPr="008F2C7C" w:rsidRDefault="00000000">
      <w:pPr>
        <w:spacing w:before="240" w:after="240"/>
        <w:rPr>
          <w:lang w:val="en-GB"/>
        </w:rPr>
      </w:pPr>
      <w:r w:rsidRPr="008F2C7C">
        <w:rPr>
          <w:lang w:val="en-GB"/>
        </w:rPr>
        <w:t xml:space="preserve">It has been expected that the initial investment of both project proposals will be increased by 10% as well as entire gas inflow or outflow will decline by 10%. This case scenario will hurt the overall financial visibility and viability of both projects. After considering this assumption it has been observed that the NPV value of Proposal A has declined to a negative value of -999.49 for Proposal A however Proposal B will also experience a declined NPV value of 1596.11. in addition, the average rate of return of Proposal A has been estimated at -17.23%. On the other hand, the ART of Proposal B has been estimated at 147.91% which is still high compared with the ideal IRR rate which makes it more viable for engagement as compared with other investment opportunities for the company </w:t>
      </w:r>
      <w:r w:rsidRPr="008F2C7C">
        <w:rPr>
          <w:b/>
          <w:i/>
          <w:lang w:val="en-GB"/>
        </w:rPr>
        <w:t>[Referred to Appendix 2]</w:t>
      </w:r>
      <w:r w:rsidRPr="008F2C7C">
        <w:rPr>
          <w:lang w:val="en-GB"/>
        </w:rPr>
        <w:t>.</w:t>
      </w:r>
    </w:p>
    <w:p w14:paraId="68566F57" w14:textId="77777777" w:rsidR="00B865C9" w:rsidRPr="008F2C7C" w:rsidRDefault="00000000">
      <w:pPr>
        <w:spacing w:before="240" w:after="240"/>
        <w:rPr>
          <w:lang w:val="en-GB"/>
        </w:rPr>
      </w:pPr>
      <w:r w:rsidRPr="008F2C7C">
        <w:rPr>
          <w:lang w:val="en-GB"/>
        </w:rPr>
        <w:t xml:space="preserve">After considering the current assumptions it has been suggested that the company should take corrective actions to mitigate these possible challenges for the current purpose project. As argued by Sarasmitha and Utami, (2023), the company can identify alternative suppliers for different components and resources used in the project. On the other hand, the company can also adopt </w:t>
      </w:r>
      <w:r w:rsidRPr="008F2C7C">
        <w:rPr>
          <w:lang w:val="en-GB"/>
        </w:rPr>
        <w:lastRenderedPageBreak/>
        <w:t>effective product promotion and efficient operating processes for the project which may be assisted to avoid a chance of a decline in overall cash inflow for the project in the future.</w:t>
      </w:r>
    </w:p>
    <w:p w14:paraId="56FA3E2A" w14:textId="77777777" w:rsidR="00B865C9" w:rsidRPr="008F2C7C" w:rsidRDefault="00000000" w:rsidP="0046348A">
      <w:pPr>
        <w:pStyle w:val="Heading2"/>
        <w:rPr>
          <w:sz w:val="34"/>
          <w:szCs w:val="34"/>
          <w:lang w:val="en-GB"/>
        </w:rPr>
      </w:pPr>
      <w:bookmarkStart w:id="26" w:name="_yqe3cmz2cm2k" w:colFirst="0" w:colLast="0"/>
      <w:bookmarkStart w:id="27" w:name="_Toc163230863"/>
      <w:bookmarkEnd w:id="26"/>
      <w:r w:rsidRPr="008F2C7C">
        <w:rPr>
          <w:lang w:val="en-GB"/>
        </w:rPr>
        <w:t>3.</w:t>
      </w:r>
      <w:r w:rsidRPr="008F2C7C">
        <w:rPr>
          <w:sz w:val="34"/>
          <w:szCs w:val="34"/>
          <w:lang w:val="en-GB"/>
        </w:rPr>
        <w:t xml:space="preserve"> </w:t>
      </w:r>
      <w:r w:rsidRPr="008F2C7C">
        <w:rPr>
          <w:lang w:val="en-GB"/>
        </w:rPr>
        <w:t>Advantages and shortcomings of the PBP, ARR, and NPV techniques</w:t>
      </w:r>
      <w:bookmarkEnd w:id="27"/>
    </w:p>
    <w:tbl>
      <w:tblPr>
        <w:tblStyle w:val="a"/>
        <w:tblW w:w="5000" w:type="pct"/>
        <w:tblBorders>
          <w:top w:val="nil"/>
          <w:left w:val="nil"/>
          <w:bottom w:val="nil"/>
          <w:right w:val="nil"/>
          <w:insideH w:val="nil"/>
          <w:insideV w:val="nil"/>
        </w:tblBorders>
        <w:tblLook w:val="0600" w:firstRow="0" w:lastRow="0" w:firstColumn="0" w:lastColumn="0" w:noHBand="1" w:noVBand="1"/>
      </w:tblPr>
      <w:tblGrid>
        <w:gridCol w:w="1625"/>
        <w:gridCol w:w="3598"/>
        <w:gridCol w:w="4117"/>
      </w:tblGrid>
      <w:tr w:rsidR="00E8612F" w14:paraId="24FD7507" w14:textId="77777777" w:rsidTr="008354E6">
        <w:trPr>
          <w:trHeight w:val="765"/>
        </w:trPr>
        <w:tc>
          <w:tcPr>
            <w:tcW w:w="87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2FAEC4" w14:textId="77777777" w:rsidR="00B865C9" w:rsidRPr="008F2C7C" w:rsidRDefault="00000000">
            <w:pPr>
              <w:spacing w:before="240" w:after="240"/>
              <w:jc w:val="center"/>
              <w:rPr>
                <w:b/>
                <w:lang w:val="en-GB"/>
              </w:rPr>
            </w:pPr>
            <w:r w:rsidRPr="008F2C7C">
              <w:rPr>
                <w:b/>
                <w:lang w:val="en-GB"/>
              </w:rPr>
              <w:t>Evaluation Technique</w:t>
            </w:r>
          </w:p>
        </w:tc>
        <w:tc>
          <w:tcPr>
            <w:tcW w:w="1926"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550896B" w14:textId="77777777" w:rsidR="00B865C9" w:rsidRPr="008F2C7C" w:rsidRDefault="00000000">
            <w:pPr>
              <w:spacing w:before="240" w:after="240"/>
              <w:jc w:val="center"/>
              <w:rPr>
                <w:b/>
                <w:lang w:val="en-GB"/>
              </w:rPr>
            </w:pPr>
            <w:r w:rsidRPr="008F2C7C">
              <w:rPr>
                <w:b/>
                <w:lang w:val="en-GB"/>
              </w:rPr>
              <w:t>Advantages</w:t>
            </w:r>
          </w:p>
        </w:tc>
        <w:tc>
          <w:tcPr>
            <w:tcW w:w="2204"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DB49D25" w14:textId="77777777" w:rsidR="00B865C9" w:rsidRPr="008F2C7C" w:rsidRDefault="00000000">
            <w:pPr>
              <w:spacing w:before="240" w:after="240"/>
              <w:jc w:val="center"/>
              <w:rPr>
                <w:b/>
                <w:lang w:val="en-GB"/>
              </w:rPr>
            </w:pPr>
            <w:r w:rsidRPr="008F2C7C">
              <w:rPr>
                <w:b/>
                <w:lang w:val="en-GB"/>
              </w:rPr>
              <w:t>Shortcomings</w:t>
            </w:r>
          </w:p>
        </w:tc>
      </w:tr>
      <w:tr w:rsidR="00E8612F" w14:paraId="65260DAB" w14:textId="77777777" w:rsidTr="008354E6">
        <w:trPr>
          <w:trHeight w:val="4185"/>
        </w:trPr>
        <w:tc>
          <w:tcPr>
            <w:tcW w:w="870"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A7F4631" w14:textId="77777777" w:rsidR="00B865C9" w:rsidRPr="008F2C7C" w:rsidRDefault="00000000">
            <w:pPr>
              <w:spacing w:before="240" w:after="240"/>
              <w:jc w:val="center"/>
              <w:rPr>
                <w:b/>
                <w:i/>
                <w:lang w:val="en-GB"/>
              </w:rPr>
            </w:pPr>
            <w:r w:rsidRPr="008F2C7C">
              <w:rPr>
                <w:b/>
                <w:i/>
                <w:lang w:val="en-GB"/>
              </w:rPr>
              <w:t>Payback Period (PBP)</w:t>
            </w:r>
          </w:p>
        </w:tc>
        <w:tc>
          <w:tcPr>
            <w:tcW w:w="1926" w:type="pct"/>
            <w:tcBorders>
              <w:top w:val="nil"/>
              <w:left w:val="nil"/>
              <w:bottom w:val="single" w:sz="8" w:space="0" w:color="000000"/>
              <w:right w:val="single" w:sz="8" w:space="0" w:color="000000"/>
            </w:tcBorders>
            <w:tcMar>
              <w:top w:w="100" w:type="dxa"/>
              <w:left w:w="100" w:type="dxa"/>
              <w:bottom w:w="100" w:type="dxa"/>
              <w:right w:w="100" w:type="dxa"/>
            </w:tcMar>
          </w:tcPr>
          <w:p w14:paraId="6FB48590" w14:textId="77777777" w:rsidR="00B865C9" w:rsidRPr="008F2C7C" w:rsidRDefault="00000000">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Simple to understand and calculate.</w:t>
            </w:r>
          </w:p>
          <w:p w14:paraId="7B74D541" w14:textId="77777777" w:rsidR="00B865C9" w:rsidRPr="008F2C7C" w:rsidRDefault="00000000">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Emphasises liquidity by indicating the time taken to recover the initial investment.</w:t>
            </w:r>
          </w:p>
          <w:p w14:paraId="4C2606D7" w14:textId="77777777" w:rsidR="00B865C9" w:rsidRPr="008F2C7C" w:rsidRDefault="00000000">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Useful for projects with high-risk or uncertain future cash flows</w:t>
            </w:r>
          </w:p>
        </w:tc>
        <w:tc>
          <w:tcPr>
            <w:tcW w:w="2204" w:type="pct"/>
            <w:tcBorders>
              <w:top w:val="nil"/>
              <w:left w:val="nil"/>
              <w:bottom w:val="single" w:sz="8" w:space="0" w:color="000000"/>
              <w:right w:val="single" w:sz="8" w:space="0" w:color="000000"/>
            </w:tcBorders>
            <w:tcMar>
              <w:top w:w="100" w:type="dxa"/>
              <w:left w:w="100" w:type="dxa"/>
              <w:bottom w:w="100" w:type="dxa"/>
              <w:right w:w="100" w:type="dxa"/>
            </w:tcMar>
          </w:tcPr>
          <w:p w14:paraId="69E1330E" w14:textId="77777777" w:rsidR="00B865C9" w:rsidRPr="008F2C7C" w:rsidRDefault="00000000">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Ignores the time value of money, leading to incomplete analysis.</w:t>
            </w:r>
          </w:p>
          <w:p w14:paraId="7F708ED4" w14:textId="77777777" w:rsidR="00B865C9" w:rsidRPr="008F2C7C" w:rsidRDefault="00000000">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Doesn't consider cash flows beyond the payback period, neglecting long-term profitability.</w:t>
            </w:r>
          </w:p>
          <w:p w14:paraId="1C2446B1" w14:textId="77777777" w:rsidR="00B865C9" w:rsidRPr="008F2C7C" w:rsidRDefault="00000000">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Doesn't consider profitability, making it inadequate for assessing overall project value.</w:t>
            </w:r>
          </w:p>
          <w:p w14:paraId="36B8A887" w14:textId="77777777" w:rsidR="00B865C9" w:rsidRPr="008F2C7C" w:rsidRDefault="00000000">
            <w:pPr>
              <w:spacing w:before="240" w:after="240"/>
              <w:rPr>
                <w:lang w:val="en-GB"/>
              </w:rPr>
            </w:pPr>
            <w:r w:rsidRPr="008F2C7C">
              <w:rPr>
                <w:lang w:val="en-GB"/>
              </w:rPr>
              <w:t xml:space="preserve"> </w:t>
            </w:r>
          </w:p>
        </w:tc>
      </w:tr>
      <w:tr w:rsidR="00E8612F" w14:paraId="5B15EB69" w14:textId="77777777" w:rsidTr="008354E6">
        <w:trPr>
          <w:trHeight w:val="3405"/>
        </w:trPr>
        <w:tc>
          <w:tcPr>
            <w:tcW w:w="870"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FE75606" w14:textId="77777777" w:rsidR="00B865C9" w:rsidRPr="008F2C7C" w:rsidRDefault="00000000">
            <w:pPr>
              <w:spacing w:before="240" w:after="240"/>
              <w:jc w:val="center"/>
              <w:rPr>
                <w:b/>
                <w:i/>
                <w:lang w:val="en-GB"/>
              </w:rPr>
            </w:pPr>
            <w:r w:rsidRPr="008F2C7C">
              <w:rPr>
                <w:b/>
                <w:i/>
                <w:lang w:val="en-GB"/>
              </w:rPr>
              <w:lastRenderedPageBreak/>
              <w:t>Accounting Rate of Return (ARR)</w:t>
            </w:r>
          </w:p>
        </w:tc>
        <w:tc>
          <w:tcPr>
            <w:tcW w:w="1926" w:type="pct"/>
            <w:tcBorders>
              <w:top w:val="nil"/>
              <w:left w:val="nil"/>
              <w:bottom w:val="single" w:sz="8" w:space="0" w:color="000000"/>
              <w:right w:val="single" w:sz="8" w:space="0" w:color="000000"/>
            </w:tcBorders>
            <w:tcMar>
              <w:top w:w="100" w:type="dxa"/>
              <w:left w:w="100" w:type="dxa"/>
              <w:bottom w:w="100" w:type="dxa"/>
              <w:right w:w="100" w:type="dxa"/>
            </w:tcMar>
          </w:tcPr>
          <w:p w14:paraId="68DC1C83" w14:textId="77777777" w:rsidR="00B865C9" w:rsidRPr="008F2C7C" w:rsidRDefault="00000000">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Easy to calculate and interpret.</w:t>
            </w:r>
          </w:p>
          <w:p w14:paraId="5F3EC300" w14:textId="77777777" w:rsidR="00B865C9" w:rsidRPr="008F2C7C" w:rsidRDefault="00000000">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Provides a percentage return, making it comparable across projects.</w:t>
            </w:r>
          </w:p>
          <w:p w14:paraId="05CBC90B" w14:textId="77777777" w:rsidR="00B865C9" w:rsidRPr="008F2C7C" w:rsidRDefault="00000000">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Consider the entire stream of accounting profits over the project's life.</w:t>
            </w:r>
          </w:p>
        </w:tc>
        <w:tc>
          <w:tcPr>
            <w:tcW w:w="2204" w:type="pct"/>
            <w:tcBorders>
              <w:top w:val="nil"/>
              <w:left w:val="nil"/>
              <w:bottom w:val="single" w:sz="8" w:space="0" w:color="000000"/>
              <w:right w:val="single" w:sz="8" w:space="0" w:color="000000"/>
            </w:tcBorders>
            <w:tcMar>
              <w:top w:w="100" w:type="dxa"/>
              <w:left w:w="100" w:type="dxa"/>
              <w:bottom w:w="100" w:type="dxa"/>
              <w:right w:w="100" w:type="dxa"/>
            </w:tcMar>
          </w:tcPr>
          <w:p w14:paraId="75EC7001" w14:textId="77777777" w:rsidR="00B865C9" w:rsidRPr="008F2C7C" w:rsidRDefault="00000000">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Ignores the time value of money, leading to inaccurate profitability measurement.</w:t>
            </w:r>
          </w:p>
          <w:p w14:paraId="0A91BB5F" w14:textId="77777777" w:rsidR="00B865C9" w:rsidRPr="008F2C7C" w:rsidRDefault="00000000">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Relies on accounting profits, which can be manipulated through accounting practices.</w:t>
            </w:r>
          </w:p>
          <w:p w14:paraId="13CDD94C" w14:textId="77777777" w:rsidR="00B865C9" w:rsidRPr="008F2C7C" w:rsidRDefault="00000000">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Doesn't consider cash flow timing or project risk.</w:t>
            </w:r>
          </w:p>
        </w:tc>
      </w:tr>
      <w:tr w:rsidR="00E8612F" w14:paraId="04B77B25" w14:textId="77777777" w:rsidTr="008354E6">
        <w:trPr>
          <w:trHeight w:val="4455"/>
        </w:trPr>
        <w:tc>
          <w:tcPr>
            <w:tcW w:w="870"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2F4FAD3" w14:textId="77777777" w:rsidR="00B865C9" w:rsidRPr="008F2C7C" w:rsidRDefault="00000000">
            <w:pPr>
              <w:spacing w:before="240" w:after="240"/>
              <w:jc w:val="center"/>
              <w:rPr>
                <w:b/>
                <w:i/>
                <w:lang w:val="en-GB"/>
              </w:rPr>
            </w:pPr>
            <w:r w:rsidRPr="008F2C7C">
              <w:rPr>
                <w:b/>
                <w:i/>
                <w:lang w:val="en-GB"/>
              </w:rPr>
              <w:t>Net Present Value (NPV)</w:t>
            </w:r>
          </w:p>
        </w:tc>
        <w:tc>
          <w:tcPr>
            <w:tcW w:w="1926" w:type="pct"/>
            <w:tcBorders>
              <w:top w:val="nil"/>
              <w:left w:val="nil"/>
              <w:bottom w:val="single" w:sz="8" w:space="0" w:color="000000"/>
              <w:right w:val="single" w:sz="8" w:space="0" w:color="000000"/>
            </w:tcBorders>
            <w:tcMar>
              <w:top w:w="100" w:type="dxa"/>
              <w:left w:w="100" w:type="dxa"/>
              <w:bottom w:w="100" w:type="dxa"/>
              <w:right w:w="100" w:type="dxa"/>
            </w:tcMar>
          </w:tcPr>
          <w:p w14:paraId="3B476F22" w14:textId="77777777" w:rsidR="00B865C9" w:rsidRPr="008F2C7C" w:rsidRDefault="00000000">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Consider the time value of money by discounting cash flows.</w:t>
            </w:r>
          </w:p>
          <w:p w14:paraId="3E7F3635" w14:textId="77777777" w:rsidR="00B865C9" w:rsidRPr="008F2C7C" w:rsidRDefault="00000000">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Incorporates all cash flows over the project's life, providing a comprehensive view.</w:t>
            </w:r>
          </w:p>
          <w:p w14:paraId="314F5457" w14:textId="77777777" w:rsidR="00B865C9" w:rsidRPr="008F2C7C" w:rsidRDefault="00000000">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Reflects the project's impact on shareholder wealth maximisation.</w:t>
            </w:r>
          </w:p>
          <w:p w14:paraId="4B635337" w14:textId="77777777" w:rsidR="00B865C9" w:rsidRPr="008F2C7C" w:rsidRDefault="00000000">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Allows for easy comparison of projects by comparing NPVs.</w:t>
            </w:r>
          </w:p>
        </w:tc>
        <w:tc>
          <w:tcPr>
            <w:tcW w:w="2204" w:type="pct"/>
            <w:tcBorders>
              <w:top w:val="nil"/>
              <w:left w:val="nil"/>
              <w:bottom w:val="single" w:sz="8" w:space="0" w:color="000000"/>
              <w:right w:val="single" w:sz="8" w:space="0" w:color="000000"/>
            </w:tcBorders>
            <w:tcMar>
              <w:top w:w="100" w:type="dxa"/>
              <w:left w:w="100" w:type="dxa"/>
              <w:bottom w:w="100" w:type="dxa"/>
              <w:right w:w="100" w:type="dxa"/>
            </w:tcMar>
          </w:tcPr>
          <w:p w14:paraId="3C7C3501" w14:textId="77777777" w:rsidR="00B865C9" w:rsidRPr="008F2C7C" w:rsidRDefault="00000000">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This may result in complex calculations for projects with multiple cash flows.</w:t>
            </w:r>
          </w:p>
          <w:p w14:paraId="040A40E8" w14:textId="77777777" w:rsidR="00B865C9" w:rsidRPr="008F2C7C" w:rsidRDefault="00000000">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Doesn't account for the scale of the project, leading to potential bias in favour of larger projects.</w:t>
            </w:r>
          </w:p>
          <w:p w14:paraId="1868BA15" w14:textId="77777777" w:rsidR="00B865C9" w:rsidRPr="008F2C7C" w:rsidRDefault="00000000">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Doesn't provide insight into the project's risk or liquidity.</w:t>
            </w:r>
          </w:p>
        </w:tc>
      </w:tr>
    </w:tbl>
    <w:p w14:paraId="0DFBE0CF" w14:textId="77777777" w:rsidR="00B865C9" w:rsidRPr="008F2C7C" w:rsidRDefault="00000000">
      <w:pPr>
        <w:spacing w:before="240" w:after="240"/>
        <w:jc w:val="center"/>
        <w:rPr>
          <w:b/>
          <w:lang w:val="en-GB"/>
        </w:rPr>
      </w:pPr>
      <w:r w:rsidRPr="008F2C7C">
        <w:rPr>
          <w:b/>
          <w:lang w:val="en-GB"/>
        </w:rPr>
        <w:t>Table 1: Advantages and shortcomings of the PBP, ARR and NPV techniques</w:t>
      </w:r>
    </w:p>
    <w:p w14:paraId="12EC18AE" w14:textId="77777777" w:rsidR="00B865C9" w:rsidRPr="008F2C7C" w:rsidRDefault="00000000">
      <w:pPr>
        <w:spacing w:before="240" w:after="240"/>
        <w:jc w:val="center"/>
        <w:rPr>
          <w:lang w:val="en-GB"/>
        </w:rPr>
      </w:pPr>
      <w:r w:rsidRPr="008F2C7C">
        <w:rPr>
          <w:lang w:val="en-GB"/>
        </w:rPr>
        <w:lastRenderedPageBreak/>
        <w:t>(Source: Irwanto, 2022)</w:t>
      </w:r>
    </w:p>
    <w:p w14:paraId="067B7686" w14:textId="77777777" w:rsidR="00B865C9" w:rsidRPr="008F2C7C" w:rsidRDefault="00000000" w:rsidP="0046348A">
      <w:pPr>
        <w:pStyle w:val="Heading2"/>
        <w:rPr>
          <w:lang w:val="en-GB"/>
        </w:rPr>
      </w:pPr>
      <w:bookmarkStart w:id="28" w:name="_ls07jtfcpp1v" w:colFirst="0" w:colLast="0"/>
      <w:bookmarkStart w:id="29" w:name="_Toc163230864"/>
      <w:bookmarkEnd w:id="28"/>
      <w:r w:rsidRPr="008F2C7C">
        <w:rPr>
          <w:lang w:val="en-GB"/>
        </w:rPr>
        <w:t>4. Overview of non-financial factors management needs to consider</w:t>
      </w:r>
      <w:bookmarkEnd w:id="29"/>
    </w:p>
    <w:p w14:paraId="497EA5B5" w14:textId="77777777" w:rsidR="00B865C9" w:rsidRPr="008F2C7C" w:rsidRDefault="00000000">
      <w:pPr>
        <w:spacing w:before="240" w:after="240"/>
        <w:rPr>
          <w:lang w:val="en-GB"/>
        </w:rPr>
      </w:pPr>
      <w:r w:rsidRPr="008F2C7C">
        <w:rPr>
          <w:lang w:val="en-GB"/>
        </w:rPr>
        <w:t>There are different non-financial aspects which significantly influence the financial benefits and initial investment of the project. The financial performance of any project manual depends on business activities as well as changes in cost and expenditures due to inflation and demand in the global market.</w:t>
      </w:r>
    </w:p>
    <w:p w14:paraId="1AA7DEFB" w14:textId="77777777" w:rsidR="00B865C9" w:rsidRPr="008F2C7C" w:rsidRDefault="00000000">
      <w:pPr>
        <w:spacing w:before="240" w:after="240"/>
        <w:rPr>
          <w:lang w:val="en-GB"/>
        </w:rPr>
      </w:pPr>
      <w:r w:rsidRPr="008F2C7C">
        <w:rPr>
          <w:b/>
          <w:i/>
          <w:lang w:val="en-GB"/>
        </w:rPr>
        <w:t>Market demand and competition:</w:t>
      </w:r>
      <w:r w:rsidRPr="008F2C7C">
        <w:rPr>
          <w:lang w:val="en-GB"/>
        </w:rPr>
        <w:t xml:space="preserve"> demand of product and competition in which organisations operate. For example, General Motors operating in the automobile industry may experience no demand for products that the current proposal has proposed as well as competition may also increase (Sokolov, 2023). Therefore, the company will experience low cash inflow in the future as compared with forecasted at the current time which may reduce the overall NPV value and financial viability of the project.</w:t>
      </w:r>
    </w:p>
    <w:p w14:paraId="35220EF0" w14:textId="77777777" w:rsidR="00B865C9" w:rsidRPr="008F2C7C" w:rsidRDefault="00000000">
      <w:pPr>
        <w:spacing w:before="240" w:after="240"/>
        <w:rPr>
          <w:lang w:val="en-GB"/>
        </w:rPr>
      </w:pPr>
      <w:r w:rsidRPr="008F2C7C">
        <w:rPr>
          <w:b/>
          <w:i/>
          <w:lang w:val="en-GB"/>
        </w:rPr>
        <w:t>Technology Trend:</w:t>
      </w:r>
      <w:r w:rsidRPr="008F2C7C">
        <w:rPr>
          <w:lang w:val="en-GB"/>
        </w:rPr>
        <w:t xml:space="preserve"> in the current cutting-edge market each organisation focuses on innovating and implementing effective technology and solutions to enhance the overall satisfaction of targeted consumers at the global level. Apart from this, the company will also face challenges while its competitors such as Ford Motor innovate similar products or features for their automobile products and provide them at more affordable and cheapest prices, the company will face a price war for the product and be required to reduce the overall price of its product which decline overall cash inflow or business revenue as compared with the company expected. Therefore, technology trends are also a significant influencer to any project whether related to technology or not.</w:t>
      </w:r>
    </w:p>
    <w:p w14:paraId="76A3D929" w14:textId="77777777" w:rsidR="00B865C9" w:rsidRPr="008F2C7C" w:rsidRDefault="00000000">
      <w:pPr>
        <w:spacing w:before="240" w:after="240"/>
        <w:rPr>
          <w:lang w:val="en-GB"/>
        </w:rPr>
      </w:pPr>
      <w:r w:rsidRPr="008F2C7C">
        <w:rPr>
          <w:b/>
          <w:i/>
          <w:lang w:val="en-GB"/>
        </w:rPr>
        <w:t>Regulatory environment:</w:t>
      </w:r>
      <w:r w:rsidRPr="008F2C7C">
        <w:rPr>
          <w:lang w:val="en-GB"/>
        </w:rPr>
        <w:t xml:space="preserve"> government regulations and norms also influence overall project performance by changing standards and laws regarding products and features. Any organisation is required to comply with all regulations and rules of government while engaged in any project related to innovation or manufacturing of the product (Huang </w:t>
      </w:r>
      <w:r w:rsidRPr="008F2C7C">
        <w:rPr>
          <w:i/>
          <w:lang w:val="en-GB"/>
        </w:rPr>
        <w:t>et al</w:t>
      </w:r>
      <w:r w:rsidRPr="008F2C7C">
        <w:rPr>
          <w:lang w:val="en-GB"/>
        </w:rPr>
        <w:t>., 2023). Therefore, Government regulations and dynamic policy features can also have a negative impact as well as a positive impact on the overall project by influencing its manufacturing and specification.</w:t>
      </w:r>
    </w:p>
    <w:p w14:paraId="06CF0125" w14:textId="77777777" w:rsidR="00B865C9" w:rsidRPr="008F2C7C" w:rsidRDefault="00000000" w:rsidP="0046348A">
      <w:pPr>
        <w:spacing w:before="240" w:after="240"/>
        <w:rPr>
          <w:lang w:val="en-GB"/>
        </w:rPr>
      </w:pPr>
      <w:r w:rsidRPr="008F2C7C">
        <w:rPr>
          <w:lang w:val="en-GB"/>
        </w:rPr>
        <w:lastRenderedPageBreak/>
        <w:t>These are the potential external or non-economic aspects that are required to be considered by General Motors while considering any investment opportunity in the future. However, among all aspects, inflation and demand and supply of products are key drivers of overall project outcomes.</w:t>
      </w:r>
    </w:p>
    <w:p w14:paraId="4E6B96AC" w14:textId="77777777" w:rsidR="00B865C9" w:rsidRPr="008F2C7C" w:rsidRDefault="00000000">
      <w:pPr>
        <w:pStyle w:val="Heading1"/>
        <w:rPr>
          <w:lang w:val="en-GB"/>
        </w:rPr>
      </w:pPr>
      <w:bookmarkStart w:id="30" w:name="_vi385b7mdjha" w:colFirst="0" w:colLast="0"/>
      <w:bookmarkStart w:id="31" w:name="_Toc163230865"/>
      <w:bookmarkEnd w:id="30"/>
      <w:r w:rsidRPr="008F2C7C">
        <w:rPr>
          <w:lang w:val="en-GB"/>
        </w:rPr>
        <w:t>Conclusion</w:t>
      </w:r>
      <w:bookmarkEnd w:id="31"/>
      <w:r w:rsidRPr="008F2C7C">
        <w:rPr>
          <w:lang w:val="en-GB"/>
        </w:rPr>
        <w:t xml:space="preserve"> </w:t>
      </w:r>
    </w:p>
    <w:p w14:paraId="10802119" w14:textId="77777777" w:rsidR="008354E6" w:rsidRDefault="00000000">
      <w:pPr>
        <w:rPr>
          <w:lang w:val="en-GB"/>
        </w:rPr>
      </w:pPr>
      <w:r w:rsidRPr="008F2C7C">
        <w:rPr>
          <w:lang w:val="en-GB"/>
        </w:rPr>
        <w:t xml:space="preserve">The entire conclusion can be drawn from the financial performance evaluation of General Motors for the past five years. The overall performance of the company is stated to be better in terms of profitability with ROE being higher in 16% from 14% in the year 2019 to 2023. However, the operating profit margin of the company tends to be fluctuating over the years. It denotes that the firm has maintained a moderate level of profitability in its financial operations. However, there is still some sort of scope for performance improvements. Moving ahead to the efficiency ratio both the ratio conducted moderate levels of efficiency in collecting receivables and inventory. The liquidity ratios remained stable with the ratios remaining above the threshold limit of 1.0 depicting adequate short-term ability of the company. Moving ahead the gearing ratio of the company is supposed to be </w:t>
      </w:r>
      <w:r w:rsidR="004C7C3C">
        <w:rPr>
          <w:lang w:val="en-GB"/>
        </w:rPr>
        <w:t xml:space="preserve">better </w:t>
      </w:r>
      <w:r w:rsidRPr="008F2C7C">
        <w:rPr>
          <w:lang w:val="en-GB"/>
        </w:rPr>
        <w:t>as it has lower financial risk.</w:t>
      </w:r>
    </w:p>
    <w:p w14:paraId="1E82830B" w14:textId="77777777" w:rsidR="008354E6" w:rsidRDefault="00000000">
      <w:pPr>
        <w:rPr>
          <w:b/>
          <w:lang w:val="en-GB"/>
        </w:rPr>
      </w:pPr>
      <w:r>
        <w:rPr>
          <w:lang w:val="en-GB"/>
        </w:rPr>
        <w:br w:type="page"/>
      </w:r>
    </w:p>
    <w:p w14:paraId="0FE9F100" w14:textId="77777777" w:rsidR="008354E6" w:rsidRDefault="00000000" w:rsidP="008354E6">
      <w:pPr>
        <w:pStyle w:val="Heading1"/>
        <w:rPr>
          <w:lang w:val="en-GB"/>
        </w:rPr>
      </w:pPr>
      <w:bookmarkStart w:id="32" w:name="_Toc163230866"/>
      <w:r>
        <w:rPr>
          <w:lang w:val="en-GB"/>
        </w:rPr>
        <w:lastRenderedPageBreak/>
        <w:t>References</w:t>
      </w:r>
      <w:bookmarkEnd w:id="32"/>
    </w:p>
    <w:p w14:paraId="214246C8" w14:textId="4C16AD18" w:rsidR="00C143B2" w:rsidRPr="008354E6" w:rsidRDefault="00C143B2" w:rsidP="00C143B2">
      <w:r w:rsidRPr="008354E6">
        <w:t>Agung, T.S. and Zuhri, B.S.S., 2023. Analysis of the Financial Feasibility of Potential Post-Pandemic Businesses Using the Net Present Value (NPV), Internal Rate of Return (IRR), and Payback Period (PP) Methods (Case Study: MSME Environmentally Friendly Bioplastic Products). </w:t>
      </w:r>
      <w:r w:rsidRPr="008354E6">
        <w:rPr>
          <w:i/>
          <w:iCs/>
        </w:rPr>
        <w:t>Jurnal Multidisiplin Madani</w:t>
      </w:r>
      <w:r w:rsidRPr="008354E6">
        <w:t>, </w:t>
      </w:r>
      <w:r w:rsidRPr="008354E6">
        <w:rPr>
          <w:i/>
          <w:iCs/>
        </w:rPr>
        <w:t>3</w:t>
      </w:r>
      <w:r w:rsidRPr="008354E6">
        <w:t>(7), pp.1432-1441.</w:t>
      </w:r>
    </w:p>
    <w:p w14:paraId="06A232F0" w14:textId="77777777" w:rsidR="00C143B2" w:rsidRPr="008354E6" w:rsidRDefault="00C143B2" w:rsidP="008354E6">
      <w:r w:rsidRPr="008354E6">
        <w:t>Alarussi, A.S.A., 2021. Financial ratios and efficiency in Malaysian listed companies. </w:t>
      </w:r>
      <w:r w:rsidRPr="008354E6">
        <w:rPr>
          <w:i/>
          <w:iCs/>
        </w:rPr>
        <w:t>Asian Journal of Economics and Banking</w:t>
      </w:r>
      <w:r w:rsidRPr="008354E6">
        <w:t>, </w:t>
      </w:r>
      <w:r w:rsidRPr="008354E6">
        <w:rPr>
          <w:i/>
          <w:iCs/>
        </w:rPr>
        <w:t>5</w:t>
      </w:r>
      <w:r w:rsidRPr="008354E6">
        <w:t>(2), pp.116-135.</w:t>
      </w:r>
    </w:p>
    <w:p w14:paraId="1788D138" w14:textId="77777777" w:rsidR="00C143B2" w:rsidRPr="008354E6" w:rsidRDefault="00C143B2" w:rsidP="008354E6">
      <w:r w:rsidRPr="008354E6">
        <w:t>Alhassan, I. and Islam, K.A., 2021. Liquidity management and financial performance of listed oil and gas companies in Nigeria. </w:t>
      </w:r>
      <w:r w:rsidRPr="008354E6">
        <w:rPr>
          <w:i/>
          <w:iCs/>
        </w:rPr>
        <w:t>International journal of accounting &amp; finance review</w:t>
      </w:r>
      <w:r w:rsidRPr="008354E6">
        <w:t>, </w:t>
      </w:r>
      <w:r w:rsidRPr="008354E6">
        <w:rPr>
          <w:i/>
          <w:iCs/>
        </w:rPr>
        <w:t>8</w:t>
      </w:r>
      <w:r w:rsidRPr="008354E6">
        <w:t>(1), pp.15-25.</w:t>
      </w:r>
    </w:p>
    <w:p w14:paraId="76CF1560" w14:textId="77777777" w:rsidR="00C143B2" w:rsidRPr="008354E6" w:rsidRDefault="00C143B2" w:rsidP="008354E6">
      <w:r w:rsidRPr="008354E6">
        <w:t>ALMOMANI, T.M., ALMOMANI, M.A. and OBEIDAT, M.I., 2021. The relationship between working capital management and financial performance: Evidence from Jordan. </w:t>
      </w:r>
      <w:r w:rsidRPr="008354E6">
        <w:rPr>
          <w:i/>
          <w:iCs/>
        </w:rPr>
        <w:t>The Journal of Asian Finance, Economics and Business</w:t>
      </w:r>
      <w:r w:rsidRPr="008354E6">
        <w:t>, </w:t>
      </w:r>
      <w:r w:rsidRPr="008354E6">
        <w:rPr>
          <w:i/>
          <w:iCs/>
        </w:rPr>
        <w:t>8</w:t>
      </w:r>
      <w:r w:rsidRPr="008354E6">
        <w:t>(6), pp.713-720.</w:t>
      </w:r>
    </w:p>
    <w:p w14:paraId="01740162" w14:textId="77777777" w:rsidR="00C143B2" w:rsidRPr="008354E6" w:rsidRDefault="00C143B2" w:rsidP="008354E6">
      <w:pPr>
        <w:rPr>
          <w:shd w:val="clear" w:color="auto" w:fill="FFFFFF"/>
        </w:rPr>
      </w:pPr>
      <w:r w:rsidRPr="008354E6">
        <w:rPr>
          <w:shd w:val="clear" w:color="auto" w:fill="FFFFFF"/>
        </w:rPr>
        <w:t>Amalia, S., 2021. The impact of financial ratio indicators on banking profitability in Indonesia. </w:t>
      </w:r>
      <w:r w:rsidRPr="008354E6">
        <w:rPr>
          <w:i/>
          <w:iCs/>
          <w:shd w:val="clear" w:color="auto" w:fill="FFFFFF"/>
        </w:rPr>
        <w:t>Turkish Journal of Computer and Mathematics Education (TURCOMAT)</w:t>
      </w:r>
      <w:r w:rsidRPr="008354E6">
        <w:rPr>
          <w:shd w:val="clear" w:color="auto" w:fill="FFFFFF"/>
        </w:rPr>
        <w:t>, </w:t>
      </w:r>
      <w:r w:rsidRPr="008354E6">
        <w:rPr>
          <w:i/>
          <w:iCs/>
          <w:shd w:val="clear" w:color="auto" w:fill="FFFFFF"/>
        </w:rPr>
        <w:t>12</w:t>
      </w:r>
      <w:r w:rsidRPr="008354E6">
        <w:rPr>
          <w:shd w:val="clear" w:color="auto" w:fill="FFFFFF"/>
        </w:rPr>
        <w:t>(8), pp.580-588.</w:t>
      </w:r>
    </w:p>
    <w:p w14:paraId="5A65C9AB" w14:textId="77777777" w:rsidR="00C143B2" w:rsidRPr="008354E6" w:rsidRDefault="00C143B2" w:rsidP="008354E6">
      <w:r w:rsidRPr="008354E6">
        <w:t xml:space="preserve">Annualreports.com (2023) </w:t>
      </w:r>
      <w:r w:rsidRPr="008354E6">
        <w:rPr>
          <w:i/>
          <w:iCs/>
        </w:rPr>
        <w:t xml:space="preserve">Annual report of the General Motors in 2023 </w:t>
      </w:r>
      <w:r w:rsidRPr="008354E6">
        <w:t xml:space="preserve">Available at: </w:t>
      </w:r>
      <w:hyperlink r:id="rId18" w:history="1">
        <w:r w:rsidRPr="008354E6">
          <w:rPr>
            <w:rStyle w:val="Hyperlink"/>
            <w:color w:val="auto"/>
            <w:u w:val="none"/>
          </w:rPr>
          <w:t>https://www.annualreports.com/Company/general-motors</w:t>
        </w:r>
      </w:hyperlink>
      <w:r w:rsidRPr="008354E6">
        <w:t xml:space="preserve"> [Accessed on 5th April 2024]</w:t>
      </w:r>
    </w:p>
    <w:p w14:paraId="0DF68063" w14:textId="77777777" w:rsidR="00C143B2" w:rsidRPr="004714A7" w:rsidRDefault="00C143B2" w:rsidP="004714A7">
      <w:pPr>
        <w:rPr>
          <w:color w:val="222222"/>
          <w:shd w:val="clear" w:color="auto" w:fill="FFFFFF"/>
        </w:rPr>
      </w:pPr>
      <w:r w:rsidRPr="004714A7">
        <w:rPr>
          <w:color w:val="222222"/>
          <w:shd w:val="clear" w:color="auto" w:fill="FFFFFF"/>
        </w:rPr>
        <w:t>Augustyn, M.M., Elshaer, I.A. and Akamavi, R.K., 2021. Competing models of quality management and financial performance improvement. </w:t>
      </w:r>
      <w:r w:rsidRPr="004714A7">
        <w:rPr>
          <w:i/>
          <w:iCs/>
          <w:color w:val="222222"/>
          <w:shd w:val="clear" w:color="auto" w:fill="FFFFFF"/>
        </w:rPr>
        <w:t>The Service Industries Journal</w:t>
      </w:r>
      <w:r w:rsidRPr="004714A7">
        <w:rPr>
          <w:color w:val="222222"/>
          <w:shd w:val="clear" w:color="auto" w:fill="FFFFFF"/>
        </w:rPr>
        <w:t>, </w:t>
      </w:r>
      <w:r w:rsidRPr="004714A7">
        <w:rPr>
          <w:i/>
          <w:iCs/>
          <w:color w:val="222222"/>
          <w:shd w:val="clear" w:color="auto" w:fill="FFFFFF"/>
        </w:rPr>
        <w:t>41</w:t>
      </w:r>
      <w:r w:rsidRPr="004714A7">
        <w:rPr>
          <w:color w:val="222222"/>
          <w:shd w:val="clear" w:color="auto" w:fill="FFFFFF"/>
        </w:rPr>
        <w:t>(11-12), pp.803-831.</w:t>
      </w:r>
    </w:p>
    <w:p w14:paraId="44A81E0C" w14:textId="77777777" w:rsidR="00C143B2" w:rsidRPr="004714A7" w:rsidRDefault="00C143B2" w:rsidP="004714A7">
      <w:r w:rsidRPr="004714A7">
        <w:rPr>
          <w:color w:val="222222"/>
          <w:shd w:val="clear" w:color="auto" w:fill="FFFFFF"/>
        </w:rPr>
        <w:t>Bătae, O.M., Dragomir, V.D. and Feleagă, L., 2020. Environmental, social, governance (ESG), and financial performance of European banks. </w:t>
      </w:r>
      <w:r w:rsidRPr="004714A7">
        <w:rPr>
          <w:i/>
          <w:iCs/>
          <w:color w:val="222222"/>
          <w:shd w:val="clear" w:color="auto" w:fill="FFFFFF"/>
        </w:rPr>
        <w:t>Accounting and Management Information Systems</w:t>
      </w:r>
      <w:r w:rsidRPr="004714A7">
        <w:rPr>
          <w:color w:val="222222"/>
          <w:shd w:val="clear" w:color="auto" w:fill="FFFFFF"/>
        </w:rPr>
        <w:t>, </w:t>
      </w:r>
      <w:r w:rsidRPr="004714A7">
        <w:rPr>
          <w:i/>
          <w:iCs/>
          <w:color w:val="222222"/>
          <w:shd w:val="clear" w:color="auto" w:fill="FFFFFF"/>
        </w:rPr>
        <w:t>19</w:t>
      </w:r>
      <w:r w:rsidRPr="004714A7">
        <w:rPr>
          <w:color w:val="222222"/>
          <w:shd w:val="clear" w:color="auto" w:fill="FFFFFF"/>
        </w:rPr>
        <w:t>(3), pp.480-501.</w:t>
      </w:r>
    </w:p>
    <w:p w14:paraId="0095822A" w14:textId="77777777" w:rsidR="00C143B2" w:rsidRPr="008354E6" w:rsidRDefault="00C143B2" w:rsidP="008354E6">
      <w:pPr>
        <w:rPr>
          <w:shd w:val="clear" w:color="auto" w:fill="FFFFFF"/>
        </w:rPr>
      </w:pPr>
      <w:r w:rsidRPr="008354E6">
        <w:rPr>
          <w:shd w:val="clear" w:color="auto" w:fill="FFFFFF"/>
        </w:rPr>
        <w:t xml:space="preserve">Bintara, R., 2020. The effect of working capital, liquidity, and leverage on profitability. </w:t>
      </w:r>
      <w:r w:rsidRPr="008354E6">
        <w:rPr>
          <w:i/>
          <w:iCs/>
          <w:shd w:val="clear" w:color="auto" w:fill="FFFFFF"/>
        </w:rPr>
        <w:t>Saudi Journal of Economics and Finance</w:t>
      </w:r>
      <w:r w:rsidRPr="008354E6">
        <w:rPr>
          <w:shd w:val="clear" w:color="auto" w:fill="FFFFFF"/>
        </w:rPr>
        <w:t>, </w:t>
      </w:r>
      <w:r w:rsidRPr="008354E6">
        <w:rPr>
          <w:i/>
          <w:iCs/>
          <w:shd w:val="clear" w:color="auto" w:fill="FFFFFF"/>
        </w:rPr>
        <w:t>4</w:t>
      </w:r>
      <w:r w:rsidRPr="008354E6">
        <w:rPr>
          <w:shd w:val="clear" w:color="auto" w:fill="FFFFFF"/>
        </w:rPr>
        <w:t>(01), pp.28-35.</w:t>
      </w:r>
    </w:p>
    <w:p w14:paraId="02AF2388" w14:textId="77777777" w:rsidR="00C143B2" w:rsidRPr="008354E6" w:rsidRDefault="00C143B2" w:rsidP="008354E6">
      <w:r w:rsidRPr="008354E6">
        <w:lastRenderedPageBreak/>
        <w:t xml:space="preserve">Bloomberg.com (2024) </w:t>
      </w:r>
      <w:r w:rsidRPr="008354E6">
        <w:rPr>
          <w:i/>
          <w:iCs/>
        </w:rPr>
        <w:t>GM Expects Higher Profit After Paying the Price for 2023 Problems</w:t>
      </w:r>
      <w:r w:rsidRPr="008354E6">
        <w:t xml:space="preserve"> Available at: </w:t>
      </w:r>
      <w:hyperlink r:id="rId19" w:history="1">
        <w:r w:rsidRPr="008354E6">
          <w:rPr>
            <w:rStyle w:val="Hyperlink"/>
            <w:color w:val="auto"/>
            <w:u w:val="none"/>
          </w:rPr>
          <w:t>https://www.bloomberg.com/news/articles/2024-01-30/gm-beats-fourth-quarter-estimates-sees-higher-profit-in-2024</w:t>
        </w:r>
      </w:hyperlink>
      <w:r w:rsidRPr="008354E6">
        <w:t xml:space="preserve"> [Accessed on 5th April 2024]</w:t>
      </w:r>
    </w:p>
    <w:p w14:paraId="13F2DA92" w14:textId="77777777" w:rsidR="00C143B2" w:rsidRPr="008354E6" w:rsidRDefault="00C143B2" w:rsidP="008354E6">
      <w:r w:rsidRPr="008354E6">
        <w:t>Dai, H., Li, N., Wang, Y. and Zhao, X., 2022, March. The analysis of three main investment criteria: NPV IRR and payback period. In </w:t>
      </w:r>
      <w:r w:rsidRPr="008354E6">
        <w:rPr>
          <w:i/>
          <w:iCs/>
        </w:rPr>
        <w:t>2022 7th International Conference on Financial Innovation and Economic Development (ICFIED 2022)</w:t>
      </w:r>
      <w:r w:rsidRPr="008354E6">
        <w:t> (pp. 185-189). Atlantis Press.</w:t>
      </w:r>
    </w:p>
    <w:p w14:paraId="66B7E0EC" w14:textId="77777777" w:rsidR="00C143B2" w:rsidRPr="008354E6" w:rsidRDefault="00C143B2" w:rsidP="008354E6">
      <w:r w:rsidRPr="008354E6">
        <w:t>Effiong, S.A. and Ejabu, F.E., 2020. Liquidity risk management and financial performance: are consumer goods companies involved. </w:t>
      </w:r>
      <w:r w:rsidRPr="008354E6">
        <w:rPr>
          <w:i/>
          <w:iCs/>
        </w:rPr>
        <w:t>International Journal of Recent Technology and Engineering</w:t>
      </w:r>
      <w:r w:rsidRPr="008354E6">
        <w:t>, </w:t>
      </w:r>
      <w:r w:rsidRPr="008354E6">
        <w:rPr>
          <w:i/>
          <w:iCs/>
        </w:rPr>
        <w:t>9</w:t>
      </w:r>
      <w:r w:rsidRPr="008354E6">
        <w:t>(1), pp.580-589.</w:t>
      </w:r>
    </w:p>
    <w:p w14:paraId="373CB309" w14:textId="77777777" w:rsidR="00C143B2" w:rsidRPr="008354E6" w:rsidRDefault="00C143B2" w:rsidP="008354E6">
      <w:r w:rsidRPr="008354E6">
        <w:t xml:space="preserve">Forbes.com (2024) </w:t>
      </w:r>
      <w:r w:rsidRPr="008354E6">
        <w:rPr>
          <w:i/>
          <w:iCs/>
        </w:rPr>
        <w:t xml:space="preserve">About the General Motors Company </w:t>
      </w:r>
      <w:r w:rsidRPr="008354E6">
        <w:t xml:space="preserve">Available at:  </w:t>
      </w:r>
      <w:hyperlink r:id="rId20" w:history="1">
        <w:r w:rsidRPr="008354E6">
          <w:rPr>
            <w:rStyle w:val="Hyperlink"/>
            <w:color w:val="auto"/>
            <w:u w:val="none"/>
          </w:rPr>
          <w:t>https://www.forbes.com/companies/general-motors/?sh=3d7d29e54e09</w:t>
        </w:r>
      </w:hyperlink>
      <w:r w:rsidRPr="008354E6">
        <w:t xml:space="preserve"> [Accessed on 5th April 2024]</w:t>
      </w:r>
    </w:p>
    <w:p w14:paraId="2EAD34A4" w14:textId="77777777" w:rsidR="00C143B2" w:rsidRPr="008354E6" w:rsidRDefault="00C143B2" w:rsidP="008354E6">
      <w:r w:rsidRPr="008354E6">
        <w:t xml:space="preserve">Globaldata.com (2024) </w:t>
      </w:r>
      <w:r w:rsidRPr="008354E6">
        <w:rPr>
          <w:i/>
          <w:iCs/>
        </w:rPr>
        <w:t>General Motors Co: Overview</w:t>
      </w:r>
      <w:r w:rsidRPr="008354E6">
        <w:t xml:space="preserve"> Available at: https://www. globaldata.com /company-profile/general-motors-co/ [Accessed on 5th April 2024]</w:t>
      </w:r>
    </w:p>
    <w:p w14:paraId="45C93F49" w14:textId="77777777" w:rsidR="00C143B2" w:rsidRPr="008354E6" w:rsidRDefault="00C143B2" w:rsidP="008354E6">
      <w:r w:rsidRPr="008354E6">
        <w:t xml:space="preserve">Gm.com (2022) </w:t>
      </w:r>
      <w:r w:rsidRPr="008354E6">
        <w:rPr>
          <w:i/>
          <w:iCs/>
        </w:rPr>
        <w:t xml:space="preserve">Annual report of General Motors for 2020 </w:t>
      </w:r>
      <w:r w:rsidRPr="008354E6">
        <w:t xml:space="preserve">Available at: </w:t>
      </w:r>
      <w:hyperlink r:id="rId21" w:history="1">
        <w:r w:rsidRPr="008354E6">
          <w:rPr>
            <w:rStyle w:val="Hyperlink"/>
            <w:color w:val="auto"/>
            <w:u w:val="none"/>
          </w:rPr>
          <w:t>https://investor.gm.com/static-files/78f06039-f442-41a0-8929-81021e9ccb17</w:t>
        </w:r>
      </w:hyperlink>
      <w:r w:rsidRPr="008354E6">
        <w:t xml:space="preserve"> [Accessed on 5th April 2024]</w:t>
      </w:r>
    </w:p>
    <w:p w14:paraId="548DA6D7" w14:textId="77777777" w:rsidR="00C143B2" w:rsidRPr="008354E6" w:rsidRDefault="00C143B2" w:rsidP="008354E6">
      <w:r w:rsidRPr="008354E6">
        <w:t xml:space="preserve">Gm.com (2022) </w:t>
      </w:r>
      <w:r w:rsidRPr="008354E6">
        <w:rPr>
          <w:i/>
          <w:iCs/>
        </w:rPr>
        <w:t xml:space="preserve">Annual report of General Motors for 2022 </w:t>
      </w:r>
      <w:r w:rsidRPr="008354E6">
        <w:t xml:space="preserve">Available at: </w:t>
      </w:r>
      <w:hyperlink r:id="rId22" w:history="1">
        <w:r w:rsidRPr="008354E6">
          <w:rPr>
            <w:rStyle w:val="Hyperlink"/>
            <w:color w:val="auto"/>
            <w:u w:val="none"/>
          </w:rPr>
          <w:t>https://investor.gm.com/static-files/12adf215-2927-498e-a958-66345e607b98</w:t>
        </w:r>
      </w:hyperlink>
      <w:r w:rsidRPr="008354E6">
        <w:t xml:space="preserve"> [Accessed on 5th April 2024]</w:t>
      </w:r>
    </w:p>
    <w:p w14:paraId="59465F58" w14:textId="77777777" w:rsidR="00C143B2" w:rsidRPr="008354E6" w:rsidRDefault="00C143B2" w:rsidP="008354E6">
      <w:r w:rsidRPr="008354E6">
        <w:t>Huang, J., Tong, J., Wang, P. and Zheng, X., 2022, March. Application and Comparison of NPV and IRR Methods in the Company Investment Decision. In </w:t>
      </w:r>
      <w:r w:rsidRPr="008354E6">
        <w:rPr>
          <w:i/>
          <w:iCs/>
        </w:rPr>
        <w:t>2022 7th International Conference on Financial Innovation and Economic Development (ICFIED 2022)</w:t>
      </w:r>
      <w:r w:rsidRPr="008354E6">
        <w:t> (pp. 71-78). Atlantis Press.</w:t>
      </w:r>
    </w:p>
    <w:p w14:paraId="7BC4999E" w14:textId="77777777" w:rsidR="00C143B2" w:rsidRPr="008354E6" w:rsidRDefault="00C143B2" w:rsidP="008354E6">
      <w:r w:rsidRPr="008354E6">
        <w:t>Irwanto, R., 2022, January. Why IRR is not the right measure for return analysis and What’s then?. In </w:t>
      </w:r>
      <w:r w:rsidRPr="008354E6">
        <w:rPr>
          <w:i/>
          <w:iCs/>
        </w:rPr>
        <w:t>International Conference on Engineering, Construction, Renewable Energy, and Advanced Materials</w:t>
      </w:r>
      <w:r w:rsidRPr="008354E6">
        <w:t>.</w:t>
      </w:r>
    </w:p>
    <w:p w14:paraId="40463CC2" w14:textId="77777777" w:rsidR="00C143B2" w:rsidRPr="008354E6" w:rsidRDefault="00C143B2" w:rsidP="008354E6">
      <w:pPr>
        <w:rPr>
          <w:shd w:val="clear" w:color="auto" w:fill="FFFFFF"/>
        </w:rPr>
      </w:pPr>
      <w:r w:rsidRPr="008354E6">
        <w:rPr>
          <w:shd w:val="clear" w:color="auto" w:fill="FFFFFF"/>
        </w:rPr>
        <w:lastRenderedPageBreak/>
        <w:t>Jihadi, M., Vilantika, E., Hashemi, S.M., Arifin, Z., Bachtiar, Y. and Sholichah, F., 2021. The effect of liquidity, leverage, and profitability on firm value: Empirical evidence from Indonesia. </w:t>
      </w:r>
      <w:r w:rsidRPr="008354E6">
        <w:rPr>
          <w:i/>
          <w:iCs/>
          <w:shd w:val="clear" w:color="auto" w:fill="FFFFFF"/>
        </w:rPr>
        <w:t>The Journal of Asian Finance, Economics and Business</w:t>
      </w:r>
      <w:r w:rsidRPr="008354E6">
        <w:rPr>
          <w:shd w:val="clear" w:color="auto" w:fill="FFFFFF"/>
        </w:rPr>
        <w:t>, </w:t>
      </w:r>
      <w:r w:rsidRPr="008354E6">
        <w:rPr>
          <w:i/>
          <w:iCs/>
          <w:shd w:val="clear" w:color="auto" w:fill="FFFFFF"/>
        </w:rPr>
        <w:t>8</w:t>
      </w:r>
      <w:r w:rsidRPr="008354E6">
        <w:rPr>
          <w:shd w:val="clear" w:color="auto" w:fill="FFFFFF"/>
        </w:rPr>
        <w:t>(3), pp.423-431.</w:t>
      </w:r>
    </w:p>
    <w:p w14:paraId="6195A9C7" w14:textId="77777777" w:rsidR="00C143B2" w:rsidRPr="008354E6" w:rsidRDefault="00C143B2" w:rsidP="008354E6">
      <w:pPr>
        <w:rPr>
          <w:shd w:val="clear" w:color="auto" w:fill="FFFFFF"/>
        </w:rPr>
      </w:pPr>
      <w:r w:rsidRPr="008354E6">
        <w:rPr>
          <w:shd w:val="clear" w:color="auto" w:fill="FFFFFF"/>
        </w:rPr>
        <w:t>Kalbuana, N., Kusiyah, K., Supriatiningsih, S., Budiharjo, R., Budyastuti, T. and Rusdiyanto, R., 2022. Effect of profitability, audit committee, company size, activity, and board of directors on sustainability. </w:t>
      </w:r>
      <w:r w:rsidRPr="008354E6">
        <w:rPr>
          <w:i/>
          <w:iCs/>
          <w:shd w:val="clear" w:color="auto" w:fill="FFFFFF"/>
        </w:rPr>
        <w:t>Cogent Business &amp; Management</w:t>
      </w:r>
      <w:r w:rsidRPr="008354E6">
        <w:rPr>
          <w:shd w:val="clear" w:color="auto" w:fill="FFFFFF"/>
        </w:rPr>
        <w:t>, </w:t>
      </w:r>
      <w:r w:rsidRPr="008354E6">
        <w:rPr>
          <w:i/>
          <w:iCs/>
          <w:shd w:val="clear" w:color="auto" w:fill="FFFFFF"/>
        </w:rPr>
        <w:t>9</w:t>
      </w:r>
      <w:r w:rsidRPr="008354E6">
        <w:rPr>
          <w:shd w:val="clear" w:color="auto" w:fill="FFFFFF"/>
        </w:rPr>
        <w:t>(1), p.2129354.</w:t>
      </w:r>
    </w:p>
    <w:p w14:paraId="459F2630" w14:textId="77777777" w:rsidR="00C143B2" w:rsidRPr="008354E6" w:rsidRDefault="00C143B2" w:rsidP="008354E6">
      <w:pPr>
        <w:rPr>
          <w:shd w:val="clear" w:color="auto" w:fill="FFFFFF"/>
        </w:rPr>
      </w:pPr>
      <w:r w:rsidRPr="008354E6">
        <w:rPr>
          <w:shd w:val="clear" w:color="auto" w:fill="FFFFFF"/>
        </w:rPr>
        <w:t>Kalbuana, N., Taqi, M., Uzliawati, L. and Ramdhani, D., 2022. The effect of profitability, board size, woman on boards, and political connection on financial distress conditions. </w:t>
      </w:r>
      <w:r w:rsidRPr="008354E6">
        <w:rPr>
          <w:i/>
          <w:iCs/>
          <w:shd w:val="clear" w:color="auto" w:fill="FFFFFF"/>
        </w:rPr>
        <w:t>Cogent Business &amp; Management</w:t>
      </w:r>
      <w:r w:rsidRPr="008354E6">
        <w:rPr>
          <w:shd w:val="clear" w:color="auto" w:fill="FFFFFF"/>
        </w:rPr>
        <w:t>, </w:t>
      </w:r>
      <w:r w:rsidRPr="008354E6">
        <w:rPr>
          <w:i/>
          <w:iCs/>
          <w:shd w:val="clear" w:color="auto" w:fill="FFFFFF"/>
        </w:rPr>
        <w:t>9</w:t>
      </w:r>
      <w:r w:rsidRPr="008354E6">
        <w:rPr>
          <w:shd w:val="clear" w:color="auto" w:fill="FFFFFF"/>
        </w:rPr>
        <w:t>(1), p.2142997.</w:t>
      </w:r>
    </w:p>
    <w:p w14:paraId="0588D2B0" w14:textId="77777777" w:rsidR="00C143B2" w:rsidRPr="008354E6" w:rsidRDefault="00C143B2" w:rsidP="008354E6">
      <w:r w:rsidRPr="008354E6">
        <w:rPr>
          <w:shd w:val="clear" w:color="auto" w:fill="FFFFFF"/>
        </w:rPr>
        <w:t>Kumara, M.N. and Abhilasha, N., 2015. A critical analysis of financial performance evaluation of an Indian automobile companies. </w:t>
      </w:r>
      <w:r w:rsidRPr="008354E6">
        <w:rPr>
          <w:i/>
          <w:iCs/>
          <w:shd w:val="clear" w:color="auto" w:fill="FFFFFF"/>
        </w:rPr>
        <w:t>International Journal of Research in Finance and Marketing</w:t>
      </w:r>
      <w:r w:rsidRPr="008354E6">
        <w:rPr>
          <w:shd w:val="clear" w:color="auto" w:fill="FFFFFF"/>
        </w:rPr>
        <w:t>, </w:t>
      </w:r>
      <w:r w:rsidRPr="008354E6">
        <w:rPr>
          <w:i/>
          <w:iCs/>
          <w:shd w:val="clear" w:color="auto" w:fill="FFFFFF"/>
        </w:rPr>
        <w:t>5</w:t>
      </w:r>
      <w:r w:rsidRPr="008354E6">
        <w:rPr>
          <w:shd w:val="clear" w:color="auto" w:fill="FFFFFF"/>
        </w:rPr>
        <w:t>(8), pp.96-106.</w:t>
      </w:r>
    </w:p>
    <w:p w14:paraId="6D0755D8" w14:textId="77777777" w:rsidR="00C143B2" w:rsidRPr="004714A7" w:rsidRDefault="00C143B2" w:rsidP="004714A7">
      <w:r w:rsidRPr="004714A7">
        <w:rPr>
          <w:color w:val="222222"/>
          <w:shd w:val="clear" w:color="auto" w:fill="FFFFFF"/>
        </w:rPr>
        <w:t>Liu, Y., Kim, C.Y., Lee, E.H. and Yoo, J.W., 2022. Relationship between sustainable management activities and financial performance: Mediating effects of non-financial performance and moderating effects of institutional environment. </w:t>
      </w:r>
      <w:r w:rsidRPr="004714A7">
        <w:rPr>
          <w:i/>
          <w:iCs/>
          <w:color w:val="222222"/>
          <w:shd w:val="clear" w:color="auto" w:fill="FFFFFF"/>
        </w:rPr>
        <w:t>Sustainability</w:t>
      </w:r>
      <w:r w:rsidRPr="004714A7">
        <w:rPr>
          <w:color w:val="222222"/>
          <w:shd w:val="clear" w:color="auto" w:fill="FFFFFF"/>
        </w:rPr>
        <w:t>, </w:t>
      </w:r>
      <w:r w:rsidRPr="004714A7">
        <w:rPr>
          <w:i/>
          <w:iCs/>
          <w:color w:val="222222"/>
          <w:shd w:val="clear" w:color="auto" w:fill="FFFFFF"/>
        </w:rPr>
        <w:t>14</w:t>
      </w:r>
      <w:r w:rsidRPr="004714A7">
        <w:rPr>
          <w:color w:val="222222"/>
          <w:shd w:val="clear" w:color="auto" w:fill="FFFFFF"/>
        </w:rPr>
        <w:t>(3), p.1168.</w:t>
      </w:r>
    </w:p>
    <w:p w14:paraId="4D752A3E" w14:textId="77777777" w:rsidR="00C143B2" w:rsidRPr="008354E6" w:rsidRDefault="00C143B2" w:rsidP="008354E6">
      <w:pPr>
        <w:rPr>
          <w:shd w:val="clear" w:color="auto" w:fill="FFFFFF"/>
        </w:rPr>
      </w:pPr>
      <w:r w:rsidRPr="008354E6">
        <w:rPr>
          <w:shd w:val="clear" w:color="auto" w:fill="FFFFFF"/>
        </w:rPr>
        <w:t>Nariswari, T.N. and Nugraha, N.M., 2020. Profit growth: impact of net profit margin, gross profit margin and total assests turnover. </w:t>
      </w:r>
      <w:r w:rsidRPr="008354E6">
        <w:rPr>
          <w:i/>
          <w:iCs/>
          <w:shd w:val="clear" w:color="auto" w:fill="FFFFFF"/>
        </w:rPr>
        <w:t>International Journal of Finance &amp; Banking Studies (2147-4486)</w:t>
      </w:r>
      <w:r w:rsidRPr="008354E6">
        <w:rPr>
          <w:shd w:val="clear" w:color="auto" w:fill="FFFFFF"/>
        </w:rPr>
        <w:t>, </w:t>
      </w:r>
      <w:r w:rsidRPr="008354E6">
        <w:rPr>
          <w:i/>
          <w:iCs/>
          <w:shd w:val="clear" w:color="auto" w:fill="FFFFFF"/>
        </w:rPr>
        <w:t>9</w:t>
      </w:r>
      <w:r w:rsidRPr="008354E6">
        <w:rPr>
          <w:shd w:val="clear" w:color="auto" w:fill="FFFFFF"/>
        </w:rPr>
        <w:t>(4), pp.87-96.</w:t>
      </w:r>
    </w:p>
    <w:p w14:paraId="22E26038" w14:textId="77777777" w:rsidR="00C143B2" w:rsidRPr="008354E6" w:rsidRDefault="00C143B2" w:rsidP="008354E6">
      <w:pPr>
        <w:rPr>
          <w:shd w:val="clear" w:color="auto" w:fill="FFFFFF"/>
        </w:rPr>
      </w:pPr>
      <w:r w:rsidRPr="008354E6">
        <w:rPr>
          <w:shd w:val="clear" w:color="auto" w:fill="FFFFFF"/>
        </w:rPr>
        <w:t>Pattiruhu, J.R. and Paais, M., 2020. Effect of liquidity, profitability, leverage, and firm size on dividend policy. </w:t>
      </w:r>
      <w:r w:rsidRPr="008354E6">
        <w:rPr>
          <w:i/>
          <w:iCs/>
          <w:shd w:val="clear" w:color="auto" w:fill="FFFFFF"/>
        </w:rPr>
        <w:t>The Journal of Asian Finance, Economics and Business</w:t>
      </w:r>
      <w:r w:rsidRPr="008354E6">
        <w:rPr>
          <w:shd w:val="clear" w:color="auto" w:fill="FFFFFF"/>
        </w:rPr>
        <w:t>, </w:t>
      </w:r>
      <w:r w:rsidRPr="008354E6">
        <w:rPr>
          <w:i/>
          <w:iCs/>
          <w:shd w:val="clear" w:color="auto" w:fill="FFFFFF"/>
        </w:rPr>
        <w:t>7</w:t>
      </w:r>
      <w:r w:rsidRPr="008354E6">
        <w:rPr>
          <w:shd w:val="clear" w:color="auto" w:fill="FFFFFF"/>
        </w:rPr>
        <w:t>(10), pp.35-42.</w:t>
      </w:r>
    </w:p>
    <w:p w14:paraId="61921A0F" w14:textId="77777777" w:rsidR="00C143B2" w:rsidRPr="008354E6" w:rsidRDefault="00C143B2" w:rsidP="008354E6">
      <w:r w:rsidRPr="008354E6">
        <w:rPr>
          <w:shd w:val="clear" w:color="auto" w:fill="FFFFFF"/>
        </w:rPr>
        <w:t>Rahmiyanti, S. and Nugroho, A.S., 2020. The Effect Of Profitability And Liquidity Against Capital Structure (Case Study in Registered Property and Real Estate Sector Companies On the Indonesia Stock Exchange (IDX) Period 2014-2018). </w:t>
      </w:r>
      <w:r w:rsidRPr="008354E6">
        <w:rPr>
          <w:i/>
          <w:iCs/>
          <w:shd w:val="clear" w:color="auto" w:fill="FFFFFF"/>
        </w:rPr>
        <w:t>Primanomics: Jurnal Ekonomi &amp; Bisnis</w:t>
      </w:r>
      <w:r w:rsidRPr="008354E6">
        <w:rPr>
          <w:shd w:val="clear" w:color="auto" w:fill="FFFFFF"/>
        </w:rPr>
        <w:t>, </w:t>
      </w:r>
      <w:r w:rsidRPr="008354E6">
        <w:rPr>
          <w:i/>
          <w:iCs/>
          <w:shd w:val="clear" w:color="auto" w:fill="FFFFFF"/>
        </w:rPr>
        <w:t>18</w:t>
      </w:r>
      <w:r w:rsidRPr="008354E6">
        <w:rPr>
          <w:shd w:val="clear" w:color="auto" w:fill="FFFFFF"/>
        </w:rPr>
        <w:t>(1), pp.9-21.</w:t>
      </w:r>
    </w:p>
    <w:p w14:paraId="3CFEA9DC" w14:textId="77777777" w:rsidR="00C143B2" w:rsidRPr="008354E6" w:rsidRDefault="00C143B2" w:rsidP="008354E6">
      <w:r w:rsidRPr="008354E6">
        <w:t>Rashid, C.A., 2021. The efficiency of financial ratios analysis to evaluate company’s profitability. </w:t>
      </w:r>
      <w:r w:rsidRPr="008354E6">
        <w:rPr>
          <w:i/>
          <w:iCs/>
        </w:rPr>
        <w:t>Journal of Global Economics and Business</w:t>
      </w:r>
      <w:r w:rsidRPr="008354E6">
        <w:t>, </w:t>
      </w:r>
      <w:r w:rsidRPr="008354E6">
        <w:rPr>
          <w:i/>
          <w:iCs/>
        </w:rPr>
        <w:t>2</w:t>
      </w:r>
      <w:r w:rsidRPr="008354E6">
        <w:t>(4), pp.119-132.</w:t>
      </w:r>
    </w:p>
    <w:p w14:paraId="10C732CB" w14:textId="77777777" w:rsidR="00C143B2" w:rsidRPr="008354E6" w:rsidRDefault="00C143B2" w:rsidP="008354E6">
      <w:r w:rsidRPr="008354E6">
        <w:lastRenderedPageBreak/>
        <w:t>Sarasmitha, C. and Utami, K.S., 2023. Predicting Investment Feasibility in Perumda Establishment Using Payback Period, Net Present Value, and Internal Rate Return. </w:t>
      </w:r>
      <w:r w:rsidRPr="008354E6">
        <w:rPr>
          <w:i/>
          <w:iCs/>
        </w:rPr>
        <w:t>Jurnal Multidisiplin Madani</w:t>
      </w:r>
      <w:r w:rsidRPr="008354E6">
        <w:t>, </w:t>
      </w:r>
      <w:r w:rsidRPr="008354E6">
        <w:rPr>
          <w:i/>
          <w:iCs/>
        </w:rPr>
        <w:t>3</w:t>
      </w:r>
      <w:r w:rsidRPr="008354E6">
        <w:t>(9), pp.1885-1897.</w:t>
      </w:r>
    </w:p>
    <w:p w14:paraId="44F44F5E" w14:textId="77777777" w:rsidR="00C143B2" w:rsidRPr="008354E6" w:rsidRDefault="00C143B2" w:rsidP="008354E6">
      <w:pPr>
        <w:rPr>
          <w:shd w:val="clear" w:color="auto" w:fill="FFFFFF"/>
        </w:rPr>
      </w:pPr>
      <w:r w:rsidRPr="008354E6">
        <w:rPr>
          <w:shd w:val="clear" w:color="auto" w:fill="FFFFFF"/>
        </w:rPr>
        <w:t>Sholichah, F., Asfiah, N., Ambarwati, T., Widagdo, B., Ulfa, M. and Jihadi, M., 2021. The effects of profitability and solvability on stock prices: Empirical evidence from Indonesia. </w:t>
      </w:r>
      <w:r w:rsidRPr="008354E6">
        <w:rPr>
          <w:i/>
          <w:iCs/>
          <w:shd w:val="clear" w:color="auto" w:fill="FFFFFF"/>
        </w:rPr>
        <w:t>The Journal of Asian Finance, Economics and Business</w:t>
      </w:r>
      <w:r w:rsidRPr="008354E6">
        <w:rPr>
          <w:shd w:val="clear" w:color="auto" w:fill="FFFFFF"/>
        </w:rPr>
        <w:t>, </w:t>
      </w:r>
      <w:r w:rsidRPr="008354E6">
        <w:rPr>
          <w:i/>
          <w:iCs/>
          <w:shd w:val="clear" w:color="auto" w:fill="FFFFFF"/>
        </w:rPr>
        <w:t>8</w:t>
      </w:r>
      <w:r w:rsidRPr="008354E6">
        <w:rPr>
          <w:shd w:val="clear" w:color="auto" w:fill="FFFFFF"/>
        </w:rPr>
        <w:t>(3), pp.885-894.</w:t>
      </w:r>
    </w:p>
    <w:p w14:paraId="6B9596C6" w14:textId="77777777" w:rsidR="00C143B2" w:rsidRPr="008354E6" w:rsidRDefault="00C143B2" w:rsidP="008354E6">
      <w:r w:rsidRPr="008354E6">
        <w:t>Sinaga, A.S., Sari, M.M., Hutasuhut, A.A., Zahara, S.T., Amanda, A., Fitri, A. and Caesario, M.A., 2023. Comparison of capital budgeting methods: NPV, IRR, PAYBACK PERIOD.</w:t>
      </w:r>
    </w:p>
    <w:p w14:paraId="64C60AA9" w14:textId="77777777" w:rsidR="00C143B2" w:rsidRPr="008354E6" w:rsidRDefault="00C143B2" w:rsidP="008354E6">
      <w:r w:rsidRPr="008354E6">
        <w:t>Sogomi, F.C., Patrick, M.K. and Kamau, C.G., 2022. Working capital management, liquidity and financial performance: Context of Kenyan SME’s. </w:t>
      </w:r>
      <w:r w:rsidRPr="008354E6">
        <w:rPr>
          <w:i/>
          <w:iCs/>
        </w:rPr>
        <w:t>SSRN E-Journals</w:t>
      </w:r>
      <w:r w:rsidRPr="008354E6">
        <w:t>.</w:t>
      </w:r>
    </w:p>
    <w:p w14:paraId="1C93E26B" w14:textId="77777777" w:rsidR="00C143B2" w:rsidRPr="008354E6" w:rsidRDefault="00C143B2" w:rsidP="008354E6">
      <w:r w:rsidRPr="008354E6">
        <w:t>Sokolov, M.V., 2023. </w:t>
      </w:r>
      <w:r w:rsidRPr="008354E6">
        <w:rPr>
          <w:i/>
          <w:iCs/>
        </w:rPr>
        <w:t>NPV, IRR, PI, PP, and DPP: a unified view</w:t>
      </w:r>
      <w:r w:rsidRPr="008354E6">
        <w:t> (No. 2023/01). European University at St. Petersburg, Department of Economics.</w:t>
      </w:r>
    </w:p>
    <w:p w14:paraId="7061E15C" w14:textId="77777777" w:rsidR="00C143B2" w:rsidRDefault="00C143B2" w:rsidP="008354E6">
      <w:r w:rsidRPr="008354E6">
        <w:t xml:space="preserve">Statista.com (2024) </w:t>
      </w:r>
      <w:r w:rsidRPr="008354E6">
        <w:rPr>
          <w:i/>
          <w:iCs/>
        </w:rPr>
        <w:t>General Motors Company's sales and revenue streams in FY 2021 and FY 2023, by regional segment</w:t>
      </w:r>
      <w:r w:rsidRPr="008354E6">
        <w:t xml:space="preserve"> Available at: </w:t>
      </w:r>
      <w:hyperlink r:id="rId23" w:anchor=":~:text=General%20Motors%20Company%3A%20revenue%20by%20region%202021%20%26%202023&amp;text=In%20the%202023%20fiscal%20year,billion%20U.S.%20dollars%20in%202022" w:history="1">
        <w:r w:rsidRPr="008354E6">
          <w:rPr>
            <w:rStyle w:val="Hyperlink"/>
            <w:color w:val="auto"/>
            <w:u w:val="none"/>
          </w:rPr>
          <w:t>https://www.statista.com/statistics/258057/revenue-by-region-of-general-motors/#:~:text=General%20Motors%20Company%3A%20revenue%20by%20region%202021%20%26%202023&amp;text=In%20the%202023%20fiscal%20year,billion%20U.S.%20dollars%20in%202022</w:t>
        </w:r>
      </w:hyperlink>
      <w:r w:rsidRPr="008354E6">
        <w:t>. [Accessed on 5th April 2024]</w:t>
      </w:r>
    </w:p>
    <w:p w14:paraId="760F72FD" w14:textId="77777777" w:rsidR="00C143B2" w:rsidRPr="004714A7" w:rsidRDefault="00C143B2" w:rsidP="008354E6">
      <w:r w:rsidRPr="004714A7">
        <w:t xml:space="preserve">Statista.com (2024) </w:t>
      </w:r>
      <w:r w:rsidRPr="004714A7">
        <w:rPr>
          <w:i/>
          <w:iCs/>
        </w:rPr>
        <w:t>General Motors Company's sales and revenue streams between FY 2013 and FY 2023(in billion U.S. dollars)</w:t>
      </w:r>
      <w:r w:rsidRPr="004714A7">
        <w:t xml:space="preserve"> Available at: </w:t>
      </w:r>
      <w:hyperlink r:id="rId24" w:history="1">
        <w:r w:rsidRPr="004714A7">
          <w:rPr>
            <w:rStyle w:val="Hyperlink"/>
            <w:color w:val="auto"/>
            <w:u w:val="none"/>
          </w:rPr>
          <w:t>https://www.statista.com/statistics/225349/revenue-of-general-motors/</w:t>
        </w:r>
      </w:hyperlink>
      <w:r w:rsidRPr="004714A7">
        <w:t xml:space="preserve"> [Accessed on 5th April 2024]</w:t>
      </w:r>
    </w:p>
    <w:p w14:paraId="49BB5BC1" w14:textId="77777777" w:rsidR="00C143B2" w:rsidRPr="004714A7" w:rsidRDefault="00C143B2" w:rsidP="004714A7">
      <w:r w:rsidRPr="004714A7">
        <w:t xml:space="preserve">theverge.com (2021) </w:t>
      </w:r>
      <w:r w:rsidRPr="004714A7">
        <w:rPr>
          <w:i/>
          <w:iCs/>
        </w:rPr>
        <w:t>GM strikes a deal aimed at avoiding future chip shortage disruptions</w:t>
      </w:r>
      <w:r w:rsidRPr="004714A7">
        <w:t xml:space="preserve"> Available at: </w:t>
      </w:r>
      <w:hyperlink r:id="rId25" w:anchor=":~:text=A%20lack%20of%20available%20semiconductors,radios%2C%20due%20to%20supply%20issues" w:history="1">
        <w:r w:rsidRPr="004714A7">
          <w:rPr>
            <w:rStyle w:val="Hyperlink"/>
          </w:rPr>
          <w:t>https://www.theverge.com/2023/2/9/23591394/gm-globalfoundries-deal-semiconductor-chip-shortage#:~:text=A%20lack%20of%20available%20semiconductors,radios%2C%20due%20to%20supply%20issues</w:t>
        </w:r>
      </w:hyperlink>
      <w:r w:rsidRPr="004714A7">
        <w:t>. [Accessed on 23</w:t>
      </w:r>
      <w:r w:rsidRPr="004714A7">
        <w:rPr>
          <w:vertAlign w:val="superscript"/>
        </w:rPr>
        <w:t>rd</w:t>
      </w:r>
      <w:r w:rsidRPr="004714A7">
        <w:t xml:space="preserve"> April 2024]</w:t>
      </w:r>
    </w:p>
    <w:p w14:paraId="33BBE117" w14:textId="77777777" w:rsidR="00C143B2" w:rsidRPr="008354E6" w:rsidRDefault="00C143B2" w:rsidP="008354E6">
      <w:pPr>
        <w:rPr>
          <w:shd w:val="clear" w:color="auto" w:fill="FFFFFF"/>
        </w:rPr>
      </w:pPr>
      <w:r w:rsidRPr="008354E6">
        <w:rPr>
          <w:shd w:val="clear" w:color="auto" w:fill="FFFFFF"/>
        </w:rPr>
        <w:lastRenderedPageBreak/>
        <w:t>Uwah, U., Aji, I.A. and Iniabasi, E., 2023. Accounting ratios and false financial statements detection: evidence from Nigerian quoted companies. </w:t>
      </w:r>
      <w:r w:rsidRPr="008354E6">
        <w:rPr>
          <w:i/>
          <w:iCs/>
          <w:shd w:val="clear" w:color="auto" w:fill="FFFFFF"/>
        </w:rPr>
        <w:t>AKSU Journal of Administration and Corporate Governance (AKSUJACOG)</w:t>
      </w:r>
      <w:r w:rsidRPr="008354E6">
        <w:rPr>
          <w:shd w:val="clear" w:color="auto" w:fill="FFFFFF"/>
        </w:rPr>
        <w:t>, </w:t>
      </w:r>
      <w:r w:rsidRPr="008354E6">
        <w:rPr>
          <w:i/>
          <w:iCs/>
          <w:shd w:val="clear" w:color="auto" w:fill="FFFFFF"/>
        </w:rPr>
        <w:t>3</w:t>
      </w:r>
      <w:r w:rsidRPr="008354E6">
        <w:rPr>
          <w:shd w:val="clear" w:color="auto" w:fill="FFFFFF"/>
        </w:rPr>
        <w:t>(1), pp.61-75.</w:t>
      </w:r>
    </w:p>
    <w:p w14:paraId="49B7115D" w14:textId="77777777" w:rsidR="00C143B2" w:rsidRPr="008354E6" w:rsidRDefault="00C143B2" w:rsidP="008354E6">
      <w:r w:rsidRPr="008354E6">
        <w:t xml:space="preserve">Wsj.com (2023) </w:t>
      </w:r>
      <w:r w:rsidRPr="008354E6">
        <w:rPr>
          <w:i/>
          <w:iCs/>
        </w:rPr>
        <w:t xml:space="preserve">About the Financials of General Motors Company </w:t>
      </w:r>
      <w:r w:rsidRPr="008354E6">
        <w:t xml:space="preserve">Available at:  </w:t>
      </w:r>
      <w:hyperlink r:id="rId26" w:history="1">
        <w:r w:rsidRPr="008354E6">
          <w:rPr>
            <w:rStyle w:val="Hyperlink"/>
            <w:color w:val="auto"/>
            <w:u w:val="none"/>
          </w:rPr>
          <w:t>https://www.wsj.com/market-data/quotes/GM/financials</w:t>
        </w:r>
      </w:hyperlink>
      <w:r w:rsidRPr="008354E6">
        <w:t xml:space="preserve"> [Accessed on 5th April 2024]</w:t>
      </w:r>
    </w:p>
    <w:p w14:paraId="0F21E6BE" w14:textId="77777777" w:rsidR="00C143B2" w:rsidRPr="008354E6" w:rsidRDefault="00C143B2" w:rsidP="008354E6">
      <w:r w:rsidRPr="008354E6">
        <w:t>Wuave, T., Yua, H. and Yua, P.M., 2020. Effect of liquidity management on the financial performance of banks in Nigeria. </w:t>
      </w:r>
      <w:r w:rsidRPr="008354E6">
        <w:rPr>
          <w:i/>
          <w:iCs/>
        </w:rPr>
        <w:t>European journal of business and innovation research</w:t>
      </w:r>
      <w:r w:rsidRPr="008354E6">
        <w:t>, </w:t>
      </w:r>
      <w:r w:rsidRPr="008354E6">
        <w:rPr>
          <w:i/>
          <w:iCs/>
        </w:rPr>
        <w:t>8</w:t>
      </w:r>
      <w:r w:rsidRPr="008354E6">
        <w:t>(4), pp.30-44.</w:t>
      </w:r>
    </w:p>
    <w:p w14:paraId="229DC537" w14:textId="77777777" w:rsidR="00C143B2" w:rsidRPr="008354E6" w:rsidRDefault="00C143B2" w:rsidP="008354E6">
      <w:r w:rsidRPr="008354E6">
        <w:t xml:space="preserve">Yahoo.com (2023) </w:t>
      </w:r>
      <w:r w:rsidRPr="008354E6">
        <w:rPr>
          <w:i/>
          <w:iCs/>
        </w:rPr>
        <w:t xml:space="preserve">About the financials of the Company </w:t>
      </w:r>
      <w:r w:rsidRPr="008354E6">
        <w:t xml:space="preserve">Available at: </w:t>
      </w:r>
      <w:hyperlink r:id="rId27" w:history="1">
        <w:r w:rsidRPr="008354E6">
          <w:rPr>
            <w:rStyle w:val="Hyperlink"/>
            <w:color w:val="auto"/>
            <w:u w:val="none"/>
          </w:rPr>
          <w:t>https://finance.yahoo.com/quote/GM/financials</w:t>
        </w:r>
      </w:hyperlink>
      <w:r w:rsidRPr="008354E6">
        <w:t xml:space="preserve"> [Accessed on 5th April 2024]</w:t>
      </w:r>
    </w:p>
    <w:p w14:paraId="19A39FAE" w14:textId="77777777" w:rsidR="00C143B2" w:rsidRPr="008354E6" w:rsidRDefault="00C143B2" w:rsidP="008354E6">
      <w:r w:rsidRPr="008354E6">
        <w:t>Zaitoun, M. and Alqudah, H., 2020. The impact of liquidity and financial leverage on profitability: The case of listed Jordanian Industrial Firm’s. </w:t>
      </w:r>
      <w:r w:rsidRPr="008354E6">
        <w:rPr>
          <w:i/>
          <w:iCs/>
        </w:rPr>
        <w:t>International Journal of Business and Digital Economy</w:t>
      </w:r>
      <w:r w:rsidRPr="008354E6">
        <w:t>, </w:t>
      </w:r>
      <w:r w:rsidRPr="008354E6">
        <w:rPr>
          <w:i/>
          <w:iCs/>
        </w:rPr>
        <w:t>1</w:t>
      </w:r>
      <w:r w:rsidRPr="008354E6">
        <w:t>(4), pp.29-35.</w:t>
      </w:r>
    </w:p>
    <w:p w14:paraId="09E59E15" w14:textId="77777777" w:rsidR="008354E6" w:rsidRDefault="00000000" w:rsidP="008354E6">
      <w:pPr>
        <w:pStyle w:val="Heading1"/>
      </w:pPr>
      <w:bookmarkStart w:id="33" w:name="_Toc163226716"/>
      <w:bookmarkStart w:id="34" w:name="_Toc163230867"/>
      <w:r>
        <w:lastRenderedPageBreak/>
        <w:t>Appendices</w:t>
      </w:r>
      <w:bookmarkEnd w:id="33"/>
      <w:bookmarkEnd w:id="34"/>
      <w:r>
        <w:t xml:space="preserve"> </w:t>
      </w:r>
    </w:p>
    <w:p w14:paraId="48EE4DF1" w14:textId="77777777" w:rsidR="008354E6" w:rsidRDefault="00000000" w:rsidP="008354E6">
      <w:pPr>
        <w:pStyle w:val="Heading2"/>
      </w:pPr>
      <w:bookmarkStart w:id="35" w:name="_Toc163230868"/>
      <w:r>
        <w:t>Appendix 1: Ratio Analysis of General Motors and Ford Motors</w:t>
      </w:r>
      <w:bookmarkEnd w:id="35"/>
    </w:p>
    <w:p w14:paraId="7930E6DF" w14:textId="77777777" w:rsidR="008354E6" w:rsidRDefault="00000000" w:rsidP="008354E6">
      <w:r w:rsidRPr="008354E6">
        <w:rPr>
          <w:noProof/>
        </w:rPr>
        <w:drawing>
          <wp:inline distT="0" distB="0" distL="0" distR="0" wp14:anchorId="3EB42B78" wp14:editId="20F46DB1">
            <wp:extent cx="5943600" cy="3954780"/>
            <wp:effectExtent l="0" t="0" r="0" b="7620"/>
            <wp:docPr id="1656911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911932" name="Picture 1"/>
                    <pic:cNvPicPr>
                      <a:picLocks noChangeAspect="1" noChangeArrowheads="1"/>
                    </pic:cNvPicPr>
                  </pic:nvPicPr>
                  <pic:blipFill>
                    <a:blip r:embed="rId28" cstate="print">
                      <a:extLst>
                        <a:ext uri="{28A0092B-C50C-407E-A947-70E740481C1C}">
                          <a14:useLocalDpi xmlns:a14="http://schemas.microsoft.com/office/drawing/2010/main" val="0"/>
                        </a:ext>
                      </a:extLst>
                    </a:blip>
                    <a:stretch>
                      <a:fillRect/>
                    </a:stretch>
                  </pic:blipFill>
                  <pic:spPr bwMode="auto">
                    <a:xfrm>
                      <a:off x="0" y="0"/>
                      <a:ext cx="5943600" cy="3954780"/>
                    </a:xfrm>
                    <a:prstGeom prst="rect">
                      <a:avLst/>
                    </a:prstGeom>
                    <a:noFill/>
                    <a:ln>
                      <a:noFill/>
                    </a:ln>
                  </pic:spPr>
                </pic:pic>
              </a:graphicData>
            </a:graphic>
          </wp:inline>
        </w:drawing>
      </w:r>
    </w:p>
    <w:p w14:paraId="6415EE6C" w14:textId="77777777" w:rsidR="008354E6" w:rsidRPr="008354E6" w:rsidRDefault="00000000" w:rsidP="008354E6">
      <w:pPr>
        <w:jc w:val="center"/>
        <w:rPr>
          <w:b/>
          <w:bCs/>
        </w:rPr>
      </w:pPr>
      <w:r w:rsidRPr="008354E6">
        <w:rPr>
          <w:b/>
          <w:bCs/>
        </w:rPr>
        <w:t>Ratios of General Motors</w:t>
      </w:r>
    </w:p>
    <w:p w14:paraId="3868975A" w14:textId="77777777" w:rsidR="008354E6" w:rsidRDefault="00000000" w:rsidP="008354E6">
      <w:pPr>
        <w:jc w:val="center"/>
      </w:pPr>
      <w:r w:rsidRPr="008354E6">
        <w:rPr>
          <w:noProof/>
        </w:rPr>
        <w:lastRenderedPageBreak/>
        <w:drawing>
          <wp:inline distT="0" distB="0" distL="0" distR="0" wp14:anchorId="5C20E3A2" wp14:editId="74C9B0DD">
            <wp:extent cx="5943600" cy="4407535"/>
            <wp:effectExtent l="0" t="0" r="0" b="0"/>
            <wp:docPr id="6286020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602072" name="Picture 2"/>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bwMode="auto">
                    <a:xfrm>
                      <a:off x="0" y="0"/>
                      <a:ext cx="5943600" cy="4407535"/>
                    </a:xfrm>
                    <a:prstGeom prst="rect">
                      <a:avLst/>
                    </a:prstGeom>
                    <a:noFill/>
                    <a:ln>
                      <a:noFill/>
                    </a:ln>
                  </pic:spPr>
                </pic:pic>
              </a:graphicData>
            </a:graphic>
          </wp:inline>
        </w:drawing>
      </w:r>
    </w:p>
    <w:p w14:paraId="1F8323AD" w14:textId="77777777" w:rsidR="008354E6" w:rsidRPr="008354E6" w:rsidRDefault="00000000" w:rsidP="008354E6">
      <w:pPr>
        <w:jc w:val="center"/>
        <w:rPr>
          <w:b/>
          <w:bCs/>
        </w:rPr>
      </w:pPr>
      <w:r w:rsidRPr="008354E6">
        <w:rPr>
          <w:b/>
          <w:bCs/>
        </w:rPr>
        <w:t>Ratios of Ford Motors</w:t>
      </w:r>
    </w:p>
    <w:p w14:paraId="04FC5E5F" w14:textId="77777777" w:rsidR="008354E6" w:rsidRDefault="00000000" w:rsidP="008354E6">
      <w:pPr>
        <w:pStyle w:val="Heading2"/>
      </w:pPr>
      <w:bookmarkStart w:id="36" w:name="_Toc163226717"/>
      <w:bookmarkStart w:id="37" w:name="_Toc163230869"/>
      <w:r>
        <w:t>Appendix 2:</w:t>
      </w:r>
      <w:r w:rsidRPr="003B08BC">
        <w:t xml:space="preserve"> Investment Proposal</w:t>
      </w:r>
      <w:r>
        <w:t xml:space="preserve">s </w:t>
      </w:r>
      <w:r w:rsidRPr="003B08BC">
        <w:t>in Normal Case</w:t>
      </w:r>
      <w:bookmarkEnd w:id="36"/>
      <w:bookmarkEnd w:id="37"/>
    </w:p>
    <w:tbl>
      <w:tblPr>
        <w:tblW w:w="5000" w:type="pct"/>
        <w:tblLook w:val="04A0" w:firstRow="1" w:lastRow="0" w:firstColumn="1" w:lastColumn="0" w:noHBand="0" w:noVBand="1"/>
      </w:tblPr>
      <w:tblGrid>
        <w:gridCol w:w="1534"/>
        <w:gridCol w:w="2151"/>
        <w:gridCol w:w="2594"/>
        <w:gridCol w:w="3071"/>
      </w:tblGrid>
      <w:tr w:rsidR="00E8612F" w14:paraId="503545C3" w14:textId="77777777" w:rsidTr="008A2EDE">
        <w:trPr>
          <w:trHeight w:val="312"/>
        </w:trPr>
        <w:tc>
          <w:tcPr>
            <w:tcW w:w="5000" w:type="pct"/>
            <w:gridSpan w:val="4"/>
            <w:tcBorders>
              <w:top w:val="single" w:sz="4" w:space="0" w:color="auto"/>
              <w:left w:val="single" w:sz="4" w:space="0" w:color="auto"/>
              <w:bottom w:val="single" w:sz="4" w:space="0" w:color="auto"/>
              <w:right w:val="single" w:sz="4" w:space="0" w:color="000000"/>
            </w:tcBorders>
            <w:shd w:val="clear" w:color="000000" w:fill="FFFF00"/>
            <w:vAlign w:val="bottom"/>
            <w:hideMark/>
          </w:tcPr>
          <w:p w14:paraId="60BD10AA" w14:textId="77777777" w:rsidR="008354E6" w:rsidRPr="0077734A" w:rsidRDefault="00000000" w:rsidP="008A2EDE">
            <w:pPr>
              <w:spacing w:line="240" w:lineRule="auto"/>
              <w:jc w:val="center"/>
              <w:rPr>
                <w:b/>
                <w:bCs/>
              </w:rPr>
            </w:pPr>
            <w:r w:rsidRPr="0077734A">
              <w:rPr>
                <w:b/>
                <w:bCs/>
              </w:rPr>
              <w:t xml:space="preserve">Investment Proposal A in Normal Case </w:t>
            </w:r>
          </w:p>
        </w:tc>
      </w:tr>
      <w:tr w:rsidR="00E8612F" w14:paraId="04691326" w14:textId="77777777" w:rsidTr="008A2EDE">
        <w:trPr>
          <w:trHeight w:val="312"/>
        </w:trPr>
        <w:tc>
          <w:tcPr>
            <w:tcW w:w="5000" w:type="pct"/>
            <w:gridSpan w:val="4"/>
            <w:tcBorders>
              <w:top w:val="single" w:sz="4" w:space="0" w:color="auto"/>
              <w:left w:val="single" w:sz="4" w:space="0" w:color="auto"/>
              <w:bottom w:val="single" w:sz="4" w:space="0" w:color="auto"/>
              <w:right w:val="single" w:sz="4" w:space="0" w:color="000000"/>
            </w:tcBorders>
            <w:shd w:val="clear" w:color="000000" w:fill="F8CBAD"/>
            <w:vAlign w:val="bottom"/>
            <w:hideMark/>
          </w:tcPr>
          <w:p w14:paraId="26C23B48" w14:textId="77777777" w:rsidR="008354E6" w:rsidRPr="0077734A" w:rsidRDefault="00000000" w:rsidP="008A2EDE">
            <w:pPr>
              <w:spacing w:line="240" w:lineRule="auto"/>
              <w:jc w:val="center"/>
              <w:rPr>
                <w:b/>
                <w:bCs/>
              </w:rPr>
            </w:pPr>
            <w:r w:rsidRPr="0077734A">
              <w:rPr>
                <w:b/>
                <w:bCs/>
              </w:rPr>
              <w:t xml:space="preserve">NPV. Payback, ARR, IRR Calculation </w:t>
            </w:r>
          </w:p>
        </w:tc>
      </w:tr>
      <w:tr w:rsidR="00E8612F" w14:paraId="55B454E4" w14:textId="77777777" w:rsidTr="008A2EDE">
        <w:trPr>
          <w:trHeight w:val="936"/>
        </w:trPr>
        <w:tc>
          <w:tcPr>
            <w:tcW w:w="821" w:type="pct"/>
            <w:tcBorders>
              <w:top w:val="single" w:sz="4" w:space="0" w:color="auto"/>
              <w:left w:val="single" w:sz="4" w:space="0" w:color="auto"/>
              <w:bottom w:val="single" w:sz="4" w:space="0" w:color="auto"/>
              <w:right w:val="single" w:sz="4" w:space="0" w:color="auto"/>
            </w:tcBorders>
            <w:shd w:val="clear" w:color="000000" w:fill="8497B0"/>
            <w:vAlign w:val="bottom"/>
            <w:hideMark/>
          </w:tcPr>
          <w:p w14:paraId="4E10520D" w14:textId="77777777" w:rsidR="008354E6" w:rsidRPr="0077734A" w:rsidRDefault="00000000" w:rsidP="008A2EDE">
            <w:pPr>
              <w:spacing w:line="240" w:lineRule="auto"/>
              <w:jc w:val="left"/>
              <w:rPr>
                <w:b/>
                <w:bCs/>
              </w:rPr>
            </w:pPr>
            <w:r w:rsidRPr="0077734A">
              <w:rPr>
                <w:b/>
                <w:bCs/>
              </w:rPr>
              <w:t>Years</w:t>
            </w:r>
          </w:p>
        </w:tc>
        <w:tc>
          <w:tcPr>
            <w:tcW w:w="1150" w:type="pct"/>
            <w:tcBorders>
              <w:top w:val="single" w:sz="4" w:space="0" w:color="auto"/>
              <w:left w:val="nil"/>
              <w:bottom w:val="single" w:sz="4" w:space="0" w:color="auto"/>
              <w:right w:val="single" w:sz="4" w:space="0" w:color="auto"/>
            </w:tcBorders>
            <w:shd w:val="clear" w:color="000000" w:fill="8497B0"/>
            <w:vAlign w:val="bottom"/>
            <w:hideMark/>
          </w:tcPr>
          <w:p w14:paraId="63288DDE" w14:textId="77777777" w:rsidR="008354E6" w:rsidRPr="0077734A" w:rsidRDefault="00000000" w:rsidP="008A2EDE">
            <w:pPr>
              <w:spacing w:line="240" w:lineRule="auto"/>
              <w:jc w:val="left"/>
              <w:rPr>
                <w:b/>
                <w:bCs/>
              </w:rPr>
            </w:pPr>
            <w:r w:rsidRPr="0077734A">
              <w:rPr>
                <w:b/>
                <w:bCs/>
              </w:rPr>
              <w:t xml:space="preserve">Cash Flows </w:t>
            </w:r>
          </w:p>
        </w:tc>
        <w:tc>
          <w:tcPr>
            <w:tcW w:w="1387" w:type="pct"/>
            <w:tcBorders>
              <w:top w:val="single" w:sz="4" w:space="0" w:color="auto"/>
              <w:left w:val="nil"/>
              <w:bottom w:val="single" w:sz="4" w:space="0" w:color="auto"/>
              <w:right w:val="single" w:sz="4" w:space="0" w:color="auto"/>
            </w:tcBorders>
            <w:shd w:val="clear" w:color="000000" w:fill="8497B0"/>
            <w:vAlign w:val="bottom"/>
            <w:hideMark/>
          </w:tcPr>
          <w:p w14:paraId="25D772FD" w14:textId="77777777" w:rsidR="008354E6" w:rsidRPr="0077734A" w:rsidRDefault="00000000" w:rsidP="008A2EDE">
            <w:pPr>
              <w:spacing w:line="240" w:lineRule="auto"/>
              <w:jc w:val="left"/>
              <w:rPr>
                <w:b/>
                <w:bCs/>
              </w:rPr>
            </w:pPr>
            <w:r w:rsidRPr="0077734A">
              <w:rPr>
                <w:b/>
                <w:bCs/>
              </w:rPr>
              <w:t>Discounting Factor @10%</w:t>
            </w:r>
          </w:p>
        </w:tc>
        <w:tc>
          <w:tcPr>
            <w:tcW w:w="1642" w:type="pct"/>
            <w:tcBorders>
              <w:top w:val="single" w:sz="4" w:space="0" w:color="auto"/>
              <w:left w:val="nil"/>
              <w:bottom w:val="single" w:sz="4" w:space="0" w:color="auto"/>
              <w:right w:val="single" w:sz="4" w:space="0" w:color="auto"/>
            </w:tcBorders>
            <w:shd w:val="clear" w:color="000000" w:fill="8497B0"/>
            <w:vAlign w:val="bottom"/>
            <w:hideMark/>
          </w:tcPr>
          <w:p w14:paraId="5563189E" w14:textId="77777777" w:rsidR="008354E6" w:rsidRPr="0077734A" w:rsidRDefault="00000000" w:rsidP="008A2EDE">
            <w:pPr>
              <w:spacing w:line="240" w:lineRule="auto"/>
              <w:jc w:val="left"/>
              <w:rPr>
                <w:b/>
                <w:bCs/>
              </w:rPr>
            </w:pPr>
            <w:r w:rsidRPr="0077734A">
              <w:rPr>
                <w:b/>
                <w:bCs/>
              </w:rPr>
              <w:t>Discounted Cash Flows</w:t>
            </w:r>
          </w:p>
        </w:tc>
      </w:tr>
      <w:tr w:rsidR="00E8612F" w14:paraId="4B054CBC" w14:textId="77777777" w:rsidTr="008A2EDE">
        <w:trPr>
          <w:trHeight w:val="312"/>
        </w:trPr>
        <w:tc>
          <w:tcPr>
            <w:tcW w:w="821" w:type="pct"/>
            <w:tcBorders>
              <w:top w:val="nil"/>
              <w:left w:val="single" w:sz="4" w:space="0" w:color="auto"/>
              <w:bottom w:val="single" w:sz="4" w:space="0" w:color="auto"/>
              <w:right w:val="single" w:sz="4" w:space="0" w:color="auto"/>
            </w:tcBorders>
            <w:shd w:val="clear" w:color="000000" w:fill="FFFFFF"/>
            <w:vAlign w:val="bottom"/>
            <w:hideMark/>
          </w:tcPr>
          <w:p w14:paraId="02299376" w14:textId="77777777" w:rsidR="008354E6" w:rsidRPr="0077734A" w:rsidRDefault="00000000" w:rsidP="008A2EDE">
            <w:pPr>
              <w:spacing w:line="240" w:lineRule="auto"/>
              <w:jc w:val="right"/>
            </w:pPr>
            <w:r w:rsidRPr="0077734A">
              <w:t>0</w:t>
            </w:r>
          </w:p>
        </w:tc>
        <w:tc>
          <w:tcPr>
            <w:tcW w:w="1150" w:type="pct"/>
            <w:tcBorders>
              <w:top w:val="nil"/>
              <w:left w:val="nil"/>
              <w:bottom w:val="single" w:sz="4" w:space="0" w:color="auto"/>
              <w:right w:val="single" w:sz="4" w:space="0" w:color="auto"/>
            </w:tcBorders>
            <w:shd w:val="clear" w:color="000000" w:fill="FFFFFF"/>
            <w:vAlign w:val="bottom"/>
            <w:hideMark/>
          </w:tcPr>
          <w:p w14:paraId="100AC72C" w14:textId="77777777" w:rsidR="008354E6" w:rsidRPr="0077734A" w:rsidRDefault="00000000" w:rsidP="008A2EDE">
            <w:pPr>
              <w:spacing w:line="240" w:lineRule="auto"/>
              <w:jc w:val="left"/>
            </w:pPr>
            <w:r w:rsidRPr="0077734A">
              <w:t xml:space="preserve">-£      5,000 </w:t>
            </w:r>
          </w:p>
        </w:tc>
        <w:tc>
          <w:tcPr>
            <w:tcW w:w="1387" w:type="pct"/>
            <w:tcBorders>
              <w:top w:val="nil"/>
              <w:left w:val="nil"/>
              <w:bottom w:val="single" w:sz="4" w:space="0" w:color="auto"/>
              <w:right w:val="single" w:sz="4" w:space="0" w:color="auto"/>
            </w:tcBorders>
            <w:shd w:val="clear" w:color="000000" w:fill="FFFFFF"/>
            <w:vAlign w:val="bottom"/>
            <w:hideMark/>
          </w:tcPr>
          <w:p w14:paraId="0887AA66" w14:textId="77777777" w:rsidR="008354E6" w:rsidRPr="0077734A" w:rsidRDefault="00000000" w:rsidP="008A2EDE">
            <w:pPr>
              <w:spacing w:line="240" w:lineRule="auto"/>
              <w:jc w:val="right"/>
            </w:pPr>
            <w:r w:rsidRPr="0077734A">
              <w:t>1.00</w:t>
            </w:r>
          </w:p>
        </w:tc>
        <w:tc>
          <w:tcPr>
            <w:tcW w:w="1642" w:type="pct"/>
            <w:tcBorders>
              <w:top w:val="nil"/>
              <w:left w:val="nil"/>
              <w:bottom w:val="single" w:sz="4" w:space="0" w:color="auto"/>
              <w:right w:val="single" w:sz="4" w:space="0" w:color="auto"/>
            </w:tcBorders>
            <w:shd w:val="clear" w:color="000000" w:fill="FFFFFF"/>
            <w:vAlign w:val="bottom"/>
            <w:hideMark/>
          </w:tcPr>
          <w:p w14:paraId="57A0B324" w14:textId="77777777" w:rsidR="008354E6" w:rsidRPr="0077734A" w:rsidRDefault="00000000" w:rsidP="008A2EDE">
            <w:pPr>
              <w:spacing w:line="240" w:lineRule="auto"/>
              <w:jc w:val="left"/>
            </w:pPr>
            <w:r w:rsidRPr="0077734A">
              <w:t xml:space="preserve">-£               5,000 </w:t>
            </w:r>
          </w:p>
        </w:tc>
      </w:tr>
      <w:tr w:rsidR="00E8612F" w14:paraId="1DAA0C0D" w14:textId="77777777" w:rsidTr="008A2EDE">
        <w:trPr>
          <w:trHeight w:val="312"/>
        </w:trPr>
        <w:tc>
          <w:tcPr>
            <w:tcW w:w="821" w:type="pct"/>
            <w:tcBorders>
              <w:top w:val="nil"/>
              <w:left w:val="single" w:sz="4" w:space="0" w:color="auto"/>
              <w:bottom w:val="single" w:sz="4" w:space="0" w:color="auto"/>
              <w:right w:val="single" w:sz="4" w:space="0" w:color="auto"/>
            </w:tcBorders>
            <w:shd w:val="clear" w:color="000000" w:fill="FFFFFF"/>
            <w:vAlign w:val="bottom"/>
            <w:hideMark/>
          </w:tcPr>
          <w:p w14:paraId="255DAE47" w14:textId="77777777" w:rsidR="008354E6" w:rsidRPr="0077734A" w:rsidRDefault="00000000" w:rsidP="008A2EDE">
            <w:pPr>
              <w:spacing w:line="240" w:lineRule="auto"/>
              <w:jc w:val="right"/>
            </w:pPr>
            <w:r w:rsidRPr="0077734A">
              <w:t>1</w:t>
            </w:r>
          </w:p>
        </w:tc>
        <w:tc>
          <w:tcPr>
            <w:tcW w:w="1150" w:type="pct"/>
            <w:tcBorders>
              <w:top w:val="nil"/>
              <w:left w:val="nil"/>
              <w:bottom w:val="single" w:sz="4" w:space="0" w:color="auto"/>
              <w:right w:val="single" w:sz="4" w:space="0" w:color="auto"/>
            </w:tcBorders>
            <w:shd w:val="clear" w:color="000000" w:fill="FFFFFF"/>
            <w:vAlign w:val="bottom"/>
            <w:hideMark/>
          </w:tcPr>
          <w:p w14:paraId="15F39570" w14:textId="77777777" w:rsidR="008354E6" w:rsidRPr="0077734A" w:rsidRDefault="00000000" w:rsidP="008A2EDE">
            <w:pPr>
              <w:spacing w:line="240" w:lineRule="auto"/>
              <w:jc w:val="left"/>
            </w:pPr>
            <w:r w:rsidRPr="0077734A">
              <w:t xml:space="preserve"> £      2,500 </w:t>
            </w:r>
          </w:p>
        </w:tc>
        <w:tc>
          <w:tcPr>
            <w:tcW w:w="1387" w:type="pct"/>
            <w:tcBorders>
              <w:top w:val="nil"/>
              <w:left w:val="nil"/>
              <w:bottom w:val="single" w:sz="4" w:space="0" w:color="auto"/>
              <w:right w:val="single" w:sz="4" w:space="0" w:color="auto"/>
            </w:tcBorders>
            <w:shd w:val="clear" w:color="000000" w:fill="FFFFFF"/>
            <w:vAlign w:val="bottom"/>
            <w:hideMark/>
          </w:tcPr>
          <w:p w14:paraId="3CB8B3A4" w14:textId="77777777" w:rsidR="008354E6" w:rsidRPr="0077734A" w:rsidRDefault="00000000" w:rsidP="008A2EDE">
            <w:pPr>
              <w:spacing w:line="240" w:lineRule="auto"/>
              <w:jc w:val="right"/>
            </w:pPr>
            <w:r w:rsidRPr="0077734A">
              <w:t>0.99</w:t>
            </w:r>
          </w:p>
        </w:tc>
        <w:tc>
          <w:tcPr>
            <w:tcW w:w="1642" w:type="pct"/>
            <w:tcBorders>
              <w:top w:val="nil"/>
              <w:left w:val="nil"/>
              <w:bottom w:val="single" w:sz="4" w:space="0" w:color="auto"/>
              <w:right w:val="single" w:sz="4" w:space="0" w:color="auto"/>
            </w:tcBorders>
            <w:shd w:val="clear" w:color="000000" w:fill="FFFFFF"/>
            <w:vAlign w:val="bottom"/>
            <w:hideMark/>
          </w:tcPr>
          <w:p w14:paraId="14D07F23" w14:textId="77777777" w:rsidR="008354E6" w:rsidRPr="0077734A" w:rsidRDefault="00000000" w:rsidP="008A2EDE">
            <w:pPr>
              <w:spacing w:line="240" w:lineRule="auto"/>
              <w:jc w:val="left"/>
            </w:pPr>
            <w:r w:rsidRPr="0077734A">
              <w:t xml:space="preserve"> £               2,481 </w:t>
            </w:r>
          </w:p>
        </w:tc>
      </w:tr>
      <w:tr w:rsidR="00E8612F" w14:paraId="12F3ACDC" w14:textId="77777777" w:rsidTr="008A2EDE">
        <w:trPr>
          <w:trHeight w:val="312"/>
        </w:trPr>
        <w:tc>
          <w:tcPr>
            <w:tcW w:w="821" w:type="pct"/>
            <w:tcBorders>
              <w:top w:val="nil"/>
              <w:left w:val="single" w:sz="4" w:space="0" w:color="auto"/>
              <w:bottom w:val="single" w:sz="4" w:space="0" w:color="auto"/>
              <w:right w:val="single" w:sz="4" w:space="0" w:color="auto"/>
            </w:tcBorders>
            <w:shd w:val="clear" w:color="000000" w:fill="FFFFFF"/>
            <w:vAlign w:val="bottom"/>
            <w:hideMark/>
          </w:tcPr>
          <w:p w14:paraId="1F9D1A41" w14:textId="77777777" w:rsidR="008354E6" w:rsidRPr="0077734A" w:rsidRDefault="00000000" w:rsidP="008A2EDE">
            <w:pPr>
              <w:spacing w:line="240" w:lineRule="auto"/>
              <w:jc w:val="right"/>
            </w:pPr>
            <w:r w:rsidRPr="0077734A">
              <w:t>2</w:t>
            </w:r>
          </w:p>
        </w:tc>
        <w:tc>
          <w:tcPr>
            <w:tcW w:w="1150" w:type="pct"/>
            <w:tcBorders>
              <w:top w:val="nil"/>
              <w:left w:val="nil"/>
              <w:bottom w:val="single" w:sz="4" w:space="0" w:color="auto"/>
              <w:right w:val="single" w:sz="4" w:space="0" w:color="auto"/>
            </w:tcBorders>
            <w:shd w:val="clear" w:color="000000" w:fill="FFFFFF"/>
            <w:vAlign w:val="bottom"/>
            <w:hideMark/>
          </w:tcPr>
          <w:p w14:paraId="6904E6AF" w14:textId="77777777" w:rsidR="008354E6" w:rsidRPr="0077734A" w:rsidRDefault="00000000" w:rsidP="008A2EDE">
            <w:pPr>
              <w:spacing w:line="240" w:lineRule="auto"/>
              <w:jc w:val="left"/>
            </w:pPr>
            <w:r w:rsidRPr="0077734A">
              <w:t xml:space="preserve"> £      2,000 </w:t>
            </w:r>
          </w:p>
        </w:tc>
        <w:tc>
          <w:tcPr>
            <w:tcW w:w="1387" w:type="pct"/>
            <w:tcBorders>
              <w:top w:val="nil"/>
              <w:left w:val="nil"/>
              <w:bottom w:val="single" w:sz="4" w:space="0" w:color="auto"/>
              <w:right w:val="single" w:sz="4" w:space="0" w:color="auto"/>
            </w:tcBorders>
            <w:shd w:val="clear" w:color="000000" w:fill="FFFFFF"/>
            <w:vAlign w:val="bottom"/>
            <w:hideMark/>
          </w:tcPr>
          <w:p w14:paraId="7C12B4D1" w14:textId="77777777" w:rsidR="008354E6" w:rsidRPr="0077734A" w:rsidRDefault="00000000" w:rsidP="008A2EDE">
            <w:pPr>
              <w:spacing w:line="240" w:lineRule="auto"/>
              <w:jc w:val="right"/>
            </w:pPr>
            <w:r w:rsidRPr="0077734A">
              <w:t>0.99</w:t>
            </w:r>
          </w:p>
        </w:tc>
        <w:tc>
          <w:tcPr>
            <w:tcW w:w="1642" w:type="pct"/>
            <w:tcBorders>
              <w:top w:val="nil"/>
              <w:left w:val="nil"/>
              <w:bottom w:val="single" w:sz="4" w:space="0" w:color="auto"/>
              <w:right w:val="single" w:sz="4" w:space="0" w:color="auto"/>
            </w:tcBorders>
            <w:shd w:val="clear" w:color="000000" w:fill="FFFFFF"/>
            <w:vAlign w:val="bottom"/>
            <w:hideMark/>
          </w:tcPr>
          <w:p w14:paraId="74AFAFAE" w14:textId="77777777" w:rsidR="008354E6" w:rsidRPr="0077734A" w:rsidRDefault="00000000" w:rsidP="008A2EDE">
            <w:pPr>
              <w:spacing w:line="240" w:lineRule="auto"/>
              <w:jc w:val="left"/>
            </w:pPr>
            <w:r w:rsidRPr="0077734A">
              <w:t xml:space="preserve"> £               1,970 </w:t>
            </w:r>
          </w:p>
        </w:tc>
      </w:tr>
      <w:tr w:rsidR="00E8612F" w14:paraId="362A2E76" w14:textId="77777777" w:rsidTr="008A2EDE">
        <w:trPr>
          <w:trHeight w:val="312"/>
        </w:trPr>
        <w:tc>
          <w:tcPr>
            <w:tcW w:w="821" w:type="pct"/>
            <w:tcBorders>
              <w:top w:val="nil"/>
              <w:left w:val="single" w:sz="4" w:space="0" w:color="auto"/>
              <w:bottom w:val="single" w:sz="4" w:space="0" w:color="auto"/>
              <w:right w:val="single" w:sz="4" w:space="0" w:color="auto"/>
            </w:tcBorders>
            <w:shd w:val="clear" w:color="000000" w:fill="FFFFFF"/>
            <w:vAlign w:val="bottom"/>
            <w:hideMark/>
          </w:tcPr>
          <w:p w14:paraId="293B3722" w14:textId="77777777" w:rsidR="008354E6" w:rsidRPr="0077734A" w:rsidRDefault="00000000" w:rsidP="008A2EDE">
            <w:pPr>
              <w:spacing w:line="240" w:lineRule="auto"/>
              <w:jc w:val="right"/>
            </w:pPr>
            <w:r w:rsidRPr="0077734A">
              <w:lastRenderedPageBreak/>
              <w:t>3</w:t>
            </w:r>
          </w:p>
        </w:tc>
        <w:tc>
          <w:tcPr>
            <w:tcW w:w="1150" w:type="pct"/>
            <w:tcBorders>
              <w:top w:val="nil"/>
              <w:left w:val="nil"/>
              <w:bottom w:val="single" w:sz="4" w:space="0" w:color="auto"/>
              <w:right w:val="single" w:sz="4" w:space="0" w:color="auto"/>
            </w:tcBorders>
            <w:shd w:val="clear" w:color="000000" w:fill="FFFFFF"/>
            <w:vAlign w:val="bottom"/>
            <w:hideMark/>
          </w:tcPr>
          <w:p w14:paraId="5FBEEA91" w14:textId="77777777" w:rsidR="008354E6" w:rsidRPr="0077734A" w:rsidRDefault="00000000" w:rsidP="008A2EDE">
            <w:pPr>
              <w:spacing w:line="240" w:lineRule="auto"/>
              <w:jc w:val="left"/>
            </w:pPr>
            <w:r w:rsidRPr="0077734A">
              <w:t xml:space="preserve"> £      1,000 </w:t>
            </w:r>
          </w:p>
        </w:tc>
        <w:tc>
          <w:tcPr>
            <w:tcW w:w="1387" w:type="pct"/>
            <w:tcBorders>
              <w:top w:val="nil"/>
              <w:left w:val="nil"/>
              <w:bottom w:val="single" w:sz="4" w:space="0" w:color="auto"/>
              <w:right w:val="single" w:sz="4" w:space="0" w:color="auto"/>
            </w:tcBorders>
            <w:shd w:val="clear" w:color="000000" w:fill="FFFFFF"/>
            <w:vAlign w:val="bottom"/>
            <w:hideMark/>
          </w:tcPr>
          <w:p w14:paraId="3A39A700" w14:textId="77777777" w:rsidR="008354E6" w:rsidRPr="0077734A" w:rsidRDefault="00000000" w:rsidP="008A2EDE">
            <w:pPr>
              <w:spacing w:line="240" w:lineRule="auto"/>
              <w:jc w:val="right"/>
            </w:pPr>
            <w:r w:rsidRPr="0077734A">
              <w:t>0.98</w:t>
            </w:r>
          </w:p>
        </w:tc>
        <w:tc>
          <w:tcPr>
            <w:tcW w:w="1642" w:type="pct"/>
            <w:tcBorders>
              <w:top w:val="nil"/>
              <w:left w:val="nil"/>
              <w:bottom w:val="single" w:sz="4" w:space="0" w:color="auto"/>
              <w:right w:val="single" w:sz="4" w:space="0" w:color="auto"/>
            </w:tcBorders>
            <w:shd w:val="clear" w:color="000000" w:fill="FFFFFF"/>
            <w:vAlign w:val="bottom"/>
            <w:hideMark/>
          </w:tcPr>
          <w:p w14:paraId="50C87B2C" w14:textId="77777777" w:rsidR="008354E6" w:rsidRPr="0077734A" w:rsidRDefault="00000000" w:rsidP="008A2EDE">
            <w:pPr>
              <w:spacing w:line="240" w:lineRule="auto"/>
              <w:jc w:val="left"/>
            </w:pPr>
            <w:r w:rsidRPr="0077734A">
              <w:t xml:space="preserve"> £                  978 </w:t>
            </w:r>
          </w:p>
        </w:tc>
      </w:tr>
      <w:tr w:rsidR="00E8612F" w14:paraId="4D9A9D0F" w14:textId="77777777" w:rsidTr="008A2EDE">
        <w:trPr>
          <w:trHeight w:val="312"/>
        </w:trPr>
        <w:tc>
          <w:tcPr>
            <w:tcW w:w="821" w:type="pct"/>
            <w:tcBorders>
              <w:top w:val="nil"/>
              <w:left w:val="single" w:sz="4" w:space="0" w:color="auto"/>
              <w:bottom w:val="single" w:sz="4" w:space="0" w:color="auto"/>
              <w:right w:val="single" w:sz="4" w:space="0" w:color="auto"/>
            </w:tcBorders>
            <w:shd w:val="clear" w:color="000000" w:fill="FFFFFF"/>
            <w:vAlign w:val="bottom"/>
            <w:hideMark/>
          </w:tcPr>
          <w:p w14:paraId="0B4538CA" w14:textId="77777777" w:rsidR="008354E6" w:rsidRPr="0077734A" w:rsidRDefault="00000000" w:rsidP="008A2EDE">
            <w:pPr>
              <w:spacing w:line="240" w:lineRule="auto"/>
              <w:jc w:val="right"/>
            </w:pPr>
            <w:r w:rsidRPr="0077734A">
              <w:t>4</w:t>
            </w:r>
          </w:p>
        </w:tc>
        <w:tc>
          <w:tcPr>
            <w:tcW w:w="1150" w:type="pct"/>
            <w:tcBorders>
              <w:top w:val="nil"/>
              <w:left w:val="nil"/>
              <w:bottom w:val="single" w:sz="4" w:space="0" w:color="auto"/>
              <w:right w:val="single" w:sz="4" w:space="0" w:color="auto"/>
            </w:tcBorders>
            <w:shd w:val="clear" w:color="000000" w:fill="FFFFFF"/>
            <w:vAlign w:val="bottom"/>
            <w:hideMark/>
          </w:tcPr>
          <w:p w14:paraId="79A061A4" w14:textId="77777777" w:rsidR="008354E6" w:rsidRPr="0077734A" w:rsidRDefault="00000000" w:rsidP="008A2EDE">
            <w:pPr>
              <w:spacing w:line="240" w:lineRule="auto"/>
              <w:jc w:val="left"/>
            </w:pPr>
            <w:r w:rsidRPr="0077734A">
              <w:t xml:space="preserve">-£         442 </w:t>
            </w:r>
          </w:p>
        </w:tc>
        <w:tc>
          <w:tcPr>
            <w:tcW w:w="1387" w:type="pct"/>
            <w:tcBorders>
              <w:top w:val="nil"/>
              <w:left w:val="nil"/>
              <w:bottom w:val="single" w:sz="4" w:space="0" w:color="auto"/>
              <w:right w:val="single" w:sz="4" w:space="0" w:color="auto"/>
            </w:tcBorders>
            <w:shd w:val="clear" w:color="000000" w:fill="FFFFFF"/>
            <w:vAlign w:val="bottom"/>
            <w:hideMark/>
          </w:tcPr>
          <w:p w14:paraId="18CEBCA1" w14:textId="77777777" w:rsidR="008354E6" w:rsidRPr="0077734A" w:rsidRDefault="00000000" w:rsidP="008A2EDE">
            <w:pPr>
              <w:spacing w:line="240" w:lineRule="auto"/>
              <w:jc w:val="right"/>
            </w:pPr>
            <w:r w:rsidRPr="0077734A">
              <w:t>0.97</w:t>
            </w:r>
          </w:p>
        </w:tc>
        <w:tc>
          <w:tcPr>
            <w:tcW w:w="1642" w:type="pct"/>
            <w:tcBorders>
              <w:top w:val="nil"/>
              <w:left w:val="nil"/>
              <w:bottom w:val="single" w:sz="4" w:space="0" w:color="auto"/>
              <w:right w:val="single" w:sz="4" w:space="0" w:color="auto"/>
            </w:tcBorders>
            <w:shd w:val="clear" w:color="000000" w:fill="FFFFFF"/>
            <w:vAlign w:val="bottom"/>
            <w:hideMark/>
          </w:tcPr>
          <w:p w14:paraId="4E271D44" w14:textId="77777777" w:rsidR="008354E6" w:rsidRPr="0077734A" w:rsidRDefault="00000000" w:rsidP="008A2EDE">
            <w:pPr>
              <w:spacing w:line="240" w:lineRule="auto"/>
              <w:jc w:val="left"/>
            </w:pPr>
            <w:r w:rsidRPr="0077734A">
              <w:t xml:space="preserve">-£                  429 </w:t>
            </w:r>
          </w:p>
        </w:tc>
      </w:tr>
      <w:tr w:rsidR="00E8612F" w14:paraId="5FE37F11" w14:textId="77777777" w:rsidTr="008A2EDE">
        <w:trPr>
          <w:trHeight w:val="324"/>
        </w:trPr>
        <w:tc>
          <w:tcPr>
            <w:tcW w:w="3358"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3F881CBE" w14:textId="77777777" w:rsidR="008354E6" w:rsidRPr="0077734A" w:rsidRDefault="00000000" w:rsidP="008A2EDE">
            <w:pPr>
              <w:spacing w:line="240" w:lineRule="auto"/>
              <w:jc w:val="center"/>
            </w:pPr>
            <w:r w:rsidRPr="0077734A">
              <w:t>Costs of Capital</w:t>
            </w:r>
          </w:p>
        </w:tc>
        <w:tc>
          <w:tcPr>
            <w:tcW w:w="1642" w:type="pct"/>
            <w:tcBorders>
              <w:top w:val="nil"/>
              <w:left w:val="single" w:sz="4" w:space="0" w:color="auto"/>
              <w:bottom w:val="single" w:sz="4" w:space="0" w:color="auto"/>
              <w:right w:val="single" w:sz="4" w:space="0" w:color="auto"/>
            </w:tcBorders>
            <w:shd w:val="clear" w:color="000000" w:fill="FFE699"/>
            <w:vAlign w:val="bottom"/>
            <w:hideMark/>
          </w:tcPr>
          <w:p w14:paraId="63C38C1F" w14:textId="77777777" w:rsidR="008354E6" w:rsidRPr="0077734A" w:rsidRDefault="00000000" w:rsidP="008A2EDE">
            <w:pPr>
              <w:spacing w:line="240" w:lineRule="auto"/>
              <w:jc w:val="right"/>
              <w:rPr>
                <w:b/>
                <w:bCs/>
                <w:i/>
                <w:iCs/>
              </w:rPr>
            </w:pPr>
            <w:r w:rsidRPr="0077734A">
              <w:rPr>
                <w:b/>
                <w:bCs/>
                <w:i/>
                <w:iCs/>
              </w:rPr>
              <w:t>0.75%</w:t>
            </w:r>
          </w:p>
        </w:tc>
      </w:tr>
      <w:tr w:rsidR="00E8612F" w14:paraId="524EB46F" w14:textId="77777777" w:rsidTr="008A2EDE">
        <w:trPr>
          <w:trHeight w:val="324"/>
        </w:trPr>
        <w:tc>
          <w:tcPr>
            <w:tcW w:w="3358"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358E880B" w14:textId="77777777" w:rsidR="008354E6" w:rsidRPr="0077734A" w:rsidRDefault="00000000" w:rsidP="008A2EDE">
            <w:pPr>
              <w:spacing w:line="240" w:lineRule="auto"/>
              <w:jc w:val="center"/>
              <w:rPr>
                <w:b/>
                <w:bCs/>
              </w:rPr>
            </w:pPr>
            <w:r w:rsidRPr="0077734A">
              <w:rPr>
                <w:b/>
                <w:bCs/>
              </w:rPr>
              <w:t>Payback (Years)</w:t>
            </w:r>
          </w:p>
        </w:tc>
        <w:tc>
          <w:tcPr>
            <w:tcW w:w="1642" w:type="pct"/>
            <w:tcBorders>
              <w:top w:val="nil"/>
              <w:left w:val="single" w:sz="4" w:space="0" w:color="auto"/>
              <w:bottom w:val="single" w:sz="4" w:space="0" w:color="auto"/>
              <w:right w:val="single" w:sz="4" w:space="0" w:color="auto"/>
            </w:tcBorders>
            <w:shd w:val="clear" w:color="000000" w:fill="FFE699"/>
            <w:vAlign w:val="bottom"/>
            <w:hideMark/>
          </w:tcPr>
          <w:p w14:paraId="3805D1CF" w14:textId="77777777" w:rsidR="008354E6" w:rsidRPr="0077734A" w:rsidRDefault="00000000" w:rsidP="008A2EDE">
            <w:pPr>
              <w:spacing w:line="240" w:lineRule="auto"/>
              <w:jc w:val="right"/>
              <w:rPr>
                <w:b/>
                <w:bCs/>
                <w:i/>
                <w:iCs/>
              </w:rPr>
            </w:pPr>
            <w:r w:rsidRPr="0077734A">
              <w:rPr>
                <w:b/>
                <w:bCs/>
                <w:i/>
                <w:iCs/>
              </w:rPr>
              <w:t>2.5</w:t>
            </w:r>
          </w:p>
        </w:tc>
      </w:tr>
      <w:tr w:rsidR="00E8612F" w14:paraId="167657ED" w14:textId="77777777" w:rsidTr="008A2EDE">
        <w:trPr>
          <w:trHeight w:val="324"/>
        </w:trPr>
        <w:tc>
          <w:tcPr>
            <w:tcW w:w="3358"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306CF60B" w14:textId="77777777" w:rsidR="008354E6" w:rsidRPr="0077734A" w:rsidRDefault="00000000" w:rsidP="008A2EDE">
            <w:pPr>
              <w:spacing w:line="240" w:lineRule="auto"/>
              <w:jc w:val="center"/>
              <w:rPr>
                <w:b/>
                <w:bCs/>
              </w:rPr>
            </w:pPr>
            <w:r w:rsidRPr="0077734A">
              <w:rPr>
                <w:b/>
                <w:bCs/>
              </w:rPr>
              <w:t>Net Present Value</w:t>
            </w:r>
          </w:p>
        </w:tc>
        <w:tc>
          <w:tcPr>
            <w:tcW w:w="1642" w:type="pct"/>
            <w:tcBorders>
              <w:top w:val="nil"/>
              <w:left w:val="single" w:sz="4" w:space="0" w:color="auto"/>
              <w:bottom w:val="single" w:sz="4" w:space="0" w:color="auto"/>
              <w:right w:val="single" w:sz="4" w:space="0" w:color="auto"/>
            </w:tcBorders>
            <w:shd w:val="clear" w:color="000000" w:fill="FFE699"/>
            <w:vAlign w:val="bottom"/>
            <w:hideMark/>
          </w:tcPr>
          <w:p w14:paraId="5F27D72A" w14:textId="77777777" w:rsidR="008354E6" w:rsidRPr="0077734A" w:rsidRDefault="00000000" w:rsidP="008A2EDE">
            <w:pPr>
              <w:spacing w:line="240" w:lineRule="auto"/>
              <w:jc w:val="left"/>
              <w:rPr>
                <w:b/>
                <w:bCs/>
                <w:i/>
                <w:iCs/>
              </w:rPr>
            </w:pPr>
            <w:r w:rsidRPr="0077734A">
              <w:rPr>
                <w:b/>
                <w:bCs/>
                <w:i/>
                <w:iCs/>
              </w:rPr>
              <w:t xml:space="preserve"> £                 0.57 </w:t>
            </w:r>
          </w:p>
        </w:tc>
      </w:tr>
      <w:tr w:rsidR="00E8612F" w14:paraId="41F6A491" w14:textId="77777777" w:rsidTr="008A2EDE">
        <w:trPr>
          <w:trHeight w:val="324"/>
        </w:trPr>
        <w:tc>
          <w:tcPr>
            <w:tcW w:w="3358"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5517E7A1" w14:textId="77777777" w:rsidR="008354E6" w:rsidRPr="0077734A" w:rsidRDefault="00000000" w:rsidP="008A2EDE">
            <w:pPr>
              <w:spacing w:line="240" w:lineRule="auto"/>
              <w:jc w:val="center"/>
              <w:rPr>
                <w:b/>
                <w:bCs/>
              </w:rPr>
            </w:pPr>
            <w:r w:rsidRPr="0077734A">
              <w:rPr>
                <w:b/>
                <w:bCs/>
              </w:rPr>
              <w:t>ARR</w:t>
            </w:r>
          </w:p>
        </w:tc>
        <w:tc>
          <w:tcPr>
            <w:tcW w:w="1642" w:type="pct"/>
            <w:tcBorders>
              <w:top w:val="nil"/>
              <w:left w:val="single" w:sz="4" w:space="0" w:color="auto"/>
              <w:bottom w:val="single" w:sz="4" w:space="0" w:color="auto"/>
              <w:right w:val="single" w:sz="4" w:space="0" w:color="auto"/>
            </w:tcBorders>
            <w:shd w:val="clear" w:color="000000" w:fill="FFE699"/>
            <w:vAlign w:val="bottom"/>
            <w:hideMark/>
          </w:tcPr>
          <w:p w14:paraId="111DDEBD" w14:textId="77777777" w:rsidR="008354E6" w:rsidRPr="0077734A" w:rsidRDefault="00000000" w:rsidP="008A2EDE">
            <w:pPr>
              <w:spacing w:line="240" w:lineRule="auto"/>
              <w:jc w:val="right"/>
              <w:rPr>
                <w:b/>
                <w:bCs/>
                <w:i/>
                <w:iCs/>
              </w:rPr>
            </w:pPr>
            <w:r w:rsidRPr="0077734A">
              <w:rPr>
                <w:b/>
                <w:bCs/>
                <w:i/>
                <w:iCs/>
              </w:rPr>
              <w:t>1.16%</w:t>
            </w:r>
          </w:p>
        </w:tc>
      </w:tr>
    </w:tbl>
    <w:p w14:paraId="2E143973" w14:textId="77777777" w:rsidR="008354E6" w:rsidRDefault="008354E6" w:rsidP="008354E6"/>
    <w:tbl>
      <w:tblPr>
        <w:tblW w:w="5000" w:type="pct"/>
        <w:tblLook w:val="04A0" w:firstRow="1" w:lastRow="0" w:firstColumn="1" w:lastColumn="0" w:noHBand="0" w:noVBand="1"/>
      </w:tblPr>
      <w:tblGrid>
        <w:gridCol w:w="1576"/>
        <w:gridCol w:w="2147"/>
        <w:gridCol w:w="3215"/>
        <w:gridCol w:w="2412"/>
      </w:tblGrid>
      <w:tr w:rsidR="00E8612F" w14:paraId="0E374BCF" w14:textId="77777777" w:rsidTr="008A2EDE">
        <w:trPr>
          <w:trHeight w:val="312"/>
        </w:trPr>
        <w:tc>
          <w:tcPr>
            <w:tcW w:w="5000" w:type="pct"/>
            <w:gridSpan w:val="4"/>
            <w:tcBorders>
              <w:top w:val="single" w:sz="4" w:space="0" w:color="auto"/>
              <w:left w:val="single" w:sz="4" w:space="0" w:color="auto"/>
              <w:bottom w:val="single" w:sz="4" w:space="0" w:color="auto"/>
              <w:right w:val="single" w:sz="4" w:space="0" w:color="000000"/>
            </w:tcBorders>
            <w:shd w:val="clear" w:color="000000" w:fill="FFFF00"/>
            <w:vAlign w:val="bottom"/>
            <w:hideMark/>
          </w:tcPr>
          <w:p w14:paraId="58ECC465" w14:textId="77777777" w:rsidR="008354E6" w:rsidRPr="0077734A" w:rsidRDefault="00000000" w:rsidP="008A2EDE">
            <w:pPr>
              <w:spacing w:line="240" w:lineRule="auto"/>
              <w:jc w:val="center"/>
              <w:rPr>
                <w:b/>
                <w:bCs/>
              </w:rPr>
            </w:pPr>
            <w:r w:rsidRPr="0077734A">
              <w:rPr>
                <w:b/>
                <w:bCs/>
              </w:rPr>
              <w:t xml:space="preserve">Investment Proposal B in Normal Case </w:t>
            </w:r>
          </w:p>
        </w:tc>
      </w:tr>
      <w:tr w:rsidR="00E8612F" w14:paraId="67949FDB" w14:textId="77777777" w:rsidTr="008A2EDE">
        <w:trPr>
          <w:trHeight w:val="312"/>
        </w:trPr>
        <w:tc>
          <w:tcPr>
            <w:tcW w:w="5000" w:type="pct"/>
            <w:gridSpan w:val="4"/>
            <w:tcBorders>
              <w:top w:val="single" w:sz="4" w:space="0" w:color="auto"/>
              <w:left w:val="single" w:sz="4" w:space="0" w:color="auto"/>
              <w:bottom w:val="single" w:sz="4" w:space="0" w:color="auto"/>
              <w:right w:val="single" w:sz="4" w:space="0" w:color="000000"/>
            </w:tcBorders>
            <w:shd w:val="clear" w:color="000000" w:fill="F8CBAD"/>
            <w:vAlign w:val="bottom"/>
            <w:hideMark/>
          </w:tcPr>
          <w:p w14:paraId="7A63F400" w14:textId="77777777" w:rsidR="008354E6" w:rsidRPr="0077734A" w:rsidRDefault="00000000" w:rsidP="008A2EDE">
            <w:pPr>
              <w:spacing w:line="240" w:lineRule="auto"/>
              <w:jc w:val="center"/>
              <w:rPr>
                <w:b/>
                <w:bCs/>
              </w:rPr>
            </w:pPr>
            <w:r w:rsidRPr="0077734A">
              <w:rPr>
                <w:b/>
                <w:bCs/>
              </w:rPr>
              <w:t xml:space="preserve">NPV. Payback, ARR, IRR Calculation </w:t>
            </w:r>
          </w:p>
        </w:tc>
      </w:tr>
      <w:tr w:rsidR="00E8612F" w14:paraId="595EB7E3" w14:textId="77777777" w:rsidTr="008A2EDE">
        <w:trPr>
          <w:trHeight w:val="936"/>
        </w:trPr>
        <w:tc>
          <w:tcPr>
            <w:tcW w:w="843" w:type="pct"/>
            <w:tcBorders>
              <w:top w:val="single" w:sz="4" w:space="0" w:color="auto"/>
              <w:left w:val="single" w:sz="4" w:space="0" w:color="auto"/>
              <w:bottom w:val="single" w:sz="4" w:space="0" w:color="auto"/>
              <w:right w:val="single" w:sz="4" w:space="0" w:color="auto"/>
            </w:tcBorders>
            <w:shd w:val="clear" w:color="000000" w:fill="8497B0"/>
            <w:vAlign w:val="bottom"/>
            <w:hideMark/>
          </w:tcPr>
          <w:p w14:paraId="4BC57823" w14:textId="77777777" w:rsidR="008354E6" w:rsidRPr="0077734A" w:rsidRDefault="00000000" w:rsidP="008A2EDE">
            <w:pPr>
              <w:spacing w:line="240" w:lineRule="auto"/>
              <w:jc w:val="left"/>
              <w:rPr>
                <w:b/>
                <w:bCs/>
              </w:rPr>
            </w:pPr>
            <w:r w:rsidRPr="0077734A">
              <w:rPr>
                <w:b/>
                <w:bCs/>
              </w:rPr>
              <w:t>Years</w:t>
            </w:r>
          </w:p>
        </w:tc>
        <w:tc>
          <w:tcPr>
            <w:tcW w:w="1148" w:type="pct"/>
            <w:tcBorders>
              <w:top w:val="single" w:sz="4" w:space="0" w:color="auto"/>
              <w:left w:val="nil"/>
              <w:bottom w:val="single" w:sz="4" w:space="0" w:color="auto"/>
              <w:right w:val="single" w:sz="4" w:space="0" w:color="auto"/>
            </w:tcBorders>
            <w:shd w:val="clear" w:color="000000" w:fill="8497B0"/>
            <w:vAlign w:val="bottom"/>
            <w:hideMark/>
          </w:tcPr>
          <w:p w14:paraId="719EBFE9" w14:textId="77777777" w:rsidR="008354E6" w:rsidRPr="0077734A" w:rsidRDefault="00000000" w:rsidP="008A2EDE">
            <w:pPr>
              <w:spacing w:line="240" w:lineRule="auto"/>
              <w:jc w:val="left"/>
              <w:rPr>
                <w:b/>
                <w:bCs/>
              </w:rPr>
            </w:pPr>
            <w:r w:rsidRPr="0077734A">
              <w:rPr>
                <w:b/>
                <w:bCs/>
              </w:rPr>
              <w:t xml:space="preserve">Cash Flows </w:t>
            </w:r>
          </w:p>
        </w:tc>
        <w:tc>
          <w:tcPr>
            <w:tcW w:w="1719" w:type="pct"/>
            <w:tcBorders>
              <w:top w:val="single" w:sz="4" w:space="0" w:color="auto"/>
              <w:left w:val="nil"/>
              <w:bottom w:val="single" w:sz="4" w:space="0" w:color="auto"/>
              <w:right w:val="single" w:sz="4" w:space="0" w:color="auto"/>
            </w:tcBorders>
            <w:shd w:val="clear" w:color="000000" w:fill="8497B0"/>
            <w:vAlign w:val="bottom"/>
            <w:hideMark/>
          </w:tcPr>
          <w:p w14:paraId="72354EBE" w14:textId="77777777" w:rsidR="008354E6" w:rsidRPr="0077734A" w:rsidRDefault="00000000" w:rsidP="008A2EDE">
            <w:pPr>
              <w:spacing w:line="240" w:lineRule="auto"/>
              <w:jc w:val="left"/>
              <w:rPr>
                <w:b/>
                <w:bCs/>
              </w:rPr>
            </w:pPr>
            <w:r w:rsidRPr="0077734A">
              <w:rPr>
                <w:b/>
                <w:bCs/>
              </w:rPr>
              <w:t>Discounting Factor @10%</w:t>
            </w:r>
          </w:p>
        </w:tc>
        <w:tc>
          <w:tcPr>
            <w:tcW w:w="1291" w:type="pct"/>
            <w:tcBorders>
              <w:top w:val="single" w:sz="4" w:space="0" w:color="auto"/>
              <w:left w:val="nil"/>
              <w:bottom w:val="single" w:sz="4" w:space="0" w:color="auto"/>
              <w:right w:val="single" w:sz="4" w:space="0" w:color="auto"/>
            </w:tcBorders>
            <w:shd w:val="clear" w:color="000000" w:fill="8497B0"/>
            <w:vAlign w:val="bottom"/>
            <w:hideMark/>
          </w:tcPr>
          <w:p w14:paraId="021ACE08" w14:textId="77777777" w:rsidR="008354E6" w:rsidRPr="0077734A" w:rsidRDefault="00000000" w:rsidP="008A2EDE">
            <w:pPr>
              <w:spacing w:line="240" w:lineRule="auto"/>
              <w:jc w:val="left"/>
              <w:rPr>
                <w:b/>
                <w:bCs/>
              </w:rPr>
            </w:pPr>
            <w:r w:rsidRPr="0077734A">
              <w:rPr>
                <w:b/>
                <w:bCs/>
              </w:rPr>
              <w:t>Discounted Cash Flows</w:t>
            </w:r>
          </w:p>
        </w:tc>
      </w:tr>
      <w:tr w:rsidR="00E8612F" w14:paraId="1590D399" w14:textId="77777777" w:rsidTr="008A2EDE">
        <w:trPr>
          <w:trHeight w:val="312"/>
        </w:trPr>
        <w:tc>
          <w:tcPr>
            <w:tcW w:w="843" w:type="pct"/>
            <w:tcBorders>
              <w:top w:val="nil"/>
              <w:left w:val="single" w:sz="4" w:space="0" w:color="auto"/>
              <w:bottom w:val="single" w:sz="4" w:space="0" w:color="auto"/>
              <w:right w:val="single" w:sz="4" w:space="0" w:color="auto"/>
            </w:tcBorders>
            <w:shd w:val="clear" w:color="000000" w:fill="FFFFFF"/>
            <w:vAlign w:val="bottom"/>
            <w:hideMark/>
          </w:tcPr>
          <w:p w14:paraId="21C1550A" w14:textId="77777777" w:rsidR="008354E6" w:rsidRPr="0077734A" w:rsidRDefault="00000000" w:rsidP="008A2EDE">
            <w:pPr>
              <w:spacing w:line="240" w:lineRule="auto"/>
              <w:jc w:val="right"/>
            </w:pPr>
            <w:r w:rsidRPr="0077734A">
              <w:t>0</w:t>
            </w:r>
          </w:p>
        </w:tc>
        <w:tc>
          <w:tcPr>
            <w:tcW w:w="1148" w:type="pct"/>
            <w:tcBorders>
              <w:top w:val="nil"/>
              <w:left w:val="nil"/>
              <w:bottom w:val="single" w:sz="4" w:space="0" w:color="auto"/>
              <w:right w:val="single" w:sz="4" w:space="0" w:color="auto"/>
            </w:tcBorders>
            <w:shd w:val="clear" w:color="000000" w:fill="FFFFFF"/>
            <w:vAlign w:val="bottom"/>
            <w:hideMark/>
          </w:tcPr>
          <w:p w14:paraId="10E81563" w14:textId="77777777" w:rsidR="008354E6" w:rsidRPr="0077734A" w:rsidRDefault="00000000" w:rsidP="008A2EDE">
            <w:pPr>
              <w:spacing w:line="240" w:lineRule="auto"/>
              <w:jc w:val="left"/>
            </w:pPr>
            <w:r w:rsidRPr="0077734A">
              <w:t xml:space="preserve">-£      1,000 </w:t>
            </w:r>
          </w:p>
        </w:tc>
        <w:tc>
          <w:tcPr>
            <w:tcW w:w="1719" w:type="pct"/>
            <w:tcBorders>
              <w:top w:val="nil"/>
              <w:left w:val="nil"/>
              <w:bottom w:val="single" w:sz="4" w:space="0" w:color="auto"/>
              <w:right w:val="single" w:sz="4" w:space="0" w:color="auto"/>
            </w:tcBorders>
            <w:shd w:val="clear" w:color="000000" w:fill="FFFFFF"/>
            <w:vAlign w:val="bottom"/>
            <w:hideMark/>
          </w:tcPr>
          <w:p w14:paraId="328925A5" w14:textId="77777777" w:rsidR="008354E6" w:rsidRPr="0077734A" w:rsidRDefault="00000000" w:rsidP="008A2EDE">
            <w:pPr>
              <w:spacing w:line="240" w:lineRule="auto"/>
              <w:jc w:val="right"/>
            </w:pPr>
            <w:r w:rsidRPr="0077734A">
              <w:t>1.00</w:t>
            </w:r>
          </w:p>
        </w:tc>
        <w:tc>
          <w:tcPr>
            <w:tcW w:w="1291" w:type="pct"/>
            <w:tcBorders>
              <w:top w:val="nil"/>
              <w:left w:val="nil"/>
              <w:bottom w:val="single" w:sz="4" w:space="0" w:color="auto"/>
              <w:right w:val="single" w:sz="4" w:space="0" w:color="auto"/>
            </w:tcBorders>
            <w:shd w:val="clear" w:color="000000" w:fill="FFFFFF"/>
            <w:vAlign w:val="bottom"/>
            <w:hideMark/>
          </w:tcPr>
          <w:p w14:paraId="52760B00" w14:textId="77777777" w:rsidR="008354E6" w:rsidRPr="0077734A" w:rsidRDefault="00000000" w:rsidP="008A2EDE">
            <w:pPr>
              <w:spacing w:line="240" w:lineRule="auto"/>
              <w:jc w:val="left"/>
            </w:pPr>
            <w:r w:rsidRPr="0077734A">
              <w:t xml:space="preserve">-£      1,000 </w:t>
            </w:r>
          </w:p>
        </w:tc>
      </w:tr>
      <w:tr w:rsidR="00E8612F" w14:paraId="4F24B67D" w14:textId="77777777" w:rsidTr="008A2EDE">
        <w:trPr>
          <w:trHeight w:val="312"/>
        </w:trPr>
        <w:tc>
          <w:tcPr>
            <w:tcW w:w="843" w:type="pct"/>
            <w:tcBorders>
              <w:top w:val="nil"/>
              <w:left w:val="single" w:sz="4" w:space="0" w:color="auto"/>
              <w:bottom w:val="single" w:sz="4" w:space="0" w:color="auto"/>
              <w:right w:val="single" w:sz="4" w:space="0" w:color="auto"/>
            </w:tcBorders>
            <w:shd w:val="clear" w:color="000000" w:fill="FFFFFF"/>
            <w:vAlign w:val="bottom"/>
            <w:hideMark/>
          </w:tcPr>
          <w:p w14:paraId="70124AD4" w14:textId="77777777" w:rsidR="008354E6" w:rsidRPr="0077734A" w:rsidRDefault="00000000" w:rsidP="008A2EDE">
            <w:pPr>
              <w:spacing w:line="240" w:lineRule="auto"/>
              <w:jc w:val="right"/>
            </w:pPr>
            <w:r w:rsidRPr="0077734A">
              <w:t>1</w:t>
            </w:r>
          </w:p>
        </w:tc>
        <w:tc>
          <w:tcPr>
            <w:tcW w:w="1148" w:type="pct"/>
            <w:tcBorders>
              <w:top w:val="nil"/>
              <w:left w:val="nil"/>
              <w:bottom w:val="single" w:sz="4" w:space="0" w:color="auto"/>
              <w:right w:val="single" w:sz="4" w:space="0" w:color="auto"/>
            </w:tcBorders>
            <w:shd w:val="clear" w:color="000000" w:fill="FFFFFF"/>
            <w:vAlign w:val="bottom"/>
            <w:hideMark/>
          </w:tcPr>
          <w:p w14:paraId="08CD9457" w14:textId="77777777" w:rsidR="008354E6" w:rsidRPr="0077734A" w:rsidRDefault="00000000" w:rsidP="008A2EDE">
            <w:pPr>
              <w:spacing w:line="240" w:lineRule="auto"/>
              <w:jc w:val="left"/>
            </w:pPr>
            <w:r w:rsidRPr="0077734A">
              <w:t xml:space="preserve"> £      1,500 </w:t>
            </w:r>
          </w:p>
        </w:tc>
        <w:tc>
          <w:tcPr>
            <w:tcW w:w="1719" w:type="pct"/>
            <w:tcBorders>
              <w:top w:val="nil"/>
              <w:left w:val="nil"/>
              <w:bottom w:val="single" w:sz="4" w:space="0" w:color="auto"/>
              <w:right w:val="single" w:sz="4" w:space="0" w:color="auto"/>
            </w:tcBorders>
            <w:shd w:val="clear" w:color="000000" w:fill="FFFFFF"/>
            <w:vAlign w:val="bottom"/>
            <w:hideMark/>
          </w:tcPr>
          <w:p w14:paraId="51C081AE" w14:textId="77777777" w:rsidR="008354E6" w:rsidRPr="0077734A" w:rsidRDefault="00000000" w:rsidP="008A2EDE">
            <w:pPr>
              <w:spacing w:line="240" w:lineRule="auto"/>
              <w:jc w:val="right"/>
            </w:pPr>
            <w:r w:rsidRPr="0077734A">
              <w:t>0.99</w:t>
            </w:r>
          </w:p>
        </w:tc>
        <w:tc>
          <w:tcPr>
            <w:tcW w:w="1291" w:type="pct"/>
            <w:tcBorders>
              <w:top w:val="nil"/>
              <w:left w:val="nil"/>
              <w:bottom w:val="single" w:sz="4" w:space="0" w:color="auto"/>
              <w:right w:val="single" w:sz="4" w:space="0" w:color="auto"/>
            </w:tcBorders>
            <w:shd w:val="clear" w:color="000000" w:fill="FFFFFF"/>
            <w:vAlign w:val="bottom"/>
            <w:hideMark/>
          </w:tcPr>
          <w:p w14:paraId="613BD344" w14:textId="77777777" w:rsidR="008354E6" w:rsidRPr="0077734A" w:rsidRDefault="00000000" w:rsidP="008A2EDE">
            <w:pPr>
              <w:spacing w:line="240" w:lineRule="auto"/>
              <w:jc w:val="left"/>
            </w:pPr>
            <w:r w:rsidRPr="0077734A">
              <w:t xml:space="preserve"> £      1,489 </w:t>
            </w:r>
          </w:p>
        </w:tc>
      </w:tr>
      <w:tr w:rsidR="00E8612F" w14:paraId="368DA684" w14:textId="77777777" w:rsidTr="008A2EDE">
        <w:trPr>
          <w:trHeight w:val="312"/>
        </w:trPr>
        <w:tc>
          <w:tcPr>
            <w:tcW w:w="843" w:type="pct"/>
            <w:tcBorders>
              <w:top w:val="nil"/>
              <w:left w:val="single" w:sz="4" w:space="0" w:color="auto"/>
              <w:bottom w:val="single" w:sz="4" w:space="0" w:color="auto"/>
              <w:right w:val="single" w:sz="4" w:space="0" w:color="auto"/>
            </w:tcBorders>
            <w:shd w:val="clear" w:color="000000" w:fill="FFFFFF"/>
            <w:vAlign w:val="bottom"/>
            <w:hideMark/>
          </w:tcPr>
          <w:p w14:paraId="4E79AAA2" w14:textId="77777777" w:rsidR="008354E6" w:rsidRPr="0077734A" w:rsidRDefault="00000000" w:rsidP="008A2EDE">
            <w:pPr>
              <w:spacing w:line="240" w:lineRule="auto"/>
              <w:jc w:val="right"/>
            </w:pPr>
            <w:r w:rsidRPr="0077734A">
              <w:t>2</w:t>
            </w:r>
          </w:p>
        </w:tc>
        <w:tc>
          <w:tcPr>
            <w:tcW w:w="1148" w:type="pct"/>
            <w:tcBorders>
              <w:top w:val="nil"/>
              <w:left w:val="nil"/>
              <w:bottom w:val="single" w:sz="4" w:space="0" w:color="auto"/>
              <w:right w:val="single" w:sz="4" w:space="0" w:color="auto"/>
            </w:tcBorders>
            <w:shd w:val="clear" w:color="000000" w:fill="FFFFFF"/>
            <w:vAlign w:val="bottom"/>
            <w:hideMark/>
          </w:tcPr>
          <w:p w14:paraId="2C93DECC" w14:textId="77777777" w:rsidR="008354E6" w:rsidRPr="0077734A" w:rsidRDefault="00000000" w:rsidP="008A2EDE">
            <w:pPr>
              <w:spacing w:line="240" w:lineRule="auto"/>
              <w:jc w:val="left"/>
            </w:pPr>
            <w:r w:rsidRPr="0077734A">
              <w:t xml:space="preserve"> £      1,000 </w:t>
            </w:r>
          </w:p>
        </w:tc>
        <w:tc>
          <w:tcPr>
            <w:tcW w:w="1719" w:type="pct"/>
            <w:tcBorders>
              <w:top w:val="nil"/>
              <w:left w:val="nil"/>
              <w:bottom w:val="single" w:sz="4" w:space="0" w:color="auto"/>
              <w:right w:val="single" w:sz="4" w:space="0" w:color="auto"/>
            </w:tcBorders>
            <w:shd w:val="clear" w:color="000000" w:fill="FFFFFF"/>
            <w:vAlign w:val="bottom"/>
            <w:hideMark/>
          </w:tcPr>
          <w:p w14:paraId="3FD6F8B3" w14:textId="77777777" w:rsidR="008354E6" w:rsidRPr="0077734A" w:rsidRDefault="00000000" w:rsidP="008A2EDE">
            <w:pPr>
              <w:spacing w:line="240" w:lineRule="auto"/>
              <w:jc w:val="right"/>
            </w:pPr>
            <w:r w:rsidRPr="0077734A">
              <w:t>0.99</w:t>
            </w:r>
          </w:p>
        </w:tc>
        <w:tc>
          <w:tcPr>
            <w:tcW w:w="1291" w:type="pct"/>
            <w:tcBorders>
              <w:top w:val="nil"/>
              <w:left w:val="nil"/>
              <w:bottom w:val="single" w:sz="4" w:space="0" w:color="auto"/>
              <w:right w:val="single" w:sz="4" w:space="0" w:color="auto"/>
            </w:tcBorders>
            <w:shd w:val="clear" w:color="000000" w:fill="FFFFFF"/>
            <w:vAlign w:val="bottom"/>
            <w:hideMark/>
          </w:tcPr>
          <w:p w14:paraId="350FB488" w14:textId="77777777" w:rsidR="008354E6" w:rsidRPr="0077734A" w:rsidRDefault="00000000" w:rsidP="008A2EDE">
            <w:pPr>
              <w:spacing w:line="240" w:lineRule="auto"/>
              <w:jc w:val="left"/>
            </w:pPr>
            <w:r w:rsidRPr="0077734A">
              <w:t xml:space="preserve"> £         985 </w:t>
            </w:r>
          </w:p>
        </w:tc>
      </w:tr>
      <w:tr w:rsidR="00E8612F" w14:paraId="6688D409" w14:textId="77777777" w:rsidTr="008A2EDE">
        <w:trPr>
          <w:trHeight w:val="312"/>
        </w:trPr>
        <w:tc>
          <w:tcPr>
            <w:tcW w:w="843" w:type="pct"/>
            <w:tcBorders>
              <w:top w:val="nil"/>
              <w:left w:val="single" w:sz="4" w:space="0" w:color="auto"/>
              <w:bottom w:val="single" w:sz="4" w:space="0" w:color="auto"/>
              <w:right w:val="single" w:sz="4" w:space="0" w:color="auto"/>
            </w:tcBorders>
            <w:shd w:val="clear" w:color="000000" w:fill="FFFFFF"/>
            <w:vAlign w:val="bottom"/>
            <w:hideMark/>
          </w:tcPr>
          <w:p w14:paraId="7339D903" w14:textId="77777777" w:rsidR="008354E6" w:rsidRPr="0077734A" w:rsidRDefault="00000000" w:rsidP="008A2EDE">
            <w:pPr>
              <w:spacing w:line="240" w:lineRule="auto"/>
              <w:jc w:val="right"/>
            </w:pPr>
            <w:r w:rsidRPr="0077734A">
              <w:t>3</w:t>
            </w:r>
          </w:p>
        </w:tc>
        <w:tc>
          <w:tcPr>
            <w:tcW w:w="1148" w:type="pct"/>
            <w:tcBorders>
              <w:top w:val="nil"/>
              <w:left w:val="nil"/>
              <w:bottom w:val="single" w:sz="4" w:space="0" w:color="auto"/>
              <w:right w:val="single" w:sz="4" w:space="0" w:color="auto"/>
            </w:tcBorders>
            <w:shd w:val="clear" w:color="000000" w:fill="FFFFFF"/>
            <w:vAlign w:val="bottom"/>
            <w:hideMark/>
          </w:tcPr>
          <w:p w14:paraId="0D4737BD" w14:textId="77777777" w:rsidR="008354E6" w:rsidRPr="0077734A" w:rsidRDefault="00000000" w:rsidP="008A2EDE">
            <w:pPr>
              <w:spacing w:line="240" w:lineRule="auto"/>
              <w:jc w:val="left"/>
            </w:pPr>
            <w:r w:rsidRPr="0077734A">
              <w:t xml:space="preserve"> £      1,000 </w:t>
            </w:r>
          </w:p>
        </w:tc>
        <w:tc>
          <w:tcPr>
            <w:tcW w:w="1719" w:type="pct"/>
            <w:tcBorders>
              <w:top w:val="nil"/>
              <w:left w:val="nil"/>
              <w:bottom w:val="single" w:sz="4" w:space="0" w:color="auto"/>
              <w:right w:val="single" w:sz="4" w:space="0" w:color="auto"/>
            </w:tcBorders>
            <w:shd w:val="clear" w:color="000000" w:fill="FFFFFF"/>
            <w:vAlign w:val="bottom"/>
            <w:hideMark/>
          </w:tcPr>
          <w:p w14:paraId="0031F3A7" w14:textId="77777777" w:rsidR="008354E6" w:rsidRPr="0077734A" w:rsidRDefault="00000000" w:rsidP="008A2EDE">
            <w:pPr>
              <w:spacing w:line="240" w:lineRule="auto"/>
              <w:jc w:val="right"/>
            </w:pPr>
            <w:r w:rsidRPr="0077734A">
              <w:t>0.98</w:t>
            </w:r>
          </w:p>
        </w:tc>
        <w:tc>
          <w:tcPr>
            <w:tcW w:w="1291" w:type="pct"/>
            <w:tcBorders>
              <w:top w:val="nil"/>
              <w:left w:val="nil"/>
              <w:bottom w:val="single" w:sz="4" w:space="0" w:color="auto"/>
              <w:right w:val="single" w:sz="4" w:space="0" w:color="auto"/>
            </w:tcBorders>
            <w:shd w:val="clear" w:color="000000" w:fill="FFFFFF"/>
            <w:vAlign w:val="bottom"/>
            <w:hideMark/>
          </w:tcPr>
          <w:p w14:paraId="175D04AB" w14:textId="77777777" w:rsidR="008354E6" w:rsidRPr="0077734A" w:rsidRDefault="00000000" w:rsidP="008A2EDE">
            <w:pPr>
              <w:spacing w:line="240" w:lineRule="auto"/>
              <w:jc w:val="left"/>
            </w:pPr>
            <w:r w:rsidRPr="0077734A">
              <w:t xml:space="preserve"> £         978 </w:t>
            </w:r>
          </w:p>
        </w:tc>
      </w:tr>
      <w:tr w:rsidR="00E8612F" w14:paraId="09AAE12D" w14:textId="77777777" w:rsidTr="008A2EDE">
        <w:trPr>
          <w:trHeight w:val="312"/>
        </w:trPr>
        <w:tc>
          <w:tcPr>
            <w:tcW w:w="843" w:type="pct"/>
            <w:tcBorders>
              <w:top w:val="nil"/>
              <w:left w:val="single" w:sz="4" w:space="0" w:color="auto"/>
              <w:bottom w:val="single" w:sz="4" w:space="0" w:color="auto"/>
              <w:right w:val="single" w:sz="4" w:space="0" w:color="auto"/>
            </w:tcBorders>
            <w:shd w:val="clear" w:color="000000" w:fill="FFFFFF"/>
            <w:vAlign w:val="bottom"/>
            <w:hideMark/>
          </w:tcPr>
          <w:p w14:paraId="2A3B4328" w14:textId="77777777" w:rsidR="008354E6" w:rsidRPr="0077734A" w:rsidRDefault="00000000" w:rsidP="008A2EDE">
            <w:pPr>
              <w:spacing w:line="240" w:lineRule="auto"/>
              <w:jc w:val="right"/>
            </w:pPr>
            <w:r w:rsidRPr="0077734A">
              <w:t>4</w:t>
            </w:r>
          </w:p>
        </w:tc>
        <w:tc>
          <w:tcPr>
            <w:tcW w:w="1148" w:type="pct"/>
            <w:tcBorders>
              <w:top w:val="nil"/>
              <w:left w:val="nil"/>
              <w:bottom w:val="single" w:sz="4" w:space="0" w:color="auto"/>
              <w:right w:val="single" w:sz="4" w:space="0" w:color="auto"/>
            </w:tcBorders>
            <w:shd w:val="clear" w:color="000000" w:fill="FFFFFF"/>
            <w:vAlign w:val="bottom"/>
            <w:hideMark/>
          </w:tcPr>
          <w:p w14:paraId="3E8C1213" w14:textId="77777777" w:rsidR="008354E6" w:rsidRPr="0077734A" w:rsidRDefault="00000000" w:rsidP="008A2EDE">
            <w:pPr>
              <w:spacing w:line="240" w:lineRule="auto"/>
              <w:jc w:val="left"/>
            </w:pPr>
            <w:r w:rsidRPr="0077734A">
              <w:t xml:space="preserve">-£         470 </w:t>
            </w:r>
          </w:p>
        </w:tc>
        <w:tc>
          <w:tcPr>
            <w:tcW w:w="1719" w:type="pct"/>
            <w:tcBorders>
              <w:top w:val="nil"/>
              <w:left w:val="nil"/>
              <w:bottom w:val="single" w:sz="4" w:space="0" w:color="auto"/>
              <w:right w:val="single" w:sz="4" w:space="0" w:color="auto"/>
            </w:tcBorders>
            <w:shd w:val="clear" w:color="000000" w:fill="FFFFFF"/>
            <w:vAlign w:val="bottom"/>
            <w:hideMark/>
          </w:tcPr>
          <w:p w14:paraId="1E9E33C1" w14:textId="77777777" w:rsidR="008354E6" w:rsidRPr="0077734A" w:rsidRDefault="00000000" w:rsidP="008A2EDE">
            <w:pPr>
              <w:spacing w:line="240" w:lineRule="auto"/>
              <w:jc w:val="right"/>
            </w:pPr>
            <w:r w:rsidRPr="0077734A">
              <w:t>0.97</w:t>
            </w:r>
          </w:p>
        </w:tc>
        <w:tc>
          <w:tcPr>
            <w:tcW w:w="1291" w:type="pct"/>
            <w:tcBorders>
              <w:top w:val="nil"/>
              <w:left w:val="nil"/>
              <w:bottom w:val="single" w:sz="4" w:space="0" w:color="auto"/>
              <w:right w:val="single" w:sz="4" w:space="0" w:color="auto"/>
            </w:tcBorders>
            <w:shd w:val="clear" w:color="000000" w:fill="FFFFFF"/>
            <w:vAlign w:val="bottom"/>
            <w:hideMark/>
          </w:tcPr>
          <w:p w14:paraId="36342637" w14:textId="77777777" w:rsidR="008354E6" w:rsidRPr="0077734A" w:rsidRDefault="00000000" w:rsidP="008A2EDE">
            <w:pPr>
              <w:spacing w:line="240" w:lineRule="auto"/>
              <w:jc w:val="left"/>
            </w:pPr>
            <w:r w:rsidRPr="0077734A">
              <w:t xml:space="preserve">-£         456 </w:t>
            </w:r>
          </w:p>
        </w:tc>
      </w:tr>
      <w:tr w:rsidR="00E8612F" w14:paraId="01AA5C36" w14:textId="77777777" w:rsidTr="008A2EDE">
        <w:trPr>
          <w:trHeight w:val="324"/>
        </w:trPr>
        <w:tc>
          <w:tcPr>
            <w:tcW w:w="3709"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7B8D42FA" w14:textId="77777777" w:rsidR="008354E6" w:rsidRPr="0077734A" w:rsidRDefault="00000000" w:rsidP="008A2EDE">
            <w:pPr>
              <w:spacing w:line="240" w:lineRule="auto"/>
              <w:jc w:val="center"/>
            </w:pPr>
            <w:r w:rsidRPr="0077734A">
              <w:t>Costs of Capital</w:t>
            </w:r>
          </w:p>
        </w:tc>
        <w:tc>
          <w:tcPr>
            <w:tcW w:w="1291" w:type="pct"/>
            <w:tcBorders>
              <w:top w:val="nil"/>
              <w:left w:val="single" w:sz="4" w:space="0" w:color="auto"/>
              <w:bottom w:val="single" w:sz="4" w:space="0" w:color="auto"/>
              <w:right w:val="single" w:sz="4" w:space="0" w:color="auto"/>
            </w:tcBorders>
            <w:shd w:val="clear" w:color="000000" w:fill="FFE699"/>
            <w:vAlign w:val="bottom"/>
            <w:hideMark/>
          </w:tcPr>
          <w:p w14:paraId="754F6388" w14:textId="77777777" w:rsidR="008354E6" w:rsidRPr="0077734A" w:rsidRDefault="00000000" w:rsidP="008A2EDE">
            <w:pPr>
              <w:spacing w:line="240" w:lineRule="auto"/>
              <w:jc w:val="right"/>
              <w:rPr>
                <w:b/>
                <w:bCs/>
                <w:i/>
                <w:iCs/>
              </w:rPr>
            </w:pPr>
            <w:r w:rsidRPr="0077734A">
              <w:rPr>
                <w:b/>
                <w:bCs/>
                <w:i/>
                <w:iCs/>
              </w:rPr>
              <w:t>0.75%</w:t>
            </w:r>
          </w:p>
        </w:tc>
      </w:tr>
      <w:tr w:rsidR="00E8612F" w14:paraId="58E455CF" w14:textId="77777777" w:rsidTr="008A2EDE">
        <w:trPr>
          <w:trHeight w:val="324"/>
        </w:trPr>
        <w:tc>
          <w:tcPr>
            <w:tcW w:w="3709"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7FA02435" w14:textId="77777777" w:rsidR="008354E6" w:rsidRPr="0077734A" w:rsidRDefault="00000000" w:rsidP="008A2EDE">
            <w:pPr>
              <w:spacing w:line="240" w:lineRule="auto"/>
              <w:jc w:val="center"/>
              <w:rPr>
                <w:b/>
                <w:bCs/>
              </w:rPr>
            </w:pPr>
            <w:r w:rsidRPr="0077734A">
              <w:rPr>
                <w:b/>
                <w:bCs/>
              </w:rPr>
              <w:t>Payback (Years)</w:t>
            </w:r>
          </w:p>
        </w:tc>
        <w:tc>
          <w:tcPr>
            <w:tcW w:w="1291" w:type="pct"/>
            <w:tcBorders>
              <w:top w:val="nil"/>
              <w:left w:val="single" w:sz="4" w:space="0" w:color="auto"/>
              <w:bottom w:val="single" w:sz="4" w:space="0" w:color="auto"/>
              <w:right w:val="single" w:sz="4" w:space="0" w:color="auto"/>
            </w:tcBorders>
            <w:shd w:val="clear" w:color="000000" w:fill="FFE699"/>
            <w:vAlign w:val="bottom"/>
            <w:hideMark/>
          </w:tcPr>
          <w:p w14:paraId="3D9A05FB" w14:textId="77777777" w:rsidR="008354E6" w:rsidRPr="0077734A" w:rsidRDefault="00000000" w:rsidP="008A2EDE">
            <w:pPr>
              <w:spacing w:line="240" w:lineRule="auto"/>
              <w:jc w:val="right"/>
              <w:rPr>
                <w:b/>
                <w:bCs/>
                <w:i/>
                <w:iCs/>
              </w:rPr>
            </w:pPr>
            <w:r w:rsidRPr="0077734A">
              <w:rPr>
                <w:b/>
                <w:bCs/>
                <w:i/>
                <w:iCs/>
              </w:rPr>
              <w:t>0.7</w:t>
            </w:r>
          </w:p>
        </w:tc>
      </w:tr>
      <w:tr w:rsidR="00E8612F" w14:paraId="6EB2F906" w14:textId="77777777" w:rsidTr="008A2EDE">
        <w:trPr>
          <w:trHeight w:val="324"/>
        </w:trPr>
        <w:tc>
          <w:tcPr>
            <w:tcW w:w="3709"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4ABCC80E" w14:textId="77777777" w:rsidR="008354E6" w:rsidRPr="0077734A" w:rsidRDefault="00000000" w:rsidP="008A2EDE">
            <w:pPr>
              <w:spacing w:line="240" w:lineRule="auto"/>
              <w:jc w:val="center"/>
              <w:rPr>
                <w:b/>
                <w:bCs/>
              </w:rPr>
            </w:pPr>
            <w:r w:rsidRPr="0077734A">
              <w:rPr>
                <w:b/>
                <w:bCs/>
              </w:rPr>
              <w:t>Net Present Value</w:t>
            </w:r>
          </w:p>
        </w:tc>
        <w:tc>
          <w:tcPr>
            <w:tcW w:w="1291" w:type="pct"/>
            <w:tcBorders>
              <w:top w:val="nil"/>
              <w:left w:val="single" w:sz="4" w:space="0" w:color="auto"/>
              <w:bottom w:val="single" w:sz="4" w:space="0" w:color="auto"/>
              <w:right w:val="single" w:sz="4" w:space="0" w:color="auto"/>
            </w:tcBorders>
            <w:shd w:val="clear" w:color="000000" w:fill="FFE699"/>
            <w:vAlign w:val="bottom"/>
            <w:hideMark/>
          </w:tcPr>
          <w:p w14:paraId="4753A377" w14:textId="77777777" w:rsidR="008354E6" w:rsidRPr="0077734A" w:rsidRDefault="00000000" w:rsidP="008A2EDE">
            <w:pPr>
              <w:spacing w:line="240" w:lineRule="auto"/>
              <w:jc w:val="left"/>
              <w:rPr>
                <w:b/>
                <w:bCs/>
                <w:i/>
                <w:iCs/>
              </w:rPr>
            </w:pPr>
            <w:r w:rsidRPr="0077734A">
              <w:rPr>
                <w:b/>
                <w:bCs/>
                <w:i/>
                <w:iCs/>
              </w:rPr>
              <w:t xml:space="preserve"> £ 1,995.67 </w:t>
            </w:r>
          </w:p>
        </w:tc>
      </w:tr>
      <w:tr w:rsidR="00E8612F" w14:paraId="7EADED1E" w14:textId="77777777" w:rsidTr="008A2EDE">
        <w:trPr>
          <w:trHeight w:val="324"/>
        </w:trPr>
        <w:tc>
          <w:tcPr>
            <w:tcW w:w="3709"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6308517D" w14:textId="77777777" w:rsidR="008354E6" w:rsidRPr="0077734A" w:rsidRDefault="00000000" w:rsidP="008A2EDE">
            <w:pPr>
              <w:spacing w:line="240" w:lineRule="auto"/>
              <w:jc w:val="center"/>
              <w:rPr>
                <w:b/>
                <w:bCs/>
              </w:rPr>
            </w:pPr>
            <w:r w:rsidRPr="0077734A">
              <w:rPr>
                <w:b/>
                <w:bCs/>
              </w:rPr>
              <w:lastRenderedPageBreak/>
              <w:t>ARR</w:t>
            </w:r>
          </w:p>
        </w:tc>
        <w:tc>
          <w:tcPr>
            <w:tcW w:w="1291" w:type="pct"/>
            <w:tcBorders>
              <w:top w:val="nil"/>
              <w:left w:val="single" w:sz="4" w:space="0" w:color="auto"/>
              <w:bottom w:val="single" w:sz="4" w:space="0" w:color="auto"/>
              <w:right w:val="single" w:sz="4" w:space="0" w:color="auto"/>
            </w:tcBorders>
            <w:shd w:val="clear" w:color="000000" w:fill="FFE699"/>
            <w:vAlign w:val="bottom"/>
            <w:hideMark/>
          </w:tcPr>
          <w:p w14:paraId="512B216B" w14:textId="77777777" w:rsidR="008354E6" w:rsidRPr="0077734A" w:rsidRDefault="00000000" w:rsidP="008A2EDE">
            <w:pPr>
              <w:spacing w:line="240" w:lineRule="auto"/>
              <w:jc w:val="right"/>
              <w:rPr>
                <w:b/>
                <w:bCs/>
                <w:i/>
                <w:iCs/>
              </w:rPr>
            </w:pPr>
            <w:r w:rsidRPr="0077734A">
              <w:rPr>
                <w:b/>
                <w:bCs/>
                <w:i/>
                <w:iCs/>
              </w:rPr>
              <w:t>203.00%</w:t>
            </w:r>
          </w:p>
        </w:tc>
      </w:tr>
    </w:tbl>
    <w:p w14:paraId="716EA3A3" w14:textId="77777777" w:rsidR="008354E6" w:rsidRDefault="00000000" w:rsidP="008354E6">
      <w:r>
        <w:br w:type="page"/>
      </w:r>
    </w:p>
    <w:p w14:paraId="3C889B47" w14:textId="77777777" w:rsidR="008354E6" w:rsidRPr="00394A62" w:rsidRDefault="00000000" w:rsidP="008354E6">
      <w:pPr>
        <w:pStyle w:val="Heading2"/>
      </w:pPr>
      <w:bookmarkStart w:id="38" w:name="_Toc163226718"/>
      <w:bookmarkStart w:id="39" w:name="_Toc163230870"/>
      <w:r>
        <w:lastRenderedPageBreak/>
        <w:t xml:space="preserve">Appendix 3: </w:t>
      </w:r>
      <w:r w:rsidRPr="007D2D79">
        <w:t>Investment Proposal</w:t>
      </w:r>
      <w:r>
        <w:t xml:space="preserve">s </w:t>
      </w:r>
      <w:r w:rsidRPr="007D2D79">
        <w:t>in Assumption case</w:t>
      </w:r>
      <w:bookmarkEnd w:id="38"/>
      <w:bookmarkEnd w:id="39"/>
    </w:p>
    <w:tbl>
      <w:tblPr>
        <w:tblW w:w="5000" w:type="pct"/>
        <w:tblLook w:val="04A0" w:firstRow="1" w:lastRow="0" w:firstColumn="1" w:lastColumn="0" w:noHBand="0" w:noVBand="1"/>
      </w:tblPr>
      <w:tblGrid>
        <w:gridCol w:w="2141"/>
        <w:gridCol w:w="1984"/>
        <w:gridCol w:w="2392"/>
        <w:gridCol w:w="2833"/>
      </w:tblGrid>
      <w:tr w:rsidR="00E8612F" w14:paraId="73CA0D18" w14:textId="77777777" w:rsidTr="008A2EDE">
        <w:trPr>
          <w:trHeight w:val="312"/>
        </w:trPr>
        <w:tc>
          <w:tcPr>
            <w:tcW w:w="5000" w:type="pct"/>
            <w:gridSpan w:val="4"/>
            <w:tcBorders>
              <w:top w:val="single" w:sz="4" w:space="0" w:color="auto"/>
              <w:left w:val="single" w:sz="4" w:space="0" w:color="auto"/>
              <w:bottom w:val="single" w:sz="4" w:space="0" w:color="auto"/>
              <w:right w:val="single" w:sz="4" w:space="0" w:color="000000"/>
            </w:tcBorders>
            <w:shd w:val="clear" w:color="000000" w:fill="FFFF00"/>
            <w:vAlign w:val="bottom"/>
            <w:hideMark/>
          </w:tcPr>
          <w:p w14:paraId="5FB9BE65" w14:textId="77777777" w:rsidR="008354E6" w:rsidRPr="007D2D79" w:rsidRDefault="00000000" w:rsidP="008A2EDE">
            <w:pPr>
              <w:spacing w:line="240" w:lineRule="auto"/>
              <w:jc w:val="center"/>
              <w:rPr>
                <w:b/>
                <w:bCs/>
              </w:rPr>
            </w:pPr>
            <w:r w:rsidRPr="007D2D79">
              <w:rPr>
                <w:b/>
                <w:bCs/>
              </w:rPr>
              <w:t xml:space="preserve">Investment Proposal A in Assumption case </w:t>
            </w:r>
          </w:p>
        </w:tc>
      </w:tr>
      <w:tr w:rsidR="00E8612F" w14:paraId="2B8F4451" w14:textId="77777777" w:rsidTr="008A2EDE">
        <w:trPr>
          <w:trHeight w:val="312"/>
        </w:trPr>
        <w:tc>
          <w:tcPr>
            <w:tcW w:w="5000" w:type="pct"/>
            <w:gridSpan w:val="4"/>
            <w:tcBorders>
              <w:top w:val="single" w:sz="4" w:space="0" w:color="auto"/>
              <w:left w:val="single" w:sz="4" w:space="0" w:color="auto"/>
              <w:bottom w:val="single" w:sz="4" w:space="0" w:color="auto"/>
              <w:right w:val="single" w:sz="4" w:space="0" w:color="000000"/>
            </w:tcBorders>
            <w:shd w:val="clear" w:color="000000" w:fill="F8CBAD"/>
            <w:vAlign w:val="bottom"/>
            <w:hideMark/>
          </w:tcPr>
          <w:p w14:paraId="29653AD8" w14:textId="77777777" w:rsidR="008354E6" w:rsidRPr="007D2D79" w:rsidRDefault="00000000" w:rsidP="008A2EDE">
            <w:pPr>
              <w:spacing w:line="240" w:lineRule="auto"/>
              <w:jc w:val="center"/>
              <w:rPr>
                <w:b/>
                <w:bCs/>
              </w:rPr>
            </w:pPr>
            <w:r w:rsidRPr="007D2D79">
              <w:rPr>
                <w:b/>
                <w:bCs/>
              </w:rPr>
              <w:t xml:space="preserve">NPV. Payback, ARR, IRR Calculation </w:t>
            </w:r>
          </w:p>
        </w:tc>
      </w:tr>
      <w:tr w:rsidR="00E8612F" w14:paraId="5C52DBA0" w14:textId="77777777" w:rsidTr="008A2EDE">
        <w:trPr>
          <w:trHeight w:val="936"/>
        </w:trPr>
        <w:tc>
          <w:tcPr>
            <w:tcW w:w="1145" w:type="pct"/>
            <w:tcBorders>
              <w:top w:val="single" w:sz="4" w:space="0" w:color="auto"/>
              <w:left w:val="single" w:sz="4" w:space="0" w:color="auto"/>
              <w:bottom w:val="single" w:sz="4" w:space="0" w:color="auto"/>
              <w:right w:val="single" w:sz="4" w:space="0" w:color="auto"/>
            </w:tcBorders>
            <w:shd w:val="clear" w:color="000000" w:fill="8497B0"/>
            <w:vAlign w:val="bottom"/>
            <w:hideMark/>
          </w:tcPr>
          <w:p w14:paraId="323C94B8" w14:textId="77777777" w:rsidR="008354E6" w:rsidRPr="007D2D79" w:rsidRDefault="00000000" w:rsidP="008A2EDE">
            <w:pPr>
              <w:spacing w:line="240" w:lineRule="auto"/>
              <w:jc w:val="left"/>
              <w:rPr>
                <w:b/>
                <w:bCs/>
              </w:rPr>
            </w:pPr>
            <w:r w:rsidRPr="007D2D79">
              <w:rPr>
                <w:b/>
                <w:bCs/>
              </w:rPr>
              <w:t>Years</w:t>
            </w:r>
          </w:p>
        </w:tc>
        <w:tc>
          <w:tcPr>
            <w:tcW w:w="1061" w:type="pct"/>
            <w:tcBorders>
              <w:top w:val="single" w:sz="4" w:space="0" w:color="auto"/>
              <w:left w:val="nil"/>
              <w:bottom w:val="single" w:sz="4" w:space="0" w:color="auto"/>
              <w:right w:val="single" w:sz="4" w:space="0" w:color="auto"/>
            </w:tcBorders>
            <w:shd w:val="clear" w:color="000000" w:fill="8497B0"/>
            <w:vAlign w:val="bottom"/>
            <w:hideMark/>
          </w:tcPr>
          <w:p w14:paraId="592220A6" w14:textId="77777777" w:rsidR="008354E6" w:rsidRPr="007D2D79" w:rsidRDefault="00000000" w:rsidP="008A2EDE">
            <w:pPr>
              <w:spacing w:line="240" w:lineRule="auto"/>
              <w:jc w:val="left"/>
              <w:rPr>
                <w:b/>
                <w:bCs/>
              </w:rPr>
            </w:pPr>
            <w:r w:rsidRPr="007D2D79">
              <w:rPr>
                <w:b/>
                <w:bCs/>
              </w:rPr>
              <w:t xml:space="preserve">Cash Flows </w:t>
            </w:r>
          </w:p>
        </w:tc>
        <w:tc>
          <w:tcPr>
            <w:tcW w:w="1279" w:type="pct"/>
            <w:tcBorders>
              <w:top w:val="single" w:sz="4" w:space="0" w:color="auto"/>
              <w:left w:val="nil"/>
              <w:bottom w:val="single" w:sz="4" w:space="0" w:color="auto"/>
              <w:right w:val="single" w:sz="4" w:space="0" w:color="auto"/>
            </w:tcBorders>
            <w:shd w:val="clear" w:color="000000" w:fill="8497B0"/>
            <w:vAlign w:val="bottom"/>
            <w:hideMark/>
          </w:tcPr>
          <w:p w14:paraId="0D4B56ED" w14:textId="77777777" w:rsidR="008354E6" w:rsidRPr="007D2D79" w:rsidRDefault="00000000" w:rsidP="008A2EDE">
            <w:pPr>
              <w:spacing w:line="240" w:lineRule="auto"/>
              <w:jc w:val="left"/>
              <w:rPr>
                <w:b/>
                <w:bCs/>
              </w:rPr>
            </w:pPr>
            <w:r w:rsidRPr="007D2D79">
              <w:rPr>
                <w:b/>
                <w:bCs/>
              </w:rPr>
              <w:t>Discounting Factor @10%</w:t>
            </w:r>
          </w:p>
        </w:tc>
        <w:tc>
          <w:tcPr>
            <w:tcW w:w="1515" w:type="pct"/>
            <w:tcBorders>
              <w:top w:val="single" w:sz="4" w:space="0" w:color="auto"/>
              <w:left w:val="nil"/>
              <w:bottom w:val="single" w:sz="4" w:space="0" w:color="auto"/>
              <w:right w:val="single" w:sz="4" w:space="0" w:color="auto"/>
            </w:tcBorders>
            <w:shd w:val="clear" w:color="000000" w:fill="8497B0"/>
            <w:vAlign w:val="bottom"/>
            <w:hideMark/>
          </w:tcPr>
          <w:p w14:paraId="1E5274AD" w14:textId="77777777" w:rsidR="008354E6" w:rsidRPr="007D2D79" w:rsidRDefault="00000000" w:rsidP="008A2EDE">
            <w:pPr>
              <w:spacing w:line="240" w:lineRule="auto"/>
              <w:jc w:val="left"/>
              <w:rPr>
                <w:b/>
                <w:bCs/>
              </w:rPr>
            </w:pPr>
            <w:r w:rsidRPr="007D2D79">
              <w:rPr>
                <w:b/>
                <w:bCs/>
              </w:rPr>
              <w:t>Discounted Cash Flows</w:t>
            </w:r>
          </w:p>
        </w:tc>
      </w:tr>
      <w:tr w:rsidR="00E8612F" w14:paraId="15D0D1A0" w14:textId="77777777" w:rsidTr="008A2EDE">
        <w:trPr>
          <w:trHeight w:val="312"/>
        </w:trPr>
        <w:tc>
          <w:tcPr>
            <w:tcW w:w="1145" w:type="pct"/>
            <w:tcBorders>
              <w:top w:val="nil"/>
              <w:left w:val="single" w:sz="4" w:space="0" w:color="auto"/>
              <w:bottom w:val="single" w:sz="4" w:space="0" w:color="auto"/>
              <w:right w:val="single" w:sz="4" w:space="0" w:color="auto"/>
            </w:tcBorders>
            <w:shd w:val="clear" w:color="000000" w:fill="FFFFFF"/>
            <w:vAlign w:val="bottom"/>
            <w:hideMark/>
          </w:tcPr>
          <w:p w14:paraId="71C06D9A" w14:textId="77777777" w:rsidR="008354E6" w:rsidRPr="007D2D79" w:rsidRDefault="00000000" w:rsidP="008A2EDE">
            <w:pPr>
              <w:spacing w:line="240" w:lineRule="auto"/>
              <w:jc w:val="right"/>
            </w:pPr>
            <w:r w:rsidRPr="007D2D79">
              <w:t>0</w:t>
            </w:r>
          </w:p>
        </w:tc>
        <w:tc>
          <w:tcPr>
            <w:tcW w:w="1061" w:type="pct"/>
            <w:tcBorders>
              <w:top w:val="nil"/>
              <w:left w:val="nil"/>
              <w:bottom w:val="single" w:sz="4" w:space="0" w:color="auto"/>
              <w:right w:val="single" w:sz="4" w:space="0" w:color="auto"/>
            </w:tcBorders>
            <w:shd w:val="clear" w:color="000000" w:fill="FFFFFF"/>
            <w:vAlign w:val="bottom"/>
            <w:hideMark/>
          </w:tcPr>
          <w:p w14:paraId="7E399D09" w14:textId="77777777" w:rsidR="008354E6" w:rsidRPr="007D2D79" w:rsidRDefault="00000000" w:rsidP="008A2EDE">
            <w:pPr>
              <w:spacing w:line="240" w:lineRule="auto"/>
              <w:jc w:val="left"/>
            </w:pPr>
            <w:r w:rsidRPr="007D2D79">
              <w:t xml:space="preserve">-£      5,500 </w:t>
            </w:r>
          </w:p>
        </w:tc>
        <w:tc>
          <w:tcPr>
            <w:tcW w:w="1279" w:type="pct"/>
            <w:tcBorders>
              <w:top w:val="nil"/>
              <w:left w:val="nil"/>
              <w:bottom w:val="single" w:sz="4" w:space="0" w:color="auto"/>
              <w:right w:val="single" w:sz="4" w:space="0" w:color="auto"/>
            </w:tcBorders>
            <w:shd w:val="clear" w:color="000000" w:fill="FFFFFF"/>
            <w:vAlign w:val="bottom"/>
            <w:hideMark/>
          </w:tcPr>
          <w:p w14:paraId="034A5849" w14:textId="77777777" w:rsidR="008354E6" w:rsidRPr="007D2D79" w:rsidRDefault="00000000" w:rsidP="008A2EDE">
            <w:pPr>
              <w:spacing w:line="240" w:lineRule="auto"/>
              <w:jc w:val="right"/>
            </w:pPr>
            <w:r w:rsidRPr="007D2D79">
              <w:t>1.00</w:t>
            </w:r>
          </w:p>
        </w:tc>
        <w:tc>
          <w:tcPr>
            <w:tcW w:w="1515" w:type="pct"/>
            <w:tcBorders>
              <w:top w:val="nil"/>
              <w:left w:val="nil"/>
              <w:bottom w:val="single" w:sz="4" w:space="0" w:color="auto"/>
              <w:right w:val="single" w:sz="4" w:space="0" w:color="auto"/>
            </w:tcBorders>
            <w:shd w:val="clear" w:color="000000" w:fill="FFFFFF"/>
            <w:vAlign w:val="bottom"/>
            <w:hideMark/>
          </w:tcPr>
          <w:p w14:paraId="56299F4B" w14:textId="77777777" w:rsidR="008354E6" w:rsidRPr="007D2D79" w:rsidRDefault="00000000" w:rsidP="008A2EDE">
            <w:pPr>
              <w:spacing w:line="240" w:lineRule="auto"/>
              <w:jc w:val="left"/>
            </w:pPr>
            <w:r w:rsidRPr="007D2D79">
              <w:t xml:space="preserve">-£               5,500 </w:t>
            </w:r>
          </w:p>
        </w:tc>
      </w:tr>
      <w:tr w:rsidR="00E8612F" w14:paraId="3E90C14D" w14:textId="77777777" w:rsidTr="008A2EDE">
        <w:trPr>
          <w:trHeight w:val="312"/>
        </w:trPr>
        <w:tc>
          <w:tcPr>
            <w:tcW w:w="1145" w:type="pct"/>
            <w:tcBorders>
              <w:top w:val="nil"/>
              <w:left w:val="single" w:sz="4" w:space="0" w:color="auto"/>
              <w:bottom w:val="single" w:sz="4" w:space="0" w:color="auto"/>
              <w:right w:val="single" w:sz="4" w:space="0" w:color="auto"/>
            </w:tcBorders>
            <w:shd w:val="clear" w:color="000000" w:fill="FFFFFF"/>
            <w:vAlign w:val="bottom"/>
            <w:hideMark/>
          </w:tcPr>
          <w:p w14:paraId="07069549" w14:textId="77777777" w:rsidR="008354E6" w:rsidRPr="007D2D79" w:rsidRDefault="00000000" w:rsidP="008A2EDE">
            <w:pPr>
              <w:spacing w:line="240" w:lineRule="auto"/>
              <w:jc w:val="right"/>
            </w:pPr>
            <w:r w:rsidRPr="007D2D79">
              <w:t>1</w:t>
            </w:r>
          </w:p>
        </w:tc>
        <w:tc>
          <w:tcPr>
            <w:tcW w:w="1061" w:type="pct"/>
            <w:tcBorders>
              <w:top w:val="nil"/>
              <w:left w:val="nil"/>
              <w:bottom w:val="single" w:sz="4" w:space="0" w:color="auto"/>
              <w:right w:val="single" w:sz="4" w:space="0" w:color="auto"/>
            </w:tcBorders>
            <w:shd w:val="clear" w:color="000000" w:fill="FFFFFF"/>
            <w:vAlign w:val="bottom"/>
            <w:hideMark/>
          </w:tcPr>
          <w:p w14:paraId="2299C0CD" w14:textId="77777777" w:rsidR="008354E6" w:rsidRPr="007D2D79" w:rsidRDefault="00000000" w:rsidP="008A2EDE">
            <w:pPr>
              <w:spacing w:line="240" w:lineRule="auto"/>
              <w:jc w:val="left"/>
            </w:pPr>
            <w:r w:rsidRPr="007D2D79">
              <w:t xml:space="preserve"> £      2,250 </w:t>
            </w:r>
          </w:p>
        </w:tc>
        <w:tc>
          <w:tcPr>
            <w:tcW w:w="1279" w:type="pct"/>
            <w:tcBorders>
              <w:top w:val="nil"/>
              <w:left w:val="nil"/>
              <w:bottom w:val="single" w:sz="4" w:space="0" w:color="auto"/>
              <w:right w:val="single" w:sz="4" w:space="0" w:color="auto"/>
            </w:tcBorders>
            <w:shd w:val="clear" w:color="000000" w:fill="FFFFFF"/>
            <w:vAlign w:val="bottom"/>
            <w:hideMark/>
          </w:tcPr>
          <w:p w14:paraId="7F86438C" w14:textId="77777777" w:rsidR="008354E6" w:rsidRPr="007D2D79" w:rsidRDefault="00000000" w:rsidP="008A2EDE">
            <w:pPr>
              <w:spacing w:line="240" w:lineRule="auto"/>
              <w:jc w:val="right"/>
            </w:pPr>
            <w:r w:rsidRPr="007D2D79">
              <w:t>0.99</w:t>
            </w:r>
          </w:p>
        </w:tc>
        <w:tc>
          <w:tcPr>
            <w:tcW w:w="1515" w:type="pct"/>
            <w:tcBorders>
              <w:top w:val="nil"/>
              <w:left w:val="nil"/>
              <w:bottom w:val="single" w:sz="4" w:space="0" w:color="auto"/>
              <w:right w:val="single" w:sz="4" w:space="0" w:color="auto"/>
            </w:tcBorders>
            <w:shd w:val="clear" w:color="000000" w:fill="FFFFFF"/>
            <w:vAlign w:val="bottom"/>
            <w:hideMark/>
          </w:tcPr>
          <w:p w14:paraId="5CDA5236" w14:textId="77777777" w:rsidR="008354E6" w:rsidRPr="007D2D79" w:rsidRDefault="00000000" w:rsidP="008A2EDE">
            <w:pPr>
              <w:spacing w:line="240" w:lineRule="auto"/>
              <w:jc w:val="left"/>
            </w:pPr>
            <w:r w:rsidRPr="007D2D79">
              <w:t xml:space="preserve"> £               2,233 </w:t>
            </w:r>
          </w:p>
        </w:tc>
      </w:tr>
      <w:tr w:rsidR="00E8612F" w14:paraId="40B1CF06" w14:textId="77777777" w:rsidTr="008A2EDE">
        <w:trPr>
          <w:trHeight w:val="312"/>
        </w:trPr>
        <w:tc>
          <w:tcPr>
            <w:tcW w:w="1145" w:type="pct"/>
            <w:tcBorders>
              <w:top w:val="nil"/>
              <w:left w:val="single" w:sz="4" w:space="0" w:color="auto"/>
              <w:bottom w:val="single" w:sz="4" w:space="0" w:color="auto"/>
              <w:right w:val="single" w:sz="4" w:space="0" w:color="auto"/>
            </w:tcBorders>
            <w:shd w:val="clear" w:color="000000" w:fill="FFFFFF"/>
            <w:vAlign w:val="bottom"/>
            <w:hideMark/>
          </w:tcPr>
          <w:p w14:paraId="52547F16" w14:textId="77777777" w:rsidR="008354E6" w:rsidRPr="007D2D79" w:rsidRDefault="00000000" w:rsidP="008A2EDE">
            <w:pPr>
              <w:spacing w:line="240" w:lineRule="auto"/>
              <w:jc w:val="right"/>
            </w:pPr>
            <w:r w:rsidRPr="007D2D79">
              <w:t>2</w:t>
            </w:r>
          </w:p>
        </w:tc>
        <w:tc>
          <w:tcPr>
            <w:tcW w:w="1061" w:type="pct"/>
            <w:tcBorders>
              <w:top w:val="nil"/>
              <w:left w:val="nil"/>
              <w:bottom w:val="single" w:sz="4" w:space="0" w:color="auto"/>
              <w:right w:val="single" w:sz="4" w:space="0" w:color="auto"/>
            </w:tcBorders>
            <w:shd w:val="clear" w:color="000000" w:fill="FFFFFF"/>
            <w:vAlign w:val="bottom"/>
            <w:hideMark/>
          </w:tcPr>
          <w:p w14:paraId="0E9C6036" w14:textId="77777777" w:rsidR="008354E6" w:rsidRPr="007D2D79" w:rsidRDefault="00000000" w:rsidP="008A2EDE">
            <w:pPr>
              <w:spacing w:line="240" w:lineRule="auto"/>
              <w:jc w:val="left"/>
            </w:pPr>
            <w:r w:rsidRPr="007D2D79">
              <w:t xml:space="preserve"> £      1,800 </w:t>
            </w:r>
          </w:p>
        </w:tc>
        <w:tc>
          <w:tcPr>
            <w:tcW w:w="1279" w:type="pct"/>
            <w:tcBorders>
              <w:top w:val="nil"/>
              <w:left w:val="nil"/>
              <w:bottom w:val="single" w:sz="4" w:space="0" w:color="auto"/>
              <w:right w:val="single" w:sz="4" w:space="0" w:color="auto"/>
            </w:tcBorders>
            <w:shd w:val="clear" w:color="000000" w:fill="FFFFFF"/>
            <w:vAlign w:val="bottom"/>
            <w:hideMark/>
          </w:tcPr>
          <w:p w14:paraId="2023BCB4" w14:textId="77777777" w:rsidR="008354E6" w:rsidRPr="007D2D79" w:rsidRDefault="00000000" w:rsidP="008A2EDE">
            <w:pPr>
              <w:spacing w:line="240" w:lineRule="auto"/>
              <w:jc w:val="right"/>
            </w:pPr>
            <w:r w:rsidRPr="007D2D79">
              <w:t>0.99</w:t>
            </w:r>
          </w:p>
        </w:tc>
        <w:tc>
          <w:tcPr>
            <w:tcW w:w="1515" w:type="pct"/>
            <w:tcBorders>
              <w:top w:val="nil"/>
              <w:left w:val="nil"/>
              <w:bottom w:val="single" w:sz="4" w:space="0" w:color="auto"/>
              <w:right w:val="single" w:sz="4" w:space="0" w:color="auto"/>
            </w:tcBorders>
            <w:shd w:val="clear" w:color="000000" w:fill="FFFFFF"/>
            <w:vAlign w:val="bottom"/>
            <w:hideMark/>
          </w:tcPr>
          <w:p w14:paraId="160B0B00" w14:textId="77777777" w:rsidR="008354E6" w:rsidRPr="007D2D79" w:rsidRDefault="00000000" w:rsidP="008A2EDE">
            <w:pPr>
              <w:spacing w:line="240" w:lineRule="auto"/>
              <w:jc w:val="left"/>
            </w:pPr>
            <w:r w:rsidRPr="007D2D79">
              <w:t xml:space="preserve"> £               1,773 </w:t>
            </w:r>
          </w:p>
        </w:tc>
      </w:tr>
      <w:tr w:rsidR="00E8612F" w14:paraId="4C382258" w14:textId="77777777" w:rsidTr="008A2EDE">
        <w:trPr>
          <w:trHeight w:val="312"/>
        </w:trPr>
        <w:tc>
          <w:tcPr>
            <w:tcW w:w="1145" w:type="pct"/>
            <w:tcBorders>
              <w:top w:val="nil"/>
              <w:left w:val="single" w:sz="4" w:space="0" w:color="auto"/>
              <w:bottom w:val="single" w:sz="4" w:space="0" w:color="auto"/>
              <w:right w:val="single" w:sz="4" w:space="0" w:color="auto"/>
            </w:tcBorders>
            <w:shd w:val="clear" w:color="000000" w:fill="FFFFFF"/>
            <w:vAlign w:val="bottom"/>
            <w:hideMark/>
          </w:tcPr>
          <w:p w14:paraId="005FF2B9" w14:textId="77777777" w:rsidR="008354E6" w:rsidRPr="007D2D79" w:rsidRDefault="00000000" w:rsidP="008A2EDE">
            <w:pPr>
              <w:spacing w:line="240" w:lineRule="auto"/>
              <w:jc w:val="right"/>
            </w:pPr>
            <w:r w:rsidRPr="007D2D79">
              <w:t>3</w:t>
            </w:r>
          </w:p>
        </w:tc>
        <w:tc>
          <w:tcPr>
            <w:tcW w:w="1061" w:type="pct"/>
            <w:tcBorders>
              <w:top w:val="nil"/>
              <w:left w:val="nil"/>
              <w:bottom w:val="single" w:sz="4" w:space="0" w:color="auto"/>
              <w:right w:val="single" w:sz="4" w:space="0" w:color="auto"/>
            </w:tcBorders>
            <w:shd w:val="clear" w:color="000000" w:fill="FFFFFF"/>
            <w:vAlign w:val="bottom"/>
            <w:hideMark/>
          </w:tcPr>
          <w:p w14:paraId="7BEF5901" w14:textId="77777777" w:rsidR="008354E6" w:rsidRPr="007D2D79" w:rsidRDefault="00000000" w:rsidP="008A2EDE">
            <w:pPr>
              <w:spacing w:line="240" w:lineRule="auto"/>
              <w:jc w:val="left"/>
            </w:pPr>
            <w:r w:rsidRPr="007D2D79">
              <w:t xml:space="preserve"> £         900 </w:t>
            </w:r>
          </w:p>
        </w:tc>
        <w:tc>
          <w:tcPr>
            <w:tcW w:w="1279" w:type="pct"/>
            <w:tcBorders>
              <w:top w:val="nil"/>
              <w:left w:val="nil"/>
              <w:bottom w:val="single" w:sz="4" w:space="0" w:color="auto"/>
              <w:right w:val="single" w:sz="4" w:space="0" w:color="auto"/>
            </w:tcBorders>
            <w:shd w:val="clear" w:color="000000" w:fill="FFFFFF"/>
            <w:vAlign w:val="bottom"/>
            <w:hideMark/>
          </w:tcPr>
          <w:p w14:paraId="2836653D" w14:textId="77777777" w:rsidR="008354E6" w:rsidRPr="007D2D79" w:rsidRDefault="00000000" w:rsidP="008A2EDE">
            <w:pPr>
              <w:spacing w:line="240" w:lineRule="auto"/>
              <w:jc w:val="right"/>
            </w:pPr>
            <w:r w:rsidRPr="007D2D79">
              <w:t>0.98</w:t>
            </w:r>
          </w:p>
        </w:tc>
        <w:tc>
          <w:tcPr>
            <w:tcW w:w="1515" w:type="pct"/>
            <w:tcBorders>
              <w:top w:val="nil"/>
              <w:left w:val="nil"/>
              <w:bottom w:val="single" w:sz="4" w:space="0" w:color="auto"/>
              <w:right w:val="single" w:sz="4" w:space="0" w:color="auto"/>
            </w:tcBorders>
            <w:shd w:val="clear" w:color="000000" w:fill="FFFFFF"/>
            <w:vAlign w:val="bottom"/>
            <w:hideMark/>
          </w:tcPr>
          <w:p w14:paraId="49D6B059" w14:textId="77777777" w:rsidR="008354E6" w:rsidRPr="007D2D79" w:rsidRDefault="00000000" w:rsidP="008A2EDE">
            <w:pPr>
              <w:spacing w:line="240" w:lineRule="auto"/>
              <w:jc w:val="left"/>
            </w:pPr>
            <w:r w:rsidRPr="007D2D79">
              <w:t xml:space="preserve"> £                  880 </w:t>
            </w:r>
          </w:p>
        </w:tc>
      </w:tr>
      <w:tr w:rsidR="00E8612F" w14:paraId="627281E5" w14:textId="77777777" w:rsidTr="008A2EDE">
        <w:trPr>
          <w:trHeight w:val="312"/>
        </w:trPr>
        <w:tc>
          <w:tcPr>
            <w:tcW w:w="1145" w:type="pct"/>
            <w:tcBorders>
              <w:top w:val="nil"/>
              <w:left w:val="single" w:sz="4" w:space="0" w:color="auto"/>
              <w:bottom w:val="single" w:sz="4" w:space="0" w:color="auto"/>
              <w:right w:val="single" w:sz="4" w:space="0" w:color="auto"/>
            </w:tcBorders>
            <w:shd w:val="clear" w:color="000000" w:fill="FFFFFF"/>
            <w:vAlign w:val="bottom"/>
            <w:hideMark/>
          </w:tcPr>
          <w:p w14:paraId="208A65E8" w14:textId="77777777" w:rsidR="008354E6" w:rsidRPr="007D2D79" w:rsidRDefault="00000000" w:rsidP="008A2EDE">
            <w:pPr>
              <w:spacing w:line="240" w:lineRule="auto"/>
              <w:jc w:val="right"/>
            </w:pPr>
            <w:r w:rsidRPr="007D2D79">
              <w:t>4</w:t>
            </w:r>
          </w:p>
        </w:tc>
        <w:tc>
          <w:tcPr>
            <w:tcW w:w="1061" w:type="pct"/>
            <w:tcBorders>
              <w:top w:val="nil"/>
              <w:left w:val="nil"/>
              <w:bottom w:val="single" w:sz="4" w:space="0" w:color="auto"/>
              <w:right w:val="single" w:sz="4" w:space="0" w:color="auto"/>
            </w:tcBorders>
            <w:shd w:val="clear" w:color="000000" w:fill="FFFFFF"/>
            <w:vAlign w:val="bottom"/>
            <w:hideMark/>
          </w:tcPr>
          <w:p w14:paraId="78744A3F" w14:textId="77777777" w:rsidR="008354E6" w:rsidRPr="007D2D79" w:rsidRDefault="00000000" w:rsidP="008A2EDE">
            <w:pPr>
              <w:spacing w:line="240" w:lineRule="auto"/>
              <w:jc w:val="left"/>
            </w:pPr>
            <w:r w:rsidRPr="007D2D79">
              <w:t xml:space="preserve">-£         398 </w:t>
            </w:r>
          </w:p>
        </w:tc>
        <w:tc>
          <w:tcPr>
            <w:tcW w:w="1279" w:type="pct"/>
            <w:tcBorders>
              <w:top w:val="nil"/>
              <w:left w:val="nil"/>
              <w:bottom w:val="single" w:sz="4" w:space="0" w:color="auto"/>
              <w:right w:val="single" w:sz="4" w:space="0" w:color="auto"/>
            </w:tcBorders>
            <w:shd w:val="clear" w:color="000000" w:fill="FFFFFF"/>
            <w:vAlign w:val="bottom"/>
            <w:hideMark/>
          </w:tcPr>
          <w:p w14:paraId="20515258" w14:textId="77777777" w:rsidR="008354E6" w:rsidRPr="007D2D79" w:rsidRDefault="00000000" w:rsidP="008A2EDE">
            <w:pPr>
              <w:spacing w:line="240" w:lineRule="auto"/>
              <w:jc w:val="right"/>
            </w:pPr>
            <w:r w:rsidRPr="007D2D79">
              <w:t>0.97</w:t>
            </w:r>
          </w:p>
        </w:tc>
        <w:tc>
          <w:tcPr>
            <w:tcW w:w="1515" w:type="pct"/>
            <w:tcBorders>
              <w:top w:val="nil"/>
              <w:left w:val="nil"/>
              <w:bottom w:val="single" w:sz="4" w:space="0" w:color="auto"/>
              <w:right w:val="single" w:sz="4" w:space="0" w:color="auto"/>
            </w:tcBorders>
            <w:shd w:val="clear" w:color="000000" w:fill="FFFFFF"/>
            <w:vAlign w:val="bottom"/>
            <w:hideMark/>
          </w:tcPr>
          <w:p w14:paraId="6AD0AC65" w14:textId="77777777" w:rsidR="008354E6" w:rsidRPr="007D2D79" w:rsidRDefault="00000000" w:rsidP="008A2EDE">
            <w:pPr>
              <w:spacing w:line="240" w:lineRule="auto"/>
              <w:jc w:val="left"/>
            </w:pPr>
            <w:r w:rsidRPr="007D2D79">
              <w:t xml:space="preserve">-£                  386 </w:t>
            </w:r>
          </w:p>
        </w:tc>
      </w:tr>
      <w:tr w:rsidR="00E8612F" w14:paraId="04EEFF9B" w14:textId="77777777" w:rsidTr="008A2EDE">
        <w:trPr>
          <w:trHeight w:val="324"/>
        </w:trPr>
        <w:tc>
          <w:tcPr>
            <w:tcW w:w="3485"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5DEE1AE9" w14:textId="77777777" w:rsidR="008354E6" w:rsidRPr="007D2D79" w:rsidRDefault="00000000" w:rsidP="008A2EDE">
            <w:pPr>
              <w:spacing w:line="240" w:lineRule="auto"/>
              <w:jc w:val="center"/>
            </w:pPr>
            <w:r w:rsidRPr="007D2D79">
              <w:t>Costs of Capital</w:t>
            </w:r>
          </w:p>
        </w:tc>
        <w:tc>
          <w:tcPr>
            <w:tcW w:w="1515" w:type="pct"/>
            <w:tcBorders>
              <w:top w:val="nil"/>
              <w:left w:val="single" w:sz="4" w:space="0" w:color="auto"/>
              <w:bottom w:val="single" w:sz="4" w:space="0" w:color="auto"/>
              <w:right w:val="single" w:sz="4" w:space="0" w:color="auto"/>
            </w:tcBorders>
            <w:shd w:val="clear" w:color="000000" w:fill="FFE699"/>
            <w:vAlign w:val="bottom"/>
            <w:hideMark/>
          </w:tcPr>
          <w:p w14:paraId="128B4BFE" w14:textId="77777777" w:rsidR="008354E6" w:rsidRPr="007D2D79" w:rsidRDefault="00000000" w:rsidP="008A2EDE">
            <w:pPr>
              <w:spacing w:line="240" w:lineRule="auto"/>
              <w:jc w:val="right"/>
              <w:rPr>
                <w:b/>
                <w:bCs/>
                <w:i/>
                <w:iCs/>
              </w:rPr>
            </w:pPr>
            <w:r w:rsidRPr="007D2D79">
              <w:rPr>
                <w:b/>
                <w:bCs/>
                <w:i/>
                <w:iCs/>
              </w:rPr>
              <w:t>0.75%</w:t>
            </w:r>
          </w:p>
        </w:tc>
      </w:tr>
      <w:tr w:rsidR="00E8612F" w14:paraId="62B920D5" w14:textId="77777777" w:rsidTr="008A2EDE">
        <w:trPr>
          <w:trHeight w:val="324"/>
        </w:trPr>
        <w:tc>
          <w:tcPr>
            <w:tcW w:w="3485"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5FD096DA" w14:textId="77777777" w:rsidR="008354E6" w:rsidRPr="007D2D79" w:rsidRDefault="00000000" w:rsidP="008A2EDE">
            <w:pPr>
              <w:spacing w:line="240" w:lineRule="auto"/>
              <w:jc w:val="center"/>
              <w:rPr>
                <w:b/>
                <w:bCs/>
              </w:rPr>
            </w:pPr>
            <w:r w:rsidRPr="007D2D79">
              <w:rPr>
                <w:b/>
                <w:bCs/>
              </w:rPr>
              <w:t>Payback (Years)</w:t>
            </w:r>
          </w:p>
        </w:tc>
        <w:tc>
          <w:tcPr>
            <w:tcW w:w="1515" w:type="pct"/>
            <w:tcBorders>
              <w:top w:val="nil"/>
              <w:left w:val="single" w:sz="4" w:space="0" w:color="auto"/>
              <w:bottom w:val="single" w:sz="4" w:space="0" w:color="auto"/>
              <w:right w:val="single" w:sz="4" w:space="0" w:color="auto"/>
            </w:tcBorders>
            <w:shd w:val="clear" w:color="000000" w:fill="FFE699"/>
            <w:vAlign w:val="bottom"/>
            <w:hideMark/>
          </w:tcPr>
          <w:p w14:paraId="60381637" w14:textId="77777777" w:rsidR="008354E6" w:rsidRPr="007D2D79" w:rsidRDefault="00000000" w:rsidP="008A2EDE">
            <w:pPr>
              <w:spacing w:line="240" w:lineRule="auto"/>
              <w:jc w:val="right"/>
              <w:rPr>
                <w:b/>
                <w:bCs/>
                <w:i/>
                <w:iCs/>
              </w:rPr>
            </w:pPr>
            <w:r w:rsidRPr="007D2D79">
              <w:rPr>
                <w:b/>
                <w:bCs/>
                <w:i/>
                <w:iCs/>
              </w:rPr>
              <w:t>3.6</w:t>
            </w:r>
          </w:p>
        </w:tc>
      </w:tr>
      <w:tr w:rsidR="00E8612F" w14:paraId="15BEC683" w14:textId="77777777" w:rsidTr="008A2EDE">
        <w:trPr>
          <w:trHeight w:val="324"/>
        </w:trPr>
        <w:tc>
          <w:tcPr>
            <w:tcW w:w="3485"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732D77F2" w14:textId="77777777" w:rsidR="008354E6" w:rsidRPr="007D2D79" w:rsidRDefault="00000000" w:rsidP="008A2EDE">
            <w:pPr>
              <w:spacing w:line="240" w:lineRule="auto"/>
              <w:jc w:val="center"/>
              <w:rPr>
                <w:b/>
                <w:bCs/>
              </w:rPr>
            </w:pPr>
            <w:r w:rsidRPr="007D2D79">
              <w:rPr>
                <w:b/>
                <w:bCs/>
              </w:rPr>
              <w:t>Net Present Value</w:t>
            </w:r>
          </w:p>
        </w:tc>
        <w:tc>
          <w:tcPr>
            <w:tcW w:w="1515" w:type="pct"/>
            <w:tcBorders>
              <w:top w:val="nil"/>
              <w:left w:val="single" w:sz="4" w:space="0" w:color="auto"/>
              <w:bottom w:val="single" w:sz="4" w:space="0" w:color="auto"/>
              <w:right w:val="single" w:sz="4" w:space="0" w:color="auto"/>
            </w:tcBorders>
            <w:shd w:val="clear" w:color="000000" w:fill="FFE699"/>
            <w:vAlign w:val="bottom"/>
            <w:hideMark/>
          </w:tcPr>
          <w:p w14:paraId="325F86AF" w14:textId="77777777" w:rsidR="008354E6" w:rsidRPr="007D2D79" w:rsidRDefault="00000000" w:rsidP="008A2EDE">
            <w:pPr>
              <w:spacing w:line="240" w:lineRule="auto"/>
              <w:jc w:val="left"/>
              <w:rPr>
                <w:b/>
                <w:bCs/>
                <w:i/>
                <w:iCs/>
              </w:rPr>
            </w:pPr>
            <w:r w:rsidRPr="007D2D79">
              <w:rPr>
                <w:b/>
                <w:bCs/>
                <w:i/>
                <w:iCs/>
              </w:rPr>
              <w:t xml:space="preserve">-£            999.49 </w:t>
            </w:r>
          </w:p>
        </w:tc>
      </w:tr>
      <w:tr w:rsidR="00E8612F" w14:paraId="0CA52076" w14:textId="77777777" w:rsidTr="008A2EDE">
        <w:trPr>
          <w:trHeight w:val="324"/>
        </w:trPr>
        <w:tc>
          <w:tcPr>
            <w:tcW w:w="3485"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52D24862" w14:textId="77777777" w:rsidR="008354E6" w:rsidRPr="007D2D79" w:rsidRDefault="00000000" w:rsidP="008A2EDE">
            <w:pPr>
              <w:spacing w:line="240" w:lineRule="auto"/>
              <w:jc w:val="center"/>
              <w:rPr>
                <w:b/>
                <w:bCs/>
              </w:rPr>
            </w:pPr>
            <w:r w:rsidRPr="007D2D79">
              <w:rPr>
                <w:b/>
                <w:bCs/>
              </w:rPr>
              <w:t>ARR</w:t>
            </w:r>
          </w:p>
        </w:tc>
        <w:tc>
          <w:tcPr>
            <w:tcW w:w="1515" w:type="pct"/>
            <w:tcBorders>
              <w:top w:val="nil"/>
              <w:left w:val="single" w:sz="4" w:space="0" w:color="auto"/>
              <w:bottom w:val="single" w:sz="4" w:space="0" w:color="auto"/>
              <w:right w:val="single" w:sz="4" w:space="0" w:color="auto"/>
            </w:tcBorders>
            <w:shd w:val="clear" w:color="000000" w:fill="FFE699"/>
            <w:vAlign w:val="bottom"/>
            <w:hideMark/>
          </w:tcPr>
          <w:p w14:paraId="682FCBAA" w14:textId="77777777" w:rsidR="008354E6" w:rsidRPr="007D2D79" w:rsidRDefault="00000000" w:rsidP="008A2EDE">
            <w:pPr>
              <w:spacing w:line="240" w:lineRule="auto"/>
              <w:jc w:val="right"/>
              <w:rPr>
                <w:b/>
                <w:bCs/>
                <w:i/>
                <w:iCs/>
              </w:rPr>
            </w:pPr>
            <w:r w:rsidRPr="007D2D79">
              <w:rPr>
                <w:b/>
                <w:bCs/>
                <w:i/>
                <w:iCs/>
              </w:rPr>
              <w:t>-17.23%</w:t>
            </w:r>
          </w:p>
        </w:tc>
      </w:tr>
      <w:tr w:rsidR="00E8612F" w14:paraId="6E2F1619" w14:textId="77777777" w:rsidTr="008A2EDE">
        <w:trPr>
          <w:trHeight w:val="324"/>
        </w:trPr>
        <w:tc>
          <w:tcPr>
            <w:tcW w:w="3485"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35DB1154" w14:textId="77777777" w:rsidR="008354E6" w:rsidRPr="007D2D79" w:rsidRDefault="00000000" w:rsidP="008A2EDE">
            <w:pPr>
              <w:spacing w:line="240" w:lineRule="auto"/>
              <w:jc w:val="center"/>
              <w:rPr>
                <w:b/>
                <w:bCs/>
              </w:rPr>
            </w:pPr>
            <w:r w:rsidRPr="007D2D79">
              <w:rPr>
                <w:b/>
                <w:bCs/>
              </w:rPr>
              <w:t>IRR</w:t>
            </w:r>
          </w:p>
        </w:tc>
        <w:tc>
          <w:tcPr>
            <w:tcW w:w="1515" w:type="pct"/>
            <w:tcBorders>
              <w:top w:val="nil"/>
              <w:left w:val="single" w:sz="4" w:space="0" w:color="auto"/>
              <w:bottom w:val="single" w:sz="4" w:space="0" w:color="auto"/>
              <w:right w:val="single" w:sz="4" w:space="0" w:color="auto"/>
            </w:tcBorders>
            <w:shd w:val="clear" w:color="000000" w:fill="FFE699"/>
            <w:vAlign w:val="bottom"/>
            <w:hideMark/>
          </w:tcPr>
          <w:p w14:paraId="3034A1C7" w14:textId="77777777" w:rsidR="008354E6" w:rsidRPr="007D2D79" w:rsidRDefault="00000000" w:rsidP="008A2EDE">
            <w:pPr>
              <w:spacing w:line="240" w:lineRule="auto"/>
              <w:jc w:val="right"/>
              <w:rPr>
                <w:b/>
                <w:bCs/>
                <w:i/>
                <w:iCs/>
              </w:rPr>
            </w:pPr>
            <w:r w:rsidRPr="007D2D79">
              <w:rPr>
                <w:b/>
                <w:bCs/>
                <w:i/>
                <w:iCs/>
              </w:rPr>
              <w:t>-11.60%</w:t>
            </w:r>
          </w:p>
        </w:tc>
      </w:tr>
    </w:tbl>
    <w:p w14:paraId="1F6FAFE0" w14:textId="77777777" w:rsidR="008354E6" w:rsidRDefault="008354E6" w:rsidP="008354E6"/>
    <w:tbl>
      <w:tblPr>
        <w:tblW w:w="5000" w:type="pct"/>
        <w:tblLook w:val="04A0" w:firstRow="1" w:lastRow="0" w:firstColumn="1" w:lastColumn="0" w:noHBand="0" w:noVBand="1"/>
      </w:tblPr>
      <w:tblGrid>
        <w:gridCol w:w="1576"/>
        <w:gridCol w:w="2147"/>
        <w:gridCol w:w="3215"/>
        <w:gridCol w:w="2412"/>
      </w:tblGrid>
      <w:tr w:rsidR="00E8612F" w14:paraId="0E8A05C4" w14:textId="77777777" w:rsidTr="008A2EDE">
        <w:trPr>
          <w:trHeight w:val="312"/>
        </w:trPr>
        <w:tc>
          <w:tcPr>
            <w:tcW w:w="5000" w:type="pct"/>
            <w:gridSpan w:val="4"/>
            <w:tcBorders>
              <w:top w:val="single" w:sz="4" w:space="0" w:color="auto"/>
              <w:left w:val="single" w:sz="4" w:space="0" w:color="auto"/>
              <w:bottom w:val="single" w:sz="4" w:space="0" w:color="auto"/>
              <w:right w:val="single" w:sz="4" w:space="0" w:color="000000"/>
            </w:tcBorders>
            <w:shd w:val="clear" w:color="000000" w:fill="FFFF00"/>
            <w:vAlign w:val="bottom"/>
            <w:hideMark/>
          </w:tcPr>
          <w:p w14:paraId="1ABAE258" w14:textId="77777777" w:rsidR="008354E6" w:rsidRPr="007D2D79" w:rsidRDefault="00000000" w:rsidP="008A2EDE">
            <w:pPr>
              <w:spacing w:line="240" w:lineRule="auto"/>
              <w:jc w:val="center"/>
              <w:rPr>
                <w:b/>
                <w:bCs/>
              </w:rPr>
            </w:pPr>
            <w:r w:rsidRPr="007D2D79">
              <w:rPr>
                <w:b/>
                <w:bCs/>
              </w:rPr>
              <w:t xml:space="preserve">Investment Proposal B in Assumption case </w:t>
            </w:r>
          </w:p>
        </w:tc>
      </w:tr>
      <w:tr w:rsidR="00E8612F" w14:paraId="42DF9F3F" w14:textId="77777777" w:rsidTr="008A2EDE">
        <w:trPr>
          <w:trHeight w:val="312"/>
        </w:trPr>
        <w:tc>
          <w:tcPr>
            <w:tcW w:w="5000" w:type="pct"/>
            <w:gridSpan w:val="4"/>
            <w:tcBorders>
              <w:top w:val="single" w:sz="4" w:space="0" w:color="auto"/>
              <w:left w:val="single" w:sz="4" w:space="0" w:color="auto"/>
              <w:bottom w:val="single" w:sz="4" w:space="0" w:color="auto"/>
              <w:right w:val="single" w:sz="4" w:space="0" w:color="000000"/>
            </w:tcBorders>
            <w:shd w:val="clear" w:color="000000" w:fill="F8CBAD"/>
            <w:vAlign w:val="bottom"/>
            <w:hideMark/>
          </w:tcPr>
          <w:p w14:paraId="600BE1BB" w14:textId="77777777" w:rsidR="008354E6" w:rsidRPr="007D2D79" w:rsidRDefault="00000000" w:rsidP="008A2EDE">
            <w:pPr>
              <w:spacing w:line="240" w:lineRule="auto"/>
              <w:jc w:val="center"/>
              <w:rPr>
                <w:b/>
                <w:bCs/>
              </w:rPr>
            </w:pPr>
            <w:r w:rsidRPr="007D2D79">
              <w:rPr>
                <w:b/>
                <w:bCs/>
              </w:rPr>
              <w:t xml:space="preserve">NPV. Payback, ARR, IRR Calculation </w:t>
            </w:r>
          </w:p>
        </w:tc>
      </w:tr>
      <w:tr w:rsidR="00E8612F" w14:paraId="27470018" w14:textId="77777777" w:rsidTr="008A2EDE">
        <w:trPr>
          <w:trHeight w:val="936"/>
        </w:trPr>
        <w:tc>
          <w:tcPr>
            <w:tcW w:w="843" w:type="pct"/>
            <w:tcBorders>
              <w:top w:val="single" w:sz="4" w:space="0" w:color="auto"/>
              <w:left w:val="single" w:sz="4" w:space="0" w:color="auto"/>
              <w:bottom w:val="single" w:sz="4" w:space="0" w:color="auto"/>
              <w:right w:val="single" w:sz="4" w:space="0" w:color="auto"/>
            </w:tcBorders>
            <w:shd w:val="clear" w:color="000000" w:fill="8497B0"/>
            <w:vAlign w:val="bottom"/>
            <w:hideMark/>
          </w:tcPr>
          <w:p w14:paraId="17ED0556" w14:textId="77777777" w:rsidR="008354E6" w:rsidRPr="007D2D79" w:rsidRDefault="00000000" w:rsidP="008A2EDE">
            <w:pPr>
              <w:spacing w:line="240" w:lineRule="auto"/>
              <w:jc w:val="left"/>
              <w:rPr>
                <w:b/>
                <w:bCs/>
              </w:rPr>
            </w:pPr>
            <w:r w:rsidRPr="007D2D79">
              <w:rPr>
                <w:b/>
                <w:bCs/>
              </w:rPr>
              <w:lastRenderedPageBreak/>
              <w:t>Years</w:t>
            </w:r>
          </w:p>
        </w:tc>
        <w:tc>
          <w:tcPr>
            <w:tcW w:w="1148" w:type="pct"/>
            <w:tcBorders>
              <w:top w:val="single" w:sz="4" w:space="0" w:color="auto"/>
              <w:left w:val="nil"/>
              <w:bottom w:val="single" w:sz="4" w:space="0" w:color="auto"/>
              <w:right w:val="single" w:sz="4" w:space="0" w:color="auto"/>
            </w:tcBorders>
            <w:shd w:val="clear" w:color="000000" w:fill="8497B0"/>
            <w:vAlign w:val="bottom"/>
            <w:hideMark/>
          </w:tcPr>
          <w:p w14:paraId="7AF278B9" w14:textId="77777777" w:rsidR="008354E6" w:rsidRPr="007D2D79" w:rsidRDefault="00000000" w:rsidP="008A2EDE">
            <w:pPr>
              <w:spacing w:line="240" w:lineRule="auto"/>
              <w:jc w:val="left"/>
              <w:rPr>
                <w:b/>
                <w:bCs/>
              </w:rPr>
            </w:pPr>
            <w:r w:rsidRPr="007D2D79">
              <w:rPr>
                <w:b/>
                <w:bCs/>
              </w:rPr>
              <w:t xml:space="preserve">Cash Flows </w:t>
            </w:r>
          </w:p>
        </w:tc>
        <w:tc>
          <w:tcPr>
            <w:tcW w:w="1719" w:type="pct"/>
            <w:tcBorders>
              <w:top w:val="single" w:sz="4" w:space="0" w:color="auto"/>
              <w:left w:val="nil"/>
              <w:bottom w:val="single" w:sz="4" w:space="0" w:color="auto"/>
              <w:right w:val="single" w:sz="4" w:space="0" w:color="auto"/>
            </w:tcBorders>
            <w:shd w:val="clear" w:color="000000" w:fill="8497B0"/>
            <w:vAlign w:val="bottom"/>
            <w:hideMark/>
          </w:tcPr>
          <w:p w14:paraId="430E5229" w14:textId="77777777" w:rsidR="008354E6" w:rsidRPr="007D2D79" w:rsidRDefault="00000000" w:rsidP="008A2EDE">
            <w:pPr>
              <w:spacing w:line="240" w:lineRule="auto"/>
              <w:jc w:val="left"/>
              <w:rPr>
                <w:b/>
                <w:bCs/>
              </w:rPr>
            </w:pPr>
            <w:r w:rsidRPr="007D2D79">
              <w:rPr>
                <w:b/>
                <w:bCs/>
              </w:rPr>
              <w:t>Discounting Factor @10%</w:t>
            </w:r>
          </w:p>
        </w:tc>
        <w:tc>
          <w:tcPr>
            <w:tcW w:w="1291" w:type="pct"/>
            <w:tcBorders>
              <w:top w:val="single" w:sz="4" w:space="0" w:color="auto"/>
              <w:left w:val="nil"/>
              <w:bottom w:val="single" w:sz="4" w:space="0" w:color="auto"/>
              <w:right w:val="single" w:sz="4" w:space="0" w:color="auto"/>
            </w:tcBorders>
            <w:shd w:val="clear" w:color="000000" w:fill="8497B0"/>
            <w:vAlign w:val="bottom"/>
            <w:hideMark/>
          </w:tcPr>
          <w:p w14:paraId="1772B99A" w14:textId="77777777" w:rsidR="008354E6" w:rsidRPr="007D2D79" w:rsidRDefault="00000000" w:rsidP="008A2EDE">
            <w:pPr>
              <w:spacing w:line="240" w:lineRule="auto"/>
              <w:jc w:val="left"/>
              <w:rPr>
                <w:b/>
                <w:bCs/>
              </w:rPr>
            </w:pPr>
            <w:r w:rsidRPr="007D2D79">
              <w:rPr>
                <w:b/>
                <w:bCs/>
              </w:rPr>
              <w:t>Discounted Cash Flows</w:t>
            </w:r>
          </w:p>
        </w:tc>
      </w:tr>
      <w:tr w:rsidR="00E8612F" w14:paraId="346DC368" w14:textId="77777777" w:rsidTr="008A2EDE">
        <w:trPr>
          <w:trHeight w:val="312"/>
        </w:trPr>
        <w:tc>
          <w:tcPr>
            <w:tcW w:w="843" w:type="pct"/>
            <w:tcBorders>
              <w:top w:val="nil"/>
              <w:left w:val="single" w:sz="4" w:space="0" w:color="auto"/>
              <w:bottom w:val="single" w:sz="4" w:space="0" w:color="auto"/>
              <w:right w:val="single" w:sz="4" w:space="0" w:color="auto"/>
            </w:tcBorders>
            <w:shd w:val="clear" w:color="000000" w:fill="FFFFFF"/>
            <w:vAlign w:val="bottom"/>
            <w:hideMark/>
          </w:tcPr>
          <w:p w14:paraId="69DB6691" w14:textId="77777777" w:rsidR="008354E6" w:rsidRPr="007D2D79" w:rsidRDefault="00000000" w:rsidP="008A2EDE">
            <w:pPr>
              <w:spacing w:line="240" w:lineRule="auto"/>
              <w:jc w:val="right"/>
            </w:pPr>
            <w:r w:rsidRPr="007D2D79">
              <w:t>0</w:t>
            </w:r>
          </w:p>
        </w:tc>
        <w:tc>
          <w:tcPr>
            <w:tcW w:w="1148" w:type="pct"/>
            <w:tcBorders>
              <w:top w:val="nil"/>
              <w:left w:val="nil"/>
              <w:bottom w:val="single" w:sz="4" w:space="0" w:color="auto"/>
              <w:right w:val="single" w:sz="4" w:space="0" w:color="auto"/>
            </w:tcBorders>
            <w:shd w:val="clear" w:color="000000" w:fill="FFFFFF"/>
            <w:vAlign w:val="bottom"/>
            <w:hideMark/>
          </w:tcPr>
          <w:p w14:paraId="20FABE51" w14:textId="77777777" w:rsidR="008354E6" w:rsidRPr="007D2D79" w:rsidRDefault="00000000" w:rsidP="008A2EDE">
            <w:pPr>
              <w:spacing w:line="240" w:lineRule="auto"/>
              <w:jc w:val="left"/>
            </w:pPr>
            <w:r w:rsidRPr="007D2D79">
              <w:t xml:space="preserve">-£      1,100 </w:t>
            </w:r>
          </w:p>
        </w:tc>
        <w:tc>
          <w:tcPr>
            <w:tcW w:w="1719" w:type="pct"/>
            <w:tcBorders>
              <w:top w:val="nil"/>
              <w:left w:val="nil"/>
              <w:bottom w:val="single" w:sz="4" w:space="0" w:color="auto"/>
              <w:right w:val="single" w:sz="4" w:space="0" w:color="auto"/>
            </w:tcBorders>
            <w:shd w:val="clear" w:color="000000" w:fill="FFFFFF"/>
            <w:vAlign w:val="bottom"/>
            <w:hideMark/>
          </w:tcPr>
          <w:p w14:paraId="4E63E3A5" w14:textId="77777777" w:rsidR="008354E6" w:rsidRPr="007D2D79" w:rsidRDefault="00000000" w:rsidP="008A2EDE">
            <w:pPr>
              <w:spacing w:line="240" w:lineRule="auto"/>
              <w:jc w:val="right"/>
            </w:pPr>
            <w:r w:rsidRPr="007D2D79">
              <w:t>1.00</w:t>
            </w:r>
          </w:p>
        </w:tc>
        <w:tc>
          <w:tcPr>
            <w:tcW w:w="1291" w:type="pct"/>
            <w:tcBorders>
              <w:top w:val="nil"/>
              <w:left w:val="nil"/>
              <w:bottom w:val="single" w:sz="4" w:space="0" w:color="auto"/>
              <w:right w:val="single" w:sz="4" w:space="0" w:color="auto"/>
            </w:tcBorders>
            <w:shd w:val="clear" w:color="000000" w:fill="FFFFFF"/>
            <w:vAlign w:val="bottom"/>
            <w:hideMark/>
          </w:tcPr>
          <w:p w14:paraId="69210FF3" w14:textId="77777777" w:rsidR="008354E6" w:rsidRPr="007D2D79" w:rsidRDefault="00000000" w:rsidP="008A2EDE">
            <w:pPr>
              <w:spacing w:line="240" w:lineRule="auto"/>
              <w:jc w:val="left"/>
            </w:pPr>
            <w:r w:rsidRPr="007D2D79">
              <w:t xml:space="preserve">-£      1,100 </w:t>
            </w:r>
          </w:p>
        </w:tc>
      </w:tr>
      <w:tr w:rsidR="00E8612F" w14:paraId="5D95CA53" w14:textId="77777777" w:rsidTr="008A2EDE">
        <w:trPr>
          <w:trHeight w:val="312"/>
        </w:trPr>
        <w:tc>
          <w:tcPr>
            <w:tcW w:w="843" w:type="pct"/>
            <w:tcBorders>
              <w:top w:val="nil"/>
              <w:left w:val="single" w:sz="4" w:space="0" w:color="auto"/>
              <w:bottom w:val="single" w:sz="4" w:space="0" w:color="auto"/>
              <w:right w:val="single" w:sz="4" w:space="0" w:color="auto"/>
            </w:tcBorders>
            <w:shd w:val="clear" w:color="000000" w:fill="FFFFFF"/>
            <w:vAlign w:val="bottom"/>
            <w:hideMark/>
          </w:tcPr>
          <w:p w14:paraId="71EE365C" w14:textId="77777777" w:rsidR="008354E6" w:rsidRPr="007D2D79" w:rsidRDefault="00000000" w:rsidP="008A2EDE">
            <w:pPr>
              <w:spacing w:line="240" w:lineRule="auto"/>
              <w:jc w:val="right"/>
            </w:pPr>
            <w:r w:rsidRPr="007D2D79">
              <w:t>1</w:t>
            </w:r>
          </w:p>
        </w:tc>
        <w:tc>
          <w:tcPr>
            <w:tcW w:w="1148" w:type="pct"/>
            <w:tcBorders>
              <w:top w:val="nil"/>
              <w:left w:val="nil"/>
              <w:bottom w:val="single" w:sz="4" w:space="0" w:color="auto"/>
              <w:right w:val="single" w:sz="4" w:space="0" w:color="auto"/>
            </w:tcBorders>
            <w:shd w:val="clear" w:color="000000" w:fill="FFFFFF"/>
            <w:vAlign w:val="bottom"/>
            <w:hideMark/>
          </w:tcPr>
          <w:p w14:paraId="5AA84F7F" w14:textId="77777777" w:rsidR="008354E6" w:rsidRPr="007D2D79" w:rsidRDefault="00000000" w:rsidP="008A2EDE">
            <w:pPr>
              <w:spacing w:line="240" w:lineRule="auto"/>
              <w:jc w:val="left"/>
            </w:pPr>
            <w:r w:rsidRPr="007D2D79">
              <w:t xml:space="preserve"> £      1,350 </w:t>
            </w:r>
          </w:p>
        </w:tc>
        <w:tc>
          <w:tcPr>
            <w:tcW w:w="1719" w:type="pct"/>
            <w:tcBorders>
              <w:top w:val="nil"/>
              <w:left w:val="nil"/>
              <w:bottom w:val="single" w:sz="4" w:space="0" w:color="auto"/>
              <w:right w:val="single" w:sz="4" w:space="0" w:color="auto"/>
            </w:tcBorders>
            <w:shd w:val="clear" w:color="000000" w:fill="FFFFFF"/>
            <w:vAlign w:val="bottom"/>
            <w:hideMark/>
          </w:tcPr>
          <w:p w14:paraId="05FEA085" w14:textId="77777777" w:rsidR="008354E6" w:rsidRPr="007D2D79" w:rsidRDefault="00000000" w:rsidP="008A2EDE">
            <w:pPr>
              <w:spacing w:line="240" w:lineRule="auto"/>
              <w:jc w:val="right"/>
            </w:pPr>
            <w:r w:rsidRPr="007D2D79">
              <w:t>0.99</w:t>
            </w:r>
          </w:p>
        </w:tc>
        <w:tc>
          <w:tcPr>
            <w:tcW w:w="1291" w:type="pct"/>
            <w:tcBorders>
              <w:top w:val="nil"/>
              <w:left w:val="nil"/>
              <w:bottom w:val="single" w:sz="4" w:space="0" w:color="auto"/>
              <w:right w:val="single" w:sz="4" w:space="0" w:color="auto"/>
            </w:tcBorders>
            <w:shd w:val="clear" w:color="000000" w:fill="FFFFFF"/>
            <w:vAlign w:val="bottom"/>
            <w:hideMark/>
          </w:tcPr>
          <w:p w14:paraId="1460B894" w14:textId="77777777" w:rsidR="008354E6" w:rsidRPr="007D2D79" w:rsidRDefault="00000000" w:rsidP="008A2EDE">
            <w:pPr>
              <w:spacing w:line="240" w:lineRule="auto"/>
              <w:jc w:val="left"/>
            </w:pPr>
            <w:r w:rsidRPr="007D2D79">
              <w:t xml:space="preserve"> £      1,340 </w:t>
            </w:r>
          </w:p>
        </w:tc>
      </w:tr>
      <w:tr w:rsidR="00E8612F" w14:paraId="16399213" w14:textId="77777777" w:rsidTr="008A2EDE">
        <w:trPr>
          <w:trHeight w:val="312"/>
        </w:trPr>
        <w:tc>
          <w:tcPr>
            <w:tcW w:w="843" w:type="pct"/>
            <w:tcBorders>
              <w:top w:val="nil"/>
              <w:left w:val="single" w:sz="4" w:space="0" w:color="auto"/>
              <w:bottom w:val="single" w:sz="4" w:space="0" w:color="auto"/>
              <w:right w:val="single" w:sz="4" w:space="0" w:color="auto"/>
            </w:tcBorders>
            <w:shd w:val="clear" w:color="000000" w:fill="FFFFFF"/>
            <w:vAlign w:val="bottom"/>
            <w:hideMark/>
          </w:tcPr>
          <w:p w14:paraId="567FB3B5" w14:textId="77777777" w:rsidR="008354E6" w:rsidRPr="007D2D79" w:rsidRDefault="00000000" w:rsidP="008A2EDE">
            <w:pPr>
              <w:spacing w:line="240" w:lineRule="auto"/>
              <w:jc w:val="right"/>
            </w:pPr>
            <w:r w:rsidRPr="007D2D79">
              <w:t>2</w:t>
            </w:r>
          </w:p>
        </w:tc>
        <w:tc>
          <w:tcPr>
            <w:tcW w:w="1148" w:type="pct"/>
            <w:tcBorders>
              <w:top w:val="nil"/>
              <w:left w:val="nil"/>
              <w:bottom w:val="single" w:sz="4" w:space="0" w:color="auto"/>
              <w:right w:val="single" w:sz="4" w:space="0" w:color="auto"/>
            </w:tcBorders>
            <w:shd w:val="clear" w:color="000000" w:fill="FFFFFF"/>
            <w:vAlign w:val="bottom"/>
            <w:hideMark/>
          </w:tcPr>
          <w:p w14:paraId="7C1E139F" w14:textId="77777777" w:rsidR="008354E6" w:rsidRPr="007D2D79" w:rsidRDefault="00000000" w:rsidP="008A2EDE">
            <w:pPr>
              <w:spacing w:line="240" w:lineRule="auto"/>
              <w:jc w:val="left"/>
            </w:pPr>
            <w:r w:rsidRPr="007D2D79">
              <w:t xml:space="preserve"> £         900 </w:t>
            </w:r>
          </w:p>
        </w:tc>
        <w:tc>
          <w:tcPr>
            <w:tcW w:w="1719" w:type="pct"/>
            <w:tcBorders>
              <w:top w:val="nil"/>
              <w:left w:val="nil"/>
              <w:bottom w:val="single" w:sz="4" w:space="0" w:color="auto"/>
              <w:right w:val="single" w:sz="4" w:space="0" w:color="auto"/>
            </w:tcBorders>
            <w:shd w:val="clear" w:color="000000" w:fill="FFFFFF"/>
            <w:vAlign w:val="bottom"/>
            <w:hideMark/>
          </w:tcPr>
          <w:p w14:paraId="28E3B80B" w14:textId="77777777" w:rsidR="008354E6" w:rsidRPr="007D2D79" w:rsidRDefault="00000000" w:rsidP="008A2EDE">
            <w:pPr>
              <w:spacing w:line="240" w:lineRule="auto"/>
              <w:jc w:val="right"/>
            </w:pPr>
            <w:r w:rsidRPr="007D2D79">
              <w:t>0.99</w:t>
            </w:r>
          </w:p>
        </w:tc>
        <w:tc>
          <w:tcPr>
            <w:tcW w:w="1291" w:type="pct"/>
            <w:tcBorders>
              <w:top w:val="nil"/>
              <w:left w:val="nil"/>
              <w:bottom w:val="single" w:sz="4" w:space="0" w:color="auto"/>
              <w:right w:val="single" w:sz="4" w:space="0" w:color="auto"/>
            </w:tcBorders>
            <w:shd w:val="clear" w:color="000000" w:fill="FFFFFF"/>
            <w:vAlign w:val="bottom"/>
            <w:hideMark/>
          </w:tcPr>
          <w:p w14:paraId="43184C72" w14:textId="77777777" w:rsidR="008354E6" w:rsidRPr="007D2D79" w:rsidRDefault="00000000" w:rsidP="008A2EDE">
            <w:pPr>
              <w:spacing w:line="240" w:lineRule="auto"/>
              <w:jc w:val="left"/>
            </w:pPr>
            <w:r w:rsidRPr="007D2D79">
              <w:t xml:space="preserve"> £         887 </w:t>
            </w:r>
          </w:p>
        </w:tc>
      </w:tr>
      <w:tr w:rsidR="00E8612F" w14:paraId="166D64AB" w14:textId="77777777" w:rsidTr="008A2EDE">
        <w:trPr>
          <w:trHeight w:val="312"/>
        </w:trPr>
        <w:tc>
          <w:tcPr>
            <w:tcW w:w="843" w:type="pct"/>
            <w:tcBorders>
              <w:top w:val="nil"/>
              <w:left w:val="single" w:sz="4" w:space="0" w:color="auto"/>
              <w:bottom w:val="single" w:sz="4" w:space="0" w:color="auto"/>
              <w:right w:val="single" w:sz="4" w:space="0" w:color="auto"/>
            </w:tcBorders>
            <w:shd w:val="clear" w:color="000000" w:fill="FFFFFF"/>
            <w:vAlign w:val="bottom"/>
            <w:hideMark/>
          </w:tcPr>
          <w:p w14:paraId="39A5A284" w14:textId="77777777" w:rsidR="008354E6" w:rsidRPr="007D2D79" w:rsidRDefault="00000000" w:rsidP="008A2EDE">
            <w:pPr>
              <w:spacing w:line="240" w:lineRule="auto"/>
              <w:jc w:val="right"/>
            </w:pPr>
            <w:r w:rsidRPr="007D2D79">
              <w:t>3</w:t>
            </w:r>
          </w:p>
        </w:tc>
        <w:tc>
          <w:tcPr>
            <w:tcW w:w="1148" w:type="pct"/>
            <w:tcBorders>
              <w:top w:val="nil"/>
              <w:left w:val="nil"/>
              <w:bottom w:val="single" w:sz="4" w:space="0" w:color="auto"/>
              <w:right w:val="single" w:sz="4" w:space="0" w:color="auto"/>
            </w:tcBorders>
            <w:shd w:val="clear" w:color="000000" w:fill="FFFFFF"/>
            <w:vAlign w:val="bottom"/>
            <w:hideMark/>
          </w:tcPr>
          <w:p w14:paraId="225883F6" w14:textId="77777777" w:rsidR="008354E6" w:rsidRPr="007D2D79" w:rsidRDefault="00000000" w:rsidP="008A2EDE">
            <w:pPr>
              <w:spacing w:line="240" w:lineRule="auto"/>
              <w:jc w:val="left"/>
            </w:pPr>
            <w:r w:rsidRPr="007D2D79">
              <w:t xml:space="preserve"> £         900 </w:t>
            </w:r>
          </w:p>
        </w:tc>
        <w:tc>
          <w:tcPr>
            <w:tcW w:w="1719" w:type="pct"/>
            <w:tcBorders>
              <w:top w:val="nil"/>
              <w:left w:val="nil"/>
              <w:bottom w:val="single" w:sz="4" w:space="0" w:color="auto"/>
              <w:right w:val="single" w:sz="4" w:space="0" w:color="auto"/>
            </w:tcBorders>
            <w:shd w:val="clear" w:color="000000" w:fill="FFFFFF"/>
            <w:vAlign w:val="bottom"/>
            <w:hideMark/>
          </w:tcPr>
          <w:p w14:paraId="38CB3E52" w14:textId="77777777" w:rsidR="008354E6" w:rsidRPr="007D2D79" w:rsidRDefault="00000000" w:rsidP="008A2EDE">
            <w:pPr>
              <w:spacing w:line="240" w:lineRule="auto"/>
              <w:jc w:val="right"/>
            </w:pPr>
            <w:r w:rsidRPr="007D2D79">
              <w:t>0.98</w:t>
            </w:r>
          </w:p>
        </w:tc>
        <w:tc>
          <w:tcPr>
            <w:tcW w:w="1291" w:type="pct"/>
            <w:tcBorders>
              <w:top w:val="nil"/>
              <w:left w:val="nil"/>
              <w:bottom w:val="single" w:sz="4" w:space="0" w:color="auto"/>
              <w:right w:val="single" w:sz="4" w:space="0" w:color="auto"/>
            </w:tcBorders>
            <w:shd w:val="clear" w:color="000000" w:fill="FFFFFF"/>
            <w:vAlign w:val="bottom"/>
            <w:hideMark/>
          </w:tcPr>
          <w:p w14:paraId="6822B457" w14:textId="77777777" w:rsidR="008354E6" w:rsidRPr="007D2D79" w:rsidRDefault="00000000" w:rsidP="008A2EDE">
            <w:pPr>
              <w:spacing w:line="240" w:lineRule="auto"/>
              <w:jc w:val="left"/>
            </w:pPr>
            <w:r w:rsidRPr="007D2D79">
              <w:t xml:space="preserve"> £         880 </w:t>
            </w:r>
          </w:p>
        </w:tc>
      </w:tr>
      <w:tr w:rsidR="00E8612F" w14:paraId="1C8B28F3" w14:textId="77777777" w:rsidTr="008A2EDE">
        <w:trPr>
          <w:trHeight w:val="312"/>
        </w:trPr>
        <w:tc>
          <w:tcPr>
            <w:tcW w:w="843" w:type="pct"/>
            <w:tcBorders>
              <w:top w:val="nil"/>
              <w:left w:val="single" w:sz="4" w:space="0" w:color="auto"/>
              <w:bottom w:val="single" w:sz="4" w:space="0" w:color="auto"/>
              <w:right w:val="single" w:sz="4" w:space="0" w:color="auto"/>
            </w:tcBorders>
            <w:shd w:val="clear" w:color="000000" w:fill="FFFFFF"/>
            <w:vAlign w:val="bottom"/>
            <w:hideMark/>
          </w:tcPr>
          <w:p w14:paraId="7DBBBFA5" w14:textId="77777777" w:rsidR="008354E6" w:rsidRPr="007D2D79" w:rsidRDefault="00000000" w:rsidP="008A2EDE">
            <w:pPr>
              <w:spacing w:line="240" w:lineRule="auto"/>
              <w:jc w:val="right"/>
            </w:pPr>
            <w:r w:rsidRPr="007D2D79">
              <w:t>4</w:t>
            </w:r>
          </w:p>
        </w:tc>
        <w:tc>
          <w:tcPr>
            <w:tcW w:w="1148" w:type="pct"/>
            <w:tcBorders>
              <w:top w:val="nil"/>
              <w:left w:val="nil"/>
              <w:bottom w:val="single" w:sz="4" w:space="0" w:color="auto"/>
              <w:right w:val="single" w:sz="4" w:space="0" w:color="auto"/>
            </w:tcBorders>
            <w:shd w:val="clear" w:color="000000" w:fill="FFFFFF"/>
            <w:vAlign w:val="bottom"/>
            <w:hideMark/>
          </w:tcPr>
          <w:p w14:paraId="26B420BE" w14:textId="77777777" w:rsidR="008354E6" w:rsidRPr="007D2D79" w:rsidRDefault="00000000" w:rsidP="008A2EDE">
            <w:pPr>
              <w:spacing w:line="240" w:lineRule="auto"/>
              <w:jc w:val="left"/>
            </w:pPr>
            <w:r w:rsidRPr="007D2D79">
              <w:t xml:space="preserve">-£         423 </w:t>
            </w:r>
          </w:p>
        </w:tc>
        <w:tc>
          <w:tcPr>
            <w:tcW w:w="1719" w:type="pct"/>
            <w:tcBorders>
              <w:top w:val="nil"/>
              <w:left w:val="nil"/>
              <w:bottom w:val="single" w:sz="4" w:space="0" w:color="auto"/>
              <w:right w:val="single" w:sz="4" w:space="0" w:color="auto"/>
            </w:tcBorders>
            <w:shd w:val="clear" w:color="000000" w:fill="FFFFFF"/>
            <w:vAlign w:val="bottom"/>
            <w:hideMark/>
          </w:tcPr>
          <w:p w14:paraId="6758DFFA" w14:textId="77777777" w:rsidR="008354E6" w:rsidRPr="007D2D79" w:rsidRDefault="00000000" w:rsidP="008A2EDE">
            <w:pPr>
              <w:spacing w:line="240" w:lineRule="auto"/>
              <w:jc w:val="right"/>
            </w:pPr>
            <w:r w:rsidRPr="007D2D79">
              <w:t>0.97</w:t>
            </w:r>
          </w:p>
        </w:tc>
        <w:tc>
          <w:tcPr>
            <w:tcW w:w="1291" w:type="pct"/>
            <w:tcBorders>
              <w:top w:val="nil"/>
              <w:left w:val="nil"/>
              <w:bottom w:val="single" w:sz="4" w:space="0" w:color="auto"/>
              <w:right w:val="single" w:sz="4" w:space="0" w:color="auto"/>
            </w:tcBorders>
            <w:shd w:val="clear" w:color="000000" w:fill="FFFFFF"/>
            <w:vAlign w:val="bottom"/>
            <w:hideMark/>
          </w:tcPr>
          <w:p w14:paraId="57957A8C" w14:textId="77777777" w:rsidR="008354E6" w:rsidRPr="007D2D79" w:rsidRDefault="00000000" w:rsidP="008A2EDE">
            <w:pPr>
              <w:spacing w:line="240" w:lineRule="auto"/>
              <w:jc w:val="left"/>
            </w:pPr>
            <w:r w:rsidRPr="007D2D79">
              <w:t xml:space="preserve">-£         411 </w:t>
            </w:r>
          </w:p>
        </w:tc>
      </w:tr>
      <w:tr w:rsidR="00E8612F" w14:paraId="479B3B2E" w14:textId="77777777" w:rsidTr="008A2EDE">
        <w:trPr>
          <w:trHeight w:val="324"/>
        </w:trPr>
        <w:tc>
          <w:tcPr>
            <w:tcW w:w="3709"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21AEAED2" w14:textId="77777777" w:rsidR="008354E6" w:rsidRPr="007D2D79" w:rsidRDefault="00000000" w:rsidP="008A2EDE">
            <w:pPr>
              <w:spacing w:line="240" w:lineRule="auto"/>
              <w:jc w:val="center"/>
            </w:pPr>
            <w:r w:rsidRPr="007D2D79">
              <w:t>Costs of Capital</w:t>
            </w:r>
          </w:p>
        </w:tc>
        <w:tc>
          <w:tcPr>
            <w:tcW w:w="1291" w:type="pct"/>
            <w:tcBorders>
              <w:top w:val="nil"/>
              <w:left w:val="single" w:sz="4" w:space="0" w:color="auto"/>
              <w:bottom w:val="single" w:sz="4" w:space="0" w:color="auto"/>
              <w:right w:val="single" w:sz="4" w:space="0" w:color="auto"/>
            </w:tcBorders>
            <w:shd w:val="clear" w:color="000000" w:fill="FFE699"/>
            <w:vAlign w:val="bottom"/>
            <w:hideMark/>
          </w:tcPr>
          <w:p w14:paraId="45757F23" w14:textId="77777777" w:rsidR="008354E6" w:rsidRPr="007D2D79" w:rsidRDefault="00000000" w:rsidP="008A2EDE">
            <w:pPr>
              <w:spacing w:line="240" w:lineRule="auto"/>
              <w:jc w:val="right"/>
              <w:rPr>
                <w:b/>
                <w:bCs/>
                <w:i/>
                <w:iCs/>
              </w:rPr>
            </w:pPr>
            <w:r w:rsidRPr="007D2D79">
              <w:rPr>
                <w:b/>
                <w:bCs/>
                <w:i/>
                <w:iCs/>
              </w:rPr>
              <w:t>0.75%</w:t>
            </w:r>
          </w:p>
        </w:tc>
      </w:tr>
      <w:tr w:rsidR="00E8612F" w14:paraId="3048C45C" w14:textId="77777777" w:rsidTr="008A2EDE">
        <w:trPr>
          <w:trHeight w:val="324"/>
        </w:trPr>
        <w:tc>
          <w:tcPr>
            <w:tcW w:w="3709"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293A28E8" w14:textId="77777777" w:rsidR="008354E6" w:rsidRPr="007D2D79" w:rsidRDefault="00000000" w:rsidP="008A2EDE">
            <w:pPr>
              <w:spacing w:line="240" w:lineRule="auto"/>
              <w:jc w:val="center"/>
              <w:rPr>
                <w:b/>
                <w:bCs/>
              </w:rPr>
            </w:pPr>
            <w:r w:rsidRPr="007D2D79">
              <w:rPr>
                <w:b/>
                <w:bCs/>
              </w:rPr>
              <w:t>Payback (Years)</w:t>
            </w:r>
          </w:p>
        </w:tc>
        <w:tc>
          <w:tcPr>
            <w:tcW w:w="1291" w:type="pct"/>
            <w:tcBorders>
              <w:top w:val="nil"/>
              <w:left w:val="single" w:sz="4" w:space="0" w:color="auto"/>
              <w:bottom w:val="single" w:sz="4" w:space="0" w:color="auto"/>
              <w:right w:val="single" w:sz="4" w:space="0" w:color="auto"/>
            </w:tcBorders>
            <w:shd w:val="clear" w:color="000000" w:fill="FFE699"/>
            <w:vAlign w:val="bottom"/>
            <w:hideMark/>
          </w:tcPr>
          <w:p w14:paraId="374013EA" w14:textId="77777777" w:rsidR="008354E6" w:rsidRPr="007D2D79" w:rsidRDefault="00000000" w:rsidP="008A2EDE">
            <w:pPr>
              <w:spacing w:line="240" w:lineRule="auto"/>
              <w:jc w:val="right"/>
              <w:rPr>
                <w:b/>
                <w:bCs/>
                <w:i/>
                <w:iCs/>
              </w:rPr>
            </w:pPr>
            <w:r w:rsidRPr="007D2D79">
              <w:rPr>
                <w:b/>
                <w:bCs/>
                <w:i/>
                <w:iCs/>
              </w:rPr>
              <w:t>0.8</w:t>
            </w:r>
          </w:p>
        </w:tc>
      </w:tr>
      <w:tr w:rsidR="00E8612F" w14:paraId="7BBD7869" w14:textId="77777777" w:rsidTr="008A2EDE">
        <w:trPr>
          <w:trHeight w:val="324"/>
        </w:trPr>
        <w:tc>
          <w:tcPr>
            <w:tcW w:w="3709"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72A1DAC8" w14:textId="77777777" w:rsidR="008354E6" w:rsidRPr="007D2D79" w:rsidRDefault="00000000" w:rsidP="008A2EDE">
            <w:pPr>
              <w:spacing w:line="240" w:lineRule="auto"/>
              <w:jc w:val="center"/>
              <w:rPr>
                <w:b/>
                <w:bCs/>
              </w:rPr>
            </w:pPr>
            <w:r w:rsidRPr="007D2D79">
              <w:rPr>
                <w:b/>
                <w:bCs/>
              </w:rPr>
              <w:t>Net Present Value</w:t>
            </w:r>
          </w:p>
        </w:tc>
        <w:tc>
          <w:tcPr>
            <w:tcW w:w="1291" w:type="pct"/>
            <w:tcBorders>
              <w:top w:val="nil"/>
              <w:left w:val="single" w:sz="4" w:space="0" w:color="auto"/>
              <w:bottom w:val="single" w:sz="4" w:space="0" w:color="auto"/>
              <w:right w:val="single" w:sz="4" w:space="0" w:color="auto"/>
            </w:tcBorders>
            <w:shd w:val="clear" w:color="000000" w:fill="FFE699"/>
            <w:vAlign w:val="bottom"/>
            <w:hideMark/>
          </w:tcPr>
          <w:p w14:paraId="465310EF" w14:textId="77777777" w:rsidR="008354E6" w:rsidRPr="007D2D79" w:rsidRDefault="00000000" w:rsidP="008A2EDE">
            <w:pPr>
              <w:spacing w:line="240" w:lineRule="auto"/>
              <w:jc w:val="left"/>
              <w:rPr>
                <w:b/>
                <w:bCs/>
                <w:i/>
                <w:iCs/>
              </w:rPr>
            </w:pPr>
            <w:r w:rsidRPr="007D2D79">
              <w:rPr>
                <w:b/>
                <w:bCs/>
                <w:i/>
                <w:iCs/>
              </w:rPr>
              <w:t xml:space="preserve"> £ 1,596.11 </w:t>
            </w:r>
          </w:p>
        </w:tc>
      </w:tr>
      <w:tr w:rsidR="00E8612F" w14:paraId="77E20AD6" w14:textId="77777777" w:rsidTr="008A2EDE">
        <w:trPr>
          <w:trHeight w:val="324"/>
        </w:trPr>
        <w:tc>
          <w:tcPr>
            <w:tcW w:w="3709"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2EC16150" w14:textId="77777777" w:rsidR="008354E6" w:rsidRPr="007D2D79" w:rsidRDefault="00000000" w:rsidP="008A2EDE">
            <w:pPr>
              <w:spacing w:line="240" w:lineRule="auto"/>
              <w:jc w:val="center"/>
              <w:rPr>
                <w:b/>
                <w:bCs/>
              </w:rPr>
            </w:pPr>
            <w:r w:rsidRPr="007D2D79">
              <w:rPr>
                <w:b/>
                <w:bCs/>
              </w:rPr>
              <w:t>ARR</w:t>
            </w:r>
          </w:p>
        </w:tc>
        <w:tc>
          <w:tcPr>
            <w:tcW w:w="1291" w:type="pct"/>
            <w:tcBorders>
              <w:top w:val="nil"/>
              <w:left w:val="single" w:sz="4" w:space="0" w:color="auto"/>
              <w:bottom w:val="single" w:sz="4" w:space="0" w:color="auto"/>
              <w:right w:val="single" w:sz="4" w:space="0" w:color="auto"/>
            </w:tcBorders>
            <w:shd w:val="clear" w:color="000000" w:fill="FFE699"/>
            <w:vAlign w:val="bottom"/>
            <w:hideMark/>
          </w:tcPr>
          <w:p w14:paraId="4BBEF5A1" w14:textId="77777777" w:rsidR="008354E6" w:rsidRPr="007D2D79" w:rsidRDefault="00000000" w:rsidP="008A2EDE">
            <w:pPr>
              <w:spacing w:line="240" w:lineRule="auto"/>
              <w:jc w:val="right"/>
              <w:rPr>
                <w:b/>
                <w:bCs/>
                <w:i/>
                <w:iCs/>
              </w:rPr>
            </w:pPr>
            <w:r w:rsidRPr="007D2D79">
              <w:rPr>
                <w:b/>
                <w:bCs/>
                <w:i/>
                <w:iCs/>
              </w:rPr>
              <w:t>147.91%</w:t>
            </w:r>
          </w:p>
        </w:tc>
      </w:tr>
      <w:tr w:rsidR="00E8612F" w14:paraId="7AE47E15" w14:textId="77777777" w:rsidTr="008A2EDE">
        <w:trPr>
          <w:trHeight w:val="324"/>
        </w:trPr>
        <w:tc>
          <w:tcPr>
            <w:tcW w:w="3709"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35C69C6B" w14:textId="77777777" w:rsidR="008354E6" w:rsidRPr="007D2D79" w:rsidRDefault="00000000" w:rsidP="008A2EDE">
            <w:pPr>
              <w:spacing w:line="240" w:lineRule="auto"/>
              <w:jc w:val="center"/>
              <w:rPr>
                <w:b/>
                <w:bCs/>
              </w:rPr>
            </w:pPr>
            <w:r w:rsidRPr="007D2D79">
              <w:rPr>
                <w:b/>
                <w:bCs/>
              </w:rPr>
              <w:t>IRR</w:t>
            </w:r>
          </w:p>
        </w:tc>
        <w:tc>
          <w:tcPr>
            <w:tcW w:w="1291" w:type="pct"/>
            <w:tcBorders>
              <w:top w:val="nil"/>
              <w:left w:val="single" w:sz="4" w:space="0" w:color="auto"/>
              <w:bottom w:val="single" w:sz="4" w:space="0" w:color="auto"/>
              <w:right w:val="single" w:sz="4" w:space="0" w:color="auto"/>
            </w:tcBorders>
            <w:shd w:val="clear" w:color="000000" w:fill="FFE699"/>
            <w:vAlign w:val="bottom"/>
            <w:hideMark/>
          </w:tcPr>
          <w:p w14:paraId="1F6B8545" w14:textId="77777777" w:rsidR="008354E6" w:rsidRPr="007D2D79" w:rsidRDefault="00000000" w:rsidP="008A2EDE">
            <w:pPr>
              <w:spacing w:line="240" w:lineRule="auto"/>
              <w:jc w:val="right"/>
              <w:rPr>
                <w:b/>
                <w:bCs/>
                <w:i/>
                <w:iCs/>
              </w:rPr>
            </w:pPr>
            <w:r w:rsidRPr="007D2D79">
              <w:rPr>
                <w:b/>
                <w:bCs/>
                <w:i/>
                <w:iCs/>
              </w:rPr>
              <w:t>84.85%</w:t>
            </w:r>
          </w:p>
        </w:tc>
      </w:tr>
    </w:tbl>
    <w:p w14:paraId="2AC5D98D" w14:textId="77777777" w:rsidR="008354E6" w:rsidRDefault="008354E6" w:rsidP="008354E6"/>
    <w:p w14:paraId="0337BBAF" w14:textId="77777777" w:rsidR="00B865C9" w:rsidRPr="008F2C7C" w:rsidRDefault="00000000" w:rsidP="008354E6">
      <w:pPr>
        <w:pStyle w:val="Heading1"/>
        <w:rPr>
          <w:lang w:val="en-GB"/>
        </w:rPr>
      </w:pPr>
      <w:r w:rsidRPr="008F2C7C">
        <w:rPr>
          <w:lang w:val="en-GB"/>
        </w:rPr>
        <w:t xml:space="preserve"> </w:t>
      </w:r>
    </w:p>
    <w:sectPr w:rsidR="00B865C9" w:rsidRPr="008F2C7C" w:rsidSect="008E2A40">
      <w:footerReference w:type="default" r:id="rId3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4AE690" w14:textId="77777777" w:rsidR="008E2A40" w:rsidRDefault="008E2A40" w:rsidP="00D3025C">
      <w:pPr>
        <w:spacing w:before="0" w:after="0" w:line="240" w:lineRule="auto"/>
      </w:pPr>
      <w:r>
        <w:separator/>
      </w:r>
    </w:p>
  </w:endnote>
  <w:endnote w:type="continuationSeparator" w:id="0">
    <w:p w14:paraId="043B7E44" w14:textId="77777777" w:rsidR="008E2A40" w:rsidRDefault="008E2A40" w:rsidP="00D3025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27709416"/>
      <w:docPartObj>
        <w:docPartGallery w:val="Page Numbers (Bottom of Page)"/>
        <w:docPartUnique/>
      </w:docPartObj>
    </w:sdtPr>
    <w:sdtEndPr>
      <w:rPr>
        <w:noProof/>
      </w:rPr>
    </w:sdtEndPr>
    <w:sdtContent>
      <w:p w14:paraId="259B8FC3" w14:textId="77777777" w:rsidR="00D3025C"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E6E010" w14:textId="77777777" w:rsidR="00D3025C" w:rsidRDefault="00D302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991056" w14:textId="77777777" w:rsidR="008E2A40" w:rsidRDefault="008E2A40" w:rsidP="00D3025C">
      <w:pPr>
        <w:spacing w:before="0" w:after="0" w:line="240" w:lineRule="auto"/>
      </w:pPr>
      <w:r>
        <w:separator/>
      </w:r>
    </w:p>
  </w:footnote>
  <w:footnote w:type="continuationSeparator" w:id="0">
    <w:p w14:paraId="29FFD823" w14:textId="77777777" w:rsidR="008E2A40" w:rsidRDefault="008E2A40" w:rsidP="00D3025C">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65C9"/>
    <w:rsid w:val="00017214"/>
    <w:rsid w:val="000B5835"/>
    <w:rsid w:val="00135A50"/>
    <w:rsid w:val="00192A7D"/>
    <w:rsid w:val="002A5AE3"/>
    <w:rsid w:val="00394A62"/>
    <w:rsid w:val="003A4BD2"/>
    <w:rsid w:val="003B08BC"/>
    <w:rsid w:val="0046348A"/>
    <w:rsid w:val="004714A7"/>
    <w:rsid w:val="00494F4E"/>
    <w:rsid w:val="004957AF"/>
    <w:rsid w:val="004966D6"/>
    <w:rsid w:val="004B0DC2"/>
    <w:rsid w:val="004B3143"/>
    <w:rsid w:val="004C7C3C"/>
    <w:rsid w:val="005A6EFD"/>
    <w:rsid w:val="005D6C54"/>
    <w:rsid w:val="005F48B8"/>
    <w:rsid w:val="006857F7"/>
    <w:rsid w:val="006A7DBB"/>
    <w:rsid w:val="0077734A"/>
    <w:rsid w:val="00795E40"/>
    <w:rsid w:val="007D2D79"/>
    <w:rsid w:val="008262AF"/>
    <w:rsid w:val="008275AF"/>
    <w:rsid w:val="008354E6"/>
    <w:rsid w:val="008A2EDE"/>
    <w:rsid w:val="008E2A40"/>
    <w:rsid w:val="008F2C7C"/>
    <w:rsid w:val="0093793D"/>
    <w:rsid w:val="009403FE"/>
    <w:rsid w:val="009449F5"/>
    <w:rsid w:val="009C391B"/>
    <w:rsid w:val="009E00C4"/>
    <w:rsid w:val="009E15C0"/>
    <w:rsid w:val="00B83E96"/>
    <w:rsid w:val="00B865C9"/>
    <w:rsid w:val="00C143B2"/>
    <w:rsid w:val="00C524C4"/>
    <w:rsid w:val="00C55152"/>
    <w:rsid w:val="00C814A1"/>
    <w:rsid w:val="00CD44EF"/>
    <w:rsid w:val="00D264D5"/>
    <w:rsid w:val="00D3025C"/>
    <w:rsid w:val="00D70236"/>
    <w:rsid w:val="00E6381E"/>
    <w:rsid w:val="00E8612F"/>
    <w:rsid w:val="00F4109B"/>
    <w:rsid w:val="00F7523E"/>
    <w:rsid w:val="00FC2725"/>
    <w:rsid w:val="00FD2FDB"/>
    <w:rsid w:val="00FF2F6D"/>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92A0AA"/>
  <w15:docId w15:val="{289D8EF3-3A6D-4A2F-8E37-FE690D907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zh-C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unhideWhenUsed/>
    <w:qFormat/>
    <w:rsid w:val="008262AF"/>
    <w:pPr>
      <w:jc w:val="center"/>
      <w:outlineLvl w:val="2"/>
    </w:pPr>
    <w:rPr>
      <w:b/>
      <w:lang w:val="en-G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8354E6"/>
    <w:rPr>
      <w:color w:val="0000FF" w:themeColor="hyperlink"/>
      <w:u w:val="single"/>
    </w:rPr>
  </w:style>
  <w:style w:type="character" w:styleId="UnresolvedMention">
    <w:name w:val="Unresolved Mention"/>
    <w:basedOn w:val="DefaultParagraphFont"/>
    <w:uiPriority w:val="99"/>
    <w:semiHidden/>
    <w:unhideWhenUsed/>
    <w:rsid w:val="008354E6"/>
    <w:rPr>
      <w:color w:val="605E5C"/>
      <w:shd w:val="clear" w:color="auto" w:fill="E1DFDD"/>
    </w:rPr>
  </w:style>
  <w:style w:type="paragraph" w:styleId="ListParagraph">
    <w:name w:val="List Paragraph"/>
    <w:basedOn w:val="Normal"/>
    <w:uiPriority w:val="34"/>
    <w:qFormat/>
    <w:rsid w:val="008354E6"/>
    <w:pPr>
      <w:ind w:left="720"/>
      <w:contextualSpacing/>
    </w:pPr>
  </w:style>
  <w:style w:type="paragraph" w:styleId="TOCHeading">
    <w:name w:val="TOC Heading"/>
    <w:basedOn w:val="Heading1"/>
    <w:next w:val="Normal"/>
    <w:uiPriority w:val="39"/>
    <w:unhideWhenUsed/>
    <w:qFormat/>
    <w:rsid w:val="00D3025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3025C"/>
    <w:pPr>
      <w:spacing w:after="100"/>
    </w:pPr>
  </w:style>
  <w:style w:type="paragraph" w:styleId="TOC2">
    <w:name w:val="toc 2"/>
    <w:basedOn w:val="Normal"/>
    <w:next w:val="Normal"/>
    <w:autoRedefine/>
    <w:uiPriority w:val="39"/>
    <w:unhideWhenUsed/>
    <w:rsid w:val="00D3025C"/>
    <w:pPr>
      <w:spacing w:after="100"/>
      <w:ind w:left="240"/>
    </w:pPr>
  </w:style>
  <w:style w:type="paragraph" w:styleId="Header">
    <w:name w:val="header"/>
    <w:basedOn w:val="Normal"/>
    <w:link w:val="HeaderChar"/>
    <w:uiPriority w:val="99"/>
    <w:unhideWhenUsed/>
    <w:rsid w:val="00D3025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3025C"/>
  </w:style>
  <w:style w:type="paragraph" w:styleId="Footer">
    <w:name w:val="footer"/>
    <w:basedOn w:val="Normal"/>
    <w:link w:val="FooterChar"/>
    <w:uiPriority w:val="99"/>
    <w:unhideWhenUsed/>
    <w:rsid w:val="00D3025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3025C"/>
  </w:style>
  <w:style w:type="paragraph" w:styleId="TableofFigures">
    <w:name w:val="table of figures"/>
    <w:basedOn w:val="Normal"/>
    <w:next w:val="Normal"/>
    <w:uiPriority w:val="99"/>
    <w:unhideWhenUsed/>
    <w:rsid w:val="004957A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annualreports.com/Company/general-motors" TargetMode="External"/><Relationship Id="rId26" Type="http://schemas.openxmlformats.org/officeDocument/2006/relationships/hyperlink" Target="https://www.wsj.com/market-data/quotes/GM/financials" TargetMode="External"/><Relationship Id="rId3" Type="http://schemas.openxmlformats.org/officeDocument/2006/relationships/settings" Target="settings.xml"/><Relationship Id="rId21" Type="http://schemas.openxmlformats.org/officeDocument/2006/relationships/hyperlink" Target="https://investor.gm.com/static-files/78f06039-f442-41a0-8929-81021e9ccb17"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theverge.com/2023/2/9/23591394/gm-globalfoundries-deal-semiconductor-chip-shortage"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forbes.com/companies/general-motors/?sh=3d7d29e54e09" TargetMode="External"/><Relationship Id="rId29" Type="http://schemas.openxmlformats.org/officeDocument/2006/relationships/image" Target="media/image13.emf"/><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statista.com/statistics/225349/revenue-of-general-motors/"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statista.com/statistics/258057/revenue-by-region-of-general-motors/" TargetMode="External"/><Relationship Id="rId28" Type="http://schemas.openxmlformats.org/officeDocument/2006/relationships/image" Target="media/image12.emf"/><Relationship Id="rId10" Type="http://schemas.openxmlformats.org/officeDocument/2006/relationships/image" Target="media/image4.png"/><Relationship Id="rId19" Type="http://schemas.openxmlformats.org/officeDocument/2006/relationships/hyperlink" Target="https://www.bloomberg.com/news/articles/2024-01-30/gm-beats-fourth-quarter-estimates-sees-higher-profit-in-2024"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investor.gm.com/static-files/12adf215-2927-498e-a958-66345e607b98" TargetMode="External"/><Relationship Id="rId27" Type="http://schemas.openxmlformats.org/officeDocument/2006/relationships/hyperlink" Target="https://finance.yahoo.com/quote/GM/financials"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8087C8-F472-4863-8AEE-75D774E956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34</Pages>
  <Words>7187</Words>
  <Characters>40107</Characters>
  <Application>Microsoft Office Word</Application>
  <DocSecurity>0</DocSecurity>
  <Lines>853</Lines>
  <Paragraphs>426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sameer hashmi</cp:lastModifiedBy>
  <cp:revision>62</cp:revision>
  <dcterms:created xsi:type="dcterms:W3CDTF">2024-04-05T11:48:00Z</dcterms:created>
  <dcterms:modified xsi:type="dcterms:W3CDTF">2024-04-23T12:44:00Z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2f538e96b6f0129ae62a09b808b90a5ace696404b8f26a80592d7c593ad9be28</vt:lpwstr>
  </property>
</Properties>
</file>