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B417FC" w14:textId="77777777" w:rsidR="00FF28E3" w:rsidRDefault="00FF28E3" w:rsidP="00FF28E3">
      <w:pPr>
        <w:spacing w:line="360" w:lineRule="auto"/>
        <w:jc w:val="center"/>
        <w:rPr>
          <w:b/>
          <w:bCs/>
          <w:sz w:val="32"/>
          <w:szCs w:val="32"/>
        </w:rPr>
      </w:pPr>
      <w:r>
        <w:rPr>
          <w:b/>
          <w:bCs/>
          <w:noProof/>
          <w:sz w:val="32"/>
          <w:szCs w:val="32"/>
          <w:lang w:val="en-IN"/>
        </w:rPr>
        <w:drawing>
          <wp:inline distT="114300" distB="114300" distL="114300" distR="114300" wp14:anchorId="0E52C674" wp14:editId="1893FEAD">
            <wp:extent cx="3190875" cy="1190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190875" cy="1190625"/>
                    </a:xfrm>
                    <a:prstGeom prst="rect">
                      <a:avLst/>
                    </a:prstGeom>
                    <a:ln/>
                  </pic:spPr>
                </pic:pic>
              </a:graphicData>
            </a:graphic>
          </wp:inline>
        </w:drawing>
      </w:r>
    </w:p>
    <w:p w14:paraId="4108F59D" w14:textId="77777777" w:rsidR="00FF28E3" w:rsidRDefault="00FF28E3" w:rsidP="00FF28E3">
      <w:pPr>
        <w:spacing w:line="360" w:lineRule="auto"/>
        <w:jc w:val="center"/>
        <w:rPr>
          <w:b/>
          <w:bCs/>
          <w:sz w:val="32"/>
          <w:szCs w:val="32"/>
        </w:rPr>
      </w:pPr>
    </w:p>
    <w:p w14:paraId="0FC3646D" w14:textId="77777777" w:rsidR="00FF28E3" w:rsidRDefault="00FF28E3" w:rsidP="00FF28E3">
      <w:pPr>
        <w:spacing w:line="360" w:lineRule="auto"/>
        <w:jc w:val="center"/>
        <w:rPr>
          <w:b/>
          <w:bCs/>
          <w:sz w:val="32"/>
          <w:szCs w:val="32"/>
        </w:rPr>
      </w:pPr>
    </w:p>
    <w:p w14:paraId="55F05BA6" w14:textId="77777777" w:rsidR="00FF28E3" w:rsidRDefault="00FF28E3" w:rsidP="00FF28E3">
      <w:pPr>
        <w:spacing w:line="360" w:lineRule="auto"/>
        <w:jc w:val="center"/>
        <w:rPr>
          <w:b/>
          <w:bCs/>
          <w:sz w:val="32"/>
          <w:szCs w:val="32"/>
        </w:rPr>
      </w:pPr>
    </w:p>
    <w:p w14:paraId="00F8D609" w14:textId="77777777" w:rsidR="00FF28E3" w:rsidRDefault="00FF28E3" w:rsidP="00FF28E3">
      <w:pPr>
        <w:spacing w:line="360" w:lineRule="auto"/>
        <w:jc w:val="center"/>
        <w:rPr>
          <w:b/>
          <w:bCs/>
          <w:sz w:val="32"/>
          <w:szCs w:val="32"/>
        </w:rPr>
      </w:pPr>
    </w:p>
    <w:p w14:paraId="6537CBDE" w14:textId="77777777" w:rsidR="00FF28E3" w:rsidRDefault="00FF28E3" w:rsidP="00FF28E3">
      <w:pPr>
        <w:spacing w:line="360" w:lineRule="auto"/>
        <w:jc w:val="center"/>
        <w:rPr>
          <w:b/>
          <w:bCs/>
          <w:sz w:val="32"/>
          <w:szCs w:val="32"/>
        </w:rPr>
      </w:pPr>
    </w:p>
    <w:p w14:paraId="2894F11F" w14:textId="77777777" w:rsidR="00FF28E3" w:rsidRDefault="00FF28E3" w:rsidP="00FF28E3">
      <w:pPr>
        <w:spacing w:line="360" w:lineRule="auto"/>
        <w:jc w:val="center"/>
        <w:rPr>
          <w:b/>
          <w:bCs/>
          <w:sz w:val="32"/>
          <w:szCs w:val="32"/>
        </w:rPr>
      </w:pPr>
    </w:p>
    <w:p w14:paraId="74F2FFA9" w14:textId="77777777" w:rsidR="00FF28E3" w:rsidRDefault="00FF28E3" w:rsidP="00FF28E3">
      <w:pPr>
        <w:spacing w:line="360" w:lineRule="auto"/>
        <w:jc w:val="center"/>
        <w:rPr>
          <w:b/>
          <w:bCs/>
          <w:sz w:val="32"/>
          <w:szCs w:val="32"/>
        </w:rPr>
      </w:pPr>
      <w:r>
        <w:rPr>
          <w:b/>
          <w:bCs/>
          <w:sz w:val="32"/>
          <w:szCs w:val="32"/>
        </w:rPr>
        <w:t>Programme: Master of Business Administration</w:t>
      </w:r>
    </w:p>
    <w:p w14:paraId="2946E896" w14:textId="77777777" w:rsidR="00FF28E3" w:rsidRDefault="00FF28E3" w:rsidP="00FF28E3">
      <w:pPr>
        <w:spacing w:line="360" w:lineRule="auto"/>
        <w:jc w:val="center"/>
        <w:rPr>
          <w:b/>
          <w:bCs/>
          <w:sz w:val="32"/>
          <w:szCs w:val="32"/>
        </w:rPr>
      </w:pPr>
      <w:r>
        <w:rPr>
          <w:b/>
          <w:bCs/>
          <w:sz w:val="32"/>
          <w:szCs w:val="32"/>
        </w:rPr>
        <w:t>Module: Financial Management</w:t>
      </w:r>
    </w:p>
    <w:p w14:paraId="20559571" w14:textId="77777777" w:rsidR="00FF28E3" w:rsidRDefault="00FF28E3" w:rsidP="00FF28E3">
      <w:pPr>
        <w:spacing w:line="360" w:lineRule="auto"/>
        <w:jc w:val="center"/>
        <w:rPr>
          <w:b/>
          <w:bCs/>
          <w:sz w:val="32"/>
          <w:szCs w:val="32"/>
        </w:rPr>
      </w:pPr>
      <w:r>
        <w:rPr>
          <w:b/>
          <w:bCs/>
          <w:sz w:val="32"/>
          <w:szCs w:val="32"/>
        </w:rPr>
        <w:t>Module code: LCMB7002</w:t>
      </w:r>
    </w:p>
    <w:p w14:paraId="2C5AE94F" w14:textId="77777777" w:rsidR="0023408D" w:rsidRDefault="0023408D">
      <w:pPr>
        <w:spacing w:after="240" w:line="360" w:lineRule="auto"/>
        <w:jc w:val="center"/>
        <w:rPr>
          <w:b/>
          <w:bCs/>
          <w:sz w:val="30"/>
          <w:szCs w:val="30"/>
        </w:rPr>
      </w:pPr>
      <w:r>
        <w:rPr>
          <w:b/>
          <w:bCs/>
          <w:sz w:val="30"/>
          <w:szCs w:val="30"/>
        </w:rPr>
        <w:t>Report Title: Financial Performance Analysis, Strategic Financial Restructuring and Investment Appraisal of Host Hotels &amp; Resorts, Inc.</w:t>
      </w:r>
    </w:p>
    <w:p w14:paraId="1C5AFAF4" w14:textId="77777777" w:rsidR="0023408D" w:rsidRDefault="0023408D" w:rsidP="0023408D">
      <w:pPr>
        <w:spacing w:line="360" w:lineRule="auto"/>
        <w:jc w:val="center"/>
        <w:rPr>
          <w:b/>
          <w:bCs/>
          <w:sz w:val="32"/>
          <w:szCs w:val="32"/>
        </w:rPr>
      </w:pPr>
    </w:p>
    <w:tbl>
      <w:tblPr>
        <w:tblStyle w:val="TableGrid"/>
        <w:tblW w:w="0" w:type="auto"/>
        <w:jc w:val="center"/>
        <w:tblLayout w:type="fixed"/>
        <w:tblLook w:val="04A0" w:firstRow="1" w:lastRow="0" w:firstColumn="1" w:lastColumn="0" w:noHBand="0" w:noVBand="1"/>
      </w:tblPr>
      <w:tblGrid>
        <w:gridCol w:w="2376"/>
        <w:gridCol w:w="6984"/>
      </w:tblGrid>
      <w:tr w:rsidR="0023408D" w:rsidRPr="0088702A" w14:paraId="7EC6E1DD" w14:textId="77777777" w:rsidTr="0023408D">
        <w:trPr>
          <w:jc w:val="center"/>
        </w:trPr>
        <w:tc>
          <w:tcPr>
            <w:tcW w:w="2376" w:type="dxa"/>
            <w:shd w:val="clear" w:color="auto" w:fill="D9EAF7"/>
            <w:tcMar>
              <w:top w:w="120" w:type="dxa"/>
              <w:left w:w="120" w:type="dxa"/>
              <w:bottom w:w="120" w:type="dxa"/>
              <w:right w:w="120" w:type="dxa"/>
            </w:tcMar>
            <w:vAlign w:val="center"/>
          </w:tcPr>
          <w:p w14:paraId="695A1A9C" w14:textId="77777777" w:rsidR="0023408D" w:rsidRPr="0088702A" w:rsidRDefault="0023408D" w:rsidP="0023408D">
            <w:pPr>
              <w:rPr>
                <w:rFonts w:ascii="Times New Roman" w:hAnsi="Times New Roman" w:cs="Times New Roman"/>
                <w:szCs w:val="24"/>
              </w:rPr>
            </w:pPr>
            <w:r w:rsidRPr="0088702A">
              <w:rPr>
                <w:rFonts w:ascii="Times New Roman" w:hAnsi="Times New Roman" w:cs="Times New Roman"/>
                <w:b/>
                <w:szCs w:val="24"/>
              </w:rPr>
              <w:t>Student name</w:t>
            </w:r>
          </w:p>
        </w:tc>
        <w:tc>
          <w:tcPr>
            <w:tcW w:w="6984" w:type="dxa"/>
            <w:tcMar>
              <w:top w:w="120" w:type="dxa"/>
              <w:left w:w="120" w:type="dxa"/>
              <w:bottom w:w="120" w:type="dxa"/>
              <w:right w:w="120" w:type="dxa"/>
            </w:tcMar>
            <w:vAlign w:val="center"/>
          </w:tcPr>
          <w:p w14:paraId="40BBC6D0" w14:textId="2842B538" w:rsidR="0023408D" w:rsidRPr="0088702A" w:rsidRDefault="00F9373F" w:rsidP="0023408D">
            <w:pPr>
              <w:rPr>
                <w:rFonts w:ascii="Times New Roman" w:hAnsi="Times New Roman" w:cs="Times New Roman"/>
                <w:szCs w:val="24"/>
              </w:rPr>
            </w:pPr>
            <w:proofErr w:type="spellStart"/>
            <w:r>
              <w:rPr>
                <w:rFonts w:ascii="Times New Roman" w:hAnsi="Times New Roman" w:cs="Times New Roman"/>
                <w:szCs w:val="24"/>
              </w:rPr>
              <w:t>Arbaj</w:t>
            </w:r>
            <w:proofErr w:type="spellEnd"/>
            <w:r>
              <w:rPr>
                <w:rFonts w:ascii="Times New Roman" w:hAnsi="Times New Roman" w:cs="Times New Roman"/>
                <w:szCs w:val="24"/>
              </w:rPr>
              <w:t xml:space="preserve"> </w:t>
            </w:r>
            <w:proofErr w:type="spellStart"/>
            <w:r>
              <w:rPr>
                <w:rFonts w:ascii="Times New Roman" w:hAnsi="Times New Roman" w:cs="Times New Roman"/>
                <w:szCs w:val="24"/>
              </w:rPr>
              <w:t>Mustufa</w:t>
            </w:r>
            <w:proofErr w:type="spellEnd"/>
            <w:r>
              <w:rPr>
                <w:rFonts w:ascii="Times New Roman" w:hAnsi="Times New Roman" w:cs="Times New Roman"/>
                <w:szCs w:val="24"/>
              </w:rPr>
              <w:t xml:space="preserve"> </w:t>
            </w:r>
            <w:proofErr w:type="spellStart"/>
            <w:r>
              <w:rPr>
                <w:rFonts w:ascii="Times New Roman" w:hAnsi="Times New Roman" w:cs="Times New Roman"/>
                <w:szCs w:val="24"/>
              </w:rPr>
              <w:t>Shaikh</w:t>
            </w:r>
            <w:proofErr w:type="spellEnd"/>
            <w:r>
              <w:rPr>
                <w:rFonts w:ascii="Times New Roman" w:hAnsi="Times New Roman" w:cs="Times New Roman"/>
                <w:szCs w:val="24"/>
              </w:rPr>
              <w:t xml:space="preserve"> </w:t>
            </w:r>
          </w:p>
        </w:tc>
      </w:tr>
      <w:tr w:rsidR="0023408D" w:rsidRPr="0088702A" w14:paraId="2C5C252B" w14:textId="77777777" w:rsidTr="0023408D">
        <w:trPr>
          <w:jc w:val="center"/>
        </w:trPr>
        <w:tc>
          <w:tcPr>
            <w:tcW w:w="2376" w:type="dxa"/>
            <w:shd w:val="clear" w:color="auto" w:fill="D9EAF7"/>
            <w:tcMar>
              <w:top w:w="120" w:type="dxa"/>
              <w:left w:w="120" w:type="dxa"/>
              <w:bottom w:w="120" w:type="dxa"/>
              <w:right w:w="120" w:type="dxa"/>
            </w:tcMar>
            <w:vAlign w:val="center"/>
          </w:tcPr>
          <w:p w14:paraId="2ED3E65A" w14:textId="77777777" w:rsidR="0023408D" w:rsidRPr="0088702A" w:rsidRDefault="0023408D" w:rsidP="0023408D">
            <w:pPr>
              <w:rPr>
                <w:rFonts w:ascii="Times New Roman" w:hAnsi="Times New Roman" w:cs="Times New Roman"/>
                <w:szCs w:val="24"/>
              </w:rPr>
            </w:pPr>
            <w:r w:rsidRPr="0088702A">
              <w:rPr>
                <w:rFonts w:ascii="Times New Roman" w:hAnsi="Times New Roman" w:cs="Times New Roman"/>
                <w:b/>
                <w:szCs w:val="24"/>
              </w:rPr>
              <w:t>Student ID number</w:t>
            </w:r>
          </w:p>
        </w:tc>
        <w:tc>
          <w:tcPr>
            <w:tcW w:w="6984" w:type="dxa"/>
            <w:tcMar>
              <w:top w:w="120" w:type="dxa"/>
              <w:left w:w="120" w:type="dxa"/>
              <w:bottom w:w="120" w:type="dxa"/>
              <w:right w:w="120" w:type="dxa"/>
            </w:tcMar>
            <w:vAlign w:val="center"/>
          </w:tcPr>
          <w:p w14:paraId="1238E955" w14:textId="5ECA1809" w:rsidR="0023408D" w:rsidRPr="0088702A" w:rsidRDefault="00F9373F" w:rsidP="0023408D">
            <w:pPr>
              <w:rPr>
                <w:rFonts w:ascii="Times New Roman" w:hAnsi="Times New Roman" w:cs="Times New Roman"/>
                <w:szCs w:val="24"/>
              </w:rPr>
            </w:pPr>
            <w:r>
              <w:rPr>
                <w:rFonts w:ascii="Times New Roman" w:hAnsi="Times New Roman" w:cs="Times New Roman"/>
                <w:szCs w:val="24"/>
              </w:rPr>
              <w:t>2534455</w:t>
            </w:r>
            <w:bookmarkStart w:id="0" w:name="_GoBack"/>
            <w:bookmarkEnd w:id="0"/>
          </w:p>
        </w:tc>
      </w:tr>
    </w:tbl>
    <w:p w14:paraId="7B4104F8" w14:textId="36B53505" w:rsidR="00FD737D" w:rsidRDefault="0023408D">
      <w:pPr>
        <w:spacing w:after="240" w:line="360" w:lineRule="auto"/>
        <w:jc w:val="center"/>
        <w:rPr>
          <w:b/>
          <w:bCs/>
          <w:sz w:val="30"/>
          <w:szCs w:val="30"/>
        </w:rPr>
      </w:pPr>
      <w:r>
        <w:br w:type="page"/>
      </w:r>
    </w:p>
    <w:p w14:paraId="0868A98A" w14:textId="77777777" w:rsidR="00FD737D" w:rsidRPr="00FF28E3" w:rsidRDefault="0023408D">
      <w:pPr>
        <w:spacing w:before="240" w:after="240" w:line="360" w:lineRule="auto"/>
        <w:jc w:val="center"/>
        <w:rPr>
          <w:b/>
          <w:bCs/>
          <w:sz w:val="28"/>
          <w:szCs w:val="28"/>
        </w:rPr>
      </w:pPr>
      <w:r w:rsidRPr="00FF28E3">
        <w:rPr>
          <w:b/>
          <w:bCs/>
          <w:sz w:val="28"/>
          <w:szCs w:val="28"/>
        </w:rPr>
        <w:lastRenderedPageBreak/>
        <w:t xml:space="preserve">Executive Summary </w:t>
      </w:r>
    </w:p>
    <w:p w14:paraId="21851B64" w14:textId="13C4CBE1" w:rsidR="00FD737D" w:rsidRDefault="0023408D" w:rsidP="00E10ED9">
      <w:pPr>
        <w:spacing w:before="240" w:after="240" w:line="360" w:lineRule="auto"/>
        <w:jc w:val="both"/>
        <w:rPr>
          <w:b/>
          <w:bCs/>
          <w:sz w:val="24"/>
          <w:szCs w:val="24"/>
        </w:rPr>
      </w:pPr>
      <w:r>
        <w:rPr>
          <w:sz w:val="24"/>
          <w:szCs w:val="24"/>
        </w:rPr>
        <w:t xml:space="preserve">This report evaluates the financial performance and strategic financial position of </w:t>
      </w:r>
      <w:r>
        <w:rPr>
          <w:b/>
          <w:bCs/>
          <w:sz w:val="24"/>
          <w:szCs w:val="24"/>
        </w:rPr>
        <w:t>Host Hotels &amp; Resorts</w:t>
      </w:r>
      <w:r>
        <w:rPr>
          <w:sz w:val="24"/>
          <w:szCs w:val="24"/>
        </w:rPr>
        <w:t xml:space="preserve"> and develops recommendations to strengthen long-term financial sustainability and shareholder value. The analysis examines profitability, liquidity, efficiency, leverage and working capital management using financial ratios and industry benchmarking, together with an assessment of investment appraisal techniques and capital budgeting decisions. The findings indicate that while Host Hotels &amp; Resorts benefits from a strong portfolio of premium hospitality assets and stable operational performance, liquidity pressures, capital-intensive operations and debt obligations present ongoing financial challenges. To improve financial resilience, the report recommends enhancing working capital management through better receivables collection, dynamic pricing, AI-supported revenue management and cash forecasting. Strategic restructuring initiatives, including selective asset divestiture, debt refinancing and ESG-linked financing, are also proposed to optimise the capital structure. Among the investment alternatives, </w:t>
      </w:r>
      <w:r>
        <w:rPr>
          <w:b/>
          <w:bCs/>
          <w:sz w:val="24"/>
          <w:szCs w:val="24"/>
        </w:rPr>
        <w:t>Project C</w:t>
      </w:r>
      <w:r>
        <w:rPr>
          <w:sz w:val="24"/>
          <w:szCs w:val="24"/>
        </w:rPr>
        <w:t xml:space="preserve"> is recommended because it delivers the highest financial return and is the only project with a positive Net Present Value. Overall, the report concludes that disciplined capital allocation and sustainable financial strategies will strengthen Host Hotels &amp; Resorts' long-term competitiveness and shareholder value.</w:t>
      </w:r>
      <w:bookmarkStart w:id="1" w:name="_bh0qufhcr0hq" w:colFirst="0" w:colLast="0"/>
      <w:bookmarkEnd w:id="1"/>
    </w:p>
    <w:p w14:paraId="7F055896" w14:textId="77777777" w:rsidR="000B0ED8" w:rsidRDefault="000B0ED8">
      <w:pPr>
        <w:rPr>
          <w:b/>
          <w:bCs/>
          <w:sz w:val="28"/>
          <w:szCs w:val="28"/>
        </w:rPr>
      </w:pPr>
      <w:bookmarkStart w:id="2" w:name="_il29rvdim532" w:colFirst="0" w:colLast="0"/>
      <w:bookmarkEnd w:id="2"/>
      <w:r>
        <w:br w:type="page"/>
      </w:r>
    </w:p>
    <w:sdt>
      <w:sdtPr>
        <w:rPr>
          <w:rFonts w:ascii="Arial" w:eastAsia="Arial" w:hAnsi="Arial" w:cs="Arial"/>
          <w:b/>
          <w:bCs/>
          <w:color w:val="auto"/>
          <w:sz w:val="28"/>
          <w:szCs w:val="28"/>
          <w:lang w:val="en-GB" w:eastAsia="en-IN"/>
        </w:rPr>
        <w:id w:val="1641154548"/>
        <w:docPartObj>
          <w:docPartGallery w:val="Table of Contents"/>
          <w:docPartUnique/>
        </w:docPartObj>
      </w:sdtPr>
      <w:sdtEndPr>
        <w:rPr>
          <w:noProof/>
          <w:sz w:val="22"/>
          <w:szCs w:val="22"/>
        </w:rPr>
      </w:sdtEndPr>
      <w:sdtContent>
        <w:p w14:paraId="0B246B94" w14:textId="1CC0F0FA" w:rsidR="000B0ED8" w:rsidRPr="00E10ED9" w:rsidRDefault="000B0ED8" w:rsidP="00E10ED9">
          <w:pPr>
            <w:pStyle w:val="TOCHeading"/>
            <w:spacing w:line="360" w:lineRule="auto"/>
            <w:jc w:val="center"/>
            <w:rPr>
              <w:rFonts w:ascii="Arial" w:hAnsi="Arial" w:cs="Arial"/>
              <w:b/>
              <w:bCs/>
              <w:color w:val="auto"/>
              <w:sz w:val="28"/>
              <w:szCs w:val="28"/>
            </w:rPr>
          </w:pPr>
          <w:r w:rsidRPr="00E10ED9">
            <w:rPr>
              <w:rFonts w:ascii="Arial" w:hAnsi="Arial" w:cs="Arial"/>
              <w:b/>
              <w:bCs/>
              <w:color w:val="auto"/>
              <w:sz w:val="28"/>
              <w:szCs w:val="28"/>
            </w:rPr>
            <w:t>Table of Contents</w:t>
          </w:r>
        </w:p>
        <w:p w14:paraId="6045034B" w14:textId="4C6D12C6" w:rsidR="008C112D" w:rsidRPr="008C112D" w:rsidRDefault="000B0ED8"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r w:rsidRPr="008C112D">
            <w:rPr>
              <w:sz w:val="24"/>
              <w:szCs w:val="24"/>
            </w:rPr>
            <w:fldChar w:fldCharType="begin"/>
          </w:r>
          <w:r w:rsidRPr="008C112D">
            <w:rPr>
              <w:sz w:val="24"/>
              <w:szCs w:val="24"/>
            </w:rPr>
            <w:instrText xml:space="preserve"> TOC \o "1-3" \h \z \u </w:instrText>
          </w:r>
          <w:r w:rsidRPr="008C112D">
            <w:rPr>
              <w:sz w:val="24"/>
              <w:szCs w:val="24"/>
            </w:rPr>
            <w:fldChar w:fldCharType="separate"/>
          </w:r>
          <w:hyperlink w:anchor="_Toc234367461" w:history="1">
            <w:r w:rsidR="008C112D" w:rsidRPr="008C112D">
              <w:rPr>
                <w:rStyle w:val="Hyperlink"/>
                <w:noProof/>
                <w:color w:val="auto"/>
                <w:sz w:val="24"/>
                <w:szCs w:val="24"/>
              </w:rPr>
              <w:t>Introduction</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_Toc234367461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6</w:t>
            </w:r>
            <w:r w:rsidR="008C112D" w:rsidRPr="008C112D">
              <w:rPr>
                <w:noProof/>
                <w:webHidden/>
                <w:sz w:val="24"/>
                <w:szCs w:val="24"/>
              </w:rPr>
              <w:fldChar w:fldCharType="end"/>
            </w:r>
          </w:hyperlink>
        </w:p>
        <w:p w14:paraId="529C2DDC" w14:textId="410DF5CE"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2" w:history="1">
            <w:r w:rsidR="008C112D" w:rsidRPr="008C112D">
              <w:rPr>
                <w:rStyle w:val="Hyperlink"/>
                <w:noProof/>
                <w:color w:val="auto"/>
                <w:sz w:val="24"/>
                <w:szCs w:val="24"/>
              </w:rPr>
              <w:t>Company Background</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_Toc234367462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6</w:t>
            </w:r>
            <w:r w:rsidR="008C112D" w:rsidRPr="008C112D">
              <w:rPr>
                <w:noProof/>
                <w:webHidden/>
                <w:sz w:val="24"/>
                <w:szCs w:val="24"/>
              </w:rPr>
              <w:fldChar w:fldCharType="end"/>
            </w:r>
          </w:hyperlink>
        </w:p>
        <w:p w14:paraId="4C98340D" w14:textId="2445F27D"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3" w:history="1">
            <w:r w:rsidR="008C112D" w:rsidRPr="008C112D">
              <w:rPr>
                <w:rStyle w:val="Hyperlink"/>
                <w:noProof/>
                <w:color w:val="auto"/>
                <w:sz w:val="24"/>
                <w:szCs w:val="24"/>
              </w:rPr>
              <w:t>Aim and Scope of the Report</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_Toc234367463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6</w:t>
            </w:r>
            <w:r w:rsidR="008C112D" w:rsidRPr="008C112D">
              <w:rPr>
                <w:noProof/>
                <w:webHidden/>
                <w:sz w:val="24"/>
                <w:szCs w:val="24"/>
              </w:rPr>
              <w:fldChar w:fldCharType="end"/>
            </w:r>
          </w:hyperlink>
        </w:p>
        <w:p w14:paraId="0611BC7B" w14:textId="4D40859A"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4" w:history="1">
            <w:r w:rsidR="008C112D" w:rsidRPr="008C112D">
              <w:rPr>
                <w:rStyle w:val="Hyperlink"/>
                <w:noProof/>
                <w:color w:val="auto"/>
                <w:sz w:val="24"/>
                <w:szCs w:val="24"/>
              </w:rPr>
              <w:t>Task 1: Financial Health Check</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_Toc234367464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6</w:t>
            </w:r>
            <w:r w:rsidR="008C112D" w:rsidRPr="008C112D">
              <w:rPr>
                <w:noProof/>
                <w:webHidden/>
                <w:sz w:val="24"/>
                <w:szCs w:val="24"/>
              </w:rPr>
              <w:fldChar w:fldCharType="end"/>
            </w:r>
          </w:hyperlink>
        </w:p>
        <w:p w14:paraId="7178616B" w14:textId="50A9FD6A"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5" w:history="1">
            <w:r w:rsidR="008C112D" w:rsidRPr="008C112D">
              <w:rPr>
                <w:rStyle w:val="Hyperlink"/>
                <w:noProof/>
                <w:color w:val="auto"/>
                <w:sz w:val="24"/>
                <w:szCs w:val="24"/>
              </w:rPr>
              <w:t>1.1 Five-Year Financial Statement Analysis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_Toc234367465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6</w:t>
            </w:r>
            <w:r w:rsidR="008C112D" w:rsidRPr="008C112D">
              <w:rPr>
                <w:noProof/>
                <w:webHidden/>
                <w:sz w:val="24"/>
                <w:szCs w:val="24"/>
              </w:rPr>
              <w:fldChar w:fldCharType="end"/>
            </w:r>
          </w:hyperlink>
        </w:p>
        <w:p w14:paraId="323E428E" w14:textId="540032FB"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6" w:history="1">
            <w:r w:rsidR="008C112D" w:rsidRPr="008C112D">
              <w:rPr>
                <w:rStyle w:val="Hyperlink"/>
                <w:noProof/>
                <w:color w:val="auto"/>
                <w:sz w:val="24"/>
                <w:szCs w:val="24"/>
              </w:rPr>
              <w:t>1.2 Ratio Analysis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_Toc234367466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8</w:t>
            </w:r>
            <w:r w:rsidR="008C112D" w:rsidRPr="008C112D">
              <w:rPr>
                <w:noProof/>
                <w:webHidden/>
                <w:sz w:val="24"/>
                <w:szCs w:val="24"/>
              </w:rPr>
              <w:fldChar w:fldCharType="end"/>
            </w:r>
          </w:hyperlink>
        </w:p>
        <w:p w14:paraId="198BFEA8" w14:textId="637419F3" w:rsidR="008C112D" w:rsidRPr="008C112D" w:rsidRDefault="0023408D" w:rsidP="008C112D">
          <w:pPr>
            <w:pStyle w:val="TOC3"/>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7" w:history="1">
            <w:r w:rsidR="008C112D" w:rsidRPr="008C112D">
              <w:rPr>
                <w:rStyle w:val="Hyperlink"/>
                <w:noProof/>
                <w:color w:val="auto"/>
                <w:sz w:val="24"/>
                <w:szCs w:val="24"/>
              </w:rPr>
              <w:t>1.2.1 Profitability Ratios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_Toc234367467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8</w:t>
            </w:r>
            <w:r w:rsidR="008C112D" w:rsidRPr="008C112D">
              <w:rPr>
                <w:noProof/>
                <w:webHidden/>
                <w:sz w:val="24"/>
                <w:szCs w:val="24"/>
              </w:rPr>
              <w:fldChar w:fldCharType="end"/>
            </w:r>
          </w:hyperlink>
        </w:p>
        <w:p w14:paraId="2AB527EF" w14:textId="43603AE5" w:rsidR="008C112D" w:rsidRPr="008C112D" w:rsidRDefault="0023408D" w:rsidP="008C112D">
          <w:pPr>
            <w:pStyle w:val="TOC3"/>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8" w:history="1">
            <w:r w:rsidR="008C112D" w:rsidRPr="008C112D">
              <w:rPr>
                <w:rStyle w:val="Hyperlink"/>
                <w:noProof/>
                <w:color w:val="auto"/>
                <w:sz w:val="24"/>
                <w:szCs w:val="24"/>
              </w:rPr>
              <w:t>1.2.2 Asset Efficiency Ratio</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_Toc234367468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8</w:t>
            </w:r>
            <w:r w:rsidR="008C112D" w:rsidRPr="008C112D">
              <w:rPr>
                <w:noProof/>
                <w:webHidden/>
                <w:sz w:val="24"/>
                <w:szCs w:val="24"/>
              </w:rPr>
              <w:fldChar w:fldCharType="end"/>
            </w:r>
          </w:hyperlink>
        </w:p>
        <w:p w14:paraId="02C9B872" w14:textId="304BCC1A" w:rsidR="008C112D" w:rsidRPr="008C112D" w:rsidRDefault="0023408D" w:rsidP="008C112D">
          <w:pPr>
            <w:pStyle w:val="TOC3"/>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69" w:history="1">
            <w:r w:rsidR="008C112D" w:rsidRPr="008C112D">
              <w:rPr>
                <w:rStyle w:val="Hyperlink"/>
                <w:noProof/>
                <w:color w:val="auto"/>
                <w:sz w:val="24"/>
                <w:szCs w:val="24"/>
              </w:rPr>
              <w:t>1.2.3 Liquidity Ratios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_Toc234367469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9</w:t>
            </w:r>
            <w:r w:rsidR="008C112D" w:rsidRPr="008C112D">
              <w:rPr>
                <w:noProof/>
                <w:webHidden/>
                <w:sz w:val="24"/>
                <w:szCs w:val="24"/>
              </w:rPr>
              <w:fldChar w:fldCharType="end"/>
            </w:r>
          </w:hyperlink>
        </w:p>
        <w:p w14:paraId="0FB59EDF" w14:textId="7DDABCE6" w:rsidR="008C112D" w:rsidRPr="008C112D" w:rsidRDefault="0023408D" w:rsidP="008C112D">
          <w:pPr>
            <w:pStyle w:val="TOC3"/>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0" w:history="1">
            <w:r w:rsidR="008C112D" w:rsidRPr="008C112D">
              <w:rPr>
                <w:rStyle w:val="Hyperlink"/>
                <w:noProof/>
                <w:color w:val="auto"/>
                <w:sz w:val="24"/>
                <w:szCs w:val="24"/>
              </w:rPr>
              <w:t>1.2.4 Returns Ratio</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_Toc234367470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9</w:t>
            </w:r>
            <w:r w:rsidR="008C112D" w:rsidRPr="008C112D">
              <w:rPr>
                <w:noProof/>
                <w:webHidden/>
                <w:sz w:val="24"/>
                <w:szCs w:val="24"/>
              </w:rPr>
              <w:fldChar w:fldCharType="end"/>
            </w:r>
          </w:hyperlink>
        </w:p>
        <w:p w14:paraId="459C7FFE" w14:textId="1A50A792" w:rsidR="008C112D" w:rsidRPr="008C112D" w:rsidRDefault="0023408D" w:rsidP="008C112D">
          <w:pPr>
            <w:pStyle w:val="TOC3"/>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1" w:history="1">
            <w:r w:rsidR="008C112D" w:rsidRPr="008C112D">
              <w:rPr>
                <w:rStyle w:val="Hyperlink"/>
                <w:noProof/>
                <w:color w:val="auto"/>
                <w:sz w:val="24"/>
                <w:szCs w:val="24"/>
              </w:rPr>
              <w:t>1.2.5 Cash Flow Ratios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_Toc234367471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10</w:t>
            </w:r>
            <w:r w:rsidR="008C112D" w:rsidRPr="008C112D">
              <w:rPr>
                <w:noProof/>
                <w:webHidden/>
                <w:sz w:val="24"/>
                <w:szCs w:val="24"/>
              </w:rPr>
              <w:fldChar w:fldCharType="end"/>
            </w:r>
          </w:hyperlink>
        </w:p>
        <w:p w14:paraId="1FE71FD9" w14:textId="655DA719"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2" w:history="1">
            <w:r w:rsidR="008C112D" w:rsidRPr="008C112D">
              <w:rPr>
                <w:rStyle w:val="Hyperlink"/>
                <w:noProof/>
                <w:color w:val="auto"/>
                <w:sz w:val="24"/>
                <w:szCs w:val="24"/>
              </w:rPr>
              <w:t>1.3 Trend Analysis: Strengths and Financial Threats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_Toc234367472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10</w:t>
            </w:r>
            <w:r w:rsidR="008C112D" w:rsidRPr="008C112D">
              <w:rPr>
                <w:noProof/>
                <w:webHidden/>
                <w:sz w:val="24"/>
                <w:szCs w:val="24"/>
              </w:rPr>
              <w:fldChar w:fldCharType="end"/>
            </w:r>
          </w:hyperlink>
        </w:p>
        <w:p w14:paraId="00BD82E1" w14:textId="3E9138C1"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3" w:history="1">
            <w:r w:rsidR="008C112D" w:rsidRPr="008C112D">
              <w:rPr>
                <w:rStyle w:val="Hyperlink"/>
                <w:noProof/>
                <w:color w:val="auto"/>
                <w:sz w:val="24"/>
                <w:szCs w:val="24"/>
              </w:rPr>
              <w:t>1.4 Liquidity Benchmarking Against Industry</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_Toc234367473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11</w:t>
            </w:r>
            <w:r w:rsidR="008C112D" w:rsidRPr="008C112D">
              <w:rPr>
                <w:noProof/>
                <w:webHidden/>
                <w:sz w:val="24"/>
                <w:szCs w:val="24"/>
              </w:rPr>
              <w:fldChar w:fldCharType="end"/>
            </w:r>
          </w:hyperlink>
        </w:p>
        <w:p w14:paraId="0152AA50" w14:textId="4B5D86C9"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4" w:history="1">
            <w:r w:rsidR="008C112D" w:rsidRPr="008C112D">
              <w:rPr>
                <w:rStyle w:val="Hyperlink"/>
                <w:noProof/>
                <w:color w:val="auto"/>
                <w:sz w:val="24"/>
                <w:szCs w:val="24"/>
              </w:rPr>
              <w:t>Task 2: Working Capital Management Analysis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_Toc234367474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11</w:t>
            </w:r>
            <w:r w:rsidR="008C112D" w:rsidRPr="008C112D">
              <w:rPr>
                <w:noProof/>
                <w:webHidden/>
                <w:sz w:val="24"/>
                <w:szCs w:val="24"/>
              </w:rPr>
              <w:fldChar w:fldCharType="end"/>
            </w:r>
          </w:hyperlink>
        </w:p>
        <w:p w14:paraId="5B5C77DC" w14:textId="0E466877"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5" w:history="1">
            <w:r w:rsidR="008C112D" w:rsidRPr="008C112D">
              <w:rPr>
                <w:rStyle w:val="Hyperlink"/>
                <w:noProof/>
                <w:color w:val="auto"/>
                <w:sz w:val="24"/>
                <w:szCs w:val="24"/>
              </w:rPr>
              <w:t>2.1 Assessment of Cash Operating Cycle</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_Toc234367475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11</w:t>
            </w:r>
            <w:r w:rsidR="008C112D" w:rsidRPr="008C112D">
              <w:rPr>
                <w:noProof/>
                <w:webHidden/>
                <w:sz w:val="24"/>
                <w:szCs w:val="24"/>
              </w:rPr>
              <w:fldChar w:fldCharType="end"/>
            </w:r>
          </w:hyperlink>
        </w:p>
        <w:p w14:paraId="056F0C20" w14:textId="47E9059F"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6" w:history="1">
            <w:r w:rsidR="008C112D" w:rsidRPr="008C112D">
              <w:rPr>
                <w:rStyle w:val="Hyperlink"/>
                <w:noProof/>
                <w:color w:val="auto"/>
                <w:sz w:val="24"/>
                <w:szCs w:val="24"/>
              </w:rPr>
              <w:t>2.2 Working Capital Challenges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_Toc234367476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12</w:t>
            </w:r>
            <w:r w:rsidR="008C112D" w:rsidRPr="008C112D">
              <w:rPr>
                <w:noProof/>
                <w:webHidden/>
                <w:sz w:val="24"/>
                <w:szCs w:val="24"/>
              </w:rPr>
              <w:fldChar w:fldCharType="end"/>
            </w:r>
          </w:hyperlink>
        </w:p>
        <w:p w14:paraId="1030E0A6" w14:textId="222C92BB"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7" w:history="1">
            <w:r w:rsidR="008C112D" w:rsidRPr="008C112D">
              <w:rPr>
                <w:rStyle w:val="Hyperlink"/>
                <w:noProof/>
                <w:color w:val="auto"/>
                <w:sz w:val="24"/>
                <w:szCs w:val="24"/>
              </w:rPr>
              <w:t>2.3 Strategies to Improve Liquidity</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_Toc234367477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12</w:t>
            </w:r>
            <w:r w:rsidR="008C112D" w:rsidRPr="008C112D">
              <w:rPr>
                <w:noProof/>
                <w:webHidden/>
                <w:sz w:val="24"/>
                <w:szCs w:val="24"/>
              </w:rPr>
              <w:fldChar w:fldCharType="end"/>
            </w:r>
          </w:hyperlink>
        </w:p>
        <w:p w14:paraId="3E26FC8C" w14:textId="344DC975"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8" w:history="1">
            <w:r w:rsidR="008C112D" w:rsidRPr="008C112D">
              <w:rPr>
                <w:rStyle w:val="Hyperlink"/>
                <w:noProof/>
                <w:color w:val="auto"/>
                <w:sz w:val="24"/>
                <w:szCs w:val="24"/>
              </w:rPr>
              <w:t>2.4 Short-Term vs Long-Term Financing</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_Toc234367478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13</w:t>
            </w:r>
            <w:r w:rsidR="008C112D" w:rsidRPr="008C112D">
              <w:rPr>
                <w:noProof/>
                <w:webHidden/>
                <w:sz w:val="24"/>
                <w:szCs w:val="24"/>
              </w:rPr>
              <w:fldChar w:fldCharType="end"/>
            </w:r>
          </w:hyperlink>
        </w:p>
        <w:p w14:paraId="78B36232" w14:textId="6B52E1B8"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79" w:history="1">
            <w:r w:rsidR="008C112D" w:rsidRPr="008C112D">
              <w:rPr>
                <w:rStyle w:val="Hyperlink"/>
                <w:noProof/>
                <w:color w:val="auto"/>
                <w:sz w:val="24"/>
                <w:szCs w:val="24"/>
              </w:rPr>
              <w:t>Task 3: Strategic Financial Restructuring Plan</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_Toc234367479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13</w:t>
            </w:r>
            <w:r w:rsidR="008C112D" w:rsidRPr="008C112D">
              <w:rPr>
                <w:noProof/>
                <w:webHidden/>
                <w:sz w:val="24"/>
                <w:szCs w:val="24"/>
              </w:rPr>
              <w:fldChar w:fldCharType="end"/>
            </w:r>
          </w:hyperlink>
        </w:p>
        <w:p w14:paraId="14CB021E" w14:textId="4EEAEF6B"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0" w:history="1">
            <w:r w:rsidR="008C112D" w:rsidRPr="008C112D">
              <w:rPr>
                <w:rStyle w:val="Hyperlink"/>
                <w:noProof/>
                <w:color w:val="auto"/>
                <w:sz w:val="24"/>
                <w:szCs w:val="24"/>
              </w:rPr>
              <w:t>3.1 Recommended Financial Restructuring Options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_Toc234367480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13</w:t>
            </w:r>
            <w:r w:rsidR="008C112D" w:rsidRPr="008C112D">
              <w:rPr>
                <w:noProof/>
                <w:webHidden/>
                <w:sz w:val="24"/>
                <w:szCs w:val="24"/>
              </w:rPr>
              <w:fldChar w:fldCharType="end"/>
            </w:r>
          </w:hyperlink>
        </w:p>
        <w:p w14:paraId="4B1CE661" w14:textId="77DE7B80"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1" w:history="1">
            <w:r w:rsidR="008C112D" w:rsidRPr="008C112D">
              <w:rPr>
                <w:rStyle w:val="Hyperlink"/>
                <w:noProof/>
                <w:color w:val="auto"/>
                <w:sz w:val="24"/>
                <w:szCs w:val="24"/>
              </w:rPr>
              <w:t>3.2 Impact on Financial Performance</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_Toc234367481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14</w:t>
            </w:r>
            <w:r w:rsidR="008C112D" w:rsidRPr="008C112D">
              <w:rPr>
                <w:noProof/>
                <w:webHidden/>
                <w:sz w:val="24"/>
                <w:szCs w:val="24"/>
              </w:rPr>
              <w:fldChar w:fldCharType="end"/>
            </w:r>
          </w:hyperlink>
        </w:p>
        <w:p w14:paraId="2EBEFAE5" w14:textId="619163E5"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2" w:history="1">
            <w:r w:rsidR="008C112D" w:rsidRPr="008C112D">
              <w:rPr>
                <w:rStyle w:val="Hyperlink"/>
                <w:noProof/>
                <w:color w:val="auto"/>
                <w:sz w:val="24"/>
                <w:szCs w:val="24"/>
              </w:rPr>
              <w:t>3.3 International Financial Considerations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_Toc234367482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15</w:t>
            </w:r>
            <w:r w:rsidR="008C112D" w:rsidRPr="008C112D">
              <w:rPr>
                <w:noProof/>
                <w:webHidden/>
                <w:sz w:val="24"/>
                <w:szCs w:val="24"/>
              </w:rPr>
              <w:fldChar w:fldCharType="end"/>
            </w:r>
          </w:hyperlink>
        </w:p>
        <w:p w14:paraId="6FABECFE" w14:textId="4D095976"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3" w:history="1">
            <w:r w:rsidR="008C112D" w:rsidRPr="008C112D">
              <w:rPr>
                <w:rStyle w:val="Hyperlink"/>
                <w:noProof/>
                <w:color w:val="auto"/>
                <w:sz w:val="24"/>
                <w:szCs w:val="24"/>
              </w:rPr>
              <w:t>3.4 Ethical and ESG Considerations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_Toc234367483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15</w:t>
            </w:r>
            <w:r w:rsidR="008C112D" w:rsidRPr="008C112D">
              <w:rPr>
                <w:noProof/>
                <w:webHidden/>
                <w:sz w:val="24"/>
                <w:szCs w:val="24"/>
              </w:rPr>
              <w:fldChar w:fldCharType="end"/>
            </w:r>
          </w:hyperlink>
        </w:p>
        <w:p w14:paraId="31AFC941" w14:textId="48640FF3"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4" w:history="1">
            <w:r w:rsidR="008C112D" w:rsidRPr="008C112D">
              <w:rPr>
                <w:rStyle w:val="Hyperlink"/>
                <w:noProof/>
                <w:color w:val="auto"/>
                <w:sz w:val="24"/>
                <w:szCs w:val="24"/>
              </w:rPr>
              <w:t>Task 4: Investment Appraisal and Capital Budgeting</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_Toc234367484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15</w:t>
            </w:r>
            <w:r w:rsidR="008C112D" w:rsidRPr="008C112D">
              <w:rPr>
                <w:noProof/>
                <w:webHidden/>
                <w:sz w:val="24"/>
                <w:szCs w:val="24"/>
              </w:rPr>
              <w:fldChar w:fldCharType="end"/>
            </w:r>
          </w:hyperlink>
        </w:p>
        <w:p w14:paraId="3FC89B8E" w14:textId="345B386E"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5" w:history="1">
            <w:r w:rsidR="008C112D" w:rsidRPr="008C112D">
              <w:rPr>
                <w:rStyle w:val="Hyperlink"/>
                <w:noProof/>
                <w:color w:val="auto"/>
                <w:sz w:val="24"/>
                <w:szCs w:val="24"/>
              </w:rPr>
              <w:t>4.1 Investment Appraisal Techniques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_Toc234367485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15</w:t>
            </w:r>
            <w:r w:rsidR="008C112D" w:rsidRPr="008C112D">
              <w:rPr>
                <w:noProof/>
                <w:webHidden/>
                <w:sz w:val="24"/>
                <w:szCs w:val="24"/>
              </w:rPr>
              <w:fldChar w:fldCharType="end"/>
            </w:r>
          </w:hyperlink>
        </w:p>
        <w:p w14:paraId="0E04615E" w14:textId="0BEC9D33"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6" w:history="1">
            <w:r w:rsidR="008C112D" w:rsidRPr="008C112D">
              <w:rPr>
                <w:rStyle w:val="Hyperlink"/>
                <w:noProof/>
                <w:color w:val="auto"/>
                <w:sz w:val="24"/>
                <w:szCs w:val="24"/>
              </w:rPr>
              <w:t>4.2 Calculation of Investment Projects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_Toc234367486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16</w:t>
            </w:r>
            <w:r w:rsidR="008C112D" w:rsidRPr="008C112D">
              <w:rPr>
                <w:noProof/>
                <w:webHidden/>
                <w:sz w:val="24"/>
                <w:szCs w:val="24"/>
              </w:rPr>
              <w:fldChar w:fldCharType="end"/>
            </w:r>
          </w:hyperlink>
        </w:p>
        <w:p w14:paraId="59181143" w14:textId="267631EF"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7" w:history="1">
            <w:r w:rsidR="008C112D" w:rsidRPr="008C112D">
              <w:rPr>
                <w:rStyle w:val="Hyperlink"/>
                <w:noProof/>
                <w:color w:val="auto"/>
                <w:sz w:val="24"/>
                <w:szCs w:val="24"/>
              </w:rPr>
              <w:t>4.3 Comparative Evaluation of Projects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_Toc234367487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18</w:t>
            </w:r>
            <w:r w:rsidR="008C112D" w:rsidRPr="008C112D">
              <w:rPr>
                <w:noProof/>
                <w:webHidden/>
                <w:sz w:val="24"/>
                <w:szCs w:val="24"/>
              </w:rPr>
              <w:fldChar w:fldCharType="end"/>
            </w:r>
          </w:hyperlink>
        </w:p>
        <w:p w14:paraId="0B5B2770" w14:textId="35A56D7D"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8" w:history="1">
            <w:r w:rsidR="008C112D" w:rsidRPr="008C112D">
              <w:rPr>
                <w:rStyle w:val="Hyperlink"/>
                <w:noProof/>
                <w:color w:val="auto"/>
                <w:sz w:val="24"/>
                <w:szCs w:val="24"/>
              </w:rPr>
              <w:t>4.4 Recommendation Based on Company Financial Position</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_Toc234367488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18</w:t>
            </w:r>
            <w:r w:rsidR="008C112D" w:rsidRPr="008C112D">
              <w:rPr>
                <w:noProof/>
                <w:webHidden/>
                <w:sz w:val="24"/>
                <w:szCs w:val="24"/>
              </w:rPr>
              <w:fldChar w:fldCharType="end"/>
            </w:r>
          </w:hyperlink>
        </w:p>
        <w:p w14:paraId="43049CF9" w14:textId="35C1C4B0"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89" w:history="1">
            <w:r w:rsidR="008C112D" w:rsidRPr="008C112D">
              <w:rPr>
                <w:rStyle w:val="Hyperlink"/>
                <w:noProof/>
                <w:color w:val="auto"/>
                <w:sz w:val="24"/>
                <w:szCs w:val="24"/>
              </w:rPr>
              <w:t>4.5 Capital Rationing Decision (£100 Million Budget)</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_Toc234367489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19</w:t>
            </w:r>
            <w:r w:rsidR="008C112D" w:rsidRPr="008C112D">
              <w:rPr>
                <w:noProof/>
                <w:webHidden/>
                <w:sz w:val="24"/>
                <w:szCs w:val="24"/>
              </w:rPr>
              <w:fldChar w:fldCharType="end"/>
            </w:r>
          </w:hyperlink>
        </w:p>
        <w:p w14:paraId="2306D985" w14:textId="4602A7A4"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0" w:history="1">
            <w:r w:rsidR="008C112D" w:rsidRPr="008C112D">
              <w:rPr>
                <w:rStyle w:val="Hyperlink"/>
                <w:noProof/>
                <w:color w:val="auto"/>
                <w:sz w:val="24"/>
                <w:szCs w:val="24"/>
              </w:rPr>
              <w:t>Task 5: Critical Reflection on the Use of AI</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_Toc234367490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20</w:t>
            </w:r>
            <w:r w:rsidR="008C112D" w:rsidRPr="008C112D">
              <w:rPr>
                <w:noProof/>
                <w:webHidden/>
                <w:sz w:val="24"/>
                <w:szCs w:val="24"/>
              </w:rPr>
              <w:fldChar w:fldCharType="end"/>
            </w:r>
          </w:hyperlink>
        </w:p>
        <w:p w14:paraId="58D38DB8" w14:textId="0EC77594"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1" w:history="1">
            <w:r w:rsidR="008C112D" w:rsidRPr="008C112D">
              <w:rPr>
                <w:rStyle w:val="Hyperlink"/>
                <w:noProof/>
                <w:color w:val="auto"/>
                <w:sz w:val="24"/>
                <w:szCs w:val="24"/>
              </w:rPr>
              <w:t>5.1 Tool Disclosure</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_Toc234367491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20</w:t>
            </w:r>
            <w:r w:rsidR="008C112D" w:rsidRPr="008C112D">
              <w:rPr>
                <w:noProof/>
                <w:webHidden/>
                <w:sz w:val="24"/>
                <w:szCs w:val="24"/>
              </w:rPr>
              <w:fldChar w:fldCharType="end"/>
            </w:r>
          </w:hyperlink>
        </w:p>
        <w:p w14:paraId="46F0B3D8" w14:textId="4ABC3ADA"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2" w:history="1">
            <w:r w:rsidR="008C112D" w:rsidRPr="008C112D">
              <w:rPr>
                <w:rStyle w:val="Hyperlink"/>
                <w:noProof/>
                <w:color w:val="auto"/>
                <w:sz w:val="24"/>
                <w:szCs w:val="24"/>
              </w:rPr>
              <w:t>5.2 Critical Evaluation of AI Outputs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_Toc234367492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20</w:t>
            </w:r>
            <w:r w:rsidR="008C112D" w:rsidRPr="008C112D">
              <w:rPr>
                <w:noProof/>
                <w:webHidden/>
                <w:sz w:val="24"/>
                <w:szCs w:val="24"/>
              </w:rPr>
              <w:fldChar w:fldCharType="end"/>
            </w:r>
          </w:hyperlink>
        </w:p>
        <w:p w14:paraId="1B3043CE" w14:textId="261C4F83"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3" w:history="1">
            <w:r w:rsidR="008C112D" w:rsidRPr="008C112D">
              <w:rPr>
                <w:rStyle w:val="Hyperlink"/>
                <w:noProof/>
                <w:color w:val="auto"/>
                <w:sz w:val="24"/>
                <w:szCs w:val="24"/>
              </w:rPr>
              <w:t>5.3 Contribution Analysis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_Toc234367493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21</w:t>
            </w:r>
            <w:r w:rsidR="008C112D" w:rsidRPr="008C112D">
              <w:rPr>
                <w:noProof/>
                <w:webHidden/>
                <w:sz w:val="24"/>
                <w:szCs w:val="24"/>
              </w:rPr>
              <w:fldChar w:fldCharType="end"/>
            </w:r>
          </w:hyperlink>
        </w:p>
        <w:p w14:paraId="25A6039D" w14:textId="0B5D07C6"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4" w:history="1">
            <w:r w:rsidR="008C112D" w:rsidRPr="008C112D">
              <w:rPr>
                <w:rStyle w:val="Hyperlink"/>
                <w:noProof/>
                <w:color w:val="auto"/>
                <w:sz w:val="24"/>
                <w:szCs w:val="24"/>
              </w:rPr>
              <w:t>5.4 Ethical and Professional Reflection</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_Toc234367494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21</w:t>
            </w:r>
            <w:r w:rsidR="008C112D" w:rsidRPr="008C112D">
              <w:rPr>
                <w:noProof/>
                <w:webHidden/>
                <w:sz w:val="24"/>
                <w:szCs w:val="24"/>
              </w:rPr>
              <w:fldChar w:fldCharType="end"/>
            </w:r>
          </w:hyperlink>
        </w:p>
        <w:p w14:paraId="6CE56657" w14:textId="19430D43"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5" w:history="1">
            <w:r w:rsidR="008C112D" w:rsidRPr="008C112D">
              <w:rPr>
                <w:rStyle w:val="Hyperlink"/>
                <w:noProof/>
                <w:color w:val="auto"/>
                <w:sz w:val="24"/>
                <w:szCs w:val="24"/>
              </w:rPr>
              <w:t>Conclusion</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_Toc234367495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22</w:t>
            </w:r>
            <w:r w:rsidR="008C112D" w:rsidRPr="008C112D">
              <w:rPr>
                <w:noProof/>
                <w:webHidden/>
                <w:sz w:val="24"/>
                <w:szCs w:val="24"/>
              </w:rPr>
              <w:fldChar w:fldCharType="end"/>
            </w:r>
          </w:hyperlink>
        </w:p>
        <w:p w14:paraId="3793FC4F" w14:textId="5F025BD5"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6" w:history="1">
            <w:r w:rsidR="008C112D" w:rsidRPr="008C112D">
              <w:rPr>
                <w:rStyle w:val="Hyperlink"/>
                <w:noProof/>
                <w:color w:val="auto"/>
                <w:sz w:val="24"/>
                <w:szCs w:val="24"/>
              </w:rPr>
              <w:t>Reference List</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_Toc234367496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23</w:t>
            </w:r>
            <w:r w:rsidR="008C112D" w:rsidRPr="008C112D">
              <w:rPr>
                <w:noProof/>
                <w:webHidden/>
                <w:sz w:val="24"/>
                <w:szCs w:val="24"/>
              </w:rPr>
              <w:fldChar w:fldCharType="end"/>
            </w:r>
          </w:hyperlink>
        </w:p>
        <w:p w14:paraId="43434155" w14:textId="5E3150E3" w:rsidR="008C112D" w:rsidRPr="008C112D" w:rsidRDefault="0023408D" w:rsidP="008C112D">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7" w:history="1">
            <w:r w:rsidR="008C112D" w:rsidRPr="008C112D">
              <w:rPr>
                <w:rStyle w:val="Hyperlink"/>
                <w:noProof/>
                <w:color w:val="auto"/>
                <w:sz w:val="24"/>
                <w:szCs w:val="24"/>
              </w:rPr>
              <w:t>Appendix</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_Toc234367497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26</w:t>
            </w:r>
            <w:r w:rsidR="008C112D" w:rsidRPr="008C112D">
              <w:rPr>
                <w:noProof/>
                <w:webHidden/>
                <w:sz w:val="24"/>
                <w:szCs w:val="24"/>
              </w:rPr>
              <w:fldChar w:fldCharType="end"/>
            </w:r>
          </w:hyperlink>
        </w:p>
        <w:p w14:paraId="062E4388" w14:textId="019DC12E"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8" w:history="1">
            <w:r w:rsidR="008C112D" w:rsidRPr="008C112D">
              <w:rPr>
                <w:rStyle w:val="Hyperlink"/>
                <w:noProof/>
                <w:color w:val="auto"/>
                <w:sz w:val="24"/>
                <w:szCs w:val="24"/>
              </w:rPr>
              <w:t>a. Ratio tables and graphs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_Toc234367498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26</w:t>
            </w:r>
            <w:r w:rsidR="008C112D" w:rsidRPr="008C112D">
              <w:rPr>
                <w:noProof/>
                <w:webHidden/>
                <w:sz w:val="24"/>
                <w:szCs w:val="24"/>
              </w:rPr>
              <w:fldChar w:fldCharType="end"/>
            </w:r>
          </w:hyperlink>
        </w:p>
        <w:p w14:paraId="37E1703B" w14:textId="11E5A91A" w:rsidR="008C112D" w:rsidRPr="008C112D" w:rsidRDefault="0023408D" w:rsidP="008C112D">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367499" w:history="1">
            <w:r w:rsidR="008C112D" w:rsidRPr="008C112D">
              <w:rPr>
                <w:rStyle w:val="Hyperlink"/>
                <w:noProof/>
                <w:color w:val="auto"/>
                <w:sz w:val="24"/>
                <w:szCs w:val="24"/>
              </w:rPr>
              <w:t>b. Investment appraisal calculations</w:t>
            </w:r>
            <w:r w:rsidR="008C112D" w:rsidRPr="008C112D">
              <w:rPr>
                <w:noProof/>
                <w:webHidden/>
                <w:sz w:val="24"/>
                <w:szCs w:val="24"/>
              </w:rPr>
              <w:tab/>
            </w:r>
            <w:r w:rsidR="008C112D" w:rsidRPr="008C112D">
              <w:rPr>
                <w:noProof/>
                <w:webHidden/>
                <w:sz w:val="24"/>
                <w:szCs w:val="24"/>
              </w:rPr>
              <w:fldChar w:fldCharType="begin"/>
            </w:r>
            <w:r w:rsidR="008C112D" w:rsidRPr="008C112D">
              <w:rPr>
                <w:noProof/>
                <w:webHidden/>
                <w:sz w:val="24"/>
                <w:szCs w:val="24"/>
              </w:rPr>
              <w:instrText xml:space="preserve"> PAGEREF _Toc234367499 \h </w:instrText>
            </w:r>
            <w:r w:rsidR="008C112D" w:rsidRPr="008C112D">
              <w:rPr>
                <w:noProof/>
                <w:webHidden/>
                <w:sz w:val="24"/>
                <w:szCs w:val="24"/>
              </w:rPr>
            </w:r>
            <w:r w:rsidR="008C112D" w:rsidRPr="008C112D">
              <w:rPr>
                <w:noProof/>
                <w:webHidden/>
                <w:sz w:val="24"/>
                <w:szCs w:val="24"/>
              </w:rPr>
              <w:fldChar w:fldCharType="separate"/>
            </w:r>
            <w:r w:rsidR="008C112D" w:rsidRPr="008C112D">
              <w:rPr>
                <w:noProof/>
                <w:webHidden/>
                <w:sz w:val="24"/>
                <w:szCs w:val="24"/>
              </w:rPr>
              <w:t>33</w:t>
            </w:r>
            <w:r w:rsidR="008C112D" w:rsidRPr="008C112D">
              <w:rPr>
                <w:noProof/>
                <w:webHidden/>
                <w:sz w:val="24"/>
                <w:szCs w:val="24"/>
              </w:rPr>
              <w:fldChar w:fldCharType="end"/>
            </w:r>
          </w:hyperlink>
        </w:p>
        <w:p w14:paraId="0F3FD4A0" w14:textId="5E9B4745" w:rsidR="000B0ED8" w:rsidRDefault="000B0ED8" w:rsidP="008C112D">
          <w:pPr>
            <w:spacing w:line="360" w:lineRule="auto"/>
            <w:jc w:val="both"/>
          </w:pPr>
          <w:r w:rsidRPr="008C112D">
            <w:rPr>
              <w:b/>
              <w:bCs/>
              <w:noProof/>
              <w:sz w:val="24"/>
              <w:szCs w:val="24"/>
            </w:rPr>
            <w:fldChar w:fldCharType="end"/>
          </w:r>
        </w:p>
      </w:sdtContent>
    </w:sdt>
    <w:p w14:paraId="3D3F3175" w14:textId="45483AD2" w:rsidR="000B0ED8" w:rsidRDefault="000B0ED8">
      <w:pPr>
        <w:rPr>
          <w:b/>
          <w:bCs/>
          <w:sz w:val="28"/>
          <w:szCs w:val="28"/>
        </w:rPr>
      </w:pPr>
    </w:p>
    <w:p w14:paraId="72E45CAB" w14:textId="77777777" w:rsidR="000B0ED8" w:rsidRDefault="000B0ED8">
      <w:pPr>
        <w:rPr>
          <w:b/>
          <w:bCs/>
          <w:sz w:val="28"/>
          <w:szCs w:val="28"/>
        </w:rPr>
      </w:pPr>
      <w:r>
        <w:br w:type="page"/>
      </w:r>
    </w:p>
    <w:p w14:paraId="0A78A04D" w14:textId="3BD84539" w:rsidR="00FD737D" w:rsidRPr="00FF28E3" w:rsidRDefault="0023408D" w:rsidP="00FF28E3">
      <w:pPr>
        <w:pStyle w:val="Heading1"/>
      </w:pPr>
      <w:bookmarkStart w:id="3" w:name="_Toc234367461"/>
      <w:r w:rsidRPr="00FF28E3">
        <w:lastRenderedPageBreak/>
        <w:t>Introduction</w:t>
      </w:r>
      <w:bookmarkEnd w:id="3"/>
      <w:r w:rsidRPr="00FF28E3">
        <w:t xml:space="preserve"> </w:t>
      </w:r>
    </w:p>
    <w:p w14:paraId="50AA5CB3" w14:textId="77777777" w:rsidR="00FD737D" w:rsidRDefault="0023408D" w:rsidP="00FF28E3">
      <w:pPr>
        <w:pStyle w:val="Heading2"/>
      </w:pPr>
      <w:bookmarkStart w:id="4" w:name="_rcyncg7mwwai" w:colFirst="0" w:colLast="0"/>
      <w:bookmarkStart w:id="5" w:name="_Toc234367462"/>
      <w:bookmarkEnd w:id="4"/>
      <w:r>
        <w:t>Company Background</w:t>
      </w:r>
      <w:bookmarkEnd w:id="5"/>
      <w:r>
        <w:t xml:space="preserve"> </w:t>
      </w:r>
    </w:p>
    <w:p w14:paraId="32B317BE" w14:textId="1BCED207" w:rsidR="00FD737D" w:rsidRDefault="0023408D">
      <w:pPr>
        <w:spacing w:before="240" w:after="240" w:line="360" w:lineRule="auto"/>
        <w:jc w:val="both"/>
        <w:rPr>
          <w:sz w:val="24"/>
          <w:szCs w:val="24"/>
        </w:rPr>
      </w:pPr>
      <w:r>
        <w:rPr>
          <w:sz w:val="24"/>
          <w:szCs w:val="24"/>
        </w:rPr>
        <w:t>Host Hotels and Resorts, Inc. is an industry of the world and publicly traded lodging real estate investment trust (REIT) which focuses on the ownership of luxury and upper-upscale hotel real estate. The Company was founded in 1927 and is headquartered in Bethesda, Maryland as a self-managed and self-administered umbrella partnership REIT under the name Host Hotels &amp; Resorts, L.P., with outside partners owning about 1% of the partnership interests as of 2025 (Yahoo Finance, 2026).</w:t>
      </w:r>
    </w:p>
    <w:p w14:paraId="1BA2B043" w14:textId="77777777" w:rsidR="00FD737D" w:rsidRDefault="0023408D" w:rsidP="00FF28E3">
      <w:pPr>
        <w:pStyle w:val="Heading2"/>
      </w:pPr>
      <w:bookmarkStart w:id="6" w:name="_Toc234367463"/>
      <w:r>
        <w:t>Aim and Scope of the Report</w:t>
      </w:r>
      <w:bookmarkEnd w:id="6"/>
      <w:r>
        <w:t xml:space="preserve"> </w:t>
      </w:r>
    </w:p>
    <w:p w14:paraId="4B50C4D1" w14:textId="77777777" w:rsidR="00FD737D" w:rsidRDefault="0023408D">
      <w:pPr>
        <w:spacing w:before="240" w:after="240" w:line="360" w:lineRule="auto"/>
        <w:jc w:val="both"/>
        <w:rPr>
          <w:sz w:val="24"/>
          <w:szCs w:val="24"/>
        </w:rPr>
      </w:pPr>
      <w:r>
        <w:rPr>
          <w:sz w:val="24"/>
          <w:szCs w:val="24"/>
        </w:rPr>
        <w:t>This report compares the financial results of Host Hotels and Resorts in the last five years through financial statement and ratio analysis to determine the profitability, liquidity, efficiency, gearing, investment performance, and cash flow. It also analyzes the working capital management of the Company and offers feasible financial restructuring measures to enhance the long-term financial sustainability. The report also evaluates three investment projects based on capital budgeting methods to aid investment decision-making and ends with a critical reflection on the application of artificial intelligence (AI) to create the analysis and recommendations.</w:t>
      </w:r>
    </w:p>
    <w:p w14:paraId="749B74E4" w14:textId="77777777" w:rsidR="00FD737D" w:rsidRDefault="00FD737D">
      <w:pPr>
        <w:spacing w:after="240" w:line="360" w:lineRule="auto"/>
        <w:jc w:val="both"/>
        <w:rPr>
          <w:sz w:val="24"/>
          <w:szCs w:val="24"/>
        </w:rPr>
      </w:pPr>
    </w:p>
    <w:p w14:paraId="0AE04F69" w14:textId="77777777" w:rsidR="00FD737D" w:rsidRDefault="0023408D" w:rsidP="00FF28E3">
      <w:pPr>
        <w:pStyle w:val="Heading1"/>
      </w:pPr>
      <w:bookmarkStart w:id="7" w:name="_nh2mypwpm5wf" w:colFirst="0" w:colLast="0"/>
      <w:bookmarkStart w:id="8" w:name="_Toc234367464"/>
      <w:bookmarkEnd w:id="7"/>
      <w:r>
        <w:t>Task 1: Financial Health Check</w:t>
      </w:r>
      <w:bookmarkEnd w:id="8"/>
    </w:p>
    <w:p w14:paraId="5A5316EE" w14:textId="77777777" w:rsidR="00FD737D" w:rsidRDefault="0023408D" w:rsidP="00FF28E3">
      <w:pPr>
        <w:pStyle w:val="Heading2"/>
      </w:pPr>
      <w:bookmarkStart w:id="9" w:name="_5tqmkdqh34x8" w:colFirst="0" w:colLast="0"/>
      <w:bookmarkStart w:id="10" w:name="_Toc234367465"/>
      <w:bookmarkEnd w:id="9"/>
      <w:r>
        <w:t>1.1 Five-Year Financial Statement Analysis</w:t>
      </w:r>
      <w:bookmarkEnd w:id="10"/>
      <w:r>
        <w:t xml:space="preserve"> </w:t>
      </w:r>
    </w:p>
    <w:p w14:paraId="40A3939C" w14:textId="747ABD45" w:rsidR="00FD737D" w:rsidRDefault="0023408D">
      <w:pPr>
        <w:spacing w:before="240" w:after="240" w:line="360" w:lineRule="auto"/>
        <w:jc w:val="both"/>
        <w:rPr>
          <w:sz w:val="24"/>
          <w:szCs w:val="24"/>
        </w:rPr>
      </w:pPr>
      <w:r>
        <w:rPr>
          <w:sz w:val="24"/>
          <w:szCs w:val="24"/>
        </w:rPr>
        <w:t xml:space="preserve">The financial statement analysis of Host Hotels &amp; Resorts during the 2021-2025 period shows a highly post-pandemic recovery and then a stable growth in its operations. Total revenue increased consistently from US$2.89 billion in 2021 to US$6.11 billion in 2025, representing more than a twofold increase. The increase was largely due to an increase in room revenues, which increased to US$1.86 billion to US$3.61 billion, and an increase in food and beverage revenue and other operating revenues. In 2025, the introduction of condominium sales diversified </w:t>
      </w:r>
      <w:r>
        <w:rPr>
          <w:sz w:val="24"/>
          <w:szCs w:val="24"/>
        </w:rPr>
        <w:lastRenderedPageBreak/>
        <w:t xml:space="preserve">revenue streams further as part of the proactive portfolio management strategy of the Company </w:t>
      </w:r>
      <w:r w:rsidR="000B0ED8">
        <w:rPr>
          <w:sz w:val="24"/>
          <w:szCs w:val="24"/>
        </w:rPr>
        <w:t>(Host</w:t>
      </w:r>
      <w:r>
        <w:rPr>
          <w:sz w:val="24"/>
          <w:szCs w:val="24"/>
        </w:rPr>
        <w:t xml:space="preserve"> Hotels and Resorts Annual Report, 2025).</w:t>
      </w:r>
    </w:p>
    <w:p w14:paraId="5E6297C5" w14:textId="77777777" w:rsidR="00FD737D" w:rsidRDefault="0023408D">
      <w:pPr>
        <w:spacing w:before="240" w:after="240" w:line="360" w:lineRule="auto"/>
        <w:jc w:val="both"/>
        <w:rPr>
          <w:sz w:val="24"/>
          <w:szCs w:val="24"/>
        </w:rPr>
      </w:pPr>
      <w:r>
        <w:rPr>
          <w:sz w:val="24"/>
          <w:szCs w:val="24"/>
        </w:rPr>
        <w:t>There was also increased improvement in operating performance. In 2021, the Company experienced an operating loss of US$250 million due to the residual impact of the COVID-19 pandemic, after which it regained profitability with operating income growing to US$775 million in 2022 and US 855 million in 2025. Although operating profit grew overall, the modest decline from US$875 million in 2024 to US$855 million in 2025 indicates that rising operating costs, depreciation expenses and interest charges partially offset revenue growth. In the same manner, net income available to the shareholders rebounded to a loss of US$11 million in the year 2021 to US$765 million in the year 2025, which indicates enhancing earnings power and financial strength (Host Hotels and Resorts Annual Report, 2025).</w:t>
      </w:r>
    </w:p>
    <w:p w14:paraId="07654114" w14:textId="77777777" w:rsidR="00FD737D" w:rsidRDefault="0023408D">
      <w:pPr>
        <w:spacing w:before="240" w:after="240" w:line="360" w:lineRule="auto"/>
        <w:jc w:val="both"/>
        <w:rPr>
          <w:sz w:val="24"/>
          <w:szCs w:val="24"/>
        </w:rPr>
      </w:pPr>
      <w:r>
        <w:rPr>
          <w:sz w:val="24"/>
          <w:szCs w:val="24"/>
        </w:rPr>
        <w:t>The financial position of the Company was stable during the period. Total assets increased from US$12.27 billion in 2022 to approximately US$13.05 billion in 2025, largely reflecting continued investment in high-quality hotel properties and strategic investments in affiliates. Although total liabilities increased, as previously stated by US$5.39 billion to US$6.32 billion, the level of debt was relatively restrained, indicating a disciplined financing despite increased borrowing expenses. The equity of shareholders was consistently greater than US$6.6 billion, which shows that the capital base is strong and can facilitate future investments (Host Hotels and Resorts Annual Report, 2025).</w:t>
      </w:r>
    </w:p>
    <w:p w14:paraId="527E4DF1" w14:textId="77777777" w:rsidR="00FD737D" w:rsidRDefault="0023408D">
      <w:pPr>
        <w:spacing w:before="240" w:after="240" w:line="360" w:lineRule="auto"/>
        <w:jc w:val="both"/>
        <w:rPr>
          <w:sz w:val="24"/>
          <w:szCs w:val="24"/>
        </w:rPr>
      </w:pPr>
      <w:r>
        <w:rPr>
          <w:sz w:val="24"/>
          <w:szCs w:val="24"/>
        </w:rPr>
        <w:t>There was more volatility in cash management. Cash and cash equivalents increased from US$667 million in 2022 to US$1.14 billion in 2023, before declining to US$554 million in 2024 and recovering to US$768 million in 2025, reflecting ongoing capital expenditure, debt servicing and investment activities (Host Hotels &amp; Resorts Annual Report, 2025). Despite the increasing cash flows and enhancement of profitability, the sustained investment in property upgrades and redevelopment projects led to a significant capital expenditure, which is in line with the Company strategy of having a high quality of luxury hotels. In general, the five-year financial statements show that Host Hotels &amp; Resorts has managed to reclaim profitability after the pandemic and retains a strong asset base and financial flexibility to sustain long-term growth.</w:t>
      </w:r>
    </w:p>
    <w:p w14:paraId="528100CC" w14:textId="77777777" w:rsidR="00FD737D" w:rsidRDefault="00FD737D">
      <w:pPr>
        <w:spacing w:after="240" w:line="360" w:lineRule="auto"/>
        <w:jc w:val="both"/>
        <w:rPr>
          <w:sz w:val="24"/>
          <w:szCs w:val="24"/>
        </w:rPr>
      </w:pPr>
    </w:p>
    <w:p w14:paraId="3A0881AE" w14:textId="77777777" w:rsidR="00FD737D" w:rsidRPr="00FF28E3" w:rsidRDefault="0023408D" w:rsidP="00FF28E3">
      <w:pPr>
        <w:pStyle w:val="Heading2"/>
      </w:pPr>
      <w:bookmarkStart w:id="11" w:name="_o2m27rupziys" w:colFirst="0" w:colLast="0"/>
      <w:bookmarkStart w:id="12" w:name="_Toc234367466"/>
      <w:bookmarkEnd w:id="11"/>
      <w:r w:rsidRPr="00FF28E3">
        <w:t>1.2 Ratio Analysis</w:t>
      </w:r>
      <w:bookmarkEnd w:id="12"/>
      <w:r w:rsidRPr="00FF28E3">
        <w:t xml:space="preserve"> </w:t>
      </w:r>
    </w:p>
    <w:p w14:paraId="7363B571" w14:textId="77777777" w:rsidR="00FD737D" w:rsidRDefault="0023408D" w:rsidP="00FF28E3">
      <w:pPr>
        <w:pStyle w:val="Heading3"/>
      </w:pPr>
      <w:bookmarkStart w:id="13" w:name="_uhikwa7nux1" w:colFirst="0" w:colLast="0"/>
      <w:bookmarkStart w:id="14" w:name="_Toc234367467"/>
      <w:bookmarkEnd w:id="13"/>
      <w:r>
        <w:t xml:space="preserve">1.2.1 Profitability </w:t>
      </w:r>
      <w:r w:rsidRPr="00FF28E3">
        <w:t>Ratios</w:t>
      </w:r>
      <w:bookmarkEnd w:id="14"/>
    </w:p>
    <w:p w14:paraId="5334A9F5" w14:textId="77777777" w:rsidR="00FD737D" w:rsidRDefault="0023408D">
      <w:pPr>
        <w:spacing w:before="240" w:after="240" w:line="360" w:lineRule="auto"/>
        <w:jc w:val="both"/>
        <w:rPr>
          <w:b/>
          <w:bCs/>
          <w:sz w:val="24"/>
          <w:szCs w:val="24"/>
        </w:rPr>
      </w:pPr>
      <w:r>
        <w:rPr>
          <w:b/>
          <w:bCs/>
          <w:sz w:val="24"/>
          <w:szCs w:val="24"/>
        </w:rPr>
        <w:t>Net Profit Margin</w:t>
      </w:r>
    </w:p>
    <w:p w14:paraId="26690A3A" w14:textId="646223A9" w:rsidR="00FD737D" w:rsidRPr="000B0ED8" w:rsidRDefault="0023408D">
      <w:pPr>
        <w:spacing w:before="240" w:after="240" w:line="360" w:lineRule="auto"/>
        <w:jc w:val="both"/>
        <w:rPr>
          <w:i/>
          <w:iCs/>
          <w:sz w:val="24"/>
          <w:szCs w:val="24"/>
        </w:rPr>
      </w:pPr>
      <w:r>
        <w:rPr>
          <w:sz w:val="24"/>
          <w:szCs w:val="24"/>
        </w:rPr>
        <w:t>Net Profit Margin is the ratio of revenue to net profit and indicates the overall profitability of the Company considering all the operating and non-operating expenses (Allianz Trade, 2024). Host Hotels &amp; Resorts experienced a negative margin of -0.59% in 2021 as a result of the negative impact of the COVID-19 pandemic on hotel operations. Nevertheless, in 2022, the ratio has risen significantly to 21.33% and has been fairly stable at 20.64% to 23.18% between 2023 and 2025. This steady profitability signifies efficient cost management, enhanced occupancy rates, higher room rates and a successful rebound in travel demand.</w:t>
      </w:r>
      <w:r w:rsidR="004C75AF" w:rsidRPr="004C75AF">
        <w:rPr>
          <w:rFonts w:ascii="Geist Fallback" w:hAnsi="Geist Fallback"/>
          <w:sz w:val="23"/>
          <w:szCs w:val="23"/>
        </w:rPr>
        <w:t xml:space="preserve"> </w:t>
      </w:r>
      <w:r w:rsidR="004C75AF" w:rsidRPr="004C75AF">
        <w:rPr>
          <w:sz w:val="24"/>
          <w:szCs w:val="24"/>
        </w:rPr>
        <w:t xml:space="preserve">This was enhanced by the premium hotel portfolio strategy by the management, better RevPAR and ADR growth, and cost discipline as global travel demand resumed. </w:t>
      </w:r>
      <w:r w:rsidR="000B0ED8">
        <w:rPr>
          <w:i/>
          <w:iCs/>
          <w:sz w:val="24"/>
          <w:szCs w:val="24"/>
        </w:rPr>
        <w:t>[Refer to Appendix a]</w:t>
      </w:r>
    </w:p>
    <w:p w14:paraId="26BA0DF7" w14:textId="77777777" w:rsidR="00FD737D" w:rsidRDefault="0023408D">
      <w:pPr>
        <w:spacing w:before="240" w:after="240" w:line="360" w:lineRule="auto"/>
        <w:jc w:val="both"/>
        <w:rPr>
          <w:b/>
          <w:bCs/>
          <w:sz w:val="24"/>
          <w:szCs w:val="24"/>
        </w:rPr>
      </w:pPr>
      <w:r>
        <w:rPr>
          <w:b/>
          <w:bCs/>
          <w:sz w:val="24"/>
          <w:szCs w:val="24"/>
        </w:rPr>
        <w:t>EBITDA Margin</w:t>
      </w:r>
    </w:p>
    <w:p w14:paraId="4AB68DBA" w14:textId="4B4E05C3" w:rsidR="00FD737D" w:rsidRDefault="0023408D">
      <w:pPr>
        <w:spacing w:before="240" w:after="240" w:line="360" w:lineRule="auto"/>
        <w:jc w:val="both"/>
        <w:rPr>
          <w:sz w:val="24"/>
          <w:szCs w:val="24"/>
        </w:rPr>
      </w:pPr>
      <w:r>
        <w:rPr>
          <w:sz w:val="24"/>
          <w:szCs w:val="24"/>
        </w:rPr>
        <w:t>The EBITDA Margin is an evaluation of the operating profitability of the Company without depreciation, interest and taxation. The ratio increased significantly from 5.49% in 2021 to 24.29% in 2023, before moderating slightly to 21.04% in 2024 and recovering to 22.67% in 2025. The net positive growth reflects better operating efficiencies and greater cash-generating ability despite the inflationary pressures and rising operating costs.</w:t>
      </w:r>
      <w:r w:rsidR="004C75AF" w:rsidRPr="004C75AF">
        <w:rPr>
          <w:rFonts w:ascii="Geist Fallback" w:hAnsi="Geist Fallback"/>
          <w:sz w:val="23"/>
          <w:szCs w:val="23"/>
        </w:rPr>
        <w:t xml:space="preserve"> </w:t>
      </w:r>
      <w:r w:rsidR="004C75AF" w:rsidRPr="004C75AF">
        <w:rPr>
          <w:sz w:val="24"/>
          <w:szCs w:val="24"/>
        </w:rPr>
        <w:t xml:space="preserve">The high EBITDA margin is a positive indication of how the management has concentrated on operational efficiency, revenue maximisation and disciplined cost amidst inflation, rising labour costs and escalating utility costs. </w:t>
      </w:r>
      <w:r w:rsidR="000B0ED8">
        <w:rPr>
          <w:sz w:val="24"/>
          <w:szCs w:val="24"/>
        </w:rPr>
        <w:t xml:space="preserve"> </w:t>
      </w:r>
      <w:r w:rsidR="000B0ED8">
        <w:rPr>
          <w:i/>
          <w:iCs/>
          <w:sz w:val="24"/>
          <w:szCs w:val="24"/>
        </w:rPr>
        <w:t>[Refer to Appendix a]</w:t>
      </w:r>
    </w:p>
    <w:p w14:paraId="5867FFF8" w14:textId="77777777" w:rsidR="00FD737D" w:rsidRDefault="0023408D" w:rsidP="00FF28E3">
      <w:pPr>
        <w:pStyle w:val="Heading3"/>
      </w:pPr>
      <w:bookmarkStart w:id="15" w:name="_m1l1z4vw8yr4" w:colFirst="0" w:colLast="0"/>
      <w:bookmarkStart w:id="16" w:name="_Toc234367468"/>
      <w:bookmarkEnd w:id="15"/>
      <w:r>
        <w:t>1.2.2 Asset Efficiency Ratio</w:t>
      </w:r>
      <w:bookmarkEnd w:id="16"/>
    </w:p>
    <w:p w14:paraId="28D3C069" w14:textId="77777777" w:rsidR="00FD737D" w:rsidRDefault="0023408D">
      <w:pPr>
        <w:spacing w:before="240" w:after="240" w:line="360" w:lineRule="auto"/>
        <w:jc w:val="both"/>
        <w:rPr>
          <w:b/>
          <w:bCs/>
          <w:sz w:val="24"/>
          <w:szCs w:val="24"/>
        </w:rPr>
      </w:pPr>
      <w:r>
        <w:rPr>
          <w:b/>
          <w:bCs/>
          <w:sz w:val="24"/>
          <w:szCs w:val="24"/>
        </w:rPr>
        <w:t>Accounts Receivable Turnover</w:t>
      </w:r>
    </w:p>
    <w:p w14:paraId="5E894486" w14:textId="6E4DAD1A" w:rsidR="00FD737D" w:rsidRDefault="0023408D">
      <w:pPr>
        <w:spacing w:before="240" w:after="240" w:line="360" w:lineRule="auto"/>
        <w:jc w:val="both"/>
        <w:rPr>
          <w:sz w:val="24"/>
          <w:szCs w:val="24"/>
        </w:rPr>
      </w:pPr>
      <w:r>
        <w:rPr>
          <w:sz w:val="24"/>
          <w:szCs w:val="24"/>
        </w:rPr>
        <w:lastRenderedPageBreak/>
        <w:t>Accounts Receivable Turnover is an indicator of the effectiveness of the Company in collecting outstanding customer payments (Luther, 2022). The ratio rose 28 times in 2021 to 96 times in 2025, which clearly has higher rates of collecting receivables and better working capital use. The enhancement signifies good credit management and the prevalence of electronic payment systems in the hospitality sector.</w:t>
      </w:r>
      <w:r w:rsidR="004C75AF" w:rsidRPr="004C75AF">
        <w:rPr>
          <w:rFonts w:ascii="Geist Fallback" w:hAnsi="Geist Fallback"/>
          <w:sz w:val="23"/>
          <w:szCs w:val="23"/>
        </w:rPr>
        <w:t xml:space="preserve"> </w:t>
      </w:r>
      <w:r w:rsidR="004C75AF" w:rsidRPr="004C75AF">
        <w:rPr>
          <w:sz w:val="24"/>
          <w:szCs w:val="24"/>
        </w:rPr>
        <w:t xml:space="preserve">The increased direct bookings are the reason behind the higher turnover, the quicker settlement among the corporate patrons and the adoption of digital payment systems by the management, which accelerated cash collection. </w:t>
      </w:r>
      <w:r w:rsidR="000B0ED8">
        <w:rPr>
          <w:sz w:val="24"/>
          <w:szCs w:val="24"/>
        </w:rPr>
        <w:t xml:space="preserve"> </w:t>
      </w:r>
      <w:r w:rsidR="000B0ED8">
        <w:rPr>
          <w:i/>
          <w:iCs/>
          <w:sz w:val="24"/>
          <w:szCs w:val="24"/>
        </w:rPr>
        <w:t>[Refer to Appendix a]</w:t>
      </w:r>
    </w:p>
    <w:p w14:paraId="5316B45A" w14:textId="77777777" w:rsidR="00FD737D" w:rsidRDefault="0023408D">
      <w:pPr>
        <w:spacing w:before="240" w:after="240" w:line="360" w:lineRule="auto"/>
        <w:jc w:val="both"/>
        <w:rPr>
          <w:b/>
          <w:bCs/>
          <w:sz w:val="24"/>
          <w:szCs w:val="24"/>
        </w:rPr>
      </w:pPr>
      <w:r>
        <w:rPr>
          <w:b/>
          <w:bCs/>
          <w:sz w:val="24"/>
          <w:szCs w:val="24"/>
        </w:rPr>
        <w:t>Total Asset Turnover</w:t>
      </w:r>
    </w:p>
    <w:p w14:paraId="2911BB36" w14:textId="6CB88352" w:rsidR="00FD737D" w:rsidRDefault="0023408D">
      <w:pPr>
        <w:spacing w:before="240" w:after="240" w:line="360" w:lineRule="auto"/>
        <w:jc w:val="both"/>
        <w:rPr>
          <w:sz w:val="24"/>
          <w:szCs w:val="24"/>
        </w:rPr>
      </w:pPr>
      <w:r>
        <w:rPr>
          <w:sz w:val="24"/>
          <w:szCs w:val="24"/>
        </w:rPr>
        <w:t xml:space="preserve">Total Asset Turnover measures the efficiency of total assets in generating revenue. This ratio grew steadily between 0.15 in 2021 and 0.28 in 2025, and it is implied that Host Hotels and Resorts began to generate an increasing amount of revenue on its hotel property portfolio. The company is in a </w:t>
      </w:r>
      <w:r w:rsidR="000B0ED8">
        <w:rPr>
          <w:sz w:val="24"/>
          <w:szCs w:val="24"/>
        </w:rPr>
        <w:t>capital-intensive</w:t>
      </w:r>
      <w:r>
        <w:rPr>
          <w:sz w:val="24"/>
          <w:szCs w:val="24"/>
        </w:rPr>
        <w:t xml:space="preserve"> industry, but the gradual growth shows that the company has increased the use of hotel assets due to the recovery of world tourism.</w:t>
      </w:r>
      <w:r w:rsidR="004C75AF" w:rsidRPr="004C75AF">
        <w:rPr>
          <w:rFonts w:ascii="Geist Fallback" w:hAnsi="Geist Fallback"/>
          <w:sz w:val="23"/>
          <w:szCs w:val="23"/>
        </w:rPr>
        <w:t xml:space="preserve"> </w:t>
      </w:r>
      <w:r w:rsidR="004C75AF" w:rsidRPr="004C75AF">
        <w:rPr>
          <w:sz w:val="24"/>
          <w:szCs w:val="24"/>
        </w:rPr>
        <w:t>The slow growth suggests that the management exploited the available luxury hotel assets to the fullest as the occupancy and international tourism started recovering after the disruptions during the pandemic.</w:t>
      </w:r>
      <w:r w:rsidR="000B0ED8">
        <w:rPr>
          <w:sz w:val="24"/>
          <w:szCs w:val="24"/>
        </w:rPr>
        <w:t xml:space="preserve"> </w:t>
      </w:r>
      <w:r w:rsidR="000B0ED8">
        <w:rPr>
          <w:i/>
          <w:iCs/>
          <w:sz w:val="24"/>
          <w:szCs w:val="24"/>
        </w:rPr>
        <w:t>[Refer to Appendix a]</w:t>
      </w:r>
    </w:p>
    <w:p w14:paraId="2847CA47" w14:textId="77777777" w:rsidR="00FD737D" w:rsidRDefault="0023408D" w:rsidP="00FF28E3">
      <w:pPr>
        <w:pStyle w:val="Heading3"/>
      </w:pPr>
      <w:bookmarkStart w:id="17" w:name="_77asek5h00cf" w:colFirst="0" w:colLast="0"/>
      <w:bookmarkStart w:id="18" w:name="_Toc234367469"/>
      <w:bookmarkEnd w:id="17"/>
      <w:r>
        <w:t>1.2.3 Liquidity Ratios</w:t>
      </w:r>
      <w:bookmarkEnd w:id="18"/>
    </w:p>
    <w:p w14:paraId="6527E074" w14:textId="77777777" w:rsidR="00FD737D" w:rsidRDefault="0023408D">
      <w:pPr>
        <w:spacing w:before="240" w:after="240" w:line="360" w:lineRule="auto"/>
        <w:jc w:val="both"/>
        <w:rPr>
          <w:b/>
          <w:bCs/>
          <w:sz w:val="24"/>
          <w:szCs w:val="24"/>
        </w:rPr>
      </w:pPr>
      <w:r>
        <w:rPr>
          <w:b/>
          <w:bCs/>
          <w:sz w:val="24"/>
          <w:szCs w:val="24"/>
        </w:rPr>
        <w:t>Current Ratio</w:t>
      </w:r>
    </w:p>
    <w:p w14:paraId="45DABA1A" w14:textId="5DE57CC2" w:rsidR="00FD737D" w:rsidRDefault="0023408D">
      <w:pPr>
        <w:spacing w:before="240" w:after="240" w:line="360" w:lineRule="auto"/>
        <w:jc w:val="both"/>
        <w:rPr>
          <w:sz w:val="24"/>
          <w:szCs w:val="24"/>
        </w:rPr>
      </w:pPr>
      <w:r>
        <w:rPr>
          <w:sz w:val="24"/>
          <w:szCs w:val="24"/>
        </w:rPr>
        <w:t>Current Ratio indicates how the Company can cover the short-term liabilities with current assets (Allianz Trade, 2024). Host Hotels and Resorts had a high ratio of over 2.5 in 2021-2023 and it dropped to 0.10 in 2024, indicating a temporary liquidity strain due to an increase in current liabilities and investment activities. The ratio recovered to 2.11 in 2025, indicating improved short-term financial stability and better working capital management.</w:t>
      </w:r>
      <w:r w:rsidR="004C75AF" w:rsidRPr="004C75AF">
        <w:rPr>
          <w:rFonts w:ascii="Geist Fallback" w:hAnsi="Geist Fallback"/>
          <w:sz w:val="23"/>
          <w:szCs w:val="23"/>
        </w:rPr>
        <w:t xml:space="preserve"> </w:t>
      </w:r>
      <w:r w:rsidR="004C75AF" w:rsidRPr="004C75AF">
        <w:rPr>
          <w:sz w:val="24"/>
          <w:szCs w:val="24"/>
        </w:rPr>
        <w:t xml:space="preserve">The short-term decrease is indicative of massive capital spending and increased short term liabilities on property investments whereas the ensuing increase is indicative of better liquidity management. </w:t>
      </w:r>
      <w:r w:rsidR="000B0ED8">
        <w:rPr>
          <w:i/>
          <w:iCs/>
          <w:sz w:val="24"/>
          <w:szCs w:val="24"/>
        </w:rPr>
        <w:t>[Refer to Appendix a]</w:t>
      </w:r>
    </w:p>
    <w:p w14:paraId="732249DD" w14:textId="77777777" w:rsidR="00FD737D" w:rsidRDefault="0023408D">
      <w:pPr>
        <w:spacing w:before="240" w:after="240" w:line="360" w:lineRule="auto"/>
        <w:jc w:val="both"/>
        <w:rPr>
          <w:b/>
          <w:bCs/>
          <w:sz w:val="24"/>
          <w:szCs w:val="24"/>
        </w:rPr>
      </w:pPr>
      <w:r>
        <w:rPr>
          <w:b/>
          <w:bCs/>
          <w:sz w:val="24"/>
          <w:szCs w:val="24"/>
        </w:rPr>
        <w:t>Cash Ratio</w:t>
      </w:r>
    </w:p>
    <w:p w14:paraId="05789C00" w14:textId="2A66B37B" w:rsidR="00FD737D" w:rsidRDefault="0023408D">
      <w:pPr>
        <w:spacing w:before="240" w:after="240" w:line="360" w:lineRule="auto"/>
        <w:jc w:val="both"/>
        <w:rPr>
          <w:sz w:val="24"/>
          <w:szCs w:val="24"/>
        </w:rPr>
      </w:pPr>
      <w:r>
        <w:rPr>
          <w:sz w:val="24"/>
          <w:szCs w:val="24"/>
        </w:rPr>
        <w:lastRenderedPageBreak/>
        <w:t>Cash Ratio reflects the most conservative type of liquidity measure since it only looks at the cash and cash equivalents. The ratio declined from 2.48 in 2021 to 0.05 in 2024 before recovering to 1.13 in 2025. Although the 2025 improvement has occurred due to the temporary worsening, the fact that the Company has improved its immediate cash position and the capacity to meet short-term commitments without the help of inventory or receivables remains.</w:t>
      </w:r>
      <w:r w:rsidR="004C75AF" w:rsidRPr="004C75AF">
        <w:rPr>
          <w:rFonts w:ascii="Geist Fallback" w:hAnsi="Geist Fallback"/>
          <w:sz w:val="23"/>
          <w:szCs w:val="23"/>
        </w:rPr>
        <w:t xml:space="preserve"> </w:t>
      </w:r>
      <w:r w:rsidR="004C75AF" w:rsidRPr="004C75AF">
        <w:rPr>
          <w:sz w:val="24"/>
          <w:szCs w:val="24"/>
        </w:rPr>
        <w:t>The reduced cash positions in 2024 were affected by investment expenditure and financing obligations, but the recovery in 2025 depicts that there is a greater generation of operating cash and cash preservation.</w:t>
      </w:r>
      <w:r w:rsidR="000B0ED8">
        <w:rPr>
          <w:sz w:val="24"/>
          <w:szCs w:val="24"/>
        </w:rPr>
        <w:t xml:space="preserve"> </w:t>
      </w:r>
      <w:r w:rsidR="000B0ED8">
        <w:rPr>
          <w:i/>
          <w:iCs/>
          <w:sz w:val="24"/>
          <w:szCs w:val="24"/>
        </w:rPr>
        <w:t>[Refer to Appendix a]</w:t>
      </w:r>
    </w:p>
    <w:p w14:paraId="7F055116" w14:textId="77777777" w:rsidR="00FD737D" w:rsidRDefault="0023408D" w:rsidP="00FF28E3">
      <w:pPr>
        <w:pStyle w:val="Heading3"/>
      </w:pPr>
      <w:bookmarkStart w:id="19" w:name="_xpcv71d7w655" w:colFirst="0" w:colLast="0"/>
      <w:bookmarkStart w:id="20" w:name="_Toc234367470"/>
      <w:bookmarkEnd w:id="19"/>
      <w:r>
        <w:t>1.2.4 Returns Ratio</w:t>
      </w:r>
      <w:bookmarkEnd w:id="20"/>
    </w:p>
    <w:p w14:paraId="0A04B5D4" w14:textId="77777777" w:rsidR="00FD737D" w:rsidRDefault="0023408D">
      <w:pPr>
        <w:spacing w:before="240" w:after="240" w:line="360" w:lineRule="auto"/>
        <w:jc w:val="both"/>
        <w:rPr>
          <w:b/>
          <w:bCs/>
          <w:sz w:val="24"/>
          <w:szCs w:val="24"/>
        </w:rPr>
      </w:pPr>
      <w:r>
        <w:rPr>
          <w:b/>
          <w:bCs/>
          <w:sz w:val="24"/>
          <w:szCs w:val="24"/>
        </w:rPr>
        <w:t>Earnings Per Share (EPS)</w:t>
      </w:r>
    </w:p>
    <w:p w14:paraId="71C02ACD" w14:textId="61ED7A27" w:rsidR="00FD737D" w:rsidRDefault="0023408D">
      <w:pPr>
        <w:spacing w:before="240" w:after="240" w:line="360" w:lineRule="auto"/>
        <w:jc w:val="both"/>
        <w:rPr>
          <w:sz w:val="24"/>
          <w:szCs w:val="24"/>
        </w:rPr>
      </w:pPr>
      <w:r>
        <w:rPr>
          <w:sz w:val="24"/>
          <w:szCs w:val="24"/>
        </w:rPr>
        <w:t>The Earnings Per Share is the profit per share of the ordinary stock. EPS rose to an average of US$1.12 in 2025, compared to an average of US$0.02 in 2021, which is an indication of consistent growth in profitability and a value addition to shareholders.</w:t>
      </w:r>
      <w:r w:rsidR="004C75AF" w:rsidRPr="004C75AF">
        <w:rPr>
          <w:rFonts w:ascii="Geist Fallback" w:hAnsi="Geist Fallback"/>
          <w:sz w:val="23"/>
          <w:szCs w:val="23"/>
        </w:rPr>
        <w:t xml:space="preserve"> </w:t>
      </w:r>
      <w:r w:rsidR="004C75AF" w:rsidRPr="004C75AF">
        <w:rPr>
          <w:sz w:val="24"/>
          <w:szCs w:val="24"/>
        </w:rPr>
        <w:t>The long-term EPS growth indicates the better operating profitability, the good allocation and the management capacity to transform the higher hotel revenues into higher shareholder returns.</w:t>
      </w:r>
      <w:r w:rsidR="000B0ED8">
        <w:rPr>
          <w:sz w:val="24"/>
          <w:szCs w:val="24"/>
        </w:rPr>
        <w:t xml:space="preserve"> </w:t>
      </w:r>
      <w:r w:rsidR="000B0ED8">
        <w:rPr>
          <w:i/>
          <w:iCs/>
          <w:sz w:val="24"/>
          <w:szCs w:val="24"/>
        </w:rPr>
        <w:t>[Refer to Appendix a]</w:t>
      </w:r>
    </w:p>
    <w:p w14:paraId="743701CA" w14:textId="77777777" w:rsidR="00FD737D" w:rsidRDefault="0023408D">
      <w:pPr>
        <w:spacing w:before="240" w:after="240" w:line="360" w:lineRule="auto"/>
        <w:jc w:val="both"/>
        <w:rPr>
          <w:b/>
          <w:bCs/>
          <w:sz w:val="24"/>
          <w:szCs w:val="24"/>
        </w:rPr>
      </w:pPr>
      <w:r>
        <w:rPr>
          <w:b/>
          <w:bCs/>
          <w:sz w:val="24"/>
          <w:szCs w:val="24"/>
        </w:rPr>
        <w:t>Price-to-Earnings (P/E) Ratio</w:t>
      </w:r>
    </w:p>
    <w:p w14:paraId="7D4CA461" w14:textId="695A6E7E" w:rsidR="00FD737D" w:rsidRDefault="0023408D">
      <w:pPr>
        <w:spacing w:before="240" w:after="240" w:line="360" w:lineRule="auto"/>
        <w:jc w:val="both"/>
        <w:rPr>
          <w:sz w:val="24"/>
          <w:szCs w:val="24"/>
        </w:rPr>
      </w:pPr>
      <w:r>
        <w:rPr>
          <w:sz w:val="24"/>
          <w:szCs w:val="24"/>
        </w:rPr>
        <w:t xml:space="preserve">The Price-to-Earnings Ratio is a ratio that compares market price with earnings per share and depicts investor expectations (Ali </w:t>
      </w:r>
      <w:r w:rsidR="000B0ED8" w:rsidRPr="000B0ED8">
        <w:rPr>
          <w:i/>
          <w:iCs/>
          <w:sz w:val="24"/>
          <w:szCs w:val="24"/>
        </w:rPr>
        <w:t>et al.</w:t>
      </w:r>
      <w:r>
        <w:rPr>
          <w:sz w:val="24"/>
          <w:szCs w:val="24"/>
        </w:rPr>
        <w:t>, 2022). The very high ratio of 841.38 in 2021 was due to very low earnings and not a high market valuation. The ratio later stabilised at 13-16 in 2022-2025, which means that the market valuation was closer to the improved financial performance of the Company.</w:t>
      </w:r>
      <w:r w:rsidR="004C75AF" w:rsidRPr="004C75AF">
        <w:rPr>
          <w:rFonts w:ascii="Geist Fallback" w:hAnsi="Geist Fallback"/>
          <w:sz w:val="23"/>
          <w:szCs w:val="23"/>
        </w:rPr>
        <w:t xml:space="preserve"> </w:t>
      </w:r>
      <w:r w:rsidR="004C75AF" w:rsidRPr="004C75AF">
        <w:rPr>
          <w:sz w:val="24"/>
          <w:szCs w:val="24"/>
        </w:rPr>
        <w:t>The stabilised valuation shows that the investor confidence was high because earnings have been restored and there is no doubt about long-term growth and financial performance of the company.</w:t>
      </w:r>
      <w:r w:rsidR="000B0ED8">
        <w:rPr>
          <w:sz w:val="24"/>
          <w:szCs w:val="24"/>
        </w:rPr>
        <w:t xml:space="preserve"> </w:t>
      </w:r>
      <w:r w:rsidR="000B0ED8">
        <w:rPr>
          <w:i/>
          <w:iCs/>
          <w:sz w:val="24"/>
          <w:szCs w:val="24"/>
        </w:rPr>
        <w:t>[Refer to Appendix a]</w:t>
      </w:r>
    </w:p>
    <w:p w14:paraId="004B2324" w14:textId="77777777" w:rsidR="00FD737D" w:rsidRDefault="0023408D" w:rsidP="00FF28E3">
      <w:pPr>
        <w:pStyle w:val="Heading3"/>
      </w:pPr>
      <w:bookmarkStart w:id="21" w:name="_2s91nq70eazp" w:colFirst="0" w:colLast="0"/>
      <w:bookmarkStart w:id="22" w:name="_Toc234367471"/>
      <w:bookmarkEnd w:id="21"/>
      <w:r>
        <w:t>1.2.5 Cash Flow Ratios</w:t>
      </w:r>
      <w:bookmarkEnd w:id="22"/>
    </w:p>
    <w:p w14:paraId="5D8FBFF8" w14:textId="77777777" w:rsidR="00FD737D" w:rsidRDefault="0023408D">
      <w:pPr>
        <w:spacing w:before="240" w:after="240" w:line="360" w:lineRule="auto"/>
        <w:jc w:val="both"/>
        <w:rPr>
          <w:b/>
          <w:bCs/>
          <w:sz w:val="24"/>
          <w:szCs w:val="24"/>
        </w:rPr>
      </w:pPr>
      <w:r>
        <w:rPr>
          <w:b/>
          <w:bCs/>
          <w:sz w:val="24"/>
          <w:szCs w:val="24"/>
        </w:rPr>
        <w:t>Operating Cash Flow Ratio</w:t>
      </w:r>
    </w:p>
    <w:p w14:paraId="6EC46728" w14:textId="3CA15F18" w:rsidR="00FD737D" w:rsidRDefault="0023408D">
      <w:pPr>
        <w:spacing w:before="240" w:after="240" w:line="360" w:lineRule="auto"/>
        <w:jc w:val="both"/>
        <w:rPr>
          <w:sz w:val="24"/>
          <w:szCs w:val="24"/>
        </w:rPr>
      </w:pPr>
      <w:r>
        <w:rPr>
          <w:sz w:val="24"/>
          <w:szCs w:val="24"/>
        </w:rPr>
        <w:lastRenderedPageBreak/>
        <w:t xml:space="preserve">The Operating Cash Flow Ratio provides an analysis of the liquidity of the Company to cover current liabilities with its operating cash (Seretidou </w:t>
      </w:r>
      <w:r w:rsidR="000B0ED8" w:rsidRPr="000B0ED8">
        <w:rPr>
          <w:i/>
          <w:iCs/>
          <w:sz w:val="24"/>
          <w:szCs w:val="24"/>
        </w:rPr>
        <w:t>et al.</w:t>
      </w:r>
      <w:r>
        <w:rPr>
          <w:sz w:val="24"/>
          <w:szCs w:val="24"/>
        </w:rPr>
        <w:t>, 2025). The ratio improved from 0.90 in 2021 to above 2.20 in 2022, 2023 and 2025, despite a temporary decline in 2024. The trend shows that the operating activities tend to create enough cash on hand to meet the short-term financial requirements.</w:t>
      </w:r>
      <w:r w:rsidR="004C75AF" w:rsidRPr="004C75AF">
        <w:rPr>
          <w:rFonts w:ascii="Geist Fallback" w:hAnsi="Geist Fallback"/>
          <w:sz w:val="23"/>
          <w:szCs w:val="23"/>
        </w:rPr>
        <w:t xml:space="preserve"> </w:t>
      </w:r>
      <w:r w:rsidR="004C75AF" w:rsidRPr="004C75AF">
        <w:rPr>
          <w:sz w:val="24"/>
          <w:szCs w:val="24"/>
        </w:rPr>
        <w:t>The better operating cash flows show that the management can turn the hotel revenues into cash amidst seasonal demand changes and increase in operating costs.</w:t>
      </w:r>
      <w:r w:rsidR="000B0ED8">
        <w:rPr>
          <w:sz w:val="24"/>
          <w:szCs w:val="24"/>
        </w:rPr>
        <w:t xml:space="preserve"> </w:t>
      </w:r>
      <w:r w:rsidR="000B0ED8">
        <w:rPr>
          <w:i/>
          <w:iCs/>
          <w:sz w:val="24"/>
          <w:szCs w:val="24"/>
        </w:rPr>
        <w:t>[Refer to Appendix a]</w:t>
      </w:r>
    </w:p>
    <w:p w14:paraId="7FB65E7E" w14:textId="77777777" w:rsidR="00FD737D" w:rsidRDefault="0023408D">
      <w:pPr>
        <w:spacing w:before="240" w:after="240" w:line="360" w:lineRule="auto"/>
        <w:jc w:val="both"/>
        <w:rPr>
          <w:b/>
          <w:bCs/>
          <w:sz w:val="24"/>
          <w:szCs w:val="24"/>
        </w:rPr>
      </w:pPr>
      <w:r>
        <w:rPr>
          <w:b/>
          <w:bCs/>
          <w:sz w:val="24"/>
          <w:szCs w:val="24"/>
        </w:rPr>
        <w:t>Free Cash Flow Ratio</w:t>
      </w:r>
    </w:p>
    <w:p w14:paraId="1253F672" w14:textId="76339D23" w:rsidR="00FD737D" w:rsidRPr="004C75AF" w:rsidRDefault="0023408D">
      <w:pPr>
        <w:spacing w:before="240" w:after="240" w:line="360" w:lineRule="auto"/>
        <w:jc w:val="both"/>
        <w:rPr>
          <w:sz w:val="24"/>
          <w:szCs w:val="24"/>
          <w:lang w:val="en-IN"/>
        </w:rPr>
      </w:pPr>
      <w:r>
        <w:rPr>
          <w:sz w:val="24"/>
          <w:szCs w:val="24"/>
        </w:rPr>
        <w:t xml:space="preserve">Free Cash Flow Ratio is a measure of financial flexibility and the amount of cash left after spending on capital. The ratio improved to 0.07 in 2021 and to 0.24 to 0.30 in 2022-2025, which is evidence that Host Hotels and Resorts </w:t>
      </w:r>
      <w:r w:rsidR="000B0ED8">
        <w:rPr>
          <w:sz w:val="24"/>
          <w:szCs w:val="24"/>
        </w:rPr>
        <w:t>continue</w:t>
      </w:r>
      <w:r>
        <w:rPr>
          <w:sz w:val="24"/>
          <w:szCs w:val="24"/>
        </w:rPr>
        <w:t xml:space="preserve"> to produce positive discretionary cash as it also invests in hotel renovations and portfolio improvement. This enhances the ability of the Company to finance the future growth, pay down debt and pay shareholder returns.</w:t>
      </w:r>
      <w:r w:rsidR="004C75AF" w:rsidRPr="004C75AF">
        <w:rPr>
          <w:rFonts w:ascii="Geist Fallback" w:eastAsia="Times New Roman" w:hAnsi="Geist Fallback" w:cs="Times New Roman"/>
          <w:sz w:val="23"/>
          <w:szCs w:val="23"/>
          <w:lang w:val="en-IN"/>
        </w:rPr>
        <w:t xml:space="preserve"> </w:t>
      </w:r>
      <w:r w:rsidR="004C75AF" w:rsidRPr="004C75AF">
        <w:rPr>
          <w:sz w:val="24"/>
          <w:szCs w:val="24"/>
          <w:lang w:val="en-IN"/>
        </w:rPr>
        <w:t>The positive free cash flow is indicative of the disciplined capital investment, allowing Host Hotels to renovate high-end properties without limiting the financial capabilities of strategic investments in the future.</w:t>
      </w:r>
      <w:r w:rsidR="000B0ED8">
        <w:rPr>
          <w:sz w:val="24"/>
          <w:szCs w:val="24"/>
        </w:rPr>
        <w:t xml:space="preserve"> </w:t>
      </w:r>
      <w:r w:rsidR="000B0ED8">
        <w:rPr>
          <w:i/>
          <w:iCs/>
          <w:sz w:val="24"/>
          <w:szCs w:val="24"/>
        </w:rPr>
        <w:t>[Refer to Appendix a]</w:t>
      </w:r>
    </w:p>
    <w:p w14:paraId="3A2231D4" w14:textId="77777777" w:rsidR="00FD737D" w:rsidRDefault="0023408D" w:rsidP="00FF28E3">
      <w:pPr>
        <w:pStyle w:val="Heading2"/>
      </w:pPr>
      <w:bookmarkStart w:id="23" w:name="_bm8b7211x81o" w:colFirst="0" w:colLast="0"/>
      <w:bookmarkStart w:id="24" w:name="_Toc234367472"/>
      <w:bookmarkEnd w:id="23"/>
      <w:r>
        <w:t>1.3 Trend Analysis: Strengths and Financial Threats</w:t>
      </w:r>
      <w:bookmarkEnd w:id="24"/>
      <w:r>
        <w:t xml:space="preserve"> </w:t>
      </w:r>
    </w:p>
    <w:p w14:paraId="2786B6DC" w14:textId="19FAE153" w:rsidR="00FF28E3" w:rsidRPr="00FF28E3" w:rsidRDefault="00FF28E3">
      <w:pPr>
        <w:spacing w:before="240" w:after="240" w:line="360" w:lineRule="auto"/>
        <w:jc w:val="both"/>
        <w:rPr>
          <w:b/>
          <w:bCs/>
          <w:sz w:val="24"/>
          <w:szCs w:val="24"/>
        </w:rPr>
      </w:pPr>
      <w:r w:rsidRPr="00FF28E3">
        <w:rPr>
          <w:b/>
          <w:bCs/>
          <w:sz w:val="24"/>
          <w:szCs w:val="24"/>
        </w:rPr>
        <w:t>Strengths</w:t>
      </w:r>
    </w:p>
    <w:p w14:paraId="0D9FCDEE" w14:textId="47446FED" w:rsidR="00FD737D" w:rsidRDefault="0023408D">
      <w:pPr>
        <w:spacing w:before="240" w:after="240" w:line="360" w:lineRule="auto"/>
        <w:jc w:val="both"/>
        <w:rPr>
          <w:sz w:val="24"/>
          <w:szCs w:val="24"/>
        </w:rPr>
      </w:pPr>
      <w:r>
        <w:rPr>
          <w:b/>
          <w:bCs/>
          <w:i/>
          <w:iCs/>
          <w:sz w:val="24"/>
          <w:szCs w:val="24"/>
        </w:rPr>
        <w:t>High Asset Base and Positive Cash Flow:</w:t>
      </w:r>
      <w:r>
        <w:rPr>
          <w:sz w:val="24"/>
          <w:szCs w:val="24"/>
        </w:rPr>
        <w:t xml:space="preserve"> The Company has total assets of about US$13.05 billion in 2025 and a continuously positive operating cash flow after 2022 (Host Hotels &amp; Resorts Annual Report, 2025). Such solid financial stance gives it the flexibility to fund capital investments, fund debt liabilities and long-term expansion.</w:t>
      </w:r>
    </w:p>
    <w:p w14:paraId="46ABDBA8" w14:textId="38B745DA" w:rsidR="00FD737D" w:rsidRDefault="0023408D">
      <w:pPr>
        <w:spacing w:before="240" w:after="240" w:line="360" w:lineRule="auto"/>
        <w:jc w:val="both"/>
        <w:rPr>
          <w:sz w:val="24"/>
          <w:szCs w:val="24"/>
        </w:rPr>
      </w:pPr>
      <w:r>
        <w:rPr>
          <w:b/>
          <w:bCs/>
          <w:i/>
          <w:iCs/>
          <w:sz w:val="24"/>
          <w:szCs w:val="24"/>
        </w:rPr>
        <w:t xml:space="preserve">Brand Resilience: </w:t>
      </w:r>
      <w:r>
        <w:rPr>
          <w:sz w:val="24"/>
          <w:szCs w:val="24"/>
        </w:rPr>
        <w:t xml:space="preserve">Since the owner of premium hotels was under internationally recognised brands, Host Hotels and Resorts was resilient to market disruptions. A firm brand equity boosts customer confidence, speeds up the ability to recover external shocks and increases competitive advantage in the long run (Rego </w:t>
      </w:r>
      <w:r w:rsidR="000B0ED8" w:rsidRPr="000B0ED8">
        <w:rPr>
          <w:i/>
          <w:iCs/>
          <w:sz w:val="24"/>
          <w:szCs w:val="24"/>
        </w:rPr>
        <w:t>et al.</w:t>
      </w:r>
      <w:r>
        <w:rPr>
          <w:sz w:val="24"/>
          <w:szCs w:val="24"/>
        </w:rPr>
        <w:t>, 2021).</w:t>
      </w:r>
    </w:p>
    <w:p w14:paraId="4A169EB6" w14:textId="77777777" w:rsidR="00FD737D" w:rsidRDefault="0023408D">
      <w:pPr>
        <w:spacing w:before="240" w:after="240" w:line="360" w:lineRule="auto"/>
        <w:jc w:val="both"/>
        <w:rPr>
          <w:b/>
          <w:bCs/>
          <w:sz w:val="24"/>
          <w:szCs w:val="24"/>
        </w:rPr>
      </w:pPr>
      <w:r>
        <w:rPr>
          <w:b/>
          <w:bCs/>
          <w:sz w:val="24"/>
          <w:szCs w:val="24"/>
        </w:rPr>
        <w:lastRenderedPageBreak/>
        <w:t>Financial Threats</w:t>
      </w:r>
    </w:p>
    <w:p w14:paraId="60D38E6C" w14:textId="77777777" w:rsidR="00FD737D" w:rsidRDefault="0023408D">
      <w:pPr>
        <w:spacing w:before="240" w:after="240" w:line="360" w:lineRule="auto"/>
        <w:jc w:val="both"/>
        <w:rPr>
          <w:sz w:val="24"/>
          <w:szCs w:val="24"/>
        </w:rPr>
      </w:pPr>
      <w:r>
        <w:rPr>
          <w:b/>
          <w:bCs/>
          <w:i/>
          <w:iCs/>
          <w:sz w:val="24"/>
          <w:szCs w:val="24"/>
        </w:rPr>
        <w:t xml:space="preserve">Expensive Interest and Growing Debt: </w:t>
      </w:r>
      <w:r>
        <w:rPr>
          <w:sz w:val="24"/>
          <w:szCs w:val="24"/>
        </w:rPr>
        <w:t>Future profitability and financial flexibility can decline due to high interest rates and increasing debt levels as long as interest rates stay high.</w:t>
      </w:r>
    </w:p>
    <w:p w14:paraId="2F0BAB10" w14:textId="0BC4591C" w:rsidR="00FD737D" w:rsidRDefault="0023408D">
      <w:pPr>
        <w:spacing w:before="240" w:after="240" w:line="360" w:lineRule="auto"/>
        <w:jc w:val="both"/>
        <w:rPr>
          <w:sz w:val="24"/>
          <w:szCs w:val="24"/>
        </w:rPr>
      </w:pPr>
      <w:r>
        <w:rPr>
          <w:b/>
          <w:bCs/>
          <w:i/>
          <w:iCs/>
          <w:sz w:val="24"/>
          <w:szCs w:val="24"/>
        </w:rPr>
        <w:t xml:space="preserve">Economic Slowdown, Inflation and Occupancy Risk: </w:t>
      </w:r>
      <w:r>
        <w:rPr>
          <w:sz w:val="24"/>
          <w:szCs w:val="24"/>
        </w:rPr>
        <w:t xml:space="preserve">The constant inflation has caused higher operating expenses in the hospitality industry, and economic uncertainty will undermine the demand of corporate and leisure travel. Reduced occupancy in economic crises may have a negative impact on revenue generation and cash flow, and put a strain on future financial performance (Nabernegg </w:t>
      </w:r>
      <w:r w:rsidR="000B0ED8" w:rsidRPr="000B0ED8">
        <w:rPr>
          <w:i/>
          <w:iCs/>
          <w:sz w:val="24"/>
          <w:szCs w:val="24"/>
        </w:rPr>
        <w:t>et al.</w:t>
      </w:r>
      <w:r>
        <w:rPr>
          <w:sz w:val="24"/>
          <w:szCs w:val="24"/>
        </w:rPr>
        <w:t>, 2024).</w:t>
      </w:r>
    </w:p>
    <w:p w14:paraId="6DAE58E1" w14:textId="77777777" w:rsidR="00FD737D" w:rsidRDefault="0023408D" w:rsidP="00FF28E3">
      <w:pPr>
        <w:pStyle w:val="Heading2"/>
      </w:pPr>
      <w:bookmarkStart w:id="25" w:name="_4o2j4jmj40qh" w:colFirst="0" w:colLast="0"/>
      <w:bookmarkStart w:id="26" w:name="_Toc234367473"/>
      <w:bookmarkEnd w:id="25"/>
      <w:r>
        <w:t>1.4 Liquidity Benchmarking Against Industry</w:t>
      </w:r>
      <w:bookmarkEnd w:id="26"/>
    </w:p>
    <w:p w14:paraId="5494A84C" w14:textId="1C24DBFE" w:rsidR="00FD737D" w:rsidRDefault="0023408D">
      <w:pPr>
        <w:spacing w:after="240" w:line="360" w:lineRule="auto"/>
        <w:jc w:val="both"/>
        <w:rPr>
          <w:sz w:val="24"/>
          <w:szCs w:val="24"/>
        </w:rPr>
      </w:pPr>
      <w:r>
        <w:rPr>
          <w:sz w:val="24"/>
          <w:szCs w:val="24"/>
        </w:rPr>
        <w:t>Host Hotels and Resorts is a premium hotel and lodging REIT sector in the market alongside other hotel chains like Marriott International, Hilton Worldwide, and Park Hotels and Resorts that compete in luxury and upper-end hotel markets (Hollander, 202</w:t>
      </w:r>
      <w:r w:rsidR="00FF28E3">
        <w:rPr>
          <w:sz w:val="24"/>
          <w:szCs w:val="24"/>
        </w:rPr>
        <w:t>2</w:t>
      </w:r>
      <w:r>
        <w:rPr>
          <w:sz w:val="24"/>
          <w:szCs w:val="24"/>
        </w:rPr>
        <w:t xml:space="preserve">). Host Hotels and Resorts </w:t>
      </w:r>
      <w:r w:rsidR="000B0ED8">
        <w:rPr>
          <w:sz w:val="24"/>
          <w:szCs w:val="24"/>
        </w:rPr>
        <w:t>have</w:t>
      </w:r>
      <w:r>
        <w:rPr>
          <w:sz w:val="24"/>
          <w:szCs w:val="24"/>
        </w:rPr>
        <w:t xml:space="preserve"> a fairly good liquidity position as compared to the hospitality REIT industry. Its Current Ratio of 2.11 and Cash Ratio of 1.13 in 2025 surpass the usual industry standard of about 1.0 2.0 on the Current Liquidity, showing it has a higher ability to pay the short-term liabilities. Though liquidity was shaken in 2024, the quick recovery in 2025 is indicative of a well-managed working capital. Host Hotels and Resorts overall have a better liquidity measure than the industry average, giving it more financial freedom to deal with market uncertainty and invest in the future. </w:t>
      </w:r>
    </w:p>
    <w:p w14:paraId="66094F7D" w14:textId="77777777" w:rsidR="00FD737D" w:rsidRDefault="0023408D" w:rsidP="00FF28E3">
      <w:pPr>
        <w:pStyle w:val="Heading1"/>
      </w:pPr>
      <w:bookmarkStart w:id="27" w:name="_2ekx0nm5l6hz" w:colFirst="0" w:colLast="0"/>
      <w:bookmarkStart w:id="28" w:name="_Toc234367474"/>
      <w:bookmarkEnd w:id="27"/>
      <w:r>
        <w:t>Task 2: Working Capital Management Analysis</w:t>
      </w:r>
      <w:bookmarkEnd w:id="28"/>
      <w:r>
        <w:t xml:space="preserve"> </w:t>
      </w:r>
    </w:p>
    <w:p w14:paraId="0E3B4D1F" w14:textId="77777777" w:rsidR="00FD737D" w:rsidRDefault="0023408D" w:rsidP="00FF28E3">
      <w:pPr>
        <w:pStyle w:val="Heading2"/>
      </w:pPr>
      <w:bookmarkStart w:id="29" w:name="_yy8kpj6vmxus" w:colFirst="0" w:colLast="0"/>
      <w:bookmarkStart w:id="30" w:name="_Toc234367475"/>
      <w:bookmarkEnd w:id="29"/>
      <w:r>
        <w:t>2.1 Assessment of Cash Operating Cycle</w:t>
      </w:r>
      <w:bookmarkEnd w:id="30"/>
      <w:r>
        <w:t xml:space="preserve"> </w:t>
      </w:r>
    </w:p>
    <w:p w14:paraId="140A6885" w14:textId="77777777" w:rsidR="00FD737D" w:rsidRDefault="0023408D">
      <w:pPr>
        <w:spacing w:before="240" w:after="240" w:line="360" w:lineRule="auto"/>
        <w:jc w:val="both"/>
        <w:rPr>
          <w:b/>
          <w:bCs/>
          <w:sz w:val="24"/>
          <w:szCs w:val="24"/>
        </w:rPr>
      </w:pPr>
      <w:r>
        <w:rPr>
          <w:b/>
          <w:bCs/>
          <w:sz w:val="24"/>
          <w:szCs w:val="24"/>
        </w:rPr>
        <w:t>Cash Conversion Cycle</w:t>
      </w:r>
    </w:p>
    <w:p w14:paraId="6E586A04" w14:textId="77777777" w:rsidR="00FD737D" w:rsidRDefault="0023408D">
      <w:pPr>
        <w:spacing w:before="240" w:after="240" w:line="360" w:lineRule="auto"/>
        <w:jc w:val="both"/>
        <w:rPr>
          <w:sz w:val="24"/>
          <w:szCs w:val="24"/>
        </w:rPr>
      </w:pPr>
      <w:r>
        <w:rPr>
          <w:sz w:val="24"/>
          <w:szCs w:val="24"/>
        </w:rPr>
        <w:t xml:space="preserve">The Cash Conversion Cycle (CCC) is a measure of how long it takes a business to turn the cash invested in operating activities into cash inflows through customers. A lower CCC indicates better management of working capital since it minimizes the </w:t>
      </w:r>
      <w:r>
        <w:rPr>
          <w:sz w:val="24"/>
          <w:szCs w:val="24"/>
        </w:rPr>
        <w:lastRenderedPageBreak/>
        <w:t>time in which cash is blocked in business activities thus enhancing liquidity and profitability (Stavropoulos and Zounta, 2025).</w:t>
      </w:r>
    </w:p>
    <w:p w14:paraId="50E80207" w14:textId="77777777" w:rsidR="00FD737D" w:rsidRDefault="0023408D">
      <w:pPr>
        <w:spacing w:before="240" w:after="240" w:line="360" w:lineRule="auto"/>
        <w:jc w:val="both"/>
        <w:rPr>
          <w:b/>
          <w:bCs/>
          <w:sz w:val="24"/>
          <w:szCs w:val="24"/>
        </w:rPr>
      </w:pPr>
      <w:r>
        <w:rPr>
          <w:b/>
          <w:bCs/>
          <w:sz w:val="24"/>
          <w:szCs w:val="24"/>
        </w:rPr>
        <w:t>Assessment of Efficiency</w:t>
      </w:r>
    </w:p>
    <w:p w14:paraId="6FA2BA01" w14:textId="77777777" w:rsidR="00FD737D" w:rsidRDefault="0023408D">
      <w:pPr>
        <w:spacing w:before="240" w:after="240" w:line="360" w:lineRule="auto"/>
        <w:jc w:val="both"/>
        <w:rPr>
          <w:sz w:val="24"/>
          <w:szCs w:val="24"/>
        </w:rPr>
      </w:pPr>
      <w:r>
        <w:rPr>
          <w:sz w:val="24"/>
          <w:szCs w:val="24"/>
        </w:rPr>
        <w:t>Host Hotels and Resorts show a better operating cycle on cash between the review period. Accounts Receivable Turnover ratio grew to 28 times in 2021 to 96 times in 2025, which implies that the company collects its receivables much faster and has more robust cash flows. Such an improvement indicates proper management of credits, increased utilization of electronic payment systems and efficient receivables administration, which mitigate the necessity of extra short-term financing (Luther, 2022).</w:t>
      </w:r>
    </w:p>
    <w:p w14:paraId="50C6B50B" w14:textId="77777777" w:rsidR="00FD737D" w:rsidRDefault="0023408D">
      <w:pPr>
        <w:spacing w:before="240" w:after="240" w:line="360" w:lineRule="auto"/>
        <w:jc w:val="both"/>
        <w:rPr>
          <w:sz w:val="24"/>
          <w:szCs w:val="24"/>
        </w:rPr>
      </w:pPr>
      <w:r>
        <w:rPr>
          <w:sz w:val="24"/>
          <w:szCs w:val="24"/>
        </w:rPr>
        <w:t>The Total Asset Turnover ratio increased continuously as well, 0.15 in 2021 and 0.28 in 2025, proving that the Company received an increasing amount of revenue on the hotel property portfolio. The ratio is not very high, as the hospitality industry is very asset-intensive, but the increasing trend shows that assets of the hotels are better utilised after the recovery in the travel demand.</w:t>
      </w:r>
    </w:p>
    <w:p w14:paraId="721C4A6C" w14:textId="77777777" w:rsidR="00FD737D" w:rsidRDefault="0023408D" w:rsidP="00FF28E3">
      <w:pPr>
        <w:pStyle w:val="Heading2"/>
      </w:pPr>
      <w:bookmarkStart w:id="31" w:name="_ykphw0z3h475" w:colFirst="0" w:colLast="0"/>
      <w:bookmarkStart w:id="32" w:name="_Toc234367476"/>
      <w:bookmarkEnd w:id="31"/>
      <w:r>
        <w:t>2.2 Working Capital Challenges</w:t>
      </w:r>
      <w:bookmarkEnd w:id="32"/>
      <w:r>
        <w:t xml:space="preserve"> </w:t>
      </w:r>
    </w:p>
    <w:p w14:paraId="426012DC" w14:textId="77777777" w:rsidR="00FD737D" w:rsidRDefault="0023408D">
      <w:pPr>
        <w:spacing w:before="240" w:after="240" w:line="360" w:lineRule="auto"/>
        <w:jc w:val="both"/>
        <w:rPr>
          <w:sz w:val="24"/>
          <w:szCs w:val="24"/>
        </w:rPr>
      </w:pPr>
      <w:r>
        <w:rPr>
          <w:sz w:val="24"/>
          <w:szCs w:val="24"/>
        </w:rPr>
        <w:t>The nature of the hospitality industry presents a number of working capital challenges to Host Hotels &amp; Resorts. Seasonal demand would result in varying occupancy rates and room rates resulting in lumpy cash flows across the year. The Company also has to spend significant maintenance and renovation costs to maintain the quality of its luxury hotel portfolio, which generates cash outflows. Being a capital-intensive venture, hotel properties restrict liquidity and raise reliance on long-term financing. Additionally, the short-term liquidity can be influenced by cash flow variations caused by the shifting travel demand, economic risks and unpredictable market shocks. Increased interest payments on debt funding also add financial strain through reduced operating cash to invest and pay shareholders. To remain financially resilient, effective cash flow management and constant monitoring is thus needed (Lulaj and Mínguez-Vera, 2024).</w:t>
      </w:r>
    </w:p>
    <w:p w14:paraId="7AC0650C" w14:textId="77777777" w:rsidR="00FD737D" w:rsidRDefault="0023408D" w:rsidP="00FF28E3">
      <w:pPr>
        <w:pStyle w:val="Heading2"/>
      </w:pPr>
      <w:bookmarkStart w:id="33" w:name="_rmvvc8t5v9wr" w:colFirst="0" w:colLast="0"/>
      <w:bookmarkStart w:id="34" w:name="_Toc234367477"/>
      <w:bookmarkEnd w:id="33"/>
      <w:r>
        <w:t>2.3 Strategies to Improve Liquidity</w:t>
      </w:r>
      <w:bookmarkEnd w:id="34"/>
      <w:r>
        <w:t xml:space="preserve"> </w:t>
      </w:r>
    </w:p>
    <w:p w14:paraId="41F1897A" w14:textId="584D9D40" w:rsidR="00FD737D" w:rsidRDefault="0023408D">
      <w:pPr>
        <w:spacing w:before="240" w:after="240" w:line="360" w:lineRule="auto"/>
        <w:jc w:val="both"/>
        <w:rPr>
          <w:sz w:val="24"/>
          <w:szCs w:val="24"/>
        </w:rPr>
      </w:pPr>
      <w:r>
        <w:rPr>
          <w:sz w:val="24"/>
          <w:szCs w:val="24"/>
        </w:rPr>
        <w:lastRenderedPageBreak/>
        <w:t xml:space="preserve">The liquidity of Host Hotels &amp; Resorts can be reinforced with various working capital reforms. Receivable collection through advance payment encouragement, automated billing and tightening of credit controls would expedite cash inflows and decrease receivables. Dynamic pricing can be adopted to optimise room rates based on seasonal demand and customer behaviour to maximise revenue and enhance cash generation (Talón-Ballestero </w:t>
      </w:r>
      <w:r w:rsidR="000B0ED8" w:rsidRPr="000B0ED8">
        <w:rPr>
          <w:i/>
          <w:iCs/>
          <w:sz w:val="24"/>
          <w:szCs w:val="24"/>
        </w:rPr>
        <w:t>et al.</w:t>
      </w:r>
      <w:r>
        <w:rPr>
          <w:sz w:val="24"/>
          <w:szCs w:val="24"/>
        </w:rPr>
        <w:t>, 2022).</w:t>
      </w:r>
      <w:r w:rsidR="00F7191E">
        <w:rPr>
          <w:sz w:val="24"/>
          <w:szCs w:val="24"/>
        </w:rPr>
        <w:t xml:space="preserve"> </w:t>
      </w:r>
      <w:r w:rsidR="00F7191E" w:rsidRPr="00F7191E">
        <w:rPr>
          <w:sz w:val="24"/>
          <w:szCs w:val="24"/>
        </w:rPr>
        <w:t>Host Hotels ought to speed up the collection of corporate travel contracts and group bookings by using automated invoicing and digital payment systems, enhancing cash collection and minimizing working capital.</w:t>
      </w:r>
      <w:r w:rsidR="006C0151">
        <w:rPr>
          <w:sz w:val="24"/>
          <w:szCs w:val="24"/>
        </w:rPr>
        <w:t xml:space="preserve"> </w:t>
      </w:r>
      <w:r w:rsidR="006C0151" w:rsidRPr="006C0151">
        <w:rPr>
          <w:sz w:val="24"/>
          <w:szCs w:val="24"/>
        </w:rPr>
        <w:t>A five-day reduction in average receivable days may enhance operating cash flow by about 2-4% and increase liquidity and decrease dependence on short-term financing.</w:t>
      </w:r>
    </w:p>
    <w:p w14:paraId="6A33DA92" w14:textId="0222BD75" w:rsidR="00FD737D" w:rsidRDefault="0023408D">
      <w:pPr>
        <w:spacing w:before="240" w:after="240" w:line="360" w:lineRule="auto"/>
        <w:jc w:val="both"/>
        <w:rPr>
          <w:sz w:val="24"/>
          <w:szCs w:val="24"/>
        </w:rPr>
      </w:pPr>
      <w:r>
        <w:rPr>
          <w:sz w:val="24"/>
          <w:szCs w:val="24"/>
        </w:rPr>
        <w:t xml:space="preserve">A more precise cash forecasting would allow the management to predict the need of liquidity, capital expenditure and act in advance to changes in demand. Moreover, the data can help in improving the forecast of demand, optimise prices and maximise occupancy of rooms by investing in AI-based revenue management systems (Kazmi, 2026). Lastly, the constant monitoring of working capital through important performance indicators like receivable turnover and cash conversion rates would allow prompt corrective measures. </w:t>
      </w:r>
      <w:r w:rsidR="00F7191E" w:rsidRPr="00F7191E">
        <w:rPr>
          <w:sz w:val="24"/>
          <w:szCs w:val="24"/>
        </w:rPr>
        <w:t xml:space="preserve">Revenue management by AI must focus on the high-RevPAR luxury hotels, maximising occupancy and room rates, and enhancing operating cash flows during periods of seasonal demand. </w:t>
      </w:r>
      <w:r>
        <w:rPr>
          <w:sz w:val="24"/>
          <w:szCs w:val="24"/>
        </w:rPr>
        <w:t>All of these measures would enhance liquidity, enhance operational efficiency, and increase long-term financial flexibility of the company.</w:t>
      </w:r>
    </w:p>
    <w:p w14:paraId="6254F74B" w14:textId="77777777" w:rsidR="00FD737D" w:rsidRDefault="0023408D" w:rsidP="00FF28E3">
      <w:pPr>
        <w:pStyle w:val="Heading2"/>
      </w:pPr>
      <w:bookmarkStart w:id="35" w:name="_wc5wbtmuy79d" w:colFirst="0" w:colLast="0"/>
      <w:bookmarkStart w:id="36" w:name="_Toc234367478"/>
      <w:bookmarkEnd w:id="35"/>
      <w:r>
        <w:t>2.4 Short-Term vs Long-Term Financing</w:t>
      </w:r>
      <w:bookmarkEnd w:id="36"/>
      <w:r>
        <w:t xml:space="preserve"> </w:t>
      </w:r>
    </w:p>
    <w:p w14:paraId="709FD36E" w14:textId="3C5BBCB2" w:rsidR="00FD737D" w:rsidRDefault="0023408D">
      <w:pPr>
        <w:spacing w:before="240" w:after="240" w:line="360" w:lineRule="auto"/>
        <w:jc w:val="both"/>
        <w:rPr>
          <w:sz w:val="24"/>
          <w:szCs w:val="24"/>
        </w:rPr>
      </w:pPr>
      <w:r>
        <w:rPr>
          <w:sz w:val="24"/>
          <w:szCs w:val="24"/>
        </w:rPr>
        <w:t xml:space="preserve">Bank overdrafts, commercial papers and revolving credit facilities are short-term sources of financing that offer quick liquidity and flexibility in operation to meet short-term needs of working capital. Nevertheless, these sources tend to expose the Company to refinancing risk and an increase in the costs of interest. Conversely, bonds, equity funding, REIT capital raising and long-term loans are more reliable source of funding hotel purchases, renovation and strategic growth, but are associated with increased costs of issuing or dilution of shareholders. Since Host Hotels &amp; Resorts is </w:t>
      </w:r>
      <w:r w:rsidR="000B0ED8">
        <w:rPr>
          <w:sz w:val="24"/>
          <w:szCs w:val="24"/>
        </w:rPr>
        <w:t>capital-intensive, long-term</w:t>
      </w:r>
      <w:r>
        <w:rPr>
          <w:sz w:val="24"/>
          <w:szCs w:val="24"/>
        </w:rPr>
        <w:t xml:space="preserve"> financing is more appropriate since it matches the maturity of financing with long life hotel properties and minimizes </w:t>
      </w:r>
      <w:r>
        <w:rPr>
          <w:sz w:val="24"/>
          <w:szCs w:val="24"/>
        </w:rPr>
        <w:lastRenderedPageBreak/>
        <w:t xml:space="preserve">refinancing risk. Even though short-term facilities are also beneficial in seasonal liquidity, the company needs to focus on long-term funding with selective utilisation of revolving credit in order to hold financial flexibility and maximise long-term shareholder value (Edmans </w:t>
      </w:r>
      <w:r w:rsidR="000B0ED8" w:rsidRPr="000B0ED8">
        <w:rPr>
          <w:i/>
          <w:iCs/>
          <w:sz w:val="24"/>
          <w:szCs w:val="24"/>
        </w:rPr>
        <w:t>et al.</w:t>
      </w:r>
      <w:r>
        <w:rPr>
          <w:sz w:val="24"/>
          <w:szCs w:val="24"/>
        </w:rPr>
        <w:t>, 2022).</w:t>
      </w:r>
    </w:p>
    <w:p w14:paraId="3E7F2556" w14:textId="77777777" w:rsidR="00FD737D" w:rsidRDefault="0023408D" w:rsidP="00FF28E3">
      <w:pPr>
        <w:pStyle w:val="Heading1"/>
      </w:pPr>
      <w:bookmarkStart w:id="37" w:name="_80ysd2z17fx5" w:colFirst="0" w:colLast="0"/>
      <w:bookmarkStart w:id="38" w:name="_Toc234367479"/>
      <w:bookmarkEnd w:id="37"/>
      <w:r>
        <w:t>Task 3: Strategic Financial Restructuring Plan</w:t>
      </w:r>
      <w:bookmarkEnd w:id="38"/>
      <w:r>
        <w:t xml:space="preserve"> </w:t>
      </w:r>
    </w:p>
    <w:p w14:paraId="2EC8302E" w14:textId="77777777" w:rsidR="00FD737D" w:rsidRDefault="0023408D" w:rsidP="00FF28E3">
      <w:pPr>
        <w:pStyle w:val="Heading2"/>
      </w:pPr>
      <w:bookmarkStart w:id="39" w:name="_drayuz9nna3j" w:colFirst="0" w:colLast="0"/>
      <w:bookmarkStart w:id="40" w:name="_Toc234367480"/>
      <w:bookmarkEnd w:id="39"/>
      <w:r>
        <w:t>3.1 Recommended Financial Restructuring Options</w:t>
      </w:r>
      <w:bookmarkEnd w:id="40"/>
    </w:p>
    <w:p w14:paraId="50ED29AE" w14:textId="7BD7FE28" w:rsidR="00FD737D" w:rsidRDefault="0023408D">
      <w:pPr>
        <w:spacing w:before="240" w:after="240" w:line="360" w:lineRule="auto"/>
        <w:jc w:val="both"/>
        <w:rPr>
          <w:sz w:val="24"/>
          <w:szCs w:val="24"/>
        </w:rPr>
      </w:pPr>
      <w:r>
        <w:rPr>
          <w:sz w:val="24"/>
          <w:szCs w:val="24"/>
        </w:rPr>
        <w:t>Host Hotels and Resorts ought to pursue a diversified financial restructuring approach to enhance its long-term financial position and help in sustainable growth. The first option to focus on should be selective asset divestiture by selling underperforming or non-core hotel properties. This would free up capital, enhance asset utilization as well as additional capital to invest in more profitable luxury assets.</w:t>
      </w:r>
      <w:r w:rsidR="00A24091">
        <w:rPr>
          <w:sz w:val="24"/>
          <w:szCs w:val="24"/>
        </w:rPr>
        <w:t xml:space="preserve"> </w:t>
      </w:r>
      <w:r w:rsidR="00A24091" w:rsidRPr="00A24091">
        <w:rPr>
          <w:sz w:val="24"/>
          <w:szCs w:val="24"/>
        </w:rPr>
        <w:t>Host Hotels must sell off lower-RevPAR or non-core hotel properties, and invest the proceeds into more profitable luxury hotels in large gateways and resort destinations.</w:t>
      </w:r>
    </w:p>
    <w:p w14:paraId="3564D14D" w14:textId="3C20DE52" w:rsidR="00FD737D" w:rsidRDefault="0023408D">
      <w:pPr>
        <w:spacing w:before="240" w:after="240" w:line="360" w:lineRule="auto"/>
        <w:jc w:val="both"/>
        <w:rPr>
          <w:sz w:val="24"/>
          <w:szCs w:val="24"/>
        </w:rPr>
      </w:pPr>
      <w:r>
        <w:rPr>
          <w:sz w:val="24"/>
          <w:szCs w:val="24"/>
        </w:rPr>
        <w:t xml:space="preserve">The company must also seek to refinance its debts by replacing the expensive debt with cheaper and longer-term debts. Since the total debt was still at US$5.0 billion in 2025, refinancing would decrease the cost of financing, enhance the cash flows and reduce the refinancing risk (Friewald </w:t>
      </w:r>
      <w:r w:rsidR="000B0ED8" w:rsidRPr="000B0ED8">
        <w:rPr>
          <w:i/>
          <w:iCs/>
          <w:sz w:val="24"/>
          <w:szCs w:val="24"/>
        </w:rPr>
        <w:t>et al.</w:t>
      </w:r>
      <w:r>
        <w:rPr>
          <w:sz w:val="24"/>
          <w:szCs w:val="24"/>
        </w:rPr>
        <w:t>, 2022).</w:t>
      </w:r>
      <w:r w:rsidR="00A24091">
        <w:rPr>
          <w:sz w:val="24"/>
          <w:szCs w:val="24"/>
        </w:rPr>
        <w:t xml:space="preserve"> </w:t>
      </w:r>
      <w:r w:rsidR="006C0151" w:rsidRPr="006C0151">
        <w:rPr>
          <w:sz w:val="24"/>
          <w:szCs w:val="24"/>
        </w:rPr>
        <w:t>A lower interest rate of 1% to refinance US$5.0 billion of debt would save the company about US$50 million in annual finance expenses and enhance cash flow and coverage of interest.</w:t>
      </w:r>
    </w:p>
    <w:p w14:paraId="37D37309" w14:textId="77777777" w:rsidR="00A24091" w:rsidRDefault="0023408D">
      <w:pPr>
        <w:spacing w:before="240" w:after="240" w:line="360" w:lineRule="auto"/>
        <w:jc w:val="both"/>
        <w:rPr>
          <w:sz w:val="24"/>
          <w:szCs w:val="24"/>
        </w:rPr>
      </w:pPr>
      <w:r>
        <w:rPr>
          <w:sz w:val="24"/>
          <w:szCs w:val="24"/>
        </w:rPr>
        <w:t xml:space="preserve">Host Hotels and Resorts should also go ahead and form strategic alliances with international hotel operators and institutional investors to distribute investment risk, increase market penetration and enhance operations. </w:t>
      </w:r>
      <w:r w:rsidR="00A24091" w:rsidRPr="00A24091">
        <w:rPr>
          <w:sz w:val="24"/>
          <w:szCs w:val="24"/>
        </w:rPr>
        <w:t xml:space="preserve">Premium hotel acquisitions can be made with the help of strategic alliances with institutional investors around the world and without excessive capital investments and balance-sheet flexibility in the future. </w:t>
      </w:r>
    </w:p>
    <w:p w14:paraId="60B66C06" w14:textId="77777777" w:rsidR="00A24091" w:rsidRDefault="0023408D">
      <w:pPr>
        <w:spacing w:before="240" w:after="240" w:line="360" w:lineRule="auto"/>
        <w:jc w:val="both"/>
        <w:rPr>
          <w:sz w:val="24"/>
          <w:szCs w:val="24"/>
        </w:rPr>
      </w:pPr>
      <w:r>
        <w:rPr>
          <w:sz w:val="24"/>
          <w:szCs w:val="24"/>
        </w:rPr>
        <w:t xml:space="preserve">Lastly, more ESG-related financing, including sustainability-linked loans and green bonds, would facilitate environmentally responsible hotel construction, as well as enhance access to responsible funding markets. </w:t>
      </w:r>
      <w:r w:rsidR="00A24091" w:rsidRPr="00A24091">
        <w:rPr>
          <w:sz w:val="24"/>
          <w:szCs w:val="24"/>
        </w:rPr>
        <w:t xml:space="preserve">The sustainability-linked debt can </w:t>
      </w:r>
      <w:r w:rsidR="00A24091" w:rsidRPr="00A24091">
        <w:rPr>
          <w:sz w:val="24"/>
          <w:szCs w:val="24"/>
        </w:rPr>
        <w:lastRenderedPageBreak/>
        <w:t xml:space="preserve">be used to fund energy-efficient hotel renovations, enhance ESG performance, and expand access to environmentally-oriented institutional investors. </w:t>
      </w:r>
    </w:p>
    <w:p w14:paraId="77BE4FAF" w14:textId="66B24964" w:rsidR="00FD737D" w:rsidRDefault="0023408D">
      <w:pPr>
        <w:spacing w:before="240" w:after="240" w:line="360" w:lineRule="auto"/>
        <w:jc w:val="both"/>
        <w:rPr>
          <w:sz w:val="24"/>
          <w:szCs w:val="24"/>
        </w:rPr>
      </w:pPr>
      <w:r>
        <w:rPr>
          <w:sz w:val="24"/>
          <w:szCs w:val="24"/>
        </w:rPr>
        <w:t>Together, these restructuring efforts would improve financial resilience, streamline capital distribution and place the Company in a long-term growth position.</w:t>
      </w:r>
    </w:p>
    <w:p w14:paraId="5B03EF2C" w14:textId="77777777" w:rsidR="00FD737D" w:rsidRDefault="0023408D" w:rsidP="00FF28E3">
      <w:pPr>
        <w:pStyle w:val="Heading2"/>
      </w:pPr>
      <w:bookmarkStart w:id="41" w:name="_chm9or6exg2o" w:colFirst="0" w:colLast="0"/>
      <w:bookmarkStart w:id="42" w:name="_Toc234367481"/>
      <w:bookmarkEnd w:id="41"/>
      <w:r>
        <w:t>3.2 Impact on Financial Performance</w:t>
      </w:r>
      <w:bookmarkEnd w:id="42"/>
    </w:p>
    <w:p w14:paraId="40FB5BE7" w14:textId="77777777" w:rsidR="00FD737D" w:rsidRDefault="0023408D">
      <w:pPr>
        <w:spacing w:before="240" w:after="240" w:line="360" w:lineRule="auto"/>
        <w:jc w:val="both"/>
        <w:rPr>
          <w:sz w:val="24"/>
          <w:szCs w:val="24"/>
        </w:rPr>
      </w:pPr>
      <w:r>
        <w:rPr>
          <w:sz w:val="24"/>
          <w:szCs w:val="24"/>
        </w:rPr>
        <w:t>The restructuring plan suggested will lead to an increase in financial performance and shareholder value in the long run. Portfolio optimisation and selective asset divestiture would allow Host Hotels and Resorts to focus resources on better performing assets, helping to enhance profitability and ROI. Given the Company's 2025 net income of US$765 million and total assets of approximately US$13.05 billion, greater asset efficiency could further enhance earnings performance.</w:t>
      </w:r>
    </w:p>
    <w:p w14:paraId="06017C7F" w14:textId="6C700359" w:rsidR="00FD737D" w:rsidRDefault="0023408D">
      <w:pPr>
        <w:spacing w:before="240" w:after="240" w:line="360" w:lineRule="auto"/>
        <w:jc w:val="both"/>
        <w:rPr>
          <w:sz w:val="24"/>
          <w:szCs w:val="24"/>
        </w:rPr>
      </w:pPr>
      <w:r>
        <w:rPr>
          <w:sz w:val="24"/>
          <w:szCs w:val="24"/>
        </w:rPr>
        <w:t xml:space="preserve">Debt refinancing would enhance the debt structure of the Company by increasing debt maturity and cutting down on interest costs, which would enhance cash flows and decrease financial risk (Friewald </w:t>
      </w:r>
      <w:r w:rsidR="000B0ED8" w:rsidRPr="000B0ED8">
        <w:rPr>
          <w:i/>
          <w:iCs/>
          <w:sz w:val="24"/>
          <w:szCs w:val="24"/>
        </w:rPr>
        <w:t>et al.</w:t>
      </w:r>
      <w:r>
        <w:rPr>
          <w:sz w:val="24"/>
          <w:szCs w:val="24"/>
        </w:rPr>
        <w:t>, 2022). Less financing load would also enhance liquidity and offer more flexibility in operations to pursue property renovation and strategic investments. Equity issuance would dilute the current ownership, but it would also make the balance sheet strong and less reliant on debt financing.</w:t>
      </w:r>
      <w:r w:rsidR="006C0151">
        <w:rPr>
          <w:sz w:val="24"/>
          <w:szCs w:val="24"/>
        </w:rPr>
        <w:t xml:space="preserve"> </w:t>
      </w:r>
      <w:r w:rsidR="006C0151" w:rsidRPr="006C0151">
        <w:rPr>
          <w:sz w:val="24"/>
          <w:szCs w:val="24"/>
        </w:rPr>
        <w:t>The redistribution of capital between the low performing assets and high-end hotels would result in a 4-8</w:t>
      </w:r>
      <w:r w:rsidR="006C0151">
        <w:rPr>
          <w:sz w:val="24"/>
          <w:szCs w:val="24"/>
        </w:rPr>
        <w:t xml:space="preserve">% </w:t>
      </w:r>
      <w:r w:rsidR="006C0151" w:rsidRPr="006C0151">
        <w:rPr>
          <w:sz w:val="24"/>
          <w:szCs w:val="24"/>
        </w:rPr>
        <w:t>increase in RevPAR and a 2-3</w:t>
      </w:r>
      <w:r w:rsidR="006C0151">
        <w:rPr>
          <w:sz w:val="24"/>
          <w:szCs w:val="24"/>
        </w:rPr>
        <w:t xml:space="preserve">% </w:t>
      </w:r>
      <w:r w:rsidR="006C0151" w:rsidRPr="006C0151">
        <w:rPr>
          <w:sz w:val="24"/>
          <w:szCs w:val="24"/>
        </w:rPr>
        <w:t>rise in the EBITDA margin in the medium term.</w:t>
      </w:r>
    </w:p>
    <w:p w14:paraId="0211C3DF" w14:textId="756027EB" w:rsidR="00FD737D" w:rsidRDefault="0023408D">
      <w:pPr>
        <w:spacing w:before="240" w:after="240" w:line="360" w:lineRule="auto"/>
        <w:jc w:val="both"/>
        <w:rPr>
          <w:sz w:val="24"/>
          <w:szCs w:val="24"/>
        </w:rPr>
      </w:pPr>
      <w:r>
        <w:rPr>
          <w:sz w:val="24"/>
          <w:szCs w:val="24"/>
        </w:rPr>
        <w:t>More so, ESG-linked funding and responsible investment activities can also help to reduce the cost of equity and enhance investor trust by the increased sustainability performance (</w:t>
      </w:r>
      <w:r w:rsidR="00FF28E3">
        <w:rPr>
          <w:sz w:val="24"/>
          <w:szCs w:val="24"/>
        </w:rPr>
        <w:t xml:space="preserve">Gonçalves </w:t>
      </w:r>
      <w:r w:rsidR="000B0ED8" w:rsidRPr="000B0ED8">
        <w:rPr>
          <w:i/>
          <w:iCs/>
          <w:sz w:val="24"/>
          <w:szCs w:val="24"/>
        </w:rPr>
        <w:t>et al.</w:t>
      </w:r>
      <w:r>
        <w:rPr>
          <w:sz w:val="24"/>
          <w:szCs w:val="24"/>
        </w:rPr>
        <w:t xml:space="preserve">, 2022). Sustainable financial strategies to enable the hospitality industry to create value to shareholders and other stakeholders at large rely more and more on long-term resilience and profitability (Corte </w:t>
      </w:r>
      <w:r w:rsidR="000B0ED8" w:rsidRPr="000B0ED8">
        <w:rPr>
          <w:i/>
          <w:iCs/>
          <w:sz w:val="24"/>
          <w:szCs w:val="24"/>
        </w:rPr>
        <w:t>et al.</w:t>
      </w:r>
      <w:r>
        <w:rPr>
          <w:sz w:val="24"/>
          <w:szCs w:val="24"/>
        </w:rPr>
        <w:t>, 2022). In general, the suggested restructuring will increase profitability, optimise the capital structure, enhance liquidity and sustainable shareholder value creation.</w:t>
      </w:r>
    </w:p>
    <w:p w14:paraId="7E93EA2B" w14:textId="77777777" w:rsidR="00FD737D" w:rsidRDefault="0023408D" w:rsidP="00FF28E3">
      <w:pPr>
        <w:pStyle w:val="Heading2"/>
      </w:pPr>
      <w:bookmarkStart w:id="43" w:name="_fq88oyqs7orf" w:colFirst="0" w:colLast="0"/>
      <w:bookmarkStart w:id="44" w:name="_Toc234367482"/>
      <w:bookmarkEnd w:id="43"/>
      <w:r>
        <w:t>3.3 International Financial Considerations</w:t>
      </w:r>
      <w:bookmarkEnd w:id="44"/>
      <w:r>
        <w:t xml:space="preserve"> </w:t>
      </w:r>
    </w:p>
    <w:p w14:paraId="0B8B819E" w14:textId="1403AAF0" w:rsidR="00FD737D" w:rsidRDefault="0023408D">
      <w:pPr>
        <w:spacing w:before="240" w:after="240" w:line="360" w:lineRule="auto"/>
        <w:jc w:val="both"/>
        <w:rPr>
          <w:sz w:val="24"/>
          <w:szCs w:val="24"/>
        </w:rPr>
      </w:pPr>
      <w:r>
        <w:rPr>
          <w:sz w:val="24"/>
          <w:szCs w:val="24"/>
        </w:rPr>
        <w:lastRenderedPageBreak/>
        <w:t xml:space="preserve">Host Hotels and Resorts </w:t>
      </w:r>
      <w:r w:rsidR="000B0ED8">
        <w:rPr>
          <w:sz w:val="24"/>
          <w:szCs w:val="24"/>
        </w:rPr>
        <w:t>face</w:t>
      </w:r>
      <w:r>
        <w:rPr>
          <w:sz w:val="24"/>
          <w:szCs w:val="24"/>
        </w:rPr>
        <w:t xml:space="preserve"> a number of financial risks because it operates in global tourism markets. Foreign exchange risk can also influence revenues due to international travellers because the changes in exchange rates impact travel demand and spending patterns (Obi and Ogbeide, 2022). The high interest rates will raise the cost of borrowing, and high inflation will raise the cost of labour, utility and maintenance, pressuring operating margins. When assessing investment opportunities, the company will also have to take into account variations in taxation between jurisdictions. </w:t>
      </w:r>
      <w:r w:rsidR="00A24091" w:rsidRPr="00A24091">
        <w:rPr>
          <w:sz w:val="24"/>
          <w:szCs w:val="24"/>
        </w:rPr>
        <w:t xml:space="preserve">To minimize the exchange-rate and refinancing risks, Host Hotels should hedge significant foreign currency exposures of international tourism markets and match debt maturities to the estimated cash flows. </w:t>
      </w:r>
      <w:r>
        <w:rPr>
          <w:sz w:val="24"/>
          <w:szCs w:val="24"/>
        </w:rPr>
        <w:t>With diverse funding sources and sound risk management, effective global expansion financing can minimize the financial uncertainty and promote sustainable international growth.</w:t>
      </w:r>
    </w:p>
    <w:p w14:paraId="01F83689" w14:textId="77777777" w:rsidR="00FD737D" w:rsidRDefault="0023408D" w:rsidP="00FF28E3">
      <w:pPr>
        <w:pStyle w:val="Heading2"/>
      </w:pPr>
      <w:bookmarkStart w:id="45" w:name="_ra8zcjsusonj" w:colFirst="0" w:colLast="0"/>
      <w:bookmarkStart w:id="46" w:name="_Toc234367483"/>
      <w:bookmarkEnd w:id="45"/>
      <w:r>
        <w:t>3.4 Ethical and ESG Considerations</w:t>
      </w:r>
      <w:bookmarkEnd w:id="46"/>
      <w:r>
        <w:t xml:space="preserve"> </w:t>
      </w:r>
    </w:p>
    <w:p w14:paraId="2A50D8B9" w14:textId="78B6A938" w:rsidR="00FD737D" w:rsidRDefault="0023408D">
      <w:pPr>
        <w:spacing w:before="240" w:after="240" w:line="360" w:lineRule="auto"/>
        <w:jc w:val="both"/>
        <w:rPr>
          <w:sz w:val="24"/>
          <w:szCs w:val="24"/>
        </w:rPr>
      </w:pPr>
      <w:r>
        <w:rPr>
          <w:sz w:val="24"/>
          <w:szCs w:val="24"/>
        </w:rPr>
        <w:t xml:space="preserve">Host Hotels and Resorts must incorporate environmental, social and governance (ESG) to its financial approach by focusing on sustainable hotel investments such as building energy-efficient hotels, adopting renewable energy sources and resource savings projects. These actions help to reduce carbon and reduce long-term operating expenses. Successful stakeholder relations and sustainable use of the environment bolster stakeholder trust, corporate image and long-term competitiveness in the global hospitality sector (Khalil </w:t>
      </w:r>
      <w:r w:rsidR="000B0ED8" w:rsidRPr="000B0ED8">
        <w:rPr>
          <w:i/>
          <w:iCs/>
          <w:sz w:val="24"/>
          <w:szCs w:val="24"/>
        </w:rPr>
        <w:t>et al.</w:t>
      </w:r>
      <w:r>
        <w:rPr>
          <w:sz w:val="24"/>
          <w:szCs w:val="24"/>
        </w:rPr>
        <w:t>, 2022).</w:t>
      </w:r>
      <w:r w:rsidR="00A24091">
        <w:rPr>
          <w:sz w:val="24"/>
          <w:szCs w:val="24"/>
        </w:rPr>
        <w:t xml:space="preserve"> </w:t>
      </w:r>
      <w:r w:rsidR="00A24091" w:rsidRPr="00A24091">
        <w:rPr>
          <w:sz w:val="24"/>
          <w:szCs w:val="24"/>
        </w:rPr>
        <w:t>The firm must focus on green renovation of its luxury hotel brands, reduce energy expenses, advance carbon reduction goals and improve the value of its assets in the long term.</w:t>
      </w:r>
    </w:p>
    <w:p w14:paraId="7A96F877" w14:textId="77777777" w:rsidR="00FD737D" w:rsidRDefault="0023408D" w:rsidP="00FF28E3">
      <w:pPr>
        <w:pStyle w:val="Heading1"/>
      </w:pPr>
      <w:bookmarkStart w:id="47" w:name="_31v9nkxwyy39" w:colFirst="0" w:colLast="0"/>
      <w:bookmarkStart w:id="48" w:name="_Toc234367484"/>
      <w:bookmarkEnd w:id="47"/>
      <w:r>
        <w:t>Task 4: Investment Appraisal and Capital Budgeting</w:t>
      </w:r>
      <w:bookmarkEnd w:id="48"/>
      <w:r>
        <w:t xml:space="preserve"> </w:t>
      </w:r>
    </w:p>
    <w:p w14:paraId="0CC6D41C" w14:textId="77777777" w:rsidR="00FD737D" w:rsidRDefault="0023408D" w:rsidP="00FF28E3">
      <w:pPr>
        <w:pStyle w:val="Heading2"/>
      </w:pPr>
      <w:bookmarkStart w:id="49" w:name="_ggmqdgkesk01" w:colFirst="0" w:colLast="0"/>
      <w:bookmarkStart w:id="50" w:name="_Toc234367485"/>
      <w:bookmarkEnd w:id="49"/>
      <w:r>
        <w:t>4.1 Investment Appraisal Techniques</w:t>
      </w:r>
      <w:bookmarkEnd w:id="50"/>
    </w:p>
    <w:p w14:paraId="42C3F8C9" w14:textId="77777777" w:rsidR="00FD737D" w:rsidRDefault="0023408D">
      <w:pPr>
        <w:spacing w:after="240" w:line="360" w:lineRule="auto"/>
        <w:jc w:val="both"/>
        <w:rPr>
          <w:sz w:val="24"/>
          <w:szCs w:val="24"/>
        </w:rPr>
      </w:pPr>
      <w:r>
        <w:rPr>
          <w:sz w:val="24"/>
          <w:szCs w:val="24"/>
        </w:rPr>
        <w:t xml:space="preserve">Capital budgeting, or investment appraisal, is an evaluation process in finance that involves establishing whether investment projects could produce adequate returns and create long-term organisational value. The method aids managerial decision-making, as it evaluates anticipated future cash flows, profitability, investment risk, capital efficiency, and commits funds (EBSCO, 2024). Payback Period (PBP) is the time it takes to break even, which is a measure of project liquidity and risk. </w:t>
      </w:r>
      <w:r>
        <w:rPr>
          <w:sz w:val="24"/>
          <w:szCs w:val="24"/>
        </w:rPr>
        <w:lastRenderedPageBreak/>
        <w:t xml:space="preserve">Accounting Rate of Return (ARR) is an assessment of average accounting profit in relation to the average investment. NPV approximates the value of cash inflows in the future minus the initial investment to estimate value creation. Profitability Index (PI) quantifies the value created per unit of investment, whereas the Internal rate of Return (IRR) determines the discount rate at which the NPV becomes zero to compare it to the required rate of return of the firm (EBSCO, 2024). </w:t>
      </w:r>
    </w:p>
    <w:p w14:paraId="732BFCDA" w14:textId="77777777" w:rsidR="00FD737D" w:rsidRDefault="0023408D" w:rsidP="00FF28E3">
      <w:pPr>
        <w:pStyle w:val="Heading2"/>
      </w:pPr>
      <w:bookmarkStart w:id="51" w:name="_jl7os78r0jru" w:colFirst="0" w:colLast="0"/>
      <w:bookmarkStart w:id="52" w:name="_Toc234367486"/>
      <w:bookmarkEnd w:id="51"/>
      <w:r>
        <w:t>4.2 Calculation of Investment Projects</w:t>
      </w:r>
      <w:bookmarkEnd w:id="52"/>
      <w:r>
        <w:t xml:space="preserve"> </w:t>
      </w:r>
    </w:p>
    <w:p w14:paraId="79901C1F" w14:textId="77777777" w:rsidR="00FD737D" w:rsidRDefault="0023408D">
      <w:pPr>
        <w:spacing w:after="160" w:line="360" w:lineRule="auto"/>
        <w:jc w:val="both"/>
        <w:rPr>
          <w:sz w:val="24"/>
          <w:szCs w:val="24"/>
        </w:rPr>
      </w:pPr>
      <w:r>
        <w:rPr>
          <w:sz w:val="24"/>
          <w:szCs w:val="24"/>
        </w:rPr>
        <w:t>Investment appraisal helps organisations to determine whether the proposed projects can yield enough returns to warrant the amount of money invested. Accounting Rate of Return (ARR), Net Present Value (NPV), Profitability Index (PI) and Internal Rate of Return (IRR) allow a comprehensive evaluation of liquidity, profitability and value creation compared to a single financial measure (EBSCO, 2024).</w:t>
      </w:r>
    </w:p>
    <w:tbl>
      <w:tblPr>
        <w:tblStyle w:val="a"/>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52"/>
        <w:gridCol w:w="1118"/>
        <w:gridCol w:w="1185"/>
        <w:gridCol w:w="1410"/>
        <w:gridCol w:w="3555"/>
      </w:tblGrid>
      <w:tr w:rsidR="00FD737D" w14:paraId="156F3343" w14:textId="77777777" w:rsidTr="000B0ED8">
        <w:trPr>
          <w:trHeight w:val="405"/>
        </w:trPr>
        <w:tc>
          <w:tcPr>
            <w:tcW w:w="1552" w:type="dxa"/>
            <w:tcBorders>
              <w:top w:val="single" w:sz="6" w:space="0" w:color="FFFFFF"/>
              <w:left w:val="single" w:sz="6" w:space="0" w:color="FFFFFF"/>
              <w:bottom w:val="single" w:sz="6" w:space="0" w:color="FFFFFF"/>
              <w:right w:val="nil"/>
            </w:tcBorders>
            <w:shd w:val="clear" w:color="auto" w:fill="ED7D31"/>
            <w:tcMar>
              <w:top w:w="0" w:type="dxa"/>
              <w:left w:w="100" w:type="dxa"/>
              <w:bottom w:w="0" w:type="dxa"/>
              <w:right w:w="100" w:type="dxa"/>
            </w:tcMar>
          </w:tcPr>
          <w:p w14:paraId="2893C4E1" w14:textId="77777777" w:rsidR="00FD737D" w:rsidRDefault="0023408D">
            <w:pPr>
              <w:spacing w:after="160" w:line="360" w:lineRule="auto"/>
              <w:jc w:val="both"/>
              <w:rPr>
                <w:b/>
                <w:bCs/>
                <w:color w:val="FFFFFF"/>
                <w:sz w:val="24"/>
                <w:szCs w:val="24"/>
              </w:rPr>
            </w:pPr>
            <w:r>
              <w:rPr>
                <w:b/>
                <w:bCs/>
                <w:color w:val="FFFFFF"/>
                <w:sz w:val="24"/>
                <w:szCs w:val="24"/>
              </w:rPr>
              <w:t>Technique</w:t>
            </w:r>
          </w:p>
        </w:tc>
        <w:tc>
          <w:tcPr>
            <w:tcW w:w="1118" w:type="dxa"/>
            <w:tcBorders>
              <w:top w:val="single" w:sz="6" w:space="0" w:color="FFFFFF"/>
              <w:left w:val="nil"/>
              <w:bottom w:val="single" w:sz="6" w:space="0" w:color="FFFFFF"/>
              <w:right w:val="nil"/>
            </w:tcBorders>
            <w:shd w:val="clear" w:color="auto" w:fill="ED7D31"/>
            <w:tcMar>
              <w:top w:w="0" w:type="dxa"/>
              <w:left w:w="100" w:type="dxa"/>
              <w:bottom w:w="0" w:type="dxa"/>
              <w:right w:w="100" w:type="dxa"/>
            </w:tcMar>
          </w:tcPr>
          <w:p w14:paraId="47F4A9B4" w14:textId="77777777" w:rsidR="00FD737D" w:rsidRDefault="0023408D">
            <w:pPr>
              <w:spacing w:after="160" w:line="360" w:lineRule="auto"/>
              <w:jc w:val="both"/>
              <w:rPr>
                <w:b/>
                <w:bCs/>
                <w:color w:val="FFFFFF"/>
                <w:sz w:val="24"/>
                <w:szCs w:val="24"/>
              </w:rPr>
            </w:pPr>
            <w:r>
              <w:rPr>
                <w:b/>
                <w:bCs/>
                <w:color w:val="FFFFFF"/>
                <w:sz w:val="24"/>
                <w:szCs w:val="24"/>
              </w:rPr>
              <w:t>Project A</w:t>
            </w:r>
          </w:p>
        </w:tc>
        <w:tc>
          <w:tcPr>
            <w:tcW w:w="1185" w:type="dxa"/>
            <w:tcBorders>
              <w:top w:val="single" w:sz="6" w:space="0" w:color="FFFFFF"/>
              <w:left w:val="nil"/>
              <w:bottom w:val="single" w:sz="6" w:space="0" w:color="FFFFFF"/>
              <w:right w:val="nil"/>
            </w:tcBorders>
            <w:shd w:val="clear" w:color="auto" w:fill="ED7D31"/>
            <w:tcMar>
              <w:top w:w="0" w:type="dxa"/>
              <w:left w:w="100" w:type="dxa"/>
              <w:bottom w:w="0" w:type="dxa"/>
              <w:right w:w="100" w:type="dxa"/>
            </w:tcMar>
          </w:tcPr>
          <w:p w14:paraId="101F408D" w14:textId="77777777" w:rsidR="00FD737D" w:rsidRDefault="0023408D">
            <w:pPr>
              <w:spacing w:after="160" w:line="360" w:lineRule="auto"/>
              <w:jc w:val="both"/>
              <w:rPr>
                <w:b/>
                <w:bCs/>
                <w:color w:val="FFFFFF"/>
                <w:sz w:val="24"/>
                <w:szCs w:val="24"/>
              </w:rPr>
            </w:pPr>
            <w:r>
              <w:rPr>
                <w:b/>
                <w:bCs/>
                <w:color w:val="FFFFFF"/>
                <w:sz w:val="24"/>
                <w:szCs w:val="24"/>
              </w:rPr>
              <w:t>Project B</w:t>
            </w:r>
          </w:p>
        </w:tc>
        <w:tc>
          <w:tcPr>
            <w:tcW w:w="1410" w:type="dxa"/>
            <w:tcBorders>
              <w:top w:val="single" w:sz="6" w:space="0" w:color="FFFFFF"/>
              <w:left w:val="nil"/>
              <w:bottom w:val="single" w:sz="6" w:space="0" w:color="FFFFFF"/>
              <w:right w:val="nil"/>
            </w:tcBorders>
            <w:shd w:val="clear" w:color="auto" w:fill="ED7D31"/>
            <w:tcMar>
              <w:top w:w="0" w:type="dxa"/>
              <w:left w:w="100" w:type="dxa"/>
              <w:bottom w:w="0" w:type="dxa"/>
              <w:right w:w="100" w:type="dxa"/>
            </w:tcMar>
          </w:tcPr>
          <w:p w14:paraId="19FC12C1" w14:textId="77777777" w:rsidR="00FD737D" w:rsidRDefault="0023408D">
            <w:pPr>
              <w:spacing w:after="160" w:line="360" w:lineRule="auto"/>
              <w:jc w:val="both"/>
              <w:rPr>
                <w:b/>
                <w:bCs/>
                <w:color w:val="FFFFFF"/>
                <w:sz w:val="24"/>
                <w:szCs w:val="24"/>
              </w:rPr>
            </w:pPr>
            <w:r>
              <w:rPr>
                <w:b/>
                <w:bCs/>
                <w:color w:val="FFFFFF"/>
                <w:sz w:val="24"/>
                <w:szCs w:val="24"/>
              </w:rPr>
              <w:t>Project C</w:t>
            </w:r>
          </w:p>
        </w:tc>
        <w:tc>
          <w:tcPr>
            <w:tcW w:w="3555" w:type="dxa"/>
            <w:tcBorders>
              <w:top w:val="single" w:sz="6" w:space="0" w:color="FFFFFF"/>
              <w:left w:val="nil"/>
              <w:bottom w:val="single" w:sz="6" w:space="0" w:color="FFFFFF"/>
              <w:right w:val="single" w:sz="6" w:space="0" w:color="FFFFFF"/>
            </w:tcBorders>
            <w:shd w:val="clear" w:color="auto" w:fill="ED7D31"/>
            <w:tcMar>
              <w:top w:w="0" w:type="dxa"/>
              <w:left w:w="100" w:type="dxa"/>
              <w:bottom w:w="0" w:type="dxa"/>
              <w:right w:w="100" w:type="dxa"/>
            </w:tcMar>
          </w:tcPr>
          <w:p w14:paraId="76682C0F" w14:textId="77777777" w:rsidR="00FD737D" w:rsidRDefault="0023408D">
            <w:pPr>
              <w:spacing w:after="160" w:line="360" w:lineRule="auto"/>
              <w:jc w:val="both"/>
              <w:rPr>
                <w:b/>
                <w:bCs/>
                <w:color w:val="FFFFFF"/>
                <w:sz w:val="24"/>
                <w:szCs w:val="24"/>
              </w:rPr>
            </w:pPr>
            <w:r>
              <w:rPr>
                <w:b/>
                <w:bCs/>
                <w:color w:val="FFFFFF"/>
                <w:sz w:val="24"/>
                <w:szCs w:val="24"/>
              </w:rPr>
              <w:t>Interpretation</w:t>
            </w:r>
          </w:p>
        </w:tc>
      </w:tr>
      <w:tr w:rsidR="00FD737D" w14:paraId="253CBD3D" w14:textId="77777777" w:rsidTr="000B0ED8">
        <w:trPr>
          <w:trHeight w:val="885"/>
        </w:trPr>
        <w:tc>
          <w:tcPr>
            <w:tcW w:w="1552" w:type="dxa"/>
            <w:tcBorders>
              <w:top w:val="nil"/>
              <w:left w:val="single" w:sz="6" w:space="0" w:color="FFFFFF"/>
              <w:bottom w:val="single" w:sz="6" w:space="0" w:color="FFFFFF"/>
              <w:right w:val="single" w:sz="6" w:space="0" w:color="FFFFFF"/>
            </w:tcBorders>
            <w:shd w:val="clear" w:color="auto" w:fill="ED7D31"/>
            <w:tcMar>
              <w:top w:w="0" w:type="dxa"/>
              <w:left w:w="100" w:type="dxa"/>
              <w:bottom w:w="0" w:type="dxa"/>
              <w:right w:w="100" w:type="dxa"/>
            </w:tcMar>
          </w:tcPr>
          <w:p w14:paraId="660E55E6" w14:textId="77777777" w:rsidR="00FD737D" w:rsidRDefault="0023408D">
            <w:pPr>
              <w:spacing w:after="160" w:line="360" w:lineRule="auto"/>
              <w:jc w:val="both"/>
              <w:rPr>
                <w:b/>
                <w:bCs/>
                <w:color w:val="FFFFFF"/>
                <w:sz w:val="24"/>
                <w:szCs w:val="24"/>
              </w:rPr>
            </w:pPr>
            <w:r>
              <w:rPr>
                <w:b/>
                <w:bCs/>
                <w:color w:val="FFFFFF"/>
                <w:sz w:val="24"/>
                <w:szCs w:val="24"/>
              </w:rPr>
              <w:t>Payback Period</w:t>
            </w:r>
          </w:p>
        </w:tc>
        <w:tc>
          <w:tcPr>
            <w:tcW w:w="1118"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4F023A1C" w14:textId="77777777" w:rsidR="00FD737D" w:rsidRDefault="0023408D">
            <w:pPr>
              <w:spacing w:after="160" w:line="360" w:lineRule="auto"/>
              <w:jc w:val="both"/>
              <w:rPr>
                <w:sz w:val="24"/>
                <w:szCs w:val="24"/>
              </w:rPr>
            </w:pPr>
            <w:r>
              <w:rPr>
                <w:sz w:val="24"/>
                <w:szCs w:val="24"/>
              </w:rPr>
              <w:t>4 years 6 months</w:t>
            </w:r>
          </w:p>
        </w:tc>
        <w:tc>
          <w:tcPr>
            <w:tcW w:w="118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237C310B" w14:textId="77777777" w:rsidR="00FD737D" w:rsidRDefault="0023408D">
            <w:pPr>
              <w:spacing w:after="160" w:line="360" w:lineRule="auto"/>
              <w:jc w:val="both"/>
              <w:rPr>
                <w:sz w:val="24"/>
                <w:szCs w:val="24"/>
              </w:rPr>
            </w:pPr>
            <w:r>
              <w:rPr>
                <w:sz w:val="24"/>
                <w:szCs w:val="24"/>
              </w:rPr>
              <w:t>4 years 7 months</w:t>
            </w:r>
          </w:p>
        </w:tc>
        <w:tc>
          <w:tcPr>
            <w:tcW w:w="1410"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6E7249E9" w14:textId="77777777" w:rsidR="00FD737D" w:rsidRDefault="0023408D">
            <w:pPr>
              <w:spacing w:after="160" w:line="360" w:lineRule="auto"/>
              <w:jc w:val="both"/>
              <w:rPr>
                <w:b/>
                <w:bCs/>
                <w:sz w:val="24"/>
                <w:szCs w:val="24"/>
              </w:rPr>
            </w:pPr>
            <w:r>
              <w:rPr>
                <w:b/>
                <w:bCs/>
                <w:sz w:val="24"/>
                <w:szCs w:val="24"/>
              </w:rPr>
              <w:t>3 years 7 months 2 days</w:t>
            </w:r>
          </w:p>
        </w:tc>
        <w:tc>
          <w:tcPr>
            <w:tcW w:w="355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318A6475" w14:textId="77777777" w:rsidR="00FD737D" w:rsidRDefault="0023408D">
            <w:pPr>
              <w:spacing w:after="160" w:line="360" w:lineRule="auto"/>
              <w:jc w:val="both"/>
              <w:rPr>
                <w:sz w:val="24"/>
                <w:szCs w:val="24"/>
              </w:rPr>
            </w:pPr>
            <w:r>
              <w:rPr>
                <w:sz w:val="24"/>
                <w:szCs w:val="24"/>
              </w:rPr>
              <w:t>Project C recovers the initial investment fastest, reducing liquidity risk.</w:t>
            </w:r>
          </w:p>
        </w:tc>
      </w:tr>
      <w:tr w:rsidR="00FD737D" w14:paraId="3A15650D" w14:textId="77777777" w:rsidTr="000B0ED8">
        <w:trPr>
          <w:trHeight w:val="645"/>
        </w:trPr>
        <w:tc>
          <w:tcPr>
            <w:tcW w:w="1552" w:type="dxa"/>
            <w:tcBorders>
              <w:top w:val="nil"/>
              <w:left w:val="single" w:sz="6" w:space="0" w:color="FFFFFF"/>
              <w:bottom w:val="single" w:sz="6" w:space="0" w:color="FFFFFF"/>
              <w:right w:val="single" w:sz="6" w:space="0" w:color="FFFFFF"/>
            </w:tcBorders>
            <w:shd w:val="clear" w:color="auto" w:fill="ED7D31"/>
            <w:tcMar>
              <w:top w:w="0" w:type="dxa"/>
              <w:left w:w="100" w:type="dxa"/>
              <w:bottom w:w="0" w:type="dxa"/>
              <w:right w:w="100" w:type="dxa"/>
            </w:tcMar>
          </w:tcPr>
          <w:p w14:paraId="263493BF" w14:textId="77777777" w:rsidR="00FD737D" w:rsidRDefault="0023408D">
            <w:pPr>
              <w:spacing w:after="160" w:line="360" w:lineRule="auto"/>
              <w:jc w:val="both"/>
              <w:rPr>
                <w:b/>
                <w:bCs/>
                <w:color w:val="FFFFFF"/>
                <w:sz w:val="24"/>
                <w:szCs w:val="24"/>
              </w:rPr>
            </w:pPr>
            <w:r>
              <w:rPr>
                <w:b/>
                <w:bCs/>
                <w:color w:val="FFFFFF"/>
                <w:sz w:val="24"/>
                <w:szCs w:val="24"/>
              </w:rPr>
              <w:t>ARR</w:t>
            </w:r>
          </w:p>
        </w:tc>
        <w:tc>
          <w:tcPr>
            <w:tcW w:w="1118"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4A14BDE9" w14:textId="77777777" w:rsidR="00FD737D" w:rsidRDefault="0023408D">
            <w:pPr>
              <w:spacing w:after="160" w:line="360" w:lineRule="auto"/>
              <w:jc w:val="both"/>
              <w:rPr>
                <w:sz w:val="24"/>
                <w:szCs w:val="24"/>
              </w:rPr>
            </w:pPr>
            <w:r>
              <w:rPr>
                <w:sz w:val="24"/>
                <w:szCs w:val="24"/>
              </w:rPr>
              <w:t>3.2%</w:t>
            </w:r>
          </w:p>
        </w:tc>
        <w:tc>
          <w:tcPr>
            <w:tcW w:w="1185"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18C65DFA" w14:textId="77777777" w:rsidR="00FD737D" w:rsidRDefault="0023408D">
            <w:pPr>
              <w:spacing w:after="160" w:line="360" w:lineRule="auto"/>
              <w:jc w:val="both"/>
              <w:rPr>
                <w:sz w:val="24"/>
                <w:szCs w:val="24"/>
              </w:rPr>
            </w:pPr>
            <w:r>
              <w:rPr>
                <w:sz w:val="24"/>
                <w:szCs w:val="24"/>
              </w:rPr>
              <w:t>4.0%</w:t>
            </w:r>
          </w:p>
        </w:tc>
        <w:tc>
          <w:tcPr>
            <w:tcW w:w="1410"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0D0FFA7E" w14:textId="77777777" w:rsidR="00FD737D" w:rsidRDefault="0023408D">
            <w:pPr>
              <w:spacing w:after="160" w:line="360" w:lineRule="auto"/>
              <w:jc w:val="both"/>
              <w:rPr>
                <w:b/>
                <w:bCs/>
                <w:sz w:val="24"/>
                <w:szCs w:val="24"/>
              </w:rPr>
            </w:pPr>
            <w:r>
              <w:rPr>
                <w:b/>
                <w:bCs/>
                <w:sz w:val="24"/>
                <w:szCs w:val="24"/>
              </w:rPr>
              <w:t>12.0%</w:t>
            </w:r>
          </w:p>
        </w:tc>
        <w:tc>
          <w:tcPr>
            <w:tcW w:w="3555"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39096FDE" w14:textId="77777777" w:rsidR="00FD737D" w:rsidRDefault="0023408D">
            <w:pPr>
              <w:spacing w:after="160" w:line="360" w:lineRule="auto"/>
              <w:jc w:val="both"/>
              <w:rPr>
                <w:sz w:val="24"/>
                <w:szCs w:val="24"/>
              </w:rPr>
            </w:pPr>
            <w:r>
              <w:rPr>
                <w:sz w:val="24"/>
                <w:szCs w:val="24"/>
              </w:rPr>
              <w:t>Project C provides the highest average accounting profitability.</w:t>
            </w:r>
          </w:p>
        </w:tc>
      </w:tr>
      <w:tr w:rsidR="00FD737D" w14:paraId="069FF3B0" w14:textId="77777777" w:rsidTr="000B0ED8">
        <w:trPr>
          <w:trHeight w:val="885"/>
        </w:trPr>
        <w:tc>
          <w:tcPr>
            <w:tcW w:w="1552" w:type="dxa"/>
            <w:tcBorders>
              <w:top w:val="nil"/>
              <w:left w:val="single" w:sz="6" w:space="0" w:color="FFFFFF"/>
              <w:bottom w:val="single" w:sz="6" w:space="0" w:color="FFFFFF"/>
              <w:right w:val="single" w:sz="6" w:space="0" w:color="FFFFFF"/>
            </w:tcBorders>
            <w:shd w:val="clear" w:color="auto" w:fill="ED7D31"/>
            <w:tcMar>
              <w:top w:w="0" w:type="dxa"/>
              <w:left w:w="100" w:type="dxa"/>
              <w:bottom w:w="0" w:type="dxa"/>
              <w:right w:w="100" w:type="dxa"/>
            </w:tcMar>
          </w:tcPr>
          <w:p w14:paraId="61D26F8C" w14:textId="77777777" w:rsidR="00FD737D" w:rsidRDefault="0023408D">
            <w:pPr>
              <w:spacing w:after="160" w:line="360" w:lineRule="auto"/>
              <w:jc w:val="both"/>
              <w:rPr>
                <w:b/>
                <w:bCs/>
                <w:color w:val="FFFFFF"/>
                <w:sz w:val="24"/>
                <w:szCs w:val="24"/>
              </w:rPr>
            </w:pPr>
            <w:r>
              <w:rPr>
                <w:b/>
                <w:bCs/>
                <w:color w:val="FFFFFF"/>
                <w:sz w:val="24"/>
                <w:szCs w:val="24"/>
              </w:rPr>
              <w:t>NPV</w:t>
            </w:r>
          </w:p>
        </w:tc>
        <w:tc>
          <w:tcPr>
            <w:tcW w:w="1118"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610E472B" w14:textId="77777777" w:rsidR="00FD737D" w:rsidRDefault="0023408D">
            <w:pPr>
              <w:spacing w:after="160" w:line="360" w:lineRule="auto"/>
              <w:jc w:val="both"/>
              <w:rPr>
                <w:b/>
                <w:bCs/>
                <w:sz w:val="24"/>
                <w:szCs w:val="24"/>
              </w:rPr>
            </w:pPr>
            <w:r>
              <w:rPr>
                <w:b/>
                <w:bCs/>
                <w:sz w:val="24"/>
                <w:szCs w:val="24"/>
              </w:rPr>
              <w:t>–£6.57m</w:t>
            </w:r>
          </w:p>
        </w:tc>
        <w:tc>
          <w:tcPr>
            <w:tcW w:w="118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7BCD1961" w14:textId="77777777" w:rsidR="00FD737D" w:rsidRDefault="0023408D">
            <w:pPr>
              <w:spacing w:after="160" w:line="360" w:lineRule="auto"/>
              <w:jc w:val="both"/>
              <w:rPr>
                <w:b/>
                <w:bCs/>
                <w:sz w:val="24"/>
                <w:szCs w:val="24"/>
              </w:rPr>
            </w:pPr>
            <w:r>
              <w:rPr>
                <w:b/>
                <w:bCs/>
                <w:sz w:val="24"/>
                <w:szCs w:val="24"/>
              </w:rPr>
              <w:t>–£6.11m</w:t>
            </w:r>
          </w:p>
        </w:tc>
        <w:tc>
          <w:tcPr>
            <w:tcW w:w="1410"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06539980" w14:textId="77777777" w:rsidR="00FD737D" w:rsidRDefault="0023408D">
            <w:pPr>
              <w:spacing w:after="160" w:line="360" w:lineRule="auto"/>
              <w:jc w:val="both"/>
              <w:rPr>
                <w:b/>
                <w:bCs/>
                <w:sz w:val="24"/>
                <w:szCs w:val="24"/>
              </w:rPr>
            </w:pPr>
            <w:r>
              <w:rPr>
                <w:b/>
                <w:bCs/>
                <w:sz w:val="24"/>
                <w:szCs w:val="24"/>
              </w:rPr>
              <w:t>£0.83m</w:t>
            </w:r>
          </w:p>
        </w:tc>
        <w:tc>
          <w:tcPr>
            <w:tcW w:w="355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50346F55" w14:textId="77777777" w:rsidR="00FD737D" w:rsidRDefault="0023408D">
            <w:pPr>
              <w:spacing w:after="160" w:line="360" w:lineRule="auto"/>
              <w:jc w:val="both"/>
              <w:rPr>
                <w:sz w:val="24"/>
                <w:szCs w:val="24"/>
              </w:rPr>
            </w:pPr>
            <w:r>
              <w:rPr>
                <w:sz w:val="24"/>
                <w:szCs w:val="24"/>
              </w:rPr>
              <w:t>Only Project C creates positive shareholder value after discounting future cash flows.</w:t>
            </w:r>
          </w:p>
        </w:tc>
      </w:tr>
      <w:tr w:rsidR="00FD737D" w14:paraId="3DB62FC2" w14:textId="77777777" w:rsidTr="000B0ED8">
        <w:trPr>
          <w:trHeight w:val="885"/>
        </w:trPr>
        <w:tc>
          <w:tcPr>
            <w:tcW w:w="1552" w:type="dxa"/>
            <w:tcBorders>
              <w:top w:val="nil"/>
              <w:left w:val="single" w:sz="6" w:space="0" w:color="FFFFFF"/>
              <w:bottom w:val="single" w:sz="6" w:space="0" w:color="FFFFFF"/>
              <w:right w:val="single" w:sz="6" w:space="0" w:color="FFFFFF"/>
            </w:tcBorders>
            <w:shd w:val="clear" w:color="auto" w:fill="ED7D31"/>
            <w:tcMar>
              <w:top w:w="0" w:type="dxa"/>
              <w:left w:w="100" w:type="dxa"/>
              <w:bottom w:w="0" w:type="dxa"/>
              <w:right w:w="100" w:type="dxa"/>
            </w:tcMar>
          </w:tcPr>
          <w:p w14:paraId="41545851" w14:textId="77777777" w:rsidR="00FD737D" w:rsidRDefault="0023408D">
            <w:pPr>
              <w:spacing w:after="160" w:line="360" w:lineRule="auto"/>
              <w:jc w:val="both"/>
              <w:rPr>
                <w:b/>
                <w:bCs/>
                <w:color w:val="FFFFFF"/>
                <w:sz w:val="24"/>
                <w:szCs w:val="24"/>
              </w:rPr>
            </w:pPr>
            <w:r>
              <w:rPr>
                <w:b/>
                <w:bCs/>
                <w:color w:val="FFFFFF"/>
                <w:sz w:val="24"/>
                <w:szCs w:val="24"/>
              </w:rPr>
              <w:t>Profitability Index</w:t>
            </w:r>
          </w:p>
        </w:tc>
        <w:tc>
          <w:tcPr>
            <w:tcW w:w="1118"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5BCCE9CD" w14:textId="77777777" w:rsidR="00FD737D" w:rsidRDefault="0023408D">
            <w:pPr>
              <w:spacing w:after="160" w:line="360" w:lineRule="auto"/>
              <w:jc w:val="both"/>
              <w:rPr>
                <w:sz w:val="24"/>
                <w:szCs w:val="24"/>
              </w:rPr>
            </w:pPr>
            <w:r>
              <w:rPr>
                <w:sz w:val="24"/>
                <w:szCs w:val="24"/>
              </w:rPr>
              <w:t>0.87</w:t>
            </w:r>
          </w:p>
        </w:tc>
        <w:tc>
          <w:tcPr>
            <w:tcW w:w="1185"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5F323729" w14:textId="77777777" w:rsidR="00FD737D" w:rsidRDefault="0023408D">
            <w:pPr>
              <w:spacing w:after="160" w:line="360" w:lineRule="auto"/>
              <w:jc w:val="both"/>
              <w:rPr>
                <w:sz w:val="24"/>
                <w:szCs w:val="24"/>
              </w:rPr>
            </w:pPr>
            <w:r>
              <w:rPr>
                <w:sz w:val="24"/>
                <w:szCs w:val="24"/>
              </w:rPr>
              <w:t>0.88</w:t>
            </w:r>
          </w:p>
        </w:tc>
        <w:tc>
          <w:tcPr>
            <w:tcW w:w="1410"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247B09FF" w14:textId="77777777" w:rsidR="00FD737D" w:rsidRDefault="0023408D">
            <w:pPr>
              <w:spacing w:after="160" w:line="360" w:lineRule="auto"/>
              <w:jc w:val="both"/>
              <w:rPr>
                <w:b/>
                <w:bCs/>
                <w:sz w:val="24"/>
                <w:szCs w:val="24"/>
              </w:rPr>
            </w:pPr>
            <w:r>
              <w:rPr>
                <w:b/>
                <w:bCs/>
                <w:sz w:val="24"/>
                <w:szCs w:val="24"/>
              </w:rPr>
              <w:t>1.02</w:t>
            </w:r>
          </w:p>
        </w:tc>
        <w:tc>
          <w:tcPr>
            <w:tcW w:w="3555" w:type="dxa"/>
            <w:tcBorders>
              <w:top w:val="nil"/>
              <w:left w:val="nil"/>
              <w:bottom w:val="single" w:sz="6" w:space="0" w:color="FFFFFF"/>
              <w:right w:val="single" w:sz="6" w:space="0" w:color="FFFFFF"/>
            </w:tcBorders>
            <w:shd w:val="clear" w:color="auto" w:fill="FBE4D5"/>
            <w:tcMar>
              <w:top w:w="0" w:type="dxa"/>
              <w:left w:w="100" w:type="dxa"/>
              <w:bottom w:w="0" w:type="dxa"/>
              <w:right w:w="100" w:type="dxa"/>
            </w:tcMar>
          </w:tcPr>
          <w:p w14:paraId="1F3B36E8" w14:textId="77777777" w:rsidR="00FD737D" w:rsidRDefault="0023408D">
            <w:pPr>
              <w:spacing w:after="160" w:line="360" w:lineRule="auto"/>
              <w:jc w:val="both"/>
              <w:rPr>
                <w:sz w:val="24"/>
                <w:szCs w:val="24"/>
              </w:rPr>
            </w:pPr>
            <w:r>
              <w:rPr>
                <w:sz w:val="24"/>
                <w:szCs w:val="24"/>
              </w:rPr>
              <w:t>Only Project C exceeds the investment acceptance benchmark of PI &gt; 1.</w:t>
            </w:r>
          </w:p>
        </w:tc>
      </w:tr>
      <w:tr w:rsidR="00FD737D" w14:paraId="5F333DC9" w14:textId="77777777" w:rsidTr="000B0ED8">
        <w:trPr>
          <w:trHeight w:val="885"/>
        </w:trPr>
        <w:tc>
          <w:tcPr>
            <w:tcW w:w="1552" w:type="dxa"/>
            <w:tcBorders>
              <w:top w:val="nil"/>
              <w:left w:val="single" w:sz="6" w:space="0" w:color="FFFFFF"/>
              <w:bottom w:val="single" w:sz="6" w:space="0" w:color="FFFFFF"/>
              <w:right w:val="single" w:sz="6" w:space="0" w:color="FFFFFF"/>
            </w:tcBorders>
            <w:shd w:val="clear" w:color="auto" w:fill="ED7D31"/>
            <w:tcMar>
              <w:top w:w="0" w:type="dxa"/>
              <w:left w:w="100" w:type="dxa"/>
              <w:bottom w:w="0" w:type="dxa"/>
              <w:right w:w="100" w:type="dxa"/>
            </w:tcMar>
          </w:tcPr>
          <w:p w14:paraId="1152F847" w14:textId="77777777" w:rsidR="00FD737D" w:rsidRDefault="0023408D">
            <w:pPr>
              <w:spacing w:after="160" w:line="360" w:lineRule="auto"/>
              <w:jc w:val="both"/>
              <w:rPr>
                <w:b/>
                <w:bCs/>
                <w:color w:val="FFFFFF"/>
                <w:sz w:val="24"/>
                <w:szCs w:val="24"/>
              </w:rPr>
            </w:pPr>
            <w:r>
              <w:rPr>
                <w:b/>
                <w:bCs/>
                <w:color w:val="FFFFFF"/>
                <w:sz w:val="24"/>
                <w:szCs w:val="24"/>
              </w:rPr>
              <w:t>IRR</w:t>
            </w:r>
          </w:p>
        </w:tc>
        <w:tc>
          <w:tcPr>
            <w:tcW w:w="1118"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370B6441" w14:textId="77777777" w:rsidR="00FD737D" w:rsidRDefault="0023408D">
            <w:pPr>
              <w:spacing w:after="160" w:line="360" w:lineRule="auto"/>
              <w:jc w:val="both"/>
              <w:rPr>
                <w:sz w:val="24"/>
                <w:szCs w:val="24"/>
              </w:rPr>
            </w:pPr>
            <w:r>
              <w:rPr>
                <w:sz w:val="24"/>
                <w:szCs w:val="24"/>
              </w:rPr>
              <w:t>–3.16%</w:t>
            </w:r>
          </w:p>
        </w:tc>
        <w:tc>
          <w:tcPr>
            <w:tcW w:w="118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4B11EEC0" w14:textId="77777777" w:rsidR="00FD737D" w:rsidRDefault="0023408D">
            <w:pPr>
              <w:spacing w:after="160" w:line="360" w:lineRule="auto"/>
              <w:jc w:val="both"/>
              <w:rPr>
                <w:sz w:val="24"/>
                <w:szCs w:val="24"/>
              </w:rPr>
            </w:pPr>
            <w:r>
              <w:rPr>
                <w:sz w:val="24"/>
                <w:szCs w:val="24"/>
              </w:rPr>
              <w:t>–7.55%</w:t>
            </w:r>
          </w:p>
        </w:tc>
        <w:tc>
          <w:tcPr>
            <w:tcW w:w="1410"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0A010D20" w14:textId="77777777" w:rsidR="00FD737D" w:rsidRDefault="0023408D">
            <w:pPr>
              <w:spacing w:after="160" w:line="360" w:lineRule="auto"/>
              <w:jc w:val="both"/>
              <w:rPr>
                <w:b/>
                <w:bCs/>
                <w:sz w:val="24"/>
                <w:szCs w:val="24"/>
              </w:rPr>
            </w:pPr>
            <w:r>
              <w:rPr>
                <w:b/>
                <w:bCs/>
                <w:sz w:val="24"/>
                <w:szCs w:val="24"/>
              </w:rPr>
              <w:t>7.58%</w:t>
            </w:r>
          </w:p>
        </w:tc>
        <w:tc>
          <w:tcPr>
            <w:tcW w:w="3555" w:type="dxa"/>
            <w:tcBorders>
              <w:top w:val="nil"/>
              <w:left w:val="nil"/>
              <w:bottom w:val="single" w:sz="6" w:space="0" w:color="FFFFFF"/>
              <w:right w:val="single" w:sz="6" w:space="0" w:color="FFFFFF"/>
            </w:tcBorders>
            <w:shd w:val="clear" w:color="auto" w:fill="F7CAAC"/>
            <w:tcMar>
              <w:top w:w="0" w:type="dxa"/>
              <w:left w:w="100" w:type="dxa"/>
              <w:bottom w:w="0" w:type="dxa"/>
              <w:right w:w="100" w:type="dxa"/>
            </w:tcMar>
          </w:tcPr>
          <w:p w14:paraId="65614224" w14:textId="77777777" w:rsidR="00FD737D" w:rsidRDefault="0023408D">
            <w:pPr>
              <w:spacing w:after="160" w:line="360" w:lineRule="auto"/>
              <w:jc w:val="both"/>
              <w:rPr>
                <w:sz w:val="24"/>
                <w:szCs w:val="24"/>
              </w:rPr>
            </w:pPr>
            <w:r>
              <w:rPr>
                <w:sz w:val="24"/>
                <w:szCs w:val="24"/>
              </w:rPr>
              <w:t xml:space="preserve">Project C generates the highest return and is the only </w:t>
            </w:r>
            <w:r>
              <w:rPr>
                <w:sz w:val="24"/>
                <w:szCs w:val="24"/>
              </w:rPr>
              <w:lastRenderedPageBreak/>
              <w:t>project with a positive IRR.</w:t>
            </w:r>
          </w:p>
        </w:tc>
      </w:tr>
    </w:tbl>
    <w:p w14:paraId="4BD638A3" w14:textId="4A739FE8" w:rsidR="00FD737D" w:rsidRDefault="0023408D">
      <w:pPr>
        <w:spacing w:before="240" w:after="240" w:line="360" w:lineRule="auto"/>
        <w:jc w:val="both"/>
        <w:rPr>
          <w:sz w:val="24"/>
          <w:szCs w:val="24"/>
        </w:rPr>
      </w:pPr>
      <w:r>
        <w:rPr>
          <w:sz w:val="24"/>
          <w:szCs w:val="24"/>
        </w:rPr>
        <w:lastRenderedPageBreak/>
        <w:t xml:space="preserve">Project A has a </w:t>
      </w:r>
      <w:r w:rsidR="000B0ED8">
        <w:rPr>
          <w:sz w:val="24"/>
          <w:szCs w:val="24"/>
        </w:rPr>
        <w:t>total cash inflow</w:t>
      </w:r>
      <w:r>
        <w:rPr>
          <w:sz w:val="24"/>
          <w:szCs w:val="24"/>
        </w:rPr>
        <w:t xml:space="preserve"> of £54 million in five years and payback in 4 years and 6 months. The ARR of 3.2% shows that the accounting profitability is not very strong although the investment is recovered prior to the project completion. More importantly, the NPV of –£6.57 million shows that discounted cash inflows fail to recover the initial investment. Equally, the PI of 0.87 portrays that every pound invested would only yield 0.87 of present value and the negative IRR of -3.16% would confirm that the project is not generating the necessary amount of returns. Project A would therefore lower the shareholder value even though it would recuperate its initial value eventually.</w:t>
      </w:r>
      <w:r w:rsidR="000B0ED8">
        <w:rPr>
          <w:sz w:val="24"/>
          <w:szCs w:val="24"/>
        </w:rPr>
        <w:t xml:space="preserve"> </w:t>
      </w:r>
      <w:r w:rsidR="000B0ED8">
        <w:rPr>
          <w:i/>
          <w:iCs/>
          <w:sz w:val="24"/>
          <w:szCs w:val="24"/>
        </w:rPr>
        <w:t>[Refer to Appendix b]</w:t>
      </w:r>
    </w:p>
    <w:p w14:paraId="74479F47" w14:textId="7F344902" w:rsidR="00FD737D" w:rsidRDefault="0023408D">
      <w:pPr>
        <w:spacing w:before="240" w:after="240" w:line="360" w:lineRule="auto"/>
        <w:jc w:val="both"/>
        <w:rPr>
          <w:sz w:val="24"/>
          <w:szCs w:val="24"/>
        </w:rPr>
      </w:pPr>
      <w:r>
        <w:rPr>
          <w:sz w:val="24"/>
          <w:szCs w:val="24"/>
        </w:rPr>
        <w:t xml:space="preserve">Project B generates regular annual cash flows of £11 million, and operating cash flows are relatively stable. Nonetheless, </w:t>
      </w:r>
      <w:r w:rsidR="000B0ED8">
        <w:rPr>
          <w:sz w:val="24"/>
          <w:szCs w:val="24"/>
        </w:rPr>
        <w:t>it’s</w:t>
      </w:r>
      <w:r>
        <w:rPr>
          <w:sz w:val="24"/>
          <w:szCs w:val="24"/>
        </w:rPr>
        <w:t xml:space="preserve"> payback period of 4 years 7 months is a little bit higher compared to Project A. The ARR increases slightly to 4%, which could be considered slightly better accounting performance. Still, the discounted analysis is not favourable as the NPV is -£6.11 million and PI is merely 0.88. Moreover, the IRR of -7.55% means that Project B provides returns lower than the necessary discount rate. Despite a more predictable cash flow, the project continues to kill economic value and ought to be rejected.</w:t>
      </w:r>
      <w:r w:rsidR="000B0ED8">
        <w:rPr>
          <w:sz w:val="24"/>
          <w:szCs w:val="24"/>
        </w:rPr>
        <w:t xml:space="preserve"> </w:t>
      </w:r>
      <w:r w:rsidR="000B0ED8">
        <w:rPr>
          <w:i/>
          <w:iCs/>
          <w:sz w:val="24"/>
          <w:szCs w:val="24"/>
        </w:rPr>
        <w:t>[Refer to Appendix b]</w:t>
      </w:r>
    </w:p>
    <w:p w14:paraId="7AB64D5E" w14:textId="77777777" w:rsidR="00FD737D" w:rsidRDefault="0023408D">
      <w:pPr>
        <w:spacing w:before="240" w:after="240" w:line="360" w:lineRule="auto"/>
        <w:jc w:val="both"/>
        <w:rPr>
          <w:sz w:val="24"/>
          <w:szCs w:val="24"/>
        </w:rPr>
      </w:pPr>
      <w:r>
        <w:rPr>
          <w:sz w:val="24"/>
          <w:szCs w:val="24"/>
        </w:rPr>
        <w:t>Project C shows a significantly better financial performance on nearly all appraisal measures. This project breaks even in about 3 years and 7 months and offers the fastest capital payback of all options. It also records the highest ARR of 12%, indicating superior accounting profitability. Most significantly, Project C will have a positive NPV of £0.83 million indicating that discounted future cash inflows are greater than the original investment and hence, translate into shareholder wealth. The PI of 1.02 is confirmation that the present value of each pound invested returns 1.02, which is more than the minimum level of investment. In addition, the IRR of 7.58% is much higher than the other projects and it is the only positive investment return.</w:t>
      </w:r>
    </w:p>
    <w:p w14:paraId="3EC3029D" w14:textId="30CC39F7" w:rsidR="00FD737D" w:rsidRDefault="0023408D">
      <w:pPr>
        <w:spacing w:before="240" w:after="240" w:line="360" w:lineRule="auto"/>
        <w:jc w:val="both"/>
        <w:rPr>
          <w:sz w:val="24"/>
          <w:szCs w:val="24"/>
        </w:rPr>
      </w:pPr>
      <w:r>
        <w:rPr>
          <w:sz w:val="24"/>
          <w:szCs w:val="24"/>
        </w:rPr>
        <w:t xml:space="preserve">In general, the investment appraisal shows that Projects A and B do not meet the requirements of discounted cash flow due to the fact that both projects produce </w:t>
      </w:r>
      <w:r>
        <w:rPr>
          <w:sz w:val="24"/>
          <w:szCs w:val="24"/>
        </w:rPr>
        <w:lastRenderedPageBreak/>
        <w:t xml:space="preserve">negative NPV, PI values less than one and negative IRRs. Conversely, Project C has been best in terms of liquidity, profitability as well as value-creation. Thus, the joint analysis of Payback Period, ARR, NPV, PI and IRR </w:t>
      </w:r>
      <w:r w:rsidR="000B0ED8">
        <w:rPr>
          <w:sz w:val="24"/>
          <w:szCs w:val="24"/>
        </w:rPr>
        <w:t>show</w:t>
      </w:r>
      <w:r>
        <w:rPr>
          <w:sz w:val="24"/>
          <w:szCs w:val="24"/>
        </w:rPr>
        <w:t xml:space="preserve"> that Project C is the only investment that can be considered financially viable and offers the most solid ground to invest in capital (EBSCO, 2024).</w:t>
      </w:r>
    </w:p>
    <w:p w14:paraId="056E431C" w14:textId="77777777" w:rsidR="00CC38D9" w:rsidRPr="00CC38D9" w:rsidRDefault="00CC38D9">
      <w:pPr>
        <w:spacing w:before="240" w:after="240" w:line="360" w:lineRule="auto"/>
        <w:jc w:val="both"/>
        <w:rPr>
          <w:b/>
          <w:bCs/>
          <w:i/>
          <w:iCs/>
          <w:sz w:val="24"/>
          <w:szCs w:val="24"/>
        </w:rPr>
      </w:pPr>
      <w:r w:rsidRPr="00CC38D9">
        <w:rPr>
          <w:b/>
          <w:bCs/>
          <w:i/>
          <w:iCs/>
          <w:sz w:val="24"/>
          <w:szCs w:val="24"/>
        </w:rPr>
        <w:t xml:space="preserve">Sensitivity analysis </w:t>
      </w:r>
    </w:p>
    <w:p w14:paraId="0C09A6D7" w14:textId="1DD4BD48" w:rsidR="00CC38D9" w:rsidRDefault="00CC38D9">
      <w:pPr>
        <w:spacing w:before="240" w:after="240" w:line="360" w:lineRule="auto"/>
        <w:jc w:val="both"/>
        <w:rPr>
          <w:sz w:val="24"/>
          <w:szCs w:val="24"/>
        </w:rPr>
      </w:pPr>
      <w:r w:rsidRPr="00CC38D9">
        <w:rPr>
          <w:sz w:val="24"/>
          <w:szCs w:val="24"/>
        </w:rPr>
        <w:t>In the base case, Project C yields a positive NPV of £0.83 million but when annual cash inflows reduced by 10 percent due to the reduced tourism demand, the NPV may turn negative, indicating that the project is sensitive to occupancy risk.</w:t>
      </w:r>
    </w:p>
    <w:p w14:paraId="5A48176D" w14:textId="77777777" w:rsidR="00FD737D" w:rsidRDefault="0023408D" w:rsidP="00FF28E3">
      <w:pPr>
        <w:pStyle w:val="Heading2"/>
      </w:pPr>
      <w:bookmarkStart w:id="53" w:name="_Toc234367487"/>
      <w:r>
        <w:t>4.3 Comparative Evaluation of Projects</w:t>
      </w:r>
      <w:bookmarkEnd w:id="53"/>
      <w:r>
        <w:t xml:space="preserve"> </w:t>
      </w:r>
    </w:p>
    <w:p w14:paraId="1AB79B00" w14:textId="72FBC774" w:rsidR="00FD737D" w:rsidRDefault="0023408D">
      <w:pPr>
        <w:spacing w:before="240" w:after="240" w:line="360" w:lineRule="auto"/>
        <w:jc w:val="both"/>
        <w:rPr>
          <w:sz w:val="24"/>
          <w:szCs w:val="24"/>
        </w:rPr>
      </w:pPr>
      <w:r>
        <w:rPr>
          <w:sz w:val="24"/>
          <w:szCs w:val="24"/>
        </w:rPr>
        <w:t xml:space="preserve">An analysis of the three investment plans shows that there is a considerable variation in the profitability, risk, stability of the cash flow, return timing, and financial appeal at large. Project A yields moderate cash inflows that are uneven such that it has a payback period of 4 years and 6 months. However, its ARR of 3.2%, negative NPV of –£6.57 million, PI of 0.87 and IRR of –3.16% indicate poor profitability and shareholder value destruction. Project B offers the most predictable annual cash flows (£11 million/year), which decreases the uncertainty of operational cash flows. Nevertheless, </w:t>
      </w:r>
      <w:r w:rsidR="000B0ED8">
        <w:rPr>
          <w:sz w:val="24"/>
          <w:szCs w:val="24"/>
        </w:rPr>
        <w:t>it’s</w:t>
      </w:r>
      <w:r>
        <w:rPr>
          <w:sz w:val="24"/>
          <w:szCs w:val="24"/>
        </w:rPr>
        <w:t xml:space="preserve"> payback period of 4 years and 7 months is the longest, while the ARR (4%), NPV (–£6.11 million), PI (0.88) and IRR (–7.55%) remain financially unattractive, suggesting that stable cash flows alone do not guarantee investment success.</w:t>
      </w:r>
    </w:p>
    <w:p w14:paraId="1939AA86" w14:textId="77777777" w:rsidR="00CC38D9" w:rsidRDefault="0023408D">
      <w:pPr>
        <w:spacing w:before="240" w:after="240" w:line="360" w:lineRule="auto"/>
        <w:jc w:val="both"/>
        <w:rPr>
          <w:sz w:val="24"/>
          <w:szCs w:val="24"/>
        </w:rPr>
      </w:pPr>
      <w:r>
        <w:rPr>
          <w:sz w:val="24"/>
          <w:szCs w:val="24"/>
        </w:rPr>
        <w:t xml:space="preserve">Project C has the best financial performance although the cash inflows are not evenly distributed. It has the shortest payback period (3 years and 7 months), highest ARR (12%), only positive NPV (£0.83 million), has PI more than one (1.02) and highest IRR (7.58%). These results show better value-creation and accelerated capital recovery. Arifaj </w:t>
      </w:r>
      <w:r w:rsidR="000B0ED8" w:rsidRPr="000B0ED8">
        <w:rPr>
          <w:i/>
          <w:iCs/>
          <w:sz w:val="24"/>
          <w:szCs w:val="24"/>
        </w:rPr>
        <w:t>et al.</w:t>
      </w:r>
      <w:r>
        <w:rPr>
          <w:sz w:val="24"/>
          <w:szCs w:val="24"/>
        </w:rPr>
        <w:t xml:space="preserve"> (2023) suggest that successful cash flow and proper financial management result in better financial performance, yet profitability is also determined by efficient resource allocation and leverages decision-making. On the whole, Project C is the most profitable, risk that is reasonable and can be accepted, return timeline and financial attractiveness in the long term, and so it is the most viable investment o</w:t>
      </w:r>
    </w:p>
    <w:p w14:paraId="62B82FCF" w14:textId="77777777" w:rsidR="00CC38D9" w:rsidRPr="00CC38D9" w:rsidRDefault="00CC38D9">
      <w:pPr>
        <w:spacing w:before="240" w:after="240" w:line="360" w:lineRule="auto"/>
        <w:jc w:val="both"/>
        <w:rPr>
          <w:b/>
          <w:bCs/>
          <w:i/>
          <w:iCs/>
          <w:sz w:val="24"/>
          <w:szCs w:val="24"/>
        </w:rPr>
      </w:pPr>
      <w:r w:rsidRPr="00CC38D9">
        <w:rPr>
          <w:b/>
          <w:bCs/>
          <w:i/>
          <w:iCs/>
          <w:sz w:val="24"/>
          <w:szCs w:val="24"/>
        </w:rPr>
        <w:lastRenderedPageBreak/>
        <w:t xml:space="preserve">Risk analysis </w:t>
      </w:r>
    </w:p>
    <w:p w14:paraId="10C1FFC8" w14:textId="0BF21FBC" w:rsidR="00FD737D" w:rsidRDefault="00CC38D9">
      <w:pPr>
        <w:spacing w:before="240" w:after="240" w:line="360" w:lineRule="auto"/>
        <w:jc w:val="both"/>
        <w:rPr>
          <w:sz w:val="24"/>
          <w:szCs w:val="24"/>
        </w:rPr>
      </w:pPr>
      <w:r w:rsidRPr="00CC38D9">
        <w:rPr>
          <w:sz w:val="24"/>
          <w:szCs w:val="24"/>
        </w:rPr>
        <w:t>Project C has the best financial returns but is vulnerable to increased discount rates, inflation, and foreign exchange changes, climate-related interruptions, and slow business travel recovery, which may diminish future cash inflows.</w:t>
      </w:r>
    </w:p>
    <w:p w14:paraId="7D7E58A5" w14:textId="77777777" w:rsidR="00FD737D" w:rsidRDefault="0023408D" w:rsidP="00FF28E3">
      <w:pPr>
        <w:pStyle w:val="Heading2"/>
      </w:pPr>
      <w:bookmarkStart w:id="54" w:name="_Toc234367488"/>
      <w:r>
        <w:t>4.4 Recommendation Based on Company Financial Position</w:t>
      </w:r>
      <w:bookmarkEnd w:id="54"/>
    </w:p>
    <w:p w14:paraId="731BAC99" w14:textId="77777777" w:rsidR="00FD737D" w:rsidRDefault="0023408D">
      <w:pPr>
        <w:spacing w:before="240" w:after="240" w:line="360" w:lineRule="auto"/>
        <w:jc w:val="both"/>
        <w:rPr>
          <w:sz w:val="24"/>
          <w:szCs w:val="24"/>
        </w:rPr>
      </w:pPr>
      <w:r>
        <w:rPr>
          <w:sz w:val="24"/>
          <w:szCs w:val="24"/>
        </w:rPr>
        <w:t>According to the outcomes of the investment appraisal and the financial status of Host Hotels and Resorts, the company must go with Project C and abandon Projects A and B. Profitability ratios show that sustainable investment decisions must raise earnings in relation to assets and invested capital and not increase revenue (Allianz Trade, 2024). Project C is the best to achieve this goal as it yields the best ARR (12%), a positive NPV (£0.83 million), a PI of over one (1.02) and highest IRR (7.58%), which shows that it can create long-term shareholder value. Additionally, good liquidity is required in hospitality firms that have cyclic demand and capital-intensive businesses (Allianz, 2024). The reduced payback period of about 3 years and 7 months of project C enhances cash recovery and minimizes working capital pressure.</w:t>
      </w:r>
    </w:p>
    <w:p w14:paraId="07B950C3" w14:textId="2BEC71A5" w:rsidR="00FD737D" w:rsidRDefault="0023408D">
      <w:pPr>
        <w:spacing w:before="240" w:after="240" w:line="360" w:lineRule="auto"/>
        <w:jc w:val="both"/>
        <w:rPr>
          <w:sz w:val="24"/>
          <w:szCs w:val="24"/>
          <w:lang w:val="en-IN"/>
        </w:rPr>
      </w:pPr>
      <w:r>
        <w:rPr>
          <w:sz w:val="24"/>
          <w:szCs w:val="24"/>
        </w:rPr>
        <w:t xml:space="preserve">Financing wise, Project C is less demanding on debt capacity as the positive discounted returns it offers enhance the future cash generation, which favors financial flexibility. The investment is a good strategic fit with the goal of Host Hotels to invest in high-performing assets and pursue disciplined capital allocation. </w:t>
      </w:r>
      <w:r w:rsidR="006C0151" w:rsidRPr="006C0151">
        <w:rPr>
          <w:sz w:val="24"/>
          <w:szCs w:val="24"/>
        </w:rPr>
        <w:t>Project C implementation will result in a positive NPV of £0.83 million and maintain liquidity with a comparatively short payback period of 3 years and 7 months</w:t>
      </w:r>
      <w:r w:rsidR="00A24091" w:rsidRPr="00A24091">
        <w:rPr>
          <w:sz w:val="24"/>
          <w:szCs w:val="24"/>
          <w:lang w:val="en-IN"/>
        </w:rPr>
        <w:t>.</w:t>
      </w:r>
    </w:p>
    <w:p w14:paraId="79C5EABC" w14:textId="77777777" w:rsidR="00CC38D9" w:rsidRPr="00CC38D9" w:rsidRDefault="00CC38D9">
      <w:pPr>
        <w:spacing w:before="240" w:after="240" w:line="360" w:lineRule="auto"/>
        <w:jc w:val="both"/>
        <w:rPr>
          <w:b/>
          <w:bCs/>
          <w:i/>
          <w:iCs/>
          <w:sz w:val="24"/>
          <w:szCs w:val="24"/>
        </w:rPr>
      </w:pPr>
      <w:r w:rsidRPr="00CC38D9">
        <w:rPr>
          <w:b/>
          <w:bCs/>
          <w:i/>
          <w:iCs/>
          <w:sz w:val="24"/>
          <w:szCs w:val="24"/>
        </w:rPr>
        <w:t xml:space="preserve">Scenario analysis </w:t>
      </w:r>
    </w:p>
    <w:p w14:paraId="0DAA0150" w14:textId="2B76707B" w:rsidR="00CC38D9" w:rsidRPr="00A24091" w:rsidRDefault="00CC38D9">
      <w:pPr>
        <w:spacing w:before="240" w:after="240" w:line="360" w:lineRule="auto"/>
        <w:jc w:val="both"/>
        <w:rPr>
          <w:sz w:val="24"/>
          <w:szCs w:val="24"/>
          <w:lang w:val="en-IN"/>
        </w:rPr>
      </w:pPr>
      <w:r w:rsidRPr="00CC38D9">
        <w:rPr>
          <w:sz w:val="24"/>
          <w:szCs w:val="24"/>
        </w:rPr>
        <w:t>In a high-case scenario, higher ADR and occupancy would value Project C, whereas in a worst-case scenario of recession and lower tourism demand, the management should delay or phase investment to safeguard liquidity and shareholder value.</w:t>
      </w:r>
    </w:p>
    <w:p w14:paraId="6B5C00F5" w14:textId="77777777" w:rsidR="00FD737D" w:rsidRDefault="0023408D" w:rsidP="00FF28E3">
      <w:pPr>
        <w:pStyle w:val="Heading2"/>
      </w:pPr>
      <w:bookmarkStart w:id="55" w:name="_b5p8s8qf4uqe" w:colFirst="0" w:colLast="0"/>
      <w:bookmarkStart w:id="56" w:name="_Toc234367489"/>
      <w:bookmarkEnd w:id="55"/>
      <w:r>
        <w:t xml:space="preserve">4.5 Capital Rationing Decision (£100 Million </w:t>
      </w:r>
      <w:r w:rsidRPr="00FF28E3">
        <w:t>Budget</w:t>
      </w:r>
      <w:r>
        <w:t>)</w:t>
      </w:r>
      <w:bookmarkEnd w:id="56"/>
    </w:p>
    <w:p w14:paraId="439DB914" w14:textId="77777777" w:rsidR="00FD737D" w:rsidRDefault="0023408D">
      <w:pPr>
        <w:spacing w:after="160" w:line="360" w:lineRule="auto"/>
        <w:jc w:val="both"/>
        <w:rPr>
          <w:sz w:val="24"/>
          <w:szCs w:val="24"/>
        </w:rPr>
      </w:pPr>
      <w:r>
        <w:rPr>
          <w:sz w:val="24"/>
          <w:szCs w:val="24"/>
        </w:rPr>
        <w:lastRenderedPageBreak/>
        <w:t>Projects with a capital rationing limit of less than £100 million permit only two projects since each project needs an initial capital of £50 million. The aggregate financial performance will be:</w:t>
      </w:r>
    </w:p>
    <w:tbl>
      <w:tblPr>
        <w:tblStyle w:val="a0"/>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80"/>
        <w:gridCol w:w="1545"/>
        <w:gridCol w:w="1575"/>
        <w:gridCol w:w="4020"/>
      </w:tblGrid>
      <w:tr w:rsidR="00FD737D" w14:paraId="55EC05BB" w14:textId="77777777">
        <w:trPr>
          <w:trHeight w:val="645"/>
        </w:trPr>
        <w:tc>
          <w:tcPr>
            <w:tcW w:w="1680" w:type="dxa"/>
            <w:tcBorders>
              <w:top w:val="single" w:sz="6" w:space="0" w:color="FFFFFF"/>
              <w:left w:val="single" w:sz="6" w:space="0" w:color="FFFFFF"/>
              <w:bottom w:val="single" w:sz="6" w:space="0" w:color="FFFFFF"/>
              <w:right w:val="nil"/>
            </w:tcBorders>
            <w:shd w:val="clear" w:color="auto" w:fill="806000"/>
            <w:tcMar>
              <w:top w:w="0" w:type="dxa"/>
              <w:left w:w="100" w:type="dxa"/>
              <w:bottom w:w="0" w:type="dxa"/>
              <w:right w:w="100" w:type="dxa"/>
            </w:tcMar>
          </w:tcPr>
          <w:p w14:paraId="14D21AB2" w14:textId="77777777" w:rsidR="00FD737D" w:rsidRDefault="0023408D">
            <w:pPr>
              <w:spacing w:after="160" w:line="360" w:lineRule="auto"/>
              <w:jc w:val="both"/>
              <w:rPr>
                <w:b/>
                <w:bCs/>
                <w:color w:val="FFFFFF"/>
                <w:sz w:val="24"/>
                <w:szCs w:val="24"/>
              </w:rPr>
            </w:pPr>
            <w:r>
              <w:rPr>
                <w:b/>
                <w:bCs/>
                <w:color w:val="FFFFFF"/>
                <w:sz w:val="24"/>
                <w:szCs w:val="24"/>
              </w:rPr>
              <w:t>Combination</w:t>
            </w:r>
          </w:p>
        </w:tc>
        <w:tc>
          <w:tcPr>
            <w:tcW w:w="1545" w:type="dxa"/>
            <w:tcBorders>
              <w:top w:val="single" w:sz="6" w:space="0" w:color="FFFFFF"/>
              <w:left w:val="nil"/>
              <w:bottom w:val="single" w:sz="6" w:space="0" w:color="FFFFFF"/>
              <w:right w:val="nil"/>
            </w:tcBorders>
            <w:shd w:val="clear" w:color="auto" w:fill="806000"/>
            <w:tcMar>
              <w:top w:w="0" w:type="dxa"/>
              <w:left w:w="100" w:type="dxa"/>
              <w:bottom w:w="0" w:type="dxa"/>
              <w:right w:w="100" w:type="dxa"/>
            </w:tcMar>
          </w:tcPr>
          <w:p w14:paraId="5B56DDC1" w14:textId="77777777" w:rsidR="00FD737D" w:rsidRDefault="0023408D">
            <w:pPr>
              <w:spacing w:after="160" w:line="360" w:lineRule="auto"/>
              <w:jc w:val="both"/>
              <w:rPr>
                <w:b/>
                <w:bCs/>
                <w:color w:val="FFFFFF"/>
                <w:sz w:val="24"/>
                <w:szCs w:val="24"/>
              </w:rPr>
            </w:pPr>
            <w:r>
              <w:rPr>
                <w:b/>
                <w:bCs/>
                <w:color w:val="FFFFFF"/>
                <w:sz w:val="24"/>
                <w:szCs w:val="24"/>
              </w:rPr>
              <w:t>Combined NPV (£m)</w:t>
            </w:r>
          </w:p>
        </w:tc>
        <w:tc>
          <w:tcPr>
            <w:tcW w:w="1575" w:type="dxa"/>
            <w:tcBorders>
              <w:top w:val="single" w:sz="6" w:space="0" w:color="FFFFFF"/>
              <w:left w:val="nil"/>
              <w:bottom w:val="single" w:sz="6" w:space="0" w:color="FFFFFF"/>
              <w:right w:val="nil"/>
            </w:tcBorders>
            <w:shd w:val="clear" w:color="auto" w:fill="806000"/>
            <w:tcMar>
              <w:top w:w="0" w:type="dxa"/>
              <w:left w:w="100" w:type="dxa"/>
              <w:bottom w:w="0" w:type="dxa"/>
              <w:right w:w="100" w:type="dxa"/>
            </w:tcMar>
          </w:tcPr>
          <w:p w14:paraId="2E860CB5" w14:textId="77777777" w:rsidR="00FD737D" w:rsidRDefault="0023408D">
            <w:pPr>
              <w:spacing w:after="160" w:line="360" w:lineRule="auto"/>
              <w:jc w:val="both"/>
              <w:rPr>
                <w:b/>
                <w:bCs/>
                <w:color w:val="FFFFFF"/>
                <w:sz w:val="24"/>
                <w:szCs w:val="24"/>
              </w:rPr>
            </w:pPr>
            <w:r>
              <w:rPr>
                <w:b/>
                <w:bCs/>
                <w:color w:val="FFFFFF"/>
                <w:sz w:val="24"/>
                <w:szCs w:val="24"/>
              </w:rPr>
              <w:t>Combined PI</w:t>
            </w:r>
          </w:p>
        </w:tc>
        <w:tc>
          <w:tcPr>
            <w:tcW w:w="4020" w:type="dxa"/>
            <w:tcBorders>
              <w:top w:val="single" w:sz="6" w:space="0" w:color="FFFFFF"/>
              <w:left w:val="nil"/>
              <w:bottom w:val="single" w:sz="6" w:space="0" w:color="FFFFFF"/>
              <w:right w:val="single" w:sz="6" w:space="0" w:color="FFFFFF"/>
            </w:tcBorders>
            <w:shd w:val="clear" w:color="auto" w:fill="806000"/>
            <w:tcMar>
              <w:top w:w="0" w:type="dxa"/>
              <w:left w:w="100" w:type="dxa"/>
              <w:bottom w:w="0" w:type="dxa"/>
              <w:right w:w="100" w:type="dxa"/>
            </w:tcMar>
          </w:tcPr>
          <w:p w14:paraId="67A23C31" w14:textId="77777777" w:rsidR="00FD737D" w:rsidRDefault="0023408D">
            <w:pPr>
              <w:spacing w:after="160" w:line="360" w:lineRule="auto"/>
              <w:jc w:val="both"/>
              <w:rPr>
                <w:b/>
                <w:bCs/>
                <w:color w:val="FFFFFF"/>
                <w:sz w:val="24"/>
                <w:szCs w:val="24"/>
              </w:rPr>
            </w:pPr>
            <w:r>
              <w:rPr>
                <w:b/>
                <w:bCs/>
                <w:color w:val="FFFFFF"/>
                <w:sz w:val="24"/>
                <w:szCs w:val="24"/>
              </w:rPr>
              <w:t>Evaluation</w:t>
            </w:r>
          </w:p>
        </w:tc>
      </w:tr>
      <w:tr w:rsidR="00FD737D" w14:paraId="4BB66FBA" w14:textId="77777777">
        <w:trPr>
          <w:trHeight w:val="645"/>
        </w:trPr>
        <w:tc>
          <w:tcPr>
            <w:tcW w:w="1680" w:type="dxa"/>
            <w:tcBorders>
              <w:top w:val="nil"/>
              <w:left w:val="single" w:sz="6" w:space="0" w:color="FFFFFF"/>
              <w:bottom w:val="single" w:sz="6" w:space="0" w:color="FFFFFF"/>
              <w:right w:val="single" w:sz="6" w:space="0" w:color="FFFFFF"/>
            </w:tcBorders>
            <w:shd w:val="clear" w:color="auto" w:fill="806000"/>
            <w:tcMar>
              <w:top w:w="0" w:type="dxa"/>
              <w:left w:w="100" w:type="dxa"/>
              <w:bottom w:w="0" w:type="dxa"/>
              <w:right w:w="100" w:type="dxa"/>
            </w:tcMar>
          </w:tcPr>
          <w:p w14:paraId="5AA4C048" w14:textId="77777777" w:rsidR="00FD737D" w:rsidRDefault="0023408D">
            <w:pPr>
              <w:spacing w:after="160" w:line="360" w:lineRule="auto"/>
              <w:jc w:val="both"/>
              <w:rPr>
                <w:b/>
                <w:bCs/>
                <w:color w:val="FFFFFF"/>
                <w:sz w:val="24"/>
                <w:szCs w:val="24"/>
              </w:rPr>
            </w:pPr>
            <w:r>
              <w:rPr>
                <w:b/>
                <w:bCs/>
                <w:color w:val="FFFFFF"/>
                <w:sz w:val="24"/>
                <w:szCs w:val="24"/>
              </w:rPr>
              <w:t>A + B</w:t>
            </w:r>
          </w:p>
        </w:tc>
        <w:tc>
          <w:tcPr>
            <w:tcW w:w="1545"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7D7172D4" w14:textId="77777777" w:rsidR="00FD737D" w:rsidRDefault="0023408D">
            <w:pPr>
              <w:spacing w:after="160" w:line="360" w:lineRule="auto"/>
              <w:jc w:val="both"/>
              <w:rPr>
                <w:b/>
                <w:bCs/>
                <w:sz w:val="24"/>
                <w:szCs w:val="24"/>
              </w:rPr>
            </w:pPr>
            <w:r>
              <w:rPr>
                <w:b/>
                <w:bCs/>
                <w:sz w:val="24"/>
                <w:szCs w:val="24"/>
              </w:rPr>
              <w:t>-12.68</w:t>
            </w:r>
          </w:p>
        </w:tc>
        <w:tc>
          <w:tcPr>
            <w:tcW w:w="1575"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044F25B5" w14:textId="77777777" w:rsidR="00FD737D" w:rsidRDefault="0023408D">
            <w:pPr>
              <w:spacing w:after="160" w:line="360" w:lineRule="auto"/>
              <w:jc w:val="both"/>
              <w:rPr>
                <w:b/>
                <w:bCs/>
                <w:sz w:val="24"/>
                <w:szCs w:val="24"/>
              </w:rPr>
            </w:pPr>
            <w:r>
              <w:rPr>
                <w:b/>
                <w:bCs/>
                <w:sz w:val="24"/>
                <w:szCs w:val="24"/>
              </w:rPr>
              <w:t>0.875</w:t>
            </w:r>
          </w:p>
        </w:tc>
        <w:tc>
          <w:tcPr>
            <w:tcW w:w="4020"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6B663970" w14:textId="77777777" w:rsidR="00FD737D" w:rsidRDefault="0023408D">
            <w:pPr>
              <w:spacing w:after="160" w:line="360" w:lineRule="auto"/>
              <w:jc w:val="both"/>
              <w:rPr>
                <w:sz w:val="24"/>
                <w:szCs w:val="24"/>
              </w:rPr>
            </w:pPr>
            <w:r>
              <w:rPr>
                <w:sz w:val="24"/>
                <w:szCs w:val="24"/>
              </w:rPr>
              <w:t>Lowest value creation and weakest investment performance.</w:t>
            </w:r>
          </w:p>
        </w:tc>
      </w:tr>
      <w:tr w:rsidR="00FD737D" w14:paraId="087F1A61" w14:textId="77777777">
        <w:trPr>
          <w:trHeight w:val="645"/>
        </w:trPr>
        <w:tc>
          <w:tcPr>
            <w:tcW w:w="1680" w:type="dxa"/>
            <w:tcBorders>
              <w:top w:val="nil"/>
              <w:left w:val="single" w:sz="6" w:space="0" w:color="FFFFFF"/>
              <w:bottom w:val="single" w:sz="6" w:space="0" w:color="FFFFFF"/>
              <w:right w:val="single" w:sz="6" w:space="0" w:color="FFFFFF"/>
            </w:tcBorders>
            <w:shd w:val="clear" w:color="auto" w:fill="806000"/>
            <w:tcMar>
              <w:top w:w="0" w:type="dxa"/>
              <w:left w:w="100" w:type="dxa"/>
              <w:bottom w:w="0" w:type="dxa"/>
              <w:right w:w="100" w:type="dxa"/>
            </w:tcMar>
          </w:tcPr>
          <w:p w14:paraId="30E91E18" w14:textId="77777777" w:rsidR="00FD737D" w:rsidRDefault="0023408D">
            <w:pPr>
              <w:spacing w:after="160" w:line="360" w:lineRule="auto"/>
              <w:jc w:val="both"/>
              <w:rPr>
                <w:b/>
                <w:bCs/>
                <w:color w:val="FFFFFF"/>
                <w:sz w:val="24"/>
                <w:szCs w:val="24"/>
              </w:rPr>
            </w:pPr>
            <w:r>
              <w:rPr>
                <w:b/>
                <w:bCs/>
                <w:color w:val="FFFFFF"/>
                <w:sz w:val="24"/>
                <w:szCs w:val="24"/>
              </w:rPr>
              <w:t>A + C</w:t>
            </w:r>
          </w:p>
        </w:tc>
        <w:tc>
          <w:tcPr>
            <w:tcW w:w="1545" w:type="dxa"/>
            <w:tcBorders>
              <w:top w:val="nil"/>
              <w:left w:val="nil"/>
              <w:bottom w:val="single" w:sz="6" w:space="0" w:color="FFFFFF"/>
              <w:right w:val="single" w:sz="6" w:space="0" w:color="FFFFFF"/>
            </w:tcBorders>
            <w:shd w:val="clear" w:color="auto" w:fill="FFF2CC"/>
            <w:tcMar>
              <w:top w:w="0" w:type="dxa"/>
              <w:left w:w="100" w:type="dxa"/>
              <w:bottom w:w="0" w:type="dxa"/>
              <w:right w:w="100" w:type="dxa"/>
            </w:tcMar>
          </w:tcPr>
          <w:p w14:paraId="7A344B4B" w14:textId="77777777" w:rsidR="00FD737D" w:rsidRDefault="0023408D">
            <w:pPr>
              <w:spacing w:after="160" w:line="360" w:lineRule="auto"/>
              <w:jc w:val="both"/>
              <w:rPr>
                <w:b/>
                <w:bCs/>
                <w:sz w:val="24"/>
                <w:szCs w:val="24"/>
              </w:rPr>
            </w:pPr>
            <w:r>
              <w:rPr>
                <w:b/>
                <w:bCs/>
                <w:sz w:val="24"/>
                <w:szCs w:val="24"/>
              </w:rPr>
              <w:t>-5.74</w:t>
            </w:r>
          </w:p>
        </w:tc>
        <w:tc>
          <w:tcPr>
            <w:tcW w:w="1575" w:type="dxa"/>
            <w:tcBorders>
              <w:top w:val="nil"/>
              <w:left w:val="nil"/>
              <w:bottom w:val="single" w:sz="6" w:space="0" w:color="FFFFFF"/>
              <w:right w:val="single" w:sz="6" w:space="0" w:color="FFFFFF"/>
            </w:tcBorders>
            <w:shd w:val="clear" w:color="auto" w:fill="FFF2CC"/>
            <w:tcMar>
              <w:top w:w="0" w:type="dxa"/>
              <w:left w:w="100" w:type="dxa"/>
              <w:bottom w:w="0" w:type="dxa"/>
              <w:right w:w="100" w:type="dxa"/>
            </w:tcMar>
          </w:tcPr>
          <w:p w14:paraId="43396E83" w14:textId="77777777" w:rsidR="00FD737D" w:rsidRDefault="0023408D">
            <w:pPr>
              <w:spacing w:after="160" w:line="360" w:lineRule="auto"/>
              <w:jc w:val="both"/>
              <w:rPr>
                <w:b/>
                <w:bCs/>
                <w:sz w:val="24"/>
                <w:szCs w:val="24"/>
              </w:rPr>
            </w:pPr>
            <w:r>
              <w:rPr>
                <w:b/>
                <w:bCs/>
                <w:sz w:val="24"/>
                <w:szCs w:val="24"/>
              </w:rPr>
              <w:t>0.945</w:t>
            </w:r>
          </w:p>
        </w:tc>
        <w:tc>
          <w:tcPr>
            <w:tcW w:w="4020" w:type="dxa"/>
            <w:tcBorders>
              <w:top w:val="nil"/>
              <w:left w:val="nil"/>
              <w:bottom w:val="single" w:sz="6" w:space="0" w:color="FFFFFF"/>
              <w:right w:val="single" w:sz="6" w:space="0" w:color="FFFFFF"/>
            </w:tcBorders>
            <w:shd w:val="clear" w:color="auto" w:fill="FFF2CC"/>
            <w:tcMar>
              <w:top w:w="0" w:type="dxa"/>
              <w:left w:w="100" w:type="dxa"/>
              <w:bottom w:w="0" w:type="dxa"/>
              <w:right w:w="100" w:type="dxa"/>
            </w:tcMar>
          </w:tcPr>
          <w:p w14:paraId="0D517195" w14:textId="77777777" w:rsidR="00FD737D" w:rsidRDefault="0023408D">
            <w:pPr>
              <w:spacing w:after="160" w:line="360" w:lineRule="auto"/>
              <w:jc w:val="both"/>
              <w:rPr>
                <w:sz w:val="24"/>
                <w:szCs w:val="24"/>
              </w:rPr>
            </w:pPr>
            <w:r>
              <w:rPr>
                <w:sz w:val="24"/>
                <w:szCs w:val="24"/>
              </w:rPr>
              <w:t>Improved by Project C but still produces a negative overall NPV.</w:t>
            </w:r>
          </w:p>
        </w:tc>
      </w:tr>
      <w:tr w:rsidR="00FD737D" w14:paraId="313FFC4C" w14:textId="77777777">
        <w:trPr>
          <w:trHeight w:val="885"/>
        </w:trPr>
        <w:tc>
          <w:tcPr>
            <w:tcW w:w="1680" w:type="dxa"/>
            <w:tcBorders>
              <w:top w:val="nil"/>
              <w:left w:val="single" w:sz="6" w:space="0" w:color="FFFFFF"/>
              <w:bottom w:val="single" w:sz="6" w:space="0" w:color="FFFFFF"/>
              <w:right w:val="single" w:sz="6" w:space="0" w:color="FFFFFF"/>
            </w:tcBorders>
            <w:shd w:val="clear" w:color="auto" w:fill="806000"/>
            <w:tcMar>
              <w:top w:w="0" w:type="dxa"/>
              <w:left w:w="100" w:type="dxa"/>
              <w:bottom w:w="0" w:type="dxa"/>
              <w:right w:w="100" w:type="dxa"/>
            </w:tcMar>
          </w:tcPr>
          <w:p w14:paraId="0F23A607" w14:textId="77777777" w:rsidR="00FD737D" w:rsidRDefault="0023408D">
            <w:pPr>
              <w:spacing w:after="160" w:line="360" w:lineRule="auto"/>
              <w:jc w:val="both"/>
              <w:rPr>
                <w:b/>
                <w:bCs/>
                <w:color w:val="FFFFFF"/>
                <w:sz w:val="24"/>
                <w:szCs w:val="24"/>
              </w:rPr>
            </w:pPr>
            <w:r>
              <w:rPr>
                <w:b/>
                <w:bCs/>
                <w:color w:val="FFFFFF"/>
                <w:sz w:val="24"/>
                <w:szCs w:val="24"/>
              </w:rPr>
              <w:t>B + C</w:t>
            </w:r>
          </w:p>
        </w:tc>
        <w:tc>
          <w:tcPr>
            <w:tcW w:w="1545"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65A50327" w14:textId="77777777" w:rsidR="00FD737D" w:rsidRDefault="0023408D">
            <w:pPr>
              <w:spacing w:after="160" w:line="360" w:lineRule="auto"/>
              <w:jc w:val="both"/>
              <w:rPr>
                <w:b/>
                <w:bCs/>
                <w:sz w:val="24"/>
                <w:szCs w:val="24"/>
              </w:rPr>
            </w:pPr>
            <w:r>
              <w:rPr>
                <w:b/>
                <w:bCs/>
                <w:sz w:val="24"/>
                <w:szCs w:val="24"/>
              </w:rPr>
              <w:t>-5.28</w:t>
            </w:r>
          </w:p>
        </w:tc>
        <w:tc>
          <w:tcPr>
            <w:tcW w:w="1575"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0676DA3F" w14:textId="77777777" w:rsidR="00FD737D" w:rsidRDefault="0023408D">
            <w:pPr>
              <w:spacing w:after="160" w:line="360" w:lineRule="auto"/>
              <w:jc w:val="both"/>
              <w:rPr>
                <w:b/>
                <w:bCs/>
                <w:sz w:val="24"/>
                <w:szCs w:val="24"/>
              </w:rPr>
            </w:pPr>
            <w:r>
              <w:rPr>
                <w:b/>
                <w:bCs/>
                <w:sz w:val="24"/>
                <w:szCs w:val="24"/>
              </w:rPr>
              <w:t>0.950</w:t>
            </w:r>
          </w:p>
        </w:tc>
        <w:tc>
          <w:tcPr>
            <w:tcW w:w="4020" w:type="dxa"/>
            <w:tcBorders>
              <w:top w:val="nil"/>
              <w:left w:val="nil"/>
              <w:bottom w:val="single" w:sz="6" w:space="0" w:color="FFFFFF"/>
              <w:right w:val="single" w:sz="6" w:space="0" w:color="FFFFFF"/>
            </w:tcBorders>
            <w:shd w:val="clear" w:color="auto" w:fill="FFD966"/>
            <w:tcMar>
              <w:top w:w="0" w:type="dxa"/>
              <w:left w:w="100" w:type="dxa"/>
              <w:bottom w:w="0" w:type="dxa"/>
              <w:right w:w="100" w:type="dxa"/>
            </w:tcMar>
          </w:tcPr>
          <w:p w14:paraId="189F45A8" w14:textId="77777777" w:rsidR="00FD737D" w:rsidRDefault="0023408D">
            <w:pPr>
              <w:spacing w:after="160" w:line="360" w:lineRule="auto"/>
              <w:jc w:val="both"/>
              <w:rPr>
                <w:sz w:val="24"/>
                <w:szCs w:val="24"/>
              </w:rPr>
            </w:pPr>
            <w:r>
              <w:rPr>
                <w:sz w:val="24"/>
                <w:szCs w:val="24"/>
              </w:rPr>
              <w:t>Best financial outcome among the three combinations, although overall NPV remains negative.</w:t>
            </w:r>
          </w:p>
        </w:tc>
      </w:tr>
    </w:tbl>
    <w:p w14:paraId="7EBEC746" w14:textId="77777777" w:rsidR="00FD737D" w:rsidRDefault="0023408D">
      <w:pPr>
        <w:spacing w:before="240" w:after="240" w:line="360" w:lineRule="auto"/>
        <w:jc w:val="both"/>
        <w:rPr>
          <w:sz w:val="24"/>
          <w:szCs w:val="24"/>
        </w:rPr>
      </w:pPr>
      <w:r>
        <w:rPr>
          <w:sz w:val="24"/>
          <w:szCs w:val="24"/>
        </w:rPr>
        <w:t>Even though B + C produces the highest joint PI and the least negative NPV, none of the project combinations meet the value maximisation goal since all portfolios yield a net negative NPV. Host Hotels and Resorts therefore, should not exhaust the £100 million budget merely because the capital is at its disposal. Rather, it should invest in only Project C, the only proposal with a positive NPV and PI greater than one, and hold back the remaining £50 million to invest in future projects with higher financial returns and better exposure to the long-term growth strategy and capital discipline of the company.</w:t>
      </w:r>
    </w:p>
    <w:p w14:paraId="77EFB632" w14:textId="77777777" w:rsidR="00FD737D" w:rsidRDefault="00FD737D">
      <w:pPr>
        <w:spacing w:before="240" w:after="240" w:line="360" w:lineRule="auto"/>
        <w:jc w:val="both"/>
        <w:rPr>
          <w:sz w:val="24"/>
          <w:szCs w:val="24"/>
        </w:rPr>
      </w:pPr>
    </w:p>
    <w:p w14:paraId="422DA06A" w14:textId="77777777" w:rsidR="00FD737D" w:rsidRDefault="0023408D" w:rsidP="00FF28E3">
      <w:pPr>
        <w:pStyle w:val="Heading1"/>
      </w:pPr>
      <w:bookmarkStart w:id="57" w:name="_Toc234367490"/>
      <w:r>
        <w:t>Task 5: Critical Reflection on the Use of AI</w:t>
      </w:r>
      <w:bookmarkEnd w:id="57"/>
      <w:r>
        <w:t xml:space="preserve"> </w:t>
      </w:r>
    </w:p>
    <w:p w14:paraId="6B6FCCE9" w14:textId="77777777" w:rsidR="00FD737D" w:rsidRDefault="0023408D" w:rsidP="00FF28E3">
      <w:pPr>
        <w:pStyle w:val="Heading2"/>
      </w:pPr>
      <w:bookmarkStart w:id="58" w:name="_Toc234367491"/>
      <w:r>
        <w:t>5.1 Tool Disclosure</w:t>
      </w:r>
      <w:bookmarkEnd w:id="58"/>
      <w:r>
        <w:t xml:space="preserve"> </w:t>
      </w:r>
    </w:p>
    <w:p w14:paraId="3B14EEA5" w14:textId="77777777" w:rsidR="00FD737D" w:rsidRDefault="0023408D">
      <w:pPr>
        <w:spacing w:before="240" w:after="240" w:line="360" w:lineRule="auto"/>
        <w:jc w:val="both"/>
        <w:rPr>
          <w:sz w:val="24"/>
          <w:szCs w:val="24"/>
        </w:rPr>
      </w:pPr>
      <w:r>
        <w:rPr>
          <w:sz w:val="24"/>
          <w:szCs w:val="24"/>
        </w:rPr>
        <w:t xml:space="preserve">This financial analysis report has been prepared with the assistance of artificial intelligence (AI) tools without any bias of independent academic judgement. ChatGPT helped to create the structure of the report, write academic papers better, summarise academic literature and make the discussion clear and coherent. Financial ratio calculations, techniques of investment appraisal, trend analysis and </w:t>
      </w:r>
      <w:r>
        <w:rPr>
          <w:sz w:val="24"/>
          <w:szCs w:val="24"/>
        </w:rPr>
        <w:lastRenderedPageBreak/>
        <w:t xml:space="preserve">cash flow calculations were carried out in Microsoft Excel allowing accurate numeric analysis and minimizing the errors in calculations. The methodologies of investment appraisal such as Payback Period, Accounting rate of Return (ARR), Net Present Value (NPV), Profitability Index (PI) and Internal rate of return (IRR) were used to apply the recognised capital budgeting principles in order to be consistent in financial evaluation (EBSCO, 2024). The AI-generated content served as the drafting aid, and all financial analysis, interpretation and final conclusions were verified and tested by the author on their own. </w:t>
      </w:r>
    </w:p>
    <w:p w14:paraId="2D140E47" w14:textId="77777777" w:rsidR="00FD737D" w:rsidRDefault="0023408D" w:rsidP="00FF28E3">
      <w:pPr>
        <w:pStyle w:val="Heading2"/>
      </w:pPr>
      <w:bookmarkStart w:id="59" w:name="_Toc234367492"/>
      <w:r>
        <w:t>5.2 Critical Evaluation of AI Outputs</w:t>
      </w:r>
      <w:bookmarkEnd w:id="59"/>
    </w:p>
    <w:p w14:paraId="75748791" w14:textId="77777777" w:rsidR="00FD737D" w:rsidRDefault="0023408D">
      <w:pPr>
        <w:spacing w:before="240" w:after="240" w:line="360" w:lineRule="auto"/>
        <w:jc w:val="both"/>
        <w:rPr>
          <w:sz w:val="24"/>
          <w:szCs w:val="24"/>
        </w:rPr>
      </w:pPr>
      <w:r>
        <w:rPr>
          <w:sz w:val="24"/>
          <w:szCs w:val="24"/>
        </w:rPr>
        <w:t>All the content generated by AI was thoroughly analyzed before it was included in the report. Financial information, liquidity ratios, profitability and leverage ratios were checked against annual reports published by the company to ensure numerical accuracy. The AI-assisted investment appraisal calculations were cross-calculated in Microsoft Excel and confirmed the values of Payback Period, ARR, NPV, PI and IRR. In this verification process, multiple AI outputs needed corrections such as discrepancies in the interpretation of discounted cash flows and citation errors. Some literature summaries also omitted important contextual findings and therefore required comparison with the original academic publications before use. This validation made sure that every financial interpretation, calculation and advice was supported by credible evidence instead of unverified AI-generated material, which is within the accepted investment appraisal practice (EBSCO, 2024).</w:t>
      </w:r>
    </w:p>
    <w:p w14:paraId="1281B459" w14:textId="77777777" w:rsidR="00FD737D" w:rsidRDefault="0023408D" w:rsidP="00FF28E3">
      <w:pPr>
        <w:pStyle w:val="Heading2"/>
      </w:pPr>
      <w:bookmarkStart w:id="60" w:name="_Toc234367493"/>
      <w:r>
        <w:t>5.3 Contribution Analysis</w:t>
      </w:r>
      <w:bookmarkEnd w:id="60"/>
      <w:r>
        <w:t xml:space="preserve"> </w:t>
      </w:r>
    </w:p>
    <w:p w14:paraId="14F078C0" w14:textId="77777777" w:rsidR="00FD737D" w:rsidRDefault="0023408D">
      <w:pPr>
        <w:spacing w:before="240" w:after="240" w:line="360" w:lineRule="auto"/>
        <w:jc w:val="both"/>
        <w:rPr>
          <w:sz w:val="24"/>
          <w:szCs w:val="24"/>
        </w:rPr>
      </w:pPr>
      <w:r>
        <w:rPr>
          <w:sz w:val="24"/>
          <w:szCs w:val="24"/>
        </w:rPr>
        <w:t xml:space="preserve">The report is a synthesis of AI-aided assistance and autonomous analytical decision-making. The major role played by AI was to come up with the first report forms, enhance grammar and readability, summarise long academic texts and give advice on financial formulae applied in ratio analysis and investment appraisal. Conversely, it was the task of the student to do the substantive academic work. The financial statements of the company were used independently to interpret the financial ratios and benchmark against the competitors and critical analysis on liquidity, profitability and capital structure was done. Similarly, the strategic restructuring recommendations, working capital recommendations, evaluation of investment </w:t>
      </w:r>
      <w:r>
        <w:rPr>
          <w:sz w:val="24"/>
          <w:szCs w:val="24"/>
        </w:rPr>
        <w:lastRenderedPageBreak/>
        <w:t xml:space="preserve">project and capital rationing decisions were made on the independent interpretation of the financial evidence as opposed to AI-generated conclusions. The decision to approve Project C and dismiss Projects A and B was based on the results of the independent professional judgement on the basis of calculated NPV, PI, ARR, IRR and Payback, along with the financial status of the company, which was independent, and consistent with the established principles of investment appraisals (EBSCO, 2024). </w:t>
      </w:r>
    </w:p>
    <w:p w14:paraId="68551CFD" w14:textId="77777777" w:rsidR="00FD737D" w:rsidRDefault="0023408D" w:rsidP="00FF28E3">
      <w:pPr>
        <w:pStyle w:val="Heading2"/>
      </w:pPr>
      <w:bookmarkStart w:id="61" w:name="_Toc234367494"/>
      <w:r>
        <w:t>5.4 Ethical and Professional Reflection</w:t>
      </w:r>
      <w:bookmarkEnd w:id="61"/>
      <w:r>
        <w:t xml:space="preserve"> </w:t>
      </w:r>
    </w:p>
    <w:p w14:paraId="2445FB71" w14:textId="77777777" w:rsidR="00FD737D" w:rsidRDefault="0023408D">
      <w:pPr>
        <w:spacing w:before="240" w:after="240" w:line="360" w:lineRule="auto"/>
        <w:jc w:val="both"/>
        <w:rPr>
          <w:sz w:val="24"/>
          <w:szCs w:val="24"/>
        </w:rPr>
      </w:pPr>
      <w:r>
        <w:rPr>
          <w:sz w:val="24"/>
          <w:szCs w:val="24"/>
        </w:rPr>
        <w:t xml:space="preserve">AI usage must be transparent, ethically and professionally accountable in the research process. The use of AI help has thus been admitted publicly, but all decision making, inception and suggestions are left to the author. Confidential financial information was handled appropriately, with analysis based solely on publicly available company reports and published academic literature. Overreliance on AI can diminish critical thinking, ignore contextual business considerations and the possibility of accepting inaccurate or fabricated information without checking it (Allianz, 2024). Therefore, executive judgment, independent financial analysis and ethical decision-making are critical in assessing corporate performance and investment opportunities. The integration of AI assistance with professional scepticism and evidence-based analysis enhances credibility, integrity and reliability of financial reporting and strategic decision-making (EBSCO, 2024). </w:t>
      </w:r>
    </w:p>
    <w:p w14:paraId="2BCBD640" w14:textId="77777777" w:rsidR="00FD737D" w:rsidRDefault="0023408D" w:rsidP="00FF28E3">
      <w:pPr>
        <w:pStyle w:val="Heading1"/>
      </w:pPr>
      <w:bookmarkStart w:id="62" w:name="_Toc234367495"/>
      <w:r>
        <w:t>Conclusion</w:t>
      </w:r>
      <w:bookmarkEnd w:id="62"/>
    </w:p>
    <w:p w14:paraId="45E71191" w14:textId="43F0C956" w:rsidR="00FD737D" w:rsidRDefault="0023408D">
      <w:pPr>
        <w:spacing w:before="240" w:after="240" w:line="360" w:lineRule="auto"/>
        <w:jc w:val="both"/>
        <w:rPr>
          <w:sz w:val="24"/>
          <w:szCs w:val="24"/>
        </w:rPr>
      </w:pPr>
      <w:r>
        <w:rPr>
          <w:sz w:val="24"/>
          <w:szCs w:val="24"/>
        </w:rPr>
        <w:t xml:space="preserve">Financial analysis shows that Host Hotels and Resorts </w:t>
      </w:r>
      <w:r w:rsidR="000B0ED8">
        <w:rPr>
          <w:sz w:val="24"/>
          <w:szCs w:val="24"/>
        </w:rPr>
        <w:t>have</w:t>
      </w:r>
      <w:r>
        <w:rPr>
          <w:sz w:val="24"/>
          <w:szCs w:val="24"/>
        </w:rPr>
        <w:t xml:space="preserve"> a relatively stable financial point with good asset quality and operational resilience but liquidity constraints, high capital intensity, and debt are major challenges. It is suggested to use selective asset divestiture, debt refinancing, and ESG-linked financing to optimise the capital structure, enhancing long-term financial flexibility. Project C is the most preferred investment alternative since it provides a positive NPV, the highest ARR, PI and IRR. Project C should be the only project to be undertaken under capital rationing; capital should be maintained to add value in the future, as well as to sustain long-term financial viability and maximisation of shareholder value.</w:t>
      </w:r>
      <w:r>
        <w:br w:type="page"/>
      </w:r>
    </w:p>
    <w:p w14:paraId="4C99C9FB" w14:textId="77777777" w:rsidR="00FD737D" w:rsidRDefault="0023408D" w:rsidP="00FF28E3">
      <w:pPr>
        <w:pStyle w:val="Heading1"/>
      </w:pPr>
      <w:bookmarkStart w:id="63" w:name="_Toc234367496"/>
      <w:r>
        <w:lastRenderedPageBreak/>
        <w:t>Reference List</w:t>
      </w:r>
      <w:bookmarkEnd w:id="63"/>
    </w:p>
    <w:p w14:paraId="42E68803" w14:textId="77777777" w:rsidR="00FD737D" w:rsidRDefault="0023408D">
      <w:pPr>
        <w:spacing w:after="240" w:line="360" w:lineRule="auto"/>
        <w:jc w:val="both"/>
        <w:rPr>
          <w:sz w:val="24"/>
          <w:szCs w:val="24"/>
        </w:rPr>
      </w:pPr>
      <w:r>
        <w:rPr>
          <w:sz w:val="24"/>
          <w:szCs w:val="24"/>
        </w:rPr>
        <w:t xml:space="preserve">Ali, K., Ashraf, C.K. and Malik, I.A. (2022). </w:t>
      </w:r>
      <w:r>
        <w:rPr>
          <w:i/>
          <w:iCs/>
          <w:sz w:val="24"/>
          <w:szCs w:val="24"/>
        </w:rPr>
        <w:t>Impact of Earnings Per Share on Stock Prices and Price to Earnings Ratio</w:t>
      </w:r>
      <w:r>
        <w:rPr>
          <w:sz w:val="24"/>
          <w:szCs w:val="24"/>
        </w:rPr>
        <w:t xml:space="preserve">. [online] Ssrn.com. Available at: </w:t>
      </w:r>
      <w:hyperlink r:id="rId9">
        <w:r w:rsidR="00FD737D">
          <w:rPr>
            <w:color w:val="1155CC"/>
            <w:sz w:val="24"/>
            <w:szCs w:val="24"/>
            <w:u w:val="single"/>
          </w:rPr>
          <w:t>https://ssrn.com/abstract=4125746</w:t>
        </w:r>
      </w:hyperlink>
      <w:r>
        <w:rPr>
          <w:sz w:val="24"/>
          <w:szCs w:val="24"/>
        </w:rPr>
        <w:t xml:space="preserve"> [Accessed 7 July 2026].</w:t>
      </w:r>
    </w:p>
    <w:p w14:paraId="20FCAF29" w14:textId="77777777" w:rsidR="00FD737D" w:rsidRDefault="0023408D">
      <w:pPr>
        <w:spacing w:after="240" w:line="360" w:lineRule="auto"/>
        <w:jc w:val="both"/>
        <w:rPr>
          <w:sz w:val="24"/>
          <w:szCs w:val="24"/>
        </w:rPr>
      </w:pPr>
      <w:r>
        <w:rPr>
          <w:sz w:val="24"/>
          <w:szCs w:val="24"/>
        </w:rPr>
        <w:t xml:space="preserve">Allianz (2024). </w:t>
      </w:r>
      <w:r>
        <w:rPr>
          <w:i/>
          <w:iCs/>
          <w:sz w:val="24"/>
          <w:szCs w:val="24"/>
        </w:rPr>
        <w:t>Liquidity Ratio: Understanding Its Impact on Financial Health</w:t>
      </w:r>
      <w:r>
        <w:rPr>
          <w:sz w:val="24"/>
          <w:szCs w:val="24"/>
        </w:rPr>
        <w:t xml:space="preserve">. [online] Allianz Trade Corporate. Available at: </w:t>
      </w:r>
      <w:hyperlink r:id="rId10">
        <w:r w:rsidR="00FD737D">
          <w:rPr>
            <w:color w:val="1155CC"/>
            <w:sz w:val="24"/>
            <w:szCs w:val="24"/>
            <w:u w:val="single"/>
          </w:rPr>
          <w:t>https://www.allianz-trade.com/en_US/insights/liquidity-ratio.html</w:t>
        </w:r>
      </w:hyperlink>
      <w:r>
        <w:rPr>
          <w:sz w:val="24"/>
          <w:szCs w:val="24"/>
        </w:rPr>
        <w:t xml:space="preserve"> [Accessed 7 July 2026].</w:t>
      </w:r>
    </w:p>
    <w:p w14:paraId="18D88A18" w14:textId="77777777" w:rsidR="00FD737D" w:rsidRDefault="0023408D">
      <w:pPr>
        <w:spacing w:after="240" w:line="360" w:lineRule="auto"/>
        <w:jc w:val="both"/>
        <w:rPr>
          <w:sz w:val="24"/>
          <w:szCs w:val="24"/>
        </w:rPr>
      </w:pPr>
      <w:r>
        <w:rPr>
          <w:sz w:val="24"/>
          <w:szCs w:val="24"/>
        </w:rPr>
        <w:t xml:space="preserve">Allianz Trade (2024). </w:t>
      </w:r>
      <w:r>
        <w:rPr>
          <w:i/>
          <w:iCs/>
          <w:sz w:val="24"/>
          <w:szCs w:val="24"/>
        </w:rPr>
        <w:t>Profitability Ratios: Comparing Earnings to Assets and Sales</w:t>
      </w:r>
      <w:r>
        <w:rPr>
          <w:sz w:val="24"/>
          <w:szCs w:val="24"/>
        </w:rPr>
        <w:t xml:space="preserve">. [online] Allianz Trade Corporate. Available at: </w:t>
      </w:r>
      <w:hyperlink r:id="rId11">
        <w:r w:rsidR="00FD737D">
          <w:rPr>
            <w:color w:val="1155CC"/>
            <w:sz w:val="24"/>
            <w:szCs w:val="24"/>
            <w:u w:val="single"/>
          </w:rPr>
          <w:t>https://www.allianz-trade.com/en_US/insights/profitability-ratios.html</w:t>
        </w:r>
      </w:hyperlink>
      <w:r>
        <w:rPr>
          <w:sz w:val="24"/>
          <w:szCs w:val="24"/>
        </w:rPr>
        <w:t xml:space="preserve"> [Accessed 7 July 2026].</w:t>
      </w:r>
    </w:p>
    <w:p w14:paraId="46367829" w14:textId="77777777" w:rsidR="00FD737D" w:rsidRDefault="0023408D">
      <w:pPr>
        <w:spacing w:after="240" w:line="360" w:lineRule="auto"/>
        <w:jc w:val="both"/>
        <w:rPr>
          <w:sz w:val="24"/>
          <w:szCs w:val="24"/>
        </w:rPr>
      </w:pPr>
      <w:r>
        <w:rPr>
          <w:sz w:val="24"/>
          <w:szCs w:val="24"/>
        </w:rPr>
        <w:t xml:space="preserve">Arifaj, A.H., Berisha, V., Morina, F. and Avdyli, E. (2023). Exploring the impact of cash flow, company size, and debt on financial performance in corporations. </w:t>
      </w:r>
      <w:r>
        <w:rPr>
          <w:i/>
          <w:iCs/>
          <w:sz w:val="24"/>
          <w:szCs w:val="24"/>
        </w:rPr>
        <w:t>Investment management &amp; financial innovations</w:t>
      </w:r>
      <w:r>
        <w:rPr>
          <w:sz w:val="24"/>
          <w:szCs w:val="24"/>
        </w:rPr>
        <w:t>, 20(3), pp.264–272. doi:</w:t>
      </w:r>
      <w:hyperlink r:id="rId12">
        <w:r w:rsidR="00FD737D">
          <w:rPr>
            <w:color w:val="1155CC"/>
            <w:sz w:val="24"/>
            <w:szCs w:val="24"/>
            <w:u w:val="single"/>
          </w:rPr>
          <w:t>http://dx.doi.org/10.21511/imfi.20(3).2023.22</w:t>
        </w:r>
      </w:hyperlink>
      <w:r>
        <w:rPr>
          <w:sz w:val="24"/>
          <w:szCs w:val="24"/>
        </w:rPr>
        <w:t xml:space="preserve">. </w:t>
      </w:r>
    </w:p>
    <w:p w14:paraId="32AC94A3" w14:textId="77777777" w:rsidR="00FD737D" w:rsidRDefault="0023408D">
      <w:pPr>
        <w:spacing w:after="240" w:line="360" w:lineRule="auto"/>
        <w:jc w:val="both"/>
        <w:rPr>
          <w:sz w:val="24"/>
          <w:szCs w:val="24"/>
        </w:rPr>
      </w:pPr>
      <w:r w:rsidRPr="00FF28E3">
        <w:rPr>
          <w:sz w:val="24"/>
          <w:szCs w:val="24"/>
          <w:lang w:val="it-IT"/>
        </w:rPr>
        <w:t xml:space="preserve">Corte, V.D., Aria, M., Del Gaudio, G., Sepe, F. and Di Taranto, E. (2022). </w:t>
      </w:r>
      <w:r>
        <w:rPr>
          <w:sz w:val="24"/>
          <w:szCs w:val="24"/>
        </w:rPr>
        <w:t xml:space="preserve">Stakeholder value creation: A case of the hospitality industry. </w:t>
      </w:r>
      <w:r>
        <w:rPr>
          <w:i/>
          <w:iCs/>
          <w:sz w:val="24"/>
          <w:szCs w:val="24"/>
        </w:rPr>
        <w:t>Corporate Ownership and Control</w:t>
      </w:r>
      <w:r>
        <w:rPr>
          <w:sz w:val="24"/>
          <w:szCs w:val="24"/>
        </w:rPr>
        <w:t>, 19(1, special issue), pp.314–326. doi:</w:t>
      </w:r>
      <w:hyperlink r:id="rId13">
        <w:r w:rsidR="00FD737D">
          <w:rPr>
            <w:color w:val="1155CC"/>
            <w:sz w:val="24"/>
            <w:szCs w:val="24"/>
            <w:u w:val="single"/>
          </w:rPr>
          <w:t>https://doi.org/10.22495/cocv19i1siart8</w:t>
        </w:r>
      </w:hyperlink>
      <w:r>
        <w:rPr>
          <w:sz w:val="24"/>
          <w:szCs w:val="24"/>
        </w:rPr>
        <w:t xml:space="preserve">. </w:t>
      </w:r>
    </w:p>
    <w:p w14:paraId="21CEFF98" w14:textId="77777777" w:rsidR="00FD737D" w:rsidRDefault="0023408D">
      <w:pPr>
        <w:spacing w:after="240" w:line="360" w:lineRule="auto"/>
        <w:jc w:val="both"/>
        <w:rPr>
          <w:sz w:val="24"/>
          <w:szCs w:val="24"/>
        </w:rPr>
      </w:pPr>
      <w:r>
        <w:rPr>
          <w:sz w:val="24"/>
          <w:szCs w:val="24"/>
        </w:rPr>
        <w:t xml:space="preserve">EBSCO (2024). </w:t>
      </w:r>
      <w:r>
        <w:rPr>
          <w:i/>
          <w:iCs/>
          <w:sz w:val="24"/>
          <w:szCs w:val="24"/>
        </w:rPr>
        <w:t>Investment Appraisal | EBSCO</w:t>
      </w:r>
      <w:r>
        <w:rPr>
          <w:sz w:val="24"/>
          <w:szCs w:val="24"/>
        </w:rPr>
        <w:t xml:space="preserve">. [online] EBSCO Information Services, Inc. | www.ebsco.com. Available at: </w:t>
      </w:r>
      <w:hyperlink r:id="rId14">
        <w:r w:rsidR="00FD737D">
          <w:rPr>
            <w:color w:val="1155CC"/>
            <w:sz w:val="24"/>
            <w:szCs w:val="24"/>
            <w:u w:val="single"/>
          </w:rPr>
          <w:t>https://www.ebsco.com/research-starters/business-and-management/investment-appraisal</w:t>
        </w:r>
      </w:hyperlink>
      <w:r>
        <w:rPr>
          <w:sz w:val="24"/>
          <w:szCs w:val="24"/>
        </w:rPr>
        <w:t xml:space="preserve"> [Accessed 8 July 2026].</w:t>
      </w:r>
    </w:p>
    <w:p w14:paraId="1D301D8C" w14:textId="77777777" w:rsidR="00FD737D" w:rsidRDefault="0023408D">
      <w:pPr>
        <w:spacing w:after="240" w:line="360" w:lineRule="auto"/>
        <w:jc w:val="both"/>
        <w:rPr>
          <w:sz w:val="24"/>
          <w:szCs w:val="24"/>
        </w:rPr>
      </w:pPr>
      <w:r>
        <w:rPr>
          <w:sz w:val="24"/>
          <w:szCs w:val="24"/>
        </w:rPr>
        <w:t xml:space="preserve">Edmans, A., Fang, V.W. and Huang, A.H. (2022). The long‐term consequences of short‐term incentives. </w:t>
      </w:r>
      <w:r>
        <w:rPr>
          <w:i/>
          <w:iCs/>
          <w:sz w:val="24"/>
          <w:szCs w:val="24"/>
        </w:rPr>
        <w:t>Journal of Accounting Research</w:t>
      </w:r>
      <w:r>
        <w:rPr>
          <w:sz w:val="24"/>
          <w:szCs w:val="24"/>
        </w:rPr>
        <w:t>, 60(3), pp.1007–1046. doi:</w:t>
      </w:r>
      <w:hyperlink r:id="rId15">
        <w:r w:rsidR="00FD737D">
          <w:rPr>
            <w:color w:val="1155CC"/>
            <w:sz w:val="24"/>
            <w:szCs w:val="24"/>
            <w:u w:val="single"/>
          </w:rPr>
          <w:t>https://doi.org/10.1111/1475-679X.12410</w:t>
        </w:r>
      </w:hyperlink>
      <w:r>
        <w:rPr>
          <w:sz w:val="24"/>
          <w:szCs w:val="24"/>
        </w:rPr>
        <w:t xml:space="preserve">. </w:t>
      </w:r>
    </w:p>
    <w:p w14:paraId="59EA4798" w14:textId="77777777" w:rsidR="00FD737D" w:rsidRDefault="0023408D">
      <w:pPr>
        <w:spacing w:after="240" w:line="360" w:lineRule="auto"/>
        <w:jc w:val="both"/>
        <w:rPr>
          <w:sz w:val="24"/>
          <w:szCs w:val="24"/>
        </w:rPr>
      </w:pPr>
      <w:r>
        <w:rPr>
          <w:sz w:val="24"/>
          <w:szCs w:val="24"/>
        </w:rPr>
        <w:t xml:space="preserve">Friewald, N., Nagler, F. and Wagner, C. (2022). Debt Refinancing and Equity Returns. </w:t>
      </w:r>
      <w:r>
        <w:rPr>
          <w:i/>
          <w:iCs/>
          <w:sz w:val="24"/>
          <w:szCs w:val="24"/>
        </w:rPr>
        <w:t>The Journal of Finance</w:t>
      </w:r>
      <w:r>
        <w:rPr>
          <w:sz w:val="24"/>
          <w:szCs w:val="24"/>
        </w:rPr>
        <w:t>, 77(4). doi:</w:t>
      </w:r>
      <w:hyperlink r:id="rId16">
        <w:r w:rsidR="00FD737D">
          <w:rPr>
            <w:color w:val="1155CC"/>
            <w:sz w:val="24"/>
            <w:szCs w:val="24"/>
            <w:u w:val="single"/>
          </w:rPr>
          <w:t>https://doi.org/10.1111/jofi.13162</w:t>
        </w:r>
      </w:hyperlink>
      <w:r>
        <w:rPr>
          <w:sz w:val="24"/>
          <w:szCs w:val="24"/>
        </w:rPr>
        <w:t xml:space="preserve">. </w:t>
      </w:r>
    </w:p>
    <w:p w14:paraId="0BC973DB" w14:textId="77777777" w:rsidR="00FD737D" w:rsidRDefault="0023408D">
      <w:pPr>
        <w:spacing w:after="240" w:line="360" w:lineRule="auto"/>
        <w:jc w:val="both"/>
        <w:rPr>
          <w:sz w:val="24"/>
          <w:szCs w:val="24"/>
        </w:rPr>
      </w:pPr>
      <w:r>
        <w:rPr>
          <w:sz w:val="24"/>
          <w:szCs w:val="24"/>
        </w:rPr>
        <w:lastRenderedPageBreak/>
        <w:t xml:space="preserve">Gonçalves, T.C., Dias, J. and Barros, V. (2022). Sustainability Performance and the Cost of Capital. </w:t>
      </w:r>
      <w:r>
        <w:rPr>
          <w:i/>
          <w:iCs/>
          <w:sz w:val="24"/>
          <w:szCs w:val="24"/>
        </w:rPr>
        <w:t>International Journal of Financial Studies</w:t>
      </w:r>
      <w:r>
        <w:rPr>
          <w:sz w:val="24"/>
          <w:szCs w:val="24"/>
        </w:rPr>
        <w:t xml:space="preserve">, [online] 10(3), p.63. doi:10.3390/ijfs10030063. </w:t>
      </w:r>
    </w:p>
    <w:p w14:paraId="4A6E3FAC" w14:textId="46A41350" w:rsidR="00FD737D" w:rsidRDefault="0023408D">
      <w:pPr>
        <w:spacing w:after="240" w:line="360" w:lineRule="auto"/>
        <w:jc w:val="both"/>
        <w:rPr>
          <w:sz w:val="24"/>
          <w:szCs w:val="24"/>
        </w:rPr>
      </w:pPr>
      <w:r>
        <w:rPr>
          <w:sz w:val="24"/>
          <w:szCs w:val="24"/>
        </w:rPr>
        <w:t>Hollander, J. (202</w:t>
      </w:r>
      <w:r w:rsidR="00FF28E3">
        <w:rPr>
          <w:sz w:val="24"/>
          <w:szCs w:val="24"/>
        </w:rPr>
        <w:t>2</w:t>
      </w:r>
      <w:r>
        <w:rPr>
          <w:sz w:val="24"/>
          <w:szCs w:val="24"/>
        </w:rPr>
        <w:t xml:space="preserve">). </w:t>
      </w:r>
      <w:r>
        <w:rPr>
          <w:i/>
          <w:iCs/>
          <w:sz w:val="24"/>
          <w:szCs w:val="24"/>
        </w:rPr>
        <w:t>Hotel Brands &amp; Chains: Marriott, Hyatt, Hilton, IHG (Who Owns What?)</w:t>
      </w:r>
      <w:r>
        <w:rPr>
          <w:sz w:val="24"/>
          <w:szCs w:val="24"/>
        </w:rPr>
        <w:t xml:space="preserve">. [online] Hotel Tech Report. Available at: </w:t>
      </w:r>
      <w:hyperlink r:id="rId17">
        <w:r w:rsidR="00FD737D">
          <w:rPr>
            <w:color w:val="1155CC"/>
            <w:sz w:val="24"/>
            <w:szCs w:val="24"/>
            <w:u w:val="single"/>
          </w:rPr>
          <w:t>https://hoteltechreport.com/news/hotel-brand-guide</w:t>
        </w:r>
      </w:hyperlink>
      <w:r>
        <w:rPr>
          <w:sz w:val="24"/>
          <w:szCs w:val="24"/>
        </w:rPr>
        <w:t xml:space="preserve"> [Accessed 8 July 2026].</w:t>
      </w:r>
    </w:p>
    <w:p w14:paraId="028D7C49" w14:textId="77777777" w:rsidR="00FD737D" w:rsidRDefault="0023408D">
      <w:pPr>
        <w:spacing w:after="240" w:line="360" w:lineRule="auto"/>
        <w:jc w:val="both"/>
        <w:rPr>
          <w:sz w:val="24"/>
          <w:szCs w:val="24"/>
        </w:rPr>
      </w:pPr>
      <w:r>
        <w:rPr>
          <w:sz w:val="24"/>
          <w:szCs w:val="24"/>
        </w:rPr>
        <w:t xml:space="preserve">Host Hotels &amp; Resorts Annual Report (2025). </w:t>
      </w:r>
      <w:r>
        <w:rPr>
          <w:i/>
          <w:iCs/>
          <w:sz w:val="24"/>
          <w:szCs w:val="24"/>
        </w:rPr>
        <w:t>HOST HOTELS &amp; RESORTS. 2025 ANNUAL REPORT</w:t>
      </w:r>
      <w:r>
        <w:rPr>
          <w:sz w:val="24"/>
          <w:szCs w:val="24"/>
        </w:rPr>
        <w:t xml:space="preserve">. [online] Available at: </w:t>
      </w:r>
      <w:hyperlink r:id="rId18">
        <w:r w:rsidR="00FD737D">
          <w:rPr>
            <w:color w:val="1155CC"/>
            <w:sz w:val="24"/>
            <w:szCs w:val="24"/>
            <w:u w:val="single"/>
          </w:rPr>
          <w:t>https://ir.hosthotels.com/static-files/a563e313-2c60-438d-a030-9daaa1d82b6d</w:t>
        </w:r>
      </w:hyperlink>
      <w:r>
        <w:rPr>
          <w:sz w:val="24"/>
          <w:szCs w:val="24"/>
        </w:rPr>
        <w:t xml:space="preserve"> [Accessed 7 July 2026].</w:t>
      </w:r>
    </w:p>
    <w:p w14:paraId="08E5A4FC" w14:textId="77777777" w:rsidR="00FD737D" w:rsidRDefault="0023408D">
      <w:pPr>
        <w:spacing w:after="240" w:line="360" w:lineRule="auto"/>
        <w:jc w:val="both"/>
        <w:rPr>
          <w:sz w:val="24"/>
          <w:szCs w:val="24"/>
        </w:rPr>
      </w:pPr>
      <w:r>
        <w:rPr>
          <w:sz w:val="24"/>
          <w:szCs w:val="24"/>
        </w:rPr>
        <w:t xml:space="preserve">Kazmi, S.A.R. (2026). Impact of AI-Driven Revenue Management Systems on the Financial Performance in Hospitality Industry? A Systematic Literature Review. [online] Available at: </w:t>
      </w:r>
      <w:hyperlink r:id="rId19">
        <w:r w:rsidR="00FD737D">
          <w:rPr>
            <w:color w:val="1155CC"/>
            <w:sz w:val="24"/>
            <w:szCs w:val="24"/>
            <w:u w:val="single"/>
          </w:rPr>
          <w:t>https://papers.ssrn.com/sol3/papers.cfm?abstract_id=5998494</w:t>
        </w:r>
      </w:hyperlink>
      <w:r>
        <w:rPr>
          <w:sz w:val="24"/>
          <w:szCs w:val="24"/>
        </w:rPr>
        <w:t xml:space="preserve">. </w:t>
      </w:r>
    </w:p>
    <w:p w14:paraId="6CF70E52" w14:textId="77777777" w:rsidR="00FD737D" w:rsidRDefault="0023408D">
      <w:pPr>
        <w:spacing w:after="240" w:line="360" w:lineRule="auto"/>
        <w:jc w:val="both"/>
        <w:rPr>
          <w:sz w:val="24"/>
          <w:szCs w:val="24"/>
        </w:rPr>
      </w:pPr>
      <w:r>
        <w:rPr>
          <w:sz w:val="24"/>
          <w:szCs w:val="24"/>
        </w:rPr>
        <w:t xml:space="preserve">Khalil, N., Che Abdullah, S.N., Haron, S.N. and Hamid, M.Y. (2022). A review of green practices and initiatives from stakeholder’s perspectives towards sustainable hotel operations and performance impact. </w:t>
      </w:r>
      <w:r>
        <w:rPr>
          <w:i/>
          <w:iCs/>
          <w:sz w:val="24"/>
          <w:szCs w:val="24"/>
        </w:rPr>
        <w:t>Journal of Facilities Management</w:t>
      </w:r>
      <w:r>
        <w:rPr>
          <w:sz w:val="24"/>
          <w:szCs w:val="24"/>
        </w:rPr>
        <w:t>, 22(4). doi:</w:t>
      </w:r>
      <w:hyperlink r:id="rId20">
        <w:r w:rsidR="00FD737D">
          <w:rPr>
            <w:color w:val="1155CC"/>
            <w:sz w:val="24"/>
            <w:szCs w:val="24"/>
            <w:u w:val="single"/>
          </w:rPr>
          <w:t>https://doi.org/10.1108/JFM-03-2022-0025</w:t>
        </w:r>
      </w:hyperlink>
      <w:r>
        <w:rPr>
          <w:sz w:val="24"/>
          <w:szCs w:val="24"/>
        </w:rPr>
        <w:t xml:space="preserve">. </w:t>
      </w:r>
    </w:p>
    <w:p w14:paraId="5CED4827" w14:textId="77777777" w:rsidR="00FD737D" w:rsidRDefault="0023408D">
      <w:pPr>
        <w:spacing w:after="240" w:line="360" w:lineRule="auto"/>
        <w:jc w:val="both"/>
        <w:rPr>
          <w:sz w:val="24"/>
          <w:szCs w:val="24"/>
        </w:rPr>
      </w:pPr>
      <w:r>
        <w:rPr>
          <w:sz w:val="24"/>
          <w:szCs w:val="24"/>
        </w:rPr>
        <w:t xml:space="preserve">Lulaj, E. and Mínguez-Vera, A. (2024). Cash Flow Dynamics: Amplifying Swing Models in a Volatile Economic Climate for Financial Resilience and Outcomes. </w:t>
      </w:r>
      <w:r>
        <w:rPr>
          <w:i/>
          <w:iCs/>
          <w:sz w:val="24"/>
          <w:szCs w:val="24"/>
        </w:rPr>
        <w:t>Scientific Annals of Economics and Business</w:t>
      </w:r>
      <w:r>
        <w:rPr>
          <w:sz w:val="24"/>
          <w:szCs w:val="24"/>
        </w:rPr>
        <w:t xml:space="preserve">, [online] 71(3), pp.315–336. Available at: </w:t>
      </w:r>
      <w:hyperlink r:id="rId21">
        <w:r w:rsidR="00FD737D">
          <w:rPr>
            <w:color w:val="1155CC"/>
            <w:sz w:val="24"/>
            <w:szCs w:val="24"/>
            <w:u w:val="single"/>
          </w:rPr>
          <w:t>https://www.ceeol.com/search/article-detail?id=1281812</w:t>
        </w:r>
      </w:hyperlink>
      <w:r>
        <w:rPr>
          <w:sz w:val="24"/>
          <w:szCs w:val="24"/>
        </w:rPr>
        <w:t xml:space="preserve">. </w:t>
      </w:r>
    </w:p>
    <w:p w14:paraId="15F5F223" w14:textId="77777777" w:rsidR="00FD737D" w:rsidRDefault="0023408D">
      <w:pPr>
        <w:spacing w:after="240" w:line="360" w:lineRule="auto"/>
        <w:jc w:val="both"/>
        <w:rPr>
          <w:sz w:val="24"/>
          <w:szCs w:val="24"/>
        </w:rPr>
      </w:pPr>
      <w:r>
        <w:rPr>
          <w:sz w:val="24"/>
          <w:szCs w:val="24"/>
        </w:rPr>
        <w:t xml:space="preserve">Luther, D. (2022). </w:t>
      </w:r>
      <w:r>
        <w:rPr>
          <w:i/>
          <w:iCs/>
          <w:sz w:val="24"/>
          <w:szCs w:val="24"/>
        </w:rPr>
        <w:t>Top Efficiency Ratios: Operational, Asset, Inventory and More</w:t>
      </w:r>
      <w:r>
        <w:rPr>
          <w:sz w:val="24"/>
          <w:szCs w:val="24"/>
        </w:rPr>
        <w:t xml:space="preserve">. [online] Oracle NetSuite. Available at: </w:t>
      </w:r>
      <w:hyperlink r:id="rId22">
        <w:r w:rsidR="00FD737D">
          <w:rPr>
            <w:color w:val="1155CC"/>
            <w:sz w:val="24"/>
            <w:szCs w:val="24"/>
            <w:u w:val="single"/>
          </w:rPr>
          <w:t>https://www.netsuite.com/portal/resource/articles/accounting/efficiency-ratios.shtml</w:t>
        </w:r>
      </w:hyperlink>
      <w:r>
        <w:rPr>
          <w:sz w:val="24"/>
          <w:szCs w:val="24"/>
        </w:rPr>
        <w:t xml:space="preserve"> [Accessed 7 July 2026].</w:t>
      </w:r>
    </w:p>
    <w:p w14:paraId="1756E6C2" w14:textId="77777777" w:rsidR="00FD737D" w:rsidRDefault="0023408D">
      <w:pPr>
        <w:spacing w:after="240" w:line="360" w:lineRule="auto"/>
        <w:jc w:val="both"/>
        <w:rPr>
          <w:sz w:val="24"/>
          <w:szCs w:val="24"/>
        </w:rPr>
      </w:pPr>
      <w:r>
        <w:rPr>
          <w:sz w:val="24"/>
          <w:szCs w:val="24"/>
        </w:rPr>
        <w:t xml:space="preserve">Nabernegg, M., Lange, S. and Kopp, T. (2024). Inflation in Germany: Energy Prices, Profit Shares, and Market Power in Different Sectors. </w:t>
      </w:r>
      <w:r>
        <w:rPr>
          <w:i/>
          <w:iCs/>
          <w:sz w:val="24"/>
          <w:szCs w:val="24"/>
        </w:rPr>
        <w:t>International Journal of Political Economy</w:t>
      </w:r>
      <w:r>
        <w:rPr>
          <w:sz w:val="24"/>
          <w:szCs w:val="24"/>
        </w:rPr>
        <w:t>, 53(4), pp.342–363. doi:</w:t>
      </w:r>
      <w:hyperlink r:id="rId23">
        <w:r w:rsidR="00FD737D">
          <w:rPr>
            <w:color w:val="1155CC"/>
            <w:sz w:val="24"/>
            <w:szCs w:val="24"/>
            <w:u w:val="single"/>
          </w:rPr>
          <w:t>https://doi.org/10.1080/08911916.2024.2429312</w:t>
        </w:r>
      </w:hyperlink>
      <w:r>
        <w:rPr>
          <w:sz w:val="24"/>
          <w:szCs w:val="24"/>
        </w:rPr>
        <w:t xml:space="preserve">. </w:t>
      </w:r>
    </w:p>
    <w:p w14:paraId="7BDF633C" w14:textId="77777777" w:rsidR="00FD737D" w:rsidRDefault="0023408D">
      <w:pPr>
        <w:spacing w:after="240" w:line="360" w:lineRule="auto"/>
        <w:jc w:val="both"/>
        <w:rPr>
          <w:sz w:val="24"/>
          <w:szCs w:val="24"/>
        </w:rPr>
      </w:pPr>
      <w:r>
        <w:rPr>
          <w:sz w:val="24"/>
          <w:szCs w:val="24"/>
        </w:rPr>
        <w:lastRenderedPageBreak/>
        <w:t xml:space="preserve">Obi, P. and Ogbeide, G.-C. (2022). The Mediating Effects of Implied Volatility and Exchange Rate on the U.S. Tourism-Growth Nexus. </w:t>
      </w:r>
      <w:r>
        <w:rPr>
          <w:i/>
          <w:iCs/>
          <w:sz w:val="24"/>
          <w:szCs w:val="24"/>
        </w:rPr>
        <w:t>Journal of Risk and Financial Management</w:t>
      </w:r>
      <w:r>
        <w:rPr>
          <w:sz w:val="24"/>
          <w:szCs w:val="24"/>
        </w:rPr>
        <w:t xml:space="preserve">, [online] 15(3), p.112. Available at: </w:t>
      </w:r>
      <w:hyperlink r:id="rId24">
        <w:r w:rsidR="00FD737D">
          <w:rPr>
            <w:color w:val="1155CC"/>
            <w:sz w:val="24"/>
            <w:szCs w:val="24"/>
            <w:u w:val="single"/>
          </w:rPr>
          <w:t>https://www.mdpi.com/1911-8074/15/3/112</w:t>
        </w:r>
      </w:hyperlink>
      <w:r>
        <w:rPr>
          <w:sz w:val="24"/>
          <w:szCs w:val="24"/>
        </w:rPr>
        <w:t xml:space="preserve">. </w:t>
      </w:r>
    </w:p>
    <w:p w14:paraId="43EEEEEE" w14:textId="0813CFD4" w:rsidR="00FD737D" w:rsidRDefault="0023408D">
      <w:pPr>
        <w:spacing w:after="240" w:line="360" w:lineRule="auto"/>
        <w:jc w:val="both"/>
        <w:rPr>
          <w:sz w:val="24"/>
          <w:szCs w:val="24"/>
        </w:rPr>
      </w:pPr>
      <w:r w:rsidRPr="00FF28E3">
        <w:rPr>
          <w:sz w:val="24"/>
          <w:szCs w:val="24"/>
          <w:lang w:val="it-IT"/>
        </w:rPr>
        <w:t xml:space="preserve">Rego, L., Brady, M., Leone, R., Roberts, J., Srivastava, C. and Srivastava, R. (2021). </w:t>
      </w:r>
      <w:r>
        <w:rPr>
          <w:sz w:val="24"/>
          <w:szCs w:val="24"/>
        </w:rPr>
        <w:t xml:space="preserve">Brand Response To Environmental </w:t>
      </w:r>
      <w:r w:rsidR="000B0ED8">
        <w:rPr>
          <w:sz w:val="24"/>
          <w:szCs w:val="24"/>
        </w:rPr>
        <w:t>Turbulence: A</w:t>
      </w:r>
      <w:r>
        <w:rPr>
          <w:sz w:val="24"/>
          <w:szCs w:val="24"/>
        </w:rPr>
        <w:t xml:space="preserve"> Framework And Propositions For Resistance, Recovery And Reinvention. </w:t>
      </w:r>
      <w:r>
        <w:rPr>
          <w:i/>
          <w:iCs/>
          <w:sz w:val="24"/>
          <w:szCs w:val="24"/>
        </w:rPr>
        <w:t>International Journal of Research in Marketing</w:t>
      </w:r>
      <w:r>
        <w:rPr>
          <w:sz w:val="24"/>
          <w:szCs w:val="24"/>
        </w:rPr>
        <w:t>, 39(2). doi:</w:t>
      </w:r>
      <w:hyperlink r:id="rId25">
        <w:r w:rsidR="00FD737D">
          <w:rPr>
            <w:color w:val="1155CC"/>
            <w:sz w:val="24"/>
            <w:szCs w:val="24"/>
            <w:u w:val="single"/>
          </w:rPr>
          <w:t>https://doi.org/10.1016/j.ijresmar.2021.10.006</w:t>
        </w:r>
      </w:hyperlink>
      <w:r>
        <w:rPr>
          <w:sz w:val="24"/>
          <w:szCs w:val="24"/>
        </w:rPr>
        <w:t xml:space="preserve">. </w:t>
      </w:r>
    </w:p>
    <w:p w14:paraId="4050FD4C" w14:textId="77777777" w:rsidR="00FD737D" w:rsidRDefault="0023408D">
      <w:pPr>
        <w:spacing w:after="240" w:line="360" w:lineRule="auto"/>
        <w:jc w:val="both"/>
        <w:rPr>
          <w:sz w:val="24"/>
          <w:szCs w:val="24"/>
        </w:rPr>
      </w:pPr>
      <w:r>
        <w:rPr>
          <w:sz w:val="24"/>
          <w:szCs w:val="24"/>
        </w:rPr>
        <w:t xml:space="preserve">Seretidou, D., Billios, D. and Stavropoulos, A. (2025). Integrative Analysis of Traditional and Cash Flow Financial Ratios: Insights from a Systematic Comparative Review. </w:t>
      </w:r>
      <w:r>
        <w:rPr>
          <w:i/>
          <w:iCs/>
          <w:sz w:val="24"/>
          <w:szCs w:val="24"/>
        </w:rPr>
        <w:t>Risks</w:t>
      </w:r>
      <w:r>
        <w:rPr>
          <w:sz w:val="24"/>
          <w:szCs w:val="24"/>
        </w:rPr>
        <w:t>, 13(4), pp.62–62. doi:</w:t>
      </w:r>
      <w:hyperlink r:id="rId26">
        <w:r w:rsidR="00FD737D">
          <w:rPr>
            <w:color w:val="1155CC"/>
            <w:sz w:val="24"/>
            <w:szCs w:val="24"/>
            <w:u w:val="single"/>
          </w:rPr>
          <w:t>https://doi.org/10.3390/risks13040062</w:t>
        </w:r>
      </w:hyperlink>
      <w:r>
        <w:rPr>
          <w:sz w:val="24"/>
          <w:szCs w:val="24"/>
        </w:rPr>
        <w:t xml:space="preserve">. </w:t>
      </w:r>
    </w:p>
    <w:p w14:paraId="7E122878" w14:textId="77777777" w:rsidR="00FD737D" w:rsidRDefault="0023408D">
      <w:pPr>
        <w:spacing w:after="240" w:line="360" w:lineRule="auto"/>
        <w:jc w:val="both"/>
        <w:rPr>
          <w:sz w:val="24"/>
          <w:szCs w:val="24"/>
        </w:rPr>
      </w:pPr>
      <w:r>
        <w:rPr>
          <w:sz w:val="24"/>
          <w:szCs w:val="24"/>
        </w:rPr>
        <w:t xml:space="preserve">Stavropoulos, A.-S. and Zounta, S. (2025). Cash Conversion Cycle and Profitability: Evidence from Greek Service Firms. </w:t>
      </w:r>
      <w:r>
        <w:rPr>
          <w:i/>
          <w:iCs/>
          <w:sz w:val="24"/>
          <w:szCs w:val="24"/>
        </w:rPr>
        <w:t>Journal of Risk and Financial Management</w:t>
      </w:r>
      <w:r>
        <w:rPr>
          <w:sz w:val="24"/>
          <w:szCs w:val="24"/>
        </w:rPr>
        <w:t>, 18(4), p.208. doi:</w:t>
      </w:r>
      <w:hyperlink r:id="rId27">
        <w:r w:rsidR="00FD737D">
          <w:rPr>
            <w:color w:val="1155CC"/>
            <w:sz w:val="24"/>
            <w:szCs w:val="24"/>
            <w:u w:val="single"/>
          </w:rPr>
          <w:t>https://doi.org/10.3390/jrfm18040208</w:t>
        </w:r>
      </w:hyperlink>
      <w:r>
        <w:rPr>
          <w:sz w:val="24"/>
          <w:szCs w:val="24"/>
        </w:rPr>
        <w:t xml:space="preserve">. </w:t>
      </w:r>
    </w:p>
    <w:p w14:paraId="19A777F6" w14:textId="77777777" w:rsidR="00FD737D" w:rsidRDefault="0023408D">
      <w:pPr>
        <w:spacing w:after="240" w:line="360" w:lineRule="auto"/>
        <w:jc w:val="both"/>
        <w:rPr>
          <w:sz w:val="24"/>
          <w:szCs w:val="24"/>
        </w:rPr>
      </w:pPr>
      <w:r w:rsidRPr="00FF28E3">
        <w:rPr>
          <w:sz w:val="24"/>
          <w:szCs w:val="24"/>
          <w:lang w:val="it-IT"/>
        </w:rPr>
        <w:t xml:space="preserve">Talón-Ballestero, P., Nieto-García, M. and González-Serrano, L. (2022). </w:t>
      </w:r>
      <w:r>
        <w:rPr>
          <w:sz w:val="24"/>
          <w:szCs w:val="24"/>
        </w:rPr>
        <w:t xml:space="preserve">The wheel of dynamic pricing: Towards open pricing and one to one pricing in hotel revenue management. </w:t>
      </w:r>
      <w:r>
        <w:rPr>
          <w:i/>
          <w:iCs/>
          <w:sz w:val="24"/>
          <w:szCs w:val="24"/>
        </w:rPr>
        <w:t>International Journal of Hospitality Management</w:t>
      </w:r>
      <w:r>
        <w:rPr>
          <w:sz w:val="24"/>
          <w:szCs w:val="24"/>
        </w:rPr>
        <w:t>, 102, p.103184. doi:</w:t>
      </w:r>
      <w:hyperlink r:id="rId28">
        <w:r w:rsidR="00FD737D">
          <w:rPr>
            <w:color w:val="1155CC"/>
            <w:sz w:val="24"/>
            <w:szCs w:val="24"/>
            <w:u w:val="single"/>
          </w:rPr>
          <w:t>https://doi.org/10.1016/j.ijhm.2022.103184</w:t>
        </w:r>
      </w:hyperlink>
      <w:r>
        <w:rPr>
          <w:sz w:val="24"/>
          <w:szCs w:val="24"/>
        </w:rPr>
        <w:t xml:space="preserve">. </w:t>
      </w:r>
    </w:p>
    <w:p w14:paraId="48B1CF4A" w14:textId="4577A290" w:rsidR="00FF28E3" w:rsidRDefault="0023408D">
      <w:pPr>
        <w:spacing w:after="240" w:line="360" w:lineRule="auto"/>
        <w:jc w:val="both"/>
        <w:rPr>
          <w:sz w:val="24"/>
          <w:szCs w:val="24"/>
        </w:rPr>
      </w:pPr>
      <w:r>
        <w:rPr>
          <w:sz w:val="24"/>
          <w:szCs w:val="24"/>
        </w:rPr>
        <w:t xml:space="preserve">Yahoo Finance (2026). </w:t>
      </w:r>
      <w:r>
        <w:rPr>
          <w:i/>
          <w:iCs/>
          <w:sz w:val="24"/>
          <w:szCs w:val="24"/>
        </w:rPr>
        <w:t>Host Hotels &amp; Resorts, Inc. (HST) Company Profile &amp; Facts - Yahoo Finance</w:t>
      </w:r>
      <w:r>
        <w:rPr>
          <w:sz w:val="24"/>
          <w:szCs w:val="24"/>
        </w:rPr>
        <w:t xml:space="preserve">. [online] Yahoo Finance. Available at: </w:t>
      </w:r>
      <w:hyperlink r:id="rId29">
        <w:r w:rsidR="00FF28E3">
          <w:rPr>
            <w:color w:val="1155CC"/>
            <w:sz w:val="24"/>
            <w:szCs w:val="24"/>
            <w:u w:val="single"/>
          </w:rPr>
          <w:t>https://finance.yahoo.com/quote/hst/profile/</w:t>
        </w:r>
      </w:hyperlink>
      <w:r>
        <w:rPr>
          <w:sz w:val="24"/>
          <w:szCs w:val="24"/>
        </w:rPr>
        <w:t xml:space="preserve"> [Accessed 7 July 2026].</w:t>
      </w:r>
    </w:p>
    <w:p w14:paraId="19A43738" w14:textId="77777777" w:rsidR="00FF28E3" w:rsidRDefault="00FF28E3">
      <w:pPr>
        <w:rPr>
          <w:sz w:val="24"/>
          <w:szCs w:val="24"/>
        </w:rPr>
      </w:pPr>
      <w:r>
        <w:rPr>
          <w:sz w:val="24"/>
          <w:szCs w:val="24"/>
        </w:rPr>
        <w:br w:type="page"/>
      </w:r>
    </w:p>
    <w:p w14:paraId="1AE7B0D5" w14:textId="6221CDE8" w:rsidR="00FD737D" w:rsidRDefault="00FF28E3" w:rsidP="00FF28E3">
      <w:pPr>
        <w:pStyle w:val="Heading1"/>
      </w:pPr>
      <w:bookmarkStart w:id="64" w:name="_Toc234367497"/>
      <w:r>
        <w:lastRenderedPageBreak/>
        <w:t>Appendix</w:t>
      </w:r>
      <w:bookmarkEnd w:id="64"/>
    </w:p>
    <w:p w14:paraId="71333795" w14:textId="77777777" w:rsidR="00FF28E3" w:rsidRDefault="00FF28E3" w:rsidP="00FF28E3">
      <w:pPr>
        <w:pStyle w:val="Heading2"/>
      </w:pPr>
      <w:bookmarkStart w:id="65" w:name="_Toc234350275"/>
      <w:bookmarkStart w:id="66" w:name="_Toc234367498"/>
      <w:r w:rsidRPr="000F614D">
        <w:t>a. Ratio tables and graphs</w:t>
      </w:r>
      <w:bookmarkEnd w:id="65"/>
      <w:bookmarkEnd w:id="66"/>
    </w:p>
    <w:p w14:paraId="647ED4C0" w14:textId="71B539C1" w:rsidR="00FF28E3" w:rsidRPr="00FF28E3" w:rsidRDefault="00FF28E3">
      <w:pPr>
        <w:spacing w:after="240" w:line="360" w:lineRule="auto"/>
        <w:jc w:val="both"/>
        <w:rPr>
          <w:b/>
          <w:bCs/>
          <w:i/>
          <w:iCs/>
          <w:sz w:val="24"/>
          <w:szCs w:val="24"/>
        </w:rPr>
      </w:pPr>
      <w:r w:rsidRPr="00FF28E3">
        <w:rPr>
          <w:b/>
          <w:bCs/>
          <w:i/>
          <w:iCs/>
          <w:sz w:val="24"/>
          <w:szCs w:val="24"/>
        </w:rPr>
        <w:t>Ratio tables</w:t>
      </w:r>
    </w:p>
    <w:tbl>
      <w:tblPr>
        <w:tblW w:w="5000" w:type="pct"/>
        <w:tblLook w:val="04A0" w:firstRow="1" w:lastRow="0" w:firstColumn="1" w:lastColumn="0" w:noHBand="0" w:noVBand="1"/>
      </w:tblPr>
      <w:tblGrid>
        <w:gridCol w:w="3585"/>
        <w:gridCol w:w="759"/>
        <w:gridCol w:w="984"/>
        <w:gridCol w:w="767"/>
        <w:gridCol w:w="984"/>
        <w:gridCol w:w="984"/>
        <w:gridCol w:w="1182"/>
      </w:tblGrid>
      <w:tr w:rsidR="00FF28E3" w:rsidRPr="00FF28E3" w14:paraId="585A4044" w14:textId="77777777" w:rsidTr="00FF28E3">
        <w:trPr>
          <w:trHeight w:val="645"/>
        </w:trPr>
        <w:tc>
          <w:tcPr>
            <w:tcW w:w="5000" w:type="pct"/>
            <w:gridSpan w:val="7"/>
            <w:tcBorders>
              <w:top w:val="single" w:sz="4" w:space="0" w:color="0000FF"/>
              <w:left w:val="single" w:sz="4" w:space="0" w:color="0000FF"/>
              <w:bottom w:val="nil"/>
              <w:right w:val="single" w:sz="4" w:space="0" w:color="0000FF"/>
            </w:tcBorders>
            <w:noWrap/>
            <w:vAlign w:val="center"/>
            <w:hideMark/>
          </w:tcPr>
          <w:p w14:paraId="68C13D51" w14:textId="77777777" w:rsidR="00FF28E3" w:rsidRPr="00FF28E3" w:rsidRDefault="00FF28E3" w:rsidP="00FF28E3">
            <w:pPr>
              <w:spacing w:line="240" w:lineRule="auto"/>
              <w:jc w:val="center"/>
              <w:rPr>
                <w:rFonts w:eastAsia="Times New Roman"/>
                <w:b/>
                <w:bCs/>
                <w:color w:val="000000"/>
                <w:sz w:val="20"/>
                <w:szCs w:val="20"/>
                <w:lang w:val="en-IN"/>
              </w:rPr>
            </w:pPr>
            <w:r w:rsidRPr="00FF28E3">
              <w:rPr>
                <w:rFonts w:eastAsia="Times New Roman"/>
                <w:b/>
                <w:bCs/>
                <w:color w:val="000000"/>
                <w:sz w:val="20"/>
                <w:szCs w:val="20"/>
                <w:lang w:val="en-IN"/>
              </w:rPr>
              <w:t>Ratio Analysis for Host Hotels &amp; Resorts Inc</w:t>
            </w:r>
          </w:p>
        </w:tc>
      </w:tr>
      <w:tr w:rsidR="00FF28E3" w:rsidRPr="00FF28E3" w14:paraId="1E95B11D" w14:textId="77777777" w:rsidTr="00FF28E3">
        <w:trPr>
          <w:trHeight w:val="372"/>
        </w:trPr>
        <w:tc>
          <w:tcPr>
            <w:tcW w:w="1391" w:type="pct"/>
            <w:tcBorders>
              <w:top w:val="single" w:sz="4" w:space="0" w:color="FFFFFF"/>
              <w:left w:val="single" w:sz="4" w:space="0" w:color="FFFFFF"/>
              <w:bottom w:val="single" w:sz="4" w:space="0" w:color="FFFFFF"/>
              <w:right w:val="single" w:sz="4" w:space="0" w:color="FFFFFF"/>
            </w:tcBorders>
            <w:shd w:val="clear" w:color="274E13" w:fill="274E13"/>
            <w:noWrap/>
            <w:vAlign w:val="center"/>
            <w:hideMark/>
          </w:tcPr>
          <w:p w14:paraId="19604380"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Particulars</w:t>
            </w:r>
          </w:p>
        </w:tc>
        <w:tc>
          <w:tcPr>
            <w:tcW w:w="530" w:type="pct"/>
            <w:tcBorders>
              <w:top w:val="single" w:sz="4" w:space="0" w:color="FFFFFF"/>
              <w:left w:val="nil"/>
              <w:bottom w:val="single" w:sz="4" w:space="0" w:color="FFFFFF"/>
              <w:right w:val="single" w:sz="4" w:space="0" w:color="FFFFFF"/>
            </w:tcBorders>
            <w:shd w:val="clear" w:color="274E13" w:fill="274E13"/>
            <w:noWrap/>
            <w:vAlign w:val="center"/>
            <w:hideMark/>
          </w:tcPr>
          <w:p w14:paraId="1D0A5454"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2021</w:t>
            </w:r>
          </w:p>
        </w:tc>
        <w:tc>
          <w:tcPr>
            <w:tcW w:w="530" w:type="pct"/>
            <w:tcBorders>
              <w:top w:val="single" w:sz="4" w:space="0" w:color="FFFFFF"/>
              <w:left w:val="nil"/>
              <w:bottom w:val="single" w:sz="4" w:space="0" w:color="FFFFFF"/>
              <w:right w:val="single" w:sz="4" w:space="0" w:color="FFFFFF"/>
            </w:tcBorders>
            <w:shd w:val="clear" w:color="274E13" w:fill="274E13"/>
            <w:noWrap/>
            <w:vAlign w:val="center"/>
            <w:hideMark/>
          </w:tcPr>
          <w:p w14:paraId="3051D14A"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2022</w:t>
            </w:r>
          </w:p>
        </w:tc>
        <w:tc>
          <w:tcPr>
            <w:tcW w:w="530" w:type="pct"/>
            <w:tcBorders>
              <w:top w:val="single" w:sz="4" w:space="0" w:color="FFFFFF"/>
              <w:left w:val="nil"/>
              <w:bottom w:val="single" w:sz="4" w:space="0" w:color="FFFFFF"/>
              <w:right w:val="single" w:sz="4" w:space="0" w:color="FFFFFF"/>
            </w:tcBorders>
            <w:shd w:val="clear" w:color="274E13" w:fill="274E13"/>
            <w:noWrap/>
            <w:vAlign w:val="center"/>
            <w:hideMark/>
          </w:tcPr>
          <w:p w14:paraId="4DD6D541"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2023</w:t>
            </w:r>
          </w:p>
        </w:tc>
        <w:tc>
          <w:tcPr>
            <w:tcW w:w="530" w:type="pct"/>
            <w:tcBorders>
              <w:top w:val="single" w:sz="4" w:space="0" w:color="FFFFFF"/>
              <w:left w:val="nil"/>
              <w:bottom w:val="single" w:sz="4" w:space="0" w:color="FFFFFF"/>
              <w:right w:val="single" w:sz="4" w:space="0" w:color="FFFFFF"/>
            </w:tcBorders>
            <w:shd w:val="clear" w:color="274E13" w:fill="274E13"/>
            <w:noWrap/>
            <w:vAlign w:val="center"/>
            <w:hideMark/>
          </w:tcPr>
          <w:p w14:paraId="45C0027E"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2024</w:t>
            </w:r>
          </w:p>
        </w:tc>
        <w:tc>
          <w:tcPr>
            <w:tcW w:w="542" w:type="pct"/>
            <w:tcBorders>
              <w:top w:val="single" w:sz="4" w:space="0" w:color="FFFFFF"/>
              <w:left w:val="nil"/>
              <w:bottom w:val="single" w:sz="4" w:space="0" w:color="FFFFFF"/>
              <w:right w:val="single" w:sz="4" w:space="0" w:color="FFFFFF"/>
            </w:tcBorders>
            <w:shd w:val="clear" w:color="274E13" w:fill="274E13"/>
            <w:noWrap/>
            <w:vAlign w:val="center"/>
            <w:hideMark/>
          </w:tcPr>
          <w:p w14:paraId="722C7A7B"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2025</w:t>
            </w:r>
          </w:p>
        </w:tc>
        <w:tc>
          <w:tcPr>
            <w:tcW w:w="947" w:type="pct"/>
            <w:tcBorders>
              <w:top w:val="single" w:sz="4" w:space="0" w:color="FFFFFF"/>
              <w:left w:val="nil"/>
              <w:bottom w:val="single" w:sz="4" w:space="0" w:color="FFFFFF"/>
              <w:right w:val="single" w:sz="4" w:space="0" w:color="FFFFFF"/>
            </w:tcBorders>
            <w:shd w:val="clear" w:color="274E13" w:fill="274E13"/>
            <w:noWrap/>
            <w:vAlign w:val="center"/>
            <w:hideMark/>
          </w:tcPr>
          <w:p w14:paraId="2F63B14D" w14:textId="77777777" w:rsidR="00FF28E3" w:rsidRPr="00FF28E3" w:rsidRDefault="00FF28E3" w:rsidP="00FF28E3">
            <w:pPr>
              <w:spacing w:line="240" w:lineRule="auto"/>
              <w:jc w:val="center"/>
              <w:rPr>
                <w:rFonts w:eastAsia="Times New Roman"/>
                <w:b/>
                <w:bCs/>
                <w:color w:val="FFFFFF"/>
                <w:sz w:val="20"/>
                <w:szCs w:val="20"/>
                <w:lang w:val="en-IN"/>
              </w:rPr>
            </w:pPr>
            <w:r w:rsidRPr="00FF28E3">
              <w:rPr>
                <w:rFonts w:eastAsia="Times New Roman"/>
                <w:b/>
                <w:bCs/>
                <w:color w:val="FFFFFF"/>
                <w:sz w:val="20"/>
                <w:szCs w:val="20"/>
                <w:lang w:val="en-IN"/>
              </w:rPr>
              <w:t>Formula</w:t>
            </w:r>
          </w:p>
        </w:tc>
      </w:tr>
      <w:tr w:rsidR="00FF28E3" w:rsidRPr="00FF28E3" w14:paraId="37CEBB3A" w14:textId="77777777" w:rsidTr="00FF28E3">
        <w:trPr>
          <w:trHeight w:val="360"/>
        </w:trPr>
        <w:tc>
          <w:tcPr>
            <w:tcW w:w="1391" w:type="pct"/>
            <w:tcBorders>
              <w:top w:val="nil"/>
              <w:left w:val="single" w:sz="4" w:space="0" w:color="000000"/>
              <w:bottom w:val="single" w:sz="4" w:space="0" w:color="000000"/>
              <w:right w:val="single" w:sz="4" w:space="0" w:color="000000"/>
            </w:tcBorders>
            <w:noWrap/>
            <w:vAlign w:val="center"/>
            <w:hideMark/>
          </w:tcPr>
          <w:p w14:paraId="6FB86CB7" w14:textId="77777777" w:rsidR="00FF28E3" w:rsidRPr="00FF28E3" w:rsidRDefault="00FF28E3" w:rsidP="00FF28E3">
            <w:pPr>
              <w:spacing w:line="240" w:lineRule="auto"/>
              <w:rPr>
                <w:rFonts w:eastAsia="Times New Roman"/>
                <w:b/>
                <w:bCs/>
                <w:i/>
                <w:iCs/>
                <w:color w:val="000000"/>
                <w:sz w:val="20"/>
                <w:szCs w:val="20"/>
                <w:lang w:val="en-IN"/>
              </w:rPr>
            </w:pPr>
            <w:r w:rsidRPr="00FF28E3">
              <w:rPr>
                <w:rFonts w:eastAsia="Times New Roman"/>
                <w:b/>
                <w:bCs/>
                <w:i/>
                <w:iCs/>
                <w:color w:val="000000"/>
                <w:sz w:val="20"/>
                <w:szCs w:val="20"/>
                <w:lang w:val="en-IN"/>
              </w:rPr>
              <w:t>Profitability Ratios</w:t>
            </w:r>
          </w:p>
        </w:tc>
        <w:tc>
          <w:tcPr>
            <w:tcW w:w="530" w:type="pct"/>
            <w:tcBorders>
              <w:top w:val="nil"/>
              <w:left w:val="nil"/>
              <w:bottom w:val="single" w:sz="4" w:space="0" w:color="000000"/>
              <w:right w:val="single" w:sz="4" w:space="0" w:color="000000"/>
            </w:tcBorders>
            <w:noWrap/>
            <w:vAlign w:val="center"/>
            <w:hideMark/>
          </w:tcPr>
          <w:p w14:paraId="112F97C1"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9DD708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F3395D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2908DB1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53C99D74"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78AA496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453E4219"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10F16C93"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Net Profit Margin</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8DF0857" w14:textId="77777777" w:rsidR="00FF28E3" w:rsidRPr="00FF28E3" w:rsidRDefault="00FF28E3" w:rsidP="00FF28E3">
            <w:pPr>
              <w:spacing w:line="240" w:lineRule="auto"/>
              <w:jc w:val="center"/>
              <w:rPr>
                <w:rFonts w:eastAsia="Times New Roman"/>
                <w:i/>
                <w:iCs/>
                <w:color w:val="FF0000"/>
                <w:sz w:val="20"/>
                <w:szCs w:val="20"/>
                <w:lang w:val="en-IN"/>
              </w:rPr>
            </w:pPr>
            <w:r w:rsidRPr="00FF28E3">
              <w:rPr>
                <w:rFonts w:eastAsia="Times New Roman"/>
                <w:i/>
                <w:iCs/>
                <w:color w:val="FF0000"/>
                <w:sz w:val="20"/>
                <w:szCs w:val="20"/>
                <w:lang w:val="en-IN"/>
              </w:rPr>
              <w:t>$11 (Loss) / $1858 * 100 = 0.59%</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F4FA947"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$642 / $3014 * 100 = 21.33%</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E1DE10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$752 / $3244 * 100 = 23.18%</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B4FD53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$707 / $3426 * 100 = 20.64%</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0B4687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$776 / $3608 * 100 = 21.51%</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4178460"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Net Profit / Total Revenue * 100</w:t>
            </w:r>
          </w:p>
        </w:tc>
      </w:tr>
      <w:tr w:rsidR="00FF28E3" w:rsidRPr="00FF28E3" w14:paraId="71CF73EE"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07A903A"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Net Profit</w:t>
            </w:r>
          </w:p>
        </w:tc>
        <w:tc>
          <w:tcPr>
            <w:tcW w:w="530" w:type="pct"/>
            <w:vMerge/>
            <w:tcBorders>
              <w:top w:val="nil"/>
              <w:left w:val="single" w:sz="4" w:space="0" w:color="000000"/>
              <w:bottom w:val="single" w:sz="4" w:space="0" w:color="000000"/>
              <w:right w:val="single" w:sz="4" w:space="0" w:color="000000"/>
            </w:tcBorders>
            <w:vAlign w:val="center"/>
            <w:hideMark/>
          </w:tcPr>
          <w:p w14:paraId="78FBBE0F"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6CB7401B"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D233E86"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C22781D"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3166DDC8"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5257150D"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178927FC"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3E9F53FE"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Total Revenue</w:t>
            </w:r>
          </w:p>
        </w:tc>
        <w:tc>
          <w:tcPr>
            <w:tcW w:w="530" w:type="pct"/>
            <w:vMerge/>
            <w:tcBorders>
              <w:top w:val="nil"/>
              <w:left w:val="single" w:sz="4" w:space="0" w:color="000000"/>
              <w:bottom w:val="single" w:sz="4" w:space="0" w:color="000000"/>
              <w:right w:val="single" w:sz="4" w:space="0" w:color="000000"/>
            </w:tcBorders>
            <w:vAlign w:val="center"/>
            <w:hideMark/>
          </w:tcPr>
          <w:p w14:paraId="01660BB9"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2DC608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B6F9D8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3FAB609"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64262C04"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77390DD"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3647A9B0" w14:textId="77777777" w:rsidTr="00FF28E3">
        <w:trPr>
          <w:trHeight w:val="264"/>
        </w:trPr>
        <w:tc>
          <w:tcPr>
            <w:tcW w:w="1391" w:type="pct"/>
            <w:tcBorders>
              <w:top w:val="nil"/>
              <w:left w:val="single" w:sz="4" w:space="0" w:color="000000"/>
              <w:bottom w:val="single" w:sz="4" w:space="0" w:color="000000"/>
              <w:right w:val="single" w:sz="4" w:space="0" w:color="000000"/>
            </w:tcBorders>
            <w:noWrap/>
            <w:vAlign w:val="center"/>
            <w:hideMark/>
          </w:tcPr>
          <w:p w14:paraId="03CF9CC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EBE5AE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77B23D3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0BE4278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ACD1BE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39B4D0DA"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68BD03C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1F64C28B"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6459316"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EBITDA Margin</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6289E23" w14:textId="77777777" w:rsidR="00FF28E3" w:rsidRPr="00FF28E3" w:rsidRDefault="00FF28E3" w:rsidP="00FF28E3">
            <w:pPr>
              <w:spacing w:line="240" w:lineRule="auto"/>
              <w:jc w:val="center"/>
              <w:rPr>
                <w:rFonts w:eastAsia="Times New Roman"/>
                <w:i/>
                <w:iCs/>
                <w:color w:val="FF0000"/>
                <w:sz w:val="20"/>
                <w:szCs w:val="20"/>
                <w:lang w:val="en-IN"/>
              </w:rPr>
            </w:pPr>
            <w:r w:rsidRPr="00FF28E3">
              <w:rPr>
                <w:rFonts w:eastAsia="Times New Roman"/>
                <w:i/>
                <w:iCs/>
                <w:color w:val="FF0000"/>
                <w:sz w:val="20"/>
                <w:szCs w:val="20"/>
                <w:lang w:val="en-IN"/>
              </w:rPr>
              <w:t>$102 (loss) / $1858 * 100 = 5.49%</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F479B54"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$669 / $3014 * 100 = 22.20%</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91EAD99"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$788 / $3244 * 100 = 24.29%</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8F6966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$721 / $3426 * 100 = 21.04%</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56F3F23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$818 / $3608 * 100 = 22.67%</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7A0D052"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EBITDA / Total Revenue * 100</w:t>
            </w:r>
          </w:p>
        </w:tc>
      </w:tr>
      <w:tr w:rsidR="00FF28E3" w:rsidRPr="00FF28E3" w14:paraId="061F3673"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787FF6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xml:space="preserve">EBITDA   </w:t>
            </w:r>
          </w:p>
        </w:tc>
        <w:tc>
          <w:tcPr>
            <w:tcW w:w="530" w:type="pct"/>
            <w:vMerge/>
            <w:tcBorders>
              <w:top w:val="nil"/>
              <w:left w:val="single" w:sz="4" w:space="0" w:color="000000"/>
              <w:bottom w:val="single" w:sz="4" w:space="0" w:color="000000"/>
              <w:right w:val="single" w:sz="4" w:space="0" w:color="000000"/>
            </w:tcBorders>
            <w:vAlign w:val="center"/>
            <w:hideMark/>
          </w:tcPr>
          <w:p w14:paraId="375EC387"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97FDE18"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9782692"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16C7F70"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5A61C1B4"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7351044F"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5E15988D"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678950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Total Revenue</w:t>
            </w:r>
          </w:p>
        </w:tc>
        <w:tc>
          <w:tcPr>
            <w:tcW w:w="530" w:type="pct"/>
            <w:vMerge/>
            <w:tcBorders>
              <w:top w:val="nil"/>
              <w:left w:val="single" w:sz="4" w:space="0" w:color="000000"/>
              <w:bottom w:val="single" w:sz="4" w:space="0" w:color="000000"/>
              <w:right w:val="single" w:sz="4" w:space="0" w:color="000000"/>
            </w:tcBorders>
            <w:vAlign w:val="center"/>
            <w:hideMark/>
          </w:tcPr>
          <w:p w14:paraId="0AFABAD7"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FDE76B0"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47C1AB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81919EC"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060444DC"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6CD26264"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3DD51072" w14:textId="77777777" w:rsidTr="00FF28E3">
        <w:trPr>
          <w:trHeight w:val="264"/>
        </w:trPr>
        <w:tc>
          <w:tcPr>
            <w:tcW w:w="5000" w:type="pct"/>
            <w:gridSpan w:val="7"/>
            <w:tcBorders>
              <w:top w:val="single" w:sz="4" w:space="0" w:color="000000"/>
              <w:left w:val="single" w:sz="4" w:space="0" w:color="000000"/>
              <w:bottom w:val="single" w:sz="4" w:space="0" w:color="000000"/>
              <w:right w:val="nil"/>
            </w:tcBorders>
            <w:shd w:val="clear" w:color="F3F3F3" w:fill="F3F3F3"/>
            <w:noWrap/>
            <w:vAlign w:val="center"/>
            <w:hideMark/>
          </w:tcPr>
          <w:p w14:paraId="7D8A4DB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0A627696" w14:textId="77777777" w:rsidTr="00FF28E3">
        <w:trPr>
          <w:trHeight w:val="360"/>
        </w:trPr>
        <w:tc>
          <w:tcPr>
            <w:tcW w:w="1391" w:type="pct"/>
            <w:tcBorders>
              <w:top w:val="nil"/>
              <w:left w:val="single" w:sz="4" w:space="0" w:color="000000"/>
              <w:bottom w:val="single" w:sz="4" w:space="0" w:color="000000"/>
              <w:right w:val="single" w:sz="4" w:space="0" w:color="000000"/>
            </w:tcBorders>
            <w:noWrap/>
            <w:vAlign w:val="center"/>
            <w:hideMark/>
          </w:tcPr>
          <w:p w14:paraId="31E4B5AA" w14:textId="77777777" w:rsidR="00FF28E3" w:rsidRPr="00FF28E3" w:rsidRDefault="00FF28E3" w:rsidP="00FF28E3">
            <w:pPr>
              <w:spacing w:line="240" w:lineRule="auto"/>
              <w:rPr>
                <w:rFonts w:eastAsia="Times New Roman"/>
                <w:b/>
                <w:bCs/>
                <w:i/>
                <w:iCs/>
                <w:color w:val="000000"/>
                <w:sz w:val="20"/>
                <w:szCs w:val="20"/>
                <w:lang w:val="en-IN"/>
              </w:rPr>
            </w:pPr>
            <w:r w:rsidRPr="00FF28E3">
              <w:rPr>
                <w:rFonts w:eastAsia="Times New Roman"/>
                <w:b/>
                <w:bCs/>
                <w:i/>
                <w:iCs/>
                <w:color w:val="000000"/>
                <w:sz w:val="20"/>
                <w:szCs w:val="20"/>
                <w:lang w:val="en-IN"/>
              </w:rPr>
              <w:t>Asset Efficiency Ratio</w:t>
            </w:r>
          </w:p>
        </w:tc>
        <w:tc>
          <w:tcPr>
            <w:tcW w:w="530" w:type="pct"/>
            <w:tcBorders>
              <w:top w:val="nil"/>
              <w:left w:val="nil"/>
              <w:bottom w:val="single" w:sz="4" w:space="0" w:color="000000"/>
              <w:right w:val="single" w:sz="4" w:space="0" w:color="000000"/>
            </w:tcBorders>
            <w:noWrap/>
            <w:vAlign w:val="center"/>
            <w:hideMark/>
          </w:tcPr>
          <w:p w14:paraId="2E1A02D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36EBC1E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0D7AA5E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353BEA89"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56A14C2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04F371D4"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6206ECB6"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E6BFE2D"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Accounts Receivable Turnover</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003129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$1858 / $67.50 = 28 Days</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0EBEED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$3014 / $103.50 = 29 Days</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563751E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$3244 / $111 = 29 Days</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234CE40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$3426 / $82 = 42 Days</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57D5B338"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$3608 / $37.50 = 96 Days</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C4945C8"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Trade Revenue / Average Accounts Receivable</w:t>
            </w:r>
          </w:p>
        </w:tc>
      </w:tr>
      <w:tr w:rsidR="00FF28E3" w:rsidRPr="00FF28E3" w14:paraId="111C686E"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3EB3E0E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Total Revenue</w:t>
            </w:r>
          </w:p>
        </w:tc>
        <w:tc>
          <w:tcPr>
            <w:tcW w:w="530" w:type="pct"/>
            <w:vMerge/>
            <w:tcBorders>
              <w:top w:val="nil"/>
              <w:left w:val="single" w:sz="4" w:space="0" w:color="000000"/>
              <w:bottom w:val="single" w:sz="4" w:space="0" w:color="000000"/>
              <w:right w:val="single" w:sz="4" w:space="0" w:color="000000"/>
            </w:tcBorders>
            <w:vAlign w:val="center"/>
            <w:hideMark/>
          </w:tcPr>
          <w:p w14:paraId="15C7CF2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D626E06"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4239CC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541FB12"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5F49C2A5"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BBD1D5E"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61CAF237"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9DF102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Average Accounts Receivable</w:t>
            </w:r>
          </w:p>
        </w:tc>
        <w:tc>
          <w:tcPr>
            <w:tcW w:w="530" w:type="pct"/>
            <w:vMerge/>
            <w:tcBorders>
              <w:top w:val="nil"/>
              <w:left w:val="single" w:sz="4" w:space="0" w:color="000000"/>
              <w:bottom w:val="single" w:sz="4" w:space="0" w:color="000000"/>
              <w:right w:val="single" w:sz="4" w:space="0" w:color="000000"/>
            </w:tcBorders>
            <w:vAlign w:val="center"/>
            <w:hideMark/>
          </w:tcPr>
          <w:p w14:paraId="4D7BEAA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5E703BB"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A86F3B4"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64000E8"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306F86D2"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4193E527"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07CFDB89"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1BB1B2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vAlign w:val="center"/>
            <w:hideMark/>
          </w:tcPr>
          <w:p w14:paraId="420D3B4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w:t>
            </w:r>
          </w:p>
        </w:tc>
        <w:tc>
          <w:tcPr>
            <w:tcW w:w="530" w:type="pct"/>
            <w:tcBorders>
              <w:top w:val="nil"/>
              <w:left w:val="nil"/>
              <w:bottom w:val="single" w:sz="4" w:space="0" w:color="000000"/>
              <w:right w:val="single" w:sz="4" w:space="0" w:color="000000"/>
            </w:tcBorders>
            <w:vAlign w:val="center"/>
            <w:hideMark/>
          </w:tcPr>
          <w:p w14:paraId="10A6D3C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w:t>
            </w:r>
          </w:p>
        </w:tc>
        <w:tc>
          <w:tcPr>
            <w:tcW w:w="530" w:type="pct"/>
            <w:tcBorders>
              <w:top w:val="nil"/>
              <w:left w:val="nil"/>
              <w:bottom w:val="single" w:sz="4" w:space="0" w:color="000000"/>
              <w:right w:val="single" w:sz="4" w:space="0" w:color="000000"/>
            </w:tcBorders>
            <w:vAlign w:val="center"/>
            <w:hideMark/>
          </w:tcPr>
          <w:p w14:paraId="6B18393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w:t>
            </w:r>
          </w:p>
        </w:tc>
        <w:tc>
          <w:tcPr>
            <w:tcW w:w="530" w:type="pct"/>
            <w:tcBorders>
              <w:top w:val="nil"/>
              <w:left w:val="nil"/>
              <w:bottom w:val="single" w:sz="4" w:space="0" w:color="000000"/>
              <w:right w:val="single" w:sz="4" w:space="0" w:color="000000"/>
            </w:tcBorders>
            <w:vAlign w:val="center"/>
            <w:hideMark/>
          </w:tcPr>
          <w:p w14:paraId="1B58A3D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w:t>
            </w:r>
          </w:p>
        </w:tc>
        <w:tc>
          <w:tcPr>
            <w:tcW w:w="542" w:type="pct"/>
            <w:tcBorders>
              <w:top w:val="nil"/>
              <w:left w:val="nil"/>
              <w:bottom w:val="single" w:sz="4" w:space="0" w:color="000000"/>
              <w:right w:val="single" w:sz="4" w:space="0" w:color="000000"/>
            </w:tcBorders>
            <w:vAlign w:val="center"/>
            <w:hideMark/>
          </w:tcPr>
          <w:p w14:paraId="329332DF"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w:t>
            </w:r>
          </w:p>
        </w:tc>
        <w:tc>
          <w:tcPr>
            <w:tcW w:w="947" w:type="pct"/>
            <w:tcBorders>
              <w:top w:val="nil"/>
              <w:left w:val="nil"/>
              <w:bottom w:val="single" w:sz="4" w:space="0" w:color="000000"/>
              <w:right w:val="single" w:sz="4" w:space="0" w:color="000000"/>
            </w:tcBorders>
            <w:vAlign w:val="center"/>
            <w:hideMark/>
          </w:tcPr>
          <w:p w14:paraId="541369D4"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 </w:t>
            </w:r>
          </w:p>
        </w:tc>
      </w:tr>
      <w:tr w:rsidR="00FF28E3" w:rsidRPr="00FF28E3" w14:paraId="53C46145"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C25D15D"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Total Asset Turnover</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1DDB845"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$1858 / $12621 = 0.15</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1F326F4"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$3014 / $12310.50 = 0.24</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82A2A18"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$3244 / $12256 = 0.26</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49DB13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$3426 / $12645.50 = 0.27</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0A3497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$3608 / $13048.50 = 0.28</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3454712" w14:textId="7F3D50BF"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Total Revenue / Average Total A</w:t>
            </w:r>
            <w:r w:rsidR="000B0ED8">
              <w:rPr>
                <w:rFonts w:eastAsia="Times New Roman"/>
                <w:i/>
                <w:iCs/>
                <w:color w:val="000000"/>
                <w:sz w:val="20"/>
                <w:szCs w:val="20"/>
                <w:lang w:val="en-IN"/>
              </w:rPr>
              <w:t>ss</w:t>
            </w:r>
            <w:r w:rsidRPr="00FF28E3">
              <w:rPr>
                <w:rFonts w:eastAsia="Times New Roman"/>
                <w:i/>
                <w:iCs/>
                <w:color w:val="000000"/>
                <w:sz w:val="20"/>
                <w:szCs w:val="20"/>
                <w:lang w:val="en-IN"/>
              </w:rPr>
              <w:t>ets</w:t>
            </w:r>
          </w:p>
        </w:tc>
      </w:tr>
      <w:tr w:rsidR="00FF28E3" w:rsidRPr="00FF28E3" w14:paraId="6A633BFD"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2FD464D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Total Revenue</w:t>
            </w:r>
          </w:p>
        </w:tc>
        <w:tc>
          <w:tcPr>
            <w:tcW w:w="530" w:type="pct"/>
            <w:vMerge/>
            <w:tcBorders>
              <w:top w:val="nil"/>
              <w:left w:val="single" w:sz="4" w:space="0" w:color="000000"/>
              <w:bottom w:val="single" w:sz="4" w:space="0" w:color="000000"/>
              <w:right w:val="single" w:sz="4" w:space="0" w:color="000000"/>
            </w:tcBorders>
            <w:vAlign w:val="center"/>
            <w:hideMark/>
          </w:tcPr>
          <w:p w14:paraId="022D5E9B"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193134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256B89A"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73F4AC75"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0C88ED68"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7C086DA5"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4650C6E6"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C014C39"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Average Total Assets</w:t>
            </w:r>
          </w:p>
        </w:tc>
        <w:tc>
          <w:tcPr>
            <w:tcW w:w="530" w:type="pct"/>
            <w:vMerge/>
            <w:tcBorders>
              <w:top w:val="nil"/>
              <w:left w:val="single" w:sz="4" w:space="0" w:color="000000"/>
              <w:bottom w:val="single" w:sz="4" w:space="0" w:color="000000"/>
              <w:right w:val="single" w:sz="4" w:space="0" w:color="000000"/>
            </w:tcBorders>
            <w:vAlign w:val="center"/>
            <w:hideMark/>
          </w:tcPr>
          <w:p w14:paraId="58D6157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801C89A"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67797E08"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AE4DAB0"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78A66D59"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3BDE040"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136771CE" w14:textId="77777777" w:rsidTr="00FF28E3">
        <w:trPr>
          <w:trHeight w:val="264"/>
        </w:trPr>
        <w:tc>
          <w:tcPr>
            <w:tcW w:w="5000" w:type="pct"/>
            <w:gridSpan w:val="7"/>
            <w:tcBorders>
              <w:top w:val="single" w:sz="4" w:space="0" w:color="000000"/>
              <w:left w:val="single" w:sz="4" w:space="0" w:color="000000"/>
              <w:bottom w:val="single" w:sz="4" w:space="0" w:color="000000"/>
              <w:right w:val="nil"/>
            </w:tcBorders>
            <w:shd w:val="clear" w:color="F3F3F3" w:fill="F3F3F3"/>
            <w:noWrap/>
            <w:vAlign w:val="center"/>
            <w:hideMark/>
          </w:tcPr>
          <w:p w14:paraId="23EB429E"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208A9F76" w14:textId="77777777" w:rsidTr="00FF28E3">
        <w:trPr>
          <w:trHeight w:val="360"/>
        </w:trPr>
        <w:tc>
          <w:tcPr>
            <w:tcW w:w="1391" w:type="pct"/>
            <w:tcBorders>
              <w:top w:val="nil"/>
              <w:left w:val="single" w:sz="4" w:space="0" w:color="000000"/>
              <w:bottom w:val="single" w:sz="4" w:space="0" w:color="000000"/>
              <w:right w:val="single" w:sz="4" w:space="0" w:color="000000"/>
            </w:tcBorders>
            <w:noWrap/>
            <w:vAlign w:val="center"/>
            <w:hideMark/>
          </w:tcPr>
          <w:p w14:paraId="0285AD7A" w14:textId="77777777" w:rsidR="00FF28E3" w:rsidRPr="00FF28E3" w:rsidRDefault="00FF28E3" w:rsidP="00FF28E3">
            <w:pPr>
              <w:spacing w:line="240" w:lineRule="auto"/>
              <w:rPr>
                <w:rFonts w:eastAsia="Times New Roman"/>
                <w:b/>
                <w:bCs/>
                <w:i/>
                <w:iCs/>
                <w:color w:val="000000"/>
                <w:sz w:val="20"/>
                <w:szCs w:val="20"/>
                <w:lang w:val="en-IN"/>
              </w:rPr>
            </w:pPr>
            <w:r w:rsidRPr="00FF28E3">
              <w:rPr>
                <w:rFonts w:eastAsia="Times New Roman"/>
                <w:b/>
                <w:bCs/>
                <w:i/>
                <w:iCs/>
                <w:color w:val="000000"/>
                <w:sz w:val="20"/>
                <w:szCs w:val="20"/>
                <w:lang w:val="en-IN"/>
              </w:rPr>
              <w:t>Liquidity Ratios</w:t>
            </w:r>
          </w:p>
        </w:tc>
        <w:tc>
          <w:tcPr>
            <w:tcW w:w="530" w:type="pct"/>
            <w:tcBorders>
              <w:top w:val="nil"/>
              <w:left w:val="nil"/>
              <w:bottom w:val="single" w:sz="4" w:space="0" w:color="000000"/>
              <w:right w:val="single" w:sz="4" w:space="0" w:color="000000"/>
            </w:tcBorders>
            <w:noWrap/>
            <w:vAlign w:val="center"/>
            <w:hideMark/>
          </w:tcPr>
          <w:p w14:paraId="5D5CD94A"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E08E00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587257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CB6080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1E5F93D2"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53B6A2A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303C195D"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1142D97"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Current Ratio</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E25A469"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$1621 / $325 = 4.99</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52156F2"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$1633 / $607 = 2.69</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B11383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$1726 / $645 = 2.68</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EA74A17"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$1175 / $11873 = 0.10</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2D2043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$1427 / $677 = 2.11</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DF94E43"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Current Assets / Current Liabilities</w:t>
            </w:r>
          </w:p>
        </w:tc>
      </w:tr>
      <w:tr w:rsidR="00FF28E3" w:rsidRPr="00FF28E3" w14:paraId="320EFFE8"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CA5C10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Current Assets</w:t>
            </w:r>
          </w:p>
        </w:tc>
        <w:tc>
          <w:tcPr>
            <w:tcW w:w="530" w:type="pct"/>
            <w:vMerge/>
            <w:tcBorders>
              <w:top w:val="nil"/>
              <w:left w:val="single" w:sz="4" w:space="0" w:color="000000"/>
              <w:bottom w:val="single" w:sz="4" w:space="0" w:color="000000"/>
              <w:right w:val="single" w:sz="4" w:space="0" w:color="000000"/>
            </w:tcBorders>
            <w:vAlign w:val="center"/>
            <w:hideMark/>
          </w:tcPr>
          <w:p w14:paraId="4DEB04E1"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C2715B0"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277D4A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A252092"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1D5F5317"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6D0348DC"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186ED304"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47C34F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Current Liabilities</w:t>
            </w:r>
          </w:p>
        </w:tc>
        <w:tc>
          <w:tcPr>
            <w:tcW w:w="530" w:type="pct"/>
            <w:vMerge/>
            <w:tcBorders>
              <w:top w:val="nil"/>
              <w:left w:val="single" w:sz="4" w:space="0" w:color="000000"/>
              <w:bottom w:val="single" w:sz="4" w:space="0" w:color="000000"/>
              <w:right w:val="single" w:sz="4" w:space="0" w:color="000000"/>
            </w:tcBorders>
            <w:vAlign w:val="center"/>
            <w:hideMark/>
          </w:tcPr>
          <w:p w14:paraId="2C0968E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00098EE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09BCF85C"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190A83B"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1592B985"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38E3DBAA"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2614EB9B" w14:textId="77777777" w:rsidTr="00FF28E3">
        <w:trPr>
          <w:trHeight w:val="264"/>
        </w:trPr>
        <w:tc>
          <w:tcPr>
            <w:tcW w:w="1391" w:type="pct"/>
            <w:tcBorders>
              <w:top w:val="nil"/>
              <w:left w:val="single" w:sz="4" w:space="0" w:color="000000"/>
              <w:bottom w:val="single" w:sz="4" w:space="0" w:color="000000"/>
              <w:right w:val="single" w:sz="4" w:space="0" w:color="000000"/>
            </w:tcBorders>
            <w:noWrap/>
            <w:vAlign w:val="center"/>
            <w:hideMark/>
          </w:tcPr>
          <w:p w14:paraId="6EA1F42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562062BE"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3379067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4FABFBA"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29A2600"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4EB0A943"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6A5A5251"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1DCDF9B6"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B9F6EA8"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Cash Ratio</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E64D23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$807 / 325 = 2.48</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CE23244"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$667 / $607 = 1.10</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CAF5F4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 xml:space="preserve">$1144 / $645 = </w:t>
            </w:r>
            <w:r w:rsidRPr="00FF28E3">
              <w:rPr>
                <w:rFonts w:eastAsia="Times New Roman"/>
                <w:i/>
                <w:iCs/>
                <w:color w:val="0000FF"/>
                <w:sz w:val="20"/>
                <w:szCs w:val="20"/>
                <w:lang w:val="en-IN"/>
              </w:rPr>
              <w:lastRenderedPageBreak/>
              <w:t>1.77</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EE60087"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lastRenderedPageBreak/>
              <w:t>$554 / $11873 = 0.05</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8AF129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$768 / $677 = 1.13</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F67D7C9"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 xml:space="preserve">Cash &amp; Cash Equivalent / Current </w:t>
            </w:r>
            <w:r w:rsidRPr="00FF28E3">
              <w:rPr>
                <w:rFonts w:eastAsia="Times New Roman"/>
                <w:i/>
                <w:iCs/>
                <w:color w:val="000000"/>
                <w:sz w:val="20"/>
                <w:szCs w:val="20"/>
                <w:lang w:val="en-IN"/>
              </w:rPr>
              <w:lastRenderedPageBreak/>
              <w:t>Liabilities</w:t>
            </w:r>
          </w:p>
        </w:tc>
      </w:tr>
      <w:tr w:rsidR="00FF28E3" w:rsidRPr="00FF28E3" w14:paraId="5522C07E"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1F17DBC"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xml:space="preserve">Cash &amp; Cash Equivalent </w:t>
            </w:r>
          </w:p>
        </w:tc>
        <w:tc>
          <w:tcPr>
            <w:tcW w:w="530" w:type="pct"/>
            <w:vMerge/>
            <w:tcBorders>
              <w:top w:val="nil"/>
              <w:left w:val="single" w:sz="4" w:space="0" w:color="000000"/>
              <w:bottom w:val="single" w:sz="4" w:space="0" w:color="000000"/>
              <w:right w:val="single" w:sz="4" w:space="0" w:color="000000"/>
            </w:tcBorders>
            <w:vAlign w:val="center"/>
            <w:hideMark/>
          </w:tcPr>
          <w:p w14:paraId="287134C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A022823"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FCA8487"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774B299F"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1988BF43"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E1E229E"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08477582"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313F8B59"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Current Liabilities</w:t>
            </w:r>
          </w:p>
        </w:tc>
        <w:tc>
          <w:tcPr>
            <w:tcW w:w="530" w:type="pct"/>
            <w:vMerge/>
            <w:tcBorders>
              <w:top w:val="nil"/>
              <w:left w:val="single" w:sz="4" w:space="0" w:color="000000"/>
              <w:bottom w:val="single" w:sz="4" w:space="0" w:color="000000"/>
              <w:right w:val="single" w:sz="4" w:space="0" w:color="000000"/>
            </w:tcBorders>
            <w:vAlign w:val="center"/>
            <w:hideMark/>
          </w:tcPr>
          <w:p w14:paraId="6DD1AC8C"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FD5612F"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7FE1852"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9F7F03C"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47C7FD98"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5E589B37"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4B646454" w14:textId="77777777" w:rsidTr="00FF28E3">
        <w:trPr>
          <w:trHeight w:val="264"/>
        </w:trPr>
        <w:tc>
          <w:tcPr>
            <w:tcW w:w="5000" w:type="pct"/>
            <w:gridSpan w:val="7"/>
            <w:tcBorders>
              <w:top w:val="single" w:sz="4" w:space="0" w:color="000000"/>
              <w:left w:val="single" w:sz="4" w:space="0" w:color="000000"/>
              <w:bottom w:val="single" w:sz="4" w:space="0" w:color="000000"/>
              <w:right w:val="nil"/>
            </w:tcBorders>
            <w:shd w:val="clear" w:color="F3F3F3" w:fill="F3F3F3"/>
            <w:noWrap/>
            <w:vAlign w:val="center"/>
            <w:hideMark/>
          </w:tcPr>
          <w:p w14:paraId="3873BE9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lastRenderedPageBreak/>
              <w:t> </w:t>
            </w:r>
          </w:p>
        </w:tc>
      </w:tr>
      <w:tr w:rsidR="00FF28E3" w:rsidRPr="00FF28E3" w14:paraId="3685F22D" w14:textId="77777777" w:rsidTr="00FF28E3">
        <w:trPr>
          <w:trHeight w:val="360"/>
        </w:trPr>
        <w:tc>
          <w:tcPr>
            <w:tcW w:w="1391" w:type="pct"/>
            <w:tcBorders>
              <w:top w:val="nil"/>
              <w:left w:val="single" w:sz="4" w:space="0" w:color="000000"/>
              <w:bottom w:val="single" w:sz="4" w:space="0" w:color="000000"/>
              <w:right w:val="single" w:sz="4" w:space="0" w:color="000000"/>
            </w:tcBorders>
            <w:noWrap/>
            <w:vAlign w:val="center"/>
            <w:hideMark/>
          </w:tcPr>
          <w:p w14:paraId="6569B571" w14:textId="77777777" w:rsidR="00FF28E3" w:rsidRPr="00FF28E3" w:rsidRDefault="00FF28E3" w:rsidP="00FF28E3">
            <w:pPr>
              <w:spacing w:line="240" w:lineRule="auto"/>
              <w:rPr>
                <w:rFonts w:eastAsia="Times New Roman"/>
                <w:b/>
                <w:bCs/>
                <w:i/>
                <w:iCs/>
                <w:color w:val="000000"/>
                <w:sz w:val="20"/>
                <w:szCs w:val="20"/>
                <w:lang w:val="en-IN"/>
              </w:rPr>
            </w:pPr>
            <w:r w:rsidRPr="00FF28E3">
              <w:rPr>
                <w:rFonts w:eastAsia="Times New Roman"/>
                <w:b/>
                <w:bCs/>
                <w:i/>
                <w:iCs/>
                <w:color w:val="000000"/>
                <w:sz w:val="20"/>
                <w:szCs w:val="20"/>
                <w:lang w:val="en-IN"/>
              </w:rPr>
              <w:t>Returns Ratio</w:t>
            </w:r>
          </w:p>
        </w:tc>
        <w:tc>
          <w:tcPr>
            <w:tcW w:w="530" w:type="pct"/>
            <w:tcBorders>
              <w:top w:val="nil"/>
              <w:left w:val="nil"/>
              <w:bottom w:val="single" w:sz="4" w:space="0" w:color="000000"/>
              <w:right w:val="single" w:sz="4" w:space="0" w:color="000000"/>
            </w:tcBorders>
            <w:noWrap/>
            <w:vAlign w:val="center"/>
            <w:hideMark/>
          </w:tcPr>
          <w:p w14:paraId="2362A27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19FF971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7D53D10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1386CF90"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35D58EDF"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5CD6C66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6C747334"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BA867E3" w14:textId="2E418BF4" w:rsidR="00FF28E3" w:rsidRPr="00FF28E3" w:rsidRDefault="000B0ED8"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Earnings</w:t>
            </w:r>
            <w:r w:rsidR="00FF28E3" w:rsidRPr="00FF28E3">
              <w:rPr>
                <w:rFonts w:eastAsia="Times New Roman"/>
                <w:b/>
                <w:bCs/>
                <w:color w:val="000000"/>
                <w:sz w:val="20"/>
                <w:szCs w:val="20"/>
                <w:lang w:val="en-IN"/>
              </w:rPr>
              <w:t xml:space="preserve"> Per Share (EPS)</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6A64A81" w14:textId="77777777" w:rsidR="00FF28E3" w:rsidRPr="00FF28E3" w:rsidRDefault="00FF28E3" w:rsidP="00FF28E3">
            <w:pPr>
              <w:spacing w:line="240" w:lineRule="auto"/>
              <w:jc w:val="center"/>
              <w:rPr>
                <w:rFonts w:eastAsia="Times New Roman"/>
                <w:i/>
                <w:iCs/>
                <w:color w:val="FF0000"/>
                <w:sz w:val="20"/>
                <w:szCs w:val="20"/>
                <w:lang w:val="en-IN"/>
              </w:rPr>
            </w:pPr>
            <w:r w:rsidRPr="00FF28E3">
              <w:rPr>
                <w:rFonts w:eastAsia="Times New Roman"/>
                <w:i/>
                <w:iCs/>
                <w:color w:val="FF0000"/>
                <w:sz w:val="20"/>
                <w:szCs w:val="20"/>
                <w:lang w:val="en-IN"/>
              </w:rPr>
              <w:t>$11 (Loss) / 710.30 = $0.02</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48504F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$643 / 714.70 = 0.90</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E1B4F5D"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$752 / 709.7 = 1.07</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8C09D5D"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$707 / 702.10 = 1.01</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061FF49"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$776 / 691.40 = 1.12</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A8B48CC"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(Profit Attributable to Ordinary Shareholders / Weighted Average Number of Ordinary Shares)</w:t>
            </w:r>
          </w:p>
        </w:tc>
      </w:tr>
      <w:tr w:rsidR="00FF28E3" w:rsidRPr="00FF28E3" w14:paraId="1DB92689"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A747B7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Profit Attributable to Ordinary Shareholders</w:t>
            </w:r>
          </w:p>
        </w:tc>
        <w:tc>
          <w:tcPr>
            <w:tcW w:w="530" w:type="pct"/>
            <w:vMerge/>
            <w:tcBorders>
              <w:top w:val="nil"/>
              <w:left w:val="single" w:sz="4" w:space="0" w:color="000000"/>
              <w:bottom w:val="single" w:sz="4" w:space="0" w:color="000000"/>
              <w:right w:val="single" w:sz="4" w:space="0" w:color="000000"/>
            </w:tcBorders>
            <w:vAlign w:val="center"/>
            <w:hideMark/>
          </w:tcPr>
          <w:p w14:paraId="71B15B85"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C10EE9C"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709EA2B9"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0D57B10"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68DEBEFF"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44522097"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2D32926E"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63081BE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Weighted Average Number of Ordinary Shares</w:t>
            </w:r>
          </w:p>
        </w:tc>
        <w:tc>
          <w:tcPr>
            <w:tcW w:w="530" w:type="pct"/>
            <w:vMerge/>
            <w:tcBorders>
              <w:top w:val="nil"/>
              <w:left w:val="single" w:sz="4" w:space="0" w:color="000000"/>
              <w:bottom w:val="single" w:sz="4" w:space="0" w:color="000000"/>
              <w:right w:val="single" w:sz="4" w:space="0" w:color="000000"/>
            </w:tcBorders>
            <w:vAlign w:val="center"/>
            <w:hideMark/>
          </w:tcPr>
          <w:p w14:paraId="4923475B"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6975511D"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4B5A452"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76DAF03"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25DFDC09"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180905DC"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07E6F923" w14:textId="77777777" w:rsidTr="00FF28E3">
        <w:trPr>
          <w:trHeight w:val="264"/>
        </w:trPr>
        <w:tc>
          <w:tcPr>
            <w:tcW w:w="1391" w:type="pct"/>
            <w:tcBorders>
              <w:top w:val="nil"/>
              <w:left w:val="single" w:sz="4" w:space="0" w:color="000000"/>
              <w:bottom w:val="single" w:sz="4" w:space="0" w:color="000000"/>
              <w:right w:val="single" w:sz="4" w:space="0" w:color="000000"/>
            </w:tcBorders>
            <w:noWrap/>
            <w:vAlign w:val="center"/>
            <w:hideMark/>
          </w:tcPr>
          <w:p w14:paraId="082840B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0B4722D1"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30F753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43103E75"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138DDE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5DA6BB9E"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6078732A"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684F88F8"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2F07640"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Price-to-Earnings (P/E) Ratio</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DF55A7B"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$13.03 / $0.02 = 841.38</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89CE35E"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$14.25 / $0.90 = 15.84</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5CB805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$13.94 / $1.06 = 13.16</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B065DDF"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$16.10 / $1.01 = 15.99</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E4C0190"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$14.91 / $1.12 = 13.28</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54E4CB13"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Market Price Per Share / EPS</w:t>
            </w:r>
          </w:p>
        </w:tc>
      </w:tr>
      <w:tr w:rsidR="00FF28E3" w:rsidRPr="00FF28E3" w14:paraId="2ACA70DB"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E466F9B"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Market Price Per Share</w:t>
            </w:r>
          </w:p>
        </w:tc>
        <w:tc>
          <w:tcPr>
            <w:tcW w:w="530" w:type="pct"/>
            <w:vMerge/>
            <w:tcBorders>
              <w:top w:val="nil"/>
              <w:left w:val="single" w:sz="4" w:space="0" w:color="000000"/>
              <w:bottom w:val="single" w:sz="4" w:space="0" w:color="000000"/>
              <w:right w:val="single" w:sz="4" w:space="0" w:color="000000"/>
            </w:tcBorders>
            <w:vAlign w:val="center"/>
            <w:hideMark/>
          </w:tcPr>
          <w:p w14:paraId="7F345B28"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69A032C"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D78695B"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7F6E8EA3"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4F630776"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5222AA3"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55B6D59B"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33583988" w14:textId="40964263" w:rsidR="00FF28E3" w:rsidRPr="00FF28E3" w:rsidRDefault="000B0ED8"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Earnings</w:t>
            </w:r>
            <w:r w:rsidR="00FF28E3" w:rsidRPr="00FF28E3">
              <w:rPr>
                <w:rFonts w:eastAsia="Times New Roman"/>
                <w:color w:val="000000"/>
                <w:sz w:val="20"/>
                <w:szCs w:val="20"/>
                <w:lang w:val="en-IN"/>
              </w:rPr>
              <w:t xml:space="preserve"> Per Share (EPS)</w:t>
            </w:r>
          </w:p>
        </w:tc>
        <w:tc>
          <w:tcPr>
            <w:tcW w:w="530" w:type="pct"/>
            <w:vMerge/>
            <w:tcBorders>
              <w:top w:val="nil"/>
              <w:left w:val="single" w:sz="4" w:space="0" w:color="000000"/>
              <w:bottom w:val="single" w:sz="4" w:space="0" w:color="000000"/>
              <w:right w:val="single" w:sz="4" w:space="0" w:color="000000"/>
            </w:tcBorders>
            <w:vAlign w:val="center"/>
            <w:hideMark/>
          </w:tcPr>
          <w:p w14:paraId="5AA3E42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C75A761"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28A318F2"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400B430"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7A0D58B8"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6D118F64"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049DC85C" w14:textId="77777777" w:rsidTr="00FF28E3">
        <w:trPr>
          <w:trHeight w:val="264"/>
        </w:trPr>
        <w:tc>
          <w:tcPr>
            <w:tcW w:w="5000" w:type="pct"/>
            <w:gridSpan w:val="7"/>
            <w:tcBorders>
              <w:top w:val="single" w:sz="4" w:space="0" w:color="000000"/>
              <w:left w:val="single" w:sz="4" w:space="0" w:color="000000"/>
              <w:bottom w:val="single" w:sz="4" w:space="0" w:color="000000"/>
              <w:right w:val="nil"/>
            </w:tcBorders>
            <w:shd w:val="clear" w:color="F3F3F3" w:fill="F3F3F3"/>
            <w:noWrap/>
            <w:vAlign w:val="center"/>
            <w:hideMark/>
          </w:tcPr>
          <w:p w14:paraId="622D72E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31858BDC" w14:textId="77777777" w:rsidTr="00FF28E3">
        <w:trPr>
          <w:trHeight w:val="360"/>
        </w:trPr>
        <w:tc>
          <w:tcPr>
            <w:tcW w:w="1391" w:type="pct"/>
            <w:tcBorders>
              <w:top w:val="nil"/>
              <w:left w:val="single" w:sz="4" w:space="0" w:color="000000"/>
              <w:bottom w:val="single" w:sz="4" w:space="0" w:color="000000"/>
              <w:right w:val="single" w:sz="4" w:space="0" w:color="000000"/>
            </w:tcBorders>
            <w:noWrap/>
            <w:vAlign w:val="center"/>
            <w:hideMark/>
          </w:tcPr>
          <w:p w14:paraId="341C2CFE" w14:textId="77777777" w:rsidR="00FF28E3" w:rsidRPr="00FF28E3" w:rsidRDefault="00FF28E3" w:rsidP="00FF28E3">
            <w:pPr>
              <w:spacing w:line="240" w:lineRule="auto"/>
              <w:rPr>
                <w:rFonts w:eastAsia="Times New Roman"/>
                <w:b/>
                <w:bCs/>
                <w:i/>
                <w:iCs/>
                <w:color w:val="000000"/>
                <w:sz w:val="20"/>
                <w:szCs w:val="20"/>
                <w:lang w:val="en-IN"/>
              </w:rPr>
            </w:pPr>
            <w:r w:rsidRPr="00FF28E3">
              <w:rPr>
                <w:rFonts w:eastAsia="Times New Roman"/>
                <w:b/>
                <w:bCs/>
                <w:i/>
                <w:iCs/>
                <w:color w:val="000000"/>
                <w:sz w:val="20"/>
                <w:szCs w:val="20"/>
                <w:lang w:val="en-IN"/>
              </w:rPr>
              <w:t>Cash Flow</w:t>
            </w:r>
          </w:p>
        </w:tc>
        <w:tc>
          <w:tcPr>
            <w:tcW w:w="530" w:type="pct"/>
            <w:tcBorders>
              <w:top w:val="nil"/>
              <w:left w:val="nil"/>
              <w:bottom w:val="single" w:sz="4" w:space="0" w:color="000000"/>
              <w:right w:val="single" w:sz="4" w:space="0" w:color="000000"/>
            </w:tcBorders>
            <w:noWrap/>
            <w:vAlign w:val="center"/>
            <w:hideMark/>
          </w:tcPr>
          <w:p w14:paraId="37F6CF43"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1279FFA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D5179F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69C1D452"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4BFB3FE8"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00CF7343"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45914C15"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6B534B71"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Operating Cash Flow Ratio</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5820F3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$292 / $325 = 0.90</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198DCB0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$1416 / $607 = 2.33</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FB1B71C"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$1441 / $645 = 2.23</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FCA8D88"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$1498 / $11873 = 0.13</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68A464A8"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$1510 / $677 = 2.23</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5B68176"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Cash Flow from Operating Activities / Current Liabilities</w:t>
            </w:r>
          </w:p>
        </w:tc>
      </w:tr>
      <w:tr w:rsidR="00FF28E3" w:rsidRPr="00FF28E3" w14:paraId="5F84B74E"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72208EA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Cash Flow from Operating Activities</w:t>
            </w:r>
          </w:p>
        </w:tc>
        <w:tc>
          <w:tcPr>
            <w:tcW w:w="530" w:type="pct"/>
            <w:vMerge/>
            <w:tcBorders>
              <w:top w:val="nil"/>
              <w:left w:val="single" w:sz="4" w:space="0" w:color="000000"/>
              <w:bottom w:val="single" w:sz="4" w:space="0" w:color="000000"/>
              <w:right w:val="single" w:sz="4" w:space="0" w:color="000000"/>
            </w:tcBorders>
            <w:vAlign w:val="center"/>
            <w:hideMark/>
          </w:tcPr>
          <w:p w14:paraId="660D9261"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1B57AD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A375225"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7571175"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4245A24D"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047033ED"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04CEECA6"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01790B9F"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Current Liabilities</w:t>
            </w:r>
          </w:p>
        </w:tc>
        <w:tc>
          <w:tcPr>
            <w:tcW w:w="530" w:type="pct"/>
            <w:vMerge/>
            <w:tcBorders>
              <w:top w:val="nil"/>
              <w:left w:val="single" w:sz="4" w:space="0" w:color="000000"/>
              <w:bottom w:val="single" w:sz="4" w:space="0" w:color="000000"/>
              <w:right w:val="single" w:sz="4" w:space="0" w:color="000000"/>
            </w:tcBorders>
            <w:vAlign w:val="center"/>
            <w:hideMark/>
          </w:tcPr>
          <w:p w14:paraId="1BBF95E6"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1FE668C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654F7A6B"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5183952"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7D5BC3DF"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44762DFC"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5A558EF8" w14:textId="77777777" w:rsidTr="00FF28E3">
        <w:trPr>
          <w:trHeight w:val="264"/>
        </w:trPr>
        <w:tc>
          <w:tcPr>
            <w:tcW w:w="1391" w:type="pct"/>
            <w:tcBorders>
              <w:top w:val="nil"/>
              <w:left w:val="single" w:sz="4" w:space="0" w:color="000000"/>
              <w:bottom w:val="single" w:sz="4" w:space="0" w:color="000000"/>
              <w:right w:val="single" w:sz="4" w:space="0" w:color="000000"/>
            </w:tcBorders>
            <w:noWrap/>
            <w:vAlign w:val="center"/>
            <w:hideMark/>
          </w:tcPr>
          <w:p w14:paraId="11595674"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2B5651D2"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298DA92D"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3A9FEC8E"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30" w:type="pct"/>
            <w:tcBorders>
              <w:top w:val="nil"/>
              <w:left w:val="nil"/>
              <w:bottom w:val="single" w:sz="4" w:space="0" w:color="000000"/>
              <w:right w:val="single" w:sz="4" w:space="0" w:color="000000"/>
            </w:tcBorders>
            <w:noWrap/>
            <w:vAlign w:val="center"/>
            <w:hideMark/>
          </w:tcPr>
          <w:p w14:paraId="2442C8D2"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542" w:type="pct"/>
            <w:tcBorders>
              <w:top w:val="nil"/>
              <w:left w:val="nil"/>
              <w:bottom w:val="single" w:sz="4" w:space="0" w:color="000000"/>
              <w:right w:val="single" w:sz="4" w:space="0" w:color="000000"/>
            </w:tcBorders>
            <w:noWrap/>
            <w:vAlign w:val="center"/>
            <w:hideMark/>
          </w:tcPr>
          <w:p w14:paraId="311EF3D6"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c>
          <w:tcPr>
            <w:tcW w:w="947" w:type="pct"/>
            <w:tcBorders>
              <w:top w:val="nil"/>
              <w:left w:val="nil"/>
              <w:bottom w:val="single" w:sz="4" w:space="0" w:color="000000"/>
              <w:right w:val="single" w:sz="4" w:space="0" w:color="000000"/>
            </w:tcBorders>
            <w:noWrap/>
            <w:vAlign w:val="center"/>
            <w:hideMark/>
          </w:tcPr>
          <w:p w14:paraId="0B7D208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w:t>
            </w:r>
          </w:p>
        </w:tc>
      </w:tr>
      <w:tr w:rsidR="00FF28E3" w:rsidRPr="00FF28E3" w14:paraId="11528361"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1F5A9537" w14:textId="77777777" w:rsidR="00FF28E3" w:rsidRPr="00FF28E3" w:rsidRDefault="00FF28E3" w:rsidP="00FF28E3">
            <w:pPr>
              <w:spacing w:line="240" w:lineRule="auto"/>
              <w:rPr>
                <w:rFonts w:eastAsia="Times New Roman"/>
                <w:b/>
                <w:bCs/>
                <w:color w:val="000000"/>
                <w:sz w:val="20"/>
                <w:szCs w:val="20"/>
                <w:lang w:val="en-IN"/>
              </w:rPr>
            </w:pPr>
            <w:r w:rsidRPr="00FF28E3">
              <w:rPr>
                <w:rFonts w:eastAsia="Times New Roman"/>
                <w:b/>
                <w:bCs/>
                <w:color w:val="000000"/>
                <w:sz w:val="20"/>
                <w:szCs w:val="20"/>
                <w:lang w:val="en-IN"/>
              </w:rPr>
              <w:t>Free Cash Flow Ratio</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11B1FA4" w14:textId="77777777" w:rsidR="00FF28E3" w:rsidRPr="00FF28E3" w:rsidRDefault="00FF28E3" w:rsidP="00FF28E3">
            <w:pPr>
              <w:spacing w:line="240" w:lineRule="auto"/>
              <w:jc w:val="center"/>
              <w:rPr>
                <w:rFonts w:eastAsia="Times New Roman"/>
                <w:i/>
                <w:iCs/>
                <w:color w:val="FF0000"/>
                <w:sz w:val="20"/>
                <w:szCs w:val="20"/>
                <w:lang w:val="en-IN"/>
              </w:rPr>
            </w:pPr>
            <w:r w:rsidRPr="0023408D">
              <w:rPr>
                <w:rFonts w:eastAsia="Times New Roman"/>
                <w:i/>
                <w:iCs/>
                <w:color w:val="000000" w:themeColor="text1"/>
                <w:sz w:val="20"/>
                <w:szCs w:val="20"/>
                <w:lang w:val="en-IN"/>
              </w:rPr>
              <w:t>$135 (loss) / $1858 = 0.07</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3899CD6A"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$912 / $3014 / 0.30</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7F6A38A4"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$795 / $3244 = 0.25</w:t>
            </w:r>
          </w:p>
        </w:tc>
        <w:tc>
          <w:tcPr>
            <w:tcW w:w="530"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290BE351"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$950 / $3426 = 0.28</w:t>
            </w:r>
          </w:p>
        </w:tc>
        <w:tc>
          <w:tcPr>
            <w:tcW w:w="54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481C5817" w14:textId="77777777" w:rsidR="00FF28E3" w:rsidRPr="00FF28E3" w:rsidRDefault="00FF28E3" w:rsidP="00FF28E3">
            <w:pPr>
              <w:spacing w:line="240" w:lineRule="auto"/>
              <w:jc w:val="center"/>
              <w:rPr>
                <w:rFonts w:eastAsia="Times New Roman"/>
                <w:i/>
                <w:iCs/>
                <w:color w:val="0000FF"/>
                <w:sz w:val="20"/>
                <w:szCs w:val="20"/>
                <w:lang w:val="en-IN"/>
              </w:rPr>
            </w:pPr>
            <w:r w:rsidRPr="00FF28E3">
              <w:rPr>
                <w:rFonts w:eastAsia="Times New Roman"/>
                <w:i/>
                <w:iCs/>
                <w:color w:val="0000FF"/>
                <w:sz w:val="20"/>
                <w:szCs w:val="20"/>
                <w:lang w:val="en-IN"/>
              </w:rPr>
              <w:t>$866 / $3608 = 0.24</w:t>
            </w:r>
          </w:p>
        </w:tc>
        <w:tc>
          <w:tcPr>
            <w:tcW w:w="947"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026C5701" w14:textId="77777777" w:rsidR="00FF28E3" w:rsidRPr="00FF28E3" w:rsidRDefault="00FF28E3" w:rsidP="00FF28E3">
            <w:pPr>
              <w:spacing w:line="240" w:lineRule="auto"/>
              <w:jc w:val="center"/>
              <w:rPr>
                <w:rFonts w:eastAsia="Times New Roman"/>
                <w:i/>
                <w:iCs/>
                <w:color w:val="000000"/>
                <w:sz w:val="20"/>
                <w:szCs w:val="20"/>
                <w:lang w:val="en-IN"/>
              </w:rPr>
            </w:pPr>
            <w:r w:rsidRPr="00FF28E3">
              <w:rPr>
                <w:rFonts w:eastAsia="Times New Roman"/>
                <w:i/>
                <w:iCs/>
                <w:color w:val="000000"/>
                <w:sz w:val="20"/>
                <w:szCs w:val="20"/>
                <w:lang w:val="en-IN"/>
              </w:rPr>
              <w:t>Free Cash Flow (Operating Cash Flow - capital Expenditure) / Total Revenue</w:t>
            </w:r>
          </w:p>
        </w:tc>
      </w:tr>
      <w:tr w:rsidR="00FF28E3" w:rsidRPr="00FF28E3" w14:paraId="1D833BD7"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2586D4B1"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 xml:space="preserve">Free Cash Flow   </w:t>
            </w:r>
          </w:p>
        </w:tc>
        <w:tc>
          <w:tcPr>
            <w:tcW w:w="530" w:type="pct"/>
            <w:vMerge/>
            <w:tcBorders>
              <w:top w:val="nil"/>
              <w:left w:val="single" w:sz="4" w:space="0" w:color="000000"/>
              <w:bottom w:val="single" w:sz="4" w:space="0" w:color="000000"/>
              <w:right w:val="single" w:sz="4" w:space="0" w:color="000000"/>
            </w:tcBorders>
            <w:vAlign w:val="center"/>
            <w:hideMark/>
          </w:tcPr>
          <w:p w14:paraId="409A5A79"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7C8DBB6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645C653E"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47A4E625"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1C1E057E"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46C56367" w14:textId="77777777" w:rsidR="00FF28E3" w:rsidRPr="00FF28E3" w:rsidRDefault="00FF28E3" w:rsidP="00FF28E3">
            <w:pPr>
              <w:spacing w:line="240" w:lineRule="auto"/>
              <w:rPr>
                <w:rFonts w:eastAsia="Times New Roman"/>
                <w:i/>
                <w:iCs/>
                <w:color w:val="000000"/>
                <w:sz w:val="20"/>
                <w:szCs w:val="20"/>
                <w:lang w:val="en-IN"/>
              </w:rPr>
            </w:pPr>
          </w:p>
        </w:tc>
      </w:tr>
      <w:tr w:rsidR="00FF28E3" w:rsidRPr="00FF28E3" w14:paraId="7356E7DB" w14:textId="77777777" w:rsidTr="00FF28E3">
        <w:trPr>
          <w:trHeight w:val="312"/>
        </w:trPr>
        <w:tc>
          <w:tcPr>
            <w:tcW w:w="1391" w:type="pct"/>
            <w:tcBorders>
              <w:top w:val="nil"/>
              <w:left w:val="single" w:sz="4" w:space="0" w:color="000000"/>
              <w:bottom w:val="single" w:sz="4" w:space="0" w:color="000000"/>
              <w:right w:val="single" w:sz="4" w:space="0" w:color="000000"/>
            </w:tcBorders>
            <w:noWrap/>
            <w:vAlign w:val="center"/>
            <w:hideMark/>
          </w:tcPr>
          <w:p w14:paraId="4E9B5D47" w14:textId="77777777" w:rsidR="00FF28E3" w:rsidRPr="00FF28E3" w:rsidRDefault="00FF28E3" w:rsidP="00FF28E3">
            <w:pPr>
              <w:spacing w:line="240" w:lineRule="auto"/>
              <w:rPr>
                <w:rFonts w:eastAsia="Times New Roman"/>
                <w:color w:val="000000"/>
                <w:sz w:val="20"/>
                <w:szCs w:val="20"/>
                <w:lang w:val="en-IN"/>
              </w:rPr>
            </w:pPr>
            <w:r w:rsidRPr="00FF28E3">
              <w:rPr>
                <w:rFonts w:eastAsia="Times New Roman"/>
                <w:color w:val="000000"/>
                <w:sz w:val="20"/>
                <w:szCs w:val="20"/>
                <w:lang w:val="en-IN"/>
              </w:rPr>
              <w:t>Total Revenue</w:t>
            </w:r>
          </w:p>
        </w:tc>
        <w:tc>
          <w:tcPr>
            <w:tcW w:w="530" w:type="pct"/>
            <w:vMerge/>
            <w:tcBorders>
              <w:top w:val="nil"/>
              <w:left w:val="single" w:sz="4" w:space="0" w:color="000000"/>
              <w:bottom w:val="single" w:sz="4" w:space="0" w:color="000000"/>
              <w:right w:val="single" w:sz="4" w:space="0" w:color="000000"/>
            </w:tcBorders>
            <w:vAlign w:val="center"/>
            <w:hideMark/>
          </w:tcPr>
          <w:p w14:paraId="39565325" w14:textId="77777777" w:rsidR="00FF28E3" w:rsidRPr="00FF28E3" w:rsidRDefault="00FF28E3" w:rsidP="00FF28E3">
            <w:pPr>
              <w:spacing w:line="240" w:lineRule="auto"/>
              <w:rPr>
                <w:rFonts w:eastAsia="Times New Roman"/>
                <w:i/>
                <w:iCs/>
                <w:color w:val="FF0000"/>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3FC090ED"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984AFCF" w14:textId="77777777" w:rsidR="00FF28E3" w:rsidRPr="00FF28E3" w:rsidRDefault="00FF28E3" w:rsidP="00FF28E3">
            <w:pPr>
              <w:spacing w:line="240" w:lineRule="auto"/>
              <w:rPr>
                <w:rFonts w:eastAsia="Times New Roman"/>
                <w:i/>
                <w:iCs/>
                <w:color w:val="0000FF"/>
                <w:sz w:val="20"/>
                <w:szCs w:val="20"/>
                <w:lang w:val="en-IN"/>
              </w:rPr>
            </w:pPr>
          </w:p>
        </w:tc>
        <w:tc>
          <w:tcPr>
            <w:tcW w:w="530" w:type="pct"/>
            <w:vMerge/>
            <w:tcBorders>
              <w:top w:val="nil"/>
              <w:left w:val="single" w:sz="4" w:space="0" w:color="000000"/>
              <w:bottom w:val="single" w:sz="4" w:space="0" w:color="000000"/>
              <w:right w:val="single" w:sz="4" w:space="0" w:color="000000"/>
            </w:tcBorders>
            <w:vAlign w:val="center"/>
            <w:hideMark/>
          </w:tcPr>
          <w:p w14:paraId="52597EA0" w14:textId="77777777" w:rsidR="00FF28E3" w:rsidRPr="00FF28E3" w:rsidRDefault="00FF28E3" w:rsidP="00FF28E3">
            <w:pPr>
              <w:spacing w:line="240" w:lineRule="auto"/>
              <w:rPr>
                <w:rFonts w:eastAsia="Times New Roman"/>
                <w:i/>
                <w:iCs/>
                <w:color w:val="0000FF"/>
                <w:sz w:val="20"/>
                <w:szCs w:val="20"/>
                <w:lang w:val="en-IN"/>
              </w:rPr>
            </w:pPr>
          </w:p>
        </w:tc>
        <w:tc>
          <w:tcPr>
            <w:tcW w:w="542" w:type="pct"/>
            <w:vMerge/>
            <w:tcBorders>
              <w:top w:val="nil"/>
              <w:left w:val="single" w:sz="4" w:space="0" w:color="000000"/>
              <w:bottom w:val="single" w:sz="4" w:space="0" w:color="000000"/>
              <w:right w:val="single" w:sz="4" w:space="0" w:color="000000"/>
            </w:tcBorders>
            <w:vAlign w:val="center"/>
            <w:hideMark/>
          </w:tcPr>
          <w:p w14:paraId="4E5BA594" w14:textId="77777777" w:rsidR="00FF28E3" w:rsidRPr="00FF28E3" w:rsidRDefault="00FF28E3" w:rsidP="00FF28E3">
            <w:pPr>
              <w:spacing w:line="240" w:lineRule="auto"/>
              <w:rPr>
                <w:rFonts w:eastAsia="Times New Roman"/>
                <w:i/>
                <w:iCs/>
                <w:color w:val="0000FF"/>
                <w:sz w:val="20"/>
                <w:szCs w:val="20"/>
                <w:lang w:val="en-IN"/>
              </w:rPr>
            </w:pPr>
          </w:p>
        </w:tc>
        <w:tc>
          <w:tcPr>
            <w:tcW w:w="947" w:type="pct"/>
            <w:vMerge/>
            <w:tcBorders>
              <w:top w:val="nil"/>
              <w:left w:val="single" w:sz="4" w:space="0" w:color="000000"/>
              <w:bottom w:val="single" w:sz="4" w:space="0" w:color="000000"/>
              <w:right w:val="single" w:sz="4" w:space="0" w:color="000000"/>
            </w:tcBorders>
            <w:vAlign w:val="center"/>
            <w:hideMark/>
          </w:tcPr>
          <w:p w14:paraId="2CEBF65C" w14:textId="77777777" w:rsidR="00FF28E3" w:rsidRPr="00FF28E3" w:rsidRDefault="00FF28E3" w:rsidP="00FF28E3">
            <w:pPr>
              <w:spacing w:line="240" w:lineRule="auto"/>
              <w:rPr>
                <w:rFonts w:eastAsia="Times New Roman"/>
                <w:i/>
                <w:iCs/>
                <w:color w:val="000000"/>
                <w:sz w:val="20"/>
                <w:szCs w:val="20"/>
                <w:lang w:val="en-IN"/>
              </w:rPr>
            </w:pPr>
          </w:p>
        </w:tc>
      </w:tr>
    </w:tbl>
    <w:p w14:paraId="686A2931" w14:textId="7E5099E2" w:rsidR="00FF28E3" w:rsidRDefault="00FF28E3">
      <w:pPr>
        <w:spacing w:before="240" w:after="240" w:line="360" w:lineRule="auto"/>
        <w:jc w:val="both"/>
        <w:rPr>
          <w:sz w:val="24"/>
          <w:szCs w:val="24"/>
        </w:rPr>
      </w:pPr>
    </w:p>
    <w:p w14:paraId="752C7AA5" w14:textId="77777777" w:rsidR="00FF28E3" w:rsidRDefault="00FF28E3">
      <w:pPr>
        <w:rPr>
          <w:sz w:val="24"/>
          <w:szCs w:val="24"/>
        </w:rPr>
      </w:pPr>
      <w:r>
        <w:rPr>
          <w:sz w:val="24"/>
          <w:szCs w:val="24"/>
        </w:rPr>
        <w:br w:type="page"/>
      </w:r>
    </w:p>
    <w:p w14:paraId="1A16F8B9" w14:textId="7274227F" w:rsidR="00FD737D" w:rsidRDefault="00FF28E3">
      <w:pPr>
        <w:spacing w:before="240" w:after="240" w:line="360" w:lineRule="auto"/>
        <w:jc w:val="both"/>
        <w:rPr>
          <w:b/>
          <w:bCs/>
          <w:i/>
          <w:iCs/>
          <w:sz w:val="24"/>
          <w:szCs w:val="24"/>
        </w:rPr>
      </w:pPr>
      <w:r w:rsidRPr="00FF28E3">
        <w:rPr>
          <w:b/>
          <w:bCs/>
          <w:i/>
          <w:iCs/>
          <w:sz w:val="24"/>
          <w:szCs w:val="24"/>
        </w:rPr>
        <w:lastRenderedPageBreak/>
        <w:t>Graphs</w:t>
      </w:r>
      <w:r>
        <w:rPr>
          <w:b/>
          <w:bCs/>
          <w:i/>
          <w:iCs/>
          <w:sz w:val="24"/>
          <w:szCs w:val="24"/>
        </w:rPr>
        <w:t xml:space="preserve"> </w:t>
      </w:r>
    </w:p>
    <w:p w14:paraId="2BA63E6D" w14:textId="4765CFC9" w:rsidR="00FF28E3" w:rsidRDefault="00FF28E3">
      <w:pPr>
        <w:spacing w:before="240" w:after="240" w:line="360" w:lineRule="auto"/>
        <w:jc w:val="both"/>
        <w:rPr>
          <w:b/>
          <w:bCs/>
          <w:sz w:val="24"/>
          <w:szCs w:val="24"/>
        </w:rPr>
      </w:pPr>
      <w:r>
        <w:rPr>
          <w:b/>
          <w:bCs/>
          <w:sz w:val="24"/>
          <w:szCs w:val="24"/>
        </w:rPr>
        <w:t>Profitability</w:t>
      </w:r>
    </w:p>
    <w:p w14:paraId="5D56CA96" w14:textId="08A3201F" w:rsidR="00FF28E3" w:rsidRDefault="00FF28E3" w:rsidP="00FF28E3">
      <w:pPr>
        <w:spacing w:before="240" w:after="240" w:line="360" w:lineRule="auto"/>
        <w:jc w:val="center"/>
        <w:rPr>
          <w:b/>
          <w:bCs/>
          <w:sz w:val="24"/>
          <w:szCs w:val="24"/>
        </w:rPr>
      </w:pPr>
      <w:r>
        <w:rPr>
          <w:noProof/>
          <w:lang w:val="en-IN"/>
        </w:rPr>
        <w:drawing>
          <wp:inline distT="0" distB="0" distL="0" distR="0" wp14:anchorId="7513F91C" wp14:editId="1A489BB0">
            <wp:extent cx="4686300" cy="2716530"/>
            <wp:effectExtent l="38100" t="38100" r="133350" b="121920"/>
            <wp:docPr id="171217671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A6620CC" w14:textId="695974B6" w:rsidR="00FF28E3" w:rsidRDefault="00FF28E3" w:rsidP="00FF28E3">
      <w:pPr>
        <w:spacing w:before="240" w:after="240" w:line="360" w:lineRule="auto"/>
        <w:jc w:val="center"/>
        <w:rPr>
          <w:b/>
          <w:bCs/>
          <w:sz w:val="24"/>
          <w:szCs w:val="24"/>
        </w:rPr>
      </w:pPr>
      <w:r>
        <w:rPr>
          <w:noProof/>
          <w:lang w:val="en-IN"/>
        </w:rPr>
        <w:drawing>
          <wp:inline distT="0" distB="0" distL="0" distR="0" wp14:anchorId="27DF5AA9" wp14:editId="3EA5D87E">
            <wp:extent cx="4686300" cy="2716530"/>
            <wp:effectExtent l="19050" t="76200" r="152400" b="83820"/>
            <wp:docPr id="108625942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27C5E32" w14:textId="0DD95DD3" w:rsidR="00FF28E3" w:rsidRDefault="00FF28E3">
      <w:pPr>
        <w:rPr>
          <w:b/>
          <w:bCs/>
          <w:sz w:val="24"/>
          <w:szCs w:val="24"/>
        </w:rPr>
      </w:pPr>
      <w:r>
        <w:rPr>
          <w:b/>
          <w:bCs/>
          <w:sz w:val="24"/>
          <w:szCs w:val="24"/>
        </w:rPr>
        <w:br w:type="page"/>
      </w:r>
    </w:p>
    <w:p w14:paraId="66F119A1" w14:textId="3C05DC71" w:rsidR="00FF28E3" w:rsidRDefault="00FF28E3">
      <w:pPr>
        <w:spacing w:before="240" w:after="240" w:line="360" w:lineRule="auto"/>
        <w:jc w:val="both"/>
        <w:rPr>
          <w:b/>
          <w:bCs/>
          <w:sz w:val="24"/>
          <w:szCs w:val="24"/>
        </w:rPr>
      </w:pPr>
      <w:r w:rsidRPr="00FF28E3">
        <w:rPr>
          <w:b/>
          <w:bCs/>
          <w:sz w:val="24"/>
          <w:szCs w:val="24"/>
        </w:rPr>
        <w:lastRenderedPageBreak/>
        <w:t>Asset Efficiency</w:t>
      </w:r>
    </w:p>
    <w:p w14:paraId="7A0F50FA" w14:textId="56DB4BB8" w:rsidR="00FF28E3" w:rsidRDefault="00FF28E3" w:rsidP="00FF28E3">
      <w:pPr>
        <w:spacing w:before="240" w:after="240" w:line="360" w:lineRule="auto"/>
        <w:jc w:val="center"/>
        <w:rPr>
          <w:b/>
          <w:bCs/>
          <w:sz w:val="24"/>
          <w:szCs w:val="24"/>
        </w:rPr>
      </w:pPr>
      <w:r>
        <w:rPr>
          <w:noProof/>
          <w:lang w:val="en-IN"/>
        </w:rPr>
        <w:drawing>
          <wp:inline distT="0" distB="0" distL="0" distR="0" wp14:anchorId="35F4A4F1" wp14:editId="056875E4">
            <wp:extent cx="4686300" cy="2716530"/>
            <wp:effectExtent l="19050" t="76200" r="152400" b="83820"/>
            <wp:docPr id="1124859742"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EEF5B87" w14:textId="16292CC6" w:rsidR="00FF28E3" w:rsidRDefault="00FF28E3" w:rsidP="00FF28E3">
      <w:pPr>
        <w:spacing w:before="240" w:after="240" w:line="360" w:lineRule="auto"/>
        <w:jc w:val="center"/>
        <w:rPr>
          <w:b/>
          <w:bCs/>
          <w:sz w:val="24"/>
          <w:szCs w:val="24"/>
        </w:rPr>
      </w:pPr>
      <w:r>
        <w:rPr>
          <w:noProof/>
          <w:lang w:val="en-IN"/>
        </w:rPr>
        <w:drawing>
          <wp:inline distT="0" distB="0" distL="0" distR="0" wp14:anchorId="44A7728F" wp14:editId="66E2AE7D">
            <wp:extent cx="4686300" cy="2718435"/>
            <wp:effectExtent l="19050" t="76200" r="152400" b="81915"/>
            <wp:docPr id="29466942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EB27C76" w14:textId="17B4605D" w:rsidR="00FF28E3" w:rsidRDefault="00FF28E3">
      <w:pPr>
        <w:rPr>
          <w:b/>
          <w:bCs/>
          <w:sz w:val="24"/>
          <w:szCs w:val="24"/>
        </w:rPr>
      </w:pPr>
      <w:r>
        <w:rPr>
          <w:b/>
          <w:bCs/>
          <w:sz w:val="24"/>
          <w:szCs w:val="24"/>
        </w:rPr>
        <w:br w:type="page"/>
      </w:r>
    </w:p>
    <w:p w14:paraId="7DE1855B" w14:textId="1F427170" w:rsidR="00FF28E3" w:rsidRPr="00FF28E3" w:rsidRDefault="00FF28E3">
      <w:pPr>
        <w:spacing w:before="240" w:after="240" w:line="360" w:lineRule="auto"/>
        <w:jc w:val="both"/>
        <w:rPr>
          <w:b/>
          <w:bCs/>
          <w:sz w:val="24"/>
          <w:szCs w:val="24"/>
        </w:rPr>
      </w:pPr>
      <w:r w:rsidRPr="00FF28E3">
        <w:rPr>
          <w:b/>
          <w:bCs/>
          <w:sz w:val="24"/>
          <w:szCs w:val="24"/>
        </w:rPr>
        <w:lastRenderedPageBreak/>
        <w:t>Liquidity</w:t>
      </w:r>
    </w:p>
    <w:p w14:paraId="408BD69B" w14:textId="425D3629" w:rsidR="00FF28E3" w:rsidRDefault="00FF28E3" w:rsidP="00FF28E3">
      <w:pPr>
        <w:spacing w:before="240" w:after="240" w:line="360" w:lineRule="auto"/>
        <w:jc w:val="center"/>
        <w:rPr>
          <w:sz w:val="24"/>
          <w:szCs w:val="24"/>
        </w:rPr>
      </w:pPr>
      <w:r>
        <w:rPr>
          <w:noProof/>
          <w:lang w:val="en-IN"/>
        </w:rPr>
        <w:drawing>
          <wp:inline distT="0" distB="0" distL="0" distR="0" wp14:anchorId="0CF39C83" wp14:editId="78C80A5B">
            <wp:extent cx="4686300" cy="2716530"/>
            <wp:effectExtent l="19050" t="76200" r="152400" b="83820"/>
            <wp:docPr id="1591679427"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5CB975B" w14:textId="14D3448C" w:rsidR="00FF28E3" w:rsidRDefault="00FF28E3" w:rsidP="00FF28E3">
      <w:pPr>
        <w:spacing w:before="240" w:after="240" w:line="360" w:lineRule="auto"/>
        <w:jc w:val="center"/>
        <w:rPr>
          <w:sz w:val="24"/>
          <w:szCs w:val="24"/>
        </w:rPr>
      </w:pPr>
      <w:r>
        <w:rPr>
          <w:noProof/>
          <w:lang w:val="en-IN"/>
        </w:rPr>
        <w:drawing>
          <wp:inline distT="0" distB="0" distL="0" distR="0" wp14:anchorId="07F9603E" wp14:editId="04EDD28A">
            <wp:extent cx="4686300" cy="2716530"/>
            <wp:effectExtent l="19050" t="76200" r="152400" b="83820"/>
            <wp:docPr id="443687608"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6F1AD58" w14:textId="4C970A2C" w:rsidR="00FF28E3" w:rsidRDefault="00FF28E3">
      <w:pPr>
        <w:rPr>
          <w:sz w:val="24"/>
          <w:szCs w:val="24"/>
        </w:rPr>
      </w:pPr>
      <w:r>
        <w:rPr>
          <w:sz w:val="24"/>
          <w:szCs w:val="24"/>
        </w:rPr>
        <w:br w:type="page"/>
      </w:r>
    </w:p>
    <w:p w14:paraId="596E0B5B" w14:textId="153CFBE5" w:rsidR="00FF28E3" w:rsidRDefault="00FF28E3">
      <w:pPr>
        <w:spacing w:before="240" w:after="240" w:line="360" w:lineRule="auto"/>
        <w:jc w:val="both"/>
        <w:rPr>
          <w:b/>
          <w:bCs/>
          <w:sz w:val="24"/>
          <w:szCs w:val="24"/>
        </w:rPr>
      </w:pPr>
      <w:r>
        <w:rPr>
          <w:b/>
          <w:bCs/>
          <w:sz w:val="24"/>
          <w:szCs w:val="24"/>
        </w:rPr>
        <w:lastRenderedPageBreak/>
        <w:t>Returns Ratio</w:t>
      </w:r>
    </w:p>
    <w:p w14:paraId="6DFFED69" w14:textId="26054370" w:rsidR="00FF28E3" w:rsidRDefault="00FF28E3" w:rsidP="00FF28E3">
      <w:pPr>
        <w:spacing w:before="240" w:after="240" w:line="360" w:lineRule="auto"/>
        <w:jc w:val="center"/>
        <w:rPr>
          <w:sz w:val="24"/>
          <w:szCs w:val="24"/>
        </w:rPr>
      </w:pPr>
      <w:r>
        <w:rPr>
          <w:noProof/>
          <w:lang w:val="en-IN"/>
        </w:rPr>
        <w:drawing>
          <wp:inline distT="0" distB="0" distL="0" distR="0" wp14:anchorId="32F8D38A" wp14:editId="0ED82349">
            <wp:extent cx="4686300" cy="2718435"/>
            <wp:effectExtent l="19050" t="76200" r="152400" b="81915"/>
            <wp:docPr id="9055048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E975E8F" w14:textId="25BF86E4" w:rsidR="00FF28E3" w:rsidRPr="00FF28E3" w:rsidRDefault="00FF28E3" w:rsidP="00FF28E3">
      <w:pPr>
        <w:spacing w:before="240" w:after="240" w:line="360" w:lineRule="auto"/>
        <w:jc w:val="center"/>
        <w:rPr>
          <w:sz w:val="24"/>
          <w:szCs w:val="24"/>
        </w:rPr>
      </w:pPr>
      <w:r>
        <w:rPr>
          <w:noProof/>
          <w:lang w:val="en-IN"/>
        </w:rPr>
        <w:drawing>
          <wp:inline distT="0" distB="0" distL="0" distR="0" wp14:anchorId="3FA6AFAC" wp14:editId="78AE20F6">
            <wp:extent cx="4692015" cy="2716530"/>
            <wp:effectExtent l="19050" t="76200" r="146685" b="83820"/>
            <wp:docPr id="146629466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BBB1870" w14:textId="603568E7" w:rsidR="00FF28E3" w:rsidRDefault="00FF28E3">
      <w:pPr>
        <w:rPr>
          <w:sz w:val="24"/>
          <w:szCs w:val="24"/>
        </w:rPr>
      </w:pPr>
      <w:r>
        <w:rPr>
          <w:sz w:val="24"/>
          <w:szCs w:val="24"/>
        </w:rPr>
        <w:br w:type="page"/>
      </w:r>
    </w:p>
    <w:p w14:paraId="7C0649A5" w14:textId="7034A7BB" w:rsidR="00FD737D" w:rsidRDefault="00FF28E3">
      <w:pPr>
        <w:spacing w:after="240" w:line="360" w:lineRule="auto"/>
        <w:jc w:val="both"/>
        <w:rPr>
          <w:b/>
          <w:bCs/>
          <w:sz w:val="24"/>
          <w:szCs w:val="24"/>
        </w:rPr>
      </w:pPr>
      <w:r>
        <w:rPr>
          <w:b/>
          <w:bCs/>
          <w:sz w:val="24"/>
          <w:szCs w:val="24"/>
        </w:rPr>
        <w:lastRenderedPageBreak/>
        <w:t>Cash flow ratios</w:t>
      </w:r>
    </w:p>
    <w:p w14:paraId="1DEA66A5" w14:textId="0991F7E0" w:rsidR="00FF28E3" w:rsidRDefault="00455672" w:rsidP="00455672">
      <w:pPr>
        <w:spacing w:after="240" w:line="360" w:lineRule="auto"/>
        <w:jc w:val="center"/>
        <w:rPr>
          <w:b/>
          <w:bCs/>
          <w:sz w:val="24"/>
          <w:szCs w:val="24"/>
        </w:rPr>
      </w:pPr>
      <w:r>
        <w:rPr>
          <w:noProof/>
          <w:lang w:val="en-IN"/>
        </w:rPr>
        <w:drawing>
          <wp:inline distT="0" distB="0" distL="0" distR="0" wp14:anchorId="3FDEF4C3" wp14:editId="6760B301">
            <wp:extent cx="4692015" cy="2716530"/>
            <wp:effectExtent l="19050" t="76200" r="146685" b="83820"/>
            <wp:docPr id="163793351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C8FD150" w14:textId="4A19C6C3" w:rsidR="00455672" w:rsidRDefault="00455672" w:rsidP="00455672">
      <w:pPr>
        <w:spacing w:after="240" w:line="360" w:lineRule="auto"/>
        <w:jc w:val="center"/>
        <w:rPr>
          <w:b/>
          <w:bCs/>
          <w:sz w:val="24"/>
          <w:szCs w:val="24"/>
        </w:rPr>
      </w:pPr>
      <w:r>
        <w:rPr>
          <w:noProof/>
          <w:lang w:val="en-IN"/>
        </w:rPr>
        <w:drawing>
          <wp:inline distT="0" distB="0" distL="0" distR="0" wp14:anchorId="59EB1283" wp14:editId="2A32061B">
            <wp:extent cx="4692015" cy="2718435"/>
            <wp:effectExtent l="19050" t="76200" r="146685" b="81915"/>
            <wp:docPr id="27310687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061766D" w14:textId="4743DA08" w:rsidR="002F47B2" w:rsidRDefault="002F47B2">
      <w:pPr>
        <w:rPr>
          <w:b/>
          <w:bCs/>
          <w:sz w:val="24"/>
          <w:szCs w:val="24"/>
        </w:rPr>
      </w:pPr>
      <w:r>
        <w:rPr>
          <w:b/>
          <w:bCs/>
          <w:sz w:val="24"/>
          <w:szCs w:val="24"/>
        </w:rPr>
        <w:br w:type="page"/>
      </w:r>
    </w:p>
    <w:p w14:paraId="1E91DF82" w14:textId="77777777" w:rsidR="002F47B2" w:rsidRDefault="002F47B2" w:rsidP="002F47B2">
      <w:pPr>
        <w:pStyle w:val="Heading2"/>
      </w:pPr>
      <w:bookmarkStart w:id="67" w:name="_Toc234350276"/>
      <w:bookmarkStart w:id="68" w:name="_Toc234367499"/>
      <w:r w:rsidRPr="000F614D">
        <w:lastRenderedPageBreak/>
        <w:t>b. Investment appraisal calculations</w:t>
      </w:r>
      <w:bookmarkEnd w:id="67"/>
      <w:bookmarkEnd w:id="68"/>
    </w:p>
    <w:tbl>
      <w:tblPr>
        <w:tblW w:w="7901" w:type="dxa"/>
        <w:jc w:val="center"/>
        <w:tblLook w:val="04A0" w:firstRow="1" w:lastRow="0" w:firstColumn="1" w:lastColumn="0" w:noHBand="0" w:noVBand="1"/>
      </w:tblPr>
      <w:tblGrid>
        <w:gridCol w:w="1422"/>
        <w:gridCol w:w="2259"/>
        <w:gridCol w:w="1349"/>
        <w:gridCol w:w="2871"/>
      </w:tblGrid>
      <w:tr w:rsidR="002F47B2" w:rsidRPr="002F47B2" w14:paraId="1951C096" w14:textId="77777777" w:rsidTr="002F47B2">
        <w:trPr>
          <w:trHeight w:val="675"/>
          <w:jc w:val="center"/>
        </w:trPr>
        <w:tc>
          <w:tcPr>
            <w:tcW w:w="7901" w:type="dxa"/>
            <w:gridSpan w:val="4"/>
            <w:tcBorders>
              <w:top w:val="nil"/>
              <w:left w:val="nil"/>
              <w:bottom w:val="nil"/>
              <w:right w:val="nil"/>
            </w:tcBorders>
            <w:noWrap/>
            <w:vAlign w:val="center"/>
            <w:hideMark/>
          </w:tcPr>
          <w:p w14:paraId="35E124E9"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Payback Period for Project A</w:t>
            </w:r>
          </w:p>
        </w:tc>
      </w:tr>
      <w:tr w:rsidR="002F47B2" w:rsidRPr="002F47B2" w14:paraId="2E83E46E" w14:textId="77777777" w:rsidTr="002F47B2">
        <w:trPr>
          <w:trHeight w:val="315"/>
          <w:jc w:val="center"/>
        </w:trPr>
        <w:tc>
          <w:tcPr>
            <w:tcW w:w="1422" w:type="dxa"/>
            <w:tcBorders>
              <w:top w:val="single" w:sz="4" w:space="0" w:color="FFFFFF"/>
              <w:left w:val="single" w:sz="4" w:space="0" w:color="FFFFFF"/>
              <w:bottom w:val="nil"/>
              <w:right w:val="single" w:sz="4" w:space="0" w:color="FFFFFF"/>
            </w:tcBorders>
            <w:shd w:val="clear" w:color="274E13" w:fill="274E13"/>
            <w:noWrap/>
            <w:vAlign w:val="center"/>
            <w:hideMark/>
          </w:tcPr>
          <w:p w14:paraId="7055E7F9"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Particulars</w:t>
            </w:r>
          </w:p>
        </w:tc>
        <w:tc>
          <w:tcPr>
            <w:tcW w:w="2259" w:type="dxa"/>
            <w:tcBorders>
              <w:top w:val="single" w:sz="4" w:space="0" w:color="FFFFFF"/>
              <w:left w:val="nil"/>
              <w:bottom w:val="nil"/>
              <w:right w:val="single" w:sz="4" w:space="0" w:color="FFFFFF"/>
            </w:tcBorders>
            <w:shd w:val="clear" w:color="274E13" w:fill="274E13"/>
            <w:noWrap/>
            <w:vAlign w:val="center"/>
            <w:hideMark/>
          </w:tcPr>
          <w:p w14:paraId="2AB11F1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Initial Investment</w:t>
            </w:r>
          </w:p>
        </w:tc>
        <w:tc>
          <w:tcPr>
            <w:tcW w:w="1349" w:type="dxa"/>
            <w:tcBorders>
              <w:top w:val="single" w:sz="4" w:space="0" w:color="FFFFFF"/>
              <w:left w:val="nil"/>
              <w:bottom w:val="nil"/>
              <w:right w:val="single" w:sz="4" w:space="0" w:color="FFFFFF"/>
            </w:tcBorders>
            <w:shd w:val="clear" w:color="274E13" w:fill="274E13"/>
            <w:noWrap/>
            <w:vAlign w:val="center"/>
            <w:hideMark/>
          </w:tcPr>
          <w:p w14:paraId="6803657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w:t>
            </w:r>
          </w:p>
        </w:tc>
        <w:tc>
          <w:tcPr>
            <w:tcW w:w="2871" w:type="dxa"/>
            <w:tcBorders>
              <w:top w:val="single" w:sz="4" w:space="0" w:color="FFFFFF"/>
              <w:left w:val="nil"/>
              <w:bottom w:val="single" w:sz="4" w:space="0" w:color="FFFFFF"/>
              <w:right w:val="single" w:sz="4" w:space="0" w:color="FFFFFF"/>
            </w:tcBorders>
            <w:shd w:val="clear" w:color="274E13" w:fill="274E13"/>
            <w:noWrap/>
            <w:vAlign w:val="center"/>
            <w:hideMark/>
          </w:tcPr>
          <w:p w14:paraId="655950F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Cumulative Cash Flow</w:t>
            </w:r>
          </w:p>
        </w:tc>
      </w:tr>
      <w:tr w:rsidR="002F47B2" w:rsidRPr="002F47B2" w14:paraId="5A763A95" w14:textId="77777777" w:rsidTr="002F47B2">
        <w:trPr>
          <w:trHeight w:val="315"/>
          <w:jc w:val="center"/>
        </w:trPr>
        <w:tc>
          <w:tcPr>
            <w:tcW w:w="1422" w:type="dxa"/>
            <w:tcBorders>
              <w:top w:val="single" w:sz="4" w:space="0" w:color="000000"/>
              <w:left w:val="single" w:sz="4" w:space="0" w:color="000000"/>
              <w:bottom w:val="single" w:sz="4" w:space="0" w:color="000000"/>
              <w:right w:val="single" w:sz="4" w:space="0" w:color="000000"/>
            </w:tcBorders>
            <w:noWrap/>
            <w:vAlign w:val="center"/>
            <w:hideMark/>
          </w:tcPr>
          <w:p w14:paraId="14DF1B7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0</w:t>
            </w:r>
          </w:p>
        </w:tc>
        <w:tc>
          <w:tcPr>
            <w:tcW w:w="2259" w:type="dxa"/>
            <w:tcBorders>
              <w:top w:val="single" w:sz="4" w:space="0" w:color="000000"/>
              <w:left w:val="nil"/>
              <w:bottom w:val="single" w:sz="4" w:space="0" w:color="000000"/>
              <w:right w:val="single" w:sz="4" w:space="0" w:color="000000"/>
            </w:tcBorders>
            <w:noWrap/>
            <w:vAlign w:val="center"/>
            <w:hideMark/>
          </w:tcPr>
          <w:p w14:paraId="4E2E67D8" w14:textId="119075A9"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w:t>
            </w:r>
            <w:r w:rsidR="000B0ED8" w:rsidRPr="002F47B2">
              <w:rPr>
                <w:rFonts w:ascii="Times New Roman" w:eastAsia="Times New Roman" w:hAnsi="Times New Roman" w:cs="Times New Roman"/>
                <w:color w:val="000000"/>
                <w:sz w:val="24"/>
                <w:szCs w:val="24"/>
                <w:lang w:val="en-IN"/>
              </w:rPr>
              <w:t>£ (</w:t>
            </w:r>
            <w:r w:rsidRPr="002F47B2">
              <w:rPr>
                <w:rFonts w:ascii="Times New Roman" w:eastAsia="Times New Roman" w:hAnsi="Times New Roman" w:cs="Times New Roman"/>
                <w:color w:val="000000"/>
                <w:sz w:val="24"/>
                <w:szCs w:val="24"/>
                <w:lang w:val="en-IN"/>
              </w:rPr>
              <w:t>50.00)</w:t>
            </w:r>
          </w:p>
        </w:tc>
        <w:tc>
          <w:tcPr>
            <w:tcW w:w="1349" w:type="dxa"/>
            <w:tcBorders>
              <w:top w:val="single" w:sz="4" w:space="0" w:color="000000"/>
              <w:left w:val="nil"/>
              <w:bottom w:val="single" w:sz="4" w:space="0" w:color="000000"/>
              <w:right w:val="single" w:sz="4" w:space="0" w:color="000000"/>
            </w:tcBorders>
            <w:noWrap/>
            <w:vAlign w:val="center"/>
            <w:hideMark/>
          </w:tcPr>
          <w:p w14:paraId="6552B6B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2871" w:type="dxa"/>
            <w:tcBorders>
              <w:top w:val="nil"/>
              <w:left w:val="nil"/>
              <w:bottom w:val="single" w:sz="4" w:space="0" w:color="000000"/>
              <w:right w:val="single" w:sz="4" w:space="0" w:color="000000"/>
            </w:tcBorders>
            <w:noWrap/>
            <w:vAlign w:val="center"/>
            <w:hideMark/>
          </w:tcPr>
          <w:p w14:paraId="31385DE0" w14:textId="7AA5D261"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w:t>
            </w:r>
            <w:r w:rsidR="000B0ED8" w:rsidRPr="002F47B2">
              <w:rPr>
                <w:rFonts w:ascii="Times New Roman" w:eastAsia="Times New Roman" w:hAnsi="Times New Roman" w:cs="Times New Roman"/>
                <w:color w:val="000000"/>
                <w:sz w:val="24"/>
                <w:szCs w:val="24"/>
                <w:lang w:val="en-IN"/>
              </w:rPr>
              <w:t>£ (</w:t>
            </w:r>
            <w:r w:rsidRPr="002F47B2">
              <w:rPr>
                <w:rFonts w:ascii="Times New Roman" w:eastAsia="Times New Roman" w:hAnsi="Times New Roman" w:cs="Times New Roman"/>
                <w:color w:val="000000"/>
                <w:sz w:val="24"/>
                <w:szCs w:val="24"/>
                <w:lang w:val="en-IN"/>
              </w:rPr>
              <w:t>50.00)</w:t>
            </w:r>
          </w:p>
        </w:tc>
      </w:tr>
      <w:tr w:rsidR="002F47B2" w:rsidRPr="002F47B2" w14:paraId="6978E6F8"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04B248A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2259" w:type="dxa"/>
            <w:tcBorders>
              <w:top w:val="nil"/>
              <w:left w:val="nil"/>
              <w:bottom w:val="single" w:sz="4" w:space="0" w:color="000000"/>
              <w:right w:val="single" w:sz="4" w:space="0" w:color="000000"/>
            </w:tcBorders>
            <w:noWrap/>
            <w:vAlign w:val="center"/>
            <w:hideMark/>
          </w:tcPr>
          <w:p w14:paraId="469A4FC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28F2D9E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2871" w:type="dxa"/>
            <w:tcBorders>
              <w:top w:val="nil"/>
              <w:left w:val="nil"/>
              <w:bottom w:val="single" w:sz="4" w:space="0" w:color="000000"/>
              <w:right w:val="single" w:sz="4" w:space="0" w:color="000000"/>
            </w:tcBorders>
            <w:noWrap/>
            <w:vAlign w:val="center"/>
            <w:hideMark/>
          </w:tcPr>
          <w:p w14:paraId="079E92F8" w14:textId="64A7A80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w:t>
            </w:r>
            <w:r w:rsidR="000B0ED8" w:rsidRPr="002F47B2">
              <w:rPr>
                <w:rFonts w:ascii="Times New Roman" w:eastAsia="Times New Roman" w:hAnsi="Times New Roman" w:cs="Times New Roman"/>
                <w:color w:val="000000"/>
                <w:sz w:val="24"/>
                <w:szCs w:val="24"/>
                <w:lang w:val="en-IN"/>
              </w:rPr>
              <w:t xml:space="preserve"> (</w:t>
            </w:r>
            <w:r w:rsidRPr="002F47B2">
              <w:rPr>
                <w:rFonts w:ascii="Times New Roman" w:eastAsia="Times New Roman" w:hAnsi="Times New Roman" w:cs="Times New Roman"/>
                <w:color w:val="000000"/>
                <w:sz w:val="24"/>
                <w:szCs w:val="24"/>
                <w:lang w:val="en-IN"/>
              </w:rPr>
              <w:t>40.00)</w:t>
            </w:r>
          </w:p>
        </w:tc>
      </w:tr>
      <w:tr w:rsidR="002F47B2" w:rsidRPr="002F47B2" w14:paraId="006377FF"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5E419EB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2259" w:type="dxa"/>
            <w:tcBorders>
              <w:top w:val="nil"/>
              <w:left w:val="nil"/>
              <w:bottom w:val="single" w:sz="4" w:space="0" w:color="000000"/>
              <w:right w:val="single" w:sz="4" w:space="0" w:color="000000"/>
            </w:tcBorders>
            <w:noWrap/>
            <w:vAlign w:val="center"/>
            <w:hideMark/>
          </w:tcPr>
          <w:p w14:paraId="1673D96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75674FD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2871" w:type="dxa"/>
            <w:tcBorders>
              <w:top w:val="nil"/>
              <w:left w:val="nil"/>
              <w:bottom w:val="single" w:sz="4" w:space="0" w:color="000000"/>
              <w:right w:val="single" w:sz="4" w:space="0" w:color="000000"/>
            </w:tcBorders>
            <w:noWrap/>
            <w:vAlign w:val="center"/>
            <w:hideMark/>
          </w:tcPr>
          <w:p w14:paraId="176E5FF2" w14:textId="0EE60E28"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(28.00)</w:t>
            </w:r>
          </w:p>
        </w:tc>
      </w:tr>
      <w:tr w:rsidR="002F47B2" w:rsidRPr="002F47B2" w14:paraId="7219D812"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02FF242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2259" w:type="dxa"/>
            <w:tcBorders>
              <w:top w:val="nil"/>
              <w:left w:val="nil"/>
              <w:bottom w:val="single" w:sz="4" w:space="0" w:color="000000"/>
              <w:right w:val="single" w:sz="4" w:space="0" w:color="000000"/>
            </w:tcBorders>
            <w:noWrap/>
            <w:vAlign w:val="center"/>
            <w:hideMark/>
          </w:tcPr>
          <w:p w14:paraId="111A3CE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369EC77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2871" w:type="dxa"/>
            <w:tcBorders>
              <w:top w:val="nil"/>
              <w:left w:val="nil"/>
              <w:bottom w:val="single" w:sz="4" w:space="0" w:color="000000"/>
              <w:right w:val="single" w:sz="4" w:space="0" w:color="000000"/>
            </w:tcBorders>
            <w:noWrap/>
            <w:vAlign w:val="center"/>
            <w:hideMark/>
          </w:tcPr>
          <w:p w14:paraId="0455FEBA" w14:textId="2AB9C071"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w:t>
            </w:r>
          </w:p>
        </w:tc>
      </w:tr>
      <w:tr w:rsidR="002F47B2" w:rsidRPr="002F47B2" w14:paraId="62F19F88"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648314B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2259" w:type="dxa"/>
            <w:tcBorders>
              <w:top w:val="nil"/>
              <w:left w:val="nil"/>
              <w:bottom w:val="single" w:sz="4" w:space="0" w:color="000000"/>
              <w:right w:val="single" w:sz="4" w:space="0" w:color="000000"/>
            </w:tcBorders>
            <w:noWrap/>
            <w:vAlign w:val="center"/>
            <w:hideMark/>
          </w:tcPr>
          <w:p w14:paraId="13BE72C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0C46A61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2871" w:type="dxa"/>
            <w:tcBorders>
              <w:top w:val="nil"/>
              <w:left w:val="nil"/>
              <w:bottom w:val="single" w:sz="4" w:space="0" w:color="000000"/>
              <w:right w:val="single" w:sz="4" w:space="0" w:color="000000"/>
            </w:tcBorders>
            <w:noWrap/>
            <w:vAlign w:val="center"/>
            <w:hideMark/>
          </w:tcPr>
          <w:p w14:paraId="0D5DCF98" w14:textId="33187376"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(4.00)</w:t>
            </w:r>
          </w:p>
        </w:tc>
      </w:tr>
      <w:tr w:rsidR="002F47B2" w:rsidRPr="002F47B2" w14:paraId="4025157A" w14:textId="77777777" w:rsidTr="002F47B2">
        <w:trPr>
          <w:trHeight w:val="315"/>
          <w:jc w:val="center"/>
        </w:trPr>
        <w:tc>
          <w:tcPr>
            <w:tcW w:w="1422" w:type="dxa"/>
            <w:tcBorders>
              <w:top w:val="nil"/>
              <w:left w:val="single" w:sz="4" w:space="0" w:color="000000"/>
              <w:bottom w:val="nil"/>
              <w:right w:val="single" w:sz="4" w:space="0" w:color="000000"/>
            </w:tcBorders>
            <w:noWrap/>
            <w:vAlign w:val="center"/>
            <w:hideMark/>
          </w:tcPr>
          <w:p w14:paraId="6A820FC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2259" w:type="dxa"/>
            <w:tcBorders>
              <w:top w:val="nil"/>
              <w:left w:val="nil"/>
              <w:bottom w:val="nil"/>
              <w:right w:val="single" w:sz="4" w:space="0" w:color="000000"/>
            </w:tcBorders>
            <w:noWrap/>
            <w:vAlign w:val="center"/>
            <w:hideMark/>
          </w:tcPr>
          <w:p w14:paraId="1AA42A4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nil"/>
              <w:right w:val="single" w:sz="4" w:space="0" w:color="000000"/>
            </w:tcBorders>
            <w:noWrap/>
            <w:vAlign w:val="center"/>
            <w:hideMark/>
          </w:tcPr>
          <w:p w14:paraId="26F779C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c>
          <w:tcPr>
            <w:tcW w:w="2871" w:type="dxa"/>
            <w:tcBorders>
              <w:top w:val="nil"/>
              <w:left w:val="nil"/>
              <w:bottom w:val="nil"/>
              <w:right w:val="single" w:sz="4" w:space="0" w:color="000000"/>
            </w:tcBorders>
            <w:noWrap/>
            <w:vAlign w:val="center"/>
            <w:hideMark/>
          </w:tcPr>
          <w:p w14:paraId="7F06BA46" w14:textId="749A0F28"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w:t>
            </w:r>
            <w:r w:rsidR="000B0ED8">
              <w:rPr>
                <w:rFonts w:ascii="Times New Roman" w:eastAsia="Times New Roman" w:hAnsi="Times New Roman" w:cs="Times New Roman"/>
                <w:color w:val="000000"/>
                <w:sz w:val="24"/>
                <w:szCs w:val="24"/>
                <w:lang w:val="en-IN"/>
              </w:rPr>
              <w:t xml:space="preserve"> </w:t>
            </w:r>
            <w:r w:rsidRPr="002F47B2">
              <w:rPr>
                <w:rFonts w:ascii="Times New Roman" w:eastAsia="Times New Roman" w:hAnsi="Times New Roman" w:cs="Times New Roman"/>
                <w:color w:val="000000"/>
                <w:sz w:val="24"/>
                <w:szCs w:val="24"/>
                <w:lang w:val="en-IN"/>
              </w:rPr>
              <w:t xml:space="preserve">4.00 </w:t>
            </w:r>
          </w:p>
        </w:tc>
      </w:tr>
      <w:tr w:rsidR="002F47B2" w:rsidRPr="002F47B2" w14:paraId="7CCD9068" w14:textId="77777777" w:rsidTr="002F47B2">
        <w:trPr>
          <w:trHeight w:val="315"/>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69B5C182"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 xml:space="preserve">Payback Period (PBP) = Years Until Break - Even = Uncovered Cost at the Beginning of the Year / Cash Flows During the Year x 12 </w:t>
            </w:r>
          </w:p>
        </w:tc>
      </w:tr>
      <w:tr w:rsidR="002F47B2" w:rsidRPr="002F47B2" w14:paraId="656E2F03" w14:textId="77777777" w:rsidTr="002F47B2">
        <w:trPr>
          <w:trHeight w:val="315"/>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7529F378"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4 Years + £4 / £8 x 12</w:t>
            </w:r>
          </w:p>
        </w:tc>
      </w:tr>
      <w:tr w:rsidR="002F47B2" w:rsidRPr="002F47B2" w14:paraId="7A5147C7" w14:textId="77777777" w:rsidTr="002F47B2">
        <w:trPr>
          <w:trHeight w:val="315"/>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4F0E7FFF"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4 Years 6 Months</w:t>
            </w:r>
          </w:p>
        </w:tc>
      </w:tr>
      <w:tr w:rsidR="002F47B2" w:rsidRPr="002F47B2" w14:paraId="5ACF58CC" w14:textId="77777777" w:rsidTr="002F47B2">
        <w:trPr>
          <w:trHeight w:val="315"/>
          <w:jc w:val="center"/>
        </w:trPr>
        <w:tc>
          <w:tcPr>
            <w:tcW w:w="1422" w:type="dxa"/>
            <w:tcBorders>
              <w:top w:val="nil"/>
              <w:left w:val="nil"/>
              <w:bottom w:val="nil"/>
              <w:right w:val="nil"/>
            </w:tcBorders>
            <w:noWrap/>
            <w:vAlign w:val="center"/>
            <w:hideMark/>
          </w:tcPr>
          <w:p w14:paraId="1B3B9DF3"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p>
        </w:tc>
        <w:tc>
          <w:tcPr>
            <w:tcW w:w="2259" w:type="dxa"/>
            <w:tcBorders>
              <w:top w:val="nil"/>
              <w:left w:val="nil"/>
              <w:bottom w:val="nil"/>
              <w:right w:val="nil"/>
            </w:tcBorders>
            <w:noWrap/>
            <w:vAlign w:val="center"/>
            <w:hideMark/>
          </w:tcPr>
          <w:p w14:paraId="5927221B"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1349" w:type="dxa"/>
            <w:tcBorders>
              <w:top w:val="nil"/>
              <w:left w:val="nil"/>
              <w:bottom w:val="nil"/>
              <w:right w:val="nil"/>
            </w:tcBorders>
            <w:noWrap/>
            <w:vAlign w:val="center"/>
            <w:hideMark/>
          </w:tcPr>
          <w:p w14:paraId="4D5453CE"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2871" w:type="dxa"/>
            <w:tcBorders>
              <w:top w:val="nil"/>
              <w:left w:val="nil"/>
              <w:bottom w:val="nil"/>
              <w:right w:val="nil"/>
            </w:tcBorders>
            <w:noWrap/>
            <w:vAlign w:val="center"/>
            <w:hideMark/>
          </w:tcPr>
          <w:p w14:paraId="371FD230"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r>
      <w:tr w:rsidR="002F47B2" w:rsidRPr="002F47B2" w14:paraId="767A5D7A" w14:textId="77777777" w:rsidTr="002F47B2">
        <w:trPr>
          <w:trHeight w:val="315"/>
          <w:jc w:val="center"/>
        </w:trPr>
        <w:tc>
          <w:tcPr>
            <w:tcW w:w="7901" w:type="dxa"/>
            <w:gridSpan w:val="4"/>
            <w:tcBorders>
              <w:top w:val="nil"/>
              <w:left w:val="nil"/>
              <w:bottom w:val="nil"/>
              <w:right w:val="nil"/>
            </w:tcBorders>
            <w:noWrap/>
            <w:vAlign w:val="center"/>
            <w:hideMark/>
          </w:tcPr>
          <w:p w14:paraId="5F8E7063"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Payback Period for Project B</w:t>
            </w:r>
          </w:p>
        </w:tc>
      </w:tr>
      <w:tr w:rsidR="002F47B2" w:rsidRPr="002F47B2" w14:paraId="15F024E6" w14:textId="77777777" w:rsidTr="002F47B2">
        <w:trPr>
          <w:trHeight w:val="315"/>
          <w:jc w:val="center"/>
        </w:trPr>
        <w:tc>
          <w:tcPr>
            <w:tcW w:w="1422" w:type="dxa"/>
            <w:tcBorders>
              <w:top w:val="single" w:sz="4" w:space="0" w:color="FFFFFF"/>
              <w:left w:val="single" w:sz="4" w:space="0" w:color="FFFFFF"/>
              <w:bottom w:val="nil"/>
              <w:right w:val="single" w:sz="4" w:space="0" w:color="FFFFFF"/>
            </w:tcBorders>
            <w:shd w:val="clear" w:color="274E13" w:fill="274E13"/>
            <w:noWrap/>
            <w:vAlign w:val="center"/>
            <w:hideMark/>
          </w:tcPr>
          <w:p w14:paraId="4F611784"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Particulars</w:t>
            </w:r>
          </w:p>
        </w:tc>
        <w:tc>
          <w:tcPr>
            <w:tcW w:w="2259" w:type="dxa"/>
            <w:tcBorders>
              <w:top w:val="single" w:sz="4" w:space="0" w:color="FFFFFF"/>
              <w:left w:val="nil"/>
              <w:bottom w:val="nil"/>
              <w:right w:val="single" w:sz="4" w:space="0" w:color="FFFFFF"/>
            </w:tcBorders>
            <w:shd w:val="clear" w:color="274E13" w:fill="274E13"/>
            <w:noWrap/>
            <w:vAlign w:val="center"/>
            <w:hideMark/>
          </w:tcPr>
          <w:p w14:paraId="5AD00914"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Initial Investment</w:t>
            </w:r>
          </w:p>
        </w:tc>
        <w:tc>
          <w:tcPr>
            <w:tcW w:w="1349" w:type="dxa"/>
            <w:tcBorders>
              <w:top w:val="single" w:sz="4" w:space="0" w:color="FFFFFF"/>
              <w:left w:val="nil"/>
              <w:bottom w:val="nil"/>
              <w:right w:val="single" w:sz="4" w:space="0" w:color="FFFFFF"/>
            </w:tcBorders>
            <w:shd w:val="clear" w:color="274E13" w:fill="274E13"/>
            <w:noWrap/>
            <w:vAlign w:val="center"/>
            <w:hideMark/>
          </w:tcPr>
          <w:p w14:paraId="79F9343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w:t>
            </w:r>
          </w:p>
        </w:tc>
        <w:tc>
          <w:tcPr>
            <w:tcW w:w="2871" w:type="dxa"/>
            <w:tcBorders>
              <w:top w:val="single" w:sz="4" w:space="0" w:color="FFFFFF"/>
              <w:left w:val="nil"/>
              <w:bottom w:val="single" w:sz="4" w:space="0" w:color="FFFFFF"/>
              <w:right w:val="single" w:sz="4" w:space="0" w:color="FFFFFF"/>
            </w:tcBorders>
            <w:shd w:val="clear" w:color="274E13" w:fill="274E13"/>
            <w:noWrap/>
            <w:vAlign w:val="center"/>
            <w:hideMark/>
          </w:tcPr>
          <w:p w14:paraId="6854BD54"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Cumulative Cash Flow</w:t>
            </w:r>
          </w:p>
        </w:tc>
      </w:tr>
      <w:tr w:rsidR="002F47B2" w:rsidRPr="002F47B2" w14:paraId="63A081EA" w14:textId="77777777" w:rsidTr="002F47B2">
        <w:trPr>
          <w:trHeight w:val="315"/>
          <w:jc w:val="center"/>
        </w:trPr>
        <w:tc>
          <w:tcPr>
            <w:tcW w:w="1422" w:type="dxa"/>
            <w:tcBorders>
              <w:top w:val="single" w:sz="4" w:space="0" w:color="000000"/>
              <w:left w:val="single" w:sz="4" w:space="0" w:color="000000"/>
              <w:bottom w:val="single" w:sz="4" w:space="0" w:color="000000"/>
              <w:right w:val="single" w:sz="4" w:space="0" w:color="000000"/>
            </w:tcBorders>
            <w:noWrap/>
            <w:vAlign w:val="center"/>
            <w:hideMark/>
          </w:tcPr>
          <w:p w14:paraId="38C435D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0</w:t>
            </w:r>
          </w:p>
        </w:tc>
        <w:tc>
          <w:tcPr>
            <w:tcW w:w="2259" w:type="dxa"/>
            <w:tcBorders>
              <w:top w:val="single" w:sz="4" w:space="0" w:color="000000"/>
              <w:left w:val="nil"/>
              <w:bottom w:val="single" w:sz="4" w:space="0" w:color="000000"/>
              <w:right w:val="single" w:sz="4" w:space="0" w:color="000000"/>
            </w:tcBorders>
            <w:noWrap/>
            <w:vAlign w:val="center"/>
            <w:hideMark/>
          </w:tcPr>
          <w:p w14:paraId="5A51577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1349" w:type="dxa"/>
            <w:tcBorders>
              <w:top w:val="single" w:sz="4" w:space="0" w:color="000000"/>
              <w:left w:val="nil"/>
              <w:bottom w:val="single" w:sz="4" w:space="0" w:color="000000"/>
              <w:right w:val="single" w:sz="4" w:space="0" w:color="000000"/>
            </w:tcBorders>
            <w:noWrap/>
            <w:vAlign w:val="center"/>
            <w:hideMark/>
          </w:tcPr>
          <w:p w14:paraId="7D96119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2871" w:type="dxa"/>
            <w:tcBorders>
              <w:top w:val="nil"/>
              <w:left w:val="nil"/>
              <w:bottom w:val="single" w:sz="4" w:space="0" w:color="000000"/>
              <w:right w:val="single" w:sz="4" w:space="0" w:color="000000"/>
            </w:tcBorders>
            <w:noWrap/>
            <w:vAlign w:val="center"/>
            <w:hideMark/>
          </w:tcPr>
          <w:p w14:paraId="012E2DD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r>
      <w:tr w:rsidR="002F47B2" w:rsidRPr="002F47B2" w14:paraId="351CCF0A"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1FA4E9C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2259" w:type="dxa"/>
            <w:tcBorders>
              <w:top w:val="nil"/>
              <w:left w:val="nil"/>
              <w:bottom w:val="single" w:sz="4" w:space="0" w:color="000000"/>
              <w:right w:val="single" w:sz="4" w:space="0" w:color="000000"/>
            </w:tcBorders>
            <w:noWrap/>
            <w:vAlign w:val="center"/>
            <w:hideMark/>
          </w:tcPr>
          <w:p w14:paraId="14A9D26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51F8D7E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2871" w:type="dxa"/>
            <w:tcBorders>
              <w:top w:val="nil"/>
              <w:left w:val="nil"/>
              <w:bottom w:val="single" w:sz="4" w:space="0" w:color="000000"/>
              <w:right w:val="single" w:sz="4" w:space="0" w:color="000000"/>
            </w:tcBorders>
            <w:noWrap/>
            <w:vAlign w:val="center"/>
            <w:hideMark/>
          </w:tcPr>
          <w:p w14:paraId="5280DFF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(39.00)</w:t>
            </w:r>
          </w:p>
        </w:tc>
      </w:tr>
      <w:tr w:rsidR="002F47B2" w:rsidRPr="002F47B2" w14:paraId="45CBABCE"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2D3F70F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2259" w:type="dxa"/>
            <w:tcBorders>
              <w:top w:val="nil"/>
              <w:left w:val="nil"/>
              <w:bottom w:val="single" w:sz="4" w:space="0" w:color="000000"/>
              <w:right w:val="single" w:sz="4" w:space="0" w:color="000000"/>
            </w:tcBorders>
            <w:noWrap/>
            <w:vAlign w:val="center"/>
            <w:hideMark/>
          </w:tcPr>
          <w:p w14:paraId="75DDDF1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5BC45F0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2871" w:type="dxa"/>
            <w:tcBorders>
              <w:top w:val="nil"/>
              <w:left w:val="nil"/>
              <w:bottom w:val="single" w:sz="4" w:space="0" w:color="000000"/>
              <w:right w:val="single" w:sz="4" w:space="0" w:color="000000"/>
            </w:tcBorders>
            <w:noWrap/>
            <w:vAlign w:val="center"/>
            <w:hideMark/>
          </w:tcPr>
          <w:p w14:paraId="177D87B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(28.00)</w:t>
            </w:r>
          </w:p>
        </w:tc>
      </w:tr>
      <w:tr w:rsidR="002F47B2" w:rsidRPr="002F47B2" w14:paraId="64902197"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318AC62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2259" w:type="dxa"/>
            <w:tcBorders>
              <w:top w:val="nil"/>
              <w:left w:val="nil"/>
              <w:bottom w:val="single" w:sz="4" w:space="0" w:color="000000"/>
              <w:right w:val="single" w:sz="4" w:space="0" w:color="000000"/>
            </w:tcBorders>
            <w:noWrap/>
            <w:vAlign w:val="center"/>
            <w:hideMark/>
          </w:tcPr>
          <w:p w14:paraId="33E037C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3BC8D24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2871" w:type="dxa"/>
            <w:tcBorders>
              <w:top w:val="nil"/>
              <w:left w:val="nil"/>
              <w:bottom w:val="single" w:sz="4" w:space="0" w:color="000000"/>
              <w:right w:val="single" w:sz="4" w:space="0" w:color="000000"/>
            </w:tcBorders>
            <w:noWrap/>
            <w:vAlign w:val="center"/>
            <w:hideMark/>
          </w:tcPr>
          <w:p w14:paraId="22384A8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(17.00)</w:t>
            </w:r>
          </w:p>
        </w:tc>
      </w:tr>
      <w:tr w:rsidR="002F47B2" w:rsidRPr="002F47B2" w14:paraId="133E74E8"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0865841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2259" w:type="dxa"/>
            <w:tcBorders>
              <w:top w:val="nil"/>
              <w:left w:val="nil"/>
              <w:bottom w:val="single" w:sz="4" w:space="0" w:color="000000"/>
              <w:right w:val="single" w:sz="4" w:space="0" w:color="000000"/>
            </w:tcBorders>
            <w:noWrap/>
            <w:vAlign w:val="center"/>
            <w:hideMark/>
          </w:tcPr>
          <w:p w14:paraId="398803F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320E319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2871" w:type="dxa"/>
            <w:tcBorders>
              <w:top w:val="nil"/>
              <w:left w:val="nil"/>
              <w:bottom w:val="single" w:sz="4" w:space="0" w:color="000000"/>
              <w:right w:val="single" w:sz="4" w:space="0" w:color="000000"/>
            </w:tcBorders>
            <w:noWrap/>
            <w:vAlign w:val="center"/>
            <w:hideMark/>
          </w:tcPr>
          <w:p w14:paraId="6591538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(6.00)</w:t>
            </w:r>
          </w:p>
        </w:tc>
      </w:tr>
      <w:tr w:rsidR="002F47B2" w:rsidRPr="002F47B2" w14:paraId="2F8C4109" w14:textId="77777777" w:rsidTr="002F47B2">
        <w:trPr>
          <w:trHeight w:val="315"/>
          <w:jc w:val="center"/>
        </w:trPr>
        <w:tc>
          <w:tcPr>
            <w:tcW w:w="1422" w:type="dxa"/>
            <w:tcBorders>
              <w:top w:val="nil"/>
              <w:left w:val="single" w:sz="4" w:space="0" w:color="000000"/>
              <w:bottom w:val="single" w:sz="4" w:space="0" w:color="000000"/>
              <w:right w:val="single" w:sz="4" w:space="0" w:color="000000"/>
            </w:tcBorders>
            <w:noWrap/>
            <w:vAlign w:val="center"/>
            <w:hideMark/>
          </w:tcPr>
          <w:p w14:paraId="5E179C5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2259" w:type="dxa"/>
            <w:tcBorders>
              <w:top w:val="nil"/>
              <w:left w:val="nil"/>
              <w:bottom w:val="single" w:sz="4" w:space="0" w:color="000000"/>
              <w:right w:val="single" w:sz="4" w:space="0" w:color="000000"/>
            </w:tcBorders>
            <w:noWrap/>
            <w:vAlign w:val="center"/>
            <w:hideMark/>
          </w:tcPr>
          <w:p w14:paraId="4AD632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164D615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2871" w:type="dxa"/>
            <w:tcBorders>
              <w:top w:val="nil"/>
              <w:left w:val="nil"/>
              <w:bottom w:val="single" w:sz="4" w:space="0" w:color="000000"/>
              <w:right w:val="single" w:sz="4" w:space="0" w:color="000000"/>
            </w:tcBorders>
            <w:noWrap/>
            <w:vAlign w:val="center"/>
            <w:hideMark/>
          </w:tcPr>
          <w:p w14:paraId="319B580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671EDF6D" w14:textId="77777777" w:rsidTr="002F47B2">
        <w:trPr>
          <w:trHeight w:val="315"/>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32A7B6DC"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 xml:space="preserve">Payback Period (PBP) = Years Until Break - Even = Uncovered Cost at the Beginning of the Year / Cash Flows During the Year x 12 </w:t>
            </w:r>
          </w:p>
        </w:tc>
      </w:tr>
      <w:tr w:rsidR="002F47B2" w:rsidRPr="002F47B2" w14:paraId="6DA897D0" w14:textId="77777777" w:rsidTr="002F47B2">
        <w:trPr>
          <w:trHeight w:val="315"/>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266E39B5"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4 Years + £6 / £11 x 12</w:t>
            </w:r>
          </w:p>
        </w:tc>
      </w:tr>
      <w:tr w:rsidR="002F47B2" w:rsidRPr="002F47B2" w14:paraId="3FF61B9B" w14:textId="77777777" w:rsidTr="002F47B2">
        <w:trPr>
          <w:trHeight w:val="312"/>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77D4F634"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4 Years 7 Months</w:t>
            </w:r>
          </w:p>
        </w:tc>
      </w:tr>
      <w:tr w:rsidR="002F47B2" w:rsidRPr="002F47B2" w14:paraId="7F776C6E" w14:textId="77777777" w:rsidTr="002F47B2">
        <w:trPr>
          <w:trHeight w:val="312"/>
          <w:jc w:val="center"/>
        </w:trPr>
        <w:tc>
          <w:tcPr>
            <w:tcW w:w="1422" w:type="dxa"/>
            <w:tcBorders>
              <w:top w:val="nil"/>
              <w:left w:val="nil"/>
              <w:bottom w:val="nil"/>
              <w:right w:val="nil"/>
            </w:tcBorders>
            <w:noWrap/>
            <w:vAlign w:val="center"/>
            <w:hideMark/>
          </w:tcPr>
          <w:p w14:paraId="5F8DE6BE"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p>
        </w:tc>
        <w:tc>
          <w:tcPr>
            <w:tcW w:w="2259" w:type="dxa"/>
            <w:tcBorders>
              <w:top w:val="nil"/>
              <w:left w:val="nil"/>
              <w:bottom w:val="nil"/>
              <w:right w:val="nil"/>
            </w:tcBorders>
            <w:noWrap/>
            <w:vAlign w:val="center"/>
            <w:hideMark/>
          </w:tcPr>
          <w:p w14:paraId="61D9F444"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1349" w:type="dxa"/>
            <w:tcBorders>
              <w:top w:val="nil"/>
              <w:left w:val="nil"/>
              <w:bottom w:val="nil"/>
              <w:right w:val="nil"/>
            </w:tcBorders>
            <w:noWrap/>
            <w:vAlign w:val="center"/>
            <w:hideMark/>
          </w:tcPr>
          <w:p w14:paraId="017CCE77"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2871" w:type="dxa"/>
            <w:tcBorders>
              <w:top w:val="nil"/>
              <w:left w:val="nil"/>
              <w:bottom w:val="nil"/>
              <w:right w:val="nil"/>
            </w:tcBorders>
            <w:noWrap/>
            <w:vAlign w:val="center"/>
            <w:hideMark/>
          </w:tcPr>
          <w:p w14:paraId="2C096514"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r>
      <w:tr w:rsidR="002F47B2" w:rsidRPr="002F47B2" w14:paraId="29985A8F" w14:textId="77777777" w:rsidTr="002F47B2">
        <w:trPr>
          <w:trHeight w:val="432"/>
          <w:jc w:val="center"/>
        </w:trPr>
        <w:tc>
          <w:tcPr>
            <w:tcW w:w="7901" w:type="dxa"/>
            <w:gridSpan w:val="4"/>
            <w:tcBorders>
              <w:top w:val="nil"/>
              <w:left w:val="nil"/>
              <w:bottom w:val="nil"/>
              <w:right w:val="nil"/>
            </w:tcBorders>
            <w:noWrap/>
            <w:vAlign w:val="center"/>
            <w:hideMark/>
          </w:tcPr>
          <w:p w14:paraId="2387BE32"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Payback Period for Project C</w:t>
            </w:r>
          </w:p>
        </w:tc>
      </w:tr>
      <w:tr w:rsidR="002F47B2" w:rsidRPr="002F47B2" w14:paraId="67C1B23B" w14:textId="77777777" w:rsidTr="002F47B2">
        <w:trPr>
          <w:trHeight w:val="312"/>
          <w:jc w:val="center"/>
        </w:trPr>
        <w:tc>
          <w:tcPr>
            <w:tcW w:w="1422" w:type="dxa"/>
            <w:tcBorders>
              <w:top w:val="single" w:sz="4" w:space="0" w:color="FFFFFF"/>
              <w:left w:val="single" w:sz="4" w:space="0" w:color="FFFFFF"/>
              <w:bottom w:val="nil"/>
              <w:right w:val="single" w:sz="4" w:space="0" w:color="FFFFFF"/>
            </w:tcBorders>
            <w:shd w:val="clear" w:color="274E13" w:fill="274E13"/>
            <w:noWrap/>
            <w:vAlign w:val="center"/>
            <w:hideMark/>
          </w:tcPr>
          <w:p w14:paraId="54D6E3FC"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Particulars</w:t>
            </w:r>
          </w:p>
        </w:tc>
        <w:tc>
          <w:tcPr>
            <w:tcW w:w="2259" w:type="dxa"/>
            <w:tcBorders>
              <w:top w:val="single" w:sz="4" w:space="0" w:color="FFFFFF"/>
              <w:left w:val="nil"/>
              <w:bottom w:val="nil"/>
              <w:right w:val="single" w:sz="4" w:space="0" w:color="FFFFFF"/>
            </w:tcBorders>
            <w:shd w:val="clear" w:color="274E13" w:fill="274E13"/>
            <w:noWrap/>
            <w:vAlign w:val="center"/>
            <w:hideMark/>
          </w:tcPr>
          <w:p w14:paraId="52F511B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Initial Investment</w:t>
            </w:r>
          </w:p>
        </w:tc>
        <w:tc>
          <w:tcPr>
            <w:tcW w:w="1349" w:type="dxa"/>
            <w:tcBorders>
              <w:top w:val="single" w:sz="4" w:space="0" w:color="FFFFFF"/>
              <w:left w:val="nil"/>
              <w:bottom w:val="nil"/>
              <w:right w:val="single" w:sz="4" w:space="0" w:color="FFFFFF"/>
            </w:tcBorders>
            <w:shd w:val="clear" w:color="274E13" w:fill="274E13"/>
            <w:noWrap/>
            <w:vAlign w:val="center"/>
            <w:hideMark/>
          </w:tcPr>
          <w:p w14:paraId="1EB4704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w:t>
            </w:r>
          </w:p>
        </w:tc>
        <w:tc>
          <w:tcPr>
            <w:tcW w:w="2871" w:type="dxa"/>
            <w:tcBorders>
              <w:top w:val="single" w:sz="4" w:space="0" w:color="FFFFFF"/>
              <w:left w:val="nil"/>
              <w:bottom w:val="single" w:sz="4" w:space="0" w:color="FFFFFF"/>
              <w:right w:val="single" w:sz="4" w:space="0" w:color="FFFFFF"/>
            </w:tcBorders>
            <w:shd w:val="clear" w:color="274E13" w:fill="274E13"/>
            <w:noWrap/>
            <w:vAlign w:val="center"/>
            <w:hideMark/>
          </w:tcPr>
          <w:p w14:paraId="0B44C18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Cumulative Cash Flow</w:t>
            </w:r>
          </w:p>
        </w:tc>
      </w:tr>
      <w:tr w:rsidR="002F47B2" w:rsidRPr="002F47B2" w14:paraId="09BDADD7" w14:textId="77777777" w:rsidTr="002F47B2">
        <w:trPr>
          <w:trHeight w:val="312"/>
          <w:jc w:val="center"/>
        </w:trPr>
        <w:tc>
          <w:tcPr>
            <w:tcW w:w="1422" w:type="dxa"/>
            <w:tcBorders>
              <w:top w:val="single" w:sz="4" w:space="0" w:color="000000"/>
              <w:left w:val="single" w:sz="4" w:space="0" w:color="000000"/>
              <w:bottom w:val="single" w:sz="4" w:space="0" w:color="000000"/>
              <w:right w:val="single" w:sz="4" w:space="0" w:color="000000"/>
            </w:tcBorders>
            <w:noWrap/>
            <w:vAlign w:val="center"/>
            <w:hideMark/>
          </w:tcPr>
          <w:p w14:paraId="0CDF7F3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0</w:t>
            </w:r>
          </w:p>
        </w:tc>
        <w:tc>
          <w:tcPr>
            <w:tcW w:w="2259" w:type="dxa"/>
            <w:tcBorders>
              <w:top w:val="single" w:sz="4" w:space="0" w:color="000000"/>
              <w:left w:val="nil"/>
              <w:bottom w:val="single" w:sz="4" w:space="0" w:color="000000"/>
              <w:right w:val="single" w:sz="4" w:space="0" w:color="000000"/>
            </w:tcBorders>
            <w:noWrap/>
            <w:vAlign w:val="center"/>
            <w:hideMark/>
          </w:tcPr>
          <w:p w14:paraId="7521200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1349" w:type="dxa"/>
            <w:tcBorders>
              <w:top w:val="single" w:sz="4" w:space="0" w:color="000000"/>
              <w:left w:val="nil"/>
              <w:bottom w:val="single" w:sz="4" w:space="0" w:color="000000"/>
              <w:right w:val="single" w:sz="4" w:space="0" w:color="000000"/>
            </w:tcBorders>
            <w:noWrap/>
            <w:vAlign w:val="center"/>
            <w:hideMark/>
          </w:tcPr>
          <w:p w14:paraId="12D6705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2871" w:type="dxa"/>
            <w:tcBorders>
              <w:top w:val="nil"/>
              <w:left w:val="nil"/>
              <w:bottom w:val="single" w:sz="4" w:space="0" w:color="000000"/>
              <w:right w:val="single" w:sz="4" w:space="0" w:color="000000"/>
            </w:tcBorders>
            <w:noWrap/>
            <w:vAlign w:val="center"/>
            <w:hideMark/>
          </w:tcPr>
          <w:p w14:paraId="47A1155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r>
      <w:tr w:rsidR="002F47B2" w:rsidRPr="002F47B2" w14:paraId="43159A35" w14:textId="77777777" w:rsidTr="002F47B2">
        <w:trPr>
          <w:trHeight w:val="312"/>
          <w:jc w:val="center"/>
        </w:trPr>
        <w:tc>
          <w:tcPr>
            <w:tcW w:w="1422" w:type="dxa"/>
            <w:tcBorders>
              <w:top w:val="nil"/>
              <w:left w:val="single" w:sz="4" w:space="0" w:color="000000"/>
              <w:bottom w:val="single" w:sz="4" w:space="0" w:color="000000"/>
              <w:right w:val="single" w:sz="4" w:space="0" w:color="000000"/>
            </w:tcBorders>
            <w:noWrap/>
            <w:vAlign w:val="center"/>
            <w:hideMark/>
          </w:tcPr>
          <w:p w14:paraId="4CC2B9C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2259" w:type="dxa"/>
            <w:tcBorders>
              <w:top w:val="nil"/>
              <w:left w:val="nil"/>
              <w:bottom w:val="single" w:sz="4" w:space="0" w:color="000000"/>
              <w:right w:val="single" w:sz="4" w:space="0" w:color="000000"/>
            </w:tcBorders>
            <w:noWrap/>
            <w:vAlign w:val="center"/>
            <w:hideMark/>
          </w:tcPr>
          <w:p w14:paraId="655E6C6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7272569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2871" w:type="dxa"/>
            <w:tcBorders>
              <w:top w:val="nil"/>
              <w:left w:val="nil"/>
              <w:bottom w:val="single" w:sz="4" w:space="0" w:color="000000"/>
              <w:right w:val="single" w:sz="4" w:space="0" w:color="000000"/>
            </w:tcBorders>
            <w:noWrap/>
            <w:vAlign w:val="center"/>
            <w:hideMark/>
          </w:tcPr>
          <w:p w14:paraId="27715D5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(45.00)</w:t>
            </w:r>
          </w:p>
        </w:tc>
      </w:tr>
      <w:tr w:rsidR="002F47B2" w:rsidRPr="002F47B2" w14:paraId="3174C4F9" w14:textId="77777777" w:rsidTr="002F47B2">
        <w:trPr>
          <w:trHeight w:val="312"/>
          <w:jc w:val="center"/>
        </w:trPr>
        <w:tc>
          <w:tcPr>
            <w:tcW w:w="1422" w:type="dxa"/>
            <w:tcBorders>
              <w:top w:val="nil"/>
              <w:left w:val="single" w:sz="4" w:space="0" w:color="000000"/>
              <w:bottom w:val="single" w:sz="4" w:space="0" w:color="000000"/>
              <w:right w:val="single" w:sz="4" w:space="0" w:color="000000"/>
            </w:tcBorders>
            <w:noWrap/>
            <w:vAlign w:val="center"/>
            <w:hideMark/>
          </w:tcPr>
          <w:p w14:paraId="2EC9BC6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2259" w:type="dxa"/>
            <w:tcBorders>
              <w:top w:val="nil"/>
              <w:left w:val="nil"/>
              <w:bottom w:val="single" w:sz="4" w:space="0" w:color="000000"/>
              <w:right w:val="single" w:sz="4" w:space="0" w:color="000000"/>
            </w:tcBorders>
            <w:noWrap/>
            <w:vAlign w:val="center"/>
            <w:hideMark/>
          </w:tcPr>
          <w:p w14:paraId="0C4E348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2F4303B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2871" w:type="dxa"/>
            <w:tcBorders>
              <w:top w:val="nil"/>
              <w:left w:val="nil"/>
              <w:bottom w:val="single" w:sz="4" w:space="0" w:color="000000"/>
              <w:right w:val="single" w:sz="4" w:space="0" w:color="000000"/>
            </w:tcBorders>
            <w:noWrap/>
            <w:vAlign w:val="center"/>
            <w:hideMark/>
          </w:tcPr>
          <w:p w14:paraId="38F1DB3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(35.00)</w:t>
            </w:r>
          </w:p>
        </w:tc>
      </w:tr>
      <w:tr w:rsidR="002F47B2" w:rsidRPr="002F47B2" w14:paraId="5633B91D" w14:textId="77777777" w:rsidTr="002F47B2">
        <w:trPr>
          <w:trHeight w:val="312"/>
          <w:jc w:val="center"/>
        </w:trPr>
        <w:tc>
          <w:tcPr>
            <w:tcW w:w="1422" w:type="dxa"/>
            <w:tcBorders>
              <w:top w:val="nil"/>
              <w:left w:val="single" w:sz="4" w:space="0" w:color="000000"/>
              <w:bottom w:val="single" w:sz="4" w:space="0" w:color="000000"/>
              <w:right w:val="single" w:sz="4" w:space="0" w:color="000000"/>
            </w:tcBorders>
            <w:noWrap/>
            <w:vAlign w:val="center"/>
            <w:hideMark/>
          </w:tcPr>
          <w:p w14:paraId="67B54A1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2259" w:type="dxa"/>
            <w:tcBorders>
              <w:top w:val="nil"/>
              <w:left w:val="nil"/>
              <w:bottom w:val="single" w:sz="4" w:space="0" w:color="000000"/>
              <w:right w:val="single" w:sz="4" w:space="0" w:color="000000"/>
            </w:tcBorders>
            <w:noWrap/>
            <w:vAlign w:val="center"/>
            <w:hideMark/>
          </w:tcPr>
          <w:p w14:paraId="30E73E3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324A041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2871" w:type="dxa"/>
            <w:tcBorders>
              <w:top w:val="nil"/>
              <w:left w:val="nil"/>
              <w:bottom w:val="single" w:sz="4" w:space="0" w:color="000000"/>
              <w:right w:val="single" w:sz="4" w:space="0" w:color="000000"/>
            </w:tcBorders>
            <w:noWrap/>
            <w:vAlign w:val="center"/>
            <w:hideMark/>
          </w:tcPr>
          <w:p w14:paraId="5C8ADC5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(15.00)</w:t>
            </w:r>
          </w:p>
        </w:tc>
      </w:tr>
      <w:tr w:rsidR="002F47B2" w:rsidRPr="002F47B2" w14:paraId="621CD77F" w14:textId="77777777" w:rsidTr="002F47B2">
        <w:trPr>
          <w:trHeight w:val="312"/>
          <w:jc w:val="center"/>
        </w:trPr>
        <w:tc>
          <w:tcPr>
            <w:tcW w:w="1422" w:type="dxa"/>
            <w:tcBorders>
              <w:top w:val="nil"/>
              <w:left w:val="single" w:sz="4" w:space="0" w:color="000000"/>
              <w:bottom w:val="single" w:sz="4" w:space="0" w:color="000000"/>
              <w:right w:val="single" w:sz="4" w:space="0" w:color="000000"/>
            </w:tcBorders>
            <w:noWrap/>
            <w:vAlign w:val="center"/>
            <w:hideMark/>
          </w:tcPr>
          <w:p w14:paraId="195180A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2259" w:type="dxa"/>
            <w:tcBorders>
              <w:top w:val="nil"/>
              <w:left w:val="nil"/>
              <w:bottom w:val="single" w:sz="4" w:space="0" w:color="000000"/>
              <w:right w:val="single" w:sz="4" w:space="0" w:color="000000"/>
            </w:tcBorders>
            <w:noWrap/>
            <w:vAlign w:val="center"/>
            <w:hideMark/>
          </w:tcPr>
          <w:p w14:paraId="66C053F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7B61FC6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2871" w:type="dxa"/>
            <w:tcBorders>
              <w:top w:val="nil"/>
              <w:left w:val="nil"/>
              <w:bottom w:val="single" w:sz="4" w:space="0" w:color="000000"/>
              <w:right w:val="single" w:sz="4" w:space="0" w:color="000000"/>
            </w:tcBorders>
            <w:noWrap/>
            <w:vAlign w:val="center"/>
            <w:hideMark/>
          </w:tcPr>
          <w:p w14:paraId="791CD4C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r>
      <w:tr w:rsidR="002F47B2" w:rsidRPr="002F47B2" w14:paraId="3CC0F4E9" w14:textId="77777777" w:rsidTr="002F47B2">
        <w:trPr>
          <w:trHeight w:val="312"/>
          <w:jc w:val="center"/>
        </w:trPr>
        <w:tc>
          <w:tcPr>
            <w:tcW w:w="1422" w:type="dxa"/>
            <w:tcBorders>
              <w:top w:val="nil"/>
              <w:left w:val="single" w:sz="4" w:space="0" w:color="000000"/>
              <w:bottom w:val="single" w:sz="4" w:space="0" w:color="000000"/>
              <w:right w:val="single" w:sz="4" w:space="0" w:color="000000"/>
            </w:tcBorders>
            <w:noWrap/>
            <w:vAlign w:val="center"/>
            <w:hideMark/>
          </w:tcPr>
          <w:p w14:paraId="07841C4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2259" w:type="dxa"/>
            <w:tcBorders>
              <w:top w:val="nil"/>
              <w:left w:val="nil"/>
              <w:bottom w:val="single" w:sz="4" w:space="0" w:color="000000"/>
              <w:right w:val="single" w:sz="4" w:space="0" w:color="000000"/>
            </w:tcBorders>
            <w:noWrap/>
            <w:vAlign w:val="center"/>
            <w:hideMark/>
          </w:tcPr>
          <w:p w14:paraId="723E5E6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1349" w:type="dxa"/>
            <w:tcBorders>
              <w:top w:val="nil"/>
              <w:left w:val="nil"/>
              <w:bottom w:val="single" w:sz="4" w:space="0" w:color="000000"/>
              <w:right w:val="single" w:sz="4" w:space="0" w:color="000000"/>
            </w:tcBorders>
            <w:noWrap/>
            <w:vAlign w:val="center"/>
            <w:hideMark/>
          </w:tcPr>
          <w:p w14:paraId="5DB9A57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2871" w:type="dxa"/>
            <w:tcBorders>
              <w:top w:val="nil"/>
              <w:left w:val="nil"/>
              <w:bottom w:val="single" w:sz="4" w:space="0" w:color="000000"/>
              <w:right w:val="single" w:sz="4" w:space="0" w:color="000000"/>
            </w:tcBorders>
            <w:noWrap/>
            <w:vAlign w:val="center"/>
            <w:hideMark/>
          </w:tcPr>
          <w:p w14:paraId="360D715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15.00 </w:t>
            </w:r>
          </w:p>
        </w:tc>
      </w:tr>
      <w:tr w:rsidR="002F47B2" w:rsidRPr="002F47B2" w14:paraId="4651ED6D" w14:textId="77777777" w:rsidTr="002F47B2">
        <w:trPr>
          <w:trHeight w:val="312"/>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5180693B"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 xml:space="preserve">Payback Period (PBP) = Years Until Break - Even = Uncovered Cost at the Beginning of the Year / Cash Flows During the Year x 12 </w:t>
            </w:r>
          </w:p>
        </w:tc>
      </w:tr>
      <w:tr w:rsidR="002F47B2" w:rsidRPr="002F47B2" w14:paraId="4E7F480D" w14:textId="77777777" w:rsidTr="002F47B2">
        <w:trPr>
          <w:trHeight w:val="312"/>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500E4524"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3 Years + £15 / £25 x 12</w:t>
            </w:r>
          </w:p>
        </w:tc>
      </w:tr>
      <w:tr w:rsidR="002F47B2" w:rsidRPr="002F47B2" w14:paraId="723E5CDD" w14:textId="77777777" w:rsidTr="002F47B2">
        <w:trPr>
          <w:trHeight w:val="312"/>
          <w:jc w:val="center"/>
        </w:trPr>
        <w:tc>
          <w:tcPr>
            <w:tcW w:w="7901" w:type="dxa"/>
            <w:gridSpan w:val="4"/>
            <w:tcBorders>
              <w:top w:val="single" w:sz="4" w:space="0" w:color="000000"/>
              <w:left w:val="single" w:sz="4" w:space="0" w:color="000000"/>
              <w:bottom w:val="single" w:sz="4" w:space="0" w:color="000000"/>
              <w:right w:val="single" w:sz="4" w:space="0" w:color="000000"/>
            </w:tcBorders>
            <w:vAlign w:val="center"/>
            <w:hideMark/>
          </w:tcPr>
          <w:p w14:paraId="03FBE9A0" w14:textId="77777777" w:rsidR="002F47B2" w:rsidRPr="002F47B2" w:rsidRDefault="002F47B2" w:rsidP="002F47B2">
            <w:pPr>
              <w:spacing w:line="240" w:lineRule="auto"/>
              <w:jc w:val="center"/>
              <w:rPr>
                <w:rFonts w:ascii="Times New Roman" w:eastAsia="Times New Roman" w:hAnsi="Times New Roman" w:cs="Times New Roman"/>
                <w:color w:val="0000FF"/>
                <w:sz w:val="24"/>
                <w:szCs w:val="24"/>
                <w:lang w:val="en-IN"/>
              </w:rPr>
            </w:pPr>
            <w:r w:rsidRPr="002F47B2">
              <w:rPr>
                <w:rFonts w:ascii="Times New Roman" w:eastAsia="Times New Roman" w:hAnsi="Times New Roman" w:cs="Times New Roman"/>
                <w:color w:val="0000FF"/>
                <w:sz w:val="24"/>
                <w:szCs w:val="24"/>
                <w:lang w:val="en-IN"/>
              </w:rPr>
              <w:t>PBP = 3 Years 7 Months 2 Days</w:t>
            </w:r>
          </w:p>
        </w:tc>
      </w:tr>
    </w:tbl>
    <w:p w14:paraId="11102DD1" w14:textId="5F545E69" w:rsidR="002F47B2" w:rsidRDefault="002F47B2">
      <w:pPr>
        <w:spacing w:after="240" w:line="360" w:lineRule="auto"/>
        <w:jc w:val="both"/>
        <w:rPr>
          <w:sz w:val="24"/>
          <w:szCs w:val="24"/>
        </w:rPr>
      </w:pPr>
    </w:p>
    <w:p w14:paraId="42B6DA1B" w14:textId="77777777" w:rsidR="002F47B2" w:rsidRDefault="002F47B2">
      <w:pPr>
        <w:rPr>
          <w:sz w:val="24"/>
          <w:szCs w:val="24"/>
        </w:rPr>
      </w:pPr>
      <w:r>
        <w:rPr>
          <w:sz w:val="24"/>
          <w:szCs w:val="24"/>
        </w:rPr>
        <w:lastRenderedPageBreak/>
        <w:br w:type="page"/>
      </w:r>
    </w:p>
    <w:tbl>
      <w:tblPr>
        <w:tblW w:w="5000" w:type="pct"/>
        <w:tblLook w:val="04A0" w:firstRow="1" w:lastRow="0" w:firstColumn="1" w:lastColumn="0" w:noHBand="0" w:noVBand="1"/>
      </w:tblPr>
      <w:tblGrid>
        <w:gridCol w:w="3098"/>
        <w:gridCol w:w="1814"/>
        <w:gridCol w:w="222"/>
        <w:gridCol w:w="2611"/>
        <w:gridCol w:w="1500"/>
      </w:tblGrid>
      <w:tr w:rsidR="002F47B2" w:rsidRPr="002F47B2" w14:paraId="378F369C" w14:textId="77777777" w:rsidTr="002F47B2">
        <w:trPr>
          <w:trHeight w:val="315"/>
        </w:trPr>
        <w:tc>
          <w:tcPr>
            <w:tcW w:w="5000" w:type="pct"/>
            <w:gridSpan w:val="5"/>
            <w:tcBorders>
              <w:top w:val="nil"/>
              <w:left w:val="nil"/>
              <w:bottom w:val="nil"/>
              <w:right w:val="nil"/>
            </w:tcBorders>
            <w:noWrap/>
            <w:vAlign w:val="center"/>
            <w:hideMark/>
          </w:tcPr>
          <w:p w14:paraId="4AA1ADA4" w14:textId="77777777" w:rsidR="002F47B2" w:rsidRPr="002F47B2" w:rsidRDefault="002F47B2" w:rsidP="002F47B2">
            <w:pPr>
              <w:spacing w:line="240" w:lineRule="auto"/>
              <w:jc w:val="center"/>
              <w:rPr>
                <w:rFonts w:ascii="Caveat" w:eastAsia="Times New Roman" w:hAnsi="Caveat"/>
                <w:b/>
                <w:bCs/>
                <w:color w:val="FF0000"/>
                <w:sz w:val="28"/>
                <w:szCs w:val="28"/>
                <w:lang w:val="en-IN"/>
              </w:rPr>
            </w:pPr>
            <w:r w:rsidRPr="002F47B2">
              <w:rPr>
                <w:rFonts w:ascii="Caveat" w:eastAsia="Times New Roman" w:hAnsi="Caveat"/>
                <w:b/>
                <w:bCs/>
                <w:color w:val="FF0000"/>
                <w:sz w:val="28"/>
                <w:szCs w:val="28"/>
                <w:lang w:val="en-IN"/>
              </w:rPr>
              <w:lastRenderedPageBreak/>
              <w:t>Project A</w:t>
            </w:r>
          </w:p>
        </w:tc>
      </w:tr>
      <w:tr w:rsidR="002F47B2" w:rsidRPr="002F47B2" w14:paraId="35F05645" w14:textId="77777777" w:rsidTr="002F47B2">
        <w:trPr>
          <w:trHeight w:val="315"/>
        </w:trPr>
        <w:tc>
          <w:tcPr>
            <w:tcW w:w="2663" w:type="pct"/>
            <w:gridSpan w:val="2"/>
            <w:tcBorders>
              <w:top w:val="nil"/>
              <w:left w:val="nil"/>
              <w:bottom w:val="nil"/>
              <w:right w:val="nil"/>
            </w:tcBorders>
            <w:noWrap/>
            <w:vAlign w:val="center"/>
            <w:hideMark/>
          </w:tcPr>
          <w:p w14:paraId="0C2EC3D6"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Cashflows</w:t>
            </w:r>
          </w:p>
        </w:tc>
        <w:tc>
          <w:tcPr>
            <w:tcW w:w="108" w:type="pct"/>
            <w:tcBorders>
              <w:top w:val="nil"/>
              <w:left w:val="nil"/>
              <w:bottom w:val="nil"/>
              <w:right w:val="nil"/>
            </w:tcBorders>
            <w:noWrap/>
            <w:vAlign w:val="center"/>
            <w:hideMark/>
          </w:tcPr>
          <w:p w14:paraId="791B8EF4"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314818E8"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Annual Depreciation</w:t>
            </w:r>
          </w:p>
        </w:tc>
      </w:tr>
      <w:tr w:rsidR="002F47B2" w:rsidRPr="002F47B2" w14:paraId="1E892196" w14:textId="77777777" w:rsidTr="002F47B2">
        <w:trPr>
          <w:trHeight w:val="315"/>
        </w:trPr>
        <w:tc>
          <w:tcPr>
            <w:tcW w:w="1679" w:type="pct"/>
            <w:tcBorders>
              <w:top w:val="single" w:sz="4" w:space="0" w:color="FFFFFF"/>
              <w:left w:val="single" w:sz="4" w:space="0" w:color="FFFFFF"/>
              <w:bottom w:val="nil"/>
              <w:right w:val="single" w:sz="4" w:space="0" w:color="FFFFFF"/>
            </w:tcBorders>
            <w:shd w:val="clear" w:color="274E13" w:fill="274E13"/>
            <w:vAlign w:val="center"/>
            <w:hideMark/>
          </w:tcPr>
          <w:p w14:paraId="602A74AC"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w:t>
            </w:r>
          </w:p>
        </w:tc>
        <w:tc>
          <w:tcPr>
            <w:tcW w:w="984" w:type="pct"/>
            <w:tcBorders>
              <w:top w:val="single" w:sz="4" w:space="0" w:color="FFFFFF"/>
              <w:left w:val="nil"/>
              <w:bottom w:val="nil"/>
              <w:right w:val="single" w:sz="4" w:space="0" w:color="FFFFFF"/>
            </w:tcBorders>
            <w:shd w:val="clear" w:color="274E13" w:fill="274E13"/>
            <w:vAlign w:val="center"/>
            <w:hideMark/>
          </w:tcPr>
          <w:p w14:paraId="57CAE1FE"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Flows</w:t>
            </w:r>
          </w:p>
        </w:tc>
        <w:tc>
          <w:tcPr>
            <w:tcW w:w="108" w:type="pct"/>
            <w:tcBorders>
              <w:top w:val="nil"/>
              <w:left w:val="nil"/>
              <w:bottom w:val="nil"/>
              <w:right w:val="nil"/>
            </w:tcBorders>
            <w:noWrap/>
            <w:vAlign w:val="center"/>
            <w:hideMark/>
          </w:tcPr>
          <w:p w14:paraId="1D4CC29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24D2C5B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Value</w:t>
            </w:r>
          </w:p>
        </w:tc>
        <w:tc>
          <w:tcPr>
            <w:tcW w:w="813" w:type="pct"/>
            <w:tcBorders>
              <w:top w:val="single" w:sz="4" w:space="0" w:color="000000"/>
              <w:left w:val="nil"/>
              <w:bottom w:val="single" w:sz="4" w:space="0" w:color="000000"/>
              <w:right w:val="single" w:sz="4" w:space="0" w:color="000000"/>
            </w:tcBorders>
            <w:noWrap/>
            <w:vAlign w:val="center"/>
            <w:hideMark/>
          </w:tcPr>
          <w:p w14:paraId="44F8F98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 </w:t>
            </w:r>
          </w:p>
        </w:tc>
      </w:tr>
      <w:tr w:rsidR="002F47B2" w:rsidRPr="002F47B2" w14:paraId="60DE484F"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0DDA28C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984" w:type="pct"/>
            <w:tcBorders>
              <w:top w:val="single" w:sz="4" w:space="0" w:color="000000"/>
              <w:left w:val="nil"/>
              <w:bottom w:val="single" w:sz="4" w:space="0" w:color="000000"/>
              <w:right w:val="single" w:sz="4" w:space="0" w:color="000000"/>
            </w:tcBorders>
            <w:noWrap/>
            <w:vAlign w:val="center"/>
            <w:hideMark/>
          </w:tcPr>
          <w:p w14:paraId="055BE18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30E762C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37C4BC9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1182C57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3D4CF34B"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4A88F5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984" w:type="pct"/>
            <w:tcBorders>
              <w:top w:val="nil"/>
              <w:left w:val="nil"/>
              <w:bottom w:val="single" w:sz="4" w:space="0" w:color="000000"/>
              <w:right w:val="single" w:sz="4" w:space="0" w:color="000000"/>
            </w:tcBorders>
            <w:noWrap/>
            <w:vAlign w:val="center"/>
            <w:hideMark/>
          </w:tcPr>
          <w:p w14:paraId="0351A4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108" w:type="pct"/>
            <w:tcBorders>
              <w:top w:val="nil"/>
              <w:left w:val="nil"/>
              <w:bottom w:val="nil"/>
              <w:right w:val="nil"/>
            </w:tcBorders>
            <w:noWrap/>
            <w:vAlign w:val="center"/>
            <w:hideMark/>
          </w:tcPr>
          <w:p w14:paraId="6E33024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35EA65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7C57546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w:t>
            </w:r>
          </w:p>
        </w:tc>
      </w:tr>
      <w:tr w:rsidR="002F47B2" w:rsidRPr="002F47B2" w14:paraId="6136DB02"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4C1E470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984" w:type="pct"/>
            <w:tcBorders>
              <w:top w:val="nil"/>
              <w:left w:val="nil"/>
              <w:bottom w:val="single" w:sz="4" w:space="0" w:color="000000"/>
              <w:right w:val="single" w:sz="4" w:space="0" w:color="000000"/>
            </w:tcBorders>
            <w:noWrap/>
            <w:vAlign w:val="center"/>
            <w:hideMark/>
          </w:tcPr>
          <w:p w14:paraId="4096EB7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108" w:type="pct"/>
            <w:tcBorders>
              <w:top w:val="nil"/>
              <w:left w:val="nil"/>
              <w:bottom w:val="nil"/>
              <w:right w:val="nil"/>
            </w:tcBorders>
            <w:noWrap/>
            <w:vAlign w:val="center"/>
            <w:hideMark/>
          </w:tcPr>
          <w:p w14:paraId="78D543D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2897C394"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Initial Value - Residual Value / No. of Years</w:t>
            </w:r>
          </w:p>
        </w:tc>
      </w:tr>
      <w:tr w:rsidR="002F47B2" w:rsidRPr="002F47B2" w14:paraId="3DCF52FE"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07CB83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984" w:type="pct"/>
            <w:tcBorders>
              <w:top w:val="nil"/>
              <w:left w:val="nil"/>
              <w:bottom w:val="single" w:sz="4" w:space="0" w:color="000000"/>
              <w:right w:val="single" w:sz="4" w:space="0" w:color="000000"/>
            </w:tcBorders>
            <w:noWrap/>
            <w:vAlign w:val="center"/>
            <w:hideMark/>
          </w:tcPr>
          <w:p w14:paraId="1BB2E8D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399AA2E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7C68068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Calculations = £50 - £0 / 5</w:t>
            </w:r>
          </w:p>
        </w:tc>
      </w:tr>
      <w:tr w:rsidR="002F47B2" w:rsidRPr="002F47B2" w14:paraId="7E1AB7DA"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5AFAE1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984" w:type="pct"/>
            <w:tcBorders>
              <w:top w:val="nil"/>
              <w:left w:val="nil"/>
              <w:bottom w:val="single" w:sz="4" w:space="0" w:color="000000"/>
              <w:right w:val="single" w:sz="4" w:space="0" w:color="000000"/>
            </w:tcBorders>
            <w:noWrap/>
            <w:vAlign w:val="center"/>
            <w:hideMark/>
          </w:tcPr>
          <w:p w14:paraId="4FB7988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c>
          <w:tcPr>
            <w:tcW w:w="108" w:type="pct"/>
            <w:tcBorders>
              <w:top w:val="nil"/>
              <w:left w:val="nil"/>
              <w:bottom w:val="nil"/>
              <w:right w:val="nil"/>
            </w:tcBorders>
            <w:noWrap/>
            <w:vAlign w:val="center"/>
            <w:hideMark/>
          </w:tcPr>
          <w:p w14:paraId="5164496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0F6057F3"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£10</w:t>
            </w:r>
          </w:p>
        </w:tc>
      </w:tr>
      <w:tr w:rsidR="002F47B2" w:rsidRPr="002F47B2" w14:paraId="43198FFA"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620C1756"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Total</w:t>
            </w:r>
          </w:p>
        </w:tc>
        <w:tc>
          <w:tcPr>
            <w:tcW w:w="984" w:type="pct"/>
            <w:tcBorders>
              <w:top w:val="nil"/>
              <w:left w:val="nil"/>
              <w:bottom w:val="single" w:sz="4" w:space="0" w:color="000000"/>
              <w:right w:val="single" w:sz="4" w:space="0" w:color="000000"/>
            </w:tcBorders>
            <w:noWrap/>
            <w:vAlign w:val="center"/>
            <w:hideMark/>
          </w:tcPr>
          <w:p w14:paraId="04E822E0"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 xml:space="preserve"> £          54.00 </w:t>
            </w:r>
          </w:p>
        </w:tc>
        <w:tc>
          <w:tcPr>
            <w:tcW w:w="108" w:type="pct"/>
            <w:tcBorders>
              <w:top w:val="nil"/>
              <w:left w:val="nil"/>
              <w:bottom w:val="nil"/>
              <w:right w:val="nil"/>
            </w:tcBorders>
            <w:noWrap/>
            <w:vAlign w:val="center"/>
            <w:hideMark/>
          </w:tcPr>
          <w:p w14:paraId="588E9CAD"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p>
        </w:tc>
        <w:tc>
          <w:tcPr>
            <w:tcW w:w="1415" w:type="pct"/>
            <w:tcBorders>
              <w:top w:val="nil"/>
              <w:left w:val="nil"/>
              <w:bottom w:val="nil"/>
              <w:right w:val="nil"/>
            </w:tcBorders>
            <w:noWrap/>
            <w:vAlign w:val="center"/>
            <w:hideMark/>
          </w:tcPr>
          <w:p w14:paraId="721D869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1C2393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9A96AC2"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46B54F0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Total Cash Flows / No. of Years</w:t>
            </w:r>
          </w:p>
        </w:tc>
        <w:tc>
          <w:tcPr>
            <w:tcW w:w="108" w:type="pct"/>
            <w:tcBorders>
              <w:top w:val="nil"/>
              <w:left w:val="nil"/>
              <w:bottom w:val="nil"/>
              <w:right w:val="nil"/>
            </w:tcBorders>
            <w:noWrap/>
            <w:vAlign w:val="center"/>
            <w:hideMark/>
          </w:tcPr>
          <w:p w14:paraId="34A66869"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6F0050F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A2E34B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6DF1F5D3"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53716E51"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Calculations = £54 / 5</w:t>
            </w:r>
          </w:p>
        </w:tc>
        <w:tc>
          <w:tcPr>
            <w:tcW w:w="108" w:type="pct"/>
            <w:tcBorders>
              <w:top w:val="nil"/>
              <w:left w:val="nil"/>
              <w:bottom w:val="nil"/>
              <w:right w:val="nil"/>
            </w:tcBorders>
            <w:noWrap/>
            <w:vAlign w:val="center"/>
            <w:hideMark/>
          </w:tcPr>
          <w:p w14:paraId="41A1EB19"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7BC4F77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4E56AB2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E1B5486"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767091FD"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£10.8</w:t>
            </w:r>
          </w:p>
        </w:tc>
        <w:tc>
          <w:tcPr>
            <w:tcW w:w="108" w:type="pct"/>
            <w:tcBorders>
              <w:top w:val="nil"/>
              <w:left w:val="nil"/>
              <w:bottom w:val="nil"/>
              <w:right w:val="nil"/>
            </w:tcBorders>
            <w:noWrap/>
            <w:vAlign w:val="center"/>
            <w:hideMark/>
          </w:tcPr>
          <w:p w14:paraId="579D9E4E"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54CEF8D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232E310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81FBD35" w14:textId="77777777" w:rsidTr="002F47B2">
        <w:trPr>
          <w:trHeight w:val="315"/>
        </w:trPr>
        <w:tc>
          <w:tcPr>
            <w:tcW w:w="1679" w:type="pct"/>
            <w:tcBorders>
              <w:top w:val="nil"/>
              <w:left w:val="nil"/>
              <w:bottom w:val="nil"/>
              <w:right w:val="nil"/>
            </w:tcBorders>
            <w:noWrap/>
            <w:vAlign w:val="center"/>
            <w:hideMark/>
          </w:tcPr>
          <w:p w14:paraId="39866C0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984" w:type="pct"/>
            <w:tcBorders>
              <w:top w:val="nil"/>
              <w:left w:val="nil"/>
              <w:bottom w:val="nil"/>
              <w:right w:val="nil"/>
            </w:tcBorders>
            <w:noWrap/>
            <w:vAlign w:val="center"/>
            <w:hideMark/>
          </w:tcPr>
          <w:p w14:paraId="74EA153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533DABD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7FF51EB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9A7DEE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C3F3981" w14:textId="77777777" w:rsidTr="002F47B2">
        <w:trPr>
          <w:trHeight w:val="315"/>
        </w:trPr>
        <w:tc>
          <w:tcPr>
            <w:tcW w:w="2663" w:type="pct"/>
            <w:gridSpan w:val="2"/>
            <w:tcBorders>
              <w:top w:val="nil"/>
              <w:left w:val="nil"/>
              <w:bottom w:val="nil"/>
              <w:right w:val="nil"/>
            </w:tcBorders>
            <w:noWrap/>
            <w:vAlign w:val="center"/>
            <w:hideMark/>
          </w:tcPr>
          <w:p w14:paraId="34AA5A05"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Investment</w:t>
            </w:r>
          </w:p>
        </w:tc>
        <w:tc>
          <w:tcPr>
            <w:tcW w:w="108" w:type="pct"/>
            <w:tcBorders>
              <w:top w:val="nil"/>
              <w:left w:val="nil"/>
              <w:bottom w:val="nil"/>
              <w:right w:val="nil"/>
            </w:tcBorders>
            <w:noWrap/>
            <w:vAlign w:val="center"/>
            <w:hideMark/>
          </w:tcPr>
          <w:p w14:paraId="064C3B66"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358F79C5"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Net Profit</w:t>
            </w:r>
          </w:p>
        </w:tc>
      </w:tr>
      <w:tr w:rsidR="002F47B2" w:rsidRPr="002F47B2" w14:paraId="06F9722A"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08DF9E3"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Initial Value + Residual Value / 2</w:t>
            </w:r>
          </w:p>
        </w:tc>
        <w:tc>
          <w:tcPr>
            <w:tcW w:w="108" w:type="pct"/>
            <w:tcBorders>
              <w:top w:val="nil"/>
              <w:left w:val="nil"/>
              <w:bottom w:val="nil"/>
              <w:right w:val="nil"/>
            </w:tcBorders>
            <w:noWrap/>
            <w:vAlign w:val="center"/>
            <w:hideMark/>
          </w:tcPr>
          <w:p w14:paraId="61B81BC8"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6F0EA8D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2070159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10.80 </w:t>
            </w:r>
          </w:p>
        </w:tc>
      </w:tr>
      <w:tr w:rsidR="002F47B2" w:rsidRPr="002F47B2" w14:paraId="244CAA92"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2A9D7818"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£50 + £0 / 2</w:t>
            </w:r>
          </w:p>
        </w:tc>
        <w:tc>
          <w:tcPr>
            <w:tcW w:w="108" w:type="pct"/>
            <w:tcBorders>
              <w:top w:val="nil"/>
              <w:left w:val="nil"/>
              <w:bottom w:val="nil"/>
              <w:right w:val="nil"/>
            </w:tcBorders>
            <w:noWrap/>
            <w:vAlign w:val="center"/>
            <w:hideMark/>
          </w:tcPr>
          <w:p w14:paraId="76150B74"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2065601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6C2360F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r>
      <w:tr w:rsidR="002F47B2" w:rsidRPr="002F47B2" w14:paraId="528D6D6E"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2C3862CE"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Investment = £25</w:t>
            </w:r>
          </w:p>
        </w:tc>
        <w:tc>
          <w:tcPr>
            <w:tcW w:w="108" w:type="pct"/>
            <w:tcBorders>
              <w:top w:val="nil"/>
              <w:left w:val="nil"/>
              <w:bottom w:val="nil"/>
              <w:right w:val="nil"/>
            </w:tcBorders>
            <w:noWrap/>
            <w:vAlign w:val="center"/>
            <w:hideMark/>
          </w:tcPr>
          <w:p w14:paraId="0A33426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6B87C495"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 xml:space="preserve">Avg Net Profit = Avg Cashflow - Annual Depreciation </w:t>
            </w:r>
          </w:p>
        </w:tc>
      </w:tr>
      <w:tr w:rsidR="002F47B2" w:rsidRPr="002F47B2" w14:paraId="71DFC448" w14:textId="77777777" w:rsidTr="002F47B2">
        <w:trPr>
          <w:trHeight w:val="315"/>
        </w:trPr>
        <w:tc>
          <w:tcPr>
            <w:tcW w:w="1679" w:type="pct"/>
            <w:tcBorders>
              <w:top w:val="nil"/>
              <w:left w:val="nil"/>
              <w:bottom w:val="nil"/>
              <w:right w:val="nil"/>
            </w:tcBorders>
            <w:noWrap/>
            <w:vAlign w:val="center"/>
            <w:hideMark/>
          </w:tcPr>
          <w:p w14:paraId="16AC04F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6047D9D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3F7DD47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594CC99F"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Net Profit = £10.8 - £10</w:t>
            </w:r>
          </w:p>
        </w:tc>
      </w:tr>
      <w:tr w:rsidR="002F47B2" w:rsidRPr="002F47B2" w14:paraId="5427B3E6" w14:textId="77777777" w:rsidTr="002F47B2">
        <w:trPr>
          <w:trHeight w:val="315"/>
        </w:trPr>
        <w:tc>
          <w:tcPr>
            <w:tcW w:w="1679" w:type="pct"/>
            <w:tcBorders>
              <w:top w:val="nil"/>
              <w:left w:val="nil"/>
              <w:bottom w:val="nil"/>
              <w:right w:val="nil"/>
            </w:tcBorders>
            <w:noWrap/>
            <w:vAlign w:val="center"/>
            <w:hideMark/>
          </w:tcPr>
          <w:p w14:paraId="3079F119"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5123182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4A61B83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21E4734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Net Profit = £0.8</w:t>
            </w:r>
          </w:p>
        </w:tc>
      </w:tr>
      <w:tr w:rsidR="002F47B2" w:rsidRPr="002F47B2" w14:paraId="713E4B31" w14:textId="77777777" w:rsidTr="002F47B2">
        <w:trPr>
          <w:trHeight w:val="315"/>
        </w:trPr>
        <w:tc>
          <w:tcPr>
            <w:tcW w:w="1679" w:type="pct"/>
            <w:tcBorders>
              <w:top w:val="nil"/>
              <w:left w:val="nil"/>
              <w:bottom w:val="nil"/>
              <w:right w:val="nil"/>
            </w:tcBorders>
            <w:noWrap/>
            <w:vAlign w:val="center"/>
            <w:hideMark/>
          </w:tcPr>
          <w:p w14:paraId="122D6C7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73A749B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73C35FDF"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2941D3F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D6E72F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4C94C014" w14:textId="77777777" w:rsidTr="002F47B2">
        <w:trPr>
          <w:trHeight w:val="315"/>
        </w:trPr>
        <w:tc>
          <w:tcPr>
            <w:tcW w:w="2663" w:type="pct"/>
            <w:gridSpan w:val="2"/>
            <w:tcBorders>
              <w:top w:val="nil"/>
              <w:left w:val="nil"/>
              <w:bottom w:val="nil"/>
              <w:right w:val="nil"/>
            </w:tcBorders>
            <w:vAlign w:val="center"/>
            <w:hideMark/>
          </w:tcPr>
          <w:p w14:paraId="7DD79D98"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53C5C7BA"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1415" w:type="pct"/>
            <w:tcBorders>
              <w:top w:val="nil"/>
              <w:left w:val="nil"/>
              <w:bottom w:val="nil"/>
              <w:right w:val="nil"/>
            </w:tcBorders>
            <w:noWrap/>
            <w:vAlign w:val="center"/>
            <w:hideMark/>
          </w:tcPr>
          <w:p w14:paraId="658C1FFB"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4BB3D23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0A3C0B19"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0199A44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7E3FBF3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0.80 </w:t>
            </w:r>
          </w:p>
        </w:tc>
        <w:tc>
          <w:tcPr>
            <w:tcW w:w="108" w:type="pct"/>
            <w:tcBorders>
              <w:top w:val="nil"/>
              <w:left w:val="nil"/>
              <w:bottom w:val="nil"/>
              <w:right w:val="nil"/>
            </w:tcBorders>
            <w:noWrap/>
            <w:vAlign w:val="center"/>
            <w:hideMark/>
          </w:tcPr>
          <w:p w14:paraId="6E9753C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3E760AE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18C30E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2C6D2D35"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3C826C0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7276963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4A6CAD3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463EFC77"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9682C0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22AF6554"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736C140E"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144A5A12"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036E171F"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3179A4A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CA546A8"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3DCF113F"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ARR = £0.8 / £25 * 100</w:t>
            </w:r>
          </w:p>
        </w:tc>
        <w:tc>
          <w:tcPr>
            <w:tcW w:w="108" w:type="pct"/>
            <w:tcBorders>
              <w:top w:val="nil"/>
              <w:left w:val="nil"/>
              <w:bottom w:val="nil"/>
              <w:right w:val="nil"/>
            </w:tcBorders>
            <w:noWrap/>
            <w:vAlign w:val="center"/>
            <w:hideMark/>
          </w:tcPr>
          <w:p w14:paraId="4BD56D89"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55D7FDD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A319EC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70A2CBC4"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2B94795E"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ARR = 3.2%</w:t>
            </w:r>
          </w:p>
        </w:tc>
        <w:tc>
          <w:tcPr>
            <w:tcW w:w="108" w:type="pct"/>
            <w:tcBorders>
              <w:top w:val="nil"/>
              <w:left w:val="nil"/>
              <w:bottom w:val="nil"/>
              <w:right w:val="nil"/>
            </w:tcBorders>
            <w:noWrap/>
            <w:vAlign w:val="center"/>
            <w:hideMark/>
          </w:tcPr>
          <w:p w14:paraId="7A00D8E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0D8EC46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3911883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bl>
    <w:p w14:paraId="7DC3E5D0" w14:textId="4E80049E" w:rsidR="002F47B2" w:rsidRDefault="002F47B2">
      <w:pPr>
        <w:spacing w:after="240" w:line="360" w:lineRule="auto"/>
        <w:jc w:val="both"/>
        <w:rPr>
          <w:sz w:val="24"/>
          <w:szCs w:val="24"/>
        </w:rPr>
      </w:pPr>
    </w:p>
    <w:p w14:paraId="203E07FA" w14:textId="77777777" w:rsidR="002F47B2" w:rsidRDefault="002F47B2">
      <w:pPr>
        <w:rPr>
          <w:sz w:val="24"/>
          <w:szCs w:val="24"/>
        </w:rPr>
      </w:pPr>
      <w:r>
        <w:rPr>
          <w:sz w:val="24"/>
          <w:szCs w:val="24"/>
        </w:rPr>
        <w:br w:type="page"/>
      </w:r>
    </w:p>
    <w:tbl>
      <w:tblPr>
        <w:tblW w:w="5000" w:type="pct"/>
        <w:tblLook w:val="04A0" w:firstRow="1" w:lastRow="0" w:firstColumn="1" w:lastColumn="0" w:noHBand="0" w:noVBand="1"/>
      </w:tblPr>
      <w:tblGrid>
        <w:gridCol w:w="3098"/>
        <w:gridCol w:w="1814"/>
        <w:gridCol w:w="222"/>
        <w:gridCol w:w="2611"/>
        <w:gridCol w:w="1500"/>
      </w:tblGrid>
      <w:tr w:rsidR="002F47B2" w:rsidRPr="002F47B2" w14:paraId="2420DFAB" w14:textId="77777777" w:rsidTr="002F47B2">
        <w:trPr>
          <w:trHeight w:val="315"/>
        </w:trPr>
        <w:tc>
          <w:tcPr>
            <w:tcW w:w="5000" w:type="pct"/>
            <w:gridSpan w:val="5"/>
            <w:tcBorders>
              <w:top w:val="nil"/>
              <w:left w:val="nil"/>
              <w:bottom w:val="nil"/>
              <w:right w:val="nil"/>
            </w:tcBorders>
            <w:noWrap/>
            <w:vAlign w:val="center"/>
            <w:hideMark/>
          </w:tcPr>
          <w:p w14:paraId="183AD598" w14:textId="77777777" w:rsidR="002F47B2" w:rsidRPr="002F47B2" w:rsidRDefault="002F47B2" w:rsidP="002F47B2">
            <w:pPr>
              <w:spacing w:line="240" w:lineRule="auto"/>
              <w:jc w:val="center"/>
              <w:rPr>
                <w:rFonts w:ascii="Caveat" w:eastAsia="Times New Roman" w:hAnsi="Caveat"/>
                <w:b/>
                <w:bCs/>
                <w:color w:val="FF0000"/>
                <w:sz w:val="28"/>
                <w:szCs w:val="28"/>
                <w:lang w:val="en-IN"/>
              </w:rPr>
            </w:pPr>
            <w:r w:rsidRPr="002F47B2">
              <w:rPr>
                <w:rFonts w:ascii="Caveat" w:eastAsia="Times New Roman" w:hAnsi="Caveat"/>
                <w:b/>
                <w:bCs/>
                <w:color w:val="FF0000"/>
                <w:sz w:val="28"/>
                <w:szCs w:val="28"/>
                <w:lang w:val="en-IN"/>
              </w:rPr>
              <w:lastRenderedPageBreak/>
              <w:t>Project B</w:t>
            </w:r>
          </w:p>
        </w:tc>
      </w:tr>
      <w:tr w:rsidR="002F47B2" w:rsidRPr="002F47B2" w14:paraId="3618DF93" w14:textId="77777777" w:rsidTr="002F47B2">
        <w:trPr>
          <w:trHeight w:val="315"/>
        </w:trPr>
        <w:tc>
          <w:tcPr>
            <w:tcW w:w="2663" w:type="pct"/>
            <w:gridSpan w:val="2"/>
            <w:tcBorders>
              <w:top w:val="nil"/>
              <w:left w:val="nil"/>
              <w:bottom w:val="nil"/>
              <w:right w:val="nil"/>
            </w:tcBorders>
            <w:noWrap/>
            <w:vAlign w:val="center"/>
            <w:hideMark/>
          </w:tcPr>
          <w:p w14:paraId="1C31667C"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Cashflows</w:t>
            </w:r>
          </w:p>
        </w:tc>
        <w:tc>
          <w:tcPr>
            <w:tcW w:w="108" w:type="pct"/>
            <w:tcBorders>
              <w:top w:val="nil"/>
              <w:left w:val="nil"/>
              <w:bottom w:val="nil"/>
              <w:right w:val="nil"/>
            </w:tcBorders>
            <w:noWrap/>
            <w:vAlign w:val="center"/>
            <w:hideMark/>
          </w:tcPr>
          <w:p w14:paraId="2E3561D7"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50F730D3"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Annual Depreciation</w:t>
            </w:r>
          </w:p>
        </w:tc>
      </w:tr>
      <w:tr w:rsidR="002F47B2" w:rsidRPr="002F47B2" w14:paraId="32916A94" w14:textId="77777777" w:rsidTr="002F47B2">
        <w:trPr>
          <w:trHeight w:val="315"/>
        </w:trPr>
        <w:tc>
          <w:tcPr>
            <w:tcW w:w="1679" w:type="pct"/>
            <w:tcBorders>
              <w:top w:val="single" w:sz="4" w:space="0" w:color="FFFFFF"/>
              <w:left w:val="single" w:sz="4" w:space="0" w:color="FFFFFF"/>
              <w:bottom w:val="nil"/>
              <w:right w:val="single" w:sz="4" w:space="0" w:color="FFFFFF"/>
            </w:tcBorders>
            <w:shd w:val="clear" w:color="274E13" w:fill="274E13"/>
            <w:vAlign w:val="center"/>
            <w:hideMark/>
          </w:tcPr>
          <w:p w14:paraId="7345EAD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w:t>
            </w:r>
          </w:p>
        </w:tc>
        <w:tc>
          <w:tcPr>
            <w:tcW w:w="984" w:type="pct"/>
            <w:tcBorders>
              <w:top w:val="single" w:sz="4" w:space="0" w:color="FFFFFF"/>
              <w:left w:val="nil"/>
              <w:bottom w:val="nil"/>
              <w:right w:val="single" w:sz="4" w:space="0" w:color="FFFFFF"/>
            </w:tcBorders>
            <w:shd w:val="clear" w:color="274E13" w:fill="274E13"/>
            <w:vAlign w:val="center"/>
            <w:hideMark/>
          </w:tcPr>
          <w:p w14:paraId="5C4EE4D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Flows</w:t>
            </w:r>
          </w:p>
        </w:tc>
        <w:tc>
          <w:tcPr>
            <w:tcW w:w="108" w:type="pct"/>
            <w:tcBorders>
              <w:top w:val="nil"/>
              <w:left w:val="nil"/>
              <w:bottom w:val="nil"/>
              <w:right w:val="nil"/>
            </w:tcBorders>
            <w:noWrap/>
            <w:vAlign w:val="center"/>
            <w:hideMark/>
          </w:tcPr>
          <w:p w14:paraId="59ACEE1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5A36726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Value</w:t>
            </w:r>
          </w:p>
        </w:tc>
        <w:tc>
          <w:tcPr>
            <w:tcW w:w="813" w:type="pct"/>
            <w:tcBorders>
              <w:top w:val="single" w:sz="4" w:space="0" w:color="000000"/>
              <w:left w:val="nil"/>
              <w:bottom w:val="single" w:sz="4" w:space="0" w:color="000000"/>
              <w:right w:val="single" w:sz="4" w:space="0" w:color="000000"/>
            </w:tcBorders>
            <w:noWrap/>
            <w:vAlign w:val="center"/>
            <w:hideMark/>
          </w:tcPr>
          <w:p w14:paraId="75CF739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 </w:t>
            </w:r>
          </w:p>
        </w:tc>
      </w:tr>
      <w:tr w:rsidR="002F47B2" w:rsidRPr="002F47B2" w14:paraId="153F172F"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0FB26EA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984" w:type="pct"/>
            <w:tcBorders>
              <w:top w:val="single" w:sz="4" w:space="0" w:color="000000"/>
              <w:left w:val="nil"/>
              <w:bottom w:val="single" w:sz="4" w:space="0" w:color="000000"/>
              <w:right w:val="single" w:sz="4" w:space="0" w:color="000000"/>
            </w:tcBorders>
            <w:noWrap/>
            <w:vAlign w:val="center"/>
            <w:hideMark/>
          </w:tcPr>
          <w:p w14:paraId="4B4AFF8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173A1DF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2B9B3AA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7D25266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44E3B359"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306930E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984" w:type="pct"/>
            <w:tcBorders>
              <w:top w:val="nil"/>
              <w:left w:val="nil"/>
              <w:bottom w:val="single" w:sz="4" w:space="0" w:color="000000"/>
              <w:right w:val="single" w:sz="4" w:space="0" w:color="000000"/>
            </w:tcBorders>
            <w:noWrap/>
            <w:vAlign w:val="center"/>
            <w:hideMark/>
          </w:tcPr>
          <w:p w14:paraId="4E86DF8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273AC37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1469A29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339060F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w:t>
            </w:r>
          </w:p>
        </w:tc>
      </w:tr>
      <w:tr w:rsidR="002F47B2" w:rsidRPr="002F47B2" w14:paraId="384C1696"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6E64473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984" w:type="pct"/>
            <w:tcBorders>
              <w:top w:val="nil"/>
              <w:left w:val="nil"/>
              <w:bottom w:val="single" w:sz="4" w:space="0" w:color="000000"/>
              <w:right w:val="single" w:sz="4" w:space="0" w:color="000000"/>
            </w:tcBorders>
            <w:noWrap/>
            <w:vAlign w:val="center"/>
            <w:hideMark/>
          </w:tcPr>
          <w:p w14:paraId="180C88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33EFDF0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144BBAD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Initial Value - Residual Value / No. of Years</w:t>
            </w:r>
          </w:p>
        </w:tc>
      </w:tr>
      <w:tr w:rsidR="002F47B2" w:rsidRPr="002F47B2" w14:paraId="1B7612A4"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A0B46B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984" w:type="pct"/>
            <w:tcBorders>
              <w:top w:val="nil"/>
              <w:left w:val="nil"/>
              <w:bottom w:val="single" w:sz="4" w:space="0" w:color="000000"/>
              <w:right w:val="single" w:sz="4" w:space="0" w:color="000000"/>
            </w:tcBorders>
            <w:noWrap/>
            <w:vAlign w:val="center"/>
            <w:hideMark/>
          </w:tcPr>
          <w:p w14:paraId="7DA4CC9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3649D58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4992AFF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Calculations = £50 - £0 / 5</w:t>
            </w:r>
          </w:p>
        </w:tc>
      </w:tr>
      <w:tr w:rsidR="002F47B2" w:rsidRPr="002F47B2" w14:paraId="5503B2CD"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BB5EAF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984" w:type="pct"/>
            <w:tcBorders>
              <w:top w:val="nil"/>
              <w:left w:val="nil"/>
              <w:bottom w:val="single" w:sz="4" w:space="0" w:color="000000"/>
              <w:right w:val="single" w:sz="4" w:space="0" w:color="000000"/>
            </w:tcBorders>
            <w:noWrap/>
            <w:vAlign w:val="center"/>
            <w:hideMark/>
          </w:tcPr>
          <w:p w14:paraId="2D046B0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1D8A250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57BBA708"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£10</w:t>
            </w:r>
          </w:p>
        </w:tc>
      </w:tr>
      <w:tr w:rsidR="002F47B2" w:rsidRPr="002F47B2" w14:paraId="6D5F7F92"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9EF3499"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Total</w:t>
            </w:r>
          </w:p>
        </w:tc>
        <w:tc>
          <w:tcPr>
            <w:tcW w:w="984" w:type="pct"/>
            <w:tcBorders>
              <w:top w:val="nil"/>
              <w:left w:val="nil"/>
              <w:bottom w:val="single" w:sz="4" w:space="0" w:color="000000"/>
              <w:right w:val="single" w:sz="4" w:space="0" w:color="000000"/>
            </w:tcBorders>
            <w:noWrap/>
            <w:vAlign w:val="center"/>
            <w:hideMark/>
          </w:tcPr>
          <w:p w14:paraId="38C1880E"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 xml:space="preserve"> £          55.00 </w:t>
            </w:r>
          </w:p>
        </w:tc>
        <w:tc>
          <w:tcPr>
            <w:tcW w:w="108" w:type="pct"/>
            <w:tcBorders>
              <w:top w:val="nil"/>
              <w:left w:val="nil"/>
              <w:bottom w:val="nil"/>
              <w:right w:val="nil"/>
            </w:tcBorders>
            <w:noWrap/>
            <w:vAlign w:val="center"/>
            <w:hideMark/>
          </w:tcPr>
          <w:p w14:paraId="738D5CF2"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p>
        </w:tc>
        <w:tc>
          <w:tcPr>
            <w:tcW w:w="1415" w:type="pct"/>
            <w:tcBorders>
              <w:top w:val="nil"/>
              <w:left w:val="nil"/>
              <w:bottom w:val="nil"/>
              <w:right w:val="nil"/>
            </w:tcBorders>
            <w:noWrap/>
            <w:vAlign w:val="center"/>
            <w:hideMark/>
          </w:tcPr>
          <w:p w14:paraId="1133A44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0532151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E3B3860"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3AE060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Total Cash Flows / No. of Years</w:t>
            </w:r>
          </w:p>
        </w:tc>
        <w:tc>
          <w:tcPr>
            <w:tcW w:w="108" w:type="pct"/>
            <w:tcBorders>
              <w:top w:val="nil"/>
              <w:left w:val="nil"/>
              <w:bottom w:val="nil"/>
              <w:right w:val="nil"/>
            </w:tcBorders>
            <w:noWrap/>
            <w:vAlign w:val="center"/>
            <w:hideMark/>
          </w:tcPr>
          <w:p w14:paraId="462A8D2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697674C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006BAF9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6711038B"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0EE8788"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Calculations = £55 / 5</w:t>
            </w:r>
          </w:p>
        </w:tc>
        <w:tc>
          <w:tcPr>
            <w:tcW w:w="108" w:type="pct"/>
            <w:tcBorders>
              <w:top w:val="nil"/>
              <w:left w:val="nil"/>
              <w:bottom w:val="nil"/>
              <w:right w:val="nil"/>
            </w:tcBorders>
            <w:noWrap/>
            <w:vAlign w:val="center"/>
            <w:hideMark/>
          </w:tcPr>
          <w:p w14:paraId="59D22460"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6DCA6B0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09784C3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7FA2BADE"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12C1C75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£11</w:t>
            </w:r>
          </w:p>
        </w:tc>
        <w:tc>
          <w:tcPr>
            <w:tcW w:w="108" w:type="pct"/>
            <w:tcBorders>
              <w:top w:val="nil"/>
              <w:left w:val="nil"/>
              <w:bottom w:val="nil"/>
              <w:right w:val="nil"/>
            </w:tcBorders>
            <w:noWrap/>
            <w:vAlign w:val="center"/>
            <w:hideMark/>
          </w:tcPr>
          <w:p w14:paraId="2F09E26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2940267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1D0FBBC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4A8917A5" w14:textId="77777777" w:rsidTr="002F47B2">
        <w:trPr>
          <w:trHeight w:val="315"/>
        </w:trPr>
        <w:tc>
          <w:tcPr>
            <w:tcW w:w="1679" w:type="pct"/>
            <w:tcBorders>
              <w:top w:val="nil"/>
              <w:left w:val="nil"/>
              <w:bottom w:val="nil"/>
              <w:right w:val="nil"/>
            </w:tcBorders>
            <w:noWrap/>
            <w:vAlign w:val="center"/>
            <w:hideMark/>
          </w:tcPr>
          <w:p w14:paraId="20E7DC1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984" w:type="pct"/>
            <w:tcBorders>
              <w:top w:val="nil"/>
              <w:left w:val="nil"/>
              <w:bottom w:val="nil"/>
              <w:right w:val="nil"/>
            </w:tcBorders>
            <w:noWrap/>
            <w:vAlign w:val="center"/>
            <w:hideMark/>
          </w:tcPr>
          <w:p w14:paraId="79F371E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0B65044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3D6115F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093A0B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6387C59" w14:textId="77777777" w:rsidTr="002F47B2">
        <w:trPr>
          <w:trHeight w:val="315"/>
        </w:trPr>
        <w:tc>
          <w:tcPr>
            <w:tcW w:w="2663" w:type="pct"/>
            <w:gridSpan w:val="2"/>
            <w:tcBorders>
              <w:top w:val="nil"/>
              <w:left w:val="nil"/>
              <w:bottom w:val="nil"/>
              <w:right w:val="nil"/>
            </w:tcBorders>
            <w:noWrap/>
            <w:vAlign w:val="center"/>
            <w:hideMark/>
          </w:tcPr>
          <w:p w14:paraId="085CF142"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Investment</w:t>
            </w:r>
          </w:p>
        </w:tc>
        <w:tc>
          <w:tcPr>
            <w:tcW w:w="108" w:type="pct"/>
            <w:tcBorders>
              <w:top w:val="nil"/>
              <w:left w:val="nil"/>
              <w:bottom w:val="nil"/>
              <w:right w:val="nil"/>
            </w:tcBorders>
            <w:noWrap/>
            <w:vAlign w:val="center"/>
            <w:hideMark/>
          </w:tcPr>
          <w:p w14:paraId="70A01C0F"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4961564C"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Net Profit</w:t>
            </w:r>
          </w:p>
        </w:tc>
      </w:tr>
      <w:tr w:rsidR="002F47B2" w:rsidRPr="002F47B2" w14:paraId="0A43D55A"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30073AE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Initial Value + Residual Value / 2</w:t>
            </w:r>
          </w:p>
        </w:tc>
        <w:tc>
          <w:tcPr>
            <w:tcW w:w="108" w:type="pct"/>
            <w:tcBorders>
              <w:top w:val="nil"/>
              <w:left w:val="nil"/>
              <w:bottom w:val="nil"/>
              <w:right w:val="nil"/>
            </w:tcBorders>
            <w:noWrap/>
            <w:vAlign w:val="center"/>
            <w:hideMark/>
          </w:tcPr>
          <w:p w14:paraId="206B57D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51163F4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5D86750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r>
      <w:tr w:rsidR="002F47B2" w:rsidRPr="002F47B2" w14:paraId="0EAC4215"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675C8854"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£50 + £0 / 2</w:t>
            </w:r>
          </w:p>
        </w:tc>
        <w:tc>
          <w:tcPr>
            <w:tcW w:w="108" w:type="pct"/>
            <w:tcBorders>
              <w:top w:val="nil"/>
              <w:left w:val="nil"/>
              <w:bottom w:val="nil"/>
              <w:right w:val="nil"/>
            </w:tcBorders>
            <w:noWrap/>
            <w:vAlign w:val="center"/>
            <w:hideMark/>
          </w:tcPr>
          <w:p w14:paraId="63E6E5E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2C0F355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5E7D798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r>
      <w:tr w:rsidR="002F47B2" w:rsidRPr="002F47B2" w14:paraId="1B39506B"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016FD3C8"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Investment = £25</w:t>
            </w:r>
          </w:p>
        </w:tc>
        <w:tc>
          <w:tcPr>
            <w:tcW w:w="108" w:type="pct"/>
            <w:tcBorders>
              <w:top w:val="nil"/>
              <w:left w:val="nil"/>
              <w:bottom w:val="nil"/>
              <w:right w:val="nil"/>
            </w:tcBorders>
            <w:noWrap/>
            <w:vAlign w:val="center"/>
            <w:hideMark/>
          </w:tcPr>
          <w:p w14:paraId="3A1C6351"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6E1AF51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 xml:space="preserve">Avg Net Profit = Avg Cashflow - Annual Depreciation </w:t>
            </w:r>
          </w:p>
        </w:tc>
      </w:tr>
      <w:tr w:rsidR="002F47B2" w:rsidRPr="002F47B2" w14:paraId="083D4C29" w14:textId="77777777" w:rsidTr="002F47B2">
        <w:trPr>
          <w:trHeight w:val="315"/>
        </w:trPr>
        <w:tc>
          <w:tcPr>
            <w:tcW w:w="1679" w:type="pct"/>
            <w:tcBorders>
              <w:top w:val="nil"/>
              <w:left w:val="nil"/>
              <w:bottom w:val="nil"/>
              <w:right w:val="nil"/>
            </w:tcBorders>
            <w:noWrap/>
            <w:vAlign w:val="center"/>
            <w:hideMark/>
          </w:tcPr>
          <w:p w14:paraId="00CEE36E"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1BF79C2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052F1A1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7B084B4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Net Profit = £10.8 - £10</w:t>
            </w:r>
          </w:p>
        </w:tc>
      </w:tr>
      <w:tr w:rsidR="002F47B2" w:rsidRPr="002F47B2" w14:paraId="33547153" w14:textId="77777777" w:rsidTr="002F47B2">
        <w:trPr>
          <w:trHeight w:val="315"/>
        </w:trPr>
        <w:tc>
          <w:tcPr>
            <w:tcW w:w="1679" w:type="pct"/>
            <w:tcBorders>
              <w:top w:val="nil"/>
              <w:left w:val="nil"/>
              <w:bottom w:val="nil"/>
              <w:right w:val="nil"/>
            </w:tcBorders>
            <w:noWrap/>
            <w:vAlign w:val="center"/>
            <w:hideMark/>
          </w:tcPr>
          <w:p w14:paraId="329F7CE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2B87E37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172D360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3C7D7092"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Net Profit = £1</w:t>
            </w:r>
          </w:p>
        </w:tc>
      </w:tr>
      <w:tr w:rsidR="002F47B2" w:rsidRPr="002F47B2" w14:paraId="71C5D580" w14:textId="77777777" w:rsidTr="002F47B2">
        <w:trPr>
          <w:trHeight w:val="315"/>
        </w:trPr>
        <w:tc>
          <w:tcPr>
            <w:tcW w:w="1679" w:type="pct"/>
            <w:tcBorders>
              <w:top w:val="nil"/>
              <w:left w:val="nil"/>
              <w:bottom w:val="nil"/>
              <w:right w:val="nil"/>
            </w:tcBorders>
            <w:noWrap/>
            <w:vAlign w:val="center"/>
            <w:hideMark/>
          </w:tcPr>
          <w:p w14:paraId="498C404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248B272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09690B7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1DE8712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9489D4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ABCE1BB" w14:textId="77777777" w:rsidTr="002F47B2">
        <w:trPr>
          <w:trHeight w:val="315"/>
        </w:trPr>
        <w:tc>
          <w:tcPr>
            <w:tcW w:w="2663" w:type="pct"/>
            <w:gridSpan w:val="2"/>
            <w:tcBorders>
              <w:top w:val="nil"/>
              <w:left w:val="nil"/>
              <w:bottom w:val="nil"/>
              <w:right w:val="nil"/>
            </w:tcBorders>
            <w:vAlign w:val="center"/>
            <w:hideMark/>
          </w:tcPr>
          <w:p w14:paraId="4D9C7853"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06C0E67E"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1415" w:type="pct"/>
            <w:tcBorders>
              <w:top w:val="nil"/>
              <w:left w:val="nil"/>
              <w:bottom w:val="nil"/>
              <w:right w:val="nil"/>
            </w:tcBorders>
            <w:noWrap/>
            <w:vAlign w:val="center"/>
            <w:hideMark/>
          </w:tcPr>
          <w:p w14:paraId="3157173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52154B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2A696A3A"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5B2C7B3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547F638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 </w:t>
            </w:r>
          </w:p>
        </w:tc>
        <w:tc>
          <w:tcPr>
            <w:tcW w:w="108" w:type="pct"/>
            <w:tcBorders>
              <w:top w:val="nil"/>
              <w:left w:val="nil"/>
              <w:bottom w:val="nil"/>
              <w:right w:val="nil"/>
            </w:tcBorders>
            <w:noWrap/>
            <w:vAlign w:val="center"/>
            <w:hideMark/>
          </w:tcPr>
          <w:p w14:paraId="361A835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322CA0A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51B110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257E05A5"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291CF28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569145D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1E311B4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5CF13CC7"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2DB5760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F8C5F3F"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6EAB64A1"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40405E9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0079822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081D31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CA668D7"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672EA7CF"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ARR = £1 / £25 * 100</w:t>
            </w:r>
          </w:p>
        </w:tc>
        <w:tc>
          <w:tcPr>
            <w:tcW w:w="108" w:type="pct"/>
            <w:tcBorders>
              <w:top w:val="nil"/>
              <w:left w:val="nil"/>
              <w:bottom w:val="nil"/>
              <w:right w:val="nil"/>
            </w:tcBorders>
            <w:noWrap/>
            <w:vAlign w:val="center"/>
            <w:hideMark/>
          </w:tcPr>
          <w:p w14:paraId="03E8ABAF"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100F193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2E4809A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062B0FF1"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3710C38B" w14:textId="77777777" w:rsidR="002F47B2" w:rsidRPr="002F47B2" w:rsidRDefault="002F47B2" w:rsidP="002F47B2">
            <w:pPr>
              <w:spacing w:line="240" w:lineRule="auto"/>
              <w:jc w:val="center"/>
              <w:rPr>
                <w:rFonts w:ascii="Times New Roman" w:eastAsia="Times New Roman" w:hAnsi="Times New Roman" w:cs="Times New Roman"/>
                <w:b/>
                <w:bCs/>
                <w:i/>
                <w:iCs/>
                <w:color w:val="5B0F00"/>
                <w:sz w:val="24"/>
                <w:szCs w:val="24"/>
                <w:lang w:val="en-IN"/>
              </w:rPr>
            </w:pPr>
            <w:r w:rsidRPr="002F47B2">
              <w:rPr>
                <w:rFonts w:ascii="Times New Roman" w:eastAsia="Times New Roman" w:hAnsi="Times New Roman" w:cs="Times New Roman"/>
                <w:b/>
                <w:bCs/>
                <w:i/>
                <w:iCs/>
                <w:color w:val="5B0F00"/>
                <w:sz w:val="24"/>
                <w:szCs w:val="24"/>
                <w:lang w:val="en-IN"/>
              </w:rPr>
              <w:t>ARR = 4%</w:t>
            </w:r>
          </w:p>
        </w:tc>
        <w:tc>
          <w:tcPr>
            <w:tcW w:w="108" w:type="pct"/>
            <w:tcBorders>
              <w:top w:val="nil"/>
              <w:left w:val="nil"/>
              <w:bottom w:val="nil"/>
              <w:right w:val="nil"/>
            </w:tcBorders>
            <w:noWrap/>
            <w:vAlign w:val="center"/>
            <w:hideMark/>
          </w:tcPr>
          <w:p w14:paraId="192A7142" w14:textId="77777777" w:rsidR="002F47B2" w:rsidRPr="002F47B2" w:rsidRDefault="002F47B2" w:rsidP="002F47B2">
            <w:pPr>
              <w:spacing w:line="240" w:lineRule="auto"/>
              <w:jc w:val="center"/>
              <w:rPr>
                <w:rFonts w:ascii="Times New Roman" w:eastAsia="Times New Roman" w:hAnsi="Times New Roman" w:cs="Times New Roman"/>
                <w:b/>
                <w:bCs/>
                <w:i/>
                <w:iCs/>
                <w:color w:val="5B0F00"/>
                <w:sz w:val="24"/>
                <w:szCs w:val="24"/>
                <w:lang w:val="en-IN"/>
              </w:rPr>
            </w:pPr>
          </w:p>
        </w:tc>
        <w:tc>
          <w:tcPr>
            <w:tcW w:w="1415" w:type="pct"/>
            <w:tcBorders>
              <w:top w:val="nil"/>
              <w:left w:val="nil"/>
              <w:bottom w:val="nil"/>
              <w:right w:val="nil"/>
            </w:tcBorders>
            <w:noWrap/>
            <w:vAlign w:val="center"/>
            <w:hideMark/>
          </w:tcPr>
          <w:p w14:paraId="0C47A89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341AE0B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bl>
    <w:p w14:paraId="76985EF6" w14:textId="26F36F77" w:rsidR="002F47B2" w:rsidRDefault="002F47B2">
      <w:pPr>
        <w:spacing w:after="240" w:line="360" w:lineRule="auto"/>
        <w:jc w:val="both"/>
        <w:rPr>
          <w:sz w:val="24"/>
          <w:szCs w:val="24"/>
        </w:rPr>
      </w:pPr>
    </w:p>
    <w:p w14:paraId="6407F9C0" w14:textId="77777777" w:rsidR="002F47B2" w:rsidRDefault="002F47B2">
      <w:pPr>
        <w:rPr>
          <w:sz w:val="24"/>
          <w:szCs w:val="24"/>
        </w:rPr>
      </w:pPr>
      <w:r>
        <w:rPr>
          <w:sz w:val="24"/>
          <w:szCs w:val="24"/>
        </w:rPr>
        <w:br w:type="page"/>
      </w:r>
    </w:p>
    <w:tbl>
      <w:tblPr>
        <w:tblW w:w="5000" w:type="pct"/>
        <w:tblLook w:val="04A0" w:firstRow="1" w:lastRow="0" w:firstColumn="1" w:lastColumn="0" w:noHBand="0" w:noVBand="1"/>
      </w:tblPr>
      <w:tblGrid>
        <w:gridCol w:w="3098"/>
        <w:gridCol w:w="1814"/>
        <w:gridCol w:w="222"/>
        <w:gridCol w:w="2611"/>
        <w:gridCol w:w="1500"/>
      </w:tblGrid>
      <w:tr w:rsidR="002F47B2" w:rsidRPr="002F47B2" w14:paraId="520C4445" w14:textId="77777777" w:rsidTr="002F47B2">
        <w:trPr>
          <w:trHeight w:val="315"/>
        </w:trPr>
        <w:tc>
          <w:tcPr>
            <w:tcW w:w="5000" w:type="pct"/>
            <w:gridSpan w:val="5"/>
            <w:tcBorders>
              <w:top w:val="nil"/>
              <w:left w:val="nil"/>
              <w:bottom w:val="nil"/>
              <w:right w:val="nil"/>
            </w:tcBorders>
            <w:noWrap/>
            <w:vAlign w:val="center"/>
            <w:hideMark/>
          </w:tcPr>
          <w:p w14:paraId="25E80B75" w14:textId="77777777" w:rsidR="002F47B2" w:rsidRPr="002F47B2" w:rsidRDefault="002F47B2" w:rsidP="002F47B2">
            <w:pPr>
              <w:spacing w:line="240" w:lineRule="auto"/>
              <w:jc w:val="center"/>
              <w:rPr>
                <w:rFonts w:ascii="Caveat" w:eastAsia="Times New Roman" w:hAnsi="Caveat"/>
                <w:b/>
                <w:bCs/>
                <w:color w:val="4C1130"/>
                <w:sz w:val="28"/>
                <w:szCs w:val="28"/>
                <w:lang w:val="en-IN"/>
              </w:rPr>
            </w:pPr>
            <w:r w:rsidRPr="002F47B2">
              <w:rPr>
                <w:rFonts w:ascii="Caveat" w:eastAsia="Times New Roman" w:hAnsi="Caveat"/>
                <w:b/>
                <w:bCs/>
                <w:color w:val="4C1130"/>
                <w:sz w:val="28"/>
                <w:szCs w:val="28"/>
                <w:lang w:val="en-IN"/>
              </w:rPr>
              <w:lastRenderedPageBreak/>
              <w:t>Project C</w:t>
            </w:r>
          </w:p>
        </w:tc>
      </w:tr>
      <w:tr w:rsidR="002F47B2" w:rsidRPr="002F47B2" w14:paraId="22D3C460" w14:textId="77777777" w:rsidTr="002F47B2">
        <w:trPr>
          <w:trHeight w:val="315"/>
        </w:trPr>
        <w:tc>
          <w:tcPr>
            <w:tcW w:w="2663" w:type="pct"/>
            <w:gridSpan w:val="2"/>
            <w:tcBorders>
              <w:top w:val="nil"/>
              <w:left w:val="nil"/>
              <w:bottom w:val="nil"/>
              <w:right w:val="nil"/>
            </w:tcBorders>
            <w:noWrap/>
            <w:vAlign w:val="center"/>
            <w:hideMark/>
          </w:tcPr>
          <w:p w14:paraId="3BA3F0D2"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Cashflows</w:t>
            </w:r>
          </w:p>
        </w:tc>
        <w:tc>
          <w:tcPr>
            <w:tcW w:w="108" w:type="pct"/>
            <w:tcBorders>
              <w:top w:val="nil"/>
              <w:left w:val="nil"/>
              <w:bottom w:val="nil"/>
              <w:right w:val="nil"/>
            </w:tcBorders>
            <w:noWrap/>
            <w:vAlign w:val="center"/>
            <w:hideMark/>
          </w:tcPr>
          <w:p w14:paraId="1B5A7565"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785653A4"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Annual Depreciation</w:t>
            </w:r>
          </w:p>
        </w:tc>
      </w:tr>
      <w:tr w:rsidR="002F47B2" w:rsidRPr="002F47B2" w14:paraId="56F11C74" w14:textId="77777777" w:rsidTr="002F47B2">
        <w:trPr>
          <w:trHeight w:val="315"/>
        </w:trPr>
        <w:tc>
          <w:tcPr>
            <w:tcW w:w="1679" w:type="pct"/>
            <w:tcBorders>
              <w:top w:val="single" w:sz="4" w:space="0" w:color="FFFFFF"/>
              <w:left w:val="single" w:sz="4" w:space="0" w:color="FFFFFF"/>
              <w:bottom w:val="nil"/>
              <w:right w:val="single" w:sz="4" w:space="0" w:color="FFFFFF"/>
            </w:tcBorders>
            <w:shd w:val="clear" w:color="274E13" w:fill="274E13"/>
            <w:vAlign w:val="center"/>
            <w:hideMark/>
          </w:tcPr>
          <w:p w14:paraId="31214BD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w:t>
            </w:r>
          </w:p>
        </w:tc>
        <w:tc>
          <w:tcPr>
            <w:tcW w:w="984" w:type="pct"/>
            <w:tcBorders>
              <w:top w:val="single" w:sz="4" w:space="0" w:color="FFFFFF"/>
              <w:left w:val="nil"/>
              <w:bottom w:val="nil"/>
              <w:right w:val="single" w:sz="4" w:space="0" w:color="FFFFFF"/>
            </w:tcBorders>
            <w:shd w:val="clear" w:color="274E13" w:fill="274E13"/>
            <w:vAlign w:val="center"/>
            <w:hideMark/>
          </w:tcPr>
          <w:p w14:paraId="6567ADC7"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Cash Flows</w:t>
            </w:r>
          </w:p>
        </w:tc>
        <w:tc>
          <w:tcPr>
            <w:tcW w:w="108" w:type="pct"/>
            <w:tcBorders>
              <w:top w:val="nil"/>
              <w:left w:val="nil"/>
              <w:bottom w:val="nil"/>
              <w:right w:val="nil"/>
            </w:tcBorders>
            <w:noWrap/>
            <w:vAlign w:val="center"/>
            <w:hideMark/>
          </w:tcPr>
          <w:p w14:paraId="5582A55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100E436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Value</w:t>
            </w:r>
          </w:p>
        </w:tc>
        <w:tc>
          <w:tcPr>
            <w:tcW w:w="813" w:type="pct"/>
            <w:tcBorders>
              <w:top w:val="single" w:sz="4" w:space="0" w:color="000000"/>
              <w:left w:val="nil"/>
              <w:bottom w:val="single" w:sz="4" w:space="0" w:color="000000"/>
              <w:right w:val="single" w:sz="4" w:space="0" w:color="000000"/>
            </w:tcBorders>
            <w:noWrap/>
            <w:vAlign w:val="center"/>
            <w:hideMark/>
          </w:tcPr>
          <w:p w14:paraId="0E3D0B8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 </w:t>
            </w:r>
          </w:p>
        </w:tc>
      </w:tr>
      <w:tr w:rsidR="002F47B2" w:rsidRPr="002F47B2" w14:paraId="4D0CFAB4"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7ADD6E1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1</w:t>
            </w:r>
          </w:p>
        </w:tc>
        <w:tc>
          <w:tcPr>
            <w:tcW w:w="984" w:type="pct"/>
            <w:tcBorders>
              <w:top w:val="single" w:sz="4" w:space="0" w:color="000000"/>
              <w:left w:val="nil"/>
              <w:bottom w:val="single" w:sz="4" w:space="0" w:color="000000"/>
              <w:right w:val="single" w:sz="4" w:space="0" w:color="000000"/>
            </w:tcBorders>
            <w:noWrap/>
            <w:vAlign w:val="center"/>
            <w:hideMark/>
          </w:tcPr>
          <w:p w14:paraId="1BD68F4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108" w:type="pct"/>
            <w:tcBorders>
              <w:top w:val="nil"/>
              <w:left w:val="nil"/>
              <w:bottom w:val="nil"/>
              <w:right w:val="nil"/>
            </w:tcBorders>
            <w:noWrap/>
            <w:vAlign w:val="center"/>
            <w:hideMark/>
          </w:tcPr>
          <w:p w14:paraId="11426A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3C0F0C2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28512BE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5577C189"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5FAAC6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2</w:t>
            </w:r>
          </w:p>
        </w:tc>
        <w:tc>
          <w:tcPr>
            <w:tcW w:w="984" w:type="pct"/>
            <w:tcBorders>
              <w:top w:val="nil"/>
              <w:left w:val="nil"/>
              <w:bottom w:val="single" w:sz="4" w:space="0" w:color="000000"/>
              <w:right w:val="single" w:sz="4" w:space="0" w:color="000000"/>
            </w:tcBorders>
            <w:noWrap/>
            <w:vAlign w:val="center"/>
            <w:hideMark/>
          </w:tcPr>
          <w:p w14:paraId="7CB58DB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5C098CB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7567A14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23A3942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w:t>
            </w:r>
          </w:p>
        </w:tc>
      </w:tr>
      <w:tr w:rsidR="002F47B2" w:rsidRPr="002F47B2" w14:paraId="6FEA684F"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6E487A0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3</w:t>
            </w:r>
          </w:p>
        </w:tc>
        <w:tc>
          <w:tcPr>
            <w:tcW w:w="984" w:type="pct"/>
            <w:tcBorders>
              <w:top w:val="nil"/>
              <w:left w:val="nil"/>
              <w:bottom w:val="single" w:sz="4" w:space="0" w:color="000000"/>
              <w:right w:val="single" w:sz="4" w:space="0" w:color="000000"/>
            </w:tcBorders>
            <w:noWrap/>
            <w:vAlign w:val="center"/>
            <w:hideMark/>
          </w:tcPr>
          <w:p w14:paraId="6D7EA03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108" w:type="pct"/>
            <w:tcBorders>
              <w:top w:val="nil"/>
              <w:left w:val="nil"/>
              <w:bottom w:val="nil"/>
              <w:right w:val="nil"/>
            </w:tcBorders>
            <w:noWrap/>
            <w:vAlign w:val="center"/>
            <w:hideMark/>
          </w:tcPr>
          <w:p w14:paraId="2DD5E61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01E9583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Initial Value - Residual Value / No. of Years</w:t>
            </w:r>
          </w:p>
        </w:tc>
      </w:tr>
      <w:tr w:rsidR="002F47B2" w:rsidRPr="002F47B2" w14:paraId="63ADA93F"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EB0843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4</w:t>
            </w:r>
          </w:p>
        </w:tc>
        <w:tc>
          <w:tcPr>
            <w:tcW w:w="984" w:type="pct"/>
            <w:tcBorders>
              <w:top w:val="nil"/>
              <w:left w:val="nil"/>
              <w:bottom w:val="single" w:sz="4" w:space="0" w:color="000000"/>
              <w:right w:val="single" w:sz="4" w:space="0" w:color="000000"/>
            </w:tcBorders>
            <w:noWrap/>
            <w:vAlign w:val="center"/>
            <w:hideMark/>
          </w:tcPr>
          <w:p w14:paraId="24CD9AA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7EB2127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107B425D"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Calculations = £50 - £0 / 5</w:t>
            </w:r>
          </w:p>
        </w:tc>
      </w:tr>
      <w:tr w:rsidR="002F47B2" w:rsidRPr="002F47B2" w14:paraId="4B079110"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842D05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5</w:t>
            </w:r>
          </w:p>
        </w:tc>
        <w:tc>
          <w:tcPr>
            <w:tcW w:w="984" w:type="pct"/>
            <w:tcBorders>
              <w:top w:val="nil"/>
              <w:left w:val="nil"/>
              <w:bottom w:val="single" w:sz="4" w:space="0" w:color="000000"/>
              <w:right w:val="single" w:sz="4" w:space="0" w:color="000000"/>
            </w:tcBorders>
            <w:noWrap/>
            <w:vAlign w:val="center"/>
            <w:hideMark/>
          </w:tcPr>
          <w:p w14:paraId="563EAB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108" w:type="pct"/>
            <w:tcBorders>
              <w:top w:val="nil"/>
              <w:left w:val="nil"/>
              <w:bottom w:val="nil"/>
              <w:right w:val="nil"/>
            </w:tcBorders>
            <w:noWrap/>
            <w:vAlign w:val="center"/>
            <w:hideMark/>
          </w:tcPr>
          <w:p w14:paraId="3D58C65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11BE4271"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Depreciation = £10</w:t>
            </w:r>
          </w:p>
        </w:tc>
      </w:tr>
      <w:tr w:rsidR="002F47B2" w:rsidRPr="002F47B2" w14:paraId="057B29E0"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7C54EC8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Year 6</w:t>
            </w:r>
          </w:p>
        </w:tc>
        <w:tc>
          <w:tcPr>
            <w:tcW w:w="984" w:type="pct"/>
            <w:tcBorders>
              <w:top w:val="nil"/>
              <w:left w:val="nil"/>
              <w:bottom w:val="single" w:sz="4" w:space="0" w:color="000000"/>
              <w:right w:val="single" w:sz="4" w:space="0" w:color="000000"/>
            </w:tcBorders>
            <w:noWrap/>
            <w:vAlign w:val="center"/>
            <w:hideMark/>
          </w:tcPr>
          <w:p w14:paraId="6101D499"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 xml:space="preserve"> £          65.00 </w:t>
            </w:r>
          </w:p>
        </w:tc>
        <w:tc>
          <w:tcPr>
            <w:tcW w:w="108" w:type="pct"/>
            <w:tcBorders>
              <w:top w:val="nil"/>
              <w:left w:val="nil"/>
              <w:bottom w:val="nil"/>
              <w:right w:val="nil"/>
            </w:tcBorders>
            <w:noWrap/>
            <w:vAlign w:val="center"/>
            <w:hideMark/>
          </w:tcPr>
          <w:p w14:paraId="1E45D337"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p>
        </w:tc>
        <w:tc>
          <w:tcPr>
            <w:tcW w:w="1415" w:type="pct"/>
            <w:tcBorders>
              <w:top w:val="nil"/>
              <w:left w:val="nil"/>
              <w:bottom w:val="nil"/>
              <w:right w:val="nil"/>
            </w:tcBorders>
            <w:noWrap/>
            <w:vAlign w:val="center"/>
            <w:hideMark/>
          </w:tcPr>
          <w:p w14:paraId="77C4B27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4FFF054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642713A"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6102341D"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Total Cash Flows / No. of Years</w:t>
            </w:r>
          </w:p>
        </w:tc>
        <w:tc>
          <w:tcPr>
            <w:tcW w:w="108" w:type="pct"/>
            <w:tcBorders>
              <w:top w:val="nil"/>
              <w:left w:val="nil"/>
              <w:bottom w:val="nil"/>
              <w:right w:val="nil"/>
            </w:tcBorders>
            <w:noWrap/>
            <w:vAlign w:val="center"/>
            <w:hideMark/>
          </w:tcPr>
          <w:p w14:paraId="2C96302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18C2061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666F48A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F84A141"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4DFE9A02"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Calculations = £65 / 5</w:t>
            </w:r>
          </w:p>
        </w:tc>
        <w:tc>
          <w:tcPr>
            <w:tcW w:w="108" w:type="pct"/>
            <w:tcBorders>
              <w:top w:val="nil"/>
              <w:left w:val="nil"/>
              <w:bottom w:val="nil"/>
              <w:right w:val="nil"/>
            </w:tcBorders>
            <w:noWrap/>
            <w:vAlign w:val="center"/>
            <w:hideMark/>
          </w:tcPr>
          <w:p w14:paraId="3B6713B2"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7C6B6CC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403800D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06E36C2"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5E2B051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Cash Flows = £13</w:t>
            </w:r>
          </w:p>
        </w:tc>
        <w:tc>
          <w:tcPr>
            <w:tcW w:w="108" w:type="pct"/>
            <w:tcBorders>
              <w:top w:val="nil"/>
              <w:left w:val="nil"/>
              <w:bottom w:val="nil"/>
              <w:right w:val="nil"/>
            </w:tcBorders>
            <w:noWrap/>
            <w:vAlign w:val="center"/>
            <w:hideMark/>
          </w:tcPr>
          <w:p w14:paraId="336F3253"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4BEA745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7C7F084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E4709F9" w14:textId="77777777" w:rsidTr="002F47B2">
        <w:trPr>
          <w:trHeight w:val="315"/>
        </w:trPr>
        <w:tc>
          <w:tcPr>
            <w:tcW w:w="1679" w:type="pct"/>
            <w:tcBorders>
              <w:top w:val="nil"/>
              <w:left w:val="nil"/>
              <w:bottom w:val="nil"/>
              <w:right w:val="nil"/>
            </w:tcBorders>
            <w:noWrap/>
            <w:vAlign w:val="center"/>
            <w:hideMark/>
          </w:tcPr>
          <w:p w14:paraId="0F3780B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984" w:type="pct"/>
            <w:tcBorders>
              <w:top w:val="nil"/>
              <w:left w:val="nil"/>
              <w:bottom w:val="nil"/>
              <w:right w:val="nil"/>
            </w:tcBorders>
            <w:noWrap/>
            <w:vAlign w:val="center"/>
            <w:hideMark/>
          </w:tcPr>
          <w:p w14:paraId="5F5227A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6DC80177"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2CED1D3B"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1F87229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FB1B95F" w14:textId="77777777" w:rsidTr="002F47B2">
        <w:trPr>
          <w:trHeight w:val="315"/>
        </w:trPr>
        <w:tc>
          <w:tcPr>
            <w:tcW w:w="2663" w:type="pct"/>
            <w:gridSpan w:val="2"/>
            <w:tcBorders>
              <w:top w:val="nil"/>
              <w:left w:val="nil"/>
              <w:bottom w:val="nil"/>
              <w:right w:val="nil"/>
            </w:tcBorders>
            <w:noWrap/>
            <w:vAlign w:val="center"/>
            <w:hideMark/>
          </w:tcPr>
          <w:p w14:paraId="26564663"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Investment</w:t>
            </w:r>
          </w:p>
        </w:tc>
        <w:tc>
          <w:tcPr>
            <w:tcW w:w="108" w:type="pct"/>
            <w:tcBorders>
              <w:top w:val="nil"/>
              <w:left w:val="nil"/>
              <w:bottom w:val="nil"/>
              <w:right w:val="nil"/>
            </w:tcBorders>
            <w:noWrap/>
            <w:vAlign w:val="center"/>
            <w:hideMark/>
          </w:tcPr>
          <w:p w14:paraId="56D70EE4"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2229" w:type="pct"/>
            <w:gridSpan w:val="2"/>
            <w:tcBorders>
              <w:top w:val="nil"/>
              <w:left w:val="nil"/>
              <w:bottom w:val="nil"/>
              <w:right w:val="nil"/>
            </w:tcBorders>
            <w:noWrap/>
            <w:vAlign w:val="center"/>
            <w:hideMark/>
          </w:tcPr>
          <w:p w14:paraId="1363333F"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Average Net Profit</w:t>
            </w:r>
          </w:p>
        </w:tc>
      </w:tr>
      <w:tr w:rsidR="002F47B2" w:rsidRPr="002F47B2" w14:paraId="6798C59B"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4021684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Initial Value + Residual Value / 2</w:t>
            </w:r>
          </w:p>
        </w:tc>
        <w:tc>
          <w:tcPr>
            <w:tcW w:w="108" w:type="pct"/>
            <w:tcBorders>
              <w:top w:val="nil"/>
              <w:left w:val="nil"/>
              <w:bottom w:val="nil"/>
              <w:right w:val="nil"/>
            </w:tcBorders>
            <w:noWrap/>
            <w:vAlign w:val="center"/>
            <w:hideMark/>
          </w:tcPr>
          <w:p w14:paraId="5CAA1B72"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04EBD25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65F0F2A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13.00 </w:t>
            </w:r>
          </w:p>
        </w:tc>
      </w:tr>
      <w:tr w:rsidR="002F47B2" w:rsidRPr="002F47B2" w14:paraId="0D2F28E5"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6AE1B135"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Investment = £50 + £0 / 2</w:t>
            </w:r>
          </w:p>
        </w:tc>
        <w:tc>
          <w:tcPr>
            <w:tcW w:w="108" w:type="pct"/>
            <w:tcBorders>
              <w:top w:val="nil"/>
              <w:left w:val="nil"/>
              <w:bottom w:val="nil"/>
              <w:right w:val="nil"/>
            </w:tcBorders>
            <w:noWrap/>
            <w:vAlign w:val="center"/>
            <w:hideMark/>
          </w:tcPr>
          <w:p w14:paraId="6F583FA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278EDE2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2EEE75E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r>
      <w:tr w:rsidR="002F47B2" w:rsidRPr="002F47B2" w14:paraId="236939E9"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65408F3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Annual Investment = £25</w:t>
            </w:r>
          </w:p>
        </w:tc>
        <w:tc>
          <w:tcPr>
            <w:tcW w:w="108" w:type="pct"/>
            <w:tcBorders>
              <w:top w:val="nil"/>
              <w:left w:val="nil"/>
              <w:bottom w:val="nil"/>
              <w:right w:val="nil"/>
            </w:tcBorders>
            <w:noWrap/>
            <w:vAlign w:val="center"/>
            <w:hideMark/>
          </w:tcPr>
          <w:p w14:paraId="78C30965"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6D4C4E6A"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 xml:space="preserve">Avg Net Profit = Avg Cashflow - Annual Depreciation </w:t>
            </w:r>
          </w:p>
        </w:tc>
      </w:tr>
      <w:tr w:rsidR="002F47B2" w:rsidRPr="002F47B2" w14:paraId="3A24235F" w14:textId="77777777" w:rsidTr="002F47B2">
        <w:trPr>
          <w:trHeight w:val="315"/>
        </w:trPr>
        <w:tc>
          <w:tcPr>
            <w:tcW w:w="1679" w:type="pct"/>
            <w:tcBorders>
              <w:top w:val="nil"/>
              <w:left w:val="nil"/>
              <w:bottom w:val="nil"/>
              <w:right w:val="nil"/>
            </w:tcBorders>
            <w:noWrap/>
            <w:vAlign w:val="center"/>
            <w:hideMark/>
          </w:tcPr>
          <w:p w14:paraId="16DF6DC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1483EFE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2496F44B"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4E269B64"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Avg Net Profit = £13 - £10</w:t>
            </w:r>
          </w:p>
        </w:tc>
      </w:tr>
      <w:tr w:rsidR="002F47B2" w:rsidRPr="002F47B2" w14:paraId="20C1AC10" w14:textId="77777777" w:rsidTr="002F47B2">
        <w:trPr>
          <w:trHeight w:val="315"/>
        </w:trPr>
        <w:tc>
          <w:tcPr>
            <w:tcW w:w="1679" w:type="pct"/>
            <w:tcBorders>
              <w:top w:val="nil"/>
              <w:left w:val="nil"/>
              <w:bottom w:val="nil"/>
              <w:right w:val="nil"/>
            </w:tcBorders>
            <w:noWrap/>
            <w:vAlign w:val="center"/>
            <w:hideMark/>
          </w:tcPr>
          <w:p w14:paraId="176DB766"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67218D4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0D35089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4696C2F3"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Average Net Profit = £3</w:t>
            </w:r>
          </w:p>
        </w:tc>
      </w:tr>
      <w:tr w:rsidR="002F47B2" w:rsidRPr="002F47B2" w14:paraId="184413F4" w14:textId="77777777" w:rsidTr="002F47B2">
        <w:trPr>
          <w:trHeight w:val="315"/>
        </w:trPr>
        <w:tc>
          <w:tcPr>
            <w:tcW w:w="1679" w:type="pct"/>
            <w:tcBorders>
              <w:top w:val="nil"/>
              <w:left w:val="nil"/>
              <w:bottom w:val="nil"/>
              <w:right w:val="nil"/>
            </w:tcBorders>
            <w:noWrap/>
            <w:vAlign w:val="center"/>
            <w:hideMark/>
          </w:tcPr>
          <w:p w14:paraId="40F295BD"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984" w:type="pct"/>
            <w:tcBorders>
              <w:top w:val="nil"/>
              <w:left w:val="nil"/>
              <w:bottom w:val="nil"/>
              <w:right w:val="nil"/>
            </w:tcBorders>
            <w:noWrap/>
            <w:vAlign w:val="center"/>
            <w:hideMark/>
          </w:tcPr>
          <w:p w14:paraId="356748C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08" w:type="pct"/>
            <w:tcBorders>
              <w:top w:val="nil"/>
              <w:left w:val="nil"/>
              <w:bottom w:val="nil"/>
              <w:right w:val="nil"/>
            </w:tcBorders>
            <w:noWrap/>
            <w:vAlign w:val="center"/>
            <w:hideMark/>
          </w:tcPr>
          <w:p w14:paraId="565FE15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1415" w:type="pct"/>
            <w:tcBorders>
              <w:top w:val="nil"/>
              <w:left w:val="nil"/>
              <w:bottom w:val="nil"/>
              <w:right w:val="nil"/>
            </w:tcBorders>
            <w:noWrap/>
            <w:vAlign w:val="center"/>
            <w:hideMark/>
          </w:tcPr>
          <w:p w14:paraId="3753D74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2676025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38FBDA3A" w14:textId="77777777" w:rsidTr="002F47B2">
        <w:trPr>
          <w:trHeight w:val="315"/>
        </w:trPr>
        <w:tc>
          <w:tcPr>
            <w:tcW w:w="2663" w:type="pct"/>
            <w:gridSpan w:val="2"/>
            <w:tcBorders>
              <w:top w:val="nil"/>
              <w:left w:val="nil"/>
              <w:bottom w:val="nil"/>
              <w:right w:val="nil"/>
            </w:tcBorders>
            <w:vAlign w:val="center"/>
            <w:hideMark/>
          </w:tcPr>
          <w:p w14:paraId="06BE3D67"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r w:rsidRPr="002F47B2">
              <w:rPr>
                <w:rFonts w:ascii="Caveat" w:eastAsia="Times New Roman" w:hAnsi="Caveat"/>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4B465004" w14:textId="77777777" w:rsidR="002F47B2" w:rsidRPr="002F47B2" w:rsidRDefault="002F47B2" w:rsidP="002F47B2">
            <w:pPr>
              <w:spacing w:line="240" w:lineRule="auto"/>
              <w:jc w:val="center"/>
              <w:rPr>
                <w:rFonts w:ascii="Caveat" w:eastAsia="Times New Roman" w:hAnsi="Caveat"/>
                <w:b/>
                <w:bCs/>
                <w:color w:val="000000"/>
                <w:sz w:val="28"/>
                <w:szCs w:val="28"/>
                <w:lang w:val="en-IN"/>
              </w:rPr>
            </w:pPr>
          </w:p>
        </w:tc>
        <w:tc>
          <w:tcPr>
            <w:tcW w:w="1415" w:type="pct"/>
            <w:tcBorders>
              <w:top w:val="nil"/>
              <w:left w:val="nil"/>
              <w:bottom w:val="nil"/>
              <w:right w:val="nil"/>
            </w:tcBorders>
            <w:noWrap/>
            <w:vAlign w:val="center"/>
            <w:hideMark/>
          </w:tcPr>
          <w:p w14:paraId="63787AC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2009F4A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0C542997" w14:textId="77777777" w:rsidTr="002F47B2">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30EFACF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75CAC3D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3.00 </w:t>
            </w:r>
          </w:p>
        </w:tc>
        <w:tc>
          <w:tcPr>
            <w:tcW w:w="108" w:type="pct"/>
            <w:tcBorders>
              <w:top w:val="nil"/>
              <w:left w:val="nil"/>
              <w:bottom w:val="nil"/>
              <w:right w:val="nil"/>
            </w:tcBorders>
            <w:noWrap/>
            <w:vAlign w:val="center"/>
            <w:hideMark/>
          </w:tcPr>
          <w:p w14:paraId="7EC8CA1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77FE38F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6EDC166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B8AA36E" w14:textId="77777777" w:rsidTr="002F47B2">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3CC33F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1BF14CD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131E897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p>
        </w:tc>
        <w:tc>
          <w:tcPr>
            <w:tcW w:w="1415" w:type="pct"/>
            <w:tcBorders>
              <w:top w:val="nil"/>
              <w:left w:val="nil"/>
              <w:bottom w:val="nil"/>
              <w:right w:val="nil"/>
            </w:tcBorders>
            <w:noWrap/>
            <w:vAlign w:val="center"/>
            <w:hideMark/>
          </w:tcPr>
          <w:p w14:paraId="158D33A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6503BD8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CD97543"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70ACA66C"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2A7979E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1146E97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687648F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592AF75D"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5D743CCB"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ARR = £3 / £25 * 100</w:t>
            </w:r>
          </w:p>
        </w:tc>
        <w:tc>
          <w:tcPr>
            <w:tcW w:w="108" w:type="pct"/>
            <w:tcBorders>
              <w:top w:val="nil"/>
              <w:left w:val="nil"/>
              <w:bottom w:val="nil"/>
              <w:right w:val="nil"/>
            </w:tcBorders>
            <w:noWrap/>
            <w:vAlign w:val="center"/>
            <w:hideMark/>
          </w:tcPr>
          <w:p w14:paraId="4F4D0D1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p>
        </w:tc>
        <w:tc>
          <w:tcPr>
            <w:tcW w:w="1415" w:type="pct"/>
            <w:tcBorders>
              <w:top w:val="nil"/>
              <w:left w:val="nil"/>
              <w:bottom w:val="nil"/>
              <w:right w:val="nil"/>
            </w:tcBorders>
            <w:noWrap/>
            <w:vAlign w:val="center"/>
            <w:hideMark/>
          </w:tcPr>
          <w:p w14:paraId="59FC00E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33BC4835"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65BC67C2" w14:textId="77777777" w:rsidTr="002F47B2">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60608A04" w14:textId="77777777" w:rsidR="002F47B2" w:rsidRPr="002F47B2" w:rsidRDefault="002F47B2" w:rsidP="002F47B2">
            <w:pPr>
              <w:spacing w:line="240" w:lineRule="auto"/>
              <w:jc w:val="center"/>
              <w:rPr>
                <w:rFonts w:ascii="Times New Roman" w:eastAsia="Times New Roman" w:hAnsi="Times New Roman" w:cs="Times New Roman"/>
                <w:b/>
                <w:bCs/>
                <w:i/>
                <w:iCs/>
                <w:color w:val="5B0F00"/>
                <w:sz w:val="24"/>
                <w:szCs w:val="24"/>
                <w:lang w:val="en-IN"/>
              </w:rPr>
            </w:pPr>
            <w:r w:rsidRPr="002F47B2">
              <w:rPr>
                <w:rFonts w:ascii="Times New Roman" w:eastAsia="Times New Roman" w:hAnsi="Times New Roman" w:cs="Times New Roman"/>
                <w:b/>
                <w:bCs/>
                <w:i/>
                <w:iCs/>
                <w:color w:val="5B0F00"/>
                <w:sz w:val="24"/>
                <w:szCs w:val="24"/>
                <w:lang w:val="en-IN"/>
              </w:rPr>
              <w:t>ARR = 12%</w:t>
            </w:r>
          </w:p>
        </w:tc>
        <w:tc>
          <w:tcPr>
            <w:tcW w:w="108" w:type="pct"/>
            <w:tcBorders>
              <w:top w:val="nil"/>
              <w:left w:val="nil"/>
              <w:bottom w:val="nil"/>
              <w:right w:val="nil"/>
            </w:tcBorders>
            <w:noWrap/>
            <w:vAlign w:val="center"/>
            <w:hideMark/>
          </w:tcPr>
          <w:p w14:paraId="729BB67C" w14:textId="77777777" w:rsidR="002F47B2" w:rsidRPr="002F47B2" w:rsidRDefault="002F47B2" w:rsidP="002F47B2">
            <w:pPr>
              <w:spacing w:line="240" w:lineRule="auto"/>
              <w:jc w:val="center"/>
              <w:rPr>
                <w:rFonts w:ascii="Times New Roman" w:eastAsia="Times New Roman" w:hAnsi="Times New Roman" w:cs="Times New Roman"/>
                <w:b/>
                <w:bCs/>
                <w:i/>
                <w:iCs/>
                <w:color w:val="5B0F00"/>
                <w:sz w:val="24"/>
                <w:szCs w:val="24"/>
                <w:lang w:val="en-IN"/>
              </w:rPr>
            </w:pPr>
          </w:p>
        </w:tc>
        <w:tc>
          <w:tcPr>
            <w:tcW w:w="1415" w:type="pct"/>
            <w:tcBorders>
              <w:top w:val="nil"/>
              <w:left w:val="nil"/>
              <w:bottom w:val="nil"/>
              <w:right w:val="nil"/>
            </w:tcBorders>
            <w:noWrap/>
            <w:vAlign w:val="center"/>
            <w:hideMark/>
          </w:tcPr>
          <w:p w14:paraId="5AB496A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813" w:type="pct"/>
            <w:tcBorders>
              <w:top w:val="nil"/>
              <w:left w:val="nil"/>
              <w:bottom w:val="nil"/>
              <w:right w:val="nil"/>
            </w:tcBorders>
            <w:noWrap/>
            <w:vAlign w:val="center"/>
            <w:hideMark/>
          </w:tcPr>
          <w:p w14:paraId="5D03616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bl>
    <w:p w14:paraId="0E247043" w14:textId="3CE9A31E" w:rsidR="002F47B2" w:rsidRDefault="002F47B2">
      <w:pPr>
        <w:spacing w:after="240" w:line="360" w:lineRule="auto"/>
        <w:jc w:val="both"/>
        <w:rPr>
          <w:sz w:val="24"/>
          <w:szCs w:val="24"/>
        </w:rPr>
      </w:pPr>
    </w:p>
    <w:p w14:paraId="6A238C4A" w14:textId="77777777" w:rsidR="002F47B2" w:rsidRDefault="002F47B2">
      <w:pPr>
        <w:rPr>
          <w:sz w:val="24"/>
          <w:szCs w:val="24"/>
        </w:rPr>
      </w:pPr>
      <w:r>
        <w:rPr>
          <w:sz w:val="24"/>
          <w:szCs w:val="24"/>
        </w:rPr>
        <w:br w:type="page"/>
      </w:r>
    </w:p>
    <w:tbl>
      <w:tblPr>
        <w:tblW w:w="5000" w:type="pct"/>
        <w:tblLook w:val="04A0" w:firstRow="1" w:lastRow="0" w:firstColumn="1" w:lastColumn="0" w:noHBand="0" w:noVBand="1"/>
      </w:tblPr>
      <w:tblGrid>
        <w:gridCol w:w="2109"/>
        <w:gridCol w:w="1234"/>
        <w:gridCol w:w="1200"/>
        <w:gridCol w:w="1200"/>
        <w:gridCol w:w="1200"/>
        <w:gridCol w:w="1200"/>
        <w:gridCol w:w="1102"/>
      </w:tblGrid>
      <w:tr w:rsidR="002F47B2" w:rsidRPr="002F47B2" w14:paraId="2A2486F3" w14:textId="77777777" w:rsidTr="002F47B2">
        <w:trPr>
          <w:trHeight w:val="315"/>
        </w:trPr>
        <w:tc>
          <w:tcPr>
            <w:tcW w:w="5000" w:type="pct"/>
            <w:gridSpan w:val="7"/>
            <w:tcBorders>
              <w:top w:val="nil"/>
              <w:left w:val="nil"/>
              <w:bottom w:val="nil"/>
              <w:right w:val="nil"/>
            </w:tcBorders>
            <w:noWrap/>
            <w:vAlign w:val="center"/>
            <w:hideMark/>
          </w:tcPr>
          <w:p w14:paraId="3F25D9E2"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lastRenderedPageBreak/>
              <w:t>Project A Net Present Value</w:t>
            </w:r>
          </w:p>
        </w:tc>
      </w:tr>
      <w:tr w:rsidR="002F47B2" w:rsidRPr="002F47B2" w14:paraId="57B3F02A" w14:textId="77777777" w:rsidTr="002F47B2">
        <w:trPr>
          <w:trHeight w:val="312"/>
        </w:trPr>
        <w:tc>
          <w:tcPr>
            <w:tcW w:w="1130" w:type="pct"/>
            <w:tcBorders>
              <w:top w:val="single" w:sz="4" w:space="0" w:color="FFFFFF"/>
              <w:left w:val="single" w:sz="4" w:space="0" w:color="FFFFFF"/>
              <w:bottom w:val="nil"/>
              <w:right w:val="single" w:sz="4" w:space="0" w:color="FFFFFF"/>
            </w:tcBorders>
            <w:shd w:val="clear" w:color="274E13" w:fill="274E13"/>
            <w:vAlign w:val="center"/>
            <w:hideMark/>
          </w:tcPr>
          <w:p w14:paraId="5659D59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58" w:type="pct"/>
            <w:tcBorders>
              <w:top w:val="single" w:sz="4" w:space="0" w:color="FFFFFF"/>
              <w:left w:val="nil"/>
              <w:bottom w:val="nil"/>
              <w:right w:val="single" w:sz="4" w:space="0" w:color="FFFFFF"/>
            </w:tcBorders>
            <w:shd w:val="clear" w:color="274E13" w:fill="274E13"/>
            <w:vAlign w:val="center"/>
            <w:hideMark/>
          </w:tcPr>
          <w:p w14:paraId="4F630BD8"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58" w:type="pct"/>
            <w:tcBorders>
              <w:top w:val="single" w:sz="4" w:space="0" w:color="FFFFFF"/>
              <w:left w:val="nil"/>
              <w:bottom w:val="nil"/>
              <w:right w:val="single" w:sz="4" w:space="0" w:color="FFFFFF"/>
            </w:tcBorders>
            <w:shd w:val="clear" w:color="274E13" w:fill="274E13"/>
            <w:vAlign w:val="center"/>
            <w:hideMark/>
          </w:tcPr>
          <w:p w14:paraId="25CA341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58" w:type="pct"/>
            <w:tcBorders>
              <w:top w:val="single" w:sz="4" w:space="0" w:color="FFFFFF"/>
              <w:left w:val="nil"/>
              <w:bottom w:val="nil"/>
              <w:right w:val="single" w:sz="4" w:space="0" w:color="FFFFFF"/>
            </w:tcBorders>
            <w:shd w:val="clear" w:color="274E13" w:fill="274E13"/>
            <w:vAlign w:val="center"/>
            <w:hideMark/>
          </w:tcPr>
          <w:p w14:paraId="593D08EE"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58" w:type="pct"/>
            <w:tcBorders>
              <w:top w:val="single" w:sz="4" w:space="0" w:color="FFFFFF"/>
              <w:left w:val="nil"/>
              <w:bottom w:val="nil"/>
              <w:right w:val="single" w:sz="4" w:space="0" w:color="FFFFFF"/>
            </w:tcBorders>
            <w:shd w:val="clear" w:color="274E13" w:fill="274E13"/>
            <w:vAlign w:val="center"/>
            <w:hideMark/>
          </w:tcPr>
          <w:p w14:paraId="158C839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52" w:type="pct"/>
            <w:tcBorders>
              <w:top w:val="single" w:sz="4" w:space="0" w:color="FFFFFF"/>
              <w:left w:val="nil"/>
              <w:bottom w:val="nil"/>
              <w:right w:val="single" w:sz="4" w:space="0" w:color="FFFFFF"/>
            </w:tcBorders>
            <w:shd w:val="clear" w:color="274E13" w:fill="274E13"/>
            <w:vAlign w:val="center"/>
            <w:hideMark/>
          </w:tcPr>
          <w:p w14:paraId="4AA18F6C"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87" w:type="pct"/>
            <w:tcBorders>
              <w:top w:val="single" w:sz="4" w:space="0" w:color="FFFFFF"/>
              <w:left w:val="nil"/>
              <w:bottom w:val="nil"/>
              <w:right w:val="single" w:sz="4" w:space="0" w:color="FFFFFF"/>
            </w:tcBorders>
            <w:shd w:val="clear" w:color="274E13" w:fill="274E13"/>
            <w:vAlign w:val="center"/>
            <w:hideMark/>
          </w:tcPr>
          <w:p w14:paraId="33081254"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0EC0EB27" w14:textId="77777777" w:rsidTr="002F47B2">
        <w:trPr>
          <w:trHeight w:val="312"/>
        </w:trPr>
        <w:tc>
          <w:tcPr>
            <w:tcW w:w="1130" w:type="pct"/>
            <w:tcBorders>
              <w:top w:val="single" w:sz="4" w:space="0" w:color="000000"/>
              <w:left w:val="single" w:sz="4" w:space="0" w:color="000000"/>
              <w:bottom w:val="single" w:sz="4" w:space="0" w:color="000000"/>
              <w:right w:val="single" w:sz="4" w:space="0" w:color="000000"/>
            </w:tcBorders>
            <w:noWrap/>
            <w:vAlign w:val="center"/>
            <w:hideMark/>
          </w:tcPr>
          <w:p w14:paraId="2D11585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58" w:type="pct"/>
            <w:tcBorders>
              <w:top w:val="single" w:sz="4" w:space="0" w:color="000000"/>
              <w:left w:val="nil"/>
              <w:bottom w:val="single" w:sz="4" w:space="0" w:color="000000"/>
              <w:right w:val="single" w:sz="4" w:space="0" w:color="000000"/>
            </w:tcBorders>
            <w:noWrap/>
            <w:vAlign w:val="center"/>
            <w:hideMark/>
          </w:tcPr>
          <w:p w14:paraId="0D760C3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single" w:sz="4" w:space="0" w:color="000000"/>
              <w:left w:val="nil"/>
              <w:bottom w:val="single" w:sz="4" w:space="0" w:color="000000"/>
              <w:right w:val="single" w:sz="4" w:space="0" w:color="000000"/>
            </w:tcBorders>
            <w:noWrap/>
            <w:vAlign w:val="center"/>
            <w:hideMark/>
          </w:tcPr>
          <w:p w14:paraId="04BE9BC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1F6BE5C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095C03F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2" w:type="pct"/>
            <w:tcBorders>
              <w:top w:val="single" w:sz="4" w:space="0" w:color="000000"/>
              <w:left w:val="nil"/>
              <w:bottom w:val="single" w:sz="4" w:space="0" w:color="000000"/>
              <w:right w:val="single" w:sz="4" w:space="0" w:color="000000"/>
            </w:tcBorders>
            <w:noWrap/>
            <w:vAlign w:val="center"/>
            <w:hideMark/>
          </w:tcPr>
          <w:p w14:paraId="2A11562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587" w:type="pct"/>
            <w:tcBorders>
              <w:top w:val="single" w:sz="4" w:space="0" w:color="000000"/>
              <w:left w:val="nil"/>
              <w:bottom w:val="single" w:sz="4" w:space="0" w:color="000000"/>
              <w:right w:val="single" w:sz="4" w:space="0" w:color="000000"/>
            </w:tcBorders>
            <w:noWrap/>
            <w:vAlign w:val="center"/>
            <w:hideMark/>
          </w:tcPr>
          <w:p w14:paraId="7621EE5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62EDD566"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1A09FA8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58" w:type="pct"/>
            <w:tcBorders>
              <w:top w:val="nil"/>
              <w:left w:val="nil"/>
              <w:bottom w:val="single" w:sz="4" w:space="0" w:color="000000"/>
              <w:right w:val="single" w:sz="4" w:space="0" w:color="000000"/>
            </w:tcBorders>
            <w:noWrap/>
            <w:vAlign w:val="center"/>
            <w:hideMark/>
          </w:tcPr>
          <w:p w14:paraId="0BDCF23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nil"/>
              <w:left w:val="nil"/>
              <w:bottom w:val="single" w:sz="4" w:space="0" w:color="000000"/>
              <w:right w:val="single" w:sz="4" w:space="0" w:color="000000"/>
            </w:tcBorders>
            <w:noWrap/>
            <w:vAlign w:val="center"/>
            <w:hideMark/>
          </w:tcPr>
          <w:p w14:paraId="36444A3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58" w:type="pct"/>
            <w:tcBorders>
              <w:top w:val="nil"/>
              <w:left w:val="nil"/>
              <w:bottom w:val="single" w:sz="4" w:space="0" w:color="000000"/>
              <w:right w:val="single" w:sz="4" w:space="0" w:color="000000"/>
            </w:tcBorders>
            <w:noWrap/>
            <w:vAlign w:val="center"/>
            <w:hideMark/>
          </w:tcPr>
          <w:p w14:paraId="74E123C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658" w:type="pct"/>
            <w:tcBorders>
              <w:top w:val="nil"/>
              <w:left w:val="nil"/>
              <w:bottom w:val="single" w:sz="4" w:space="0" w:color="000000"/>
              <w:right w:val="single" w:sz="4" w:space="0" w:color="000000"/>
            </w:tcBorders>
            <w:noWrap/>
            <w:vAlign w:val="center"/>
            <w:hideMark/>
          </w:tcPr>
          <w:p w14:paraId="7C279CA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652" w:type="pct"/>
            <w:tcBorders>
              <w:top w:val="nil"/>
              <w:left w:val="nil"/>
              <w:bottom w:val="single" w:sz="4" w:space="0" w:color="000000"/>
              <w:right w:val="single" w:sz="4" w:space="0" w:color="000000"/>
            </w:tcBorders>
            <w:noWrap/>
            <w:vAlign w:val="center"/>
            <w:hideMark/>
          </w:tcPr>
          <w:p w14:paraId="16B0C40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587" w:type="pct"/>
            <w:tcBorders>
              <w:top w:val="nil"/>
              <w:left w:val="nil"/>
              <w:bottom w:val="single" w:sz="4" w:space="0" w:color="000000"/>
              <w:right w:val="single" w:sz="4" w:space="0" w:color="000000"/>
            </w:tcBorders>
            <w:noWrap/>
            <w:vAlign w:val="center"/>
            <w:hideMark/>
          </w:tcPr>
          <w:p w14:paraId="165C030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r>
      <w:tr w:rsidR="002F47B2" w:rsidRPr="002F47B2" w14:paraId="6304A45D"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5920956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58" w:type="pct"/>
            <w:tcBorders>
              <w:top w:val="nil"/>
              <w:left w:val="nil"/>
              <w:bottom w:val="single" w:sz="4" w:space="0" w:color="000000"/>
              <w:right w:val="single" w:sz="4" w:space="0" w:color="000000"/>
            </w:tcBorders>
            <w:noWrap/>
            <w:vAlign w:val="center"/>
            <w:hideMark/>
          </w:tcPr>
          <w:p w14:paraId="52115B9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7EF3F71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58" w:type="pct"/>
            <w:tcBorders>
              <w:top w:val="nil"/>
              <w:left w:val="nil"/>
              <w:bottom w:val="single" w:sz="4" w:space="0" w:color="000000"/>
              <w:right w:val="single" w:sz="4" w:space="0" w:color="000000"/>
            </w:tcBorders>
            <w:noWrap/>
            <w:vAlign w:val="center"/>
            <w:hideMark/>
          </w:tcPr>
          <w:p w14:paraId="705B068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658" w:type="pct"/>
            <w:tcBorders>
              <w:top w:val="nil"/>
              <w:left w:val="nil"/>
              <w:bottom w:val="single" w:sz="4" w:space="0" w:color="000000"/>
              <w:right w:val="single" w:sz="4" w:space="0" w:color="000000"/>
            </w:tcBorders>
            <w:noWrap/>
            <w:vAlign w:val="center"/>
            <w:hideMark/>
          </w:tcPr>
          <w:p w14:paraId="6F15FC2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652" w:type="pct"/>
            <w:tcBorders>
              <w:top w:val="nil"/>
              <w:left w:val="nil"/>
              <w:bottom w:val="single" w:sz="4" w:space="0" w:color="000000"/>
              <w:right w:val="single" w:sz="4" w:space="0" w:color="000000"/>
            </w:tcBorders>
            <w:noWrap/>
            <w:vAlign w:val="center"/>
            <w:hideMark/>
          </w:tcPr>
          <w:p w14:paraId="397723E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587" w:type="pct"/>
            <w:tcBorders>
              <w:top w:val="nil"/>
              <w:left w:val="nil"/>
              <w:bottom w:val="single" w:sz="4" w:space="0" w:color="000000"/>
              <w:right w:val="single" w:sz="4" w:space="0" w:color="000000"/>
            </w:tcBorders>
            <w:noWrap/>
            <w:vAlign w:val="center"/>
            <w:hideMark/>
          </w:tcPr>
          <w:p w14:paraId="2AAA517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r>
      <w:tr w:rsidR="002F47B2" w:rsidRPr="002F47B2" w14:paraId="1AD41926"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442264F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58" w:type="pct"/>
            <w:tcBorders>
              <w:top w:val="nil"/>
              <w:left w:val="nil"/>
              <w:bottom w:val="single" w:sz="4" w:space="0" w:color="000000"/>
              <w:right w:val="single" w:sz="4" w:space="0" w:color="000000"/>
            </w:tcBorders>
            <w:noWrap/>
            <w:vAlign w:val="center"/>
            <w:hideMark/>
          </w:tcPr>
          <w:p w14:paraId="7688481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58" w:type="pct"/>
            <w:tcBorders>
              <w:top w:val="nil"/>
              <w:left w:val="nil"/>
              <w:bottom w:val="single" w:sz="4" w:space="0" w:color="000000"/>
              <w:right w:val="single" w:sz="4" w:space="0" w:color="000000"/>
            </w:tcBorders>
            <w:noWrap/>
            <w:vAlign w:val="center"/>
            <w:hideMark/>
          </w:tcPr>
          <w:p w14:paraId="6543B8C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58" w:type="pct"/>
            <w:tcBorders>
              <w:top w:val="nil"/>
              <w:left w:val="nil"/>
              <w:bottom w:val="single" w:sz="4" w:space="0" w:color="000000"/>
              <w:right w:val="single" w:sz="4" w:space="0" w:color="000000"/>
            </w:tcBorders>
            <w:noWrap/>
            <w:vAlign w:val="center"/>
            <w:hideMark/>
          </w:tcPr>
          <w:p w14:paraId="7214C3A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58" w:type="pct"/>
            <w:tcBorders>
              <w:top w:val="nil"/>
              <w:left w:val="nil"/>
              <w:bottom w:val="single" w:sz="4" w:space="0" w:color="000000"/>
              <w:right w:val="single" w:sz="4" w:space="0" w:color="000000"/>
            </w:tcBorders>
            <w:noWrap/>
            <w:vAlign w:val="center"/>
            <w:hideMark/>
          </w:tcPr>
          <w:p w14:paraId="21A3705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52" w:type="pct"/>
            <w:tcBorders>
              <w:top w:val="nil"/>
              <w:left w:val="nil"/>
              <w:bottom w:val="single" w:sz="4" w:space="0" w:color="000000"/>
              <w:right w:val="single" w:sz="4" w:space="0" w:color="000000"/>
            </w:tcBorders>
            <w:noWrap/>
            <w:vAlign w:val="center"/>
            <w:hideMark/>
          </w:tcPr>
          <w:p w14:paraId="161A290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87" w:type="pct"/>
            <w:tcBorders>
              <w:top w:val="nil"/>
              <w:left w:val="nil"/>
              <w:bottom w:val="single" w:sz="4" w:space="0" w:color="000000"/>
              <w:right w:val="single" w:sz="4" w:space="0" w:color="000000"/>
            </w:tcBorders>
            <w:noWrap/>
            <w:vAlign w:val="center"/>
            <w:hideMark/>
          </w:tcPr>
          <w:p w14:paraId="04A3CBF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6F61A197"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55D5818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58" w:type="pct"/>
            <w:tcBorders>
              <w:top w:val="nil"/>
              <w:left w:val="nil"/>
              <w:bottom w:val="single" w:sz="4" w:space="0" w:color="000000"/>
              <w:right w:val="single" w:sz="4" w:space="0" w:color="000000"/>
            </w:tcBorders>
            <w:noWrap/>
            <w:vAlign w:val="center"/>
            <w:hideMark/>
          </w:tcPr>
          <w:p w14:paraId="7AD7C14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421ED6C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9.25 </w:t>
            </w:r>
          </w:p>
        </w:tc>
        <w:tc>
          <w:tcPr>
            <w:tcW w:w="658" w:type="pct"/>
            <w:tcBorders>
              <w:top w:val="nil"/>
              <w:left w:val="nil"/>
              <w:bottom w:val="single" w:sz="4" w:space="0" w:color="000000"/>
              <w:right w:val="single" w:sz="4" w:space="0" w:color="000000"/>
            </w:tcBorders>
            <w:noWrap/>
            <w:vAlign w:val="center"/>
            <w:hideMark/>
          </w:tcPr>
          <w:p w14:paraId="342342D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10.28 </w:t>
            </w:r>
          </w:p>
        </w:tc>
        <w:tc>
          <w:tcPr>
            <w:tcW w:w="658" w:type="pct"/>
            <w:tcBorders>
              <w:top w:val="nil"/>
              <w:left w:val="nil"/>
              <w:bottom w:val="single" w:sz="4" w:space="0" w:color="000000"/>
              <w:right w:val="single" w:sz="4" w:space="0" w:color="000000"/>
            </w:tcBorders>
            <w:noWrap/>
            <w:vAlign w:val="center"/>
            <w:hideMark/>
          </w:tcPr>
          <w:p w14:paraId="47C7760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11.10 </w:t>
            </w:r>
          </w:p>
        </w:tc>
        <w:tc>
          <w:tcPr>
            <w:tcW w:w="652" w:type="pct"/>
            <w:tcBorders>
              <w:top w:val="nil"/>
              <w:left w:val="nil"/>
              <w:bottom w:val="single" w:sz="4" w:space="0" w:color="000000"/>
              <w:right w:val="single" w:sz="4" w:space="0" w:color="000000"/>
            </w:tcBorders>
            <w:noWrap/>
            <w:vAlign w:val="center"/>
            <w:hideMark/>
          </w:tcPr>
          <w:p w14:paraId="4A07375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7.35 </w:t>
            </w:r>
          </w:p>
        </w:tc>
        <w:tc>
          <w:tcPr>
            <w:tcW w:w="587" w:type="pct"/>
            <w:tcBorders>
              <w:top w:val="nil"/>
              <w:left w:val="nil"/>
              <w:bottom w:val="single" w:sz="4" w:space="0" w:color="000000"/>
              <w:right w:val="single" w:sz="4" w:space="0" w:color="000000"/>
            </w:tcBorders>
            <w:noWrap/>
            <w:vAlign w:val="center"/>
            <w:hideMark/>
          </w:tcPr>
          <w:p w14:paraId="11E3E8A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5.44 </w:t>
            </w:r>
          </w:p>
        </w:tc>
      </w:tr>
      <w:tr w:rsidR="002F47B2" w:rsidRPr="002F47B2" w14:paraId="637FC467"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0F8103E9"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Net Present Value (NPV) = (£50) + £9.25 + £10.28 + £11.10 + £7.35 + £5.44</w:t>
            </w:r>
          </w:p>
        </w:tc>
      </w:tr>
      <w:tr w:rsidR="002F47B2" w:rsidRPr="002F47B2" w14:paraId="5B0F06E8"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79E9D8D"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(£50) + £43.43</w:t>
            </w:r>
          </w:p>
        </w:tc>
      </w:tr>
      <w:tr w:rsidR="002F47B2" w:rsidRPr="002F47B2" w14:paraId="21024549"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6A88E691"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(£6.57)</w:t>
            </w:r>
          </w:p>
        </w:tc>
      </w:tr>
      <w:tr w:rsidR="002F47B2" w:rsidRPr="002F47B2" w14:paraId="6A2C9E89" w14:textId="77777777" w:rsidTr="002F47B2">
        <w:trPr>
          <w:trHeight w:val="312"/>
        </w:trPr>
        <w:tc>
          <w:tcPr>
            <w:tcW w:w="1130" w:type="pct"/>
            <w:tcBorders>
              <w:top w:val="nil"/>
              <w:left w:val="nil"/>
              <w:bottom w:val="nil"/>
              <w:right w:val="nil"/>
            </w:tcBorders>
            <w:noWrap/>
            <w:vAlign w:val="center"/>
            <w:hideMark/>
          </w:tcPr>
          <w:p w14:paraId="6F28B79D"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p>
        </w:tc>
        <w:tc>
          <w:tcPr>
            <w:tcW w:w="658" w:type="pct"/>
            <w:tcBorders>
              <w:top w:val="nil"/>
              <w:left w:val="nil"/>
              <w:bottom w:val="nil"/>
              <w:right w:val="nil"/>
            </w:tcBorders>
            <w:noWrap/>
            <w:vAlign w:val="center"/>
            <w:hideMark/>
          </w:tcPr>
          <w:p w14:paraId="081907C9"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434C665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64FED38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1F0687B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2" w:type="pct"/>
            <w:tcBorders>
              <w:top w:val="nil"/>
              <w:left w:val="nil"/>
              <w:bottom w:val="nil"/>
              <w:right w:val="nil"/>
            </w:tcBorders>
            <w:noWrap/>
            <w:vAlign w:val="center"/>
            <w:hideMark/>
          </w:tcPr>
          <w:p w14:paraId="58903F02"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587" w:type="pct"/>
            <w:tcBorders>
              <w:top w:val="nil"/>
              <w:left w:val="nil"/>
              <w:bottom w:val="nil"/>
              <w:right w:val="nil"/>
            </w:tcBorders>
            <w:noWrap/>
            <w:vAlign w:val="center"/>
            <w:hideMark/>
          </w:tcPr>
          <w:p w14:paraId="30CE01E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1FC7BEC1" w14:textId="77777777" w:rsidTr="002F47B2">
        <w:trPr>
          <w:trHeight w:val="432"/>
        </w:trPr>
        <w:tc>
          <w:tcPr>
            <w:tcW w:w="5000" w:type="pct"/>
            <w:gridSpan w:val="7"/>
            <w:tcBorders>
              <w:top w:val="nil"/>
              <w:left w:val="nil"/>
              <w:bottom w:val="nil"/>
              <w:right w:val="nil"/>
            </w:tcBorders>
            <w:noWrap/>
            <w:vAlign w:val="center"/>
            <w:hideMark/>
          </w:tcPr>
          <w:p w14:paraId="4CCAEBE0"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 xml:space="preserve"> Project B Net Present Value</w:t>
            </w:r>
          </w:p>
        </w:tc>
      </w:tr>
      <w:tr w:rsidR="002F47B2" w:rsidRPr="002F47B2" w14:paraId="63E90205" w14:textId="77777777" w:rsidTr="002F47B2">
        <w:trPr>
          <w:trHeight w:val="312"/>
        </w:trPr>
        <w:tc>
          <w:tcPr>
            <w:tcW w:w="1130" w:type="pct"/>
            <w:tcBorders>
              <w:top w:val="single" w:sz="4" w:space="0" w:color="FFFFFF"/>
              <w:left w:val="single" w:sz="4" w:space="0" w:color="FFFFFF"/>
              <w:bottom w:val="nil"/>
              <w:right w:val="single" w:sz="4" w:space="0" w:color="FFFFFF"/>
            </w:tcBorders>
            <w:shd w:val="clear" w:color="274E13" w:fill="274E13"/>
            <w:vAlign w:val="center"/>
            <w:hideMark/>
          </w:tcPr>
          <w:p w14:paraId="4CEDA57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58" w:type="pct"/>
            <w:tcBorders>
              <w:top w:val="single" w:sz="4" w:space="0" w:color="FFFFFF"/>
              <w:left w:val="nil"/>
              <w:bottom w:val="nil"/>
              <w:right w:val="single" w:sz="4" w:space="0" w:color="FFFFFF"/>
            </w:tcBorders>
            <w:shd w:val="clear" w:color="274E13" w:fill="274E13"/>
            <w:vAlign w:val="center"/>
            <w:hideMark/>
          </w:tcPr>
          <w:p w14:paraId="53F0A3C9"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58" w:type="pct"/>
            <w:tcBorders>
              <w:top w:val="single" w:sz="4" w:space="0" w:color="FFFFFF"/>
              <w:left w:val="nil"/>
              <w:bottom w:val="nil"/>
              <w:right w:val="single" w:sz="4" w:space="0" w:color="FFFFFF"/>
            </w:tcBorders>
            <w:shd w:val="clear" w:color="274E13" w:fill="274E13"/>
            <w:vAlign w:val="center"/>
            <w:hideMark/>
          </w:tcPr>
          <w:p w14:paraId="51C837A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58" w:type="pct"/>
            <w:tcBorders>
              <w:top w:val="single" w:sz="4" w:space="0" w:color="FFFFFF"/>
              <w:left w:val="nil"/>
              <w:bottom w:val="nil"/>
              <w:right w:val="single" w:sz="4" w:space="0" w:color="FFFFFF"/>
            </w:tcBorders>
            <w:shd w:val="clear" w:color="274E13" w:fill="274E13"/>
            <w:vAlign w:val="center"/>
            <w:hideMark/>
          </w:tcPr>
          <w:p w14:paraId="090BCF2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58" w:type="pct"/>
            <w:tcBorders>
              <w:top w:val="single" w:sz="4" w:space="0" w:color="FFFFFF"/>
              <w:left w:val="nil"/>
              <w:bottom w:val="nil"/>
              <w:right w:val="single" w:sz="4" w:space="0" w:color="FFFFFF"/>
            </w:tcBorders>
            <w:shd w:val="clear" w:color="274E13" w:fill="274E13"/>
            <w:vAlign w:val="center"/>
            <w:hideMark/>
          </w:tcPr>
          <w:p w14:paraId="2516913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52" w:type="pct"/>
            <w:tcBorders>
              <w:top w:val="single" w:sz="4" w:space="0" w:color="FFFFFF"/>
              <w:left w:val="nil"/>
              <w:bottom w:val="nil"/>
              <w:right w:val="single" w:sz="4" w:space="0" w:color="FFFFFF"/>
            </w:tcBorders>
            <w:shd w:val="clear" w:color="274E13" w:fill="274E13"/>
            <w:vAlign w:val="center"/>
            <w:hideMark/>
          </w:tcPr>
          <w:p w14:paraId="6DCE9FF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87" w:type="pct"/>
            <w:tcBorders>
              <w:top w:val="single" w:sz="4" w:space="0" w:color="FFFFFF"/>
              <w:left w:val="nil"/>
              <w:bottom w:val="nil"/>
              <w:right w:val="single" w:sz="4" w:space="0" w:color="FFFFFF"/>
            </w:tcBorders>
            <w:shd w:val="clear" w:color="274E13" w:fill="274E13"/>
            <w:vAlign w:val="center"/>
            <w:hideMark/>
          </w:tcPr>
          <w:p w14:paraId="2ADC63AF"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04A46E6D" w14:textId="77777777" w:rsidTr="002F47B2">
        <w:trPr>
          <w:trHeight w:val="312"/>
        </w:trPr>
        <w:tc>
          <w:tcPr>
            <w:tcW w:w="1130" w:type="pct"/>
            <w:tcBorders>
              <w:top w:val="single" w:sz="4" w:space="0" w:color="000000"/>
              <w:left w:val="single" w:sz="4" w:space="0" w:color="000000"/>
              <w:bottom w:val="single" w:sz="4" w:space="0" w:color="000000"/>
              <w:right w:val="single" w:sz="4" w:space="0" w:color="000000"/>
            </w:tcBorders>
            <w:noWrap/>
            <w:vAlign w:val="center"/>
            <w:hideMark/>
          </w:tcPr>
          <w:p w14:paraId="7CFF64A9"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58" w:type="pct"/>
            <w:tcBorders>
              <w:top w:val="single" w:sz="4" w:space="0" w:color="000000"/>
              <w:left w:val="nil"/>
              <w:bottom w:val="single" w:sz="4" w:space="0" w:color="000000"/>
              <w:right w:val="single" w:sz="4" w:space="0" w:color="000000"/>
            </w:tcBorders>
            <w:noWrap/>
            <w:vAlign w:val="center"/>
            <w:hideMark/>
          </w:tcPr>
          <w:p w14:paraId="6CC5A85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single" w:sz="4" w:space="0" w:color="000000"/>
              <w:left w:val="nil"/>
              <w:bottom w:val="single" w:sz="4" w:space="0" w:color="000000"/>
              <w:right w:val="single" w:sz="4" w:space="0" w:color="000000"/>
            </w:tcBorders>
            <w:noWrap/>
            <w:vAlign w:val="center"/>
            <w:hideMark/>
          </w:tcPr>
          <w:p w14:paraId="75D8290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00AB1BD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3F58757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2" w:type="pct"/>
            <w:tcBorders>
              <w:top w:val="single" w:sz="4" w:space="0" w:color="000000"/>
              <w:left w:val="nil"/>
              <w:bottom w:val="single" w:sz="4" w:space="0" w:color="000000"/>
              <w:right w:val="single" w:sz="4" w:space="0" w:color="000000"/>
            </w:tcBorders>
            <w:noWrap/>
            <w:vAlign w:val="center"/>
            <w:hideMark/>
          </w:tcPr>
          <w:p w14:paraId="3F9EB54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587" w:type="pct"/>
            <w:tcBorders>
              <w:top w:val="single" w:sz="4" w:space="0" w:color="000000"/>
              <w:left w:val="nil"/>
              <w:bottom w:val="single" w:sz="4" w:space="0" w:color="000000"/>
              <w:right w:val="single" w:sz="4" w:space="0" w:color="000000"/>
            </w:tcBorders>
            <w:noWrap/>
            <w:vAlign w:val="center"/>
            <w:hideMark/>
          </w:tcPr>
          <w:p w14:paraId="469CB3A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6CDD73E3"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332D08E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58" w:type="pct"/>
            <w:tcBorders>
              <w:top w:val="nil"/>
              <w:left w:val="nil"/>
              <w:bottom w:val="single" w:sz="4" w:space="0" w:color="000000"/>
              <w:right w:val="single" w:sz="4" w:space="0" w:color="000000"/>
            </w:tcBorders>
            <w:noWrap/>
            <w:vAlign w:val="center"/>
            <w:hideMark/>
          </w:tcPr>
          <w:p w14:paraId="61BADCA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nil"/>
              <w:left w:val="nil"/>
              <w:bottom w:val="single" w:sz="4" w:space="0" w:color="000000"/>
              <w:right w:val="single" w:sz="4" w:space="0" w:color="000000"/>
            </w:tcBorders>
            <w:noWrap/>
            <w:vAlign w:val="center"/>
            <w:hideMark/>
          </w:tcPr>
          <w:p w14:paraId="58AF097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8" w:type="pct"/>
            <w:tcBorders>
              <w:top w:val="nil"/>
              <w:left w:val="nil"/>
              <w:bottom w:val="single" w:sz="4" w:space="0" w:color="000000"/>
              <w:right w:val="single" w:sz="4" w:space="0" w:color="000000"/>
            </w:tcBorders>
            <w:noWrap/>
            <w:vAlign w:val="center"/>
            <w:hideMark/>
          </w:tcPr>
          <w:p w14:paraId="4E0B198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8" w:type="pct"/>
            <w:tcBorders>
              <w:top w:val="nil"/>
              <w:left w:val="nil"/>
              <w:bottom w:val="single" w:sz="4" w:space="0" w:color="000000"/>
              <w:right w:val="single" w:sz="4" w:space="0" w:color="000000"/>
            </w:tcBorders>
            <w:noWrap/>
            <w:vAlign w:val="center"/>
            <w:hideMark/>
          </w:tcPr>
          <w:p w14:paraId="1ADF678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2" w:type="pct"/>
            <w:tcBorders>
              <w:top w:val="nil"/>
              <w:left w:val="nil"/>
              <w:bottom w:val="single" w:sz="4" w:space="0" w:color="000000"/>
              <w:right w:val="single" w:sz="4" w:space="0" w:color="000000"/>
            </w:tcBorders>
            <w:noWrap/>
            <w:vAlign w:val="center"/>
            <w:hideMark/>
          </w:tcPr>
          <w:p w14:paraId="07944A5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87" w:type="pct"/>
            <w:tcBorders>
              <w:top w:val="nil"/>
              <w:left w:val="nil"/>
              <w:bottom w:val="single" w:sz="4" w:space="0" w:color="000000"/>
              <w:right w:val="single" w:sz="4" w:space="0" w:color="000000"/>
            </w:tcBorders>
            <w:noWrap/>
            <w:vAlign w:val="center"/>
            <w:hideMark/>
          </w:tcPr>
          <w:p w14:paraId="5EF4B55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r>
      <w:tr w:rsidR="002F47B2" w:rsidRPr="002F47B2" w14:paraId="2CD53370"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06B3CEE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58" w:type="pct"/>
            <w:tcBorders>
              <w:top w:val="nil"/>
              <w:left w:val="nil"/>
              <w:bottom w:val="single" w:sz="4" w:space="0" w:color="000000"/>
              <w:right w:val="single" w:sz="4" w:space="0" w:color="000000"/>
            </w:tcBorders>
            <w:noWrap/>
            <w:vAlign w:val="center"/>
            <w:hideMark/>
          </w:tcPr>
          <w:p w14:paraId="3B14CB6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27CB3E2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8" w:type="pct"/>
            <w:tcBorders>
              <w:top w:val="nil"/>
              <w:left w:val="nil"/>
              <w:bottom w:val="single" w:sz="4" w:space="0" w:color="000000"/>
              <w:right w:val="single" w:sz="4" w:space="0" w:color="000000"/>
            </w:tcBorders>
            <w:noWrap/>
            <w:vAlign w:val="center"/>
            <w:hideMark/>
          </w:tcPr>
          <w:p w14:paraId="3B1D1A7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8" w:type="pct"/>
            <w:tcBorders>
              <w:top w:val="nil"/>
              <w:left w:val="nil"/>
              <w:bottom w:val="single" w:sz="4" w:space="0" w:color="000000"/>
              <w:right w:val="single" w:sz="4" w:space="0" w:color="000000"/>
            </w:tcBorders>
            <w:noWrap/>
            <w:vAlign w:val="center"/>
            <w:hideMark/>
          </w:tcPr>
          <w:p w14:paraId="668C2F9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52" w:type="pct"/>
            <w:tcBorders>
              <w:top w:val="nil"/>
              <w:left w:val="nil"/>
              <w:bottom w:val="single" w:sz="4" w:space="0" w:color="000000"/>
              <w:right w:val="single" w:sz="4" w:space="0" w:color="000000"/>
            </w:tcBorders>
            <w:noWrap/>
            <w:vAlign w:val="center"/>
            <w:hideMark/>
          </w:tcPr>
          <w:p w14:paraId="2B0A020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87" w:type="pct"/>
            <w:tcBorders>
              <w:top w:val="nil"/>
              <w:left w:val="nil"/>
              <w:bottom w:val="single" w:sz="4" w:space="0" w:color="000000"/>
              <w:right w:val="single" w:sz="4" w:space="0" w:color="000000"/>
            </w:tcBorders>
            <w:noWrap/>
            <w:vAlign w:val="center"/>
            <w:hideMark/>
          </w:tcPr>
          <w:p w14:paraId="39FCA86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r>
      <w:tr w:rsidR="002F47B2" w:rsidRPr="002F47B2" w14:paraId="078BDA02"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0A23162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58" w:type="pct"/>
            <w:tcBorders>
              <w:top w:val="nil"/>
              <w:left w:val="nil"/>
              <w:bottom w:val="single" w:sz="4" w:space="0" w:color="000000"/>
              <w:right w:val="single" w:sz="4" w:space="0" w:color="000000"/>
            </w:tcBorders>
            <w:noWrap/>
            <w:vAlign w:val="center"/>
            <w:hideMark/>
          </w:tcPr>
          <w:p w14:paraId="7F14733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58" w:type="pct"/>
            <w:tcBorders>
              <w:top w:val="nil"/>
              <w:left w:val="nil"/>
              <w:bottom w:val="single" w:sz="4" w:space="0" w:color="000000"/>
              <w:right w:val="single" w:sz="4" w:space="0" w:color="000000"/>
            </w:tcBorders>
            <w:noWrap/>
            <w:vAlign w:val="center"/>
            <w:hideMark/>
          </w:tcPr>
          <w:p w14:paraId="4E94B13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58" w:type="pct"/>
            <w:tcBorders>
              <w:top w:val="nil"/>
              <w:left w:val="nil"/>
              <w:bottom w:val="single" w:sz="4" w:space="0" w:color="000000"/>
              <w:right w:val="single" w:sz="4" w:space="0" w:color="000000"/>
            </w:tcBorders>
            <w:noWrap/>
            <w:vAlign w:val="center"/>
            <w:hideMark/>
          </w:tcPr>
          <w:p w14:paraId="395E5ED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58" w:type="pct"/>
            <w:tcBorders>
              <w:top w:val="nil"/>
              <w:left w:val="nil"/>
              <w:bottom w:val="single" w:sz="4" w:space="0" w:color="000000"/>
              <w:right w:val="single" w:sz="4" w:space="0" w:color="000000"/>
            </w:tcBorders>
            <w:noWrap/>
            <w:vAlign w:val="center"/>
            <w:hideMark/>
          </w:tcPr>
          <w:p w14:paraId="746A621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52" w:type="pct"/>
            <w:tcBorders>
              <w:top w:val="nil"/>
              <w:left w:val="nil"/>
              <w:bottom w:val="single" w:sz="4" w:space="0" w:color="000000"/>
              <w:right w:val="single" w:sz="4" w:space="0" w:color="000000"/>
            </w:tcBorders>
            <w:noWrap/>
            <w:vAlign w:val="center"/>
            <w:hideMark/>
          </w:tcPr>
          <w:p w14:paraId="3041AE0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87" w:type="pct"/>
            <w:tcBorders>
              <w:top w:val="nil"/>
              <w:left w:val="nil"/>
              <w:bottom w:val="single" w:sz="4" w:space="0" w:color="000000"/>
              <w:right w:val="single" w:sz="4" w:space="0" w:color="000000"/>
            </w:tcBorders>
            <w:noWrap/>
            <w:vAlign w:val="center"/>
            <w:hideMark/>
          </w:tcPr>
          <w:p w14:paraId="62BCFEE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2ABA31A6"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1B373C6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58" w:type="pct"/>
            <w:tcBorders>
              <w:top w:val="nil"/>
              <w:left w:val="nil"/>
              <w:bottom w:val="single" w:sz="4" w:space="0" w:color="000000"/>
              <w:right w:val="single" w:sz="4" w:space="0" w:color="000000"/>
            </w:tcBorders>
            <w:noWrap/>
            <w:vAlign w:val="center"/>
            <w:hideMark/>
          </w:tcPr>
          <w:p w14:paraId="3114B4F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026F9CD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10.18 </w:t>
            </w:r>
          </w:p>
        </w:tc>
        <w:tc>
          <w:tcPr>
            <w:tcW w:w="658" w:type="pct"/>
            <w:tcBorders>
              <w:top w:val="nil"/>
              <w:left w:val="nil"/>
              <w:bottom w:val="single" w:sz="4" w:space="0" w:color="000000"/>
              <w:right w:val="single" w:sz="4" w:space="0" w:color="000000"/>
            </w:tcBorders>
            <w:noWrap/>
            <w:vAlign w:val="center"/>
            <w:hideMark/>
          </w:tcPr>
          <w:p w14:paraId="0EE0723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9.43 </w:t>
            </w:r>
          </w:p>
        </w:tc>
        <w:tc>
          <w:tcPr>
            <w:tcW w:w="658" w:type="pct"/>
            <w:tcBorders>
              <w:top w:val="nil"/>
              <w:left w:val="nil"/>
              <w:bottom w:val="single" w:sz="4" w:space="0" w:color="000000"/>
              <w:right w:val="single" w:sz="4" w:space="0" w:color="000000"/>
            </w:tcBorders>
            <w:noWrap/>
            <w:vAlign w:val="center"/>
            <w:hideMark/>
          </w:tcPr>
          <w:p w14:paraId="5389A15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8.72 </w:t>
            </w:r>
          </w:p>
        </w:tc>
        <w:tc>
          <w:tcPr>
            <w:tcW w:w="652" w:type="pct"/>
            <w:tcBorders>
              <w:top w:val="nil"/>
              <w:left w:val="nil"/>
              <w:bottom w:val="single" w:sz="4" w:space="0" w:color="000000"/>
              <w:right w:val="single" w:sz="4" w:space="0" w:color="000000"/>
            </w:tcBorders>
            <w:noWrap/>
            <w:vAlign w:val="center"/>
            <w:hideMark/>
          </w:tcPr>
          <w:p w14:paraId="61FF416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8.09 </w:t>
            </w:r>
          </w:p>
        </w:tc>
        <w:tc>
          <w:tcPr>
            <w:tcW w:w="587" w:type="pct"/>
            <w:tcBorders>
              <w:top w:val="nil"/>
              <w:left w:val="nil"/>
              <w:bottom w:val="single" w:sz="4" w:space="0" w:color="000000"/>
              <w:right w:val="single" w:sz="4" w:space="0" w:color="000000"/>
            </w:tcBorders>
            <w:noWrap/>
            <w:vAlign w:val="center"/>
            <w:hideMark/>
          </w:tcPr>
          <w:p w14:paraId="187DBCA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7.48 </w:t>
            </w:r>
          </w:p>
        </w:tc>
      </w:tr>
      <w:tr w:rsidR="002F47B2" w:rsidRPr="002F47B2" w14:paraId="20C39F02"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440F79E2"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Net Present Value (NPV) = (£50) + £10.18 + £9.43 + £8.72 + £8.09 + £7.48</w:t>
            </w:r>
          </w:p>
        </w:tc>
      </w:tr>
      <w:tr w:rsidR="002F47B2" w:rsidRPr="002F47B2" w14:paraId="23CB536F"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0BB7C348"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(£50) + £43.89</w:t>
            </w:r>
          </w:p>
        </w:tc>
      </w:tr>
      <w:tr w:rsidR="002F47B2" w:rsidRPr="002F47B2" w14:paraId="786CFBD1"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4A4C9E98"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(£6.11)</w:t>
            </w:r>
          </w:p>
        </w:tc>
      </w:tr>
      <w:tr w:rsidR="002F47B2" w:rsidRPr="002F47B2" w14:paraId="2AA58763" w14:textId="77777777" w:rsidTr="002F47B2">
        <w:trPr>
          <w:trHeight w:val="312"/>
        </w:trPr>
        <w:tc>
          <w:tcPr>
            <w:tcW w:w="1130" w:type="pct"/>
            <w:tcBorders>
              <w:top w:val="nil"/>
              <w:left w:val="nil"/>
              <w:bottom w:val="nil"/>
              <w:right w:val="nil"/>
            </w:tcBorders>
            <w:noWrap/>
            <w:vAlign w:val="center"/>
            <w:hideMark/>
          </w:tcPr>
          <w:p w14:paraId="08056F86"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p>
        </w:tc>
        <w:tc>
          <w:tcPr>
            <w:tcW w:w="658" w:type="pct"/>
            <w:tcBorders>
              <w:top w:val="nil"/>
              <w:left w:val="nil"/>
              <w:bottom w:val="nil"/>
              <w:right w:val="nil"/>
            </w:tcBorders>
            <w:noWrap/>
            <w:vAlign w:val="center"/>
            <w:hideMark/>
          </w:tcPr>
          <w:p w14:paraId="53941F0D"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7478187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3E4FE998"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8" w:type="pct"/>
            <w:tcBorders>
              <w:top w:val="nil"/>
              <w:left w:val="nil"/>
              <w:bottom w:val="nil"/>
              <w:right w:val="nil"/>
            </w:tcBorders>
            <w:noWrap/>
            <w:vAlign w:val="center"/>
            <w:hideMark/>
          </w:tcPr>
          <w:p w14:paraId="1AC14E01"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52" w:type="pct"/>
            <w:tcBorders>
              <w:top w:val="nil"/>
              <w:left w:val="nil"/>
              <w:bottom w:val="nil"/>
              <w:right w:val="nil"/>
            </w:tcBorders>
            <w:noWrap/>
            <w:vAlign w:val="center"/>
            <w:hideMark/>
          </w:tcPr>
          <w:p w14:paraId="04DA316B"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587" w:type="pct"/>
            <w:tcBorders>
              <w:top w:val="nil"/>
              <w:left w:val="nil"/>
              <w:bottom w:val="nil"/>
              <w:right w:val="nil"/>
            </w:tcBorders>
            <w:noWrap/>
            <w:vAlign w:val="center"/>
            <w:hideMark/>
          </w:tcPr>
          <w:p w14:paraId="41A67A1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794688F9" w14:textId="77777777" w:rsidTr="002F47B2">
        <w:trPr>
          <w:trHeight w:val="432"/>
        </w:trPr>
        <w:tc>
          <w:tcPr>
            <w:tcW w:w="5000" w:type="pct"/>
            <w:gridSpan w:val="7"/>
            <w:tcBorders>
              <w:top w:val="nil"/>
              <w:left w:val="nil"/>
              <w:bottom w:val="nil"/>
              <w:right w:val="nil"/>
            </w:tcBorders>
            <w:noWrap/>
            <w:vAlign w:val="center"/>
            <w:hideMark/>
          </w:tcPr>
          <w:p w14:paraId="2B47B70F"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 xml:space="preserve"> Project C Net Present Value</w:t>
            </w:r>
          </w:p>
        </w:tc>
      </w:tr>
      <w:tr w:rsidR="002F47B2" w:rsidRPr="002F47B2" w14:paraId="608FABA5" w14:textId="77777777" w:rsidTr="002F47B2">
        <w:trPr>
          <w:trHeight w:val="312"/>
        </w:trPr>
        <w:tc>
          <w:tcPr>
            <w:tcW w:w="1130" w:type="pct"/>
            <w:tcBorders>
              <w:top w:val="single" w:sz="4" w:space="0" w:color="FFFFFF"/>
              <w:left w:val="single" w:sz="4" w:space="0" w:color="FFFFFF"/>
              <w:bottom w:val="nil"/>
              <w:right w:val="single" w:sz="4" w:space="0" w:color="FFFFFF"/>
            </w:tcBorders>
            <w:shd w:val="clear" w:color="274E13" w:fill="274E13"/>
            <w:vAlign w:val="center"/>
            <w:hideMark/>
          </w:tcPr>
          <w:p w14:paraId="2201A01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58" w:type="pct"/>
            <w:tcBorders>
              <w:top w:val="single" w:sz="4" w:space="0" w:color="FFFFFF"/>
              <w:left w:val="nil"/>
              <w:bottom w:val="nil"/>
              <w:right w:val="single" w:sz="4" w:space="0" w:color="FFFFFF"/>
            </w:tcBorders>
            <w:shd w:val="clear" w:color="274E13" w:fill="274E13"/>
            <w:vAlign w:val="center"/>
            <w:hideMark/>
          </w:tcPr>
          <w:p w14:paraId="3367279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58" w:type="pct"/>
            <w:tcBorders>
              <w:top w:val="single" w:sz="4" w:space="0" w:color="FFFFFF"/>
              <w:left w:val="nil"/>
              <w:bottom w:val="nil"/>
              <w:right w:val="single" w:sz="4" w:space="0" w:color="FFFFFF"/>
            </w:tcBorders>
            <w:shd w:val="clear" w:color="274E13" w:fill="274E13"/>
            <w:vAlign w:val="center"/>
            <w:hideMark/>
          </w:tcPr>
          <w:p w14:paraId="1765824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58" w:type="pct"/>
            <w:tcBorders>
              <w:top w:val="single" w:sz="4" w:space="0" w:color="FFFFFF"/>
              <w:left w:val="nil"/>
              <w:bottom w:val="nil"/>
              <w:right w:val="single" w:sz="4" w:space="0" w:color="FFFFFF"/>
            </w:tcBorders>
            <w:shd w:val="clear" w:color="274E13" w:fill="274E13"/>
            <w:vAlign w:val="center"/>
            <w:hideMark/>
          </w:tcPr>
          <w:p w14:paraId="2C448649"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58" w:type="pct"/>
            <w:tcBorders>
              <w:top w:val="single" w:sz="4" w:space="0" w:color="FFFFFF"/>
              <w:left w:val="nil"/>
              <w:bottom w:val="nil"/>
              <w:right w:val="single" w:sz="4" w:space="0" w:color="FFFFFF"/>
            </w:tcBorders>
            <w:shd w:val="clear" w:color="274E13" w:fill="274E13"/>
            <w:vAlign w:val="center"/>
            <w:hideMark/>
          </w:tcPr>
          <w:p w14:paraId="5BE06ED7"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52" w:type="pct"/>
            <w:tcBorders>
              <w:top w:val="single" w:sz="4" w:space="0" w:color="FFFFFF"/>
              <w:left w:val="nil"/>
              <w:bottom w:val="nil"/>
              <w:right w:val="single" w:sz="4" w:space="0" w:color="FFFFFF"/>
            </w:tcBorders>
            <w:shd w:val="clear" w:color="274E13" w:fill="274E13"/>
            <w:vAlign w:val="center"/>
            <w:hideMark/>
          </w:tcPr>
          <w:p w14:paraId="4C09238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87" w:type="pct"/>
            <w:tcBorders>
              <w:top w:val="single" w:sz="4" w:space="0" w:color="FFFFFF"/>
              <w:left w:val="nil"/>
              <w:bottom w:val="nil"/>
              <w:right w:val="single" w:sz="4" w:space="0" w:color="FFFFFF"/>
            </w:tcBorders>
            <w:shd w:val="clear" w:color="274E13" w:fill="274E13"/>
            <w:vAlign w:val="center"/>
            <w:hideMark/>
          </w:tcPr>
          <w:p w14:paraId="15A470FF"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4F33C2A3" w14:textId="77777777" w:rsidTr="002F47B2">
        <w:trPr>
          <w:trHeight w:val="312"/>
        </w:trPr>
        <w:tc>
          <w:tcPr>
            <w:tcW w:w="1130" w:type="pct"/>
            <w:tcBorders>
              <w:top w:val="single" w:sz="4" w:space="0" w:color="000000"/>
              <w:left w:val="single" w:sz="4" w:space="0" w:color="000000"/>
              <w:bottom w:val="single" w:sz="4" w:space="0" w:color="000000"/>
              <w:right w:val="single" w:sz="4" w:space="0" w:color="000000"/>
            </w:tcBorders>
            <w:noWrap/>
            <w:vAlign w:val="center"/>
            <w:hideMark/>
          </w:tcPr>
          <w:p w14:paraId="02B8BDF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58" w:type="pct"/>
            <w:tcBorders>
              <w:top w:val="single" w:sz="4" w:space="0" w:color="000000"/>
              <w:left w:val="nil"/>
              <w:bottom w:val="single" w:sz="4" w:space="0" w:color="000000"/>
              <w:right w:val="single" w:sz="4" w:space="0" w:color="000000"/>
            </w:tcBorders>
            <w:noWrap/>
            <w:vAlign w:val="center"/>
            <w:hideMark/>
          </w:tcPr>
          <w:p w14:paraId="045BC11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single" w:sz="4" w:space="0" w:color="000000"/>
              <w:left w:val="nil"/>
              <w:bottom w:val="single" w:sz="4" w:space="0" w:color="000000"/>
              <w:right w:val="single" w:sz="4" w:space="0" w:color="000000"/>
            </w:tcBorders>
            <w:noWrap/>
            <w:vAlign w:val="center"/>
            <w:hideMark/>
          </w:tcPr>
          <w:p w14:paraId="4F0A359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55B7BEB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single" w:sz="4" w:space="0" w:color="000000"/>
              <w:left w:val="nil"/>
              <w:bottom w:val="single" w:sz="4" w:space="0" w:color="000000"/>
              <w:right w:val="single" w:sz="4" w:space="0" w:color="000000"/>
            </w:tcBorders>
            <w:noWrap/>
            <w:vAlign w:val="center"/>
            <w:hideMark/>
          </w:tcPr>
          <w:p w14:paraId="051C324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2" w:type="pct"/>
            <w:tcBorders>
              <w:top w:val="single" w:sz="4" w:space="0" w:color="000000"/>
              <w:left w:val="nil"/>
              <w:bottom w:val="single" w:sz="4" w:space="0" w:color="000000"/>
              <w:right w:val="single" w:sz="4" w:space="0" w:color="000000"/>
            </w:tcBorders>
            <w:noWrap/>
            <w:vAlign w:val="center"/>
            <w:hideMark/>
          </w:tcPr>
          <w:p w14:paraId="25C0647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587" w:type="pct"/>
            <w:tcBorders>
              <w:top w:val="single" w:sz="4" w:space="0" w:color="000000"/>
              <w:left w:val="nil"/>
              <w:bottom w:val="single" w:sz="4" w:space="0" w:color="000000"/>
              <w:right w:val="single" w:sz="4" w:space="0" w:color="000000"/>
            </w:tcBorders>
            <w:noWrap/>
            <w:vAlign w:val="center"/>
            <w:hideMark/>
          </w:tcPr>
          <w:p w14:paraId="60DB114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114946CC"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0FBED73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58" w:type="pct"/>
            <w:tcBorders>
              <w:top w:val="nil"/>
              <w:left w:val="nil"/>
              <w:bottom w:val="single" w:sz="4" w:space="0" w:color="000000"/>
              <w:right w:val="single" w:sz="4" w:space="0" w:color="000000"/>
            </w:tcBorders>
            <w:noWrap/>
            <w:vAlign w:val="center"/>
            <w:hideMark/>
          </w:tcPr>
          <w:p w14:paraId="2753E17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58" w:type="pct"/>
            <w:tcBorders>
              <w:top w:val="nil"/>
              <w:left w:val="nil"/>
              <w:bottom w:val="single" w:sz="4" w:space="0" w:color="000000"/>
              <w:right w:val="single" w:sz="4" w:space="0" w:color="000000"/>
            </w:tcBorders>
            <w:noWrap/>
            <w:vAlign w:val="center"/>
            <w:hideMark/>
          </w:tcPr>
          <w:p w14:paraId="57FDE68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658" w:type="pct"/>
            <w:tcBorders>
              <w:top w:val="nil"/>
              <w:left w:val="nil"/>
              <w:bottom w:val="single" w:sz="4" w:space="0" w:color="000000"/>
              <w:right w:val="single" w:sz="4" w:space="0" w:color="000000"/>
            </w:tcBorders>
            <w:noWrap/>
            <w:vAlign w:val="center"/>
            <w:hideMark/>
          </w:tcPr>
          <w:p w14:paraId="4280ACE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58" w:type="pct"/>
            <w:tcBorders>
              <w:top w:val="nil"/>
              <w:left w:val="nil"/>
              <w:bottom w:val="single" w:sz="4" w:space="0" w:color="000000"/>
              <w:right w:val="single" w:sz="4" w:space="0" w:color="000000"/>
            </w:tcBorders>
            <w:noWrap/>
            <w:vAlign w:val="center"/>
            <w:hideMark/>
          </w:tcPr>
          <w:p w14:paraId="5D759259"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652" w:type="pct"/>
            <w:tcBorders>
              <w:top w:val="nil"/>
              <w:left w:val="nil"/>
              <w:bottom w:val="single" w:sz="4" w:space="0" w:color="000000"/>
              <w:right w:val="single" w:sz="4" w:space="0" w:color="000000"/>
            </w:tcBorders>
            <w:noWrap/>
            <w:vAlign w:val="center"/>
            <w:hideMark/>
          </w:tcPr>
          <w:p w14:paraId="027C534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587" w:type="pct"/>
            <w:tcBorders>
              <w:top w:val="nil"/>
              <w:left w:val="nil"/>
              <w:bottom w:val="single" w:sz="4" w:space="0" w:color="000000"/>
              <w:right w:val="single" w:sz="4" w:space="0" w:color="000000"/>
            </w:tcBorders>
            <w:noWrap/>
            <w:vAlign w:val="center"/>
            <w:hideMark/>
          </w:tcPr>
          <w:p w14:paraId="7693705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65FC7041"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432DC97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58" w:type="pct"/>
            <w:tcBorders>
              <w:top w:val="nil"/>
              <w:left w:val="nil"/>
              <w:bottom w:val="single" w:sz="4" w:space="0" w:color="000000"/>
              <w:right w:val="single" w:sz="4" w:space="0" w:color="000000"/>
            </w:tcBorders>
            <w:noWrap/>
            <w:vAlign w:val="center"/>
            <w:hideMark/>
          </w:tcPr>
          <w:p w14:paraId="4E96AD6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058713B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658" w:type="pct"/>
            <w:tcBorders>
              <w:top w:val="nil"/>
              <w:left w:val="nil"/>
              <w:bottom w:val="single" w:sz="4" w:space="0" w:color="000000"/>
              <w:right w:val="single" w:sz="4" w:space="0" w:color="000000"/>
            </w:tcBorders>
            <w:noWrap/>
            <w:vAlign w:val="center"/>
            <w:hideMark/>
          </w:tcPr>
          <w:p w14:paraId="2A0C68B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58" w:type="pct"/>
            <w:tcBorders>
              <w:top w:val="nil"/>
              <w:left w:val="nil"/>
              <w:bottom w:val="single" w:sz="4" w:space="0" w:color="000000"/>
              <w:right w:val="single" w:sz="4" w:space="0" w:color="000000"/>
            </w:tcBorders>
            <w:noWrap/>
            <w:vAlign w:val="center"/>
            <w:hideMark/>
          </w:tcPr>
          <w:p w14:paraId="391AEDE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652" w:type="pct"/>
            <w:tcBorders>
              <w:top w:val="nil"/>
              <w:left w:val="nil"/>
              <w:bottom w:val="single" w:sz="4" w:space="0" w:color="000000"/>
              <w:right w:val="single" w:sz="4" w:space="0" w:color="000000"/>
            </w:tcBorders>
            <w:noWrap/>
            <w:vAlign w:val="center"/>
            <w:hideMark/>
          </w:tcPr>
          <w:p w14:paraId="5925AF8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587" w:type="pct"/>
            <w:tcBorders>
              <w:top w:val="nil"/>
              <w:left w:val="nil"/>
              <w:bottom w:val="single" w:sz="4" w:space="0" w:color="000000"/>
              <w:right w:val="single" w:sz="4" w:space="0" w:color="000000"/>
            </w:tcBorders>
            <w:noWrap/>
            <w:vAlign w:val="center"/>
            <w:hideMark/>
          </w:tcPr>
          <w:p w14:paraId="15CC9F0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2613B5EF"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206B62B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58" w:type="pct"/>
            <w:tcBorders>
              <w:top w:val="nil"/>
              <w:left w:val="nil"/>
              <w:bottom w:val="single" w:sz="4" w:space="0" w:color="000000"/>
              <w:right w:val="single" w:sz="4" w:space="0" w:color="000000"/>
            </w:tcBorders>
            <w:noWrap/>
            <w:vAlign w:val="center"/>
            <w:hideMark/>
          </w:tcPr>
          <w:p w14:paraId="52B74FB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58" w:type="pct"/>
            <w:tcBorders>
              <w:top w:val="nil"/>
              <w:left w:val="nil"/>
              <w:bottom w:val="single" w:sz="4" w:space="0" w:color="000000"/>
              <w:right w:val="single" w:sz="4" w:space="0" w:color="000000"/>
            </w:tcBorders>
            <w:noWrap/>
            <w:vAlign w:val="center"/>
            <w:hideMark/>
          </w:tcPr>
          <w:p w14:paraId="5D7ADB2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58" w:type="pct"/>
            <w:tcBorders>
              <w:top w:val="nil"/>
              <w:left w:val="nil"/>
              <w:bottom w:val="single" w:sz="4" w:space="0" w:color="000000"/>
              <w:right w:val="single" w:sz="4" w:space="0" w:color="000000"/>
            </w:tcBorders>
            <w:noWrap/>
            <w:vAlign w:val="center"/>
            <w:hideMark/>
          </w:tcPr>
          <w:p w14:paraId="4D364AA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58" w:type="pct"/>
            <w:tcBorders>
              <w:top w:val="nil"/>
              <w:left w:val="nil"/>
              <w:bottom w:val="single" w:sz="4" w:space="0" w:color="000000"/>
              <w:right w:val="single" w:sz="4" w:space="0" w:color="000000"/>
            </w:tcBorders>
            <w:noWrap/>
            <w:vAlign w:val="center"/>
            <w:hideMark/>
          </w:tcPr>
          <w:p w14:paraId="36DB8AB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52" w:type="pct"/>
            <w:tcBorders>
              <w:top w:val="nil"/>
              <w:left w:val="nil"/>
              <w:bottom w:val="single" w:sz="4" w:space="0" w:color="000000"/>
              <w:right w:val="single" w:sz="4" w:space="0" w:color="000000"/>
            </w:tcBorders>
            <w:noWrap/>
            <w:vAlign w:val="center"/>
            <w:hideMark/>
          </w:tcPr>
          <w:p w14:paraId="1F656D5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87" w:type="pct"/>
            <w:tcBorders>
              <w:top w:val="nil"/>
              <w:left w:val="nil"/>
              <w:bottom w:val="single" w:sz="4" w:space="0" w:color="000000"/>
              <w:right w:val="single" w:sz="4" w:space="0" w:color="000000"/>
            </w:tcBorders>
            <w:noWrap/>
            <w:vAlign w:val="center"/>
            <w:hideMark/>
          </w:tcPr>
          <w:p w14:paraId="11207AC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506135E1" w14:textId="77777777" w:rsidTr="002F47B2">
        <w:trPr>
          <w:trHeight w:val="312"/>
        </w:trPr>
        <w:tc>
          <w:tcPr>
            <w:tcW w:w="1130" w:type="pct"/>
            <w:tcBorders>
              <w:top w:val="nil"/>
              <w:left w:val="single" w:sz="4" w:space="0" w:color="000000"/>
              <w:bottom w:val="single" w:sz="4" w:space="0" w:color="000000"/>
              <w:right w:val="single" w:sz="4" w:space="0" w:color="000000"/>
            </w:tcBorders>
            <w:noWrap/>
            <w:vAlign w:val="center"/>
            <w:hideMark/>
          </w:tcPr>
          <w:p w14:paraId="5D3752C9"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58" w:type="pct"/>
            <w:tcBorders>
              <w:top w:val="nil"/>
              <w:left w:val="nil"/>
              <w:bottom w:val="single" w:sz="4" w:space="0" w:color="000000"/>
              <w:right w:val="single" w:sz="4" w:space="0" w:color="000000"/>
            </w:tcBorders>
            <w:noWrap/>
            <w:vAlign w:val="center"/>
            <w:hideMark/>
          </w:tcPr>
          <w:p w14:paraId="2E6FD55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58" w:type="pct"/>
            <w:tcBorders>
              <w:top w:val="nil"/>
              <w:left w:val="nil"/>
              <w:bottom w:val="single" w:sz="4" w:space="0" w:color="000000"/>
              <w:right w:val="single" w:sz="4" w:space="0" w:color="000000"/>
            </w:tcBorders>
            <w:noWrap/>
            <w:vAlign w:val="center"/>
            <w:hideMark/>
          </w:tcPr>
          <w:p w14:paraId="135943A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4.63 </w:t>
            </w:r>
          </w:p>
        </w:tc>
        <w:tc>
          <w:tcPr>
            <w:tcW w:w="658" w:type="pct"/>
            <w:tcBorders>
              <w:top w:val="nil"/>
              <w:left w:val="nil"/>
              <w:bottom w:val="single" w:sz="4" w:space="0" w:color="000000"/>
              <w:right w:val="single" w:sz="4" w:space="0" w:color="000000"/>
            </w:tcBorders>
            <w:noWrap/>
            <w:vAlign w:val="center"/>
            <w:hideMark/>
          </w:tcPr>
          <w:p w14:paraId="6285229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8.57 </w:t>
            </w:r>
          </w:p>
        </w:tc>
        <w:tc>
          <w:tcPr>
            <w:tcW w:w="658" w:type="pct"/>
            <w:tcBorders>
              <w:top w:val="nil"/>
              <w:left w:val="nil"/>
              <w:bottom w:val="single" w:sz="4" w:space="0" w:color="000000"/>
              <w:right w:val="single" w:sz="4" w:space="0" w:color="000000"/>
            </w:tcBorders>
            <w:noWrap/>
            <w:vAlign w:val="center"/>
            <w:hideMark/>
          </w:tcPr>
          <w:p w14:paraId="288D4BF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15.86 </w:t>
            </w:r>
          </w:p>
        </w:tc>
        <w:tc>
          <w:tcPr>
            <w:tcW w:w="652" w:type="pct"/>
            <w:tcBorders>
              <w:top w:val="nil"/>
              <w:left w:val="nil"/>
              <w:bottom w:val="single" w:sz="4" w:space="0" w:color="000000"/>
              <w:right w:val="single" w:sz="4" w:space="0" w:color="000000"/>
            </w:tcBorders>
            <w:noWrap/>
            <w:vAlign w:val="center"/>
            <w:hideMark/>
          </w:tcPr>
          <w:p w14:paraId="4FA8B47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18.38 </w:t>
            </w:r>
          </w:p>
        </w:tc>
        <w:tc>
          <w:tcPr>
            <w:tcW w:w="587" w:type="pct"/>
            <w:tcBorders>
              <w:top w:val="nil"/>
              <w:left w:val="nil"/>
              <w:bottom w:val="single" w:sz="4" w:space="0" w:color="000000"/>
              <w:right w:val="single" w:sz="4" w:space="0" w:color="000000"/>
            </w:tcBorders>
            <w:noWrap/>
            <w:vAlign w:val="center"/>
            <w:hideMark/>
          </w:tcPr>
          <w:p w14:paraId="161F789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3.40 </w:t>
            </w:r>
          </w:p>
        </w:tc>
      </w:tr>
      <w:tr w:rsidR="002F47B2" w:rsidRPr="002F47B2" w14:paraId="52DBA8D9"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C5CE576"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Net Present Value (NPV) = (£50) + £4.63 + £8.57 + £15.86 + £18.38 + £3.4</w:t>
            </w:r>
          </w:p>
        </w:tc>
      </w:tr>
      <w:tr w:rsidR="002F47B2" w:rsidRPr="002F47B2" w14:paraId="479BEB96"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4FE96386"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(£50) + £50.83</w:t>
            </w:r>
          </w:p>
        </w:tc>
      </w:tr>
      <w:tr w:rsidR="002F47B2" w:rsidRPr="002F47B2" w14:paraId="63317471"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43A9C683"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NPV = £0.83</w:t>
            </w:r>
          </w:p>
        </w:tc>
      </w:tr>
    </w:tbl>
    <w:p w14:paraId="729E45D3" w14:textId="2B871F83" w:rsidR="002F47B2" w:rsidRDefault="002F47B2">
      <w:pPr>
        <w:spacing w:after="240" w:line="360" w:lineRule="auto"/>
        <w:jc w:val="both"/>
        <w:rPr>
          <w:sz w:val="24"/>
          <w:szCs w:val="24"/>
        </w:rPr>
      </w:pPr>
    </w:p>
    <w:p w14:paraId="79D0BE0D" w14:textId="77777777" w:rsidR="002F47B2" w:rsidRDefault="002F47B2">
      <w:pPr>
        <w:rPr>
          <w:sz w:val="24"/>
          <w:szCs w:val="24"/>
        </w:rPr>
      </w:pPr>
      <w:r>
        <w:rPr>
          <w:sz w:val="24"/>
          <w:szCs w:val="24"/>
        </w:rPr>
        <w:lastRenderedPageBreak/>
        <w:br w:type="page"/>
      </w:r>
    </w:p>
    <w:tbl>
      <w:tblPr>
        <w:tblW w:w="5000" w:type="pct"/>
        <w:tblLook w:val="04A0" w:firstRow="1" w:lastRow="0" w:firstColumn="1" w:lastColumn="0" w:noHBand="0" w:noVBand="1"/>
      </w:tblPr>
      <w:tblGrid>
        <w:gridCol w:w="2097"/>
        <w:gridCol w:w="1227"/>
        <w:gridCol w:w="1194"/>
        <w:gridCol w:w="1194"/>
        <w:gridCol w:w="1194"/>
        <w:gridCol w:w="1194"/>
        <w:gridCol w:w="1145"/>
      </w:tblGrid>
      <w:tr w:rsidR="002F47B2" w:rsidRPr="002F47B2" w14:paraId="78F4038A" w14:textId="77777777" w:rsidTr="002F47B2">
        <w:trPr>
          <w:trHeight w:val="315"/>
        </w:trPr>
        <w:tc>
          <w:tcPr>
            <w:tcW w:w="5000" w:type="pct"/>
            <w:gridSpan w:val="7"/>
            <w:tcBorders>
              <w:top w:val="nil"/>
              <w:left w:val="nil"/>
              <w:bottom w:val="nil"/>
              <w:right w:val="nil"/>
            </w:tcBorders>
            <w:noWrap/>
            <w:vAlign w:val="center"/>
            <w:hideMark/>
          </w:tcPr>
          <w:p w14:paraId="3254C41B"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lastRenderedPageBreak/>
              <w:t>Project A Profitability Index (PI)</w:t>
            </w:r>
          </w:p>
        </w:tc>
      </w:tr>
      <w:tr w:rsidR="002F47B2" w:rsidRPr="002F47B2" w14:paraId="61F0E79E" w14:textId="77777777" w:rsidTr="002F47B2">
        <w:trPr>
          <w:trHeight w:val="312"/>
        </w:trPr>
        <w:tc>
          <w:tcPr>
            <w:tcW w:w="1135" w:type="pct"/>
            <w:tcBorders>
              <w:top w:val="single" w:sz="4" w:space="0" w:color="FFFFFF"/>
              <w:left w:val="single" w:sz="4" w:space="0" w:color="FFFFFF"/>
              <w:bottom w:val="nil"/>
              <w:right w:val="single" w:sz="4" w:space="0" w:color="FFFFFF"/>
            </w:tcBorders>
            <w:shd w:val="clear" w:color="274E13" w:fill="274E13"/>
            <w:vAlign w:val="center"/>
            <w:hideMark/>
          </w:tcPr>
          <w:p w14:paraId="4438CD2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49" w:type="pct"/>
            <w:tcBorders>
              <w:top w:val="single" w:sz="4" w:space="0" w:color="FFFFFF"/>
              <w:left w:val="nil"/>
              <w:bottom w:val="nil"/>
              <w:right w:val="single" w:sz="4" w:space="0" w:color="FFFFFF"/>
            </w:tcBorders>
            <w:shd w:val="clear" w:color="274E13" w:fill="274E13"/>
            <w:vAlign w:val="center"/>
            <w:hideMark/>
          </w:tcPr>
          <w:p w14:paraId="5222388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49" w:type="pct"/>
            <w:tcBorders>
              <w:top w:val="single" w:sz="4" w:space="0" w:color="FFFFFF"/>
              <w:left w:val="nil"/>
              <w:bottom w:val="nil"/>
              <w:right w:val="single" w:sz="4" w:space="0" w:color="FFFFFF"/>
            </w:tcBorders>
            <w:shd w:val="clear" w:color="274E13" w:fill="274E13"/>
            <w:vAlign w:val="center"/>
            <w:hideMark/>
          </w:tcPr>
          <w:p w14:paraId="05DFDFE7"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49" w:type="pct"/>
            <w:tcBorders>
              <w:top w:val="single" w:sz="4" w:space="0" w:color="FFFFFF"/>
              <w:left w:val="nil"/>
              <w:bottom w:val="nil"/>
              <w:right w:val="single" w:sz="4" w:space="0" w:color="FFFFFF"/>
            </w:tcBorders>
            <w:shd w:val="clear" w:color="274E13" w:fill="274E13"/>
            <w:vAlign w:val="center"/>
            <w:hideMark/>
          </w:tcPr>
          <w:p w14:paraId="789D454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49" w:type="pct"/>
            <w:tcBorders>
              <w:top w:val="single" w:sz="4" w:space="0" w:color="FFFFFF"/>
              <w:left w:val="nil"/>
              <w:bottom w:val="nil"/>
              <w:right w:val="single" w:sz="4" w:space="0" w:color="FFFFFF"/>
            </w:tcBorders>
            <w:shd w:val="clear" w:color="274E13" w:fill="274E13"/>
            <w:vAlign w:val="center"/>
            <w:hideMark/>
          </w:tcPr>
          <w:p w14:paraId="4476D27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49" w:type="pct"/>
            <w:tcBorders>
              <w:top w:val="single" w:sz="4" w:space="0" w:color="FFFFFF"/>
              <w:left w:val="nil"/>
              <w:bottom w:val="nil"/>
              <w:right w:val="single" w:sz="4" w:space="0" w:color="FFFFFF"/>
            </w:tcBorders>
            <w:shd w:val="clear" w:color="274E13" w:fill="274E13"/>
            <w:vAlign w:val="center"/>
            <w:hideMark/>
          </w:tcPr>
          <w:p w14:paraId="1D75D343"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620" w:type="pct"/>
            <w:tcBorders>
              <w:top w:val="single" w:sz="4" w:space="0" w:color="FFFFFF"/>
              <w:left w:val="nil"/>
              <w:bottom w:val="nil"/>
              <w:right w:val="single" w:sz="4" w:space="0" w:color="FFFFFF"/>
            </w:tcBorders>
            <w:shd w:val="clear" w:color="274E13" w:fill="274E13"/>
            <w:vAlign w:val="center"/>
            <w:hideMark/>
          </w:tcPr>
          <w:p w14:paraId="4C36809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752165A7" w14:textId="77777777" w:rsidTr="002F47B2">
        <w:trPr>
          <w:trHeight w:val="312"/>
        </w:trPr>
        <w:tc>
          <w:tcPr>
            <w:tcW w:w="1135" w:type="pct"/>
            <w:tcBorders>
              <w:top w:val="single" w:sz="4" w:space="0" w:color="000000"/>
              <w:left w:val="single" w:sz="4" w:space="0" w:color="000000"/>
              <w:bottom w:val="single" w:sz="4" w:space="0" w:color="000000"/>
              <w:right w:val="single" w:sz="4" w:space="0" w:color="000000"/>
            </w:tcBorders>
            <w:noWrap/>
            <w:vAlign w:val="center"/>
            <w:hideMark/>
          </w:tcPr>
          <w:p w14:paraId="71F2776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49" w:type="pct"/>
            <w:tcBorders>
              <w:top w:val="single" w:sz="4" w:space="0" w:color="000000"/>
              <w:left w:val="nil"/>
              <w:bottom w:val="single" w:sz="4" w:space="0" w:color="000000"/>
              <w:right w:val="single" w:sz="4" w:space="0" w:color="000000"/>
            </w:tcBorders>
            <w:noWrap/>
            <w:vAlign w:val="center"/>
            <w:hideMark/>
          </w:tcPr>
          <w:p w14:paraId="7DDBB6E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single" w:sz="4" w:space="0" w:color="000000"/>
              <w:left w:val="nil"/>
              <w:bottom w:val="single" w:sz="4" w:space="0" w:color="000000"/>
              <w:right w:val="single" w:sz="4" w:space="0" w:color="000000"/>
            </w:tcBorders>
            <w:noWrap/>
            <w:vAlign w:val="center"/>
            <w:hideMark/>
          </w:tcPr>
          <w:p w14:paraId="7104D24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61049CB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08FD73C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7E5025F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20" w:type="pct"/>
            <w:tcBorders>
              <w:top w:val="single" w:sz="4" w:space="0" w:color="000000"/>
              <w:left w:val="nil"/>
              <w:bottom w:val="single" w:sz="4" w:space="0" w:color="000000"/>
              <w:right w:val="single" w:sz="4" w:space="0" w:color="000000"/>
            </w:tcBorders>
            <w:noWrap/>
            <w:vAlign w:val="center"/>
            <w:hideMark/>
          </w:tcPr>
          <w:p w14:paraId="63CE1C5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5BD6993D"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1D45BF2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49" w:type="pct"/>
            <w:tcBorders>
              <w:top w:val="nil"/>
              <w:left w:val="nil"/>
              <w:bottom w:val="single" w:sz="4" w:space="0" w:color="000000"/>
              <w:right w:val="single" w:sz="4" w:space="0" w:color="000000"/>
            </w:tcBorders>
            <w:noWrap/>
            <w:vAlign w:val="center"/>
            <w:hideMark/>
          </w:tcPr>
          <w:p w14:paraId="17C28B2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nil"/>
              <w:left w:val="nil"/>
              <w:bottom w:val="single" w:sz="4" w:space="0" w:color="000000"/>
              <w:right w:val="single" w:sz="4" w:space="0" w:color="000000"/>
            </w:tcBorders>
            <w:noWrap/>
            <w:vAlign w:val="center"/>
            <w:hideMark/>
          </w:tcPr>
          <w:p w14:paraId="1D60AD5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49" w:type="pct"/>
            <w:tcBorders>
              <w:top w:val="nil"/>
              <w:left w:val="nil"/>
              <w:bottom w:val="single" w:sz="4" w:space="0" w:color="000000"/>
              <w:right w:val="single" w:sz="4" w:space="0" w:color="000000"/>
            </w:tcBorders>
            <w:noWrap/>
            <w:vAlign w:val="center"/>
            <w:hideMark/>
          </w:tcPr>
          <w:p w14:paraId="20E76EA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649" w:type="pct"/>
            <w:tcBorders>
              <w:top w:val="nil"/>
              <w:left w:val="nil"/>
              <w:bottom w:val="single" w:sz="4" w:space="0" w:color="000000"/>
              <w:right w:val="single" w:sz="4" w:space="0" w:color="000000"/>
            </w:tcBorders>
            <w:noWrap/>
            <w:vAlign w:val="center"/>
            <w:hideMark/>
          </w:tcPr>
          <w:p w14:paraId="698BBF8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649" w:type="pct"/>
            <w:tcBorders>
              <w:top w:val="nil"/>
              <w:left w:val="nil"/>
              <w:bottom w:val="single" w:sz="4" w:space="0" w:color="000000"/>
              <w:right w:val="single" w:sz="4" w:space="0" w:color="000000"/>
            </w:tcBorders>
            <w:noWrap/>
            <w:vAlign w:val="center"/>
            <w:hideMark/>
          </w:tcPr>
          <w:p w14:paraId="31404C6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20" w:type="pct"/>
            <w:tcBorders>
              <w:top w:val="nil"/>
              <w:left w:val="nil"/>
              <w:bottom w:val="single" w:sz="4" w:space="0" w:color="000000"/>
              <w:right w:val="single" w:sz="4" w:space="0" w:color="000000"/>
            </w:tcBorders>
            <w:noWrap/>
            <w:vAlign w:val="center"/>
            <w:hideMark/>
          </w:tcPr>
          <w:p w14:paraId="0ABEFC0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r>
      <w:tr w:rsidR="002F47B2" w:rsidRPr="002F47B2" w14:paraId="410FBC0B"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52C1A20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49" w:type="pct"/>
            <w:tcBorders>
              <w:top w:val="nil"/>
              <w:left w:val="nil"/>
              <w:bottom w:val="single" w:sz="4" w:space="0" w:color="000000"/>
              <w:right w:val="single" w:sz="4" w:space="0" w:color="000000"/>
            </w:tcBorders>
            <w:noWrap/>
            <w:vAlign w:val="center"/>
            <w:hideMark/>
          </w:tcPr>
          <w:p w14:paraId="6972FEA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7BA11BE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49" w:type="pct"/>
            <w:tcBorders>
              <w:top w:val="nil"/>
              <w:left w:val="nil"/>
              <w:bottom w:val="single" w:sz="4" w:space="0" w:color="000000"/>
              <w:right w:val="single" w:sz="4" w:space="0" w:color="000000"/>
            </w:tcBorders>
            <w:noWrap/>
            <w:vAlign w:val="center"/>
            <w:hideMark/>
          </w:tcPr>
          <w:p w14:paraId="6EB8135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649" w:type="pct"/>
            <w:tcBorders>
              <w:top w:val="nil"/>
              <w:left w:val="nil"/>
              <w:bottom w:val="single" w:sz="4" w:space="0" w:color="000000"/>
              <w:right w:val="single" w:sz="4" w:space="0" w:color="000000"/>
            </w:tcBorders>
            <w:noWrap/>
            <w:vAlign w:val="center"/>
            <w:hideMark/>
          </w:tcPr>
          <w:p w14:paraId="26CB6AF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649" w:type="pct"/>
            <w:tcBorders>
              <w:top w:val="nil"/>
              <w:left w:val="nil"/>
              <w:bottom w:val="single" w:sz="4" w:space="0" w:color="000000"/>
              <w:right w:val="single" w:sz="4" w:space="0" w:color="000000"/>
            </w:tcBorders>
            <w:noWrap/>
            <w:vAlign w:val="center"/>
            <w:hideMark/>
          </w:tcPr>
          <w:p w14:paraId="64D2742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20" w:type="pct"/>
            <w:tcBorders>
              <w:top w:val="nil"/>
              <w:left w:val="nil"/>
              <w:bottom w:val="single" w:sz="4" w:space="0" w:color="000000"/>
              <w:right w:val="single" w:sz="4" w:space="0" w:color="000000"/>
            </w:tcBorders>
            <w:noWrap/>
            <w:vAlign w:val="center"/>
            <w:hideMark/>
          </w:tcPr>
          <w:p w14:paraId="78BE8C0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r>
      <w:tr w:rsidR="002F47B2" w:rsidRPr="002F47B2" w14:paraId="22965759"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13ADCC7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49" w:type="pct"/>
            <w:tcBorders>
              <w:top w:val="nil"/>
              <w:left w:val="nil"/>
              <w:bottom w:val="single" w:sz="4" w:space="0" w:color="000000"/>
              <w:right w:val="single" w:sz="4" w:space="0" w:color="000000"/>
            </w:tcBorders>
            <w:noWrap/>
            <w:vAlign w:val="center"/>
            <w:hideMark/>
          </w:tcPr>
          <w:p w14:paraId="0D88A16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49" w:type="pct"/>
            <w:tcBorders>
              <w:top w:val="nil"/>
              <w:left w:val="nil"/>
              <w:bottom w:val="single" w:sz="4" w:space="0" w:color="000000"/>
              <w:right w:val="single" w:sz="4" w:space="0" w:color="000000"/>
            </w:tcBorders>
            <w:noWrap/>
            <w:vAlign w:val="center"/>
            <w:hideMark/>
          </w:tcPr>
          <w:p w14:paraId="4DA3E50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49" w:type="pct"/>
            <w:tcBorders>
              <w:top w:val="nil"/>
              <w:left w:val="nil"/>
              <w:bottom w:val="single" w:sz="4" w:space="0" w:color="000000"/>
              <w:right w:val="single" w:sz="4" w:space="0" w:color="000000"/>
            </w:tcBorders>
            <w:noWrap/>
            <w:vAlign w:val="center"/>
            <w:hideMark/>
          </w:tcPr>
          <w:p w14:paraId="2395E86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49" w:type="pct"/>
            <w:tcBorders>
              <w:top w:val="nil"/>
              <w:left w:val="nil"/>
              <w:bottom w:val="single" w:sz="4" w:space="0" w:color="000000"/>
              <w:right w:val="single" w:sz="4" w:space="0" w:color="000000"/>
            </w:tcBorders>
            <w:noWrap/>
            <w:vAlign w:val="center"/>
            <w:hideMark/>
          </w:tcPr>
          <w:p w14:paraId="49018D5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49" w:type="pct"/>
            <w:tcBorders>
              <w:top w:val="nil"/>
              <w:left w:val="nil"/>
              <w:bottom w:val="single" w:sz="4" w:space="0" w:color="000000"/>
              <w:right w:val="single" w:sz="4" w:space="0" w:color="000000"/>
            </w:tcBorders>
            <w:noWrap/>
            <w:vAlign w:val="center"/>
            <w:hideMark/>
          </w:tcPr>
          <w:p w14:paraId="5B98E95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620" w:type="pct"/>
            <w:tcBorders>
              <w:top w:val="nil"/>
              <w:left w:val="nil"/>
              <w:bottom w:val="single" w:sz="4" w:space="0" w:color="000000"/>
              <w:right w:val="single" w:sz="4" w:space="0" w:color="000000"/>
            </w:tcBorders>
            <w:noWrap/>
            <w:vAlign w:val="center"/>
            <w:hideMark/>
          </w:tcPr>
          <w:p w14:paraId="143DD16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11179935"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7CA1B46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49" w:type="pct"/>
            <w:tcBorders>
              <w:top w:val="nil"/>
              <w:left w:val="nil"/>
              <w:bottom w:val="single" w:sz="4" w:space="0" w:color="000000"/>
              <w:right w:val="single" w:sz="4" w:space="0" w:color="000000"/>
            </w:tcBorders>
            <w:noWrap/>
            <w:vAlign w:val="center"/>
            <w:hideMark/>
          </w:tcPr>
          <w:p w14:paraId="62924FF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2212CFD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9.25 </w:t>
            </w:r>
          </w:p>
        </w:tc>
        <w:tc>
          <w:tcPr>
            <w:tcW w:w="649" w:type="pct"/>
            <w:tcBorders>
              <w:top w:val="nil"/>
              <w:left w:val="nil"/>
              <w:bottom w:val="single" w:sz="4" w:space="0" w:color="000000"/>
              <w:right w:val="single" w:sz="4" w:space="0" w:color="000000"/>
            </w:tcBorders>
            <w:noWrap/>
            <w:vAlign w:val="center"/>
            <w:hideMark/>
          </w:tcPr>
          <w:p w14:paraId="46BB158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10.28 </w:t>
            </w:r>
          </w:p>
        </w:tc>
        <w:tc>
          <w:tcPr>
            <w:tcW w:w="649" w:type="pct"/>
            <w:tcBorders>
              <w:top w:val="nil"/>
              <w:left w:val="nil"/>
              <w:bottom w:val="single" w:sz="4" w:space="0" w:color="000000"/>
              <w:right w:val="single" w:sz="4" w:space="0" w:color="000000"/>
            </w:tcBorders>
            <w:noWrap/>
            <w:vAlign w:val="center"/>
            <w:hideMark/>
          </w:tcPr>
          <w:p w14:paraId="1236F53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11.10 </w:t>
            </w:r>
          </w:p>
        </w:tc>
        <w:tc>
          <w:tcPr>
            <w:tcW w:w="649" w:type="pct"/>
            <w:tcBorders>
              <w:top w:val="nil"/>
              <w:left w:val="nil"/>
              <w:bottom w:val="single" w:sz="4" w:space="0" w:color="000000"/>
              <w:right w:val="single" w:sz="4" w:space="0" w:color="000000"/>
            </w:tcBorders>
            <w:noWrap/>
            <w:vAlign w:val="center"/>
            <w:hideMark/>
          </w:tcPr>
          <w:p w14:paraId="616A899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7.35 </w:t>
            </w:r>
          </w:p>
        </w:tc>
        <w:tc>
          <w:tcPr>
            <w:tcW w:w="620" w:type="pct"/>
            <w:tcBorders>
              <w:top w:val="nil"/>
              <w:left w:val="nil"/>
              <w:bottom w:val="single" w:sz="4" w:space="0" w:color="000000"/>
              <w:right w:val="single" w:sz="4" w:space="0" w:color="000000"/>
            </w:tcBorders>
            <w:noWrap/>
            <w:vAlign w:val="center"/>
            <w:hideMark/>
          </w:tcPr>
          <w:p w14:paraId="4F2D1F5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5.44 </w:t>
            </w:r>
          </w:p>
        </w:tc>
      </w:tr>
      <w:tr w:rsidR="002F47B2" w:rsidRPr="002F47B2" w14:paraId="02C1327C"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515D48DD"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Formula: Profitability Index (PI) = Present Value of Cash Inflows / Initial Investment</w:t>
            </w:r>
          </w:p>
        </w:tc>
      </w:tr>
      <w:tr w:rsidR="002F47B2" w:rsidRPr="002F47B2" w14:paraId="3571BD37"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48BA7D9D"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£43.43 / £50</w:t>
            </w:r>
          </w:p>
        </w:tc>
      </w:tr>
      <w:tr w:rsidR="002F47B2" w:rsidRPr="002F47B2" w14:paraId="034CFE87"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6774B4E7"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0.87</w:t>
            </w:r>
          </w:p>
        </w:tc>
      </w:tr>
      <w:tr w:rsidR="002F47B2" w:rsidRPr="002F47B2" w14:paraId="3A4167E7" w14:textId="77777777" w:rsidTr="002F47B2">
        <w:trPr>
          <w:trHeight w:val="312"/>
        </w:trPr>
        <w:tc>
          <w:tcPr>
            <w:tcW w:w="1135" w:type="pct"/>
            <w:tcBorders>
              <w:top w:val="nil"/>
              <w:left w:val="nil"/>
              <w:bottom w:val="nil"/>
              <w:right w:val="nil"/>
            </w:tcBorders>
            <w:noWrap/>
            <w:vAlign w:val="center"/>
            <w:hideMark/>
          </w:tcPr>
          <w:p w14:paraId="3BCD3724"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p>
        </w:tc>
        <w:tc>
          <w:tcPr>
            <w:tcW w:w="649" w:type="pct"/>
            <w:tcBorders>
              <w:top w:val="nil"/>
              <w:left w:val="nil"/>
              <w:bottom w:val="nil"/>
              <w:right w:val="nil"/>
            </w:tcBorders>
            <w:noWrap/>
            <w:vAlign w:val="center"/>
            <w:hideMark/>
          </w:tcPr>
          <w:p w14:paraId="4AC93F77"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25948B7A"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4EB79997"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748C20A0"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3ECC941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20" w:type="pct"/>
            <w:tcBorders>
              <w:top w:val="nil"/>
              <w:left w:val="nil"/>
              <w:bottom w:val="nil"/>
              <w:right w:val="nil"/>
            </w:tcBorders>
            <w:noWrap/>
            <w:vAlign w:val="center"/>
            <w:hideMark/>
          </w:tcPr>
          <w:p w14:paraId="495AC4E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65D045A6" w14:textId="77777777" w:rsidTr="002F47B2">
        <w:trPr>
          <w:trHeight w:val="432"/>
        </w:trPr>
        <w:tc>
          <w:tcPr>
            <w:tcW w:w="5000" w:type="pct"/>
            <w:gridSpan w:val="7"/>
            <w:tcBorders>
              <w:top w:val="nil"/>
              <w:left w:val="nil"/>
              <w:bottom w:val="nil"/>
              <w:right w:val="nil"/>
            </w:tcBorders>
            <w:noWrap/>
            <w:vAlign w:val="center"/>
            <w:hideMark/>
          </w:tcPr>
          <w:p w14:paraId="7A3BDE68" w14:textId="77777777" w:rsidR="002F47B2" w:rsidRPr="002F47B2" w:rsidRDefault="002F47B2" w:rsidP="002F47B2">
            <w:pPr>
              <w:spacing w:line="240" w:lineRule="auto"/>
              <w:jc w:val="center"/>
              <w:rPr>
                <w:rFonts w:ascii="Agency FB" w:eastAsia="Times New Roman" w:hAnsi="Agency FB"/>
                <w:b/>
                <w:bCs/>
                <w:color w:val="000000"/>
                <w:sz w:val="32"/>
                <w:szCs w:val="32"/>
                <w:lang w:val="en-IN"/>
              </w:rPr>
            </w:pPr>
            <w:r w:rsidRPr="002F47B2">
              <w:rPr>
                <w:rFonts w:ascii="Agency FB" w:eastAsia="Times New Roman" w:hAnsi="Agency FB"/>
                <w:b/>
                <w:bCs/>
                <w:color w:val="000000"/>
                <w:sz w:val="32"/>
                <w:szCs w:val="32"/>
                <w:lang w:val="en-IN"/>
              </w:rPr>
              <w:t>Project B Profitability Index (PI)</w:t>
            </w:r>
          </w:p>
        </w:tc>
      </w:tr>
      <w:tr w:rsidR="002F47B2" w:rsidRPr="002F47B2" w14:paraId="327DEA34" w14:textId="77777777" w:rsidTr="002F47B2">
        <w:trPr>
          <w:trHeight w:val="312"/>
        </w:trPr>
        <w:tc>
          <w:tcPr>
            <w:tcW w:w="1135" w:type="pct"/>
            <w:tcBorders>
              <w:top w:val="single" w:sz="4" w:space="0" w:color="FFFFFF"/>
              <w:left w:val="single" w:sz="4" w:space="0" w:color="FFFFFF"/>
              <w:bottom w:val="nil"/>
              <w:right w:val="single" w:sz="4" w:space="0" w:color="FFFFFF"/>
            </w:tcBorders>
            <w:shd w:val="clear" w:color="274E13" w:fill="274E13"/>
            <w:vAlign w:val="center"/>
            <w:hideMark/>
          </w:tcPr>
          <w:p w14:paraId="020CD38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49" w:type="pct"/>
            <w:tcBorders>
              <w:top w:val="single" w:sz="4" w:space="0" w:color="FFFFFF"/>
              <w:left w:val="nil"/>
              <w:bottom w:val="nil"/>
              <w:right w:val="single" w:sz="4" w:space="0" w:color="FFFFFF"/>
            </w:tcBorders>
            <w:shd w:val="clear" w:color="274E13" w:fill="274E13"/>
            <w:vAlign w:val="center"/>
            <w:hideMark/>
          </w:tcPr>
          <w:p w14:paraId="411C0DA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49" w:type="pct"/>
            <w:tcBorders>
              <w:top w:val="single" w:sz="4" w:space="0" w:color="FFFFFF"/>
              <w:left w:val="nil"/>
              <w:bottom w:val="nil"/>
              <w:right w:val="single" w:sz="4" w:space="0" w:color="FFFFFF"/>
            </w:tcBorders>
            <w:shd w:val="clear" w:color="274E13" w:fill="274E13"/>
            <w:vAlign w:val="center"/>
            <w:hideMark/>
          </w:tcPr>
          <w:p w14:paraId="6C43B1AE"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49" w:type="pct"/>
            <w:tcBorders>
              <w:top w:val="single" w:sz="4" w:space="0" w:color="FFFFFF"/>
              <w:left w:val="nil"/>
              <w:bottom w:val="nil"/>
              <w:right w:val="single" w:sz="4" w:space="0" w:color="FFFFFF"/>
            </w:tcBorders>
            <w:shd w:val="clear" w:color="274E13" w:fill="274E13"/>
            <w:vAlign w:val="center"/>
            <w:hideMark/>
          </w:tcPr>
          <w:p w14:paraId="7C044908"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49" w:type="pct"/>
            <w:tcBorders>
              <w:top w:val="single" w:sz="4" w:space="0" w:color="FFFFFF"/>
              <w:left w:val="nil"/>
              <w:bottom w:val="nil"/>
              <w:right w:val="single" w:sz="4" w:space="0" w:color="FFFFFF"/>
            </w:tcBorders>
            <w:shd w:val="clear" w:color="274E13" w:fill="274E13"/>
            <w:vAlign w:val="center"/>
            <w:hideMark/>
          </w:tcPr>
          <w:p w14:paraId="4B72BC9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49" w:type="pct"/>
            <w:tcBorders>
              <w:top w:val="single" w:sz="4" w:space="0" w:color="FFFFFF"/>
              <w:left w:val="nil"/>
              <w:bottom w:val="nil"/>
              <w:right w:val="single" w:sz="4" w:space="0" w:color="FFFFFF"/>
            </w:tcBorders>
            <w:shd w:val="clear" w:color="274E13" w:fill="274E13"/>
            <w:vAlign w:val="center"/>
            <w:hideMark/>
          </w:tcPr>
          <w:p w14:paraId="0BBA542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620" w:type="pct"/>
            <w:tcBorders>
              <w:top w:val="single" w:sz="4" w:space="0" w:color="FFFFFF"/>
              <w:left w:val="nil"/>
              <w:bottom w:val="nil"/>
              <w:right w:val="single" w:sz="4" w:space="0" w:color="FFFFFF"/>
            </w:tcBorders>
            <w:shd w:val="clear" w:color="274E13" w:fill="274E13"/>
            <w:vAlign w:val="center"/>
            <w:hideMark/>
          </w:tcPr>
          <w:p w14:paraId="063B782C"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55D12B70" w14:textId="77777777" w:rsidTr="002F47B2">
        <w:trPr>
          <w:trHeight w:val="312"/>
        </w:trPr>
        <w:tc>
          <w:tcPr>
            <w:tcW w:w="1135" w:type="pct"/>
            <w:tcBorders>
              <w:top w:val="single" w:sz="4" w:space="0" w:color="000000"/>
              <w:left w:val="single" w:sz="4" w:space="0" w:color="000000"/>
              <w:bottom w:val="single" w:sz="4" w:space="0" w:color="000000"/>
              <w:right w:val="single" w:sz="4" w:space="0" w:color="000000"/>
            </w:tcBorders>
            <w:noWrap/>
            <w:vAlign w:val="center"/>
            <w:hideMark/>
          </w:tcPr>
          <w:p w14:paraId="238EABE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49" w:type="pct"/>
            <w:tcBorders>
              <w:top w:val="single" w:sz="4" w:space="0" w:color="000000"/>
              <w:left w:val="nil"/>
              <w:bottom w:val="single" w:sz="4" w:space="0" w:color="000000"/>
              <w:right w:val="single" w:sz="4" w:space="0" w:color="000000"/>
            </w:tcBorders>
            <w:noWrap/>
            <w:vAlign w:val="center"/>
            <w:hideMark/>
          </w:tcPr>
          <w:p w14:paraId="33657CA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single" w:sz="4" w:space="0" w:color="000000"/>
              <w:left w:val="nil"/>
              <w:bottom w:val="single" w:sz="4" w:space="0" w:color="000000"/>
              <w:right w:val="single" w:sz="4" w:space="0" w:color="000000"/>
            </w:tcBorders>
            <w:noWrap/>
            <w:vAlign w:val="center"/>
            <w:hideMark/>
          </w:tcPr>
          <w:p w14:paraId="576D0F2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0DEB333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1319B6D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5C87ACA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20" w:type="pct"/>
            <w:tcBorders>
              <w:top w:val="single" w:sz="4" w:space="0" w:color="000000"/>
              <w:left w:val="nil"/>
              <w:bottom w:val="single" w:sz="4" w:space="0" w:color="000000"/>
              <w:right w:val="single" w:sz="4" w:space="0" w:color="000000"/>
            </w:tcBorders>
            <w:noWrap/>
            <w:vAlign w:val="center"/>
            <w:hideMark/>
          </w:tcPr>
          <w:p w14:paraId="5BF80B2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444B6834"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547C581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49" w:type="pct"/>
            <w:tcBorders>
              <w:top w:val="nil"/>
              <w:left w:val="nil"/>
              <w:bottom w:val="single" w:sz="4" w:space="0" w:color="000000"/>
              <w:right w:val="single" w:sz="4" w:space="0" w:color="000000"/>
            </w:tcBorders>
            <w:noWrap/>
            <w:vAlign w:val="center"/>
            <w:hideMark/>
          </w:tcPr>
          <w:p w14:paraId="414BE2C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nil"/>
              <w:left w:val="nil"/>
              <w:bottom w:val="single" w:sz="4" w:space="0" w:color="000000"/>
              <w:right w:val="single" w:sz="4" w:space="0" w:color="000000"/>
            </w:tcBorders>
            <w:noWrap/>
            <w:vAlign w:val="center"/>
            <w:hideMark/>
          </w:tcPr>
          <w:p w14:paraId="17482BF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46CB484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7FA058F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45826DD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20" w:type="pct"/>
            <w:tcBorders>
              <w:top w:val="nil"/>
              <w:left w:val="nil"/>
              <w:bottom w:val="single" w:sz="4" w:space="0" w:color="000000"/>
              <w:right w:val="single" w:sz="4" w:space="0" w:color="000000"/>
            </w:tcBorders>
            <w:noWrap/>
            <w:vAlign w:val="center"/>
            <w:hideMark/>
          </w:tcPr>
          <w:p w14:paraId="37BC0CF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r>
      <w:tr w:rsidR="002F47B2" w:rsidRPr="002F47B2" w14:paraId="099ACCF9"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1BE97D5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49" w:type="pct"/>
            <w:tcBorders>
              <w:top w:val="nil"/>
              <w:left w:val="nil"/>
              <w:bottom w:val="single" w:sz="4" w:space="0" w:color="000000"/>
              <w:right w:val="single" w:sz="4" w:space="0" w:color="000000"/>
            </w:tcBorders>
            <w:noWrap/>
            <w:vAlign w:val="center"/>
            <w:hideMark/>
          </w:tcPr>
          <w:p w14:paraId="677B36E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7CF5CE6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7CFD004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1100147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49" w:type="pct"/>
            <w:tcBorders>
              <w:top w:val="nil"/>
              <w:left w:val="nil"/>
              <w:bottom w:val="single" w:sz="4" w:space="0" w:color="000000"/>
              <w:right w:val="single" w:sz="4" w:space="0" w:color="000000"/>
            </w:tcBorders>
            <w:noWrap/>
            <w:vAlign w:val="center"/>
            <w:hideMark/>
          </w:tcPr>
          <w:p w14:paraId="4B1CB72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620" w:type="pct"/>
            <w:tcBorders>
              <w:top w:val="nil"/>
              <w:left w:val="nil"/>
              <w:bottom w:val="single" w:sz="4" w:space="0" w:color="000000"/>
              <w:right w:val="single" w:sz="4" w:space="0" w:color="000000"/>
            </w:tcBorders>
            <w:noWrap/>
            <w:vAlign w:val="center"/>
            <w:hideMark/>
          </w:tcPr>
          <w:p w14:paraId="27ABEC7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r>
      <w:tr w:rsidR="002F47B2" w:rsidRPr="002F47B2" w14:paraId="1E82DADA"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12B63417"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49" w:type="pct"/>
            <w:tcBorders>
              <w:top w:val="nil"/>
              <w:left w:val="nil"/>
              <w:bottom w:val="single" w:sz="4" w:space="0" w:color="000000"/>
              <w:right w:val="single" w:sz="4" w:space="0" w:color="000000"/>
            </w:tcBorders>
            <w:noWrap/>
            <w:vAlign w:val="center"/>
            <w:hideMark/>
          </w:tcPr>
          <w:p w14:paraId="72F922B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49" w:type="pct"/>
            <w:tcBorders>
              <w:top w:val="nil"/>
              <w:left w:val="nil"/>
              <w:bottom w:val="single" w:sz="4" w:space="0" w:color="000000"/>
              <w:right w:val="single" w:sz="4" w:space="0" w:color="000000"/>
            </w:tcBorders>
            <w:noWrap/>
            <w:vAlign w:val="center"/>
            <w:hideMark/>
          </w:tcPr>
          <w:p w14:paraId="5AB557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49" w:type="pct"/>
            <w:tcBorders>
              <w:top w:val="nil"/>
              <w:left w:val="nil"/>
              <w:bottom w:val="single" w:sz="4" w:space="0" w:color="000000"/>
              <w:right w:val="single" w:sz="4" w:space="0" w:color="000000"/>
            </w:tcBorders>
            <w:noWrap/>
            <w:vAlign w:val="center"/>
            <w:hideMark/>
          </w:tcPr>
          <w:p w14:paraId="79DBD9F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49" w:type="pct"/>
            <w:tcBorders>
              <w:top w:val="nil"/>
              <w:left w:val="nil"/>
              <w:bottom w:val="single" w:sz="4" w:space="0" w:color="000000"/>
              <w:right w:val="single" w:sz="4" w:space="0" w:color="000000"/>
            </w:tcBorders>
            <w:noWrap/>
            <w:vAlign w:val="center"/>
            <w:hideMark/>
          </w:tcPr>
          <w:p w14:paraId="024597D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49" w:type="pct"/>
            <w:tcBorders>
              <w:top w:val="nil"/>
              <w:left w:val="nil"/>
              <w:bottom w:val="single" w:sz="4" w:space="0" w:color="000000"/>
              <w:right w:val="single" w:sz="4" w:space="0" w:color="000000"/>
            </w:tcBorders>
            <w:noWrap/>
            <w:vAlign w:val="center"/>
            <w:hideMark/>
          </w:tcPr>
          <w:p w14:paraId="42DE2B0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620" w:type="pct"/>
            <w:tcBorders>
              <w:top w:val="nil"/>
              <w:left w:val="nil"/>
              <w:bottom w:val="single" w:sz="4" w:space="0" w:color="000000"/>
              <w:right w:val="single" w:sz="4" w:space="0" w:color="000000"/>
            </w:tcBorders>
            <w:noWrap/>
            <w:vAlign w:val="center"/>
            <w:hideMark/>
          </w:tcPr>
          <w:p w14:paraId="6025A04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059CCFA8"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1D1297D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49" w:type="pct"/>
            <w:tcBorders>
              <w:top w:val="nil"/>
              <w:left w:val="nil"/>
              <w:bottom w:val="single" w:sz="4" w:space="0" w:color="000000"/>
              <w:right w:val="single" w:sz="4" w:space="0" w:color="000000"/>
            </w:tcBorders>
            <w:noWrap/>
            <w:vAlign w:val="center"/>
            <w:hideMark/>
          </w:tcPr>
          <w:p w14:paraId="6D58DBBD"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04F2D56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10.18 </w:t>
            </w:r>
          </w:p>
        </w:tc>
        <w:tc>
          <w:tcPr>
            <w:tcW w:w="649" w:type="pct"/>
            <w:tcBorders>
              <w:top w:val="nil"/>
              <w:left w:val="nil"/>
              <w:bottom w:val="single" w:sz="4" w:space="0" w:color="000000"/>
              <w:right w:val="single" w:sz="4" w:space="0" w:color="000000"/>
            </w:tcBorders>
            <w:noWrap/>
            <w:vAlign w:val="center"/>
            <w:hideMark/>
          </w:tcPr>
          <w:p w14:paraId="72F2827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9.43 </w:t>
            </w:r>
          </w:p>
        </w:tc>
        <w:tc>
          <w:tcPr>
            <w:tcW w:w="649" w:type="pct"/>
            <w:tcBorders>
              <w:top w:val="nil"/>
              <w:left w:val="nil"/>
              <w:bottom w:val="single" w:sz="4" w:space="0" w:color="000000"/>
              <w:right w:val="single" w:sz="4" w:space="0" w:color="000000"/>
            </w:tcBorders>
            <w:noWrap/>
            <w:vAlign w:val="center"/>
            <w:hideMark/>
          </w:tcPr>
          <w:p w14:paraId="5C85426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8.72 </w:t>
            </w:r>
          </w:p>
        </w:tc>
        <w:tc>
          <w:tcPr>
            <w:tcW w:w="649" w:type="pct"/>
            <w:tcBorders>
              <w:top w:val="nil"/>
              <w:left w:val="nil"/>
              <w:bottom w:val="single" w:sz="4" w:space="0" w:color="000000"/>
              <w:right w:val="single" w:sz="4" w:space="0" w:color="000000"/>
            </w:tcBorders>
            <w:noWrap/>
            <w:vAlign w:val="center"/>
            <w:hideMark/>
          </w:tcPr>
          <w:p w14:paraId="7F51B52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8.09 </w:t>
            </w:r>
          </w:p>
        </w:tc>
        <w:tc>
          <w:tcPr>
            <w:tcW w:w="620" w:type="pct"/>
            <w:tcBorders>
              <w:top w:val="nil"/>
              <w:left w:val="nil"/>
              <w:bottom w:val="single" w:sz="4" w:space="0" w:color="000000"/>
              <w:right w:val="single" w:sz="4" w:space="0" w:color="000000"/>
            </w:tcBorders>
            <w:noWrap/>
            <w:vAlign w:val="center"/>
            <w:hideMark/>
          </w:tcPr>
          <w:p w14:paraId="7C9F481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7.48 </w:t>
            </w:r>
          </w:p>
        </w:tc>
      </w:tr>
      <w:tr w:rsidR="002F47B2" w:rsidRPr="002F47B2" w14:paraId="348A3A1B"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6BD70FE8"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Formula: Profitability Index (PI) = Present Value of Cash Inflows / Initial Investment</w:t>
            </w:r>
          </w:p>
        </w:tc>
      </w:tr>
      <w:tr w:rsidR="002F47B2" w:rsidRPr="002F47B2" w14:paraId="067AE327"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5E3FD58"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£43.89 / £50</w:t>
            </w:r>
          </w:p>
        </w:tc>
      </w:tr>
      <w:tr w:rsidR="002F47B2" w:rsidRPr="002F47B2" w14:paraId="5D949140"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368FBE7"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0.88</w:t>
            </w:r>
          </w:p>
        </w:tc>
      </w:tr>
      <w:tr w:rsidR="002F47B2" w:rsidRPr="002F47B2" w14:paraId="5C87B474" w14:textId="77777777" w:rsidTr="002F47B2">
        <w:trPr>
          <w:trHeight w:val="264"/>
        </w:trPr>
        <w:tc>
          <w:tcPr>
            <w:tcW w:w="1135" w:type="pct"/>
            <w:tcBorders>
              <w:top w:val="nil"/>
              <w:left w:val="nil"/>
              <w:bottom w:val="nil"/>
              <w:right w:val="nil"/>
            </w:tcBorders>
            <w:noWrap/>
            <w:vAlign w:val="center"/>
            <w:hideMark/>
          </w:tcPr>
          <w:p w14:paraId="27953744"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p>
        </w:tc>
        <w:tc>
          <w:tcPr>
            <w:tcW w:w="649" w:type="pct"/>
            <w:tcBorders>
              <w:top w:val="nil"/>
              <w:left w:val="nil"/>
              <w:bottom w:val="nil"/>
              <w:right w:val="nil"/>
            </w:tcBorders>
            <w:noWrap/>
            <w:vAlign w:val="center"/>
            <w:hideMark/>
          </w:tcPr>
          <w:p w14:paraId="2275FE9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23B42333"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50B70E2E"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19A7CC76"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49" w:type="pct"/>
            <w:tcBorders>
              <w:top w:val="nil"/>
              <w:left w:val="nil"/>
              <w:bottom w:val="nil"/>
              <w:right w:val="nil"/>
            </w:tcBorders>
            <w:noWrap/>
            <w:vAlign w:val="center"/>
            <w:hideMark/>
          </w:tcPr>
          <w:p w14:paraId="555B84DC"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c>
          <w:tcPr>
            <w:tcW w:w="620" w:type="pct"/>
            <w:tcBorders>
              <w:top w:val="nil"/>
              <w:left w:val="nil"/>
              <w:bottom w:val="nil"/>
              <w:right w:val="nil"/>
            </w:tcBorders>
            <w:noWrap/>
            <w:vAlign w:val="center"/>
            <w:hideMark/>
          </w:tcPr>
          <w:p w14:paraId="3304DC64" w14:textId="77777777" w:rsidR="002F47B2" w:rsidRPr="002F47B2" w:rsidRDefault="002F47B2" w:rsidP="002F47B2">
            <w:pPr>
              <w:spacing w:line="240" w:lineRule="auto"/>
              <w:rPr>
                <w:rFonts w:ascii="Times New Roman" w:eastAsia="Times New Roman" w:hAnsi="Times New Roman" w:cs="Times New Roman"/>
                <w:sz w:val="20"/>
                <w:szCs w:val="20"/>
                <w:lang w:val="en-IN"/>
              </w:rPr>
            </w:pPr>
          </w:p>
        </w:tc>
      </w:tr>
      <w:tr w:rsidR="002F47B2" w:rsidRPr="002F47B2" w14:paraId="65114E5A" w14:textId="77777777" w:rsidTr="002F47B2">
        <w:trPr>
          <w:trHeight w:val="312"/>
        </w:trPr>
        <w:tc>
          <w:tcPr>
            <w:tcW w:w="1135" w:type="pct"/>
            <w:tcBorders>
              <w:top w:val="single" w:sz="4" w:space="0" w:color="FFFFFF"/>
              <w:left w:val="single" w:sz="4" w:space="0" w:color="FFFFFF"/>
              <w:bottom w:val="nil"/>
              <w:right w:val="single" w:sz="4" w:space="0" w:color="FFFFFF"/>
            </w:tcBorders>
            <w:shd w:val="clear" w:color="274E13" w:fill="274E13"/>
            <w:vAlign w:val="center"/>
            <w:hideMark/>
          </w:tcPr>
          <w:p w14:paraId="5D22B4F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Particular</w:t>
            </w:r>
          </w:p>
        </w:tc>
        <w:tc>
          <w:tcPr>
            <w:tcW w:w="649" w:type="pct"/>
            <w:tcBorders>
              <w:top w:val="single" w:sz="4" w:space="0" w:color="FFFFFF"/>
              <w:left w:val="nil"/>
              <w:bottom w:val="nil"/>
              <w:right w:val="single" w:sz="4" w:space="0" w:color="FFFFFF"/>
            </w:tcBorders>
            <w:shd w:val="clear" w:color="274E13" w:fill="274E13"/>
            <w:vAlign w:val="center"/>
            <w:hideMark/>
          </w:tcPr>
          <w:p w14:paraId="17850DA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649" w:type="pct"/>
            <w:tcBorders>
              <w:top w:val="single" w:sz="4" w:space="0" w:color="FFFFFF"/>
              <w:left w:val="nil"/>
              <w:bottom w:val="nil"/>
              <w:right w:val="single" w:sz="4" w:space="0" w:color="FFFFFF"/>
            </w:tcBorders>
            <w:shd w:val="clear" w:color="274E13" w:fill="274E13"/>
            <w:vAlign w:val="center"/>
            <w:hideMark/>
          </w:tcPr>
          <w:p w14:paraId="66694955"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649" w:type="pct"/>
            <w:tcBorders>
              <w:top w:val="single" w:sz="4" w:space="0" w:color="FFFFFF"/>
              <w:left w:val="nil"/>
              <w:bottom w:val="nil"/>
              <w:right w:val="single" w:sz="4" w:space="0" w:color="FFFFFF"/>
            </w:tcBorders>
            <w:shd w:val="clear" w:color="274E13" w:fill="274E13"/>
            <w:vAlign w:val="center"/>
            <w:hideMark/>
          </w:tcPr>
          <w:p w14:paraId="702F2C4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649" w:type="pct"/>
            <w:tcBorders>
              <w:top w:val="single" w:sz="4" w:space="0" w:color="FFFFFF"/>
              <w:left w:val="nil"/>
              <w:bottom w:val="nil"/>
              <w:right w:val="single" w:sz="4" w:space="0" w:color="FFFFFF"/>
            </w:tcBorders>
            <w:shd w:val="clear" w:color="274E13" w:fill="274E13"/>
            <w:vAlign w:val="center"/>
            <w:hideMark/>
          </w:tcPr>
          <w:p w14:paraId="5CC276EF"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649" w:type="pct"/>
            <w:tcBorders>
              <w:top w:val="single" w:sz="4" w:space="0" w:color="FFFFFF"/>
              <w:left w:val="nil"/>
              <w:bottom w:val="nil"/>
              <w:right w:val="single" w:sz="4" w:space="0" w:color="FFFFFF"/>
            </w:tcBorders>
            <w:shd w:val="clear" w:color="274E13" w:fill="274E13"/>
            <w:vAlign w:val="center"/>
            <w:hideMark/>
          </w:tcPr>
          <w:p w14:paraId="2B59924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620" w:type="pct"/>
            <w:tcBorders>
              <w:top w:val="single" w:sz="4" w:space="0" w:color="FFFFFF"/>
              <w:left w:val="nil"/>
              <w:bottom w:val="nil"/>
              <w:right w:val="single" w:sz="4" w:space="0" w:color="FFFFFF"/>
            </w:tcBorders>
            <w:shd w:val="clear" w:color="274E13" w:fill="274E13"/>
            <w:vAlign w:val="center"/>
            <w:hideMark/>
          </w:tcPr>
          <w:p w14:paraId="264CA2E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r>
      <w:tr w:rsidR="002F47B2" w:rsidRPr="002F47B2" w14:paraId="1A81A25C" w14:textId="77777777" w:rsidTr="002F47B2">
        <w:trPr>
          <w:trHeight w:val="312"/>
        </w:trPr>
        <w:tc>
          <w:tcPr>
            <w:tcW w:w="1135" w:type="pct"/>
            <w:tcBorders>
              <w:top w:val="single" w:sz="4" w:space="0" w:color="000000"/>
              <w:left w:val="single" w:sz="4" w:space="0" w:color="000000"/>
              <w:bottom w:val="single" w:sz="4" w:space="0" w:color="000000"/>
              <w:right w:val="single" w:sz="4" w:space="0" w:color="000000"/>
            </w:tcBorders>
            <w:noWrap/>
            <w:vAlign w:val="center"/>
            <w:hideMark/>
          </w:tcPr>
          <w:p w14:paraId="63F7D0D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Initial Investment</w:t>
            </w:r>
          </w:p>
        </w:tc>
        <w:tc>
          <w:tcPr>
            <w:tcW w:w="649" w:type="pct"/>
            <w:tcBorders>
              <w:top w:val="single" w:sz="4" w:space="0" w:color="000000"/>
              <w:left w:val="nil"/>
              <w:bottom w:val="single" w:sz="4" w:space="0" w:color="000000"/>
              <w:right w:val="single" w:sz="4" w:space="0" w:color="000000"/>
            </w:tcBorders>
            <w:noWrap/>
            <w:vAlign w:val="center"/>
            <w:hideMark/>
          </w:tcPr>
          <w:p w14:paraId="3514F6B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single" w:sz="4" w:space="0" w:color="000000"/>
              <w:left w:val="nil"/>
              <w:bottom w:val="single" w:sz="4" w:space="0" w:color="000000"/>
              <w:right w:val="single" w:sz="4" w:space="0" w:color="000000"/>
            </w:tcBorders>
            <w:noWrap/>
            <w:vAlign w:val="center"/>
            <w:hideMark/>
          </w:tcPr>
          <w:p w14:paraId="0049C66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294D949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204B4F8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single" w:sz="4" w:space="0" w:color="000000"/>
              <w:left w:val="nil"/>
              <w:bottom w:val="single" w:sz="4" w:space="0" w:color="000000"/>
              <w:right w:val="single" w:sz="4" w:space="0" w:color="000000"/>
            </w:tcBorders>
            <w:noWrap/>
            <w:vAlign w:val="center"/>
            <w:hideMark/>
          </w:tcPr>
          <w:p w14:paraId="04361BDA"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20" w:type="pct"/>
            <w:tcBorders>
              <w:top w:val="single" w:sz="4" w:space="0" w:color="000000"/>
              <w:left w:val="nil"/>
              <w:bottom w:val="single" w:sz="4" w:space="0" w:color="000000"/>
              <w:right w:val="single" w:sz="4" w:space="0" w:color="000000"/>
            </w:tcBorders>
            <w:noWrap/>
            <w:vAlign w:val="center"/>
            <w:hideMark/>
          </w:tcPr>
          <w:p w14:paraId="2AD723B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r>
      <w:tr w:rsidR="002F47B2" w:rsidRPr="002F47B2" w14:paraId="06E6C957"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7A3E6176"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Cash Flows</w:t>
            </w:r>
          </w:p>
        </w:tc>
        <w:tc>
          <w:tcPr>
            <w:tcW w:w="649" w:type="pct"/>
            <w:tcBorders>
              <w:top w:val="nil"/>
              <w:left w:val="nil"/>
              <w:bottom w:val="single" w:sz="4" w:space="0" w:color="000000"/>
              <w:right w:val="single" w:sz="4" w:space="0" w:color="000000"/>
            </w:tcBorders>
            <w:noWrap/>
            <w:vAlign w:val="center"/>
            <w:hideMark/>
          </w:tcPr>
          <w:p w14:paraId="462DD4F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   </w:t>
            </w:r>
          </w:p>
        </w:tc>
        <w:tc>
          <w:tcPr>
            <w:tcW w:w="649" w:type="pct"/>
            <w:tcBorders>
              <w:top w:val="nil"/>
              <w:left w:val="nil"/>
              <w:bottom w:val="single" w:sz="4" w:space="0" w:color="000000"/>
              <w:right w:val="single" w:sz="4" w:space="0" w:color="000000"/>
            </w:tcBorders>
            <w:noWrap/>
            <w:vAlign w:val="center"/>
            <w:hideMark/>
          </w:tcPr>
          <w:p w14:paraId="6750E81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649" w:type="pct"/>
            <w:tcBorders>
              <w:top w:val="nil"/>
              <w:left w:val="nil"/>
              <w:bottom w:val="single" w:sz="4" w:space="0" w:color="000000"/>
              <w:right w:val="single" w:sz="4" w:space="0" w:color="000000"/>
            </w:tcBorders>
            <w:noWrap/>
            <w:vAlign w:val="center"/>
            <w:hideMark/>
          </w:tcPr>
          <w:p w14:paraId="25E5AA8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49" w:type="pct"/>
            <w:tcBorders>
              <w:top w:val="nil"/>
              <w:left w:val="nil"/>
              <w:bottom w:val="single" w:sz="4" w:space="0" w:color="000000"/>
              <w:right w:val="single" w:sz="4" w:space="0" w:color="000000"/>
            </w:tcBorders>
            <w:noWrap/>
            <w:vAlign w:val="center"/>
            <w:hideMark/>
          </w:tcPr>
          <w:p w14:paraId="76CCD36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649" w:type="pct"/>
            <w:tcBorders>
              <w:top w:val="nil"/>
              <w:left w:val="nil"/>
              <w:bottom w:val="single" w:sz="4" w:space="0" w:color="000000"/>
              <w:right w:val="single" w:sz="4" w:space="0" w:color="000000"/>
            </w:tcBorders>
            <w:noWrap/>
            <w:vAlign w:val="center"/>
            <w:hideMark/>
          </w:tcPr>
          <w:p w14:paraId="2AD679F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620" w:type="pct"/>
            <w:tcBorders>
              <w:top w:val="nil"/>
              <w:left w:val="nil"/>
              <w:bottom w:val="single" w:sz="4" w:space="0" w:color="000000"/>
              <w:right w:val="single" w:sz="4" w:space="0" w:color="000000"/>
            </w:tcBorders>
            <w:noWrap/>
            <w:vAlign w:val="center"/>
            <w:hideMark/>
          </w:tcPr>
          <w:p w14:paraId="011111DC"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29157556"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5EC6CCB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Cumulative Cash Flows</w:t>
            </w:r>
          </w:p>
        </w:tc>
        <w:tc>
          <w:tcPr>
            <w:tcW w:w="649" w:type="pct"/>
            <w:tcBorders>
              <w:top w:val="nil"/>
              <w:left w:val="nil"/>
              <w:bottom w:val="single" w:sz="4" w:space="0" w:color="000000"/>
              <w:right w:val="single" w:sz="4" w:space="0" w:color="000000"/>
            </w:tcBorders>
            <w:noWrap/>
            <w:vAlign w:val="center"/>
            <w:hideMark/>
          </w:tcPr>
          <w:p w14:paraId="0BA8AA71"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609F68F2"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649" w:type="pct"/>
            <w:tcBorders>
              <w:top w:val="nil"/>
              <w:left w:val="nil"/>
              <w:bottom w:val="single" w:sz="4" w:space="0" w:color="000000"/>
              <w:right w:val="single" w:sz="4" w:space="0" w:color="000000"/>
            </w:tcBorders>
            <w:noWrap/>
            <w:vAlign w:val="center"/>
            <w:hideMark/>
          </w:tcPr>
          <w:p w14:paraId="5E89F915"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649" w:type="pct"/>
            <w:tcBorders>
              <w:top w:val="nil"/>
              <w:left w:val="nil"/>
              <w:bottom w:val="single" w:sz="4" w:space="0" w:color="000000"/>
              <w:right w:val="single" w:sz="4" w:space="0" w:color="000000"/>
            </w:tcBorders>
            <w:noWrap/>
            <w:vAlign w:val="center"/>
            <w:hideMark/>
          </w:tcPr>
          <w:p w14:paraId="6E258D6B"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649" w:type="pct"/>
            <w:tcBorders>
              <w:top w:val="nil"/>
              <w:left w:val="nil"/>
              <w:bottom w:val="single" w:sz="4" w:space="0" w:color="000000"/>
              <w:right w:val="single" w:sz="4" w:space="0" w:color="000000"/>
            </w:tcBorders>
            <w:noWrap/>
            <w:vAlign w:val="center"/>
            <w:hideMark/>
          </w:tcPr>
          <w:p w14:paraId="31AF263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620" w:type="pct"/>
            <w:tcBorders>
              <w:top w:val="nil"/>
              <w:left w:val="nil"/>
              <w:bottom w:val="single" w:sz="4" w:space="0" w:color="000000"/>
              <w:right w:val="single" w:sz="4" w:space="0" w:color="000000"/>
            </w:tcBorders>
            <w:noWrap/>
            <w:vAlign w:val="center"/>
            <w:hideMark/>
          </w:tcPr>
          <w:p w14:paraId="275954C3"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16C3E3D3"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37433C6F"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Discount Factor</w:t>
            </w:r>
          </w:p>
        </w:tc>
        <w:tc>
          <w:tcPr>
            <w:tcW w:w="649" w:type="pct"/>
            <w:tcBorders>
              <w:top w:val="nil"/>
              <w:left w:val="nil"/>
              <w:bottom w:val="single" w:sz="4" w:space="0" w:color="000000"/>
              <w:right w:val="single" w:sz="4" w:space="0" w:color="000000"/>
            </w:tcBorders>
            <w:noWrap/>
            <w:vAlign w:val="center"/>
            <w:hideMark/>
          </w:tcPr>
          <w:p w14:paraId="2972402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w:t>
            </w:r>
          </w:p>
        </w:tc>
        <w:tc>
          <w:tcPr>
            <w:tcW w:w="649" w:type="pct"/>
            <w:tcBorders>
              <w:top w:val="nil"/>
              <w:left w:val="nil"/>
              <w:bottom w:val="single" w:sz="4" w:space="0" w:color="000000"/>
              <w:right w:val="single" w:sz="4" w:space="0" w:color="000000"/>
            </w:tcBorders>
            <w:noWrap/>
            <w:vAlign w:val="center"/>
            <w:hideMark/>
          </w:tcPr>
          <w:p w14:paraId="1F13B2C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649" w:type="pct"/>
            <w:tcBorders>
              <w:top w:val="nil"/>
              <w:left w:val="nil"/>
              <w:bottom w:val="single" w:sz="4" w:space="0" w:color="000000"/>
              <w:right w:val="single" w:sz="4" w:space="0" w:color="000000"/>
            </w:tcBorders>
            <w:noWrap/>
            <w:vAlign w:val="center"/>
            <w:hideMark/>
          </w:tcPr>
          <w:p w14:paraId="51BDF58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649" w:type="pct"/>
            <w:tcBorders>
              <w:top w:val="nil"/>
              <w:left w:val="nil"/>
              <w:bottom w:val="single" w:sz="4" w:space="0" w:color="000000"/>
              <w:right w:val="single" w:sz="4" w:space="0" w:color="000000"/>
            </w:tcBorders>
            <w:noWrap/>
            <w:vAlign w:val="center"/>
            <w:hideMark/>
          </w:tcPr>
          <w:p w14:paraId="7F81EEB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649" w:type="pct"/>
            <w:tcBorders>
              <w:top w:val="nil"/>
              <w:left w:val="nil"/>
              <w:bottom w:val="single" w:sz="4" w:space="0" w:color="000000"/>
              <w:right w:val="single" w:sz="4" w:space="0" w:color="000000"/>
            </w:tcBorders>
            <w:noWrap/>
            <w:vAlign w:val="center"/>
            <w:hideMark/>
          </w:tcPr>
          <w:p w14:paraId="36B01A8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620" w:type="pct"/>
            <w:tcBorders>
              <w:top w:val="nil"/>
              <w:left w:val="nil"/>
              <w:bottom w:val="single" w:sz="4" w:space="0" w:color="000000"/>
              <w:right w:val="single" w:sz="4" w:space="0" w:color="000000"/>
            </w:tcBorders>
            <w:noWrap/>
            <w:vAlign w:val="center"/>
            <w:hideMark/>
          </w:tcPr>
          <w:p w14:paraId="1CF5A4E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r>
      <w:tr w:rsidR="002F47B2" w:rsidRPr="002F47B2" w14:paraId="04496732" w14:textId="77777777" w:rsidTr="002F47B2">
        <w:trPr>
          <w:trHeight w:val="312"/>
        </w:trPr>
        <w:tc>
          <w:tcPr>
            <w:tcW w:w="1135" w:type="pct"/>
            <w:tcBorders>
              <w:top w:val="nil"/>
              <w:left w:val="single" w:sz="4" w:space="0" w:color="000000"/>
              <w:bottom w:val="single" w:sz="4" w:space="0" w:color="000000"/>
              <w:right w:val="single" w:sz="4" w:space="0" w:color="000000"/>
            </w:tcBorders>
            <w:noWrap/>
            <w:vAlign w:val="center"/>
            <w:hideMark/>
          </w:tcPr>
          <w:p w14:paraId="7407C814"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 (PV)</w:t>
            </w:r>
          </w:p>
        </w:tc>
        <w:tc>
          <w:tcPr>
            <w:tcW w:w="649" w:type="pct"/>
            <w:tcBorders>
              <w:top w:val="nil"/>
              <w:left w:val="nil"/>
              <w:bottom w:val="single" w:sz="4" w:space="0" w:color="000000"/>
              <w:right w:val="single" w:sz="4" w:space="0" w:color="000000"/>
            </w:tcBorders>
            <w:noWrap/>
            <w:vAlign w:val="center"/>
            <w:hideMark/>
          </w:tcPr>
          <w:p w14:paraId="69938A7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649" w:type="pct"/>
            <w:tcBorders>
              <w:top w:val="nil"/>
              <w:left w:val="nil"/>
              <w:bottom w:val="single" w:sz="4" w:space="0" w:color="000000"/>
              <w:right w:val="single" w:sz="4" w:space="0" w:color="000000"/>
            </w:tcBorders>
            <w:noWrap/>
            <w:vAlign w:val="center"/>
            <w:hideMark/>
          </w:tcPr>
          <w:p w14:paraId="5C340A50"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4.63 </w:t>
            </w:r>
          </w:p>
        </w:tc>
        <w:tc>
          <w:tcPr>
            <w:tcW w:w="649" w:type="pct"/>
            <w:tcBorders>
              <w:top w:val="nil"/>
              <w:left w:val="nil"/>
              <w:bottom w:val="single" w:sz="4" w:space="0" w:color="000000"/>
              <w:right w:val="single" w:sz="4" w:space="0" w:color="000000"/>
            </w:tcBorders>
            <w:noWrap/>
            <w:vAlign w:val="center"/>
            <w:hideMark/>
          </w:tcPr>
          <w:p w14:paraId="537C8E68"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8.57 </w:t>
            </w:r>
          </w:p>
        </w:tc>
        <w:tc>
          <w:tcPr>
            <w:tcW w:w="649" w:type="pct"/>
            <w:tcBorders>
              <w:top w:val="nil"/>
              <w:left w:val="nil"/>
              <w:bottom w:val="single" w:sz="4" w:space="0" w:color="000000"/>
              <w:right w:val="single" w:sz="4" w:space="0" w:color="000000"/>
            </w:tcBorders>
            <w:noWrap/>
            <w:vAlign w:val="center"/>
            <w:hideMark/>
          </w:tcPr>
          <w:p w14:paraId="6C700279"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15.86 </w:t>
            </w:r>
          </w:p>
        </w:tc>
        <w:tc>
          <w:tcPr>
            <w:tcW w:w="649" w:type="pct"/>
            <w:tcBorders>
              <w:top w:val="nil"/>
              <w:left w:val="nil"/>
              <w:bottom w:val="single" w:sz="4" w:space="0" w:color="000000"/>
              <w:right w:val="single" w:sz="4" w:space="0" w:color="000000"/>
            </w:tcBorders>
            <w:noWrap/>
            <w:vAlign w:val="center"/>
            <w:hideMark/>
          </w:tcPr>
          <w:p w14:paraId="201BBBD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18.38 </w:t>
            </w:r>
          </w:p>
        </w:tc>
        <w:tc>
          <w:tcPr>
            <w:tcW w:w="620" w:type="pct"/>
            <w:tcBorders>
              <w:top w:val="nil"/>
              <w:left w:val="nil"/>
              <w:bottom w:val="single" w:sz="4" w:space="0" w:color="000000"/>
              <w:right w:val="single" w:sz="4" w:space="0" w:color="000000"/>
            </w:tcBorders>
            <w:noWrap/>
            <w:vAlign w:val="center"/>
            <w:hideMark/>
          </w:tcPr>
          <w:p w14:paraId="6302FA4E" w14:textId="77777777" w:rsidR="002F47B2" w:rsidRPr="002F47B2" w:rsidRDefault="002F47B2" w:rsidP="002F47B2">
            <w:pPr>
              <w:spacing w:line="240" w:lineRule="auto"/>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3.40 </w:t>
            </w:r>
          </w:p>
        </w:tc>
      </w:tr>
      <w:tr w:rsidR="002F47B2" w:rsidRPr="002F47B2" w14:paraId="557CF322"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0F088903"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Formula: Profitability Index (PI) = Present Value of Cash Inflows / Initial Investment</w:t>
            </w:r>
          </w:p>
        </w:tc>
      </w:tr>
      <w:tr w:rsidR="002F47B2" w:rsidRPr="002F47B2" w14:paraId="46CA55AE"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5883E49"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£50.83 / £50</w:t>
            </w:r>
          </w:p>
        </w:tc>
      </w:tr>
      <w:tr w:rsidR="002F47B2" w:rsidRPr="002F47B2" w14:paraId="1E2CEF59" w14:textId="77777777" w:rsidTr="002F47B2">
        <w:trPr>
          <w:trHeight w:val="324"/>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5B45C1E9" w14:textId="77777777" w:rsidR="002F47B2" w:rsidRPr="002F47B2" w:rsidRDefault="002F47B2" w:rsidP="002F47B2">
            <w:pPr>
              <w:spacing w:line="240" w:lineRule="auto"/>
              <w:jc w:val="center"/>
              <w:rPr>
                <w:rFonts w:ascii="Times New Roman" w:eastAsia="Times New Roman" w:hAnsi="Times New Roman" w:cs="Times New Roman"/>
                <w:b/>
                <w:bCs/>
                <w:i/>
                <w:iCs/>
                <w:color w:val="274E13"/>
                <w:sz w:val="24"/>
                <w:szCs w:val="24"/>
                <w:lang w:val="en-IN"/>
              </w:rPr>
            </w:pPr>
            <w:r w:rsidRPr="002F47B2">
              <w:rPr>
                <w:rFonts w:ascii="Times New Roman" w:eastAsia="Times New Roman" w:hAnsi="Times New Roman" w:cs="Times New Roman"/>
                <w:b/>
                <w:bCs/>
                <w:i/>
                <w:iCs/>
                <w:color w:val="274E13"/>
                <w:sz w:val="24"/>
                <w:szCs w:val="24"/>
                <w:lang w:val="en-IN"/>
              </w:rPr>
              <w:t>PI = 1.02</w:t>
            </w:r>
          </w:p>
        </w:tc>
      </w:tr>
    </w:tbl>
    <w:p w14:paraId="1C600AB2" w14:textId="3630727F" w:rsidR="002F47B2" w:rsidRDefault="002F47B2">
      <w:pPr>
        <w:spacing w:after="240" w:line="360" w:lineRule="auto"/>
        <w:jc w:val="both"/>
        <w:rPr>
          <w:sz w:val="24"/>
          <w:szCs w:val="24"/>
        </w:rPr>
      </w:pPr>
    </w:p>
    <w:p w14:paraId="7BA54588" w14:textId="77777777" w:rsidR="002F47B2" w:rsidRDefault="002F47B2">
      <w:pPr>
        <w:rPr>
          <w:sz w:val="24"/>
          <w:szCs w:val="24"/>
        </w:rPr>
      </w:pPr>
      <w:r>
        <w:rPr>
          <w:sz w:val="24"/>
          <w:szCs w:val="24"/>
        </w:rPr>
        <w:lastRenderedPageBreak/>
        <w:br w:type="page"/>
      </w:r>
    </w:p>
    <w:tbl>
      <w:tblPr>
        <w:tblW w:w="5000" w:type="pct"/>
        <w:tblLook w:val="04A0" w:firstRow="1" w:lastRow="0" w:firstColumn="1" w:lastColumn="0" w:noHBand="0" w:noVBand="1"/>
      </w:tblPr>
      <w:tblGrid>
        <w:gridCol w:w="1955"/>
        <w:gridCol w:w="1060"/>
        <w:gridCol w:w="1033"/>
        <w:gridCol w:w="1034"/>
        <w:gridCol w:w="1034"/>
        <w:gridCol w:w="1034"/>
        <w:gridCol w:w="1034"/>
        <w:gridCol w:w="1061"/>
      </w:tblGrid>
      <w:tr w:rsidR="002F47B2" w:rsidRPr="002F47B2" w14:paraId="2896C9C1" w14:textId="77777777" w:rsidTr="002F47B2">
        <w:trPr>
          <w:trHeight w:val="315"/>
        </w:trPr>
        <w:tc>
          <w:tcPr>
            <w:tcW w:w="5000" w:type="pct"/>
            <w:gridSpan w:val="8"/>
            <w:tcBorders>
              <w:top w:val="single" w:sz="4" w:space="0" w:color="000000"/>
              <w:left w:val="single" w:sz="4" w:space="0" w:color="000000"/>
              <w:bottom w:val="nil"/>
              <w:right w:val="single" w:sz="4" w:space="0" w:color="000000"/>
            </w:tcBorders>
            <w:noWrap/>
            <w:vAlign w:val="center"/>
            <w:hideMark/>
          </w:tcPr>
          <w:p w14:paraId="58C2146F" w14:textId="77777777" w:rsidR="002F47B2" w:rsidRPr="002F47B2" w:rsidRDefault="002F47B2" w:rsidP="002F47B2">
            <w:pPr>
              <w:spacing w:line="240" w:lineRule="auto"/>
              <w:jc w:val="center"/>
              <w:rPr>
                <w:rFonts w:ascii="Agency FB" w:eastAsia="Times New Roman" w:hAnsi="Agency FB"/>
                <w:b/>
                <w:bCs/>
                <w:color w:val="000000"/>
                <w:sz w:val="28"/>
                <w:szCs w:val="28"/>
                <w:lang w:val="en-IN"/>
              </w:rPr>
            </w:pPr>
            <w:r w:rsidRPr="002F47B2">
              <w:rPr>
                <w:rFonts w:ascii="Agency FB" w:eastAsia="Times New Roman" w:hAnsi="Agency FB"/>
                <w:b/>
                <w:bCs/>
                <w:color w:val="000000"/>
                <w:sz w:val="28"/>
                <w:szCs w:val="28"/>
                <w:lang w:val="en-IN"/>
              </w:rPr>
              <w:lastRenderedPageBreak/>
              <w:t>Internal Rate of Return (Project A)</w:t>
            </w:r>
          </w:p>
        </w:tc>
      </w:tr>
      <w:tr w:rsidR="002F47B2" w:rsidRPr="002F47B2" w14:paraId="2B07560A" w14:textId="77777777" w:rsidTr="002F47B2">
        <w:trPr>
          <w:trHeight w:val="312"/>
        </w:trPr>
        <w:tc>
          <w:tcPr>
            <w:tcW w:w="1146" w:type="pct"/>
            <w:tcBorders>
              <w:top w:val="single" w:sz="4" w:space="0" w:color="FFFFFF"/>
              <w:left w:val="single" w:sz="4" w:space="0" w:color="FFFFFF"/>
              <w:bottom w:val="single" w:sz="4" w:space="0" w:color="FFFFFF"/>
              <w:right w:val="single" w:sz="4" w:space="0" w:color="FFFFFF"/>
            </w:tcBorders>
            <w:shd w:val="clear" w:color="274E13" w:fill="274E13"/>
            <w:noWrap/>
            <w:vAlign w:val="center"/>
            <w:hideMark/>
          </w:tcPr>
          <w:p w14:paraId="3BC6CC6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Element</w:t>
            </w:r>
          </w:p>
        </w:tc>
        <w:tc>
          <w:tcPr>
            <w:tcW w:w="563" w:type="pct"/>
            <w:tcBorders>
              <w:top w:val="single" w:sz="4" w:space="0" w:color="FFFFFF"/>
              <w:left w:val="nil"/>
              <w:bottom w:val="single" w:sz="4" w:space="0" w:color="FFFFFF"/>
              <w:right w:val="single" w:sz="4" w:space="0" w:color="FFFFFF"/>
            </w:tcBorders>
            <w:shd w:val="clear" w:color="274E13" w:fill="274E13"/>
            <w:noWrap/>
            <w:vAlign w:val="center"/>
            <w:hideMark/>
          </w:tcPr>
          <w:p w14:paraId="549B61D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6805E65F"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4563C638"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1FB827E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76E0001D"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0A715D03"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c>
          <w:tcPr>
            <w:tcW w:w="563" w:type="pct"/>
            <w:tcBorders>
              <w:top w:val="single" w:sz="4" w:space="0" w:color="FFFFFF"/>
              <w:left w:val="nil"/>
              <w:bottom w:val="single" w:sz="4" w:space="0" w:color="FFFFFF"/>
              <w:right w:val="single" w:sz="4" w:space="0" w:color="FFFFFF"/>
            </w:tcBorders>
            <w:shd w:val="clear" w:color="274E13" w:fill="274E13"/>
            <w:noWrap/>
            <w:vAlign w:val="center"/>
            <w:hideMark/>
          </w:tcPr>
          <w:p w14:paraId="3A09F4F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Total</w:t>
            </w:r>
          </w:p>
        </w:tc>
      </w:tr>
      <w:tr w:rsidR="002F47B2" w:rsidRPr="002F47B2" w14:paraId="04A638C2"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37C7AD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6981C00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546" w:type="pct"/>
            <w:tcBorders>
              <w:top w:val="nil"/>
              <w:left w:val="nil"/>
              <w:bottom w:val="single" w:sz="4" w:space="0" w:color="000000"/>
              <w:right w:val="single" w:sz="4" w:space="0" w:color="000000"/>
            </w:tcBorders>
            <w:noWrap/>
            <w:vAlign w:val="center"/>
            <w:hideMark/>
          </w:tcPr>
          <w:p w14:paraId="31B0CDA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546" w:type="pct"/>
            <w:tcBorders>
              <w:top w:val="nil"/>
              <w:left w:val="nil"/>
              <w:bottom w:val="single" w:sz="4" w:space="0" w:color="000000"/>
              <w:right w:val="single" w:sz="4" w:space="0" w:color="000000"/>
            </w:tcBorders>
            <w:noWrap/>
            <w:vAlign w:val="center"/>
            <w:hideMark/>
          </w:tcPr>
          <w:p w14:paraId="66CE0B8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12.00 </w:t>
            </w:r>
          </w:p>
        </w:tc>
        <w:tc>
          <w:tcPr>
            <w:tcW w:w="546" w:type="pct"/>
            <w:tcBorders>
              <w:top w:val="nil"/>
              <w:left w:val="nil"/>
              <w:bottom w:val="single" w:sz="4" w:space="0" w:color="000000"/>
              <w:right w:val="single" w:sz="4" w:space="0" w:color="000000"/>
            </w:tcBorders>
            <w:noWrap/>
            <w:vAlign w:val="center"/>
            <w:hideMark/>
          </w:tcPr>
          <w:p w14:paraId="099C488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14.00 </w:t>
            </w:r>
          </w:p>
        </w:tc>
        <w:tc>
          <w:tcPr>
            <w:tcW w:w="546" w:type="pct"/>
            <w:tcBorders>
              <w:top w:val="nil"/>
              <w:left w:val="nil"/>
              <w:bottom w:val="single" w:sz="4" w:space="0" w:color="000000"/>
              <w:right w:val="single" w:sz="4" w:space="0" w:color="000000"/>
            </w:tcBorders>
            <w:noWrap/>
            <w:vAlign w:val="center"/>
            <w:hideMark/>
          </w:tcPr>
          <w:p w14:paraId="4B9735C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546" w:type="pct"/>
            <w:tcBorders>
              <w:top w:val="nil"/>
              <w:left w:val="nil"/>
              <w:bottom w:val="single" w:sz="4" w:space="0" w:color="000000"/>
              <w:right w:val="single" w:sz="4" w:space="0" w:color="000000"/>
            </w:tcBorders>
            <w:noWrap/>
            <w:vAlign w:val="center"/>
            <w:hideMark/>
          </w:tcPr>
          <w:p w14:paraId="02F6681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8.00 </w:t>
            </w:r>
          </w:p>
        </w:tc>
        <w:tc>
          <w:tcPr>
            <w:tcW w:w="563" w:type="pct"/>
            <w:tcBorders>
              <w:top w:val="nil"/>
              <w:left w:val="nil"/>
              <w:bottom w:val="single" w:sz="4" w:space="0" w:color="000000"/>
              <w:right w:val="single" w:sz="4" w:space="0" w:color="000000"/>
            </w:tcBorders>
            <w:noWrap/>
            <w:vAlign w:val="center"/>
            <w:hideMark/>
          </w:tcPr>
          <w:p w14:paraId="4202E8B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4.00 </w:t>
            </w:r>
          </w:p>
        </w:tc>
      </w:tr>
      <w:tr w:rsidR="002F47B2" w:rsidRPr="002F47B2" w14:paraId="2F53C03E"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77DC1C27"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1%</w:t>
            </w:r>
          </w:p>
        </w:tc>
        <w:tc>
          <w:tcPr>
            <w:tcW w:w="563" w:type="pct"/>
            <w:tcBorders>
              <w:top w:val="nil"/>
              <w:left w:val="nil"/>
              <w:bottom w:val="single" w:sz="4" w:space="0" w:color="000000"/>
              <w:right w:val="single" w:sz="4" w:space="0" w:color="000000"/>
            </w:tcBorders>
            <w:noWrap/>
            <w:vAlign w:val="center"/>
            <w:hideMark/>
          </w:tcPr>
          <w:p w14:paraId="5230EE6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3A37483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0.990</w:t>
            </w:r>
          </w:p>
        </w:tc>
        <w:tc>
          <w:tcPr>
            <w:tcW w:w="546" w:type="pct"/>
            <w:tcBorders>
              <w:top w:val="nil"/>
              <w:left w:val="nil"/>
              <w:bottom w:val="single" w:sz="4" w:space="0" w:color="000000"/>
              <w:right w:val="single" w:sz="4" w:space="0" w:color="000000"/>
            </w:tcBorders>
            <w:noWrap/>
            <w:vAlign w:val="center"/>
            <w:hideMark/>
          </w:tcPr>
          <w:p w14:paraId="75DAAC3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0.980</w:t>
            </w:r>
          </w:p>
        </w:tc>
        <w:tc>
          <w:tcPr>
            <w:tcW w:w="546" w:type="pct"/>
            <w:tcBorders>
              <w:top w:val="nil"/>
              <w:left w:val="nil"/>
              <w:bottom w:val="single" w:sz="4" w:space="0" w:color="000000"/>
              <w:right w:val="single" w:sz="4" w:space="0" w:color="000000"/>
            </w:tcBorders>
            <w:noWrap/>
            <w:vAlign w:val="center"/>
            <w:hideMark/>
          </w:tcPr>
          <w:p w14:paraId="610E91D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0.970</w:t>
            </w:r>
          </w:p>
        </w:tc>
        <w:tc>
          <w:tcPr>
            <w:tcW w:w="546" w:type="pct"/>
            <w:tcBorders>
              <w:top w:val="nil"/>
              <w:left w:val="nil"/>
              <w:bottom w:val="single" w:sz="4" w:space="0" w:color="000000"/>
              <w:right w:val="single" w:sz="4" w:space="0" w:color="000000"/>
            </w:tcBorders>
            <w:noWrap/>
            <w:vAlign w:val="center"/>
            <w:hideMark/>
          </w:tcPr>
          <w:p w14:paraId="06FD3AA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0.960</w:t>
            </w:r>
          </w:p>
        </w:tc>
        <w:tc>
          <w:tcPr>
            <w:tcW w:w="546" w:type="pct"/>
            <w:tcBorders>
              <w:top w:val="nil"/>
              <w:left w:val="nil"/>
              <w:bottom w:val="single" w:sz="4" w:space="0" w:color="000000"/>
              <w:right w:val="single" w:sz="4" w:space="0" w:color="000000"/>
            </w:tcBorders>
            <w:noWrap/>
            <w:vAlign w:val="center"/>
            <w:hideMark/>
          </w:tcPr>
          <w:p w14:paraId="3BBEBFF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0.951</w:t>
            </w:r>
          </w:p>
        </w:tc>
        <w:tc>
          <w:tcPr>
            <w:tcW w:w="563" w:type="pct"/>
            <w:tcBorders>
              <w:top w:val="nil"/>
              <w:left w:val="nil"/>
              <w:bottom w:val="single" w:sz="4" w:space="0" w:color="000000"/>
              <w:right w:val="single" w:sz="4" w:space="0" w:color="000000"/>
            </w:tcBorders>
            <w:noWrap/>
            <w:vAlign w:val="center"/>
            <w:hideMark/>
          </w:tcPr>
          <w:p w14:paraId="1FD7A7F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05559309"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B02DA9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7789E64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0053BD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9.90</w:t>
            </w:r>
          </w:p>
        </w:tc>
        <w:tc>
          <w:tcPr>
            <w:tcW w:w="546" w:type="pct"/>
            <w:tcBorders>
              <w:top w:val="nil"/>
              <w:left w:val="nil"/>
              <w:bottom w:val="single" w:sz="4" w:space="0" w:color="000000"/>
              <w:right w:val="single" w:sz="4" w:space="0" w:color="000000"/>
            </w:tcBorders>
            <w:noWrap/>
            <w:vAlign w:val="center"/>
            <w:hideMark/>
          </w:tcPr>
          <w:p w14:paraId="278A9F2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11.76</w:t>
            </w:r>
          </w:p>
        </w:tc>
        <w:tc>
          <w:tcPr>
            <w:tcW w:w="546" w:type="pct"/>
            <w:tcBorders>
              <w:top w:val="nil"/>
              <w:left w:val="nil"/>
              <w:bottom w:val="single" w:sz="4" w:space="0" w:color="000000"/>
              <w:right w:val="single" w:sz="4" w:space="0" w:color="000000"/>
            </w:tcBorders>
            <w:noWrap/>
            <w:vAlign w:val="center"/>
            <w:hideMark/>
          </w:tcPr>
          <w:p w14:paraId="0C07AB8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13.58</w:t>
            </w:r>
          </w:p>
        </w:tc>
        <w:tc>
          <w:tcPr>
            <w:tcW w:w="546" w:type="pct"/>
            <w:tcBorders>
              <w:top w:val="nil"/>
              <w:left w:val="nil"/>
              <w:bottom w:val="single" w:sz="4" w:space="0" w:color="000000"/>
              <w:right w:val="single" w:sz="4" w:space="0" w:color="000000"/>
            </w:tcBorders>
            <w:noWrap/>
            <w:vAlign w:val="center"/>
            <w:hideMark/>
          </w:tcPr>
          <w:p w14:paraId="1D4C298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9.60</w:t>
            </w:r>
          </w:p>
        </w:tc>
        <w:tc>
          <w:tcPr>
            <w:tcW w:w="546" w:type="pct"/>
            <w:tcBorders>
              <w:top w:val="nil"/>
              <w:left w:val="nil"/>
              <w:bottom w:val="single" w:sz="4" w:space="0" w:color="000000"/>
              <w:right w:val="single" w:sz="4" w:space="0" w:color="000000"/>
            </w:tcBorders>
            <w:noWrap/>
            <w:vAlign w:val="center"/>
            <w:hideMark/>
          </w:tcPr>
          <w:p w14:paraId="0DE288A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7.61</w:t>
            </w:r>
          </w:p>
        </w:tc>
        <w:tc>
          <w:tcPr>
            <w:tcW w:w="563" w:type="pct"/>
            <w:tcBorders>
              <w:top w:val="nil"/>
              <w:left w:val="nil"/>
              <w:bottom w:val="single" w:sz="4" w:space="0" w:color="000000"/>
              <w:right w:val="single" w:sz="4" w:space="0" w:color="000000"/>
            </w:tcBorders>
            <w:noWrap/>
            <w:vAlign w:val="center"/>
            <w:hideMark/>
          </w:tcPr>
          <w:p w14:paraId="46A00E6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2.45 </w:t>
            </w:r>
          </w:p>
        </w:tc>
      </w:tr>
      <w:tr w:rsidR="002F47B2" w:rsidRPr="002F47B2" w14:paraId="708EAE80"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EF67F4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117DE42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5A6240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71BFF58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6C3C357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CDBA07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70A8FDA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1E16ECF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4AAE77EE"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2CC969B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45E9B68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320CF89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10.00</w:t>
            </w:r>
          </w:p>
        </w:tc>
        <w:tc>
          <w:tcPr>
            <w:tcW w:w="546" w:type="pct"/>
            <w:tcBorders>
              <w:top w:val="nil"/>
              <w:left w:val="nil"/>
              <w:bottom w:val="single" w:sz="4" w:space="0" w:color="000000"/>
              <w:right w:val="single" w:sz="4" w:space="0" w:color="000000"/>
            </w:tcBorders>
            <w:noWrap/>
            <w:vAlign w:val="center"/>
            <w:hideMark/>
          </w:tcPr>
          <w:p w14:paraId="36AAA47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12.00</w:t>
            </w:r>
          </w:p>
        </w:tc>
        <w:tc>
          <w:tcPr>
            <w:tcW w:w="546" w:type="pct"/>
            <w:tcBorders>
              <w:top w:val="nil"/>
              <w:left w:val="nil"/>
              <w:bottom w:val="single" w:sz="4" w:space="0" w:color="000000"/>
              <w:right w:val="single" w:sz="4" w:space="0" w:color="000000"/>
            </w:tcBorders>
            <w:noWrap/>
            <w:vAlign w:val="center"/>
            <w:hideMark/>
          </w:tcPr>
          <w:p w14:paraId="4B74EFC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14.00</w:t>
            </w:r>
          </w:p>
        </w:tc>
        <w:tc>
          <w:tcPr>
            <w:tcW w:w="546" w:type="pct"/>
            <w:tcBorders>
              <w:top w:val="nil"/>
              <w:left w:val="nil"/>
              <w:bottom w:val="single" w:sz="4" w:space="0" w:color="000000"/>
              <w:right w:val="single" w:sz="4" w:space="0" w:color="000000"/>
            </w:tcBorders>
            <w:noWrap/>
            <w:vAlign w:val="center"/>
            <w:hideMark/>
          </w:tcPr>
          <w:p w14:paraId="601F91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10.00</w:t>
            </w:r>
          </w:p>
        </w:tc>
        <w:tc>
          <w:tcPr>
            <w:tcW w:w="546" w:type="pct"/>
            <w:tcBorders>
              <w:top w:val="nil"/>
              <w:left w:val="nil"/>
              <w:bottom w:val="single" w:sz="4" w:space="0" w:color="000000"/>
              <w:right w:val="single" w:sz="4" w:space="0" w:color="000000"/>
            </w:tcBorders>
            <w:noWrap/>
            <w:vAlign w:val="center"/>
            <w:hideMark/>
          </w:tcPr>
          <w:p w14:paraId="360EED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8.00</w:t>
            </w:r>
          </w:p>
        </w:tc>
        <w:tc>
          <w:tcPr>
            <w:tcW w:w="563" w:type="pct"/>
            <w:tcBorders>
              <w:top w:val="nil"/>
              <w:left w:val="nil"/>
              <w:bottom w:val="single" w:sz="4" w:space="0" w:color="000000"/>
              <w:right w:val="single" w:sz="4" w:space="0" w:color="000000"/>
            </w:tcBorders>
            <w:noWrap/>
            <w:vAlign w:val="center"/>
            <w:hideMark/>
          </w:tcPr>
          <w:p w14:paraId="75CCBE5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4.00 </w:t>
            </w:r>
          </w:p>
        </w:tc>
      </w:tr>
      <w:tr w:rsidR="002F47B2" w:rsidRPr="002F47B2" w14:paraId="49C4ED18"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223BB004"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8%</w:t>
            </w:r>
          </w:p>
        </w:tc>
        <w:tc>
          <w:tcPr>
            <w:tcW w:w="563" w:type="pct"/>
            <w:tcBorders>
              <w:top w:val="nil"/>
              <w:left w:val="nil"/>
              <w:bottom w:val="single" w:sz="4" w:space="0" w:color="000000"/>
              <w:right w:val="single" w:sz="4" w:space="0" w:color="000000"/>
            </w:tcBorders>
            <w:noWrap/>
            <w:vAlign w:val="center"/>
            <w:hideMark/>
          </w:tcPr>
          <w:p w14:paraId="66DC590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2E5037A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546" w:type="pct"/>
            <w:tcBorders>
              <w:top w:val="nil"/>
              <w:left w:val="nil"/>
              <w:bottom w:val="single" w:sz="4" w:space="0" w:color="000000"/>
              <w:right w:val="single" w:sz="4" w:space="0" w:color="000000"/>
            </w:tcBorders>
            <w:noWrap/>
            <w:vAlign w:val="center"/>
            <w:hideMark/>
          </w:tcPr>
          <w:p w14:paraId="567336B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546" w:type="pct"/>
            <w:tcBorders>
              <w:top w:val="nil"/>
              <w:left w:val="nil"/>
              <w:bottom w:val="single" w:sz="4" w:space="0" w:color="000000"/>
              <w:right w:val="single" w:sz="4" w:space="0" w:color="000000"/>
            </w:tcBorders>
            <w:noWrap/>
            <w:vAlign w:val="center"/>
            <w:hideMark/>
          </w:tcPr>
          <w:p w14:paraId="1D07D84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546" w:type="pct"/>
            <w:tcBorders>
              <w:top w:val="nil"/>
              <w:left w:val="nil"/>
              <w:bottom w:val="single" w:sz="4" w:space="0" w:color="000000"/>
              <w:right w:val="single" w:sz="4" w:space="0" w:color="000000"/>
            </w:tcBorders>
            <w:noWrap/>
            <w:vAlign w:val="center"/>
            <w:hideMark/>
          </w:tcPr>
          <w:p w14:paraId="51014A6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46" w:type="pct"/>
            <w:tcBorders>
              <w:top w:val="nil"/>
              <w:left w:val="nil"/>
              <w:bottom w:val="single" w:sz="4" w:space="0" w:color="000000"/>
              <w:right w:val="single" w:sz="4" w:space="0" w:color="000000"/>
            </w:tcBorders>
            <w:noWrap/>
            <w:vAlign w:val="center"/>
            <w:hideMark/>
          </w:tcPr>
          <w:p w14:paraId="398F274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c>
          <w:tcPr>
            <w:tcW w:w="563" w:type="pct"/>
            <w:tcBorders>
              <w:top w:val="nil"/>
              <w:left w:val="nil"/>
              <w:bottom w:val="single" w:sz="4" w:space="0" w:color="000000"/>
              <w:right w:val="single" w:sz="4" w:space="0" w:color="000000"/>
            </w:tcBorders>
            <w:noWrap/>
            <w:vAlign w:val="center"/>
            <w:hideMark/>
          </w:tcPr>
          <w:p w14:paraId="43E1D56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148FD66E"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22C8844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0187EB2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565593C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9.25</w:t>
            </w:r>
          </w:p>
        </w:tc>
        <w:tc>
          <w:tcPr>
            <w:tcW w:w="546" w:type="pct"/>
            <w:tcBorders>
              <w:top w:val="nil"/>
              <w:left w:val="nil"/>
              <w:bottom w:val="single" w:sz="4" w:space="0" w:color="000000"/>
              <w:right w:val="single" w:sz="4" w:space="0" w:color="000000"/>
            </w:tcBorders>
            <w:noWrap/>
            <w:vAlign w:val="center"/>
            <w:hideMark/>
          </w:tcPr>
          <w:p w14:paraId="2C1249B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10.28</w:t>
            </w:r>
          </w:p>
        </w:tc>
        <w:tc>
          <w:tcPr>
            <w:tcW w:w="546" w:type="pct"/>
            <w:tcBorders>
              <w:top w:val="nil"/>
              <w:left w:val="nil"/>
              <w:bottom w:val="single" w:sz="4" w:space="0" w:color="000000"/>
              <w:right w:val="single" w:sz="4" w:space="0" w:color="000000"/>
            </w:tcBorders>
            <w:noWrap/>
            <w:vAlign w:val="center"/>
            <w:hideMark/>
          </w:tcPr>
          <w:p w14:paraId="54A338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11.10</w:t>
            </w:r>
          </w:p>
        </w:tc>
        <w:tc>
          <w:tcPr>
            <w:tcW w:w="546" w:type="pct"/>
            <w:tcBorders>
              <w:top w:val="nil"/>
              <w:left w:val="nil"/>
              <w:bottom w:val="single" w:sz="4" w:space="0" w:color="000000"/>
              <w:right w:val="single" w:sz="4" w:space="0" w:color="000000"/>
            </w:tcBorders>
            <w:noWrap/>
            <w:vAlign w:val="center"/>
            <w:hideMark/>
          </w:tcPr>
          <w:p w14:paraId="14AC9EA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7.35</w:t>
            </w:r>
          </w:p>
        </w:tc>
        <w:tc>
          <w:tcPr>
            <w:tcW w:w="546" w:type="pct"/>
            <w:tcBorders>
              <w:top w:val="nil"/>
              <w:left w:val="nil"/>
              <w:bottom w:val="single" w:sz="4" w:space="0" w:color="000000"/>
              <w:right w:val="single" w:sz="4" w:space="0" w:color="000000"/>
            </w:tcBorders>
            <w:noWrap/>
            <w:vAlign w:val="center"/>
            <w:hideMark/>
          </w:tcPr>
          <w:p w14:paraId="3D50538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5.44</w:t>
            </w:r>
          </w:p>
        </w:tc>
        <w:tc>
          <w:tcPr>
            <w:tcW w:w="563" w:type="pct"/>
            <w:tcBorders>
              <w:top w:val="nil"/>
              <w:left w:val="nil"/>
              <w:bottom w:val="single" w:sz="4" w:space="0" w:color="000000"/>
              <w:right w:val="single" w:sz="4" w:space="0" w:color="000000"/>
            </w:tcBorders>
            <w:noWrap/>
            <w:vAlign w:val="center"/>
            <w:hideMark/>
          </w:tcPr>
          <w:p w14:paraId="4DA02A9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(6.57)</w:t>
            </w:r>
          </w:p>
        </w:tc>
      </w:tr>
      <w:tr w:rsidR="002F47B2" w:rsidRPr="002F47B2" w14:paraId="3EECF738"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6D21E41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837638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FF1F58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066155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774C77E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4BA0AA9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6DBD3C6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0FC2CAD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461B7293"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23D4FA0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3854" w:type="pct"/>
            <w:gridSpan w:val="7"/>
            <w:tcBorders>
              <w:top w:val="single" w:sz="4" w:space="0" w:color="000000"/>
              <w:left w:val="nil"/>
              <w:bottom w:val="single" w:sz="4" w:space="0" w:color="000000"/>
              <w:right w:val="single" w:sz="4" w:space="0" w:color="000000"/>
            </w:tcBorders>
            <w:vAlign w:val="center"/>
            <w:hideMark/>
          </w:tcPr>
          <w:p w14:paraId="3C87F053"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Low % + [(Positive NPV / Total Range in NPVs) * (High % - Low %)]</w:t>
            </w:r>
          </w:p>
        </w:tc>
      </w:tr>
      <w:tr w:rsidR="002F47B2" w:rsidRPr="002F47B2" w14:paraId="6964CF9B"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260743C0"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Internal Rate of Return</w:t>
            </w:r>
          </w:p>
        </w:tc>
        <w:tc>
          <w:tcPr>
            <w:tcW w:w="563" w:type="pct"/>
            <w:tcBorders>
              <w:top w:val="nil"/>
              <w:left w:val="nil"/>
              <w:bottom w:val="single" w:sz="4" w:space="0" w:color="000000"/>
              <w:right w:val="single" w:sz="4" w:space="0" w:color="000000"/>
            </w:tcBorders>
            <w:noWrap/>
            <w:vAlign w:val="center"/>
            <w:hideMark/>
          </w:tcPr>
          <w:p w14:paraId="7FBEE820"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-3.16%</w:t>
            </w:r>
          </w:p>
        </w:tc>
        <w:tc>
          <w:tcPr>
            <w:tcW w:w="3291" w:type="pct"/>
            <w:gridSpan w:val="6"/>
            <w:tcBorders>
              <w:top w:val="single" w:sz="4" w:space="0" w:color="000000"/>
              <w:left w:val="nil"/>
              <w:bottom w:val="single" w:sz="4" w:space="0" w:color="000000"/>
              <w:right w:val="single" w:sz="4" w:space="0" w:color="000000"/>
            </w:tcBorders>
            <w:vAlign w:val="center"/>
            <w:hideMark/>
          </w:tcPr>
          <w:p w14:paraId="59DC097C"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1% + ( 2.45 / ( 2.45 + ( - 6.57 ) ) ) * ( 8% - 1% )</w:t>
            </w:r>
          </w:p>
        </w:tc>
      </w:tr>
      <w:tr w:rsidR="002F47B2" w:rsidRPr="002F47B2" w14:paraId="78730A86" w14:textId="77777777" w:rsidTr="002F47B2">
        <w:trPr>
          <w:trHeight w:val="312"/>
        </w:trPr>
        <w:tc>
          <w:tcPr>
            <w:tcW w:w="1146" w:type="pct"/>
            <w:tcBorders>
              <w:top w:val="nil"/>
              <w:left w:val="nil"/>
              <w:bottom w:val="nil"/>
              <w:right w:val="nil"/>
            </w:tcBorders>
            <w:noWrap/>
            <w:vAlign w:val="center"/>
            <w:hideMark/>
          </w:tcPr>
          <w:p w14:paraId="5B7D6D49"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p>
        </w:tc>
        <w:tc>
          <w:tcPr>
            <w:tcW w:w="563" w:type="pct"/>
            <w:tcBorders>
              <w:top w:val="nil"/>
              <w:left w:val="nil"/>
              <w:bottom w:val="nil"/>
              <w:right w:val="nil"/>
            </w:tcBorders>
            <w:noWrap/>
            <w:vAlign w:val="center"/>
            <w:hideMark/>
          </w:tcPr>
          <w:p w14:paraId="75D66CA6"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3E13020F"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7A42C6B2"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6ECDA547"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624A967E"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627C49CC"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63" w:type="pct"/>
            <w:tcBorders>
              <w:top w:val="nil"/>
              <w:left w:val="nil"/>
              <w:bottom w:val="nil"/>
              <w:right w:val="nil"/>
            </w:tcBorders>
            <w:noWrap/>
            <w:vAlign w:val="center"/>
            <w:hideMark/>
          </w:tcPr>
          <w:p w14:paraId="5527F1C6"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r>
      <w:tr w:rsidR="002F47B2" w:rsidRPr="002F47B2" w14:paraId="54C33A93" w14:textId="77777777" w:rsidTr="002F47B2">
        <w:trPr>
          <w:trHeight w:val="348"/>
        </w:trPr>
        <w:tc>
          <w:tcPr>
            <w:tcW w:w="5000" w:type="pct"/>
            <w:gridSpan w:val="8"/>
            <w:tcBorders>
              <w:top w:val="single" w:sz="4" w:space="0" w:color="000000"/>
              <w:left w:val="single" w:sz="4" w:space="0" w:color="000000"/>
              <w:bottom w:val="nil"/>
              <w:right w:val="single" w:sz="4" w:space="0" w:color="000000"/>
            </w:tcBorders>
            <w:noWrap/>
            <w:vAlign w:val="center"/>
            <w:hideMark/>
          </w:tcPr>
          <w:p w14:paraId="7067AF76" w14:textId="77777777" w:rsidR="002F47B2" w:rsidRPr="002F47B2" w:rsidRDefault="002F47B2" w:rsidP="002F47B2">
            <w:pPr>
              <w:spacing w:line="240" w:lineRule="auto"/>
              <w:jc w:val="center"/>
              <w:rPr>
                <w:rFonts w:ascii="Agency FB" w:eastAsia="Times New Roman" w:hAnsi="Agency FB"/>
                <w:b/>
                <w:bCs/>
                <w:color w:val="000000"/>
                <w:sz w:val="28"/>
                <w:szCs w:val="28"/>
                <w:lang w:val="en-IN"/>
              </w:rPr>
            </w:pPr>
            <w:r w:rsidRPr="002F47B2">
              <w:rPr>
                <w:rFonts w:ascii="Agency FB" w:eastAsia="Times New Roman" w:hAnsi="Agency FB"/>
                <w:b/>
                <w:bCs/>
                <w:color w:val="000000"/>
                <w:sz w:val="28"/>
                <w:szCs w:val="28"/>
                <w:lang w:val="en-IN"/>
              </w:rPr>
              <w:t>Internal Rate of Return (Project B)</w:t>
            </w:r>
          </w:p>
        </w:tc>
      </w:tr>
      <w:tr w:rsidR="002F47B2" w:rsidRPr="002F47B2" w14:paraId="5A07015F" w14:textId="77777777" w:rsidTr="002F47B2">
        <w:trPr>
          <w:trHeight w:val="312"/>
        </w:trPr>
        <w:tc>
          <w:tcPr>
            <w:tcW w:w="1146" w:type="pct"/>
            <w:tcBorders>
              <w:top w:val="single" w:sz="4" w:space="0" w:color="FFFFFF"/>
              <w:left w:val="single" w:sz="4" w:space="0" w:color="FFFFFF"/>
              <w:bottom w:val="single" w:sz="4" w:space="0" w:color="FFFFFF"/>
              <w:right w:val="single" w:sz="4" w:space="0" w:color="FFFFFF"/>
            </w:tcBorders>
            <w:shd w:val="clear" w:color="274E13" w:fill="274E13"/>
            <w:noWrap/>
            <w:vAlign w:val="center"/>
            <w:hideMark/>
          </w:tcPr>
          <w:p w14:paraId="60AB0B37"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Element</w:t>
            </w:r>
          </w:p>
        </w:tc>
        <w:tc>
          <w:tcPr>
            <w:tcW w:w="563" w:type="pct"/>
            <w:tcBorders>
              <w:top w:val="single" w:sz="4" w:space="0" w:color="FFFFFF"/>
              <w:left w:val="nil"/>
              <w:bottom w:val="single" w:sz="4" w:space="0" w:color="FFFFFF"/>
              <w:right w:val="single" w:sz="4" w:space="0" w:color="FFFFFF"/>
            </w:tcBorders>
            <w:shd w:val="clear" w:color="274E13" w:fill="274E13"/>
            <w:noWrap/>
            <w:vAlign w:val="center"/>
            <w:hideMark/>
          </w:tcPr>
          <w:p w14:paraId="1CDA39D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7AE8AB9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4B0AACB2"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546" w:type="pct"/>
            <w:tcBorders>
              <w:top w:val="single" w:sz="4" w:space="0" w:color="FFFFFF"/>
              <w:left w:val="nil"/>
              <w:bottom w:val="single" w:sz="4" w:space="0" w:color="FFFFFF"/>
              <w:right w:val="single" w:sz="4" w:space="0" w:color="FFFFFF"/>
            </w:tcBorders>
            <w:shd w:val="clear" w:color="274E13" w:fill="274E13"/>
            <w:noWrap/>
            <w:vAlign w:val="center"/>
            <w:hideMark/>
          </w:tcPr>
          <w:p w14:paraId="73900C64"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546" w:type="pct"/>
            <w:tcBorders>
              <w:top w:val="single" w:sz="4" w:space="0" w:color="FFFFFF"/>
              <w:left w:val="nil"/>
              <w:bottom w:val="single" w:sz="4" w:space="0" w:color="FFFFFF"/>
              <w:right w:val="single" w:sz="4" w:space="0" w:color="FFFFFF"/>
            </w:tcBorders>
            <w:shd w:val="clear" w:color="274E13" w:fill="1A5529"/>
            <w:noWrap/>
            <w:vAlign w:val="center"/>
            <w:hideMark/>
          </w:tcPr>
          <w:p w14:paraId="78384F7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234D5AE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c>
          <w:tcPr>
            <w:tcW w:w="563" w:type="pct"/>
            <w:tcBorders>
              <w:top w:val="single" w:sz="4" w:space="0" w:color="FFFFFF"/>
              <w:left w:val="nil"/>
              <w:bottom w:val="single" w:sz="4" w:space="0" w:color="FFFFFF"/>
              <w:right w:val="single" w:sz="4" w:space="0" w:color="FFFFFF"/>
            </w:tcBorders>
            <w:shd w:val="clear" w:color="660000" w:fill="1A5529"/>
            <w:noWrap/>
            <w:vAlign w:val="center"/>
            <w:hideMark/>
          </w:tcPr>
          <w:p w14:paraId="69A42AB3"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Total</w:t>
            </w:r>
          </w:p>
        </w:tc>
      </w:tr>
      <w:tr w:rsidR="002F47B2" w:rsidRPr="002F47B2" w14:paraId="3FB2BF3D"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9CC8C6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17322A2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546" w:type="pct"/>
            <w:tcBorders>
              <w:top w:val="nil"/>
              <w:left w:val="nil"/>
              <w:bottom w:val="single" w:sz="4" w:space="0" w:color="000000"/>
              <w:right w:val="single" w:sz="4" w:space="0" w:color="000000"/>
            </w:tcBorders>
            <w:noWrap/>
            <w:vAlign w:val="center"/>
            <w:hideMark/>
          </w:tcPr>
          <w:p w14:paraId="7A88B80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46" w:type="pct"/>
            <w:tcBorders>
              <w:top w:val="nil"/>
              <w:left w:val="nil"/>
              <w:bottom w:val="single" w:sz="4" w:space="0" w:color="000000"/>
              <w:right w:val="single" w:sz="4" w:space="0" w:color="000000"/>
            </w:tcBorders>
            <w:noWrap/>
            <w:vAlign w:val="center"/>
            <w:hideMark/>
          </w:tcPr>
          <w:p w14:paraId="6A08701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46" w:type="pct"/>
            <w:tcBorders>
              <w:top w:val="nil"/>
              <w:left w:val="nil"/>
              <w:bottom w:val="single" w:sz="4" w:space="0" w:color="000000"/>
              <w:right w:val="single" w:sz="4" w:space="0" w:color="000000"/>
            </w:tcBorders>
            <w:noWrap/>
            <w:vAlign w:val="center"/>
            <w:hideMark/>
          </w:tcPr>
          <w:p w14:paraId="60C0AE9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46" w:type="pct"/>
            <w:tcBorders>
              <w:top w:val="nil"/>
              <w:left w:val="nil"/>
              <w:bottom w:val="single" w:sz="4" w:space="0" w:color="000000"/>
              <w:right w:val="single" w:sz="4" w:space="0" w:color="000000"/>
            </w:tcBorders>
            <w:noWrap/>
            <w:vAlign w:val="center"/>
            <w:hideMark/>
          </w:tcPr>
          <w:p w14:paraId="5AF5E1D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46" w:type="pct"/>
            <w:tcBorders>
              <w:top w:val="nil"/>
              <w:left w:val="nil"/>
              <w:bottom w:val="single" w:sz="4" w:space="0" w:color="000000"/>
              <w:right w:val="single" w:sz="4" w:space="0" w:color="000000"/>
            </w:tcBorders>
            <w:noWrap/>
            <w:vAlign w:val="center"/>
            <w:hideMark/>
          </w:tcPr>
          <w:p w14:paraId="25E4F36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11.00 </w:t>
            </w:r>
          </w:p>
        </w:tc>
        <w:tc>
          <w:tcPr>
            <w:tcW w:w="563" w:type="pct"/>
            <w:tcBorders>
              <w:top w:val="nil"/>
              <w:left w:val="nil"/>
              <w:bottom w:val="single" w:sz="4" w:space="0" w:color="000000"/>
              <w:right w:val="single" w:sz="4" w:space="0" w:color="000000"/>
            </w:tcBorders>
            <w:noWrap/>
            <w:vAlign w:val="center"/>
            <w:hideMark/>
          </w:tcPr>
          <w:p w14:paraId="5B5AA68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1EEBD708"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475F6439"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1%</w:t>
            </w:r>
          </w:p>
        </w:tc>
        <w:tc>
          <w:tcPr>
            <w:tcW w:w="563" w:type="pct"/>
            <w:tcBorders>
              <w:top w:val="nil"/>
              <w:left w:val="nil"/>
              <w:bottom w:val="single" w:sz="4" w:space="0" w:color="000000"/>
              <w:right w:val="single" w:sz="4" w:space="0" w:color="000000"/>
            </w:tcBorders>
            <w:noWrap/>
            <w:vAlign w:val="center"/>
            <w:hideMark/>
          </w:tcPr>
          <w:p w14:paraId="3194A91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2F287F2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0.990</w:t>
            </w:r>
          </w:p>
        </w:tc>
        <w:tc>
          <w:tcPr>
            <w:tcW w:w="546" w:type="pct"/>
            <w:tcBorders>
              <w:top w:val="nil"/>
              <w:left w:val="nil"/>
              <w:bottom w:val="single" w:sz="4" w:space="0" w:color="000000"/>
              <w:right w:val="single" w:sz="4" w:space="0" w:color="000000"/>
            </w:tcBorders>
            <w:noWrap/>
            <w:vAlign w:val="center"/>
            <w:hideMark/>
          </w:tcPr>
          <w:p w14:paraId="3FA3995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0.980</w:t>
            </w:r>
          </w:p>
        </w:tc>
        <w:tc>
          <w:tcPr>
            <w:tcW w:w="546" w:type="pct"/>
            <w:tcBorders>
              <w:top w:val="nil"/>
              <w:left w:val="nil"/>
              <w:bottom w:val="single" w:sz="4" w:space="0" w:color="000000"/>
              <w:right w:val="single" w:sz="4" w:space="0" w:color="000000"/>
            </w:tcBorders>
            <w:noWrap/>
            <w:vAlign w:val="center"/>
            <w:hideMark/>
          </w:tcPr>
          <w:p w14:paraId="023DAC9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0.970</w:t>
            </w:r>
          </w:p>
        </w:tc>
        <w:tc>
          <w:tcPr>
            <w:tcW w:w="546" w:type="pct"/>
            <w:tcBorders>
              <w:top w:val="nil"/>
              <w:left w:val="nil"/>
              <w:bottom w:val="single" w:sz="4" w:space="0" w:color="000000"/>
              <w:right w:val="single" w:sz="4" w:space="0" w:color="000000"/>
            </w:tcBorders>
            <w:noWrap/>
            <w:vAlign w:val="center"/>
            <w:hideMark/>
          </w:tcPr>
          <w:p w14:paraId="1311FE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0.960</w:t>
            </w:r>
          </w:p>
        </w:tc>
        <w:tc>
          <w:tcPr>
            <w:tcW w:w="546" w:type="pct"/>
            <w:tcBorders>
              <w:top w:val="nil"/>
              <w:left w:val="nil"/>
              <w:bottom w:val="single" w:sz="4" w:space="0" w:color="000000"/>
              <w:right w:val="single" w:sz="4" w:space="0" w:color="000000"/>
            </w:tcBorders>
            <w:noWrap/>
            <w:vAlign w:val="center"/>
            <w:hideMark/>
          </w:tcPr>
          <w:p w14:paraId="346FC7E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0.951</w:t>
            </w:r>
          </w:p>
        </w:tc>
        <w:tc>
          <w:tcPr>
            <w:tcW w:w="563" w:type="pct"/>
            <w:tcBorders>
              <w:top w:val="nil"/>
              <w:left w:val="nil"/>
              <w:bottom w:val="single" w:sz="4" w:space="0" w:color="000000"/>
              <w:right w:val="single" w:sz="4" w:space="0" w:color="000000"/>
            </w:tcBorders>
            <w:noWrap/>
            <w:vAlign w:val="center"/>
            <w:hideMark/>
          </w:tcPr>
          <w:p w14:paraId="3F54451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57BAFA59"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8A5068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4DF9355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6C80874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10.89</w:t>
            </w:r>
          </w:p>
        </w:tc>
        <w:tc>
          <w:tcPr>
            <w:tcW w:w="546" w:type="pct"/>
            <w:tcBorders>
              <w:top w:val="nil"/>
              <w:left w:val="nil"/>
              <w:bottom w:val="single" w:sz="4" w:space="0" w:color="000000"/>
              <w:right w:val="single" w:sz="4" w:space="0" w:color="000000"/>
            </w:tcBorders>
            <w:noWrap/>
            <w:vAlign w:val="center"/>
            <w:hideMark/>
          </w:tcPr>
          <w:p w14:paraId="19D2708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10.78</w:t>
            </w:r>
          </w:p>
        </w:tc>
        <w:tc>
          <w:tcPr>
            <w:tcW w:w="546" w:type="pct"/>
            <w:tcBorders>
              <w:top w:val="nil"/>
              <w:left w:val="nil"/>
              <w:bottom w:val="single" w:sz="4" w:space="0" w:color="000000"/>
              <w:right w:val="single" w:sz="4" w:space="0" w:color="000000"/>
            </w:tcBorders>
            <w:noWrap/>
            <w:vAlign w:val="center"/>
            <w:hideMark/>
          </w:tcPr>
          <w:p w14:paraId="3932EA3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10.67</w:t>
            </w:r>
          </w:p>
        </w:tc>
        <w:tc>
          <w:tcPr>
            <w:tcW w:w="546" w:type="pct"/>
            <w:tcBorders>
              <w:top w:val="nil"/>
              <w:left w:val="nil"/>
              <w:bottom w:val="single" w:sz="4" w:space="0" w:color="000000"/>
              <w:right w:val="single" w:sz="4" w:space="0" w:color="000000"/>
            </w:tcBorders>
            <w:noWrap/>
            <w:vAlign w:val="center"/>
            <w:hideMark/>
          </w:tcPr>
          <w:p w14:paraId="71511D2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10.56</w:t>
            </w:r>
          </w:p>
        </w:tc>
        <w:tc>
          <w:tcPr>
            <w:tcW w:w="546" w:type="pct"/>
            <w:tcBorders>
              <w:top w:val="nil"/>
              <w:left w:val="nil"/>
              <w:bottom w:val="single" w:sz="4" w:space="0" w:color="000000"/>
              <w:right w:val="single" w:sz="4" w:space="0" w:color="000000"/>
            </w:tcBorders>
            <w:noWrap/>
            <w:vAlign w:val="center"/>
            <w:hideMark/>
          </w:tcPr>
          <w:p w14:paraId="4FD7FF5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10.46</w:t>
            </w:r>
          </w:p>
        </w:tc>
        <w:tc>
          <w:tcPr>
            <w:tcW w:w="563" w:type="pct"/>
            <w:tcBorders>
              <w:top w:val="nil"/>
              <w:left w:val="nil"/>
              <w:bottom w:val="single" w:sz="4" w:space="0" w:color="000000"/>
              <w:right w:val="single" w:sz="4" w:space="0" w:color="000000"/>
            </w:tcBorders>
            <w:noWrap/>
            <w:vAlign w:val="center"/>
            <w:hideMark/>
          </w:tcPr>
          <w:p w14:paraId="2C6C746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3.36 </w:t>
            </w:r>
          </w:p>
        </w:tc>
      </w:tr>
      <w:tr w:rsidR="002F47B2" w:rsidRPr="002F47B2" w14:paraId="4F60314D"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B22FB2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808EFD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19E4DBB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7BCD336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A39B3F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62B8B69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63424FE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01FFDA2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27882EE6"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85046D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7ABA9E3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6454845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11.00</w:t>
            </w:r>
          </w:p>
        </w:tc>
        <w:tc>
          <w:tcPr>
            <w:tcW w:w="546" w:type="pct"/>
            <w:tcBorders>
              <w:top w:val="nil"/>
              <w:left w:val="nil"/>
              <w:bottom w:val="single" w:sz="4" w:space="0" w:color="000000"/>
              <w:right w:val="single" w:sz="4" w:space="0" w:color="000000"/>
            </w:tcBorders>
            <w:noWrap/>
            <w:vAlign w:val="center"/>
            <w:hideMark/>
          </w:tcPr>
          <w:p w14:paraId="1965C7D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11.00</w:t>
            </w:r>
          </w:p>
        </w:tc>
        <w:tc>
          <w:tcPr>
            <w:tcW w:w="546" w:type="pct"/>
            <w:tcBorders>
              <w:top w:val="nil"/>
              <w:left w:val="nil"/>
              <w:bottom w:val="single" w:sz="4" w:space="0" w:color="000000"/>
              <w:right w:val="single" w:sz="4" w:space="0" w:color="000000"/>
            </w:tcBorders>
            <w:noWrap/>
            <w:vAlign w:val="center"/>
            <w:hideMark/>
          </w:tcPr>
          <w:p w14:paraId="70B11CF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11.00</w:t>
            </w:r>
          </w:p>
        </w:tc>
        <w:tc>
          <w:tcPr>
            <w:tcW w:w="546" w:type="pct"/>
            <w:tcBorders>
              <w:top w:val="nil"/>
              <w:left w:val="nil"/>
              <w:bottom w:val="single" w:sz="4" w:space="0" w:color="000000"/>
              <w:right w:val="single" w:sz="4" w:space="0" w:color="000000"/>
            </w:tcBorders>
            <w:noWrap/>
            <w:vAlign w:val="center"/>
            <w:hideMark/>
          </w:tcPr>
          <w:p w14:paraId="55B1D61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11.00</w:t>
            </w:r>
          </w:p>
        </w:tc>
        <w:tc>
          <w:tcPr>
            <w:tcW w:w="546" w:type="pct"/>
            <w:tcBorders>
              <w:top w:val="nil"/>
              <w:left w:val="nil"/>
              <w:bottom w:val="single" w:sz="4" w:space="0" w:color="000000"/>
              <w:right w:val="single" w:sz="4" w:space="0" w:color="000000"/>
            </w:tcBorders>
            <w:noWrap/>
            <w:vAlign w:val="center"/>
            <w:hideMark/>
          </w:tcPr>
          <w:p w14:paraId="227056B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11.00</w:t>
            </w:r>
          </w:p>
        </w:tc>
        <w:tc>
          <w:tcPr>
            <w:tcW w:w="563" w:type="pct"/>
            <w:tcBorders>
              <w:top w:val="nil"/>
              <w:left w:val="nil"/>
              <w:bottom w:val="single" w:sz="4" w:space="0" w:color="000000"/>
              <w:right w:val="single" w:sz="4" w:space="0" w:color="000000"/>
            </w:tcBorders>
            <w:noWrap/>
            <w:vAlign w:val="center"/>
            <w:hideMark/>
          </w:tcPr>
          <w:p w14:paraId="4ABBF3E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r>
      <w:tr w:rsidR="002F47B2" w:rsidRPr="002F47B2" w14:paraId="327F189E"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2E7BE275"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8%</w:t>
            </w:r>
          </w:p>
        </w:tc>
        <w:tc>
          <w:tcPr>
            <w:tcW w:w="563" w:type="pct"/>
            <w:tcBorders>
              <w:top w:val="nil"/>
              <w:left w:val="nil"/>
              <w:bottom w:val="single" w:sz="4" w:space="0" w:color="000000"/>
              <w:right w:val="single" w:sz="4" w:space="0" w:color="000000"/>
            </w:tcBorders>
            <w:noWrap/>
            <w:vAlign w:val="center"/>
            <w:hideMark/>
          </w:tcPr>
          <w:p w14:paraId="61AB5F1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066D001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546" w:type="pct"/>
            <w:tcBorders>
              <w:top w:val="nil"/>
              <w:left w:val="nil"/>
              <w:bottom w:val="single" w:sz="4" w:space="0" w:color="000000"/>
              <w:right w:val="single" w:sz="4" w:space="0" w:color="000000"/>
            </w:tcBorders>
            <w:noWrap/>
            <w:vAlign w:val="center"/>
            <w:hideMark/>
          </w:tcPr>
          <w:p w14:paraId="1EA8D49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546" w:type="pct"/>
            <w:tcBorders>
              <w:top w:val="nil"/>
              <w:left w:val="nil"/>
              <w:bottom w:val="single" w:sz="4" w:space="0" w:color="000000"/>
              <w:right w:val="single" w:sz="4" w:space="0" w:color="000000"/>
            </w:tcBorders>
            <w:noWrap/>
            <w:vAlign w:val="center"/>
            <w:hideMark/>
          </w:tcPr>
          <w:p w14:paraId="4DF13A3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546" w:type="pct"/>
            <w:tcBorders>
              <w:top w:val="nil"/>
              <w:left w:val="nil"/>
              <w:bottom w:val="single" w:sz="4" w:space="0" w:color="000000"/>
              <w:right w:val="single" w:sz="4" w:space="0" w:color="000000"/>
            </w:tcBorders>
            <w:noWrap/>
            <w:vAlign w:val="center"/>
            <w:hideMark/>
          </w:tcPr>
          <w:p w14:paraId="3A5420A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46" w:type="pct"/>
            <w:tcBorders>
              <w:top w:val="nil"/>
              <w:left w:val="nil"/>
              <w:bottom w:val="single" w:sz="4" w:space="0" w:color="000000"/>
              <w:right w:val="single" w:sz="4" w:space="0" w:color="000000"/>
            </w:tcBorders>
            <w:noWrap/>
            <w:vAlign w:val="center"/>
            <w:hideMark/>
          </w:tcPr>
          <w:p w14:paraId="4874C4F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c>
          <w:tcPr>
            <w:tcW w:w="563" w:type="pct"/>
            <w:tcBorders>
              <w:top w:val="nil"/>
              <w:left w:val="nil"/>
              <w:bottom w:val="single" w:sz="4" w:space="0" w:color="000000"/>
              <w:right w:val="single" w:sz="4" w:space="0" w:color="000000"/>
            </w:tcBorders>
            <w:noWrap/>
            <w:vAlign w:val="center"/>
            <w:hideMark/>
          </w:tcPr>
          <w:p w14:paraId="42B4F09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05041B05"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0E0229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419CCA3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37073A8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10.18</w:t>
            </w:r>
          </w:p>
        </w:tc>
        <w:tc>
          <w:tcPr>
            <w:tcW w:w="546" w:type="pct"/>
            <w:tcBorders>
              <w:top w:val="nil"/>
              <w:left w:val="nil"/>
              <w:bottom w:val="single" w:sz="4" w:space="0" w:color="000000"/>
              <w:right w:val="single" w:sz="4" w:space="0" w:color="000000"/>
            </w:tcBorders>
            <w:noWrap/>
            <w:vAlign w:val="center"/>
            <w:hideMark/>
          </w:tcPr>
          <w:p w14:paraId="2B5D725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9.43</w:t>
            </w:r>
          </w:p>
        </w:tc>
        <w:tc>
          <w:tcPr>
            <w:tcW w:w="546" w:type="pct"/>
            <w:tcBorders>
              <w:top w:val="nil"/>
              <w:left w:val="nil"/>
              <w:bottom w:val="single" w:sz="4" w:space="0" w:color="000000"/>
              <w:right w:val="single" w:sz="4" w:space="0" w:color="000000"/>
            </w:tcBorders>
            <w:noWrap/>
            <w:vAlign w:val="center"/>
            <w:hideMark/>
          </w:tcPr>
          <w:p w14:paraId="3AF81B8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8.72</w:t>
            </w:r>
          </w:p>
        </w:tc>
        <w:tc>
          <w:tcPr>
            <w:tcW w:w="546" w:type="pct"/>
            <w:tcBorders>
              <w:top w:val="nil"/>
              <w:left w:val="nil"/>
              <w:bottom w:val="single" w:sz="4" w:space="0" w:color="000000"/>
              <w:right w:val="single" w:sz="4" w:space="0" w:color="000000"/>
            </w:tcBorders>
            <w:noWrap/>
            <w:vAlign w:val="center"/>
            <w:hideMark/>
          </w:tcPr>
          <w:p w14:paraId="5B45763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8.09</w:t>
            </w:r>
          </w:p>
        </w:tc>
        <w:tc>
          <w:tcPr>
            <w:tcW w:w="546" w:type="pct"/>
            <w:tcBorders>
              <w:top w:val="nil"/>
              <w:left w:val="nil"/>
              <w:bottom w:val="single" w:sz="4" w:space="0" w:color="000000"/>
              <w:right w:val="single" w:sz="4" w:space="0" w:color="000000"/>
            </w:tcBorders>
            <w:noWrap/>
            <w:vAlign w:val="center"/>
            <w:hideMark/>
          </w:tcPr>
          <w:p w14:paraId="12D50A3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7.48</w:t>
            </w:r>
          </w:p>
        </w:tc>
        <w:tc>
          <w:tcPr>
            <w:tcW w:w="563" w:type="pct"/>
            <w:tcBorders>
              <w:top w:val="nil"/>
              <w:left w:val="nil"/>
              <w:bottom w:val="single" w:sz="4" w:space="0" w:color="000000"/>
              <w:right w:val="single" w:sz="4" w:space="0" w:color="000000"/>
            </w:tcBorders>
            <w:noWrap/>
            <w:vAlign w:val="center"/>
            <w:hideMark/>
          </w:tcPr>
          <w:p w14:paraId="11F527C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(6.11)</w:t>
            </w:r>
          </w:p>
        </w:tc>
      </w:tr>
      <w:tr w:rsidR="002F47B2" w:rsidRPr="002F47B2" w14:paraId="7A9236FF"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98D4FD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0D3D518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46CD6F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E7FD3C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68EBE0B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3C18B68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1B1E4D8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749105A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2B7CE77D"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654CD5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3854" w:type="pct"/>
            <w:gridSpan w:val="7"/>
            <w:tcBorders>
              <w:top w:val="single" w:sz="4" w:space="0" w:color="000000"/>
              <w:left w:val="nil"/>
              <w:bottom w:val="single" w:sz="4" w:space="0" w:color="000000"/>
              <w:right w:val="single" w:sz="4" w:space="0" w:color="000000"/>
            </w:tcBorders>
            <w:vAlign w:val="center"/>
            <w:hideMark/>
          </w:tcPr>
          <w:p w14:paraId="0E569ACA"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Low % + [(Positive NPV / Total Range in NPVs) * (High % - Low %)]</w:t>
            </w:r>
          </w:p>
        </w:tc>
      </w:tr>
      <w:tr w:rsidR="002F47B2" w:rsidRPr="002F47B2" w14:paraId="2308B4B4"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71C97169"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Internal Rate of Return</w:t>
            </w:r>
          </w:p>
        </w:tc>
        <w:tc>
          <w:tcPr>
            <w:tcW w:w="563" w:type="pct"/>
            <w:tcBorders>
              <w:top w:val="nil"/>
              <w:left w:val="nil"/>
              <w:bottom w:val="single" w:sz="4" w:space="0" w:color="000000"/>
              <w:right w:val="single" w:sz="4" w:space="0" w:color="000000"/>
            </w:tcBorders>
            <w:noWrap/>
            <w:vAlign w:val="center"/>
            <w:hideMark/>
          </w:tcPr>
          <w:p w14:paraId="5810C287"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-7.55%</w:t>
            </w:r>
          </w:p>
        </w:tc>
        <w:tc>
          <w:tcPr>
            <w:tcW w:w="3291" w:type="pct"/>
            <w:gridSpan w:val="6"/>
            <w:tcBorders>
              <w:top w:val="single" w:sz="4" w:space="0" w:color="000000"/>
              <w:left w:val="nil"/>
              <w:bottom w:val="single" w:sz="4" w:space="0" w:color="000000"/>
              <w:right w:val="single" w:sz="4" w:space="0" w:color="000000"/>
            </w:tcBorders>
            <w:vAlign w:val="center"/>
            <w:hideMark/>
          </w:tcPr>
          <w:p w14:paraId="160398C7"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1% + ( 3.36 / ( 3.36 + ( -6.11 ) ) ) * ( 8% - 1% )</w:t>
            </w:r>
          </w:p>
        </w:tc>
      </w:tr>
      <w:tr w:rsidR="002F47B2" w:rsidRPr="002F47B2" w14:paraId="6ECC2E4C" w14:textId="77777777" w:rsidTr="002F47B2">
        <w:trPr>
          <w:trHeight w:val="312"/>
        </w:trPr>
        <w:tc>
          <w:tcPr>
            <w:tcW w:w="1146" w:type="pct"/>
            <w:tcBorders>
              <w:top w:val="nil"/>
              <w:left w:val="nil"/>
              <w:bottom w:val="nil"/>
              <w:right w:val="nil"/>
            </w:tcBorders>
            <w:noWrap/>
            <w:vAlign w:val="center"/>
            <w:hideMark/>
          </w:tcPr>
          <w:p w14:paraId="20092FE4"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p>
        </w:tc>
        <w:tc>
          <w:tcPr>
            <w:tcW w:w="563" w:type="pct"/>
            <w:tcBorders>
              <w:top w:val="nil"/>
              <w:left w:val="nil"/>
              <w:bottom w:val="nil"/>
              <w:right w:val="nil"/>
            </w:tcBorders>
            <w:noWrap/>
            <w:vAlign w:val="center"/>
            <w:hideMark/>
          </w:tcPr>
          <w:p w14:paraId="1B7EF0C8"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6FE7EFE9"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2FEBB3E2"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0060B0DC"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186D8D8A"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46" w:type="pct"/>
            <w:tcBorders>
              <w:top w:val="nil"/>
              <w:left w:val="nil"/>
              <w:bottom w:val="nil"/>
              <w:right w:val="nil"/>
            </w:tcBorders>
            <w:noWrap/>
            <w:vAlign w:val="center"/>
            <w:hideMark/>
          </w:tcPr>
          <w:p w14:paraId="3DDBA1A7"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c>
          <w:tcPr>
            <w:tcW w:w="563" w:type="pct"/>
            <w:tcBorders>
              <w:top w:val="nil"/>
              <w:left w:val="nil"/>
              <w:bottom w:val="nil"/>
              <w:right w:val="nil"/>
            </w:tcBorders>
            <w:noWrap/>
            <w:vAlign w:val="center"/>
            <w:hideMark/>
          </w:tcPr>
          <w:p w14:paraId="2DD5668E" w14:textId="77777777" w:rsidR="002F47B2" w:rsidRPr="002F47B2" w:rsidRDefault="002F47B2" w:rsidP="002F47B2">
            <w:pPr>
              <w:spacing w:line="240" w:lineRule="auto"/>
              <w:jc w:val="center"/>
              <w:rPr>
                <w:rFonts w:ascii="Times New Roman" w:eastAsia="Times New Roman" w:hAnsi="Times New Roman" w:cs="Times New Roman"/>
                <w:sz w:val="20"/>
                <w:szCs w:val="20"/>
                <w:lang w:val="en-IN"/>
              </w:rPr>
            </w:pPr>
          </w:p>
        </w:tc>
      </w:tr>
      <w:tr w:rsidR="002F47B2" w:rsidRPr="002F47B2" w14:paraId="205C0E2C" w14:textId="77777777" w:rsidTr="002F47B2">
        <w:trPr>
          <w:trHeight w:val="348"/>
        </w:trPr>
        <w:tc>
          <w:tcPr>
            <w:tcW w:w="5000" w:type="pct"/>
            <w:gridSpan w:val="8"/>
            <w:tcBorders>
              <w:top w:val="single" w:sz="4" w:space="0" w:color="000000"/>
              <w:left w:val="single" w:sz="4" w:space="0" w:color="000000"/>
              <w:bottom w:val="nil"/>
              <w:right w:val="single" w:sz="4" w:space="0" w:color="000000"/>
            </w:tcBorders>
            <w:noWrap/>
            <w:vAlign w:val="center"/>
            <w:hideMark/>
          </w:tcPr>
          <w:p w14:paraId="2A191C36" w14:textId="77777777" w:rsidR="002F47B2" w:rsidRPr="002F47B2" w:rsidRDefault="002F47B2" w:rsidP="002F47B2">
            <w:pPr>
              <w:spacing w:line="240" w:lineRule="auto"/>
              <w:jc w:val="center"/>
              <w:rPr>
                <w:rFonts w:ascii="Agency FB" w:eastAsia="Times New Roman" w:hAnsi="Agency FB"/>
                <w:b/>
                <w:bCs/>
                <w:color w:val="000000"/>
                <w:sz w:val="28"/>
                <w:szCs w:val="28"/>
                <w:lang w:val="en-IN"/>
              </w:rPr>
            </w:pPr>
            <w:r w:rsidRPr="002F47B2">
              <w:rPr>
                <w:rFonts w:ascii="Agency FB" w:eastAsia="Times New Roman" w:hAnsi="Agency FB"/>
                <w:b/>
                <w:bCs/>
                <w:color w:val="000000"/>
                <w:sz w:val="28"/>
                <w:szCs w:val="28"/>
                <w:lang w:val="en-IN"/>
              </w:rPr>
              <w:t>Internal Rate of Return (Project C)</w:t>
            </w:r>
          </w:p>
        </w:tc>
      </w:tr>
      <w:tr w:rsidR="002F47B2" w:rsidRPr="002F47B2" w14:paraId="03EF79F9" w14:textId="77777777" w:rsidTr="002F47B2">
        <w:trPr>
          <w:trHeight w:val="312"/>
        </w:trPr>
        <w:tc>
          <w:tcPr>
            <w:tcW w:w="1146" w:type="pct"/>
            <w:tcBorders>
              <w:top w:val="single" w:sz="4" w:space="0" w:color="FFFFFF"/>
              <w:left w:val="single" w:sz="4" w:space="0" w:color="FFFFFF"/>
              <w:bottom w:val="single" w:sz="4" w:space="0" w:color="FFFFFF"/>
              <w:right w:val="single" w:sz="4" w:space="0" w:color="FFFFFF"/>
            </w:tcBorders>
            <w:shd w:val="clear" w:color="660000" w:fill="1A5529"/>
            <w:noWrap/>
            <w:vAlign w:val="center"/>
            <w:hideMark/>
          </w:tcPr>
          <w:p w14:paraId="06987D90"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Element</w:t>
            </w:r>
          </w:p>
        </w:tc>
        <w:tc>
          <w:tcPr>
            <w:tcW w:w="563" w:type="pct"/>
            <w:tcBorders>
              <w:top w:val="single" w:sz="4" w:space="0" w:color="FFFFFF"/>
              <w:left w:val="nil"/>
              <w:bottom w:val="single" w:sz="4" w:space="0" w:color="FFFFFF"/>
              <w:right w:val="single" w:sz="4" w:space="0" w:color="FFFFFF"/>
            </w:tcBorders>
            <w:shd w:val="clear" w:color="660000" w:fill="1A5529"/>
            <w:noWrap/>
            <w:vAlign w:val="center"/>
            <w:hideMark/>
          </w:tcPr>
          <w:p w14:paraId="2315AD0B"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0</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119C4D86"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1</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3456CEF1"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2</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014DD569"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3</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2200D92A"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4</w:t>
            </w:r>
          </w:p>
        </w:tc>
        <w:tc>
          <w:tcPr>
            <w:tcW w:w="546" w:type="pct"/>
            <w:tcBorders>
              <w:top w:val="single" w:sz="4" w:space="0" w:color="FFFFFF"/>
              <w:left w:val="nil"/>
              <w:bottom w:val="single" w:sz="4" w:space="0" w:color="FFFFFF"/>
              <w:right w:val="single" w:sz="4" w:space="0" w:color="FFFFFF"/>
            </w:tcBorders>
            <w:shd w:val="clear" w:color="660000" w:fill="1A5529"/>
            <w:noWrap/>
            <w:vAlign w:val="center"/>
            <w:hideMark/>
          </w:tcPr>
          <w:p w14:paraId="1597E6B2"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Year 5</w:t>
            </w:r>
          </w:p>
        </w:tc>
        <w:tc>
          <w:tcPr>
            <w:tcW w:w="563" w:type="pct"/>
            <w:tcBorders>
              <w:top w:val="single" w:sz="4" w:space="0" w:color="FFFFFF"/>
              <w:left w:val="nil"/>
              <w:bottom w:val="single" w:sz="4" w:space="0" w:color="FFFFFF"/>
              <w:right w:val="single" w:sz="4" w:space="0" w:color="FFFFFF"/>
            </w:tcBorders>
            <w:shd w:val="clear" w:color="660000" w:fill="1A5529"/>
            <w:noWrap/>
            <w:vAlign w:val="center"/>
            <w:hideMark/>
          </w:tcPr>
          <w:p w14:paraId="7F79EFBF" w14:textId="77777777" w:rsidR="002F47B2" w:rsidRPr="002F47B2" w:rsidRDefault="002F47B2" w:rsidP="002F47B2">
            <w:pPr>
              <w:spacing w:line="240" w:lineRule="auto"/>
              <w:jc w:val="center"/>
              <w:rPr>
                <w:rFonts w:ascii="Times New Roman" w:eastAsia="Times New Roman" w:hAnsi="Times New Roman" w:cs="Times New Roman"/>
                <w:b/>
                <w:bCs/>
                <w:color w:val="FFFFFF"/>
                <w:sz w:val="24"/>
                <w:szCs w:val="24"/>
                <w:lang w:val="en-IN"/>
              </w:rPr>
            </w:pPr>
            <w:r w:rsidRPr="002F47B2">
              <w:rPr>
                <w:rFonts w:ascii="Times New Roman" w:eastAsia="Times New Roman" w:hAnsi="Times New Roman" w:cs="Times New Roman"/>
                <w:b/>
                <w:bCs/>
                <w:color w:val="FFFFFF"/>
                <w:sz w:val="24"/>
                <w:szCs w:val="24"/>
                <w:lang w:val="en-IN"/>
              </w:rPr>
              <w:t>Total</w:t>
            </w:r>
          </w:p>
        </w:tc>
      </w:tr>
      <w:tr w:rsidR="002F47B2" w:rsidRPr="002F47B2" w14:paraId="37A043C9"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1526FFD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14312E9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(50.00)</w:t>
            </w:r>
          </w:p>
        </w:tc>
        <w:tc>
          <w:tcPr>
            <w:tcW w:w="546" w:type="pct"/>
            <w:tcBorders>
              <w:top w:val="nil"/>
              <w:left w:val="nil"/>
              <w:bottom w:val="single" w:sz="4" w:space="0" w:color="000000"/>
              <w:right w:val="single" w:sz="4" w:space="0" w:color="000000"/>
            </w:tcBorders>
            <w:noWrap/>
            <w:vAlign w:val="center"/>
            <w:hideMark/>
          </w:tcPr>
          <w:p w14:paraId="3DD5817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546" w:type="pct"/>
            <w:tcBorders>
              <w:top w:val="nil"/>
              <w:left w:val="nil"/>
              <w:bottom w:val="single" w:sz="4" w:space="0" w:color="000000"/>
              <w:right w:val="single" w:sz="4" w:space="0" w:color="000000"/>
            </w:tcBorders>
            <w:noWrap/>
            <w:vAlign w:val="center"/>
            <w:hideMark/>
          </w:tcPr>
          <w:p w14:paraId="42D4A2E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10.00 </w:t>
            </w:r>
          </w:p>
        </w:tc>
        <w:tc>
          <w:tcPr>
            <w:tcW w:w="546" w:type="pct"/>
            <w:tcBorders>
              <w:top w:val="nil"/>
              <w:left w:val="nil"/>
              <w:bottom w:val="single" w:sz="4" w:space="0" w:color="000000"/>
              <w:right w:val="single" w:sz="4" w:space="0" w:color="000000"/>
            </w:tcBorders>
            <w:noWrap/>
            <w:vAlign w:val="center"/>
            <w:hideMark/>
          </w:tcPr>
          <w:p w14:paraId="727B18C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20.00 </w:t>
            </w:r>
          </w:p>
        </w:tc>
        <w:tc>
          <w:tcPr>
            <w:tcW w:w="546" w:type="pct"/>
            <w:tcBorders>
              <w:top w:val="nil"/>
              <w:left w:val="nil"/>
              <w:bottom w:val="single" w:sz="4" w:space="0" w:color="000000"/>
              <w:right w:val="single" w:sz="4" w:space="0" w:color="000000"/>
            </w:tcBorders>
            <w:noWrap/>
            <w:vAlign w:val="center"/>
            <w:hideMark/>
          </w:tcPr>
          <w:p w14:paraId="7771F9A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25.00 </w:t>
            </w:r>
          </w:p>
        </w:tc>
        <w:tc>
          <w:tcPr>
            <w:tcW w:w="546" w:type="pct"/>
            <w:tcBorders>
              <w:top w:val="nil"/>
              <w:left w:val="nil"/>
              <w:bottom w:val="single" w:sz="4" w:space="0" w:color="000000"/>
              <w:right w:val="single" w:sz="4" w:space="0" w:color="000000"/>
            </w:tcBorders>
            <w:noWrap/>
            <w:vAlign w:val="center"/>
            <w:hideMark/>
          </w:tcPr>
          <w:p w14:paraId="6A8395F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5.00 </w:t>
            </w:r>
          </w:p>
        </w:tc>
        <w:tc>
          <w:tcPr>
            <w:tcW w:w="563" w:type="pct"/>
            <w:tcBorders>
              <w:top w:val="nil"/>
              <w:left w:val="nil"/>
              <w:bottom w:val="single" w:sz="4" w:space="0" w:color="000000"/>
              <w:right w:val="single" w:sz="4" w:space="0" w:color="000000"/>
            </w:tcBorders>
            <w:noWrap/>
            <w:vAlign w:val="center"/>
            <w:hideMark/>
          </w:tcPr>
          <w:p w14:paraId="551C3EC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15.00 </w:t>
            </w:r>
          </w:p>
        </w:tc>
      </w:tr>
      <w:tr w:rsidR="002F47B2" w:rsidRPr="002F47B2" w14:paraId="4E623B25"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1A554F69"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2%</w:t>
            </w:r>
          </w:p>
        </w:tc>
        <w:tc>
          <w:tcPr>
            <w:tcW w:w="563" w:type="pct"/>
            <w:tcBorders>
              <w:top w:val="nil"/>
              <w:left w:val="nil"/>
              <w:bottom w:val="single" w:sz="4" w:space="0" w:color="000000"/>
              <w:right w:val="single" w:sz="4" w:space="0" w:color="000000"/>
            </w:tcBorders>
            <w:noWrap/>
            <w:vAlign w:val="center"/>
            <w:hideMark/>
          </w:tcPr>
          <w:p w14:paraId="55D43D5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4A43314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0.990</w:t>
            </w:r>
          </w:p>
        </w:tc>
        <w:tc>
          <w:tcPr>
            <w:tcW w:w="546" w:type="pct"/>
            <w:tcBorders>
              <w:top w:val="nil"/>
              <w:left w:val="nil"/>
              <w:bottom w:val="single" w:sz="4" w:space="0" w:color="000000"/>
              <w:right w:val="single" w:sz="4" w:space="0" w:color="000000"/>
            </w:tcBorders>
            <w:noWrap/>
            <w:vAlign w:val="center"/>
            <w:hideMark/>
          </w:tcPr>
          <w:p w14:paraId="0EC5C9A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0.980</w:t>
            </w:r>
          </w:p>
        </w:tc>
        <w:tc>
          <w:tcPr>
            <w:tcW w:w="546" w:type="pct"/>
            <w:tcBorders>
              <w:top w:val="nil"/>
              <w:left w:val="nil"/>
              <w:bottom w:val="single" w:sz="4" w:space="0" w:color="000000"/>
              <w:right w:val="single" w:sz="4" w:space="0" w:color="000000"/>
            </w:tcBorders>
            <w:noWrap/>
            <w:vAlign w:val="center"/>
            <w:hideMark/>
          </w:tcPr>
          <w:p w14:paraId="54D6F91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0.970</w:t>
            </w:r>
          </w:p>
        </w:tc>
        <w:tc>
          <w:tcPr>
            <w:tcW w:w="546" w:type="pct"/>
            <w:tcBorders>
              <w:top w:val="nil"/>
              <w:left w:val="nil"/>
              <w:bottom w:val="single" w:sz="4" w:space="0" w:color="000000"/>
              <w:right w:val="single" w:sz="4" w:space="0" w:color="000000"/>
            </w:tcBorders>
            <w:noWrap/>
            <w:vAlign w:val="center"/>
            <w:hideMark/>
          </w:tcPr>
          <w:p w14:paraId="561EE23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0.960</w:t>
            </w:r>
          </w:p>
        </w:tc>
        <w:tc>
          <w:tcPr>
            <w:tcW w:w="546" w:type="pct"/>
            <w:tcBorders>
              <w:top w:val="nil"/>
              <w:left w:val="nil"/>
              <w:bottom w:val="single" w:sz="4" w:space="0" w:color="000000"/>
              <w:right w:val="single" w:sz="4" w:space="0" w:color="000000"/>
            </w:tcBorders>
            <w:noWrap/>
            <w:vAlign w:val="center"/>
            <w:hideMark/>
          </w:tcPr>
          <w:p w14:paraId="79DA13C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0.951</w:t>
            </w:r>
          </w:p>
        </w:tc>
        <w:tc>
          <w:tcPr>
            <w:tcW w:w="563" w:type="pct"/>
            <w:tcBorders>
              <w:top w:val="nil"/>
              <w:left w:val="nil"/>
              <w:bottom w:val="single" w:sz="4" w:space="0" w:color="000000"/>
              <w:right w:val="single" w:sz="4" w:space="0" w:color="000000"/>
            </w:tcBorders>
            <w:noWrap/>
            <w:vAlign w:val="center"/>
            <w:hideMark/>
          </w:tcPr>
          <w:p w14:paraId="3E3690E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51881A9C"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2983E7F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44679DD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561E2AA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4.95</w:t>
            </w:r>
          </w:p>
        </w:tc>
        <w:tc>
          <w:tcPr>
            <w:tcW w:w="546" w:type="pct"/>
            <w:tcBorders>
              <w:top w:val="nil"/>
              <w:left w:val="nil"/>
              <w:bottom w:val="single" w:sz="4" w:space="0" w:color="000000"/>
              <w:right w:val="single" w:sz="4" w:space="0" w:color="000000"/>
            </w:tcBorders>
            <w:noWrap/>
            <w:vAlign w:val="center"/>
            <w:hideMark/>
          </w:tcPr>
          <w:p w14:paraId="5E57065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9.80</w:t>
            </w:r>
          </w:p>
        </w:tc>
        <w:tc>
          <w:tcPr>
            <w:tcW w:w="546" w:type="pct"/>
            <w:tcBorders>
              <w:top w:val="nil"/>
              <w:left w:val="nil"/>
              <w:bottom w:val="single" w:sz="4" w:space="0" w:color="000000"/>
              <w:right w:val="single" w:sz="4" w:space="0" w:color="000000"/>
            </w:tcBorders>
            <w:noWrap/>
            <w:vAlign w:val="center"/>
            <w:hideMark/>
          </w:tcPr>
          <w:p w14:paraId="4B9AD78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19.40</w:t>
            </w:r>
          </w:p>
        </w:tc>
        <w:tc>
          <w:tcPr>
            <w:tcW w:w="546" w:type="pct"/>
            <w:tcBorders>
              <w:top w:val="nil"/>
              <w:left w:val="nil"/>
              <w:bottom w:val="single" w:sz="4" w:space="0" w:color="000000"/>
              <w:right w:val="single" w:sz="4" w:space="0" w:color="000000"/>
            </w:tcBorders>
            <w:noWrap/>
            <w:vAlign w:val="center"/>
            <w:hideMark/>
          </w:tcPr>
          <w:p w14:paraId="0E4B180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24.00</w:t>
            </w:r>
          </w:p>
        </w:tc>
        <w:tc>
          <w:tcPr>
            <w:tcW w:w="546" w:type="pct"/>
            <w:tcBorders>
              <w:top w:val="nil"/>
              <w:left w:val="nil"/>
              <w:bottom w:val="single" w:sz="4" w:space="0" w:color="000000"/>
              <w:right w:val="single" w:sz="4" w:space="0" w:color="000000"/>
            </w:tcBorders>
            <w:noWrap/>
            <w:vAlign w:val="center"/>
            <w:hideMark/>
          </w:tcPr>
          <w:p w14:paraId="71E6ABE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4.76</w:t>
            </w:r>
          </w:p>
        </w:tc>
        <w:tc>
          <w:tcPr>
            <w:tcW w:w="563" w:type="pct"/>
            <w:tcBorders>
              <w:top w:val="nil"/>
              <w:left w:val="nil"/>
              <w:bottom w:val="single" w:sz="4" w:space="0" w:color="000000"/>
              <w:right w:val="single" w:sz="4" w:space="0" w:color="000000"/>
            </w:tcBorders>
            <w:noWrap/>
            <w:vAlign w:val="center"/>
            <w:hideMark/>
          </w:tcPr>
          <w:p w14:paraId="395D761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w:t>
            </w:r>
            <w:r w:rsidRPr="002F47B2">
              <w:rPr>
                <w:rFonts w:ascii="Times New Roman" w:eastAsia="Times New Roman" w:hAnsi="Times New Roman" w:cs="Times New Roman"/>
                <w:color w:val="000000"/>
                <w:sz w:val="24"/>
                <w:szCs w:val="24"/>
                <w:lang w:val="en-IN"/>
              </w:rPr>
              <w:lastRenderedPageBreak/>
              <w:t xml:space="preserve">12.91 </w:t>
            </w:r>
          </w:p>
        </w:tc>
      </w:tr>
      <w:tr w:rsidR="002F47B2" w:rsidRPr="002F47B2" w14:paraId="46CD3C5C"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6D71ACB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lastRenderedPageBreak/>
              <w:t> </w:t>
            </w:r>
          </w:p>
        </w:tc>
        <w:tc>
          <w:tcPr>
            <w:tcW w:w="563" w:type="pct"/>
            <w:tcBorders>
              <w:top w:val="nil"/>
              <w:left w:val="nil"/>
              <w:bottom w:val="single" w:sz="4" w:space="0" w:color="000000"/>
              <w:right w:val="single" w:sz="4" w:space="0" w:color="000000"/>
            </w:tcBorders>
            <w:noWrap/>
            <w:vAlign w:val="center"/>
            <w:hideMark/>
          </w:tcPr>
          <w:p w14:paraId="3CFC8EE0"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4001F47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60CC2A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293CAA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AD1F73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340568D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E950AD4"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67FE1B15"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4A916AF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47C2566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0578CBB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w:t>
            </w:r>
          </w:p>
        </w:tc>
        <w:tc>
          <w:tcPr>
            <w:tcW w:w="546" w:type="pct"/>
            <w:tcBorders>
              <w:top w:val="nil"/>
              <w:left w:val="nil"/>
              <w:bottom w:val="single" w:sz="4" w:space="0" w:color="000000"/>
              <w:right w:val="single" w:sz="4" w:space="0" w:color="000000"/>
            </w:tcBorders>
            <w:noWrap/>
            <w:vAlign w:val="center"/>
            <w:hideMark/>
          </w:tcPr>
          <w:p w14:paraId="062BE45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10.00</w:t>
            </w:r>
          </w:p>
        </w:tc>
        <w:tc>
          <w:tcPr>
            <w:tcW w:w="546" w:type="pct"/>
            <w:tcBorders>
              <w:top w:val="nil"/>
              <w:left w:val="nil"/>
              <w:bottom w:val="single" w:sz="4" w:space="0" w:color="000000"/>
              <w:right w:val="single" w:sz="4" w:space="0" w:color="000000"/>
            </w:tcBorders>
            <w:noWrap/>
            <w:vAlign w:val="center"/>
            <w:hideMark/>
          </w:tcPr>
          <w:p w14:paraId="5CE4255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20.00</w:t>
            </w:r>
          </w:p>
        </w:tc>
        <w:tc>
          <w:tcPr>
            <w:tcW w:w="546" w:type="pct"/>
            <w:tcBorders>
              <w:top w:val="nil"/>
              <w:left w:val="nil"/>
              <w:bottom w:val="single" w:sz="4" w:space="0" w:color="000000"/>
              <w:right w:val="single" w:sz="4" w:space="0" w:color="000000"/>
            </w:tcBorders>
            <w:noWrap/>
            <w:vAlign w:val="center"/>
            <w:hideMark/>
          </w:tcPr>
          <w:p w14:paraId="377A445E"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25.00</w:t>
            </w:r>
          </w:p>
        </w:tc>
        <w:tc>
          <w:tcPr>
            <w:tcW w:w="546" w:type="pct"/>
            <w:tcBorders>
              <w:top w:val="nil"/>
              <w:left w:val="nil"/>
              <w:bottom w:val="single" w:sz="4" w:space="0" w:color="000000"/>
              <w:right w:val="single" w:sz="4" w:space="0" w:color="000000"/>
            </w:tcBorders>
            <w:noWrap/>
            <w:vAlign w:val="center"/>
            <w:hideMark/>
          </w:tcPr>
          <w:p w14:paraId="689D8CF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w:t>
            </w:r>
          </w:p>
        </w:tc>
        <w:tc>
          <w:tcPr>
            <w:tcW w:w="563" w:type="pct"/>
            <w:tcBorders>
              <w:top w:val="nil"/>
              <w:left w:val="nil"/>
              <w:bottom w:val="single" w:sz="4" w:space="0" w:color="000000"/>
              <w:right w:val="single" w:sz="4" w:space="0" w:color="000000"/>
            </w:tcBorders>
            <w:noWrap/>
            <w:vAlign w:val="center"/>
            <w:hideMark/>
          </w:tcPr>
          <w:p w14:paraId="7F367A4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15.00 </w:t>
            </w:r>
          </w:p>
        </w:tc>
      </w:tr>
      <w:tr w:rsidR="002F47B2" w:rsidRPr="002F47B2" w14:paraId="1E1E051D" w14:textId="77777777" w:rsidTr="002F47B2">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1A61E972" w14:textId="77777777" w:rsidR="002F47B2" w:rsidRPr="002F47B2" w:rsidRDefault="002F47B2" w:rsidP="002F47B2">
            <w:pPr>
              <w:spacing w:line="240" w:lineRule="auto"/>
              <w:jc w:val="center"/>
              <w:rPr>
                <w:rFonts w:ascii="Times New Roman" w:eastAsia="Times New Roman" w:hAnsi="Times New Roman" w:cs="Times New Roman"/>
                <w:b/>
                <w:bCs/>
                <w:i/>
                <w:iCs/>
                <w:color w:val="000000"/>
                <w:sz w:val="24"/>
                <w:szCs w:val="24"/>
                <w:lang w:val="en-IN"/>
              </w:rPr>
            </w:pPr>
            <w:r w:rsidRPr="002F47B2">
              <w:rPr>
                <w:rFonts w:ascii="Times New Roman" w:eastAsia="Times New Roman" w:hAnsi="Times New Roman" w:cs="Times New Roman"/>
                <w:b/>
                <w:bCs/>
                <w:i/>
                <w:iCs/>
                <w:color w:val="000000"/>
                <w:sz w:val="24"/>
                <w:szCs w:val="24"/>
                <w:lang w:val="en-IN"/>
              </w:rPr>
              <w:t>Discount Factor (DF) 8%</w:t>
            </w:r>
          </w:p>
        </w:tc>
        <w:tc>
          <w:tcPr>
            <w:tcW w:w="563" w:type="pct"/>
            <w:tcBorders>
              <w:top w:val="nil"/>
              <w:left w:val="nil"/>
              <w:bottom w:val="single" w:sz="4" w:space="0" w:color="000000"/>
              <w:right w:val="single" w:sz="4" w:space="0" w:color="000000"/>
            </w:tcBorders>
            <w:noWrap/>
            <w:vAlign w:val="center"/>
            <w:hideMark/>
          </w:tcPr>
          <w:p w14:paraId="394574B6"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389B29B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0.925</w:t>
            </w:r>
          </w:p>
        </w:tc>
        <w:tc>
          <w:tcPr>
            <w:tcW w:w="546" w:type="pct"/>
            <w:tcBorders>
              <w:top w:val="nil"/>
              <w:left w:val="nil"/>
              <w:bottom w:val="single" w:sz="4" w:space="0" w:color="000000"/>
              <w:right w:val="single" w:sz="4" w:space="0" w:color="000000"/>
            </w:tcBorders>
            <w:noWrap/>
            <w:vAlign w:val="center"/>
            <w:hideMark/>
          </w:tcPr>
          <w:p w14:paraId="339CCCF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0.857</w:t>
            </w:r>
          </w:p>
        </w:tc>
        <w:tc>
          <w:tcPr>
            <w:tcW w:w="546" w:type="pct"/>
            <w:tcBorders>
              <w:top w:val="nil"/>
              <w:left w:val="nil"/>
              <w:bottom w:val="single" w:sz="4" w:space="0" w:color="000000"/>
              <w:right w:val="single" w:sz="4" w:space="0" w:color="000000"/>
            </w:tcBorders>
            <w:noWrap/>
            <w:vAlign w:val="center"/>
            <w:hideMark/>
          </w:tcPr>
          <w:p w14:paraId="216F038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0.793</w:t>
            </w:r>
          </w:p>
        </w:tc>
        <w:tc>
          <w:tcPr>
            <w:tcW w:w="546" w:type="pct"/>
            <w:tcBorders>
              <w:top w:val="nil"/>
              <w:left w:val="nil"/>
              <w:bottom w:val="single" w:sz="4" w:space="0" w:color="000000"/>
              <w:right w:val="single" w:sz="4" w:space="0" w:color="000000"/>
            </w:tcBorders>
            <w:noWrap/>
            <w:vAlign w:val="center"/>
            <w:hideMark/>
          </w:tcPr>
          <w:p w14:paraId="3AE6506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0.735</w:t>
            </w:r>
          </w:p>
        </w:tc>
        <w:tc>
          <w:tcPr>
            <w:tcW w:w="546" w:type="pct"/>
            <w:tcBorders>
              <w:top w:val="nil"/>
              <w:left w:val="nil"/>
              <w:bottom w:val="single" w:sz="4" w:space="0" w:color="000000"/>
              <w:right w:val="single" w:sz="4" w:space="0" w:color="000000"/>
            </w:tcBorders>
            <w:noWrap/>
            <w:vAlign w:val="center"/>
            <w:hideMark/>
          </w:tcPr>
          <w:p w14:paraId="30A7E99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0.680</w:t>
            </w:r>
          </w:p>
        </w:tc>
        <w:tc>
          <w:tcPr>
            <w:tcW w:w="563" w:type="pct"/>
            <w:tcBorders>
              <w:top w:val="nil"/>
              <w:left w:val="nil"/>
              <w:bottom w:val="single" w:sz="4" w:space="0" w:color="000000"/>
              <w:right w:val="single" w:sz="4" w:space="0" w:color="000000"/>
            </w:tcBorders>
            <w:noWrap/>
            <w:vAlign w:val="center"/>
            <w:hideMark/>
          </w:tcPr>
          <w:p w14:paraId="34B85191"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120B9DBB"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0B6F06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05320C45"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6C0D6CE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4.63</w:t>
            </w:r>
          </w:p>
        </w:tc>
        <w:tc>
          <w:tcPr>
            <w:tcW w:w="546" w:type="pct"/>
            <w:tcBorders>
              <w:top w:val="nil"/>
              <w:left w:val="nil"/>
              <w:bottom w:val="single" w:sz="4" w:space="0" w:color="000000"/>
              <w:right w:val="single" w:sz="4" w:space="0" w:color="000000"/>
            </w:tcBorders>
            <w:noWrap/>
            <w:vAlign w:val="center"/>
            <w:hideMark/>
          </w:tcPr>
          <w:p w14:paraId="5A1814AC"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8.57</w:t>
            </w:r>
          </w:p>
        </w:tc>
        <w:tc>
          <w:tcPr>
            <w:tcW w:w="546" w:type="pct"/>
            <w:tcBorders>
              <w:top w:val="nil"/>
              <w:left w:val="nil"/>
              <w:bottom w:val="single" w:sz="4" w:space="0" w:color="000000"/>
              <w:right w:val="single" w:sz="4" w:space="0" w:color="000000"/>
            </w:tcBorders>
            <w:noWrap/>
            <w:vAlign w:val="center"/>
            <w:hideMark/>
          </w:tcPr>
          <w:p w14:paraId="68DDE5F8"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15.86</w:t>
            </w:r>
          </w:p>
        </w:tc>
        <w:tc>
          <w:tcPr>
            <w:tcW w:w="546" w:type="pct"/>
            <w:tcBorders>
              <w:top w:val="nil"/>
              <w:left w:val="nil"/>
              <w:bottom w:val="single" w:sz="4" w:space="0" w:color="000000"/>
              <w:right w:val="single" w:sz="4" w:space="0" w:color="000000"/>
            </w:tcBorders>
            <w:noWrap/>
            <w:vAlign w:val="center"/>
            <w:hideMark/>
          </w:tcPr>
          <w:p w14:paraId="23CC52F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18.38</w:t>
            </w:r>
          </w:p>
        </w:tc>
        <w:tc>
          <w:tcPr>
            <w:tcW w:w="546" w:type="pct"/>
            <w:tcBorders>
              <w:top w:val="nil"/>
              <w:left w:val="nil"/>
              <w:bottom w:val="single" w:sz="4" w:space="0" w:color="000000"/>
              <w:right w:val="single" w:sz="4" w:space="0" w:color="000000"/>
            </w:tcBorders>
            <w:noWrap/>
            <w:vAlign w:val="center"/>
            <w:hideMark/>
          </w:tcPr>
          <w:p w14:paraId="709832A2"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3.40</w:t>
            </w:r>
          </w:p>
        </w:tc>
        <w:tc>
          <w:tcPr>
            <w:tcW w:w="563" w:type="pct"/>
            <w:tcBorders>
              <w:top w:val="nil"/>
              <w:left w:val="nil"/>
              <w:bottom w:val="single" w:sz="4" w:space="0" w:color="000000"/>
              <w:right w:val="single" w:sz="4" w:space="0" w:color="000000"/>
            </w:tcBorders>
            <w:noWrap/>
            <w:vAlign w:val="center"/>
            <w:hideMark/>
          </w:tcPr>
          <w:p w14:paraId="19DB6DAF"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xml:space="preserve"> £          0.83 </w:t>
            </w:r>
          </w:p>
        </w:tc>
      </w:tr>
      <w:tr w:rsidR="002F47B2" w:rsidRPr="002F47B2" w14:paraId="49F5E741"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62AEC98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66761B8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C0B01E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D55D2EA"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0893179"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3A3BE053"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619A32D"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095B2B7"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r>
      <w:tr w:rsidR="002F47B2" w:rsidRPr="002F47B2" w14:paraId="483F14AB"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79B57B1B" w14:textId="77777777" w:rsidR="002F47B2" w:rsidRPr="002F47B2" w:rsidRDefault="002F47B2" w:rsidP="002F47B2">
            <w:pPr>
              <w:spacing w:line="240" w:lineRule="auto"/>
              <w:jc w:val="center"/>
              <w:rPr>
                <w:rFonts w:ascii="Times New Roman" w:eastAsia="Times New Roman" w:hAnsi="Times New Roman" w:cs="Times New Roman"/>
                <w:color w:val="000000"/>
                <w:sz w:val="24"/>
                <w:szCs w:val="24"/>
                <w:lang w:val="en-IN"/>
              </w:rPr>
            </w:pPr>
            <w:r w:rsidRPr="002F47B2">
              <w:rPr>
                <w:rFonts w:ascii="Times New Roman" w:eastAsia="Times New Roman" w:hAnsi="Times New Roman" w:cs="Times New Roman"/>
                <w:color w:val="000000"/>
                <w:sz w:val="24"/>
                <w:szCs w:val="24"/>
                <w:lang w:val="en-IN"/>
              </w:rPr>
              <w:t> </w:t>
            </w:r>
          </w:p>
        </w:tc>
        <w:tc>
          <w:tcPr>
            <w:tcW w:w="3854" w:type="pct"/>
            <w:gridSpan w:val="7"/>
            <w:tcBorders>
              <w:top w:val="single" w:sz="4" w:space="0" w:color="000000"/>
              <w:left w:val="nil"/>
              <w:bottom w:val="single" w:sz="4" w:space="0" w:color="000000"/>
              <w:right w:val="single" w:sz="4" w:space="0" w:color="000000"/>
            </w:tcBorders>
            <w:vAlign w:val="center"/>
            <w:hideMark/>
          </w:tcPr>
          <w:p w14:paraId="4240BA7D"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Low % + [(Positive NPV / Total Range in NPVs) * (High % - Low %)]</w:t>
            </w:r>
          </w:p>
        </w:tc>
      </w:tr>
      <w:tr w:rsidR="002F47B2" w:rsidRPr="002F47B2" w14:paraId="20DD7670" w14:textId="77777777" w:rsidTr="002F47B2">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708B3FF" w14:textId="77777777" w:rsidR="002F47B2" w:rsidRPr="002F47B2" w:rsidRDefault="002F47B2" w:rsidP="002F47B2">
            <w:pPr>
              <w:spacing w:line="240" w:lineRule="auto"/>
              <w:jc w:val="center"/>
              <w:rPr>
                <w:rFonts w:ascii="Times New Roman" w:eastAsia="Times New Roman" w:hAnsi="Times New Roman" w:cs="Times New Roman"/>
                <w:b/>
                <w:bCs/>
                <w:color w:val="000000"/>
                <w:sz w:val="24"/>
                <w:szCs w:val="24"/>
                <w:lang w:val="en-IN"/>
              </w:rPr>
            </w:pPr>
            <w:r w:rsidRPr="002F47B2">
              <w:rPr>
                <w:rFonts w:ascii="Times New Roman" w:eastAsia="Times New Roman" w:hAnsi="Times New Roman" w:cs="Times New Roman"/>
                <w:b/>
                <w:bCs/>
                <w:color w:val="000000"/>
                <w:sz w:val="24"/>
                <w:szCs w:val="24"/>
                <w:lang w:val="en-IN"/>
              </w:rPr>
              <w:t>Internal Rate of Return</w:t>
            </w:r>
          </w:p>
        </w:tc>
        <w:tc>
          <w:tcPr>
            <w:tcW w:w="563" w:type="pct"/>
            <w:tcBorders>
              <w:top w:val="nil"/>
              <w:left w:val="nil"/>
              <w:bottom w:val="single" w:sz="4" w:space="0" w:color="000000"/>
              <w:right w:val="single" w:sz="4" w:space="0" w:color="000000"/>
            </w:tcBorders>
            <w:noWrap/>
            <w:vAlign w:val="center"/>
            <w:hideMark/>
          </w:tcPr>
          <w:p w14:paraId="63EE093D" w14:textId="77777777" w:rsidR="002F47B2" w:rsidRPr="002F47B2" w:rsidRDefault="002F47B2" w:rsidP="002F47B2">
            <w:pPr>
              <w:spacing w:line="240" w:lineRule="auto"/>
              <w:jc w:val="center"/>
              <w:rPr>
                <w:rFonts w:ascii="Times New Roman" w:eastAsia="Times New Roman" w:hAnsi="Times New Roman" w:cs="Times New Roman"/>
                <w:b/>
                <w:bCs/>
                <w:color w:val="274E13"/>
                <w:sz w:val="24"/>
                <w:szCs w:val="24"/>
                <w:lang w:val="en-IN"/>
              </w:rPr>
            </w:pPr>
            <w:r w:rsidRPr="002F47B2">
              <w:rPr>
                <w:rFonts w:ascii="Times New Roman" w:eastAsia="Times New Roman" w:hAnsi="Times New Roman" w:cs="Times New Roman"/>
                <w:b/>
                <w:bCs/>
                <w:color w:val="274E13"/>
                <w:sz w:val="24"/>
                <w:szCs w:val="24"/>
                <w:lang w:val="en-IN"/>
              </w:rPr>
              <w:t>7.58%</w:t>
            </w:r>
          </w:p>
        </w:tc>
        <w:tc>
          <w:tcPr>
            <w:tcW w:w="3291" w:type="pct"/>
            <w:gridSpan w:val="6"/>
            <w:tcBorders>
              <w:top w:val="single" w:sz="4" w:space="0" w:color="000000"/>
              <w:left w:val="nil"/>
              <w:bottom w:val="single" w:sz="4" w:space="0" w:color="000000"/>
              <w:right w:val="single" w:sz="4" w:space="0" w:color="000000"/>
            </w:tcBorders>
            <w:vAlign w:val="center"/>
            <w:hideMark/>
          </w:tcPr>
          <w:p w14:paraId="3DE54D91" w14:textId="77777777" w:rsidR="002F47B2" w:rsidRPr="002F47B2" w:rsidRDefault="002F47B2" w:rsidP="002F47B2">
            <w:pPr>
              <w:spacing w:line="240" w:lineRule="auto"/>
              <w:jc w:val="center"/>
              <w:rPr>
                <w:rFonts w:ascii="Times New Roman" w:eastAsia="Times New Roman" w:hAnsi="Times New Roman" w:cs="Times New Roman"/>
                <w:color w:val="274E13"/>
                <w:sz w:val="24"/>
                <w:szCs w:val="24"/>
                <w:lang w:val="en-IN"/>
              </w:rPr>
            </w:pPr>
            <w:r w:rsidRPr="002F47B2">
              <w:rPr>
                <w:rFonts w:ascii="Times New Roman" w:eastAsia="Times New Roman" w:hAnsi="Times New Roman" w:cs="Times New Roman"/>
                <w:color w:val="274E13"/>
                <w:sz w:val="24"/>
                <w:szCs w:val="24"/>
                <w:lang w:val="en-IN"/>
              </w:rPr>
              <w:t>1% + ( 12.91 / ( 12.91 + 0.83 ) ) * ( 8% - 1% )</w:t>
            </w:r>
          </w:p>
        </w:tc>
      </w:tr>
    </w:tbl>
    <w:p w14:paraId="0046C642" w14:textId="77777777" w:rsidR="00455672" w:rsidRPr="002F47B2" w:rsidRDefault="00455672">
      <w:pPr>
        <w:spacing w:after="240" w:line="360" w:lineRule="auto"/>
        <w:jc w:val="both"/>
        <w:rPr>
          <w:sz w:val="24"/>
          <w:szCs w:val="24"/>
        </w:rPr>
      </w:pPr>
    </w:p>
    <w:sectPr w:rsidR="00455672" w:rsidRPr="002F47B2" w:rsidSect="0023408D">
      <w:footerReference w:type="default" r:id="rId4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0839D2" w14:textId="77777777" w:rsidR="00011EC5" w:rsidRDefault="00011EC5" w:rsidP="008C112D">
      <w:pPr>
        <w:spacing w:line="240" w:lineRule="auto"/>
      </w:pPr>
      <w:r>
        <w:separator/>
      </w:r>
    </w:p>
  </w:endnote>
  <w:endnote w:type="continuationSeparator" w:id="0">
    <w:p w14:paraId="34062A86" w14:textId="77777777" w:rsidR="00011EC5" w:rsidRDefault="00011EC5" w:rsidP="008C11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1627023-C4C0-4C22-8E55-EB8D248CCEEC}"/>
  </w:font>
  <w:font w:name="Tahoma">
    <w:panose1 w:val="020B0604030504040204"/>
    <w:charset w:val="00"/>
    <w:family w:val="swiss"/>
    <w:pitch w:val="variable"/>
    <w:sig w:usb0="E1002EFF" w:usb1="C000605B" w:usb2="00000029" w:usb3="00000000" w:csb0="000101FF" w:csb1="00000000"/>
    <w:embedRegular r:id="rId2" w:fontKey="{5EE0611C-3D9B-4180-B8CF-BFCF3D17A433}"/>
  </w:font>
  <w:font w:name="Cambria">
    <w:panose1 w:val="02040503050406030204"/>
    <w:charset w:val="00"/>
    <w:family w:val="roman"/>
    <w:pitch w:val="variable"/>
    <w:sig w:usb0="E00006FF" w:usb1="420024FF" w:usb2="02000000" w:usb3="00000000" w:csb0="0000019F" w:csb1="00000000"/>
    <w:embedRegular r:id="rId3" w:fontKey="{DDA5B4CD-78DA-4D38-BEE5-7584CB0023DB}"/>
  </w:font>
  <w:font w:name="Geist Fallback">
    <w:altName w:val="Cambria"/>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embedBold r:id="rId4" w:fontKey="{31B36F8D-AE46-4D38-A046-FAA64DA7C27A}"/>
  </w:font>
  <w:font w:name="Cavea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0203263"/>
      <w:docPartObj>
        <w:docPartGallery w:val="Page Numbers (Bottom of Page)"/>
        <w:docPartUnique/>
      </w:docPartObj>
    </w:sdtPr>
    <w:sdtEndPr>
      <w:rPr>
        <w:noProof/>
      </w:rPr>
    </w:sdtEndPr>
    <w:sdtContent>
      <w:p w14:paraId="625895E1" w14:textId="2F9FCCBA" w:rsidR="0023408D" w:rsidRDefault="0023408D">
        <w:pPr>
          <w:pStyle w:val="Footer"/>
          <w:jc w:val="right"/>
        </w:pPr>
        <w:r>
          <w:fldChar w:fldCharType="begin"/>
        </w:r>
        <w:r>
          <w:instrText xml:space="preserve"> PAGE   \* MERGEFORMAT </w:instrText>
        </w:r>
        <w:r>
          <w:fldChar w:fldCharType="separate"/>
        </w:r>
        <w:r w:rsidR="00F9373F">
          <w:rPr>
            <w:noProof/>
          </w:rPr>
          <w:t>44</w:t>
        </w:r>
        <w:r>
          <w:rPr>
            <w:noProof/>
          </w:rPr>
          <w:fldChar w:fldCharType="end"/>
        </w:r>
      </w:p>
    </w:sdtContent>
  </w:sdt>
  <w:p w14:paraId="0CE6FE19" w14:textId="77777777" w:rsidR="0023408D" w:rsidRDefault="002340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BE3AB" w14:textId="77777777" w:rsidR="00011EC5" w:rsidRDefault="00011EC5" w:rsidP="008C112D">
      <w:pPr>
        <w:spacing w:line="240" w:lineRule="auto"/>
      </w:pPr>
      <w:r>
        <w:separator/>
      </w:r>
    </w:p>
  </w:footnote>
  <w:footnote w:type="continuationSeparator" w:id="0">
    <w:p w14:paraId="1D4D47B5" w14:textId="77777777" w:rsidR="00011EC5" w:rsidRDefault="00011EC5" w:rsidP="008C11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37D"/>
    <w:rsid w:val="00011EC5"/>
    <w:rsid w:val="000B0ED8"/>
    <w:rsid w:val="000F1D0C"/>
    <w:rsid w:val="0023408D"/>
    <w:rsid w:val="002F47B2"/>
    <w:rsid w:val="003271C0"/>
    <w:rsid w:val="00455672"/>
    <w:rsid w:val="004C75AF"/>
    <w:rsid w:val="00607ACA"/>
    <w:rsid w:val="006C0151"/>
    <w:rsid w:val="008C112D"/>
    <w:rsid w:val="0091318F"/>
    <w:rsid w:val="00922B6E"/>
    <w:rsid w:val="00A24091"/>
    <w:rsid w:val="00BB3302"/>
    <w:rsid w:val="00CC38D9"/>
    <w:rsid w:val="00E10ED9"/>
    <w:rsid w:val="00F7191E"/>
    <w:rsid w:val="00F9373F"/>
    <w:rsid w:val="00FD737D"/>
    <w:rsid w:val="00FF28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1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FF28E3"/>
    <w:pPr>
      <w:spacing w:before="480" w:after="120" w:line="360" w:lineRule="auto"/>
      <w:jc w:val="both"/>
      <w:outlineLvl w:val="0"/>
    </w:pPr>
    <w:rPr>
      <w:b/>
      <w:bCs/>
      <w:sz w:val="28"/>
      <w:szCs w:val="28"/>
    </w:rPr>
  </w:style>
  <w:style w:type="paragraph" w:styleId="Heading2">
    <w:name w:val="heading 2"/>
    <w:basedOn w:val="Heading3"/>
    <w:next w:val="Normal"/>
    <w:uiPriority w:val="9"/>
    <w:unhideWhenUsed/>
    <w:qFormat/>
    <w:rsid w:val="00FF28E3"/>
    <w:pPr>
      <w:spacing w:before="280"/>
      <w:outlineLvl w:val="1"/>
    </w:pPr>
  </w:style>
  <w:style w:type="paragraph" w:styleId="Heading3">
    <w:name w:val="heading 3"/>
    <w:basedOn w:val="Heading4"/>
    <w:next w:val="Normal"/>
    <w:uiPriority w:val="9"/>
    <w:unhideWhenUsed/>
    <w:qFormat/>
    <w:rsid w:val="00FF28E3"/>
    <w:pPr>
      <w:keepNext w:val="0"/>
      <w:keepLines w:val="0"/>
      <w:spacing w:before="240" w:after="40" w:line="360" w:lineRule="auto"/>
      <w:jc w:val="both"/>
      <w:outlineLvl w:val="2"/>
    </w:pPr>
    <w:rPr>
      <w:b/>
      <w:bCs/>
      <w:color w:val="000000"/>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B0ED8"/>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B0ED8"/>
    <w:pPr>
      <w:spacing w:after="100"/>
    </w:pPr>
  </w:style>
  <w:style w:type="paragraph" w:styleId="TOC2">
    <w:name w:val="toc 2"/>
    <w:basedOn w:val="Normal"/>
    <w:next w:val="Normal"/>
    <w:autoRedefine/>
    <w:uiPriority w:val="39"/>
    <w:unhideWhenUsed/>
    <w:rsid w:val="000B0ED8"/>
    <w:pPr>
      <w:spacing w:after="100"/>
      <w:ind w:left="220"/>
    </w:pPr>
  </w:style>
  <w:style w:type="paragraph" w:styleId="TOC3">
    <w:name w:val="toc 3"/>
    <w:basedOn w:val="Normal"/>
    <w:next w:val="Normal"/>
    <w:autoRedefine/>
    <w:uiPriority w:val="39"/>
    <w:unhideWhenUsed/>
    <w:rsid w:val="000B0ED8"/>
    <w:pPr>
      <w:spacing w:after="100"/>
      <w:ind w:left="440"/>
    </w:pPr>
  </w:style>
  <w:style w:type="character" w:styleId="Hyperlink">
    <w:name w:val="Hyperlink"/>
    <w:basedOn w:val="DefaultParagraphFont"/>
    <w:uiPriority w:val="99"/>
    <w:unhideWhenUsed/>
    <w:rsid w:val="000B0ED8"/>
    <w:rPr>
      <w:color w:val="0000FF" w:themeColor="hyperlink"/>
      <w:u w:val="single"/>
    </w:rPr>
  </w:style>
  <w:style w:type="paragraph" w:styleId="Header">
    <w:name w:val="header"/>
    <w:basedOn w:val="Normal"/>
    <w:link w:val="HeaderChar"/>
    <w:uiPriority w:val="99"/>
    <w:unhideWhenUsed/>
    <w:rsid w:val="008C112D"/>
    <w:pPr>
      <w:tabs>
        <w:tab w:val="center" w:pos="4513"/>
        <w:tab w:val="right" w:pos="9026"/>
      </w:tabs>
      <w:spacing w:line="240" w:lineRule="auto"/>
    </w:pPr>
  </w:style>
  <w:style w:type="character" w:customStyle="1" w:styleId="HeaderChar">
    <w:name w:val="Header Char"/>
    <w:basedOn w:val="DefaultParagraphFont"/>
    <w:link w:val="Header"/>
    <w:uiPriority w:val="99"/>
    <w:rsid w:val="008C112D"/>
  </w:style>
  <w:style w:type="paragraph" w:styleId="Footer">
    <w:name w:val="footer"/>
    <w:basedOn w:val="Normal"/>
    <w:link w:val="FooterChar"/>
    <w:uiPriority w:val="99"/>
    <w:unhideWhenUsed/>
    <w:rsid w:val="008C112D"/>
    <w:pPr>
      <w:tabs>
        <w:tab w:val="center" w:pos="4513"/>
        <w:tab w:val="right" w:pos="9026"/>
      </w:tabs>
      <w:spacing w:line="240" w:lineRule="auto"/>
    </w:pPr>
  </w:style>
  <w:style w:type="character" w:customStyle="1" w:styleId="FooterChar">
    <w:name w:val="Footer Char"/>
    <w:basedOn w:val="DefaultParagraphFont"/>
    <w:link w:val="Footer"/>
    <w:uiPriority w:val="99"/>
    <w:rsid w:val="008C112D"/>
  </w:style>
  <w:style w:type="paragraph" w:styleId="BalloonText">
    <w:name w:val="Balloon Text"/>
    <w:basedOn w:val="Normal"/>
    <w:link w:val="BalloonTextChar"/>
    <w:uiPriority w:val="99"/>
    <w:semiHidden/>
    <w:unhideWhenUsed/>
    <w:rsid w:val="002340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08D"/>
    <w:rPr>
      <w:rFonts w:ascii="Tahoma" w:hAnsi="Tahoma" w:cs="Tahoma"/>
      <w:sz w:val="16"/>
      <w:szCs w:val="16"/>
    </w:rPr>
  </w:style>
  <w:style w:type="table" w:styleId="TableGrid">
    <w:name w:val="Table Grid"/>
    <w:basedOn w:val="TableNormal"/>
    <w:uiPriority w:val="59"/>
    <w:rsid w:val="0023408D"/>
    <w:pPr>
      <w:spacing w:line="240" w:lineRule="auto"/>
    </w:pPr>
    <w:rPr>
      <w:rFonts w:asciiTheme="minorHAnsi" w:eastAsiaTheme="minorEastAsia"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FF28E3"/>
    <w:pPr>
      <w:spacing w:before="480" w:after="120" w:line="360" w:lineRule="auto"/>
      <w:jc w:val="both"/>
      <w:outlineLvl w:val="0"/>
    </w:pPr>
    <w:rPr>
      <w:b/>
      <w:bCs/>
      <w:sz w:val="28"/>
      <w:szCs w:val="28"/>
    </w:rPr>
  </w:style>
  <w:style w:type="paragraph" w:styleId="Heading2">
    <w:name w:val="heading 2"/>
    <w:basedOn w:val="Heading3"/>
    <w:next w:val="Normal"/>
    <w:uiPriority w:val="9"/>
    <w:unhideWhenUsed/>
    <w:qFormat/>
    <w:rsid w:val="00FF28E3"/>
    <w:pPr>
      <w:spacing w:before="280"/>
      <w:outlineLvl w:val="1"/>
    </w:pPr>
  </w:style>
  <w:style w:type="paragraph" w:styleId="Heading3">
    <w:name w:val="heading 3"/>
    <w:basedOn w:val="Heading4"/>
    <w:next w:val="Normal"/>
    <w:uiPriority w:val="9"/>
    <w:unhideWhenUsed/>
    <w:qFormat/>
    <w:rsid w:val="00FF28E3"/>
    <w:pPr>
      <w:keepNext w:val="0"/>
      <w:keepLines w:val="0"/>
      <w:spacing w:before="240" w:after="40" w:line="360" w:lineRule="auto"/>
      <w:jc w:val="both"/>
      <w:outlineLvl w:val="2"/>
    </w:pPr>
    <w:rPr>
      <w:b/>
      <w:bCs/>
      <w:color w:val="000000"/>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B0ED8"/>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B0ED8"/>
    <w:pPr>
      <w:spacing w:after="100"/>
    </w:pPr>
  </w:style>
  <w:style w:type="paragraph" w:styleId="TOC2">
    <w:name w:val="toc 2"/>
    <w:basedOn w:val="Normal"/>
    <w:next w:val="Normal"/>
    <w:autoRedefine/>
    <w:uiPriority w:val="39"/>
    <w:unhideWhenUsed/>
    <w:rsid w:val="000B0ED8"/>
    <w:pPr>
      <w:spacing w:after="100"/>
      <w:ind w:left="220"/>
    </w:pPr>
  </w:style>
  <w:style w:type="paragraph" w:styleId="TOC3">
    <w:name w:val="toc 3"/>
    <w:basedOn w:val="Normal"/>
    <w:next w:val="Normal"/>
    <w:autoRedefine/>
    <w:uiPriority w:val="39"/>
    <w:unhideWhenUsed/>
    <w:rsid w:val="000B0ED8"/>
    <w:pPr>
      <w:spacing w:after="100"/>
      <w:ind w:left="440"/>
    </w:pPr>
  </w:style>
  <w:style w:type="character" w:styleId="Hyperlink">
    <w:name w:val="Hyperlink"/>
    <w:basedOn w:val="DefaultParagraphFont"/>
    <w:uiPriority w:val="99"/>
    <w:unhideWhenUsed/>
    <w:rsid w:val="000B0ED8"/>
    <w:rPr>
      <w:color w:val="0000FF" w:themeColor="hyperlink"/>
      <w:u w:val="single"/>
    </w:rPr>
  </w:style>
  <w:style w:type="paragraph" w:styleId="Header">
    <w:name w:val="header"/>
    <w:basedOn w:val="Normal"/>
    <w:link w:val="HeaderChar"/>
    <w:uiPriority w:val="99"/>
    <w:unhideWhenUsed/>
    <w:rsid w:val="008C112D"/>
    <w:pPr>
      <w:tabs>
        <w:tab w:val="center" w:pos="4513"/>
        <w:tab w:val="right" w:pos="9026"/>
      </w:tabs>
      <w:spacing w:line="240" w:lineRule="auto"/>
    </w:pPr>
  </w:style>
  <w:style w:type="character" w:customStyle="1" w:styleId="HeaderChar">
    <w:name w:val="Header Char"/>
    <w:basedOn w:val="DefaultParagraphFont"/>
    <w:link w:val="Header"/>
    <w:uiPriority w:val="99"/>
    <w:rsid w:val="008C112D"/>
  </w:style>
  <w:style w:type="paragraph" w:styleId="Footer">
    <w:name w:val="footer"/>
    <w:basedOn w:val="Normal"/>
    <w:link w:val="FooterChar"/>
    <w:uiPriority w:val="99"/>
    <w:unhideWhenUsed/>
    <w:rsid w:val="008C112D"/>
    <w:pPr>
      <w:tabs>
        <w:tab w:val="center" w:pos="4513"/>
        <w:tab w:val="right" w:pos="9026"/>
      </w:tabs>
      <w:spacing w:line="240" w:lineRule="auto"/>
    </w:pPr>
  </w:style>
  <w:style w:type="character" w:customStyle="1" w:styleId="FooterChar">
    <w:name w:val="Footer Char"/>
    <w:basedOn w:val="DefaultParagraphFont"/>
    <w:link w:val="Footer"/>
    <w:uiPriority w:val="99"/>
    <w:rsid w:val="008C112D"/>
  </w:style>
  <w:style w:type="paragraph" w:styleId="BalloonText">
    <w:name w:val="Balloon Text"/>
    <w:basedOn w:val="Normal"/>
    <w:link w:val="BalloonTextChar"/>
    <w:uiPriority w:val="99"/>
    <w:semiHidden/>
    <w:unhideWhenUsed/>
    <w:rsid w:val="002340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08D"/>
    <w:rPr>
      <w:rFonts w:ascii="Tahoma" w:hAnsi="Tahoma" w:cs="Tahoma"/>
      <w:sz w:val="16"/>
      <w:szCs w:val="16"/>
    </w:rPr>
  </w:style>
  <w:style w:type="table" w:styleId="TableGrid">
    <w:name w:val="Table Grid"/>
    <w:basedOn w:val="TableNormal"/>
    <w:uiPriority w:val="59"/>
    <w:rsid w:val="0023408D"/>
    <w:pPr>
      <w:spacing w:line="240" w:lineRule="auto"/>
    </w:pPr>
    <w:rPr>
      <w:rFonts w:asciiTheme="minorHAnsi" w:eastAsiaTheme="minorEastAsia"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2495/cocv19i1siart8" TargetMode="External"/><Relationship Id="rId18" Type="http://schemas.openxmlformats.org/officeDocument/2006/relationships/hyperlink" Target="https://ir.hosthotels.com/static-files/a563e313-2c60-438d-a030-9daaa1d82b6d" TargetMode="External"/><Relationship Id="rId26" Type="http://schemas.openxmlformats.org/officeDocument/2006/relationships/hyperlink" Target="https://doi.org/10.3390/risks13040062" TargetMode="External"/><Relationship Id="rId39" Type="http://schemas.openxmlformats.org/officeDocument/2006/relationships/chart" Target="charts/chart10.xml"/><Relationship Id="rId3" Type="http://schemas.microsoft.com/office/2007/relationships/stylesWithEffects" Target="stylesWithEffects.xml"/><Relationship Id="rId21" Type="http://schemas.openxmlformats.org/officeDocument/2006/relationships/hyperlink" Target="https://www.ceeol.com/search/article-detail?id=1281812" TargetMode="External"/><Relationship Id="rId34" Type="http://schemas.openxmlformats.org/officeDocument/2006/relationships/chart" Target="charts/chart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x.doi.org/10.21511/imfi.20(3).2023.22" TargetMode="External"/><Relationship Id="rId17" Type="http://schemas.openxmlformats.org/officeDocument/2006/relationships/hyperlink" Target="https://hoteltechreport.com/news/hotel-brand-guide" TargetMode="External"/><Relationship Id="rId25" Type="http://schemas.openxmlformats.org/officeDocument/2006/relationships/hyperlink" Target="https://doi.org/10.1016/j.ijresmar.2021.10.006" TargetMode="External"/><Relationship Id="rId33" Type="http://schemas.openxmlformats.org/officeDocument/2006/relationships/chart" Target="charts/chart4.xml"/><Relationship Id="rId38"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hyperlink" Target="https://doi.org/10.1111/jofi.13162" TargetMode="External"/><Relationship Id="rId20" Type="http://schemas.openxmlformats.org/officeDocument/2006/relationships/hyperlink" Target="https://doi.org/10.1108/JFM-03-2022-0025" TargetMode="External"/><Relationship Id="rId29" Type="http://schemas.openxmlformats.org/officeDocument/2006/relationships/hyperlink" Target="https://finance.yahoo.com/quote/hst/profi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ianz-trade.com/en_US/insights/profitability-ratios.html" TargetMode="External"/><Relationship Id="rId24" Type="http://schemas.openxmlformats.org/officeDocument/2006/relationships/hyperlink" Target="https://www.mdpi.com/1911-8074/15/3/112" TargetMode="Externa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11/1475-679X.12410" TargetMode="External"/><Relationship Id="rId23" Type="http://schemas.openxmlformats.org/officeDocument/2006/relationships/hyperlink" Target="https://doi.org/10.1080/08911916.2024.2429312" TargetMode="External"/><Relationship Id="rId28" Type="http://schemas.openxmlformats.org/officeDocument/2006/relationships/hyperlink" Target="https://doi.org/10.1016/j.ijhm.2022.103184" TargetMode="External"/><Relationship Id="rId36" Type="http://schemas.openxmlformats.org/officeDocument/2006/relationships/chart" Target="charts/chart7.xml"/><Relationship Id="rId10" Type="http://schemas.openxmlformats.org/officeDocument/2006/relationships/hyperlink" Target="https://www.allianz-trade.com/en_US/insights/liquidity-ratio.html" TargetMode="External"/><Relationship Id="rId19" Type="http://schemas.openxmlformats.org/officeDocument/2006/relationships/hyperlink" Target="https://papers.ssrn.com/sol3/papers.cfm?abstract_id=5998494" TargetMode="External"/><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s://ssrn.com/abstract=4125746" TargetMode="External"/><Relationship Id="rId14" Type="http://schemas.openxmlformats.org/officeDocument/2006/relationships/hyperlink" Target="https://www.ebsco.com/research-starters/business-and-management/investment-appraisal" TargetMode="External"/><Relationship Id="rId22" Type="http://schemas.openxmlformats.org/officeDocument/2006/relationships/hyperlink" Target="https://www.netsuite.com/portal/resource/articles/accounting/efficiency-ratios.shtml" TargetMode="External"/><Relationship Id="rId27" Type="http://schemas.openxmlformats.org/officeDocument/2006/relationships/hyperlink" Target="https://doi.org/10.3390/jrfm18040208" TargetMode="External"/><Relationship Id="rId30" Type="http://schemas.openxmlformats.org/officeDocument/2006/relationships/chart" Target="charts/chart1.xml"/><Relationship Id="rId35" Type="http://schemas.openxmlformats.org/officeDocument/2006/relationships/chart" Target="charts/chart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Fwd_%20Assignment%20Code_%208092%20(Vendor%20Assignment)Financial%20Management.%20Deadline_%207th-8th%20July,%202026.%20Abraj-Sophi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rgbClr val="FF0000"/>
              </a:solidFill>
              <a:latin typeface="Algerian" panose="04020705040A02060702" pitchFamily="82" charset="0"/>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Graph!$A$3</c:f>
              <c:strCache>
                <c:ptCount val="1"/>
                <c:pt idx="0">
                  <c:v>Net Profit Margin</c:v>
                </c:pt>
              </c:strCache>
            </c:strRef>
          </c:tx>
          <c:spPr>
            <a:pattFill prst="pct80">
              <a:fgClr>
                <a:schemeClr val="accent1"/>
              </a:fgClr>
              <a:bgClr>
                <a:schemeClr val="bg1"/>
              </a:bgClr>
            </a:pattFill>
            <a:ln>
              <a:noFill/>
            </a:ln>
            <a:effectLst/>
            <a:sp3d/>
          </c:spPr>
          <c:invertIfNegative val="0"/>
          <c:dLbls>
            <c:dLbl>
              <c:idx val="0"/>
              <c:layout>
                <c:manualLayout>
                  <c:x val="2.7777777777777779E-3"/>
                  <c:y val="0.2129633275007290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FB8-4F50-919E-F0A945392D97}"/>
                </c:ext>
              </c:extLst>
            </c:dLbl>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Graph!$B$2:$F$2</c:f>
              <c:numCache>
                <c:formatCode>General</c:formatCode>
                <c:ptCount val="5"/>
                <c:pt idx="0">
                  <c:v>2021</c:v>
                </c:pt>
                <c:pt idx="1">
                  <c:v>2022</c:v>
                </c:pt>
                <c:pt idx="2">
                  <c:v>2023</c:v>
                </c:pt>
                <c:pt idx="3">
                  <c:v>2024</c:v>
                </c:pt>
                <c:pt idx="4">
                  <c:v>2025</c:v>
                </c:pt>
              </c:numCache>
            </c:numRef>
          </c:cat>
          <c:val>
            <c:numRef>
              <c:f>Graph!$B$3:$F$3</c:f>
              <c:numCache>
                <c:formatCode>0.00%</c:formatCode>
                <c:ptCount val="5"/>
                <c:pt idx="0">
                  <c:v>-5.8999999999999999E-3</c:v>
                </c:pt>
                <c:pt idx="1">
                  <c:v>0.21329999999999999</c:v>
                </c:pt>
                <c:pt idx="2">
                  <c:v>0.23180000000000001</c:v>
                </c:pt>
                <c:pt idx="3">
                  <c:v>0.2064</c:v>
                </c:pt>
                <c:pt idx="4">
                  <c:v>0.21510000000000001</c:v>
                </c:pt>
              </c:numCache>
            </c:numRef>
          </c:val>
          <c:shape val="cylinder"/>
          <c:extLst xmlns:c16r2="http://schemas.microsoft.com/office/drawing/2015/06/chart">
            <c:ext xmlns:c16="http://schemas.microsoft.com/office/drawing/2014/chart" uri="{C3380CC4-5D6E-409C-BE32-E72D297353CC}">
              <c16:uniqueId val="{00000001-1FB8-4F50-919E-F0A945392D97}"/>
            </c:ext>
          </c:extLst>
        </c:ser>
        <c:dLbls>
          <c:showLegendKey val="0"/>
          <c:showVal val="1"/>
          <c:showCatName val="0"/>
          <c:showSerName val="0"/>
          <c:showPercent val="0"/>
          <c:showBubbleSize val="0"/>
        </c:dLbls>
        <c:gapWidth val="150"/>
        <c:shape val="box"/>
        <c:axId val="311013376"/>
        <c:axId val="311016064"/>
        <c:axId val="282447360"/>
      </c:bar3DChart>
      <c:catAx>
        <c:axId val="3110133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16064"/>
        <c:crosses val="autoZero"/>
        <c:auto val="1"/>
        <c:lblAlgn val="ctr"/>
        <c:lblOffset val="100"/>
        <c:noMultiLvlLbl val="0"/>
      </c:catAx>
      <c:valAx>
        <c:axId val="311016064"/>
        <c:scaling>
          <c:orientation val="minMax"/>
        </c:scaling>
        <c:delete val="0"/>
        <c:axPos val="l"/>
        <c:majorGridlines>
          <c:spPr>
            <a:ln w="9525" cap="flat" cmpd="sng" algn="ctr">
              <a:solidFill>
                <a:schemeClr val="accent1">
                  <a:lumMod val="40000"/>
                  <a:lumOff val="6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311013376"/>
        <c:crosses val="autoZero"/>
        <c:crossBetween val="between"/>
      </c:valAx>
      <c:serAx>
        <c:axId val="282447360"/>
        <c:scaling>
          <c:orientation val="minMax"/>
        </c:scaling>
        <c:delete val="1"/>
        <c:axPos val="b"/>
        <c:majorTickMark val="none"/>
        <c:minorTickMark val="none"/>
        <c:tickLblPos val="nextTo"/>
        <c:crossAx val="311016064"/>
        <c:crosses val="autoZero"/>
      </c:ser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accent1">
                    <a:lumMod val="75000"/>
                  </a:schemeClr>
                </a:solidFill>
                <a:latin typeface="+mn-lt"/>
                <a:ea typeface="+mn-ea"/>
                <a:cs typeface="+mn-cs"/>
              </a:defRPr>
            </a:pPr>
            <a:endParaRPr lang="en-US"/>
          </a:p>
        </c:txPr>
      </c:dTable>
      <c:spPr>
        <a:noFill/>
        <a:ln>
          <a:noFill/>
        </a:ln>
        <a:effectLst>
          <a:outerShdw blurRad="50800" dist="38100" dir="2700000" algn="tl" rotWithShape="0">
            <a:prstClr val="black">
              <a:alpha val="40000"/>
            </a:prst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outerShdw blurRad="50800" dist="38100" dir="2700000" sx="101000" sy="101000" algn="tl" rotWithShape="0">
        <a:prstClr val="black">
          <a:alpha val="40000"/>
        </a:prstClr>
      </a:outerShdw>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rgbClr val="FF0000"/>
              </a:solidFill>
              <a:latin typeface="Algerian" panose="04020705040A02060702" pitchFamily="82" charset="0"/>
              <a:ea typeface="+mn-ea"/>
              <a:cs typeface="+mn-cs"/>
            </a:defRPr>
          </a:pPr>
          <a:endParaRPr lang="en-US"/>
        </a:p>
      </c:txPr>
    </c:title>
    <c:autoTitleDeleted val="0"/>
    <c:plotArea>
      <c:layout/>
      <c:lineChart>
        <c:grouping val="stacked"/>
        <c:varyColors val="0"/>
        <c:ser>
          <c:idx val="0"/>
          <c:order val="0"/>
          <c:tx>
            <c:strRef>
              <c:f>Graph!$A$6</c:f>
              <c:strCache>
                <c:ptCount val="1"/>
                <c:pt idx="0">
                  <c:v>EBITDA Margin</c:v>
                </c:pt>
              </c:strCache>
            </c:strRef>
          </c:tx>
          <c:spPr>
            <a:ln w="38100" cap="flat" cmpd="dbl" algn="ctr">
              <a:solidFill>
                <a:schemeClr val="accent1"/>
              </a:solidFill>
              <a:miter lim="800000"/>
            </a:ln>
            <a:effectLst/>
          </c:spPr>
          <c:marker>
            <c:symbol val="none"/>
          </c:marker>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Graph!$B$5:$F$5</c:f>
              <c:numCache>
                <c:formatCode>General</c:formatCode>
                <c:ptCount val="5"/>
                <c:pt idx="0">
                  <c:v>2021</c:v>
                </c:pt>
                <c:pt idx="1">
                  <c:v>2022</c:v>
                </c:pt>
                <c:pt idx="2">
                  <c:v>2023</c:v>
                </c:pt>
                <c:pt idx="3">
                  <c:v>2024</c:v>
                </c:pt>
                <c:pt idx="4">
                  <c:v>2025</c:v>
                </c:pt>
              </c:numCache>
            </c:numRef>
          </c:cat>
          <c:val>
            <c:numRef>
              <c:f>Graph!$B$6:$F$6</c:f>
              <c:numCache>
                <c:formatCode>0.00%</c:formatCode>
                <c:ptCount val="5"/>
                <c:pt idx="0">
                  <c:v>5.4899999999999997E-2</c:v>
                </c:pt>
                <c:pt idx="1">
                  <c:v>0.222</c:v>
                </c:pt>
                <c:pt idx="2">
                  <c:v>0.2429</c:v>
                </c:pt>
                <c:pt idx="3">
                  <c:v>0.2104</c:v>
                </c:pt>
                <c:pt idx="4">
                  <c:v>0.22670000000000001</c:v>
                </c:pt>
              </c:numCache>
            </c:numRef>
          </c:val>
          <c:smooth val="0"/>
          <c:extLst xmlns:c16r2="http://schemas.microsoft.com/office/drawing/2015/06/chart">
            <c:ext xmlns:c16="http://schemas.microsoft.com/office/drawing/2014/chart" uri="{C3380CC4-5D6E-409C-BE32-E72D297353CC}">
              <c16:uniqueId val="{00000000-8FFA-4C0B-92F2-7DCBC4014194}"/>
            </c:ext>
          </c:extLst>
        </c:ser>
        <c:dLbls>
          <c:dLblPos val="ctr"/>
          <c:showLegendKey val="0"/>
          <c:showVal val="1"/>
          <c:showCatName val="0"/>
          <c:showSerName val="0"/>
          <c:showPercent val="0"/>
          <c:showBubbleSize val="0"/>
        </c:dLbls>
        <c:marker val="1"/>
        <c:smooth val="0"/>
        <c:axId val="281936640"/>
        <c:axId val="281939328"/>
      </c:lineChart>
      <c:catAx>
        <c:axId val="281936640"/>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281939328"/>
        <c:crosses val="autoZero"/>
        <c:auto val="1"/>
        <c:lblAlgn val="ctr"/>
        <c:lblOffset val="100"/>
        <c:noMultiLvlLbl val="0"/>
      </c:catAx>
      <c:valAx>
        <c:axId val="281939328"/>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281936640"/>
        <c:crosses val="autoZero"/>
        <c:crossBetween val="between"/>
      </c:valAx>
      <c:dTable>
        <c:showHorzBorder val="1"/>
        <c:showVertBorder val="1"/>
        <c:showOutline val="1"/>
        <c:showKeys val="0"/>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accent1">
                    <a:lumMod val="75000"/>
                  </a:schemeClr>
                </a:solidFill>
                <a:latin typeface="+mn-lt"/>
                <a:ea typeface="+mn-ea"/>
                <a:cs typeface="+mn-cs"/>
              </a:defRPr>
            </a:pPr>
            <a:endParaRPr lang="en-US"/>
          </a:p>
        </c:txPr>
      </c:dTable>
      <c:spPr>
        <a:noFill/>
        <a:ln>
          <a:noFill/>
        </a:ln>
        <a:effectLst>
          <a:outerShdw blurRad="50800" dist="38100" dir="2700000" algn="tl" rotWithShape="0">
            <a:prstClr val="black">
              <a:alpha val="40000"/>
            </a:prstClr>
          </a:outerShdw>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rgbClr val="FF0000"/>
              </a:solidFill>
              <a:latin typeface="Algerian" panose="04020705040A02060702" pitchFamily="82" charset="0"/>
              <a:ea typeface="+mj-ea"/>
              <a:cs typeface="+mj-cs"/>
            </a:defRPr>
          </a:pPr>
          <a:endParaRPr lang="en-US"/>
        </a:p>
      </c:txPr>
    </c:title>
    <c:autoTitleDeleted val="0"/>
    <c:plotArea>
      <c:layout/>
      <c:areaChart>
        <c:grouping val="stacked"/>
        <c:varyColors val="0"/>
        <c:ser>
          <c:idx val="0"/>
          <c:order val="0"/>
          <c:tx>
            <c:strRef>
              <c:f>Graph!$A$9</c:f>
              <c:strCache>
                <c:ptCount val="1"/>
                <c:pt idx="0">
                  <c:v>Accounts Receivable Turnover</c:v>
                </c:pt>
              </c:strCache>
            </c:strRef>
          </c:tx>
          <c:spPr>
            <a:solidFill>
              <a:schemeClr val="accent1"/>
            </a:solidFill>
            <a:ln>
              <a:noFill/>
            </a:ln>
            <a:effectLst>
              <a:glow rad="101600">
                <a:schemeClr val="accent3">
                  <a:satMod val="175000"/>
                  <a:alpha val="40000"/>
                </a:schemeClr>
              </a:glow>
            </a:effectLst>
            <a:scene3d>
              <a:camera prst="orthographicFront"/>
              <a:lightRig rig="threePt" dir="t"/>
            </a:scene3d>
            <a:sp3d>
              <a:bevelT w="139700" h="139700" prst="divot"/>
            </a:sp3d>
          </c:spPr>
          <c:dLbls>
            <c:dLbl>
              <c:idx val="0"/>
              <c:layout>
                <c:manualLayout>
                  <c:x val="-2.7777777777778286E-3"/>
                  <c:y val="-3.240740740740748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42C-43BA-BAB3-105C16E45F3B}"/>
                </c:ext>
              </c:extLst>
            </c:dLbl>
            <c:dLbl>
              <c:idx val="4"/>
              <c:layout>
                <c:manualLayout>
                  <c:x val="-8.3333333333334356E-3"/>
                  <c:y val="-4.16666666666667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42C-43BA-BAB3-105C16E45F3B}"/>
                </c:ext>
              </c:extLst>
            </c:dLbl>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Graph!$B$8:$F$8</c:f>
              <c:numCache>
                <c:formatCode>General</c:formatCode>
                <c:ptCount val="5"/>
                <c:pt idx="0">
                  <c:v>2021</c:v>
                </c:pt>
                <c:pt idx="1">
                  <c:v>2022</c:v>
                </c:pt>
                <c:pt idx="2">
                  <c:v>2023</c:v>
                </c:pt>
                <c:pt idx="3">
                  <c:v>2024</c:v>
                </c:pt>
                <c:pt idx="4">
                  <c:v>2025</c:v>
                </c:pt>
              </c:numCache>
            </c:numRef>
          </c:cat>
          <c:val>
            <c:numRef>
              <c:f>Graph!$B$9:$F$9</c:f>
              <c:numCache>
                <c:formatCode>#,##0</c:formatCode>
                <c:ptCount val="5"/>
                <c:pt idx="0">
                  <c:v>28</c:v>
                </c:pt>
                <c:pt idx="1">
                  <c:v>29</c:v>
                </c:pt>
                <c:pt idx="2">
                  <c:v>29</c:v>
                </c:pt>
                <c:pt idx="3">
                  <c:v>42</c:v>
                </c:pt>
                <c:pt idx="4">
                  <c:v>96</c:v>
                </c:pt>
              </c:numCache>
            </c:numRef>
          </c:val>
          <c:extLst xmlns:c16r2="http://schemas.microsoft.com/office/drawing/2015/06/chart">
            <c:ext xmlns:c16="http://schemas.microsoft.com/office/drawing/2014/chart" uri="{C3380CC4-5D6E-409C-BE32-E72D297353CC}">
              <c16:uniqueId val="{00000002-442C-43BA-BAB3-105C16E45F3B}"/>
            </c:ext>
          </c:extLst>
        </c:ser>
        <c:dLbls>
          <c:showLegendKey val="0"/>
          <c:showVal val="1"/>
          <c:showCatName val="0"/>
          <c:showSerName val="0"/>
          <c:showPercent val="0"/>
          <c:showBubbleSize val="0"/>
        </c:dLbls>
        <c:axId val="280986752"/>
        <c:axId val="281960448"/>
      </c:areaChart>
      <c:catAx>
        <c:axId val="2809867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accent1">
                    <a:lumMod val="75000"/>
                  </a:schemeClr>
                </a:solidFill>
                <a:latin typeface="+mn-lt"/>
                <a:ea typeface="+mn-ea"/>
                <a:cs typeface="+mn-cs"/>
              </a:defRPr>
            </a:pPr>
            <a:endParaRPr lang="en-US"/>
          </a:p>
        </c:txPr>
        <c:crossAx val="281960448"/>
        <c:crosses val="autoZero"/>
        <c:auto val="1"/>
        <c:lblAlgn val="ctr"/>
        <c:lblOffset val="100"/>
        <c:noMultiLvlLbl val="0"/>
      </c:catAx>
      <c:valAx>
        <c:axId val="281960448"/>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1" u="none" strike="noStrike" kern="1200" baseline="0">
                <a:solidFill>
                  <a:schemeClr val="accent1">
                    <a:lumMod val="75000"/>
                  </a:schemeClr>
                </a:solidFill>
                <a:latin typeface="+mn-lt"/>
                <a:ea typeface="+mn-ea"/>
                <a:cs typeface="+mn-cs"/>
              </a:defRPr>
            </a:pPr>
            <a:endParaRPr lang="en-US"/>
          </a:p>
        </c:txPr>
        <c:crossAx val="280986752"/>
        <c:crosses val="autoZero"/>
        <c:crossBetween val="midCat"/>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7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a:outerShdw blurRad="50800" dist="38100" algn="l" rotWithShape="0">
            <a:prstClr val="black">
              <a:alpha val="40000"/>
            </a:prstClr>
          </a:outerShdw>
        </a:effectLst>
      </c:spPr>
    </c:plotArea>
    <c:plotVisOnly val="1"/>
    <c:dispBlanksAs val="zero"/>
    <c:showDLblsOverMax val="0"/>
  </c:chart>
  <c:spPr>
    <a:solidFill>
      <a:schemeClr val="lt1"/>
    </a:solidFill>
    <a:ln w="9525" cap="flat" cmpd="sng" algn="ctr">
      <a:solidFill>
        <a:schemeClr val="dk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rgbClr val="FF0000"/>
                </a:solidFill>
                <a:latin typeface="Algerian" panose="04020705040A02060702" pitchFamily="82" charset="0"/>
                <a:ea typeface="+mj-ea"/>
                <a:cs typeface="+mj-cs"/>
              </a:defRPr>
            </a:pPr>
            <a:r>
              <a:rPr lang="en-US" b="1"/>
              <a:t>Total Asset Turnover</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Graph!$A$12</c:f>
              <c:strCache>
                <c:ptCount val="1"/>
                <c:pt idx="0">
                  <c:v>Total Asset Turnover</c:v>
                </c:pt>
              </c:strCache>
            </c:strRef>
          </c:tx>
          <c:spPr>
            <a:pattFill prst="wdDnDiag">
              <a:fgClr>
                <a:schemeClr val="accent1"/>
              </a:fgClr>
              <a:bgClr>
                <a:schemeClr val="bg1"/>
              </a:bgClr>
            </a:pattFill>
            <a:ln>
              <a:noFill/>
            </a:ln>
            <a:effectLst/>
            <a:scene3d>
              <a:camera prst="orthographicFront"/>
              <a:lightRig rig="threePt" dir="t"/>
            </a:scene3d>
            <a:sp3d>
              <a:bevelT prst="angle"/>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Graph!$B$11:$F$11</c:f>
              <c:numCache>
                <c:formatCode>General</c:formatCode>
                <c:ptCount val="5"/>
                <c:pt idx="0">
                  <c:v>2021</c:v>
                </c:pt>
                <c:pt idx="1">
                  <c:v>2022</c:v>
                </c:pt>
                <c:pt idx="2">
                  <c:v>2023</c:v>
                </c:pt>
                <c:pt idx="3">
                  <c:v>2024</c:v>
                </c:pt>
                <c:pt idx="4">
                  <c:v>2025</c:v>
                </c:pt>
              </c:numCache>
            </c:numRef>
          </c:cat>
          <c:val>
            <c:numRef>
              <c:f>Graph!$B$12:$F$12</c:f>
              <c:numCache>
                <c:formatCode>#,##0.00</c:formatCode>
                <c:ptCount val="5"/>
                <c:pt idx="0">
                  <c:v>0.15</c:v>
                </c:pt>
                <c:pt idx="1">
                  <c:v>0.24</c:v>
                </c:pt>
                <c:pt idx="2">
                  <c:v>0.26</c:v>
                </c:pt>
                <c:pt idx="3">
                  <c:v>0.27</c:v>
                </c:pt>
                <c:pt idx="4">
                  <c:v>0.28000000000000003</c:v>
                </c:pt>
              </c:numCache>
            </c:numRef>
          </c:val>
          <c:extLst xmlns:c16r2="http://schemas.microsoft.com/office/drawing/2015/06/chart">
            <c:ext xmlns:c16="http://schemas.microsoft.com/office/drawing/2014/chart" uri="{C3380CC4-5D6E-409C-BE32-E72D297353CC}">
              <c16:uniqueId val="{00000000-16EF-4D28-BBCA-585A205C4E5D}"/>
            </c:ext>
          </c:extLst>
        </c:ser>
        <c:dLbls>
          <c:showLegendKey val="0"/>
          <c:showVal val="1"/>
          <c:showCatName val="0"/>
          <c:showSerName val="0"/>
          <c:showPercent val="0"/>
          <c:showBubbleSize val="0"/>
        </c:dLbls>
        <c:gapWidth val="150"/>
        <c:shape val="box"/>
        <c:axId val="287491200"/>
        <c:axId val="298676224"/>
        <c:axId val="281970880"/>
      </c:bar3DChart>
      <c:catAx>
        <c:axId val="2874912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98676224"/>
        <c:crosses val="autoZero"/>
        <c:auto val="1"/>
        <c:lblAlgn val="ctr"/>
        <c:lblOffset val="100"/>
        <c:noMultiLvlLbl val="0"/>
      </c:catAx>
      <c:valAx>
        <c:axId val="2986762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chemeClr val="accent1">
                    <a:lumMod val="75000"/>
                  </a:schemeClr>
                </a:solidFill>
                <a:latin typeface="+mn-lt"/>
                <a:ea typeface="+mn-ea"/>
                <a:cs typeface="+mn-cs"/>
              </a:defRPr>
            </a:pPr>
            <a:endParaRPr lang="en-US"/>
          </a:p>
        </c:txPr>
        <c:crossAx val="287491200"/>
        <c:crosses val="autoZero"/>
        <c:crossBetween val="between"/>
      </c:valAx>
      <c:serAx>
        <c:axId val="281970880"/>
        <c:scaling>
          <c:orientation val="minMax"/>
        </c:scaling>
        <c:delete val="1"/>
        <c:axPos val="b"/>
        <c:majorTickMark val="none"/>
        <c:minorTickMark val="none"/>
        <c:tickLblPos val="nextTo"/>
        <c:crossAx val="298676224"/>
        <c:crosses val="autoZero"/>
      </c:serAx>
      <c:dTable>
        <c:showHorzBorder val="1"/>
        <c:showVertBorder val="1"/>
        <c:showOutline val="1"/>
        <c:showKeys val="0"/>
        <c:spPr>
          <a:noFill/>
          <a:ln w="9525">
            <a:solidFill>
              <a:schemeClr val="tx1">
                <a:lumMod val="15000"/>
                <a:lumOff val="85000"/>
              </a:schemeClr>
            </a:solidFill>
          </a:ln>
          <a:effectLst/>
        </c:spPr>
        <c:txPr>
          <a:bodyPr rot="0" spcFirstLastPara="1" vertOverflow="ellipsis" vert="horz" wrap="square" anchor="ctr" anchorCtr="1"/>
          <a:lstStyle/>
          <a:p>
            <a:pPr rtl="0">
              <a:defRPr sz="900" b="1" i="1" u="none" strike="noStrike" kern="1200" baseline="0">
                <a:solidFill>
                  <a:schemeClr val="accent1">
                    <a:lumMod val="75000"/>
                  </a:schemeClr>
                </a:solidFill>
                <a:latin typeface="+mn-lt"/>
                <a:ea typeface="+mn-ea"/>
                <a:cs typeface="+mn-cs"/>
              </a:defRPr>
            </a:pPr>
            <a:endParaRPr lang="en-US"/>
          </a:p>
        </c:txPr>
      </c:dTable>
      <c:spPr>
        <a:noFill/>
        <a:ln>
          <a:noFill/>
        </a:ln>
        <a:effectLst>
          <a:outerShdw blurRad="50800" dist="38100" algn="l" rotWithShape="0">
            <a:prstClr val="black">
              <a:alpha val="40000"/>
            </a:prst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rgbClr val="FF0000"/>
              </a:solidFill>
              <a:latin typeface="Algerian" panose="04020705040A02060702" pitchFamily="82" charset="0"/>
              <a:ea typeface="+mn-ea"/>
              <a:cs typeface="+mn-cs"/>
            </a:defRPr>
          </a:pPr>
          <a:endParaRPr lang="en-US"/>
        </a:p>
      </c:txPr>
    </c:title>
    <c:autoTitleDeleted val="0"/>
    <c:plotArea>
      <c:layout/>
      <c:pieChart>
        <c:varyColors val="1"/>
        <c:ser>
          <c:idx val="0"/>
          <c:order val="0"/>
          <c:tx>
            <c:strRef>
              <c:f>Graph!$A$15</c:f>
              <c:strCache>
                <c:ptCount val="1"/>
                <c:pt idx="0">
                  <c:v>Current Ratio</c:v>
                </c:pt>
              </c:strCache>
            </c:strRef>
          </c:tx>
          <c:spPr>
            <a:effectLst>
              <a:outerShdw blurRad="127000" dir="10800000" kx="1200000" algn="br" rotWithShape="0">
                <a:prstClr val="black">
                  <a:alpha val="18000"/>
                </a:prstClr>
              </a:outerShdw>
            </a:effectLst>
            <a:scene3d>
              <a:camera prst="orthographicFront"/>
              <a:lightRig rig="threePt" dir="t"/>
            </a:scene3d>
            <a:sp3d>
              <a:bevelT/>
            </a:sp3d>
          </c:spPr>
          <c:dPt>
            <c:idx val="0"/>
            <c:bubble3D val="0"/>
            <c:spPr>
              <a:solidFill>
                <a:schemeClr val="accent1"/>
              </a:solidFill>
              <a:ln>
                <a:noFill/>
              </a:ln>
              <a:effectLst>
                <a:outerShdw blurRad="127000" dir="10800000" kx="1200000" algn="br" rotWithShape="0">
                  <a:prstClr val="black">
                    <a:alpha val="18000"/>
                  </a:prstClr>
                </a:outerShdw>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1-4487-4255-B1DF-DAF49092470B}"/>
              </c:ext>
            </c:extLst>
          </c:dPt>
          <c:dPt>
            <c:idx val="1"/>
            <c:bubble3D val="0"/>
            <c:spPr>
              <a:solidFill>
                <a:schemeClr val="accent2"/>
              </a:solidFill>
              <a:ln>
                <a:noFill/>
              </a:ln>
              <a:effectLst>
                <a:outerShdw blurRad="127000" dir="10800000" kx="1200000" algn="br" rotWithShape="0">
                  <a:prstClr val="black">
                    <a:alpha val="18000"/>
                  </a:prstClr>
                </a:outerShdw>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3-4487-4255-B1DF-DAF49092470B}"/>
              </c:ext>
            </c:extLst>
          </c:dPt>
          <c:dPt>
            <c:idx val="2"/>
            <c:bubble3D val="0"/>
            <c:spPr>
              <a:solidFill>
                <a:schemeClr val="accent3"/>
              </a:solidFill>
              <a:ln>
                <a:noFill/>
              </a:ln>
              <a:effectLst>
                <a:outerShdw blurRad="127000" dir="10800000" kx="1200000" algn="br" rotWithShape="0">
                  <a:prstClr val="black">
                    <a:alpha val="18000"/>
                  </a:prstClr>
                </a:outerShdw>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5-4487-4255-B1DF-DAF49092470B}"/>
              </c:ext>
            </c:extLst>
          </c:dPt>
          <c:dPt>
            <c:idx val="3"/>
            <c:bubble3D val="0"/>
            <c:spPr>
              <a:solidFill>
                <a:schemeClr val="accent4"/>
              </a:solidFill>
              <a:ln>
                <a:noFill/>
              </a:ln>
              <a:effectLst>
                <a:outerShdw blurRad="127000" dir="10800000" kx="1200000" algn="br" rotWithShape="0">
                  <a:prstClr val="black">
                    <a:alpha val="18000"/>
                  </a:prstClr>
                </a:outerShdw>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7-4487-4255-B1DF-DAF49092470B}"/>
              </c:ext>
            </c:extLst>
          </c:dPt>
          <c:dPt>
            <c:idx val="4"/>
            <c:bubble3D val="0"/>
            <c:spPr>
              <a:solidFill>
                <a:schemeClr val="accent5"/>
              </a:solidFill>
              <a:ln>
                <a:noFill/>
              </a:ln>
              <a:effectLst>
                <a:outerShdw blurRad="127000" dir="10800000" kx="1200000" algn="br" rotWithShape="0">
                  <a:prstClr val="black">
                    <a:alpha val="18000"/>
                  </a:prstClr>
                </a:outerShdw>
              </a:effectLst>
              <a:scene3d>
                <a:camera prst="orthographicFront"/>
                <a:lightRig rig="threePt" dir="t"/>
              </a:scene3d>
              <a:sp3d>
                <a:bevelT/>
              </a:sp3d>
            </c:spPr>
            <c:extLst xmlns:c16r2="http://schemas.microsoft.com/office/drawing/2015/06/chart">
              <c:ext xmlns:c16="http://schemas.microsoft.com/office/drawing/2014/chart" uri="{C3380CC4-5D6E-409C-BE32-E72D297353CC}">
                <c16:uniqueId val="{00000009-4487-4255-B1DF-DAF49092470B}"/>
              </c:ext>
            </c:extLst>
          </c:dPt>
          <c:dLbls>
            <c:spPr>
              <a:solidFill>
                <a:srgbClr val="FFFF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numRef>
              <c:f>Graph!$B$14:$F$14</c:f>
              <c:numCache>
                <c:formatCode>General</c:formatCode>
                <c:ptCount val="5"/>
                <c:pt idx="0">
                  <c:v>2021</c:v>
                </c:pt>
                <c:pt idx="1">
                  <c:v>2022</c:v>
                </c:pt>
                <c:pt idx="2">
                  <c:v>2023</c:v>
                </c:pt>
                <c:pt idx="3">
                  <c:v>2024</c:v>
                </c:pt>
                <c:pt idx="4">
                  <c:v>2025</c:v>
                </c:pt>
              </c:numCache>
            </c:numRef>
          </c:cat>
          <c:val>
            <c:numRef>
              <c:f>Graph!$B$15:$F$15</c:f>
              <c:numCache>
                <c:formatCode>#,##0.00</c:formatCode>
                <c:ptCount val="5"/>
                <c:pt idx="0">
                  <c:v>4.99</c:v>
                </c:pt>
                <c:pt idx="1">
                  <c:v>2.69</c:v>
                </c:pt>
                <c:pt idx="2">
                  <c:v>2.68</c:v>
                </c:pt>
                <c:pt idx="3">
                  <c:v>0.1</c:v>
                </c:pt>
                <c:pt idx="4">
                  <c:v>2.11</c:v>
                </c:pt>
              </c:numCache>
            </c:numRef>
          </c:val>
          <c:extLst xmlns:c16r2="http://schemas.microsoft.com/office/drawing/2015/06/chart">
            <c:ext xmlns:c16="http://schemas.microsoft.com/office/drawing/2014/chart" uri="{C3380CC4-5D6E-409C-BE32-E72D297353CC}">
              <c16:uniqueId val="{0000000A-4487-4255-B1DF-DAF49092470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rgbClr val="FF0000"/>
              </a:solidFill>
              <a:latin typeface="Algerian" panose="04020705040A02060702" pitchFamily="82" charset="0"/>
              <a:ea typeface="+mn-ea"/>
              <a:cs typeface="+mn-cs"/>
            </a:defRPr>
          </a:pPr>
          <a:endParaRPr lang="en-US"/>
        </a:p>
      </c:txPr>
    </c:title>
    <c:autoTitleDeleted val="0"/>
    <c:plotArea>
      <c:layout/>
      <c:areaChart>
        <c:grouping val="stacked"/>
        <c:varyColors val="0"/>
        <c:ser>
          <c:idx val="0"/>
          <c:order val="0"/>
          <c:tx>
            <c:strRef>
              <c:f>Graph!$A$18</c:f>
              <c:strCache>
                <c:ptCount val="1"/>
                <c:pt idx="0">
                  <c:v>Cash Ratio</c:v>
                </c:pt>
              </c:strCache>
            </c:strRef>
          </c:tx>
          <c:spPr>
            <a:pattFill prst="ltUpDiag">
              <a:fgClr>
                <a:schemeClr val="accent1"/>
              </a:fgClr>
              <a:bgClr>
                <a:schemeClr val="accent1">
                  <a:lumMod val="20000"/>
                  <a:lumOff val="80000"/>
                </a:schemeClr>
              </a:bgClr>
            </a:pattFill>
            <a:ln>
              <a:noFill/>
            </a:ln>
            <a:effectLst>
              <a:innerShdw blurRad="114300">
                <a:schemeClr val="accent1"/>
              </a:innerShdw>
            </a:effectLst>
            <a:scene3d>
              <a:camera prst="orthographicFront"/>
              <a:lightRig rig="threePt" dir="t"/>
            </a:scene3d>
            <a:sp3d>
              <a:bevelT w="152400" h="50800" prst="softRound"/>
            </a:sp3d>
          </c:spPr>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Dir val="y"/>
            <c:errBarType val="both"/>
            <c:errValType val="stdDev"/>
            <c:noEndCap val="0"/>
            <c:val val="1"/>
            <c:spPr>
              <a:noFill/>
              <a:ln w="9525" cap="flat" cmpd="sng" algn="ctr">
                <a:solidFill>
                  <a:schemeClr val="tx1">
                    <a:lumMod val="65000"/>
                    <a:lumOff val="35000"/>
                  </a:schemeClr>
                </a:solidFill>
                <a:round/>
              </a:ln>
              <a:effectLst/>
            </c:spPr>
          </c:errBars>
          <c:cat>
            <c:numRef>
              <c:f>Graph!$B$17:$F$17</c:f>
              <c:numCache>
                <c:formatCode>General</c:formatCode>
                <c:ptCount val="5"/>
                <c:pt idx="0">
                  <c:v>2021</c:v>
                </c:pt>
                <c:pt idx="1">
                  <c:v>2022</c:v>
                </c:pt>
                <c:pt idx="2">
                  <c:v>2023</c:v>
                </c:pt>
                <c:pt idx="3">
                  <c:v>2024</c:v>
                </c:pt>
                <c:pt idx="4">
                  <c:v>2025</c:v>
                </c:pt>
              </c:numCache>
            </c:numRef>
          </c:cat>
          <c:val>
            <c:numRef>
              <c:f>Graph!$B$18:$F$18</c:f>
              <c:numCache>
                <c:formatCode>#,##0.00</c:formatCode>
                <c:ptCount val="5"/>
                <c:pt idx="0">
                  <c:v>2.48</c:v>
                </c:pt>
                <c:pt idx="1">
                  <c:v>1.1000000000000001</c:v>
                </c:pt>
                <c:pt idx="2">
                  <c:v>1.77</c:v>
                </c:pt>
                <c:pt idx="3">
                  <c:v>0.05</c:v>
                </c:pt>
                <c:pt idx="4">
                  <c:v>1.1299999999999999</c:v>
                </c:pt>
              </c:numCache>
            </c:numRef>
          </c:val>
          <c:extLst xmlns:c16r2="http://schemas.microsoft.com/office/drawing/2015/06/chart">
            <c:ext xmlns:c16="http://schemas.microsoft.com/office/drawing/2014/chart" uri="{C3380CC4-5D6E-409C-BE32-E72D297353CC}">
              <c16:uniqueId val="{00000000-D13F-4022-BAB3-DEA105A98E5D}"/>
            </c:ext>
          </c:extLst>
        </c:ser>
        <c:dLbls>
          <c:showLegendKey val="0"/>
          <c:showVal val="1"/>
          <c:showCatName val="0"/>
          <c:showSerName val="0"/>
          <c:showPercent val="0"/>
          <c:showBubbleSize val="0"/>
        </c:dLbls>
        <c:dropLines>
          <c:spPr>
            <a:ln w="9525" cap="flat" cmpd="sng" algn="ctr">
              <a:solidFill>
                <a:schemeClr val="tx1">
                  <a:lumMod val="35000"/>
                  <a:lumOff val="65000"/>
                </a:schemeClr>
              </a:solidFill>
              <a:round/>
            </a:ln>
            <a:effectLst/>
          </c:spPr>
        </c:dropLines>
        <c:axId val="282996736"/>
        <c:axId val="282998272"/>
      </c:areaChart>
      <c:catAx>
        <c:axId val="282996736"/>
        <c:scaling>
          <c:orientation val="minMax"/>
        </c:scaling>
        <c:delete val="0"/>
        <c:axPos val="b"/>
        <c:numFmt formatCode="General" sourceLinked="1"/>
        <c:majorTickMark val="out"/>
        <c:minorTickMark val="out"/>
        <c:tickLblPos val="nextTo"/>
        <c:spPr>
          <a:noFill/>
          <a:ln>
            <a:noFill/>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282998272"/>
        <c:crosses val="autoZero"/>
        <c:auto val="1"/>
        <c:lblAlgn val="ctr"/>
        <c:lblOffset val="100"/>
        <c:noMultiLvlLbl val="0"/>
      </c:catAx>
      <c:valAx>
        <c:axId val="282998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1" u="none" strike="noStrike" kern="1200" baseline="0">
                <a:solidFill>
                  <a:schemeClr val="accent1"/>
                </a:solidFill>
                <a:latin typeface="+mn-lt"/>
                <a:ea typeface="+mn-ea"/>
                <a:cs typeface="+mn-cs"/>
              </a:defRPr>
            </a:pPr>
            <a:endParaRPr lang="en-US"/>
          </a:p>
        </c:txPr>
        <c:crossAx val="282996736"/>
        <c:crosses val="autoZero"/>
        <c:crossBetween val="midCat"/>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accent1"/>
                </a:solidFill>
                <a:latin typeface="+mn-lt"/>
                <a:ea typeface="+mn-ea"/>
                <a:cs typeface="+mn-cs"/>
              </a:defRPr>
            </a:pPr>
            <a:endParaRPr lang="en-US"/>
          </a:p>
        </c:txPr>
      </c:dTable>
      <c:spPr>
        <a:noFill/>
        <a:ln>
          <a:noFill/>
        </a:ln>
        <a:effectLst>
          <a:outerShdw blurRad="50800" dist="38100" algn="l" rotWithShape="0">
            <a:prstClr val="black">
              <a:alpha val="40000"/>
            </a:prstClr>
          </a:outerShdw>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rgbClr val="FF0000"/>
                </a:solidFill>
                <a:latin typeface="Algerian" panose="04020705040A02060702" pitchFamily="82" charset="0"/>
                <a:ea typeface="+mn-ea"/>
                <a:cs typeface="+mn-cs"/>
              </a:defRPr>
            </a:pPr>
            <a:r>
              <a:rPr lang="en-IN" b="1">
                <a:solidFill>
                  <a:srgbClr val="FF0000"/>
                </a:solidFill>
                <a:latin typeface="Algerian" panose="04020705040A02060702" pitchFamily="82" charset="0"/>
              </a:rPr>
              <a:t>Earning Per Share (EPS)</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solidFill>
          <a:srgbClr val="FFFF00">
            <a:alpha val="28000"/>
          </a:srgbClr>
        </a:solidFill>
        <a:ln>
          <a:noFill/>
        </a:ln>
        <a:effectLst/>
        <a:sp3d/>
      </c:spPr>
    </c:sideWall>
    <c:backWall>
      <c:thickness val="0"/>
      <c:spPr>
        <a:solidFill>
          <a:srgbClr val="FFFF00">
            <a:alpha val="28000"/>
          </a:srgbClr>
        </a:solidFill>
        <a:ln>
          <a:noFill/>
        </a:ln>
        <a:effectLst/>
        <a:sp3d/>
      </c:spPr>
    </c:backWall>
    <c:plotArea>
      <c:layout/>
      <c:bar3DChart>
        <c:barDir val="col"/>
        <c:grouping val="standard"/>
        <c:varyColors val="0"/>
        <c:ser>
          <c:idx val="0"/>
          <c:order val="0"/>
          <c:tx>
            <c:strRef>
              <c:f>Graph!$B$20</c:f>
              <c:strCache>
                <c:ptCount val="1"/>
                <c:pt idx="0">
                  <c:v>2021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Graph!$A$21</c:f>
              <c:strCache>
                <c:ptCount val="1"/>
                <c:pt idx="0">
                  <c:v>Earning Per Share (EPS)</c:v>
                </c:pt>
              </c:strCache>
            </c:strRef>
          </c:cat>
          <c:val>
            <c:numRef>
              <c:f>Graph!$B$21</c:f>
              <c:numCache>
                <c:formatCode>[$$]#,##0.00</c:formatCode>
                <c:ptCount val="1"/>
                <c:pt idx="0">
                  <c:v>0.02</c:v>
                </c:pt>
              </c:numCache>
            </c:numRef>
          </c:val>
          <c:extLst xmlns:c16r2="http://schemas.microsoft.com/office/drawing/2015/06/chart">
            <c:ext xmlns:c16="http://schemas.microsoft.com/office/drawing/2014/chart" uri="{C3380CC4-5D6E-409C-BE32-E72D297353CC}">
              <c16:uniqueId val="{00000000-08F1-4ECE-8C31-882A12618A74}"/>
            </c:ext>
          </c:extLst>
        </c:ser>
        <c:ser>
          <c:idx val="1"/>
          <c:order val="1"/>
          <c:tx>
            <c:strRef>
              <c:f>Graph!$C$20</c:f>
              <c:strCache>
                <c:ptCount val="1"/>
                <c:pt idx="0">
                  <c:v>2022</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cene3d>
              <a:camera prst="orthographicFront"/>
              <a:lightRig rig="threePt" dir="t"/>
            </a:scene3d>
            <a:sp3d contourW="9525">
              <a:bevelT w="127000" prst="artDeco"/>
              <a:bevelB prst="angle"/>
              <a:contourClr>
                <a:schemeClr val="accent2">
                  <a:shade val="95000"/>
                </a:schemeClr>
              </a:contourClr>
            </a:sp3d>
          </c:spPr>
          <c:invertIfNegative val="0"/>
          <c:dPt>
            <c:idx val="0"/>
            <c:invertIfNegative val="0"/>
            <c:bubble3D val="0"/>
            <c:spPr>
              <a:pattFill prst="solidDmnd">
                <a:fgClr>
                  <a:schemeClr val="accent2">
                    <a:lumMod val="40000"/>
                    <a:lumOff val="60000"/>
                  </a:schemeClr>
                </a:fgClr>
                <a:bgClr>
                  <a:schemeClr val="bg1"/>
                </a:bgClr>
              </a:pattFill>
              <a:ln w="9525" cap="flat" cmpd="sng" algn="ctr">
                <a:solidFill>
                  <a:schemeClr val="accent2">
                    <a:shade val="95000"/>
                  </a:schemeClr>
                </a:solidFill>
                <a:round/>
              </a:ln>
              <a:effectLst/>
              <a:scene3d>
                <a:camera prst="orthographicFront"/>
                <a:lightRig rig="threePt" dir="t"/>
              </a:scene3d>
              <a:sp3d contourW="9525">
                <a:bevelT w="127000" prst="artDeco"/>
                <a:bevelB prst="angle"/>
                <a:contourClr>
                  <a:schemeClr val="accent2">
                    <a:shade val="95000"/>
                  </a:schemeClr>
                </a:contourClr>
              </a:sp3d>
            </c:spPr>
            <c:extLst xmlns:c16r2="http://schemas.microsoft.com/office/drawing/2015/06/chart">
              <c:ext xmlns:c16="http://schemas.microsoft.com/office/drawing/2014/chart" uri="{C3380CC4-5D6E-409C-BE32-E72D297353CC}">
                <c16:uniqueId val="{00000002-08F1-4ECE-8C31-882A12618A74}"/>
              </c:ext>
            </c:extLst>
          </c:dPt>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Graph!$A$21</c:f>
              <c:strCache>
                <c:ptCount val="1"/>
                <c:pt idx="0">
                  <c:v>Earning Per Share (EPS)</c:v>
                </c:pt>
              </c:strCache>
            </c:strRef>
          </c:cat>
          <c:val>
            <c:numRef>
              <c:f>Graph!$C$21</c:f>
              <c:numCache>
                <c:formatCode>[$$]#,##0.00</c:formatCode>
                <c:ptCount val="1"/>
                <c:pt idx="0">
                  <c:v>0.9</c:v>
                </c:pt>
              </c:numCache>
            </c:numRef>
          </c:val>
          <c:extLst xmlns:c16r2="http://schemas.microsoft.com/office/drawing/2015/06/chart">
            <c:ext xmlns:c16="http://schemas.microsoft.com/office/drawing/2014/chart" uri="{C3380CC4-5D6E-409C-BE32-E72D297353CC}">
              <c16:uniqueId val="{00000003-08F1-4ECE-8C31-882A12618A74}"/>
            </c:ext>
          </c:extLst>
        </c:ser>
        <c:ser>
          <c:idx val="2"/>
          <c:order val="2"/>
          <c:tx>
            <c:strRef>
              <c:f>Graph!$D$20</c:f>
              <c:strCache>
                <c:ptCount val="1"/>
                <c:pt idx="0">
                  <c:v>2023</c:v>
                </c:pt>
              </c:strCache>
            </c:strRef>
          </c:tx>
          <c:spPr>
            <a:pattFill prst="diagBrick">
              <a:fgClr>
                <a:schemeClr val="accent2">
                  <a:lumMod val="40000"/>
                  <a:lumOff val="60000"/>
                </a:schemeClr>
              </a:fgClr>
              <a:bgClr>
                <a:schemeClr val="bg1"/>
              </a:bgClr>
            </a:pattFill>
            <a:ln w="9525" cap="flat" cmpd="sng" algn="ctr">
              <a:solidFill>
                <a:schemeClr val="accent3">
                  <a:shade val="95000"/>
                </a:schemeClr>
              </a:solidFill>
              <a:round/>
            </a:ln>
            <a:effectLst/>
            <a:scene3d>
              <a:camera prst="orthographicFront"/>
              <a:lightRig rig="threePt" dir="t"/>
            </a:scene3d>
            <a:sp3d contourW="9525">
              <a:bevelT prst="angle"/>
              <a:bevelB prst="angle"/>
              <a:contourClr>
                <a:schemeClr val="accent3">
                  <a:shade val="95000"/>
                </a:schemeClr>
              </a:contourClr>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Graph!$A$21</c:f>
              <c:strCache>
                <c:ptCount val="1"/>
                <c:pt idx="0">
                  <c:v>Earning Per Share (EPS)</c:v>
                </c:pt>
              </c:strCache>
            </c:strRef>
          </c:cat>
          <c:val>
            <c:numRef>
              <c:f>Graph!$D$21</c:f>
              <c:numCache>
                <c:formatCode>[$$]#,##0.00</c:formatCode>
                <c:ptCount val="1"/>
                <c:pt idx="0">
                  <c:v>1.07</c:v>
                </c:pt>
              </c:numCache>
            </c:numRef>
          </c:val>
          <c:extLst xmlns:c16r2="http://schemas.microsoft.com/office/drawing/2015/06/chart">
            <c:ext xmlns:c16="http://schemas.microsoft.com/office/drawing/2014/chart" uri="{C3380CC4-5D6E-409C-BE32-E72D297353CC}">
              <c16:uniqueId val="{00000004-08F1-4ECE-8C31-882A12618A74}"/>
            </c:ext>
          </c:extLst>
        </c:ser>
        <c:ser>
          <c:idx val="3"/>
          <c:order val="3"/>
          <c:tx>
            <c:strRef>
              <c:f>Graph!$E$20</c:f>
              <c:strCache>
                <c:ptCount val="1"/>
                <c:pt idx="0">
                  <c:v>2024</c:v>
                </c:pt>
              </c:strCache>
            </c:strRef>
          </c:tx>
          <c:spPr>
            <a:pattFill prst="ltVert">
              <a:fgClr>
                <a:schemeClr val="accent4">
                  <a:lumMod val="75000"/>
                </a:schemeClr>
              </a:fgClr>
              <a:bgClr>
                <a:schemeClr val="bg1"/>
              </a:bgClr>
            </a:pattFill>
            <a:ln w="9525" cap="flat" cmpd="sng" algn="ctr">
              <a:solidFill>
                <a:schemeClr val="accent4">
                  <a:shade val="95000"/>
                </a:schemeClr>
              </a:solidFill>
              <a:round/>
            </a:ln>
            <a:effectLst/>
            <a:scene3d>
              <a:camera prst="orthographicFront"/>
              <a:lightRig rig="threePt" dir="t"/>
            </a:scene3d>
            <a:sp3d contourW="9525">
              <a:bevelT prst="angle"/>
              <a:bevelB prst="angle"/>
              <a:contourClr>
                <a:schemeClr val="accent4">
                  <a:shade val="95000"/>
                </a:schemeClr>
              </a:contourClr>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Graph!$A$21</c:f>
              <c:strCache>
                <c:ptCount val="1"/>
                <c:pt idx="0">
                  <c:v>Earning Per Share (EPS)</c:v>
                </c:pt>
              </c:strCache>
            </c:strRef>
          </c:cat>
          <c:val>
            <c:numRef>
              <c:f>Graph!$E$21</c:f>
              <c:numCache>
                <c:formatCode>[$$]#,##0.00</c:formatCode>
                <c:ptCount val="1"/>
                <c:pt idx="0">
                  <c:v>1.01</c:v>
                </c:pt>
              </c:numCache>
            </c:numRef>
          </c:val>
          <c:extLst xmlns:c16r2="http://schemas.microsoft.com/office/drawing/2015/06/chart">
            <c:ext xmlns:c16="http://schemas.microsoft.com/office/drawing/2014/chart" uri="{C3380CC4-5D6E-409C-BE32-E72D297353CC}">
              <c16:uniqueId val="{00000005-08F1-4ECE-8C31-882A12618A74}"/>
            </c:ext>
          </c:extLst>
        </c:ser>
        <c:ser>
          <c:idx val="4"/>
          <c:order val="4"/>
          <c:tx>
            <c:strRef>
              <c:f>Graph!$F$20</c:f>
              <c:strCache>
                <c:ptCount val="1"/>
                <c:pt idx="0">
                  <c:v>2025</c:v>
                </c:pt>
              </c:strCache>
            </c:strRef>
          </c:tx>
          <c:spPr>
            <a:pattFill prst="wdUpDiag">
              <a:fgClr>
                <a:schemeClr val="accent5">
                  <a:lumMod val="75000"/>
                </a:schemeClr>
              </a:fgClr>
              <a:bgClr>
                <a:schemeClr val="bg1"/>
              </a:bgClr>
            </a:pattFill>
            <a:ln w="9525" cap="flat" cmpd="sng" algn="ctr">
              <a:solidFill>
                <a:schemeClr val="accent5">
                  <a:shade val="95000"/>
                </a:schemeClr>
              </a:solidFill>
              <a:round/>
            </a:ln>
            <a:effectLst/>
            <a:scene3d>
              <a:camera prst="orthographicFront"/>
              <a:lightRig rig="threePt" dir="t"/>
            </a:scene3d>
            <a:sp3d contourW="9525">
              <a:bevelT prst="angle"/>
              <a:bevelB prst="angle"/>
              <a:contourClr>
                <a:schemeClr val="accent5">
                  <a:shade val="95000"/>
                </a:schemeClr>
              </a:contourClr>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Graph!$A$21</c:f>
              <c:strCache>
                <c:ptCount val="1"/>
                <c:pt idx="0">
                  <c:v>Earning Per Share (EPS)</c:v>
                </c:pt>
              </c:strCache>
            </c:strRef>
          </c:cat>
          <c:val>
            <c:numRef>
              <c:f>Graph!$F$21</c:f>
              <c:numCache>
                <c:formatCode>[$$]#,##0.00</c:formatCode>
                <c:ptCount val="1"/>
                <c:pt idx="0">
                  <c:v>1.1200000000000001</c:v>
                </c:pt>
              </c:numCache>
            </c:numRef>
          </c:val>
          <c:extLst xmlns:c16r2="http://schemas.microsoft.com/office/drawing/2015/06/chart">
            <c:ext xmlns:c16="http://schemas.microsoft.com/office/drawing/2014/chart" uri="{C3380CC4-5D6E-409C-BE32-E72D297353CC}">
              <c16:uniqueId val="{00000006-08F1-4ECE-8C31-882A12618A74}"/>
            </c:ext>
          </c:extLst>
        </c:ser>
        <c:dLbls>
          <c:showLegendKey val="0"/>
          <c:showVal val="1"/>
          <c:showCatName val="0"/>
          <c:showSerName val="0"/>
          <c:showPercent val="0"/>
          <c:showBubbleSize val="0"/>
        </c:dLbls>
        <c:gapWidth val="150"/>
        <c:shape val="box"/>
        <c:axId val="283040384"/>
        <c:axId val="283042176"/>
        <c:axId val="282986688"/>
      </c:bar3DChart>
      <c:catAx>
        <c:axId val="283040384"/>
        <c:scaling>
          <c:orientation val="minMax"/>
        </c:scaling>
        <c:delete val="1"/>
        <c:axPos val="b"/>
        <c:numFmt formatCode="General" sourceLinked="1"/>
        <c:majorTickMark val="none"/>
        <c:minorTickMark val="none"/>
        <c:tickLblPos val="nextTo"/>
        <c:crossAx val="283042176"/>
        <c:crosses val="autoZero"/>
        <c:auto val="1"/>
        <c:lblAlgn val="ctr"/>
        <c:lblOffset val="100"/>
        <c:noMultiLvlLbl val="0"/>
      </c:catAx>
      <c:valAx>
        <c:axId val="283042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1" u="none" strike="noStrike" kern="1200" baseline="0">
                <a:solidFill>
                  <a:schemeClr val="accent1"/>
                </a:solidFill>
                <a:latin typeface="+mn-lt"/>
                <a:ea typeface="+mn-ea"/>
                <a:cs typeface="+mn-cs"/>
              </a:defRPr>
            </a:pPr>
            <a:endParaRPr lang="en-US"/>
          </a:p>
        </c:txPr>
        <c:crossAx val="283040384"/>
        <c:crosses val="autoZero"/>
        <c:crossBetween val="between"/>
      </c:valAx>
      <c:serAx>
        <c:axId val="28298668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chemeClr val="accent1"/>
                </a:solidFill>
                <a:latin typeface="+mn-lt"/>
                <a:ea typeface="+mn-ea"/>
                <a:cs typeface="+mn-cs"/>
              </a:defRPr>
            </a:pPr>
            <a:endParaRPr lang="en-US"/>
          </a:p>
        </c:txPr>
        <c:crossAx val="283042176"/>
        <c:crosses val="autoZero"/>
      </c:serAx>
      <c:spPr>
        <a:noFill/>
        <a:ln>
          <a:noFill/>
        </a:ln>
        <a:effectLst>
          <a:outerShdw blurRad="50800" dist="38100" algn="l" rotWithShape="0">
            <a:prstClr val="black">
              <a:alpha val="40000"/>
            </a:prst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rgbClr val="FF0000"/>
              </a:solidFill>
              <a:latin typeface="Algerian" panose="04020705040A02060702" pitchFamily="82" charset="0"/>
              <a:ea typeface="+mj-ea"/>
              <a:cs typeface="+mj-cs"/>
            </a:defRPr>
          </a:pPr>
          <a:endParaRPr lang="en-US"/>
        </a:p>
      </c:txPr>
    </c:title>
    <c:autoTitleDeleted val="0"/>
    <c:plotArea>
      <c:layout>
        <c:manualLayout>
          <c:layoutTarget val="inner"/>
          <c:xMode val="edge"/>
          <c:yMode val="edge"/>
          <c:x val="0.17957130358705159"/>
          <c:y val="0.2688404053659959"/>
          <c:w val="0.74817847769028878"/>
          <c:h val="0.56004884806065913"/>
        </c:manualLayout>
      </c:layout>
      <c:areaChart>
        <c:grouping val="stacked"/>
        <c:varyColors val="0"/>
        <c:ser>
          <c:idx val="0"/>
          <c:order val="0"/>
          <c:tx>
            <c:strRef>
              <c:f>Graph!$A$24</c:f>
              <c:strCache>
                <c:ptCount val="1"/>
                <c:pt idx="0">
                  <c:v>Price-to-Earnings (P/E) Ratio</c:v>
                </c:pt>
              </c:strCache>
            </c:strRef>
          </c:tx>
          <c:spPr>
            <a:solidFill>
              <a:schemeClr val="accent1"/>
            </a:solidFill>
            <a:ln>
              <a:noFill/>
            </a:ln>
            <a:effectLst/>
            <a:scene3d>
              <a:camera prst="orthographicFront"/>
              <a:lightRig rig="threePt" dir="t"/>
            </a:scene3d>
            <a:sp3d>
              <a:bevelT prst="angle"/>
            </a:sp3d>
          </c:spPr>
          <c:dLbls>
            <c:dLbl>
              <c:idx val="0"/>
              <c:layout>
                <c:manualLayout>
                  <c:x val="4.7222222222222221E-2"/>
                  <c:y val="-0.1250000000000000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63E-4ACB-B196-3D9D439433CC}"/>
                </c:ext>
              </c:extLst>
            </c:dLbl>
            <c:dLbl>
              <c:idx val="1"/>
              <c:layout>
                <c:manualLayout>
                  <c:x val="-2.7777777777777779E-3"/>
                  <c:y val="-0.1388888888888889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63E-4ACB-B196-3D9D439433CC}"/>
                </c:ext>
              </c:extLst>
            </c:dLbl>
            <c:dLbl>
              <c:idx val="2"/>
              <c:layout>
                <c:manualLayout>
                  <c:x val="-8.3333333333334356E-3"/>
                  <c:y val="-6.018518518518527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63E-4ACB-B196-3D9D439433CC}"/>
                </c:ext>
              </c:extLst>
            </c:dLbl>
            <c:dLbl>
              <c:idx val="3"/>
              <c:layout>
                <c:manualLayout>
                  <c:x val="-1.6666666666666666E-2"/>
                  <c:y val="-0.2037037037037037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63E-4ACB-B196-3D9D439433CC}"/>
                </c:ext>
              </c:extLst>
            </c:dLbl>
            <c:dLbl>
              <c:idx val="4"/>
              <c:layout>
                <c:manualLayout>
                  <c:x val="-5.5555555555555552E-2"/>
                  <c:y val="-0.1157407407407409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563E-4ACB-B196-3D9D439433CC}"/>
                </c:ext>
              </c:extLst>
            </c:dLbl>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Graph!$B$23:$F$23</c:f>
              <c:numCache>
                <c:formatCode>General</c:formatCode>
                <c:ptCount val="5"/>
                <c:pt idx="0">
                  <c:v>2021</c:v>
                </c:pt>
                <c:pt idx="1">
                  <c:v>2022</c:v>
                </c:pt>
                <c:pt idx="2">
                  <c:v>2023</c:v>
                </c:pt>
                <c:pt idx="3">
                  <c:v>2024</c:v>
                </c:pt>
                <c:pt idx="4">
                  <c:v>2025</c:v>
                </c:pt>
              </c:numCache>
            </c:numRef>
          </c:cat>
          <c:val>
            <c:numRef>
              <c:f>Graph!$B$24:$F$24</c:f>
              <c:numCache>
                <c:formatCode>#,##0.00</c:formatCode>
                <c:ptCount val="5"/>
                <c:pt idx="0">
                  <c:v>841.38</c:v>
                </c:pt>
                <c:pt idx="1">
                  <c:v>15.38</c:v>
                </c:pt>
                <c:pt idx="2">
                  <c:v>13.16</c:v>
                </c:pt>
                <c:pt idx="3">
                  <c:v>15.99</c:v>
                </c:pt>
                <c:pt idx="4">
                  <c:v>13.28</c:v>
                </c:pt>
              </c:numCache>
            </c:numRef>
          </c:val>
          <c:extLst xmlns:c16r2="http://schemas.microsoft.com/office/drawing/2015/06/chart">
            <c:ext xmlns:c16="http://schemas.microsoft.com/office/drawing/2014/chart" uri="{C3380CC4-5D6E-409C-BE32-E72D297353CC}">
              <c16:uniqueId val="{00000005-563E-4ACB-B196-3D9D439433CC}"/>
            </c:ext>
          </c:extLst>
        </c:ser>
        <c:dLbls>
          <c:showLegendKey val="0"/>
          <c:showVal val="1"/>
          <c:showCatName val="0"/>
          <c:showSerName val="0"/>
          <c:showPercent val="0"/>
          <c:showBubbleSize val="0"/>
        </c:dLbls>
        <c:axId val="283130496"/>
        <c:axId val="283137536"/>
      </c:areaChart>
      <c:catAx>
        <c:axId val="2831304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1" u="none" strike="noStrike" kern="1200" cap="none" spc="0" normalizeH="0" baseline="0">
                <a:solidFill>
                  <a:schemeClr val="accent1"/>
                </a:solidFill>
                <a:latin typeface="+mn-lt"/>
                <a:ea typeface="+mn-ea"/>
                <a:cs typeface="+mn-cs"/>
              </a:defRPr>
            </a:pPr>
            <a:endParaRPr lang="en-US"/>
          </a:p>
        </c:txPr>
        <c:crossAx val="283137536"/>
        <c:crosses val="autoZero"/>
        <c:auto val="1"/>
        <c:lblAlgn val="ctr"/>
        <c:lblOffset val="100"/>
        <c:noMultiLvlLbl val="0"/>
      </c:catAx>
      <c:valAx>
        <c:axId val="283137536"/>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accent1"/>
                </a:solidFill>
                <a:latin typeface="+mn-lt"/>
                <a:ea typeface="+mn-ea"/>
                <a:cs typeface="+mn-cs"/>
              </a:defRPr>
            </a:pPr>
            <a:endParaRPr lang="en-US"/>
          </a:p>
        </c:txPr>
        <c:crossAx val="283130496"/>
        <c:crosses val="autoZero"/>
        <c:crossBetween val="midCat"/>
      </c:valAx>
      <c:spPr>
        <a:pattFill prst="ltDnDiag">
          <a:fgClr>
            <a:schemeClr val="dk1">
              <a:lumMod val="15000"/>
              <a:lumOff val="85000"/>
            </a:schemeClr>
          </a:fgClr>
          <a:bgClr>
            <a:schemeClr val="lt1"/>
          </a:bgClr>
        </a:pattFill>
        <a:ln>
          <a:noFill/>
        </a:ln>
        <a:effectLst>
          <a:outerShdw blurRad="50800" dist="38100" algn="l" rotWithShape="0">
            <a:prstClr val="black">
              <a:alpha val="40000"/>
            </a:prstClr>
          </a:outerShdw>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solidFill>
      <a:schemeClr val="lt1"/>
    </a:solidFill>
    <a:ln w="9525" cap="flat" cmpd="sng" algn="ctr">
      <a:solidFill>
        <a:schemeClr val="dk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baseline="0">
                <a:solidFill>
                  <a:srgbClr val="FF0000"/>
                </a:solidFill>
                <a:latin typeface="Algerian" panose="04020705040A02060702" pitchFamily="82" charset="0"/>
                <a:ea typeface="+mn-ea"/>
                <a:cs typeface="+mn-cs"/>
              </a:defRPr>
            </a:pPr>
            <a:r>
              <a:rPr lang="en-IN" b="1"/>
              <a:t>Operating Cash Flow Ratio</a:t>
            </a:r>
          </a:p>
        </c:rich>
      </c:tx>
      <c:overlay val="0"/>
      <c:spPr>
        <a:noFill/>
        <a:ln>
          <a:noFill/>
        </a:ln>
        <a:effectLst/>
      </c:spPr>
    </c:title>
    <c:autoTitleDeleted val="0"/>
    <c:plotArea>
      <c:layout/>
      <c:pieChart>
        <c:varyColors val="1"/>
        <c:ser>
          <c:idx val="0"/>
          <c:order val="0"/>
          <c:tx>
            <c:strRef>
              <c:f>Graph!$A$27</c:f>
              <c:strCache>
                <c:ptCount val="1"/>
                <c:pt idx="0">
                  <c:v>Operating Cash Flow Ratio</c:v>
                </c:pt>
              </c:strCache>
            </c:strRef>
          </c:tx>
          <c:spPr>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dPt>
            <c:idx val="0"/>
            <c:bubble3D val="0"/>
            <c:spPr>
              <a:solidFill>
                <a:schemeClr val="accent1"/>
              </a:solidFill>
              <a:ln>
                <a:noFill/>
              </a:ln>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extLst xmlns:c16r2="http://schemas.microsoft.com/office/drawing/2015/06/chart">
              <c:ext xmlns:c16="http://schemas.microsoft.com/office/drawing/2014/chart" uri="{C3380CC4-5D6E-409C-BE32-E72D297353CC}">
                <c16:uniqueId val="{00000001-F0EC-4CDB-8CEE-43AE022998D3}"/>
              </c:ext>
            </c:extLst>
          </c:dPt>
          <c:dPt>
            <c:idx val="1"/>
            <c:bubble3D val="0"/>
            <c:spPr>
              <a:solidFill>
                <a:schemeClr val="accent2"/>
              </a:solidFill>
              <a:ln>
                <a:noFill/>
              </a:ln>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extLst xmlns:c16r2="http://schemas.microsoft.com/office/drawing/2015/06/chart">
              <c:ext xmlns:c16="http://schemas.microsoft.com/office/drawing/2014/chart" uri="{C3380CC4-5D6E-409C-BE32-E72D297353CC}">
                <c16:uniqueId val="{00000003-F0EC-4CDB-8CEE-43AE022998D3}"/>
              </c:ext>
            </c:extLst>
          </c:dPt>
          <c:dPt>
            <c:idx val="2"/>
            <c:bubble3D val="0"/>
            <c:spPr>
              <a:solidFill>
                <a:schemeClr val="accent3"/>
              </a:solidFill>
              <a:ln>
                <a:noFill/>
              </a:ln>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extLst xmlns:c16r2="http://schemas.microsoft.com/office/drawing/2015/06/chart">
              <c:ext xmlns:c16="http://schemas.microsoft.com/office/drawing/2014/chart" uri="{C3380CC4-5D6E-409C-BE32-E72D297353CC}">
                <c16:uniqueId val="{00000005-F0EC-4CDB-8CEE-43AE022998D3}"/>
              </c:ext>
            </c:extLst>
          </c:dPt>
          <c:dPt>
            <c:idx val="3"/>
            <c:bubble3D val="0"/>
            <c:spPr>
              <a:solidFill>
                <a:schemeClr val="accent4"/>
              </a:solidFill>
              <a:ln>
                <a:noFill/>
              </a:ln>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extLst xmlns:c16r2="http://schemas.microsoft.com/office/drawing/2015/06/chart">
              <c:ext xmlns:c16="http://schemas.microsoft.com/office/drawing/2014/chart" uri="{C3380CC4-5D6E-409C-BE32-E72D297353CC}">
                <c16:uniqueId val="{00000007-F0EC-4CDB-8CEE-43AE022998D3}"/>
              </c:ext>
            </c:extLst>
          </c:dPt>
          <c:dPt>
            <c:idx val="4"/>
            <c:bubble3D val="0"/>
            <c:spPr>
              <a:solidFill>
                <a:schemeClr val="accent5"/>
              </a:solidFill>
              <a:ln>
                <a:noFill/>
              </a:ln>
              <a:effectLst>
                <a:glow rad="279400">
                  <a:schemeClr val="accent1">
                    <a:lumMod val="20000"/>
                    <a:lumOff val="80000"/>
                    <a:alpha val="66000"/>
                  </a:schemeClr>
                </a:glow>
                <a:outerShdw blurRad="215900" algn="ctr" rotWithShape="0">
                  <a:prstClr val="black">
                    <a:alpha val="25000"/>
                  </a:prstClr>
                </a:outerShdw>
              </a:effectLst>
              <a:scene3d>
                <a:camera prst="orthographicFront"/>
                <a:lightRig rig="threePt" dir="t"/>
              </a:scene3d>
              <a:sp3d>
                <a:bevelT w="139700" prst="cross"/>
              </a:sp3d>
            </c:spPr>
            <c:extLst xmlns:c16r2="http://schemas.microsoft.com/office/drawing/2015/06/chart">
              <c:ext xmlns:c16="http://schemas.microsoft.com/office/drawing/2014/chart" uri="{C3380CC4-5D6E-409C-BE32-E72D297353CC}">
                <c16:uniqueId val="{00000009-F0EC-4CDB-8CEE-43AE022998D3}"/>
              </c:ext>
            </c:extLst>
          </c:dPt>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numRef>
              <c:f>Graph!$B$26:$F$26</c:f>
              <c:numCache>
                <c:formatCode>General</c:formatCode>
                <c:ptCount val="5"/>
                <c:pt idx="0">
                  <c:v>2021</c:v>
                </c:pt>
                <c:pt idx="1">
                  <c:v>2022</c:v>
                </c:pt>
                <c:pt idx="2">
                  <c:v>2023</c:v>
                </c:pt>
                <c:pt idx="3">
                  <c:v>2024</c:v>
                </c:pt>
                <c:pt idx="4">
                  <c:v>2025</c:v>
                </c:pt>
              </c:numCache>
            </c:numRef>
          </c:cat>
          <c:val>
            <c:numRef>
              <c:f>Graph!$B$27:$F$27</c:f>
              <c:numCache>
                <c:formatCode>#,##0.00</c:formatCode>
                <c:ptCount val="5"/>
                <c:pt idx="0">
                  <c:v>0.9</c:v>
                </c:pt>
                <c:pt idx="1">
                  <c:v>2.33</c:v>
                </c:pt>
                <c:pt idx="2">
                  <c:v>2.23</c:v>
                </c:pt>
                <c:pt idx="3">
                  <c:v>0.13</c:v>
                </c:pt>
                <c:pt idx="4">
                  <c:v>2.23</c:v>
                </c:pt>
              </c:numCache>
            </c:numRef>
          </c:val>
          <c:extLst xmlns:c16r2="http://schemas.microsoft.com/office/drawing/2015/06/chart">
            <c:ext xmlns:c16="http://schemas.microsoft.com/office/drawing/2014/chart" uri="{C3380CC4-5D6E-409C-BE32-E72D297353CC}">
              <c16:uniqueId val="{0000000A-F0EC-4CDB-8CEE-43AE022998D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0" i="0" u="none" strike="noStrike" kern="1200" cap="none" spc="0" normalizeH="0" baseline="0">
              <a:solidFill>
                <a:srgbClr val="FF0000"/>
              </a:solidFill>
              <a:latin typeface="Algerian" panose="04020705040A02060702" pitchFamily="82" charset="0"/>
              <a:ea typeface="+mj-ea"/>
              <a:cs typeface="+mj-cs"/>
            </a:defRPr>
          </a:pPr>
          <a:endParaRPr lang="en-US"/>
        </a:p>
      </c:txPr>
    </c:title>
    <c:autoTitleDeleted val="0"/>
    <c:plotArea>
      <c:layout/>
      <c:barChart>
        <c:barDir val="col"/>
        <c:grouping val="clustered"/>
        <c:varyColors val="0"/>
        <c:ser>
          <c:idx val="0"/>
          <c:order val="0"/>
          <c:tx>
            <c:strRef>
              <c:f>Graph!$A$30</c:f>
              <c:strCache>
                <c:ptCount val="1"/>
                <c:pt idx="0">
                  <c:v>Free Cash Flow Ratio</c:v>
                </c:pt>
              </c:strCache>
            </c:strRef>
          </c:tx>
          <c:spPr>
            <a:pattFill prst="pct70">
              <a:fgClr>
                <a:schemeClr val="accent1">
                  <a:lumMod val="75000"/>
                </a:schemeClr>
              </a:fgClr>
              <a:bgClr>
                <a:schemeClr val="bg1"/>
              </a:bgClr>
            </a:pattFill>
            <a:ln>
              <a:noFill/>
            </a:ln>
            <a:effectLst/>
            <a:scene3d>
              <a:camera prst="orthographicFront"/>
              <a:lightRig rig="sunrise" dir="t"/>
            </a:scene3d>
            <a:sp3d prstMaterial="dkEdge">
              <a:bevelT w="152400" h="50800" prst="softRound"/>
              <a:bevelB w="139700" h="139700" prst="divot"/>
            </a:sp3d>
          </c:spPr>
          <c:invertIfNegative val="0"/>
          <c:dLbls>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Graph!$B$29:$F$29</c:f>
              <c:numCache>
                <c:formatCode>General</c:formatCode>
                <c:ptCount val="5"/>
                <c:pt idx="0">
                  <c:v>2021</c:v>
                </c:pt>
                <c:pt idx="1">
                  <c:v>2022</c:v>
                </c:pt>
                <c:pt idx="2">
                  <c:v>2023</c:v>
                </c:pt>
                <c:pt idx="3">
                  <c:v>2024</c:v>
                </c:pt>
                <c:pt idx="4">
                  <c:v>2025</c:v>
                </c:pt>
              </c:numCache>
            </c:numRef>
          </c:cat>
          <c:val>
            <c:numRef>
              <c:f>Graph!$B$30:$F$30</c:f>
              <c:numCache>
                <c:formatCode>#,##0.00</c:formatCode>
                <c:ptCount val="5"/>
                <c:pt idx="0">
                  <c:v>7.0000000000000007E-2</c:v>
                </c:pt>
                <c:pt idx="1">
                  <c:v>0.3</c:v>
                </c:pt>
                <c:pt idx="2">
                  <c:v>0.25</c:v>
                </c:pt>
                <c:pt idx="3">
                  <c:v>0.28000000000000003</c:v>
                </c:pt>
                <c:pt idx="4">
                  <c:v>0.24</c:v>
                </c:pt>
              </c:numCache>
            </c:numRef>
          </c:val>
          <c:extLst xmlns:c16r2="http://schemas.microsoft.com/office/drawing/2015/06/chart">
            <c:ext xmlns:c16="http://schemas.microsoft.com/office/drawing/2014/chart" uri="{C3380CC4-5D6E-409C-BE32-E72D297353CC}">
              <c16:uniqueId val="{00000000-F7DA-4F33-AE69-2DD9FAAC6748}"/>
            </c:ext>
          </c:extLst>
        </c:ser>
        <c:dLbls>
          <c:dLblPos val="outEnd"/>
          <c:showLegendKey val="0"/>
          <c:showVal val="1"/>
          <c:showCatName val="0"/>
          <c:showSerName val="0"/>
          <c:showPercent val="0"/>
          <c:showBubbleSize val="0"/>
        </c:dLbls>
        <c:gapWidth val="267"/>
        <c:overlap val="-43"/>
        <c:axId val="307786496"/>
        <c:axId val="307789184"/>
      </c:barChart>
      <c:catAx>
        <c:axId val="3077864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1" u="none" strike="noStrike" kern="1200" cap="none" spc="0" normalizeH="0" baseline="0">
                <a:solidFill>
                  <a:schemeClr val="accent1">
                    <a:lumMod val="75000"/>
                  </a:schemeClr>
                </a:solidFill>
                <a:latin typeface="+mn-lt"/>
                <a:ea typeface="+mn-ea"/>
                <a:cs typeface="+mn-cs"/>
              </a:defRPr>
            </a:pPr>
            <a:endParaRPr lang="en-US"/>
          </a:p>
        </c:txPr>
        <c:crossAx val="307789184"/>
        <c:crosses val="autoZero"/>
        <c:auto val="1"/>
        <c:lblAlgn val="ctr"/>
        <c:lblOffset val="100"/>
        <c:noMultiLvlLbl val="0"/>
      </c:catAx>
      <c:valAx>
        <c:axId val="307789184"/>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1" u="none" strike="noStrike" kern="1200" baseline="0">
                <a:solidFill>
                  <a:schemeClr val="accent1">
                    <a:lumMod val="75000"/>
                  </a:schemeClr>
                </a:solidFill>
                <a:latin typeface="+mn-lt"/>
                <a:ea typeface="+mn-ea"/>
                <a:cs typeface="+mn-cs"/>
              </a:defRPr>
            </a:pPr>
            <a:endParaRPr lang="en-US"/>
          </a:p>
        </c:txPr>
        <c:crossAx val="307786496"/>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7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a:glow rad="101600">
            <a:schemeClr val="accent3">
              <a:satMod val="175000"/>
              <a:alpha val="40000"/>
            </a:schemeClr>
          </a:glow>
          <a:outerShdw blurRad="50800" dist="38100" algn="l" rotWithShape="0">
            <a:prstClr val="black">
              <a:alpha val="40000"/>
            </a:prstClr>
          </a:outerShdw>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a:outerShdw blurRad="50800" dist="38100" sx="101000" sy="101000" algn="l" rotWithShape="0">
        <a:prstClr val="black">
          <a:alpha val="40000"/>
        </a:prstClr>
      </a:outerShdw>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A143D-1BA8-4A06-8D31-177A5623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10014</Words>
  <Characters>57086</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2026-08-12T10:28:00Z</dcterms:created>
  <dcterms:modified xsi:type="dcterms:W3CDTF">2026-08-12T10:28:00Z</dcterms:modified>
</cp:coreProperties>
</file>