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ms-word.document.macroEnabled.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DB97E1" w14:textId="60C3E352" w:rsidR="0035033D" w:rsidRDefault="0035033D" w:rsidP="0035033D">
      <w:pPr>
        <w:pStyle w:val="Heading1"/>
        <w:rPr>
          <w:rFonts w:eastAsia="Calibri"/>
          <w:lang w:eastAsia="en-GB"/>
        </w:rPr>
      </w:pPr>
    </w:p>
    <w:p w14:paraId="555E860D" w14:textId="449D9C18" w:rsidR="0035033D" w:rsidRDefault="005B1A2C" w:rsidP="005D3BB6">
      <w:pPr>
        <w:pStyle w:val="Title"/>
        <w:rPr>
          <w:rStyle w:val="BookTitle"/>
          <w:i w:val="0"/>
          <w:u w:val="single"/>
          <w:lang w:eastAsia="en-GB"/>
        </w:rPr>
      </w:pPr>
      <w:bookmarkStart w:id="0" w:name="_Toc533155796"/>
      <w:bookmarkStart w:id="1" w:name="_Toc533155954"/>
      <w:r w:rsidRPr="005B1A2C">
        <w:rPr>
          <w:rStyle w:val="BookTitle"/>
          <w:i w:val="0"/>
          <w:u w:val="single"/>
          <w:lang w:eastAsia="en-GB"/>
        </w:rPr>
        <w:t xml:space="preserve">Coursework </w:t>
      </w:r>
      <w:bookmarkStart w:id="2" w:name="_Toc533155797"/>
      <w:bookmarkStart w:id="3" w:name="_Toc533155955"/>
      <w:bookmarkEnd w:id="0"/>
      <w:bookmarkEnd w:id="1"/>
      <w:r w:rsidR="00C514E8">
        <w:rPr>
          <w:rStyle w:val="BookTitle"/>
          <w:i w:val="0"/>
          <w:u w:val="single"/>
          <w:lang w:eastAsia="en-GB"/>
        </w:rPr>
        <w:t>Co</w:t>
      </w:r>
      <w:r w:rsidRPr="005B1A2C">
        <w:rPr>
          <w:rStyle w:val="BookTitle"/>
          <w:i w:val="0"/>
          <w:u w:val="single"/>
          <w:lang w:eastAsia="en-GB"/>
        </w:rPr>
        <w:t xml:space="preserve">nsultancy project </w:t>
      </w:r>
      <w:bookmarkEnd w:id="2"/>
      <w:bookmarkEnd w:id="3"/>
    </w:p>
    <w:p w14:paraId="145CFC84" w14:textId="73866FB0" w:rsidR="00255CA6" w:rsidRPr="005D3BB6" w:rsidRDefault="00255CA6" w:rsidP="005D3BB6">
      <w:pPr>
        <w:pStyle w:val="Title"/>
        <w:jc w:val="center"/>
        <w:rPr>
          <w:b/>
          <w:sz w:val="28"/>
          <w:szCs w:val="28"/>
          <w:lang w:eastAsia="en-GB"/>
        </w:rPr>
      </w:pPr>
      <w:r w:rsidRPr="005D3BB6">
        <w:rPr>
          <w:b/>
          <w:sz w:val="28"/>
          <w:szCs w:val="28"/>
          <w:lang w:eastAsia="en-GB"/>
        </w:rPr>
        <w:t>Title: Workforce Diversity Training Programme Evaluation – Aetna Health Insurance corporation</w:t>
      </w:r>
    </w:p>
    <w:p w14:paraId="26498F8B" w14:textId="77777777" w:rsidR="0035033D" w:rsidRDefault="0035033D" w:rsidP="0035033D">
      <w:pPr>
        <w:pStyle w:val="Heading1"/>
        <w:rPr>
          <w:rFonts w:eastAsia="Calibri"/>
          <w:lang w:eastAsia="en-GB"/>
        </w:rPr>
      </w:pPr>
    </w:p>
    <w:p w14:paraId="6F1493C5" w14:textId="77777777" w:rsidR="0035033D" w:rsidRDefault="0035033D" w:rsidP="0035033D">
      <w:pPr>
        <w:pStyle w:val="Heading1"/>
        <w:rPr>
          <w:rFonts w:eastAsia="Calibri"/>
          <w:lang w:eastAsia="en-GB"/>
        </w:rPr>
      </w:pPr>
    </w:p>
    <w:p w14:paraId="31B366EE" w14:textId="4A80784D" w:rsidR="005B1A2C" w:rsidRDefault="005B1A2C" w:rsidP="005B1A2C">
      <w:pPr>
        <w:rPr>
          <w:lang w:eastAsia="en-GB"/>
        </w:rPr>
      </w:pPr>
    </w:p>
    <w:p w14:paraId="6D7A18B6" w14:textId="77777777" w:rsidR="00C514E8" w:rsidRPr="006B6322" w:rsidRDefault="00C514E8" w:rsidP="00C514E8">
      <w:pPr>
        <w:rPr>
          <w:sz w:val="36"/>
          <w:szCs w:val="36"/>
        </w:rPr>
      </w:pPr>
      <w:r w:rsidRPr="006B6322">
        <w:rPr>
          <w:sz w:val="36"/>
          <w:szCs w:val="36"/>
        </w:rPr>
        <w:t>NAME    STEPHANIE DARE</w:t>
      </w:r>
    </w:p>
    <w:p w14:paraId="0012EFB6" w14:textId="77777777" w:rsidR="00C514E8" w:rsidRPr="006B6322" w:rsidRDefault="00C514E8" w:rsidP="00C514E8">
      <w:pPr>
        <w:rPr>
          <w:sz w:val="36"/>
          <w:szCs w:val="36"/>
        </w:rPr>
      </w:pPr>
    </w:p>
    <w:p w14:paraId="7182DAAD" w14:textId="77777777" w:rsidR="00C514E8" w:rsidRPr="006B6322" w:rsidRDefault="00C514E8" w:rsidP="00C514E8">
      <w:pPr>
        <w:rPr>
          <w:sz w:val="36"/>
          <w:szCs w:val="36"/>
        </w:rPr>
      </w:pPr>
      <w:r w:rsidRPr="006B6322">
        <w:rPr>
          <w:sz w:val="36"/>
          <w:szCs w:val="36"/>
        </w:rPr>
        <w:t>STUDENT ID    1708907</w:t>
      </w:r>
    </w:p>
    <w:p w14:paraId="440C1C94" w14:textId="77777777" w:rsidR="00C514E8" w:rsidRPr="006B6322" w:rsidRDefault="00C514E8" w:rsidP="00C514E8">
      <w:pPr>
        <w:rPr>
          <w:sz w:val="36"/>
          <w:szCs w:val="36"/>
        </w:rPr>
      </w:pPr>
    </w:p>
    <w:p w14:paraId="1FB13974" w14:textId="77777777" w:rsidR="00C514E8" w:rsidRPr="006B6322" w:rsidRDefault="00C514E8" w:rsidP="00C514E8">
      <w:pPr>
        <w:rPr>
          <w:sz w:val="36"/>
          <w:szCs w:val="36"/>
        </w:rPr>
      </w:pPr>
    </w:p>
    <w:p w14:paraId="3D93F285" w14:textId="37F53BB2" w:rsidR="005B1A2C" w:rsidRDefault="005B1A2C" w:rsidP="005B1A2C">
      <w:pPr>
        <w:rPr>
          <w:lang w:eastAsia="en-GB"/>
        </w:rPr>
      </w:pPr>
      <w:bookmarkStart w:id="4" w:name="_GoBack"/>
      <w:bookmarkEnd w:id="4"/>
    </w:p>
    <w:p w14:paraId="55FFDD26" w14:textId="034E77DB" w:rsidR="005D3BB6" w:rsidRDefault="005D3BB6" w:rsidP="005B1A2C">
      <w:pPr>
        <w:rPr>
          <w:lang w:eastAsia="en-GB"/>
        </w:rPr>
      </w:pPr>
    </w:p>
    <w:p w14:paraId="7458B026" w14:textId="1E4E6A86" w:rsidR="005D3BB6" w:rsidRDefault="005D3BB6" w:rsidP="005B1A2C">
      <w:pPr>
        <w:rPr>
          <w:lang w:eastAsia="en-GB"/>
        </w:rPr>
      </w:pPr>
    </w:p>
    <w:p w14:paraId="415954B8" w14:textId="17C7D8D9" w:rsidR="005D3BB6" w:rsidRDefault="005D3BB6" w:rsidP="005B1A2C">
      <w:pPr>
        <w:rPr>
          <w:lang w:eastAsia="en-GB"/>
        </w:rPr>
      </w:pPr>
    </w:p>
    <w:p w14:paraId="68D6B912" w14:textId="509F0CE4" w:rsidR="005D3BB6" w:rsidRDefault="005D3BB6" w:rsidP="005B1A2C">
      <w:pPr>
        <w:rPr>
          <w:lang w:eastAsia="en-GB"/>
        </w:rPr>
      </w:pPr>
    </w:p>
    <w:p w14:paraId="00BE5475" w14:textId="51FF1136" w:rsidR="005D3BB6" w:rsidRDefault="005D3BB6" w:rsidP="005B1A2C">
      <w:pPr>
        <w:rPr>
          <w:lang w:eastAsia="en-GB"/>
        </w:rPr>
      </w:pPr>
    </w:p>
    <w:p w14:paraId="414427BF" w14:textId="13A561D7" w:rsidR="005D3BB6" w:rsidRDefault="005D3BB6" w:rsidP="005B1A2C">
      <w:pPr>
        <w:rPr>
          <w:lang w:eastAsia="en-GB"/>
        </w:rPr>
      </w:pPr>
    </w:p>
    <w:p w14:paraId="4AA735D8" w14:textId="1C830C05" w:rsidR="005D3BB6" w:rsidRDefault="005D3BB6" w:rsidP="005B1A2C">
      <w:pPr>
        <w:rPr>
          <w:lang w:eastAsia="en-GB"/>
        </w:rPr>
      </w:pPr>
    </w:p>
    <w:p w14:paraId="6A70E458" w14:textId="71DE22F3" w:rsidR="005D3BB6" w:rsidRDefault="005D3BB6" w:rsidP="005B1A2C">
      <w:pPr>
        <w:rPr>
          <w:lang w:eastAsia="en-GB"/>
        </w:rPr>
      </w:pPr>
    </w:p>
    <w:p w14:paraId="71EFA7C8" w14:textId="1CAFCDDB" w:rsidR="005D3BB6" w:rsidRDefault="005D3BB6" w:rsidP="005B1A2C">
      <w:pPr>
        <w:rPr>
          <w:lang w:eastAsia="en-GB"/>
        </w:rPr>
      </w:pPr>
    </w:p>
    <w:p w14:paraId="1F79115E" w14:textId="55123F8E" w:rsidR="005D3BB6" w:rsidRDefault="005D3BB6" w:rsidP="005B1A2C">
      <w:pPr>
        <w:rPr>
          <w:lang w:eastAsia="en-GB"/>
        </w:rPr>
      </w:pPr>
    </w:p>
    <w:p w14:paraId="381CFE48" w14:textId="0FC829CE" w:rsidR="005D3BB6" w:rsidRDefault="005D3BB6" w:rsidP="005B1A2C">
      <w:pPr>
        <w:rPr>
          <w:lang w:eastAsia="en-GB"/>
        </w:rPr>
      </w:pPr>
    </w:p>
    <w:p w14:paraId="0CF86C13" w14:textId="1A8CF4E9" w:rsidR="005D3BB6" w:rsidRDefault="005D3BB6" w:rsidP="005B1A2C">
      <w:pPr>
        <w:rPr>
          <w:lang w:eastAsia="en-GB"/>
        </w:rPr>
      </w:pPr>
    </w:p>
    <w:p w14:paraId="2C9C56CD" w14:textId="3E7207EA" w:rsidR="005D3BB6" w:rsidRDefault="005D3BB6" w:rsidP="005B1A2C">
      <w:pPr>
        <w:rPr>
          <w:lang w:eastAsia="en-GB"/>
        </w:rPr>
      </w:pPr>
    </w:p>
    <w:p w14:paraId="37A65FF8" w14:textId="32438380" w:rsidR="005D3BB6" w:rsidRDefault="005D3BB6" w:rsidP="005B1A2C">
      <w:pPr>
        <w:rPr>
          <w:lang w:eastAsia="en-GB"/>
        </w:rPr>
      </w:pPr>
    </w:p>
    <w:p w14:paraId="63189765" w14:textId="35E63CCC" w:rsidR="005D3BB6" w:rsidRDefault="005D3BB6" w:rsidP="005B1A2C">
      <w:pPr>
        <w:rPr>
          <w:lang w:eastAsia="en-GB"/>
        </w:rPr>
      </w:pPr>
    </w:p>
    <w:p w14:paraId="5CB7370C" w14:textId="1CAAA9F0" w:rsidR="005D3BB6" w:rsidRDefault="005D3BB6" w:rsidP="005B1A2C">
      <w:pPr>
        <w:rPr>
          <w:lang w:eastAsia="en-GB"/>
        </w:rPr>
      </w:pPr>
    </w:p>
    <w:p w14:paraId="5A460F36" w14:textId="6753C340" w:rsidR="005D3BB6" w:rsidRDefault="005D3BB6" w:rsidP="005B1A2C">
      <w:pPr>
        <w:rPr>
          <w:lang w:eastAsia="en-GB"/>
        </w:rPr>
      </w:pPr>
    </w:p>
    <w:p w14:paraId="1376574D" w14:textId="77777777" w:rsidR="005D3BB6" w:rsidRDefault="005D3BB6" w:rsidP="005B1A2C">
      <w:pPr>
        <w:rPr>
          <w:lang w:eastAsia="en-GB"/>
        </w:rPr>
      </w:pPr>
    </w:p>
    <w:p w14:paraId="38169DF3" w14:textId="77777777" w:rsidR="005B1A2C" w:rsidRPr="005B1A2C" w:rsidRDefault="005B1A2C" w:rsidP="005B1A2C">
      <w:pPr>
        <w:rPr>
          <w:lang w:eastAsia="en-GB"/>
        </w:rPr>
      </w:pPr>
    </w:p>
    <w:p w14:paraId="2A8FD00D" w14:textId="68D4A948" w:rsidR="005B1A2C" w:rsidRPr="005D3BB6" w:rsidRDefault="005B1A2C" w:rsidP="005D3BB6">
      <w:pPr>
        <w:pStyle w:val="Heading1"/>
        <w:spacing w:line="360" w:lineRule="auto"/>
        <w:rPr>
          <w:rFonts w:ascii="Arial" w:eastAsia="Calibri" w:hAnsi="Arial" w:cs="Arial"/>
          <w:sz w:val="24"/>
          <w:szCs w:val="24"/>
          <w:lang w:eastAsia="en-GB"/>
        </w:rPr>
      </w:pPr>
      <w:bookmarkStart w:id="5" w:name="_Toc534372115"/>
      <w:r w:rsidRPr="005D3BB6">
        <w:rPr>
          <w:rFonts w:ascii="Arial" w:eastAsia="Calibri" w:hAnsi="Arial" w:cs="Arial"/>
          <w:sz w:val="24"/>
          <w:szCs w:val="24"/>
          <w:lang w:eastAsia="en-GB"/>
        </w:rPr>
        <w:t>Executive Summary</w:t>
      </w:r>
      <w:bookmarkEnd w:id="5"/>
    </w:p>
    <w:p w14:paraId="29034F5C" w14:textId="2106EF32" w:rsidR="0065739B" w:rsidRPr="005D3BB6" w:rsidRDefault="002F2609" w:rsidP="005D3BB6">
      <w:pPr>
        <w:spacing w:after="0" w:line="360" w:lineRule="auto"/>
        <w:jc w:val="both"/>
        <w:rPr>
          <w:rFonts w:ascii="Arial" w:eastAsia="Times New Roman" w:hAnsi="Arial" w:cs="Arial"/>
          <w:sz w:val="24"/>
          <w:szCs w:val="24"/>
          <w:lang w:eastAsia="en-GB"/>
        </w:rPr>
      </w:pPr>
      <w:r w:rsidRPr="005D3BB6">
        <w:rPr>
          <w:rFonts w:ascii="Arial" w:eastAsia="Times New Roman" w:hAnsi="Arial" w:cs="Arial"/>
          <w:sz w:val="24"/>
          <w:szCs w:val="24"/>
          <w:lang w:eastAsia="en-GB"/>
        </w:rPr>
        <w:t xml:space="preserve">Training people to get them sensitized about inclusion and diversity has emerged as an important HR practice in organizations today. </w:t>
      </w:r>
      <w:r w:rsidR="00750CA9" w:rsidRPr="005D3BB6">
        <w:rPr>
          <w:rFonts w:ascii="Arial" w:eastAsia="Times New Roman" w:hAnsi="Arial" w:cs="Arial"/>
          <w:sz w:val="24"/>
          <w:szCs w:val="24"/>
          <w:lang w:eastAsia="en-GB"/>
        </w:rPr>
        <w:t>The research on training the employees on matters of diversity has gained prevalence today but it is still to get robust theoretical base in literature. Th</w:t>
      </w:r>
      <w:r w:rsidR="00255CA6" w:rsidRPr="005D3BB6">
        <w:rPr>
          <w:rFonts w:ascii="Arial" w:eastAsia="Times New Roman" w:hAnsi="Arial" w:cs="Arial"/>
          <w:sz w:val="24"/>
          <w:szCs w:val="24"/>
          <w:lang w:eastAsia="en-GB"/>
        </w:rPr>
        <w:t xml:space="preserve">e consultancy </w:t>
      </w:r>
      <w:r w:rsidR="00750CA9" w:rsidRPr="005D3BB6">
        <w:rPr>
          <w:rFonts w:ascii="Arial" w:eastAsia="Times New Roman" w:hAnsi="Arial" w:cs="Arial"/>
          <w:sz w:val="24"/>
          <w:szCs w:val="24"/>
          <w:lang w:eastAsia="en-GB"/>
        </w:rPr>
        <w:t xml:space="preserve">report presents </w:t>
      </w:r>
      <w:r w:rsidR="00255CA6" w:rsidRPr="005D3BB6">
        <w:rPr>
          <w:rFonts w:ascii="Arial" w:eastAsia="Times New Roman" w:hAnsi="Arial" w:cs="Arial"/>
          <w:sz w:val="24"/>
          <w:szCs w:val="24"/>
          <w:lang w:eastAsia="en-GB"/>
        </w:rPr>
        <w:t>an analysis of diversity issues in Aetna, a health insurance organisation that is popular and a market leader within its industry. Initially a highlight of literature has been provided on a broader spectrum of diversity concept covering</w:t>
      </w:r>
      <w:r w:rsidR="00B54C79" w:rsidRPr="005D3BB6">
        <w:rPr>
          <w:rFonts w:ascii="Arial" w:eastAsia="Times New Roman" w:hAnsi="Arial" w:cs="Arial"/>
          <w:sz w:val="24"/>
          <w:szCs w:val="24"/>
          <w:lang w:eastAsia="en-GB"/>
        </w:rPr>
        <w:t xml:space="preserve"> </w:t>
      </w:r>
      <w:r w:rsidR="00255CA6" w:rsidRPr="005D3BB6">
        <w:rPr>
          <w:rFonts w:ascii="Arial" w:eastAsia="Times New Roman" w:hAnsi="Arial" w:cs="Arial"/>
          <w:sz w:val="24"/>
          <w:szCs w:val="24"/>
          <w:lang w:eastAsia="en-GB"/>
        </w:rPr>
        <w:t xml:space="preserve">age diversity, ethnicity, disability etc. However, as this report focuses on workforce diversity training programmes, there is a critical assessment based on how Aetna have managed their workforce diversity programmes and its value for money outcomes judged against their policy statements.  </w:t>
      </w:r>
      <w:r w:rsidR="00FC23C8" w:rsidRPr="005D3BB6">
        <w:rPr>
          <w:rFonts w:ascii="Arial" w:eastAsia="Times New Roman" w:hAnsi="Arial" w:cs="Arial"/>
          <w:sz w:val="24"/>
          <w:szCs w:val="24"/>
          <w:lang w:eastAsia="en-GB"/>
        </w:rPr>
        <w:t>Thus,</w:t>
      </w:r>
      <w:r w:rsidR="00B54C79" w:rsidRPr="005D3BB6">
        <w:rPr>
          <w:rFonts w:ascii="Arial" w:eastAsia="Times New Roman" w:hAnsi="Arial" w:cs="Arial"/>
          <w:sz w:val="24"/>
          <w:szCs w:val="24"/>
          <w:lang w:eastAsia="en-GB"/>
        </w:rPr>
        <w:t xml:space="preserve"> report </w:t>
      </w:r>
      <w:r w:rsidR="00F16039" w:rsidRPr="005D3BB6">
        <w:rPr>
          <w:rFonts w:ascii="Arial" w:eastAsia="Times New Roman" w:hAnsi="Arial" w:cs="Arial"/>
          <w:sz w:val="24"/>
          <w:szCs w:val="24"/>
          <w:lang w:eastAsia="en-GB"/>
        </w:rPr>
        <w:t xml:space="preserve">identified several issues with Aetna’s diversity policies on their training programmes specifically targeting workforce </w:t>
      </w:r>
      <w:r w:rsidR="00FC23C8" w:rsidRPr="005D3BB6">
        <w:rPr>
          <w:rFonts w:ascii="Arial" w:eastAsia="Times New Roman" w:hAnsi="Arial" w:cs="Arial"/>
          <w:sz w:val="24"/>
          <w:szCs w:val="24"/>
          <w:lang w:eastAsia="en-GB"/>
        </w:rPr>
        <w:t>diversity, way</w:t>
      </w:r>
      <w:r w:rsidR="0011714E" w:rsidRPr="005D3BB6">
        <w:rPr>
          <w:rFonts w:ascii="Arial" w:eastAsia="Times New Roman" w:hAnsi="Arial" w:cs="Arial"/>
          <w:sz w:val="24"/>
          <w:szCs w:val="24"/>
          <w:lang w:eastAsia="en-GB"/>
        </w:rPr>
        <w:t xml:space="preserve"> it was implemented and the results that </w:t>
      </w:r>
      <w:r w:rsidR="00F16039" w:rsidRPr="005D3BB6">
        <w:rPr>
          <w:rFonts w:ascii="Arial" w:eastAsia="Times New Roman" w:hAnsi="Arial" w:cs="Arial"/>
          <w:sz w:val="24"/>
          <w:szCs w:val="24"/>
          <w:lang w:eastAsia="en-GB"/>
        </w:rPr>
        <w:t>are</w:t>
      </w:r>
      <w:r w:rsidR="0011714E" w:rsidRPr="005D3BB6">
        <w:rPr>
          <w:rFonts w:ascii="Arial" w:eastAsia="Times New Roman" w:hAnsi="Arial" w:cs="Arial"/>
          <w:sz w:val="24"/>
          <w:szCs w:val="24"/>
          <w:lang w:eastAsia="en-GB"/>
        </w:rPr>
        <w:t xml:space="preserve"> generated</w:t>
      </w:r>
      <w:r w:rsidR="00F16039" w:rsidRPr="005D3BB6">
        <w:rPr>
          <w:rFonts w:ascii="Arial" w:eastAsia="Times New Roman" w:hAnsi="Arial" w:cs="Arial"/>
          <w:sz w:val="24"/>
          <w:szCs w:val="24"/>
          <w:lang w:eastAsia="en-GB"/>
        </w:rPr>
        <w:t xml:space="preserve"> in justifying value for money.</w:t>
      </w:r>
      <w:r w:rsidR="0011714E" w:rsidRPr="005D3BB6">
        <w:rPr>
          <w:rFonts w:ascii="Arial" w:eastAsia="Times New Roman" w:hAnsi="Arial" w:cs="Arial"/>
          <w:sz w:val="24"/>
          <w:szCs w:val="24"/>
          <w:lang w:eastAsia="en-GB"/>
        </w:rPr>
        <w:t xml:space="preserve"> The report helps in finding the gaps in the current literature and also recommends the ways in which these can be fulfilled in practice. </w:t>
      </w:r>
      <w:r w:rsidR="00452C97" w:rsidRPr="005D3BB6">
        <w:rPr>
          <w:rFonts w:ascii="Arial" w:eastAsia="Times New Roman" w:hAnsi="Arial" w:cs="Arial"/>
          <w:sz w:val="24"/>
          <w:szCs w:val="24"/>
          <w:lang w:eastAsia="en-GB"/>
        </w:rPr>
        <w:t>The evaluation shows that the duration of on the job training for diversity is much lesser than that of the off the job training. The off the job training sessions are mostly 3-7 days exclusive training sessions while the on the job are sessions for a few hours only. There were no linkages fou</w:t>
      </w:r>
      <w:r w:rsidR="004A4E7F" w:rsidRPr="005D3BB6">
        <w:rPr>
          <w:rFonts w:ascii="Arial" w:eastAsia="Times New Roman" w:hAnsi="Arial" w:cs="Arial"/>
          <w:sz w:val="24"/>
          <w:szCs w:val="24"/>
          <w:lang w:eastAsia="en-GB"/>
        </w:rPr>
        <w:t xml:space="preserve">nd between the location of the training and the duration of the sessions. </w:t>
      </w:r>
      <w:r w:rsidR="00F16039" w:rsidRPr="005D3BB6">
        <w:rPr>
          <w:rFonts w:ascii="Arial" w:eastAsia="Times New Roman" w:hAnsi="Arial" w:cs="Arial"/>
          <w:sz w:val="24"/>
          <w:szCs w:val="24"/>
          <w:lang w:eastAsia="en-GB"/>
        </w:rPr>
        <w:t>Actually,</w:t>
      </w:r>
      <w:r w:rsidR="004A4E7F" w:rsidRPr="005D3BB6">
        <w:rPr>
          <w:rFonts w:ascii="Arial" w:eastAsia="Times New Roman" w:hAnsi="Arial" w:cs="Arial"/>
          <w:sz w:val="24"/>
          <w:szCs w:val="24"/>
          <w:lang w:eastAsia="en-GB"/>
        </w:rPr>
        <w:t xml:space="preserve"> the consultants found that there was no real synergy between the duration of the programmes and the learning objectives that had to be received for those. For </w:t>
      </w:r>
      <w:r w:rsidR="00F16039" w:rsidRPr="005D3BB6">
        <w:rPr>
          <w:rFonts w:ascii="Arial" w:eastAsia="Times New Roman" w:hAnsi="Arial" w:cs="Arial"/>
          <w:sz w:val="24"/>
          <w:szCs w:val="24"/>
          <w:lang w:eastAsia="en-GB"/>
        </w:rPr>
        <w:t>example,</w:t>
      </w:r>
      <w:r w:rsidR="004A4E7F" w:rsidRPr="005D3BB6">
        <w:rPr>
          <w:rFonts w:ascii="Arial" w:eastAsia="Times New Roman" w:hAnsi="Arial" w:cs="Arial"/>
          <w:sz w:val="24"/>
          <w:szCs w:val="24"/>
          <w:lang w:eastAsia="en-GB"/>
        </w:rPr>
        <w:t xml:space="preserve"> the training sessions that were being delivered to enhance the skill sets of the employees were often of very short duration and the sensitizations and knowledge enhancing programmes were of longer duration for the people. Such anomalies have to be corrected in the future. </w:t>
      </w:r>
    </w:p>
    <w:p w14:paraId="0332F4AA" w14:textId="77777777" w:rsidR="0063433E" w:rsidRPr="005D3BB6" w:rsidRDefault="0063433E" w:rsidP="005D3BB6">
      <w:pPr>
        <w:spacing w:after="0" w:line="360" w:lineRule="auto"/>
        <w:jc w:val="both"/>
        <w:rPr>
          <w:rFonts w:ascii="Arial" w:eastAsia="Times New Roman" w:hAnsi="Arial" w:cs="Arial"/>
          <w:sz w:val="24"/>
          <w:szCs w:val="24"/>
          <w:lang w:eastAsia="en-GB"/>
        </w:rPr>
      </w:pPr>
    </w:p>
    <w:p w14:paraId="13EC23ED" w14:textId="509F8D4F" w:rsidR="005B1A2C" w:rsidRPr="005D3BB6" w:rsidRDefault="00961EE6" w:rsidP="005D3BB6">
      <w:pPr>
        <w:pStyle w:val="Heading1"/>
        <w:spacing w:line="360" w:lineRule="auto"/>
        <w:rPr>
          <w:rFonts w:ascii="Arial" w:eastAsia="Calibri" w:hAnsi="Arial" w:cs="Arial"/>
          <w:sz w:val="24"/>
          <w:szCs w:val="24"/>
          <w:lang w:eastAsia="en-GB"/>
        </w:rPr>
      </w:pPr>
      <w:r w:rsidRPr="005D3BB6">
        <w:rPr>
          <w:rFonts w:ascii="Arial" w:eastAsia="Times New Roman" w:hAnsi="Arial" w:cs="Arial"/>
          <w:color w:val="auto"/>
          <w:sz w:val="24"/>
          <w:szCs w:val="24"/>
          <w:lang w:eastAsia="en-GB"/>
        </w:rPr>
        <w:lastRenderedPageBreak/>
        <w:br/>
      </w:r>
    </w:p>
    <w:p w14:paraId="13FCF036" w14:textId="7D1E635E" w:rsidR="00081995" w:rsidRPr="005D3BB6" w:rsidRDefault="00081995" w:rsidP="005D3BB6">
      <w:pPr>
        <w:spacing w:line="360" w:lineRule="auto"/>
        <w:rPr>
          <w:rFonts w:ascii="Arial" w:hAnsi="Arial" w:cs="Arial"/>
          <w:sz w:val="24"/>
          <w:szCs w:val="24"/>
          <w:lang w:eastAsia="en-GB"/>
        </w:rPr>
      </w:pPr>
    </w:p>
    <w:p w14:paraId="11D70F74" w14:textId="0B74C903" w:rsidR="00081995" w:rsidRPr="005D3BB6" w:rsidRDefault="00081995" w:rsidP="005D3BB6">
      <w:pPr>
        <w:spacing w:line="360" w:lineRule="auto"/>
        <w:rPr>
          <w:rFonts w:ascii="Arial" w:hAnsi="Arial" w:cs="Arial"/>
          <w:sz w:val="24"/>
          <w:szCs w:val="24"/>
          <w:lang w:eastAsia="en-GB"/>
        </w:rPr>
      </w:pPr>
    </w:p>
    <w:p w14:paraId="1A502AD2" w14:textId="3322292E" w:rsidR="00081995" w:rsidRPr="005D3BB6" w:rsidRDefault="00081995" w:rsidP="005D3BB6">
      <w:pPr>
        <w:spacing w:line="360" w:lineRule="auto"/>
        <w:rPr>
          <w:rFonts w:ascii="Arial" w:hAnsi="Arial" w:cs="Arial"/>
          <w:sz w:val="24"/>
          <w:szCs w:val="24"/>
          <w:lang w:eastAsia="en-GB"/>
        </w:rPr>
      </w:pPr>
    </w:p>
    <w:p w14:paraId="409297DD" w14:textId="2DBE2523" w:rsidR="00081995" w:rsidRPr="005D3BB6" w:rsidRDefault="00081995" w:rsidP="005D3BB6">
      <w:pPr>
        <w:spacing w:line="360" w:lineRule="auto"/>
        <w:rPr>
          <w:rFonts w:ascii="Arial" w:hAnsi="Arial" w:cs="Arial"/>
          <w:sz w:val="24"/>
          <w:szCs w:val="24"/>
          <w:lang w:eastAsia="en-GB"/>
        </w:rPr>
      </w:pPr>
    </w:p>
    <w:sdt>
      <w:sdtPr>
        <w:rPr>
          <w:rFonts w:ascii="Arial" w:eastAsiaTheme="minorHAnsi" w:hAnsi="Arial" w:cs="Arial"/>
          <w:color w:val="auto"/>
          <w:sz w:val="24"/>
          <w:szCs w:val="24"/>
          <w:lang w:val="en-GB"/>
        </w:rPr>
        <w:id w:val="-334460794"/>
        <w:docPartObj>
          <w:docPartGallery w:val="Table of Contents"/>
          <w:docPartUnique/>
        </w:docPartObj>
      </w:sdtPr>
      <w:sdtEndPr>
        <w:rPr>
          <w:b/>
          <w:bCs/>
          <w:noProof/>
        </w:rPr>
      </w:sdtEndPr>
      <w:sdtContent>
        <w:p w14:paraId="2EF33406" w14:textId="77777777" w:rsidR="005D3BB6" w:rsidRDefault="005717F4" w:rsidP="005D3BB6">
          <w:pPr>
            <w:pStyle w:val="TOCHeading"/>
            <w:spacing w:line="360" w:lineRule="auto"/>
            <w:rPr>
              <w:noProof/>
            </w:rPr>
          </w:pPr>
          <w:r w:rsidRPr="005D3BB6">
            <w:rPr>
              <w:rFonts w:ascii="Arial" w:hAnsi="Arial" w:cs="Arial"/>
              <w:sz w:val="24"/>
              <w:szCs w:val="24"/>
            </w:rPr>
            <w:t>Contents</w:t>
          </w:r>
          <w:r w:rsidRPr="005D3BB6">
            <w:rPr>
              <w:rFonts w:ascii="Arial" w:hAnsi="Arial" w:cs="Arial"/>
              <w:sz w:val="24"/>
              <w:szCs w:val="24"/>
            </w:rPr>
            <w:fldChar w:fldCharType="begin"/>
          </w:r>
          <w:r w:rsidRPr="005D3BB6">
            <w:rPr>
              <w:rFonts w:ascii="Arial" w:hAnsi="Arial" w:cs="Arial"/>
              <w:sz w:val="24"/>
              <w:szCs w:val="24"/>
            </w:rPr>
            <w:instrText xml:space="preserve"> TOC \o "1-3" \h \z \u </w:instrText>
          </w:r>
          <w:r w:rsidRPr="005D3BB6">
            <w:rPr>
              <w:rFonts w:ascii="Arial" w:hAnsi="Arial" w:cs="Arial"/>
              <w:sz w:val="24"/>
              <w:szCs w:val="24"/>
            </w:rPr>
            <w:fldChar w:fldCharType="separate"/>
          </w:r>
        </w:p>
        <w:p w14:paraId="431F85F9" w14:textId="5AF342D9" w:rsidR="005D3BB6" w:rsidRDefault="0034284D">
          <w:pPr>
            <w:pStyle w:val="TOC1"/>
            <w:tabs>
              <w:tab w:val="right" w:leader="dot" w:pos="9016"/>
            </w:tabs>
            <w:rPr>
              <w:rFonts w:eastAsiaTheme="minorEastAsia"/>
              <w:noProof/>
              <w:lang w:eastAsia="en-GB"/>
            </w:rPr>
          </w:pPr>
          <w:hyperlink w:anchor="_Toc534372115" w:history="1">
            <w:r w:rsidR="005D3BB6" w:rsidRPr="008228B9">
              <w:rPr>
                <w:rStyle w:val="Hyperlink"/>
                <w:rFonts w:ascii="Arial" w:eastAsia="Calibri" w:hAnsi="Arial" w:cs="Arial"/>
                <w:noProof/>
                <w:lang w:eastAsia="en-GB"/>
              </w:rPr>
              <w:t>Executive Summary</w:t>
            </w:r>
            <w:r w:rsidR="005D3BB6">
              <w:rPr>
                <w:noProof/>
                <w:webHidden/>
              </w:rPr>
              <w:tab/>
            </w:r>
            <w:r w:rsidR="005D3BB6">
              <w:rPr>
                <w:noProof/>
                <w:webHidden/>
              </w:rPr>
              <w:fldChar w:fldCharType="begin"/>
            </w:r>
            <w:r w:rsidR="005D3BB6">
              <w:rPr>
                <w:noProof/>
                <w:webHidden/>
              </w:rPr>
              <w:instrText xml:space="preserve"> PAGEREF _Toc534372115 \h </w:instrText>
            </w:r>
            <w:r w:rsidR="005D3BB6">
              <w:rPr>
                <w:noProof/>
                <w:webHidden/>
              </w:rPr>
            </w:r>
            <w:r w:rsidR="005D3BB6">
              <w:rPr>
                <w:noProof/>
                <w:webHidden/>
              </w:rPr>
              <w:fldChar w:fldCharType="separate"/>
            </w:r>
            <w:r w:rsidR="005D3BB6">
              <w:rPr>
                <w:noProof/>
                <w:webHidden/>
              </w:rPr>
              <w:t>2</w:t>
            </w:r>
            <w:r w:rsidR="005D3BB6">
              <w:rPr>
                <w:noProof/>
                <w:webHidden/>
              </w:rPr>
              <w:fldChar w:fldCharType="end"/>
            </w:r>
          </w:hyperlink>
        </w:p>
        <w:p w14:paraId="2B637959" w14:textId="1AA8048E" w:rsidR="005D3BB6" w:rsidRDefault="0034284D">
          <w:pPr>
            <w:pStyle w:val="TOC1"/>
            <w:tabs>
              <w:tab w:val="right" w:leader="dot" w:pos="9016"/>
            </w:tabs>
            <w:rPr>
              <w:rFonts w:eastAsiaTheme="minorEastAsia"/>
              <w:noProof/>
              <w:lang w:eastAsia="en-GB"/>
            </w:rPr>
          </w:pPr>
          <w:hyperlink w:anchor="_Toc534372116" w:history="1">
            <w:r w:rsidR="005D3BB6" w:rsidRPr="008228B9">
              <w:rPr>
                <w:rStyle w:val="Hyperlink"/>
                <w:rFonts w:ascii="Arial" w:eastAsia="Calibri" w:hAnsi="Arial" w:cs="Arial"/>
                <w:noProof/>
                <w:lang w:eastAsia="en-GB"/>
              </w:rPr>
              <w:t>1.0 INTRODUCTION</w:t>
            </w:r>
            <w:r w:rsidR="005D3BB6">
              <w:rPr>
                <w:noProof/>
                <w:webHidden/>
              </w:rPr>
              <w:tab/>
            </w:r>
            <w:r w:rsidR="005D3BB6">
              <w:rPr>
                <w:noProof/>
                <w:webHidden/>
              </w:rPr>
              <w:fldChar w:fldCharType="begin"/>
            </w:r>
            <w:r w:rsidR="005D3BB6">
              <w:rPr>
                <w:noProof/>
                <w:webHidden/>
              </w:rPr>
              <w:instrText xml:space="preserve"> PAGEREF _Toc534372116 \h </w:instrText>
            </w:r>
            <w:r w:rsidR="005D3BB6">
              <w:rPr>
                <w:noProof/>
                <w:webHidden/>
              </w:rPr>
            </w:r>
            <w:r w:rsidR="005D3BB6">
              <w:rPr>
                <w:noProof/>
                <w:webHidden/>
              </w:rPr>
              <w:fldChar w:fldCharType="separate"/>
            </w:r>
            <w:r w:rsidR="005D3BB6">
              <w:rPr>
                <w:noProof/>
                <w:webHidden/>
              </w:rPr>
              <w:t>4</w:t>
            </w:r>
            <w:r w:rsidR="005D3BB6">
              <w:rPr>
                <w:noProof/>
                <w:webHidden/>
              </w:rPr>
              <w:fldChar w:fldCharType="end"/>
            </w:r>
          </w:hyperlink>
        </w:p>
        <w:p w14:paraId="223327A5" w14:textId="7C53FAD9" w:rsidR="005D3BB6" w:rsidRDefault="0034284D">
          <w:pPr>
            <w:pStyle w:val="TOC2"/>
            <w:tabs>
              <w:tab w:val="right" w:leader="dot" w:pos="9016"/>
            </w:tabs>
            <w:rPr>
              <w:rFonts w:eastAsiaTheme="minorEastAsia"/>
              <w:noProof/>
              <w:lang w:eastAsia="en-GB"/>
            </w:rPr>
          </w:pPr>
          <w:hyperlink w:anchor="_Toc534372117" w:history="1">
            <w:r w:rsidR="005D3BB6" w:rsidRPr="008228B9">
              <w:rPr>
                <w:rStyle w:val="Hyperlink"/>
                <w:rFonts w:ascii="Arial" w:hAnsi="Arial" w:cs="Arial"/>
                <w:noProof/>
                <w:lang w:eastAsia="en-GB"/>
              </w:rPr>
              <w:t>1.1 Methodology</w:t>
            </w:r>
            <w:r w:rsidR="005D3BB6">
              <w:rPr>
                <w:noProof/>
                <w:webHidden/>
              </w:rPr>
              <w:tab/>
            </w:r>
            <w:r w:rsidR="005D3BB6">
              <w:rPr>
                <w:noProof/>
                <w:webHidden/>
              </w:rPr>
              <w:fldChar w:fldCharType="begin"/>
            </w:r>
            <w:r w:rsidR="005D3BB6">
              <w:rPr>
                <w:noProof/>
                <w:webHidden/>
              </w:rPr>
              <w:instrText xml:space="preserve"> PAGEREF _Toc534372117 \h </w:instrText>
            </w:r>
            <w:r w:rsidR="005D3BB6">
              <w:rPr>
                <w:noProof/>
                <w:webHidden/>
              </w:rPr>
            </w:r>
            <w:r w:rsidR="005D3BB6">
              <w:rPr>
                <w:noProof/>
                <w:webHidden/>
              </w:rPr>
              <w:fldChar w:fldCharType="separate"/>
            </w:r>
            <w:r w:rsidR="005D3BB6">
              <w:rPr>
                <w:noProof/>
                <w:webHidden/>
              </w:rPr>
              <w:t>4</w:t>
            </w:r>
            <w:r w:rsidR="005D3BB6">
              <w:rPr>
                <w:noProof/>
                <w:webHidden/>
              </w:rPr>
              <w:fldChar w:fldCharType="end"/>
            </w:r>
          </w:hyperlink>
        </w:p>
        <w:p w14:paraId="1F84B664" w14:textId="43D1A480" w:rsidR="005D3BB6" w:rsidRDefault="0034284D">
          <w:pPr>
            <w:pStyle w:val="TOC1"/>
            <w:tabs>
              <w:tab w:val="right" w:leader="dot" w:pos="9016"/>
            </w:tabs>
            <w:rPr>
              <w:rFonts w:eastAsiaTheme="minorEastAsia"/>
              <w:noProof/>
              <w:lang w:eastAsia="en-GB"/>
            </w:rPr>
          </w:pPr>
          <w:hyperlink w:anchor="_Toc534372118" w:history="1">
            <w:r w:rsidR="005D3BB6" w:rsidRPr="008228B9">
              <w:rPr>
                <w:rStyle w:val="Hyperlink"/>
                <w:rFonts w:ascii="Arial" w:hAnsi="Arial" w:cs="Arial"/>
                <w:noProof/>
              </w:rPr>
              <w:t>2.0 Workforce diversity management - literature review</w:t>
            </w:r>
            <w:r w:rsidR="005D3BB6">
              <w:rPr>
                <w:noProof/>
                <w:webHidden/>
              </w:rPr>
              <w:tab/>
            </w:r>
            <w:r w:rsidR="005D3BB6">
              <w:rPr>
                <w:noProof/>
                <w:webHidden/>
              </w:rPr>
              <w:fldChar w:fldCharType="begin"/>
            </w:r>
            <w:r w:rsidR="005D3BB6">
              <w:rPr>
                <w:noProof/>
                <w:webHidden/>
              </w:rPr>
              <w:instrText xml:space="preserve"> PAGEREF _Toc534372118 \h </w:instrText>
            </w:r>
            <w:r w:rsidR="005D3BB6">
              <w:rPr>
                <w:noProof/>
                <w:webHidden/>
              </w:rPr>
            </w:r>
            <w:r w:rsidR="005D3BB6">
              <w:rPr>
                <w:noProof/>
                <w:webHidden/>
              </w:rPr>
              <w:fldChar w:fldCharType="separate"/>
            </w:r>
            <w:r w:rsidR="005D3BB6">
              <w:rPr>
                <w:noProof/>
                <w:webHidden/>
              </w:rPr>
              <w:t>5</w:t>
            </w:r>
            <w:r w:rsidR="005D3BB6">
              <w:rPr>
                <w:noProof/>
                <w:webHidden/>
              </w:rPr>
              <w:fldChar w:fldCharType="end"/>
            </w:r>
          </w:hyperlink>
        </w:p>
        <w:p w14:paraId="4155DED0" w14:textId="4FDFD70C" w:rsidR="005D3BB6" w:rsidRDefault="0034284D">
          <w:pPr>
            <w:pStyle w:val="TOC2"/>
            <w:tabs>
              <w:tab w:val="right" w:leader="dot" w:pos="9016"/>
            </w:tabs>
            <w:rPr>
              <w:rFonts w:eastAsiaTheme="minorEastAsia"/>
              <w:noProof/>
              <w:lang w:eastAsia="en-GB"/>
            </w:rPr>
          </w:pPr>
          <w:hyperlink w:anchor="_Toc534372119" w:history="1">
            <w:r w:rsidR="005D3BB6" w:rsidRPr="008228B9">
              <w:rPr>
                <w:rStyle w:val="Hyperlink"/>
                <w:rFonts w:ascii="Arial" w:eastAsia="Times New Roman" w:hAnsi="Arial" w:cs="Arial"/>
                <w:noProof/>
                <w:lang w:eastAsia="en-GB"/>
              </w:rPr>
              <w:t>2.1 Diversity Management concept</w:t>
            </w:r>
            <w:r w:rsidR="005D3BB6">
              <w:rPr>
                <w:noProof/>
                <w:webHidden/>
              </w:rPr>
              <w:tab/>
            </w:r>
            <w:r w:rsidR="005D3BB6">
              <w:rPr>
                <w:noProof/>
                <w:webHidden/>
              </w:rPr>
              <w:fldChar w:fldCharType="begin"/>
            </w:r>
            <w:r w:rsidR="005D3BB6">
              <w:rPr>
                <w:noProof/>
                <w:webHidden/>
              </w:rPr>
              <w:instrText xml:space="preserve"> PAGEREF _Toc534372119 \h </w:instrText>
            </w:r>
            <w:r w:rsidR="005D3BB6">
              <w:rPr>
                <w:noProof/>
                <w:webHidden/>
              </w:rPr>
            </w:r>
            <w:r w:rsidR="005D3BB6">
              <w:rPr>
                <w:noProof/>
                <w:webHidden/>
              </w:rPr>
              <w:fldChar w:fldCharType="separate"/>
            </w:r>
            <w:r w:rsidR="005D3BB6">
              <w:rPr>
                <w:noProof/>
                <w:webHidden/>
              </w:rPr>
              <w:t>5</w:t>
            </w:r>
            <w:r w:rsidR="005D3BB6">
              <w:rPr>
                <w:noProof/>
                <w:webHidden/>
              </w:rPr>
              <w:fldChar w:fldCharType="end"/>
            </w:r>
          </w:hyperlink>
        </w:p>
        <w:p w14:paraId="1651AC27" w14:textId="11A3E057" w:rsidR="005D3BB6" w:rsidRDefault="0034284D">
          <w:pPr>
            <w:pStyle w:val="TOC2"/>
            <w:tabs>
              <w:tab w:val="right" w:leader="dot" w:pos="9016"/>
            </w:tabs>
            <w:rPr>
              <w:rFonts w:eastAsiaTheme="minorEastAsia"/>
              <w:noProof/>
              <w:lang w:eastAsia="en-GB"/>
            </w:rPr>
          </w:pPr>
          <w:hyperlink w:anchor="_Toc534372120" w:history="1">
            <w:r w:rsidR="005D3BB6" w:rsidRPr="008228B9">
              <w:rPr>
                <w:rStyle w:val="Hyperlink"/>
                <w:rFonts w:ascii="Arial" w:eastAsia="Times New Roman" w:hAnsi="Arial" w:cs="Arial"/>
                <w:noProof/>
                <w:lang w:eastAsia="en-GB"/>
              </w:rPr>
              <w:t>2.1.1 Gender diversity in the workplace</w:t>
            </w:r>
            <w:r w:rsidR="005D3BB6">
              <w:rPr>
                <w:noProof/>
                <w:webHidden/>
              </w:rPr>
              <w:tab/>
            </w:r>
            <w:r w:rsidR="005D3BB6">
              <w:rPr>
                <w:noProof/>
                <w:webHidden/>
              </w:rPr>
              <w:fldChar w:fldCharType="begin"/>
            </w:r>
            <w:r w:rsidR="005D3BB6">
              <w:rPr>
                <w:noProof/>
                <w:webHidden/>
              </w:rPr>
              <w:instrText xml:space="preserve"> PAGEREF _Toc534372120 \h </w:instrText>
            </w:r>
            <w:r w:rsidR="005D3BB6">
              <w:rPr>
                <w:noProof/>
                <w:webHidden/>
              </w:rPr>
            </w:r>
            <w:r w:rsidR="005D3BB6">
              <w:rPr>
                <w:noProof/>
                <w:webHidden/>
              </w:rPr>
              <w:fldChar w:fldCharType="separate"/>
            </w:r>
            <w:r w:rsidR="005D3BB6">
              <w:rPr>
                <w:noProof/>
                <w:webHidden/>
              </w:rPr>
              <w:t>6</w:t>
            </w:r>
            <w:r w:rsidR="005D3BB6">
              <w:rPr>
                <w:noProof/>
                <w:webHidden/>
              </w:rPr>
              <w:fldChar w:fldCharType="end"/>
            </w:r>
          </w:hyperlink>
        </w:p>
        <w:p w14:paraId="56461ECC" w14:textId="51D74F7B" w:rsidR="005D3BB6" w:rsidRDefault="0034284D">
          <w:pPr>
            <w:pStyle w:val="TOC2"/>
            <w:tabs>
              <w:tab w:val="right" w:leader="dot" w:pos="9016"/>
            </w:tabs>
            <w:rPr>
              <w:rFonts w:eastAsiaTheme="minorEastAsia"/>
              <w:noProof/>
              <w:lang w:eastAsia="en-GB"/>
            </w:rPr>
          </w:pPr>
          <w:hyperlink w:anchor="_Toc534372121" w:history="1">
            <w:r w:rsidR="005D3BB6" w:rsidRPr="008228B9">
              <w:rPr>
                <w:rStyle w:val="Hyperlink"/>
                <w:rFonts w:ascii="Arial" w:eastAsia="Times New Roman" w:hAnsi="Arial" w:cs="Arial"/>
                <w:noProof/>
                <w:lang w:eastAsia="en-GB"/>
              </w:rPr>
              <w:t>2.1.2 Age diversity in the workplace</w:t>
            </w:r>
            <w:r w:rsidR="005D3BB6">
              <w:rPr>
                <w:noProof/>
                <w:webHidden/>
              </w:rPr>
              <w:tab/>
            </w:r>
            <w:r w:rsidR="005D3BB6">
              <w:rPr>
                <w:noProof/>
                <w:webHidden/>
              </w:rPr>
              <w:fldChar w:fldCharType="begin"/>
            </w:r>
            <w:r w:rsidR="005D3BB6">
              <w:rPr>
                <w:noProof/>
                <w:webHidden/>
              </w:rPr>
              <w:instrText xml:space="preserve"> PAGEREF _Toc534372121 \h </w:instrText>
            </w:r>
            <w:r w:rsidR="005D3BB6">
              <w:rPr>
                <w:noProof/>
                <w:webHidden/>
              </w:rPr>
            </w:r>
            <w:r w:rsidR="005D3BB6">
              <w:rPr>
                <w:noProof/>
                <w:webHidden/>
              </w:rPr>
              <w:fldChar w:fldCharType="separate"/>
            </w:r>
            <w:r w:rsidR="005D3BB6">
              <w:rPr>
                <w:noProof/>
                <w:webHidden/>
              </w:rPr>
              <w:t>6</w:t>
            </w:r>
            <w:r w:rsidR="005D3BB6">
              <w:rPr>
                <w:noProof/>
                <w:webHidden/>
              </w:rPr>
              <w:fldChar w:fldCharType="end"/>
            </w:r>
          </w:hyperlink>
        </w:p>
        <w:p w14:paraId="5B184EA6" w14:textId="68A64FF0" w:rsidR="005D3BB6" w:rsidRDefault="0034284D">
          <w:pPr>
            <w:pStyle w:val="TOC2"/>
            <w:tabs>
              <w:tab w:val="right" w:leader="dot" w:pos="9016"/>
            </w:tabs>
            <w:rPr>
              <w:rFonts w:eastAsiaTheme="minorEastAsia"/>
              <w:noProof/>
              <w:lang w:eastAsia="en-GB"/>
            </w:rPr>
          </w:pPr>
          <w:hyperlink w:anchor="_Toc534372122" w:history="1">
            <w:r w:rsidR="005D3BB6" w:rsidRPr="008228B9">
              <w:rPr>
                <w:rStyle w:val="Hyperlink"/>
                <w:rFonts w:ascii="Arial" w:eastAsia="Times New Roman" w:hAnsi="Arial" w:cs="Arial"/>
                <w:noProof/>
                <w:lang w:eastAsia="en-GB"/>
              </w:rPr>
              <w:t>2.1.3 Ethnic diversity in the workplace</w:t>
            </w:r>
            <w:r w:rsidR="005D3BB6">
              <w:rPr>
                <w:noProof/>
                <w:webHidden/>
              </w:rPr>
              <w:tab/>
            </w:r>
            <w:r w:rsidR="005D3BB6">
              <w:rPr>
                <w:noProof/>
                <w:webHidden/>
              </w:rPr>
              <w:fldChar w:fldCharType="begin"/>
            </w:r>
            <w:r w:rsidR="005D3BB6">
              <w:rPr>
                <w:noProof/>
                <w:webHidden/>
              </w:rPr>
              <w:instrText xml:space="preserve"> PAGEREF _Toc534372122 \h </w:instrText>
            </w:r>
            <w:r w:rsidR="005D3BB6">
              <w:rPr>
                <w:noProof/>
                <w:webHidden/>
              </w:rPr>
            </w:r>
            <w:r w:rsidR="005D3BB6">
              <w:rPr>
                <w:noProof/>
                <w:webHidden/>
              </w:rPr>
              <w:fldChar w:fldCharType="separate"/>
            </w:r>
            <w:r w:rsidR="005D3BB6">
              <w:rPr>
                <w:noProof/>
                <w:webHidden/>
              </w:rPr>
              <w:t>7</w:t>
            </w:r>
            <w:r w:rsidR="005D3BB6">
              <w:rPr>
                <w:noProof/>
                <w:webHidden/>
              </w:rPr>
              <w:fldChar w:fldCharType="end"/>
            </w:r>
          </w:hyperlink>
        </w:p>
        <w:p w14:paraId="4E8E2EA4" w14:textId="64461FBC" w:rsidR="005D3BB6" w:rsidRDefault="0034284D">
          <w:pPr>
            <w:pStyle w:val="TOC2"/>
            <w:tabs>
              <w:tab w:val="right" w:leader="dot" w:pos="9016"/>
            </w:tabs>
            <w:rPr>
              <w:rFonts w:eastAsiaTheme="minorEastAsia"/>
              <w:noProof/>
              <w:lang w:eastAsia="en-GB"/>
            </w:rPr>
          </w:pPr>
          <w:hyperlink w:anchor="_Toc534372123" w:history="1">
            <w:r w:rsidR="005D3BB6" w:rsidRPr="008228B9">
              <w:rPr>
                <w:rStyle w:val="Hyperlink"/>
                <w:rFonts w:ascii="Arial" w:eastAsia="Times New Roman" w:hAnsi="Arial" w:cs="Arial"/>
                <w:noProof/>
                <w:lang w:eastAsia="en-GB"/>
              </w:rPr>
              <w:t>2.1.4 Disability, religion and sexual orientation</w:t>
            </w:r>
            <w:r w:rsidR="005D3BB6">
              <w:rPr>
                <w:noProof/>
                <w:webHidden/>
              </w:rPr>
              <w:tab/>
            </w:r>
            <w:r w:rsidR="005D3BB6">
              <w:rPr>
                <w:noProof/>
                <w:webHidden/>
              </w:rPr>
              <w:fldChar w:fldCharType="begin"/>
            </w:r>
            <w:r w:rsidR="005D3BB6">
              <w:rPr>
                <w:noProof/>
                <w:webHidden/>
              </w:rPr>
              <w:instrText xml:space="preserve"> PAGEREF _Toc534372123 \h </w:instrText>
            </w:r>
            <w:r w:rsidR="005D3BB6">
              <w:rPr>
                <w:noProof/>
                <w:webHidden/>
              </w:rPr>
            </w:r>
            <w:r w:rsidR="005D3BB6">
              <w:rPr>
                <w:noProof/>
                <w:webHidden/>
              </w:rPr>
              <w:fldChar w:fldCharType="separate"/>
            </w:r>
            <w:r w:rsidR="005D3BB6">
              <w:rPr>
                <w:noProof/>
                <w:webHidden/>
              </w:rPr>
              <w:t>7</w:t>
            </w:r>
            <w:r w:rsidR="005D3BB6">
              <w:rPr>
                <w:noProof/>
                <w:webHidden/>
              </w:rPr>
              <w:fldChar w:fldCharType="end"/>
            </w:r>
          </w:hyperlink>
        </w:p>
        <w:p w14:paraId="3FA0187A" w14:textId="17A7DE2E" w:rsidR="005D3BB6" w:rsidRDefault="0034284D">
          <w:pPr>
            <w:pStyle w:val="TOC2"/>
            <w:tabs>
              <w:tab w:val="right" w:leader="dot" w:pos="9016"/>
            </w:tabs>
            <w:rPr>
              <w:rFonts w:eastAsiaTheme="minorEastAsia"/>
              <w:noProof/>
              <w:lang w:eastAsia="en-GB"/>
            </w:rPr>
          </w:pPr>
          <w:hyperlink w:anchor="_Toc534372124" w:history="1">
            <w:r w:rsidR="005D3BB6" w:rsidRPr="008228B9">
              <w:rPr>
                <w:rStyle w:val="Hyperlink"/>
                <w:rFonts w:ascii="Arial" w:eastAsia="Times New Roman" w:hAnsi="Arial" w:cs="Arial"/>
                <w:noProof/>
                <w:lang w:eastAsia="en-GB"/>
              </w:rPr>
              <w:t>2.2 Evidence on Workplace equality approaches</w:t>
            </w:r>
            <w:r w:rsidR="005D3BB6">
              <w:rPr>
                <w:noProof/>
                <w:webHidden/>
              </w:rPr>
              <w:tab/>
            </w:r>
            <w:r w:rsidR="005D3BB6">
              <w:rPr>
                <w:noProof/>
                <w:webHidden/>
              </w:rPr>
              <w:fldChar w:fldCharType="begin"/>
            </w:r>
            <w:r w:rsidR="005D3BB6">
              <w:rPr>
                <w:noProof/>
                <w:webHidden/>
              </w:rPr>
              <w:instrText xml:space="preserve"> PAGEREF _Toc534372124 \h </w:instrText>
            </w:r>
            <w:r w:rsidR="005D3BB6">
              <w:rPr>
                <w:noProof/>
                <w:webHidden/>
              </w:rPr>
            </w:r>
            <w:r w:rsidR="005D3BB6">
              <w:rPr>
                <w:noProof/>
                <w:webHidden/>
              </w:rPr>
              <w:fldChar w:fldCharType="separate"/>
            </w:r>
            <w:r w:rsidR="005D3BB6">
              <w:rPr>
                <w:noProof/>
                <w:webHidden/>
              </w:rPr>
              <w:t>8</w:t>
            </w:r>
            <w:r w:rsidR="005D3BB6">
              <w:rPr>
                <w:noProof/>
                <w:webHidden/>
              </w:rPr>
              <w:fldChar w:fldCharType="end"/>
            </w:r>
          </w:hyperlink>
        </w:p>
        <w:p w14:paraId="7BD7E46C" w14:textId="72BA2BD9" w:rsidR="005D3BB6" w:rsidRDefault="0034284D">
          <w:pPr>
            <w:pStyle w:val="TOC2"/>
            <w:tabs>
              <w:tab w:val="right" w:leader="dot" w:pos="9016"/>
            </w:tabs>
            <w:rPr>
              <w:rFonts w:eastAsiaTheme="minorEastAsia"/>
              <w:noProof/>
              <w:lang w:eastAsia="en-GB"/>
            </w:rPr>
          </w:pPr>
          <w:hyperlink w:anchor="_Toc534372125" w:history="1">
            <w:r w:rsidR="005D3BB6" w:rsidRPr="008228B9">
              <w:rPr>
                <w:rStyle w:val="Hyperlink"/>
                <w:rFonts w:ascii="Arial" w:eastAsia="Times New Roman" w:hAnsi="Arial" w:cs="Arial"/>
                <w:noProof/>
                <w:lang w:eastAsia="en-GB"/>
              </w:rPr>
              <w:t>2.3 Business Benefits of Diversity</w:t>
            </w:r>
            <w:r w:rsidR="005D3BB6">
              <w:rPr>
                <w:noProof/>
                <w:webHidden/>
              </w:rPr>
              <w:tab/>
            </w:r>
            <w:r w:rsidR="005D3BB6">
              <w:rPr>
                <w:noProof/>
                <w:webHidden/>
              </w:rPr>
              <w:fldChar w:fldCharType="begin"/>
            </w:r>
            <w:r w:rsidR="005D3BB6">
              <w:rPr>
                <w:noProof/>
                <w:webHidden/>
              </w:rPr>
              <w:instrText xml:space="preserve"> PAGEREF _Toc534372125 \h </w:instrText>
            </w:r>
            <w:r w:rsidR="005D3BB6">
              <w:rPr>
                <w:noProof/>
                <w:webHidden/>
              </w:rPr>
            </w:r>
            <w:r w:rsidR="005D3BB6">
              <w:rPr>
                <w:noProof/>
                <w:webHidden/>
              </w:rPr>
              <w:fldChar w:fldCharType="separate"/>
            </w:r>
            <w:r w:rsidR="005D3BB6">
              <w:rPr>
                <w:noProof/>
                <w:webHidden/>
              </w:rPr>
              <w:t>10</w:t>
            </w:r>
            <w:r w:rsidR="005D3BB6">
              <w:rPr>
                <w:noProof/>
                <w:webHidden/>
              </w:rPr>
              <w:fldChar w:fldCharType="end"/>
            </w:r>
          </w:hyperlink>
        </w:p>
        <w:p w14:paraId="2462F6DA" w14:textId="2AE36467" w:rsidR="005D3BB6" w:rsidRDefault="0034284D">
          <w:pPr>
            <w:pStyle w:val="TOC1"/>
            <w:tabs>
              <w:tab w:val="right" w:leader="dot" w:pos="9016"/>
            </w:tabs>
            <w:rPr>
              <w:rFonts w:eastAsiaTheme="minorEastAsia"/>
              <w:noProof/>
              <w:lang w:eastAsia="en-GB"/>
            </w:rPr>
          </w:pPr>
          <w:hyperlink w:anchor="_Toc534372126" w:history="1">
            <w:r w:rsidR="005D3BB6" w:rsidRPr="008228B9">
              <w:rPr>
                <w:rStyle w:val="Hyperlink"/>
                <w:rFonts w:ascii="Arial" w:eastAsia="Times New Roman" w:hAnsi="Arial" w:cs="Arial"/>
                <w:noProof/>
                <w:lang w:eastAsia="en-GB"/>
              </w:rPr>
              <w:t>4.0 A CRITICAL ASSESSMENT OF AETNA’S DIVERSITY PROGRAMMES</w:t>
            </w:r>
            <w:r w:rsidR="005D3BB6">
              <w:rPr>
                <w:noProof/>
                <w:webHidden/>
              </w:rPr>
              <w:tab/>
            </w:r>
            <w:r w:rsidR="005D3BB6">
              <w:rPr>
                <w:noProof/>
                <w:webHidden/>
              </w:rPr>
              <w:fldChar w:fldCharType="begin"/>
            </w:r>
            <w:r w:rsidR="005D3BB6">
              <w:rPr>
                <w:noProof/>
                <w:webHidden/>
              </w:rPr>
              <w:instrText xml:space="preserve"> PAGEREF _Toc534372126 \h </w:instrText>
            </w:r>
            <w:r w:rsidR="005D3BB6">
              <w:rPr>
                <w:noProof/>
                <w:webHidden/>
              </w:rPr>
            </w:r>
            <w:r w:rsidR="005D3BB6">
              <w:rPr>
                <w:noProof/>
                <w:webHidden/>
              </w:rPr>
              <w:fldChar w:fldCharType="separate"/>
            </w:r>
            <w:r w:rsidR="005D3BB6">
              <w:rPr>
                <w:noProof/>
                <w:webHidden/>
              </w:rPr>
              <w:t>12</w:t>
            </w:r>
            <w:r w:rsidR="005D3BB6">
              <w:rPr>
                <w:noProof/>
                <w:webHidden/>
              </w:rPr>
              <w:fldChar w:fldCharType="end"/>
            </w:r>
          </w:hyperlink>
        </w:p>
        <w:p w14:paraId="03A4C72A" w14:textId="50A0A8BB" w:rsidR="005D3BB6" w:rsidRDefault="0034284D">
          <w:pPr>
            <w:pStyle w:val="TOC2"/>
            <w:tabs>
              <w:tab w:val="right" w:leader="dot" w:pos="9016"/>
            </w:tabs>
            <w:rPr>
              <w:rFonts w:eastAsiaTheme="minorEastAsia"/>
              <w:noProof/>
              <w:lang w:eastAsia="en-GB"/>
            </w:rPr>
          </w:pPr>
          <w:hyperlink w:anchor="_Toc534372127" w:history="1">
            <w:r w:rsidR="005D3BB6" w:rsidRPr="008228B9">
              <w:rPr>
                <w:rStyle w:val="Hyperlink"/>
                <w:rFonts w:ascii="Arial" w:eastAsia="Times New Roman" w:hAnsi="Arial" w:cs="Arial"/>
                <w:noProof/>
                <w:lang w:eastAsia="en-GB"/>
              </w:rPr>
              <w:t>4.1 Overview of Aetna’s Diversity training programme</w:t>
            </w:r>
            <w:r w:rsidR="005D3BB6">
              <w:rPr>
                <w:noProof/>
                <w:webHidden/>
              </w:rPr>
              <w:tab/>
            </w:r>
            <w:r w:rsidR="005D3BB6">
              <w:rPr>
                <w:noProof/>
                <w:webHidden/>
              </w:rPr>
              <w:fldChar w:fldCharType="begin"/>
            </w:r>
            <w:r w:rsidR="005D3BB6">
              <w:rPr>
                <w:noProof/>
                <w:webHidden/>
              </w:rPr>
              <w:instrText xml:space="preserve"> PAGEREF _Toc534372127 \h </w:instrText>
            </w:r>
            <w:r w:rsidR="005D3BB6">
              <w:rPr>
                <w:noProof/>
                <w:webHidden/>
              </w:rPr>
            </w:r>
            <w:r w:rsidR="005D3BB6">
              <w:rPr>
                <w:noProof/>
                <w:webHidden/>
              </w:rPr>
              <w:fldChar w:fldCharType="separate"/>
            </w:r>
            <w:r w:rsidR="005D3BB6">
              <w:rPr>
                <w:noProof/>
                <w:webHidden/>
              </w:rPr>
              <w:t>12</w:t>
            </w:r>
            <w:r w:rsidR="005D3BB6">
              <w:rPr>
                <w:noProof/>
                <w:webHidden/>
              </w:rPr>
              <w:fldChar w:fldCharType="end"/>
            </w:r>
          </w:hyperlink>
        </w:p>
        <w:p w14:paraId="6379520C" w14:textId="15413360" w:rsidR="005D3BB6" w:rsidRDefault="0034284D">
          <w:pPr>
            <w:pStyle w:val="TOC2"/>
            <w:tabs>
              <w:tab w:val="right" w:leader="dot" w:pos="9016"/>
            </w:tabs>
            <w:rPr>
              <w:rFonts w:eastAsiaTheme="minorEastAsia"/>
              <w:noProof/>
              <w:lang w:eastAsia="en-GB"/>
            </w:rPr>
          </w:pPr>
          <w:hyperlink w:anchor="_Toc534372128" w:history="1">
            <w:r w:rsidR="005D3BB6" w:rsidRPr="008228B9">
              <w:rPr>
                <w:rStyle w:val="Hyperlink"/>
                <w:rFonts w:ascii="Arial" w:eastAsia="Times New Roman" w:hAnsi="Arial" w:cs="Arial"/>
                <w:noProof/>
                <w:lang w:eastAsia="en-GB"/>
              </w:rPr>
              <w:t>4.2 Theoretical framework for assessment</w:t>
            </w:r>
            <w:r w:rsidR="005D3BB6">
              <w:rPr>
                <w:noProof/>
                <w:webHidden/>
              </w:rPr>
              <w:tab/>
            </w:r>
            <w:r w:rsidR="005D3BB6">
              <w:rPr>
                <w:noProof/>
                <w:webHidden/>
              </w:rPr>
              <w:fldChar w:fldCharType="begin"/>
            </w:r>
            <w:r w:rsidR="005D3BB6">
              <w:rPr>
                <w:noProof/>
                <w:webHidden/>
              </w:rPr>
              <w:instrText xml:space="preserve"> PAGEREF _Toc534372128 \h </w:instrText>
            </w:r>
            <w:r w:rsidR="005D3BB6">
              <w:rPr>
                <w:noProof/>
                <w:webHidden/>
              </w:rPr>
            </w:r>
            <w:r w:rsidR="005D3BB6">
              <w:rPr>
                <w:noProof/>
                <w:webHidden/>
              </w:rPr>
              <w:fldChar w:fldCharType="separate"/>
            </w:r>
            <w:r w:rsidR="005D3BB6">
              <w:rPr>
                <w:noProof/>
                <w:webHidden/>
              </w:rPr>
              <w:t>14</w:t>
            </w:r>
            <w:r w:rsidR="005D3BB6">
              <w:rPr>
                <w:noProof/>
                <w:webHidden/>
              </w:rPr>
              <w:fldChar w:fldCharType="end"/>
            </w:r>
          </w:hyperlink>
        </w:p>
        <w:p w14:paraId="404D949D" w14:textId="797F41C5" w:rsidR="005D3BB6" w:rsidRDefault="0034284D">
          <w:pPr>
            <w:pStyle w:val="TOC2"/>
            <w:tabs>
              <w:tab w:val="right" w:leader="dot" w:pos="9016"/>
            </w:tabs>
            <w:rPr>
              <w:rFonts w:eastAsiaTheme="minorEastAsia"/>
              <w:noProof/>
              <w:lang w:eastAsia="en-GB"/>
            </w:rPr>
          </w:pPr>
          <w:hyperlink w:anchor="_Toc534372129" w:history="1">
            <w:r w:rsidR="005D3BB6" w:rsidRPr="008228B9">
              <w:rPr>
                <w:rStyle w:val="Hyperlink"/>
                <w:rFonts w:ascii="Arial" w:hAnsi="Arial" w:cs="Arial"/>
                <w:noProof/>
                <w:lang w:eastAsia="en-GB"/>
              </w:rPr>
              <w:t>4.3 Environmental context</w:t>
            </w:r>
            <w:r w:rsidR="005D3BB6">
              <w:rPr>
                <w:noProof/>
                <w:webHidden/>
              </w:rPr>
              <w:tab/>
            </w:r>
            <w:r w:rsidR="005D3BB6">
              <w:rPr>
                <w:noProof/>
                <w:webHidden/>
              </w:rPr>
              <w:fldChar w:fldCharType="begin"/>
            </w:r>
            <w:r w:rsidR="005D3BB6">
              <w:rPr>
                <w:noProof/>
                <w:webHidden/>
              </w:rPr>
              <w:instrText xml:space="preserve"> PAGEREF _Toc534372129 \h </w:instrText>
            </w:r>
            <w:r w:rsidR="005D3BB6">
              <w:rPr>
                <w:noProof/>
                <w:webHidden/>
              </w:rPr>
            </w:r>
            <w:r w:rsidR="005D3BB6">
              <w:rPr>
                <w:noProof/>
                <w:webHidden/>
              </w:rPr>
              <w:fldChar w:fldCharType="separate"/>
            </w:r>
            <w:r w:rsidR="005D3BB6">
              <w:rPr>
                <w:noProof/>
                <w:webHidden/>
              </w:rPr>
              <w:t>16</w:t>
            </w:r>
            <w:r w:rsidR="005D3BB6">
              <w:rPr>
                <w:noProof/>
                <w:webHidden/>
              </w:rPr>
              <w:fldChar w:fldCharType="end"/>
            </w:r>
          </w:hyperlink>
        </w:p>
        <w:p w14:paraId="7B4B2758" w14:textId="76BD5022" w:rsidR="005D3BB6" w:rsidRDefault="0034284D">
          <w:pPr>
            <w:pStyle w:val="TOC1"/>
            <w:tabs>
              <w:tab w:val="right" w:leader="dot" w:pos="9016"/>
            </w:tabs>
            <w:rPr>
              <w:rFonts w:eastAsiaTheme="minorEastAsia"/>
              <w:noProof/>
              <w:lang w:eastAsia="en-GB"/>
            </w:rPr>
          </w:pPr>
          <w:hyperlink w:anchor="_Toc534372130" w:history="1">
            <w:r w:rsidR="005D3BB6" w:rsidRPr="008228B9">
              <w:rPr>
                <w:rStyle w:val="Hyperlink"/>
                <w:rFonts w:ascii="Arial" w:eastAsia="Times New Roman" w:hAnsi="Arial" w:cs="Arial"/>
                <w:noProof/>
                <w:lang w:eastAsia="en-GB"/>
              </w:rPr>
              <w:t>5.0 The Business case for Aetna’s diversity programme</w:t>
            </w:r>
            <w:r w:rsidR="005D3BB6">
              <w:rPr>
                <w:noProof/>
                <w:webHidden/>
              </w:rPr>
              <w:tab/>
            </w:r>
            <w:r w:rsidR="005D3BB6">
              <w:rPr>
                <w:noProof/>
                <w:webHidden/>
              </w:rPr>
              <w:fldChar w:fldCharType="begin"/>
            </w:r>
            <w:r w:rsidR="005D3BB6">
              <w:rPr>
                <w:noProof/>
                <w:webHidden/>
              </w:rPr>
              <w:instrText xml:space="preserve"> PAGEREF _Toc534372130 \h </w:instrText>
            </w:r>
            <w:r w:rsidR="005D3BB6">
              <w:rPr>
                <w:noProof/>
                <w:webHidden/>
              </w:rPr>
            </w:r>
            <w:r w:rsidR="005D3BB6">
              <w:rPr>
                <w:noProof/>
                <w:webHidden/>
              </w:rPr>
              <w:fldChar w:fldCharType="separate"/>
            </w:r>
            <w:r w:rsidR="005D3BB6">
              <w:rPr>
                <w:noProof/>
                <w:webHidden/>
              </w:rPr>
              <w:t>20</w:t>
            </w:r>
            <w:r w:rsidR="005D3BB6">
              <w:rPr>
                <w:noProof/>
                <w:webHidden/>
              </w:rPr>
              <w:fldChar w:fldCharType="end"/>
            </w:r>
          </w:hyperlink>
        </w:p>
        <w:p w14:paraId="0D3152C8" w14:textId="7F66186B" w:rsidR="005D3BB6" w:rsidRDefault="0034284D">
          <w:pPr>
            <w:pStyle w:val="TOC2"/>
            <w:tabs>
              <w:tab w:val="right" w:leader="dot" w:pos="9016"/>
            </w:tabs>
            <w:rPr>
              <w:rFonts w:eastAsiaTheme="minorEastAsia"/>
              <w:noProof/>
              <w:lang w:eastAsia="en-GB"/>
            </w:rPr>
          </w:pPr>
          <w:hyperlink w:anchor="_Toc534372131" w:history="1">
            <w:r w:rsidR="005D3BB6" w:rsidRPr="008228B9">
              <w:rPr>
                <w:rStyle w:val="Hyperlink"/>
                <w:rFonts w:ascii="Arial" w:eastAsia="Times New Roman" w:hAnsi="Arial" w:cs="Arial"/>
                <w:noProof/>
                <w:lang w:eastAsia="en-GB"/>
              </w:rPr>
              <w:t>5.1 Critical Analysis</w:t>
            </w:r>
            <w:r w:rsidR="005D3BB6">
              <w:rPr>
                <w:noProof/>
                <w:webHidden/>
              </w:rPr>
              <w:tab/>
            </w:r>
            <w:r w:rsidR="005D3BB6">
              <w:rPr>
                <w:noProof/>
                <w:webHidden/>
              </w:rPr>
              <w:fldChar w:fldCharType="begin"/>
            </w:r>
            <w:r w:rsidR="005D3BB6">
              <w:rPr>
                <w:noProof/>
                <w:webHidden/>
              </w:rPr>
              <w:instrText xml:space="preserve"> PAGEREF _Toc534372131 \h </w:instrText>
            </w:r>
            <w:r w:rsidR="005D3BB6">
              <w:rPr>
                <w:noProof/>
                <w:webHidden/>
              </w:rPr>
            </w:r>
            <w:r w:rsidR="005D3BB6">
              <w:rPr>
                <w:noProof/>
                <w:webHidden/>
              </w:rPr>
              <w:fldChar w:fldCharType="separate"/>
            </w:r>
            <w:r w:rsidR="005D3BB6">
              <w:rPr>
                <w:noProof/>
                <w:webHidden/>
              </w:rPr>
              <w:t>21</w:t>
            </w:r>
            <w:r w:rsidR="005D3BB6">
              <w:rPr>
                <w:noProof/>
                <w:webHidden/>
              </w:rPr>
              <w:fldChar w:fldCharType="end"/>
            </w:r>
          </w:hyperlink>
        </w:p>
        <w:p w14:paraId="38418737" w14:textId="7E97B291" w:rsidR="005D3BB6" w:rsidRDefault="0034284D">
          <w:pPr>
            <w:pStyle w:val="TOC3"/>
            <w:tabs>
              <w:tab w:val="right" w:leader="dot" w:pos="9016"/>
            </w:tabs>
            <w:rPr>
              <w:rFonts w:eastAsiaTheme="minorEastAsia"/>
              <w:noProof/>
              <w:lang w:eastAsia="en-GB"/>
            </w:rPr>
          </w:pPr>
          <w:hyperlink w:anchor="_Toc534372132" w:history="1">
            <w:r w:rsidR="005D3BB6" w:rsidRPr="008228B9">
              <w:rPr>
                <w:rStyle w:val="Hyperlink"/>
                <w:rFonts w:ascii="Arial" w:eastAsia="Times New Roman" w:hAnsi="Arial" w:cs="Arial"/>
                <w:noProof/>
                <w:lang w:eastAsia="en-GB"/>
              </w:rPr>
              <w:t>5.1.1 Recruitment of workforce</w:t>
            </w:r>
            <w:r w:rsidR="005D3BB6">
              <w:rPr>
                <w:noProof/>
                <w:webHidden/>
              </w:rPr>
              <w:tab/>
            </w:r>
            <w:r w:rsidR="005D3BB6">
              <w:rPr>
                <w:noProof/>
                <w:webHidden/>
              </w:rPr>
              <w:fldChar w:fldCharType="begin"/>
            </w:r>
            <w:r w:rsidR="005D3BB6">
              <w:rPr>
                <w:noProof/>
                <w:webHidden/>
              </w:rPr>
              <w:instrText xml:space="preserve"> PAGEREF _Toc534372132 \h </w:instrText>
            </w:r>
            <w:r w:rsidR="005D3BB6">
              <w:rPr>
                <w:noProof/>
                <w:webHidden/>
              </w:rPr>
            </w:r>
            <w:r w:rsidR="005D3BB6">
              <w:rPr>
                <w:noProof/>
                <w:webHidden/>
              </w:rPr>
              <w:fldChar w:fldCharType="separate"/>
            </w:r>
            <w:r w:rsidR="005D3BB6">
              <w:rPr>
                <w:noProof/>
                <w:webHidden/>
              </w:rPr>
              <w:t>21</w:t>
            </w:r>
            <w:r w:rsidR="005D3BB6">
              <w:rPr>
                <w:noProof/>
                <w:webHidden/>
              </w:rPr>
              <w:fldChar w:fldCharType="end"/>
            </w:r>
          </w:hyperlink>
        </w:p>
        <w:p w14:paraId="44ED2A8A" w14:textId="7218A5BD" w:rsidR="005D3BB6" w:rsidRDefault="0034284D">
          <w:pPr>
            <w:pStyle w:val="TOC3"/>
            <w:tabs>
              <w:tab w:val="right" w:leader="dot" w:pos="9016"/>
            </w:tabs>
            <w:rPr>
              <w:rFonts w:eastAsiaTheme="minorEastAsia"/>
              <w:noProof/>
              <w:lang w:eastAsia="en-GB"/>
            </w:rPr>
          </w:pPr>
          <w:hyperlink w:anchor="_Toc534372133" w:history="1">
            <w:r w:rsidR="005D3BB6" w:rsidRPr="008228B9">
              <w:rPr>
                <w:rStyle w:val="Hyperlink"/>
                <w:rFonts w:ascii="Arial" w:eastAsia="Times New Roman" w:hAnsi="Arial" w:cs="Arial"/>
                <w:noProof/>
                <w:lang w:eastAsia="en-GB"/>
              </w:rPr>
              <w:t>5.1.2 Training Duration</w:t>
            </w:r>
            <w:r w:rsidR="005D3BB6">
              <w:rPr>
                <w:noProof/>
                <w:webHidden/>
              </w:rPr>
              <w:tab/>
            </w:r>
            <w:r w:rsidR="005D3BB6">
              <w:rPr>
                <w:noProof/>
                <w:webHidden/>
              </w:rPr>
              <w:fldChar w:fldCharType="begin"/>
            </w:r>
            <w:r w:rsidR="005D3BB6">
              <w:rPr>
                <w:noProof/>
                <w:webHidden/>
              </w:rPr>
              <w:instrText xml:space="preserve"> PAGEREF _Toc534372133 \h </w:instrText>
            </w:r>
            <w:r w:rsidR="005D3BB6">
              <w:rPr>
                <w:noProof/>
                <w:webHidden/>
              </w:rPr>
            </w:r>
            <w:r w:rsidR="005D3BB6">
              <w:rPr>
                <w:noProof/>
                <w:webHidden/>
              </w:rPr>
              <w:fldChar w:fldCharType="separate"/>
            </w:r>
            <w:r w:rsidR="005D3BB6">
              <w:rPr>
                <w:noProof/>
                <w:webHidden/>
              </w:rPr>
              <w:t>21</w:t>
            </w:r>
            <w:r w:rsidR="005D3BB6">
              <w:rPr>
                <w:noProof/>
                <w:webHidden/>
              </w:rPr>
              <w:fldChar w:fldCharType="end"/>
            </w:r>
          </w:hyperlink>
        </w:p>
        <w:p w14:paraId="5985B6A4" w14:textId="6B96E0EF" w:rsidR="005D3BB6" w:rsidRDefault="0034284D">
          <w:pPr>
            <w:pStyle w:val="TOC3"/>
            <w:tabs>
              <w:tab w:val="right" w:leader="dot" w:pos="9016"/>
            </w:tabs>
            <w:rPr>
              <w:rFonts w:eastAsiaTheme="minorEastAsia"/>
              <w:noProof/>
              <w:lang w:eastAsia="en-GB"/>
            </w:rPr>
          </w:pPr>
          <w:hyperlink w:anchor="_Toc534372134" w:history="1">
            <w:r w:rsidR="005D3BB6" w:rsidRPr="008228B9">
              <w:rPr>
                <w:rStyle w:val="Hyperlink"/>
                <w:rFonts w:ascii="Arial" w:eastAsia="Times New Roman" w:hAnsi="Arial" w:cs="Arial"/>
                <w:noProof/>
                <w:lang w:eastAsia="en-GB"/>
              </w:rPr>
              <w:t>5.1.3 Identification of Diversity Training Needs</w:t>
            </w:r>
            <w:r w:rsidR="005D3BB6">
              <w:rPr>
                <w:noProof/>
                <w:webHidden/>
              </w:rPr>
              <w:tab/>
            </w:r>
            <w:r w:rsidR="005D3BB6">
              <w:rPr>
                <w:noProof/>
                <w:webHidden/>
              </w:rPr>
              <w:fldChar w:fldCharType="begin"/>
            </w:r>
            <w:r w:rsidR="005D3BB6">
              <w:rPr>
                <w:noProof/>
                <w:webHidden/>
              </w:rPr>
              <w:instrText xml:space="preserve"> PAGEREF _Toc534372134 \h </w:instrText>
            </w:r>
            <w:r w:rsidR="005D3BB6">
              <w:rPr>
                <w:noProof/>
                <w:webHidden/>
              </w:rPr>
            </w:r>
            <w:r w:rsidR="005D3BB6">
              <w:rPr>
                <w:noProof/>
                <w:webHidden/>
              </w:rPr>
              <w:fldChar w:fldCharType="separate"/>
            </w:r>
            <w:r w:rsidR="005D3BB6">
              <w:rPr>
                <w:noProof/>
                <w:webHidden/>
              </w:rPr>
              <w:t>22</w:t>
            </w:r>
            <w:r w:rsidR="005D3BB6">
              <w:rPr>
                <w:noProof/>
                <w:webHidden/>
              </w:rPr>
              <w:fldChar w:fldCharType="end"/>
            </w:r>
          </w:hyperlink>
        </w:p>
        <w:p w14:paraId="79BC887E" w14:textId="3CCAF83E" w:rsidR="005D3BB6" w:rsidRDefault="0034284D">
          <w:pPr>
            <w:pStyle w:val="TOC3"/>
            <w:tabs>
              <w:tab w:val="right" w:leader="dot" w:pos="9016"/>
            </w:tabs>
            <w:rPr>
              <w:rFonts w:eastAsiaTheme="minorEastAsia"/>
              <w:noProof/>
              <w:lang w:eastAsia="en-GB"/>
            </w:rPr>
          </w:pPr>
          <w:hyperlink w:anchor="_Toc534372135" w:history="1">
            <w:r w:rsidR="005D3BB6" w:rsidRPr="008228B9">
              <w:rPr>
                <w:rStyle w:val="Hyperlink"/>
                <w:rFonts w:ascii="Arial" w:eastAsia="Times New Roman" w:hAnsi="Arial" w:cs="Arial"/>
                <w:noProof/>
                <w:lang w:eastAsia="en-GB"/>
              </w:rPr>
              <w:t>5.1.4 Methods to Deliver Diversity</w:t>
            </w:r>
            <w:r w:rsidR="005D3BB6">
              <w:rPr>
                <w:noProof/>
                <w:webHidden/>
              </w:rPr>
              <w:tab/>
            </w:r>
            <w:r w:rsidR="005D3BB6">
              <w:rPr>
                <w:noProof/>
                <w:webHidden/>
              </w:rPr>
              <w:fldChar w:fldCharType="begin"/>
            </w:r>
            <w:r w:rsidR="005D3BB6">
              <w:rPr>
                <w:noProof/>
                <w:webHidden/>
              </w:rPr>
              <w:instrText xml:space="preserve"> PAGEREF _Toc534372135 \h </w:instrText>
            </w:r>
            <w:r w:rsidR="005D3BB6">
              <w:rPr>
                <w:noProof/>
                <w:webHidden/>
              </w:rPr>
            </w:r>
            <w:r w:rsidR="005D3BB6">
              <w:rPr>
                <w:noProof/>
                <w:webHidden/>
              </w:rPr>
              <w:fldChar w:fldCharType="separate"/>
            </w:r>
            <w:r w:rsidR="005D3BB6">
              <w:rPr>
                <w:noProof/>
                <w:webHidden/>
              </w:rPr>
              <w:t>22</w:t>
            </w:r>
            <w:r w:rsidR="005D3BB6">
              <w:rPr>
                <w:noProof/>
                <w:webHidden/>
              </w:rPr>
              <w:fldChar w:fldCharType="end"/>
            </w:r>
          </w:hyperlink>
        </w:p>
        <w:p w14:paraId="50CD3E96" w14:textId="1F314174" w:rsidR="005D3BB6" w:rsidRDefault="0034284D">
          <w:pPr>
            <w:pStyle w:val="TOC3"/>
            <w:tabs>
              <w:tab w:val="right" w:leader="dot" w:pos="9016"/>
            </w:tabs>
            <w:rPr>
              <w:rFonts w:eastAsiaTheme="minorEastAsia"/>
              <w:noProof/>
              <w:lang w:eastAsia="en-GB"/>
            </w:rPr>
          </w:pPr>
          <w:hyperlink w:anchor="_Toc534372136" w:history="1">
            <w:r w:rsidR="005D3BB6" w:rsidRPr="008228B9">
              <w:rPr>
                <w:rStyle w:val="Hyperlink"/>
                <w:rFonts w:ascii="Arial" w:eastAsia="Times New Roman" w:hAnsi="Arial" w:cs="Arial"/>
                <w:noProof/>
                <w:lang w:eastAsia="en-GB"/>
              </w:rPr>
              <w:t>5.1.5 Evaluating Diversity Training Programmes</w:t>
            </w:r>
            <w:r w:rsidR="005D3BB6">
              <w:rPr>
                <w:noProof/>
                <w:webHidden/>
              </w:rPr>
              <w:tab/>
            </w:r>
            <w:r w:rsidR="005D3BB6">
              <w:rPr>
                <w:noProof/>
                <w:webHidden/>
              </w:rPr>
              <w:fldChar w:fldCharType="begin"/>
            </w:r>
            <w:r w:rsidR="005D3BB6">
              <w:rPr>
                <w:noProof/>
                <w:webHidden/>
              </w:rPr>
              <w:instrText xml:space="preserve"> PAGEREF _Toc534372136 \h </w:instrText>
            </w:r>
            <w:r w:rsidR="005D3BB6">
              <w:rPr>
                <w:noProof/>
                <w:webHidden/>
              </w:rPr>
            </w:r>
            <w:r w:rsidR="005D3BB6">
              <w:rPr>
                <w:noProof/>
                <w:webHidden/>
              </w:rPr>
              <w:fldChar w:fldCharType="separate"/>
            </w:r>
            <w:r w:rsidR="005D3BB6">
              <w:rPr>
                <w:noProof/>
                <w:webHidden/>
              </w:rPr>
              <w:t>23</w:t>
            </w:r>
            <w:r w:rsidR="005D3BB6">
              <w:rPr>
                <w:noProof/>
                <w:webHidden/>
              </w:rPr>
              <w:fldChar w:fldCharType="end"/>
            </w:r>
          </w:hyperlink>
        </w:p>
        <w:p w14:paraId="6CE6E139" w14:textId="5BE9358F" w:rsidR="005D3BB6" w:rsidRDefault="0034284D">
          <w:pPr>
            <w:pStyle w:val="TOC2"/>
            <w:tabs>
              <w:tab w:val="right" w:leader="dot" w:pos="9016"/>
            </w:tabs>
            <w:rPr>
              <w:rFonts w:eastAsiaTheme="minorEastAsia"/>
              <w:noProof/>
              <w:lang w:eastAsia="en-GB"/>
            </w:rPr>
          </w:pPr>
          <w:hyperlink w:anchor="_Toc534372137" w:history="1">
            <w:r w:rsidR="005D3BB6" w:rsidRPr="008228B9">
              <w:rPr>
                <w:rStyle w:val="Hyperlink"/>
                <w:rFonts w:ascii="Arial" w:hAnsi="Arial" w:cs="Arial"/>
                <w:noProof/>
              </w:rPr>
              <w:t>6.0 CONCLUSIONS AND RECOMMENDATIONS</w:t>
            </w:r>
            <w:r w:rsidR="005D3BB6">
              <w:rPr>
                <w:noProof/>
                <w:webHidden/>
              </w:rPr>
              <w:tab/>
            </w:r>
            <w:r w:rsidR="005D3BB6">
              <w:rPr>
                <w:noProof/>
                <w:webHidden/>
              </w:rPr>
              <w:fldChar w:fldCharType="begin"/>
            </w:r>
            <w:r w:rsidR="005D3BB6">
              <w:rPr>
                <w:noProof/>
                <w:webHidden/>
              </w:rPr>
              <w:instrText xml:space="preserve"> PAGEREF _Toc534372137 \h </w:instrText>
            </w:r>
            <w:r w:rsidR="005D3BB6">
              <w:rPr>
                <w:noProof/>
                <w:webHidden/>
              </w:rPr>
            </w:r>
            <w:r w:rsidR="005D3BB6">
              <w:rPr>
                <w:noProof/>
                <w:webHidden/>
              </w:rPr>
              <w:fldChar w:fldCharType="separate"/>
            </w:r>
            <w:r w:rsidR="005D3BB6">
              <w:rPr>
                <w:noProof/>
                <w:webHidden/>
              </w:rPr>
              <w:t>23</w:t>
            </w:r>
            <w:r w:rsidR="005D3BB6">
              <w:rPr>
                <w:noProof/>
                <w:webHidden/>
              </w:rPr>
              <w:fldChar w:fldCharType="end"/>
            </w:r>
          </w:hyperlink>
        </w:p>
        <w:p w14:paraId="705B34A6" w14:textId="0DE62AF2" w:rsidR="005D3BB6" w:rsidRDefault="0034284D">
          <w:pPr>
            <w:pStyle w:val="TOC1"/>
            <w:tabs>
              <w:tab w:val="right" w:leader="dot" w:pos="9016"/>
            </w:tabs>
            <w:rPr>
              <w:rFonts w:eastAsiaTheme="minorEastAsia"/>
              <w:noProof/>
              <w:lang w:eastAsia="en-GB"/>
            </w:rPr>
          </w:pPr>
          <w:hyperlink w:anchor="_Toc534372138" w:history="1">
            <w:r w:rsidR="005D3BB6" w:rsidRPr="008228B9">
              <w:rPr>
                <w:rStyle w:val="Hyperlink"/>
                <w:rFonts w:ascii="Arial" w:hAnsi="Arial" w:cs="Arial"/>
                <w:noProof/>
              </w:rPr>
              <w:t>7.0 References</w:t>
            </w:r>
            <w:r w:rsidR="005D3BB6">
              <w:rPr>
                <w:noProof/>
                <w:webHidden/>
              </w:rPr>
              <w:tab/>
            </w:r>
            <w:r w:rsidR="005D3BB6">
              <w:rPr>
                <w:noProof/>
                <w:webHidden/>
              </w:rPr>
              <w:fldChar w:fldCharType="begin"/>
            </w:r>
            <w:r w:rsidR="005D3BB6">
              <w:rPr>
                <w:noProof/>
                <w:webHidden/>
              </w:rPr>
              <w:instrText xml:space="preserve"> PAGEREF _Toc534372138 \h </w:instrText>
            </w:r>
            <w:r w:rsidR="005D3BB6">
              <w:rPr>
                <w:noProof/>
                <w:webHidden/>
              </w:rPr>
            </w:r>
            <w:r w:rsidR="005D3BB6">
              <w:rPr>
                <w:noProof/>
                <w:webHidden/>
              </w:rPr>
              <w:fldChar w:fldCharType="separate"/>
            </w:r>
            <w:r w:rsidR="005D3BB6">
              <w:rPr>
                <w:noProof/>
                <w:webHidden/>
              </w:rPr>
              <w:t>25</w:t>
            </w:r>
            <w:r w:rsidR="005D3BB6">
              <w:rPr>
                <w:noProof/>
                <w:webHidden/>
              </w:rPr>
              <w:fldChar w:fldCharType="end"/>
            </w:r>
          </w:hyperlink>
        </w:p>
        <w:p w14:paraId="75FFC8B3" w14:textId="52A240F9" w:rsidR="005D3BB6" w:rsidRDefault="0034284D">
          <w:pPr>
            <w:pStyle w:val="TOC1"/>
            <w:tabs>
              <w:tab w:val="right" w:leader="dot" w:pos="9016"/>
            </w:tabs>
            <w:rPr>
              <w:rFonts w:eastAsiaTheme="minorEastAsia"/>
              <w:noProof/>
              <w:lang w:eastAsia="en-GB"/>
            </w:rPr>
          </w:pPr>
          <w:hyperlink w:anchor="_Toc534372139" w:history="1">
            <w:r w:rsidR="005D3BB6" w:rsidRPr="008228B9">
              <w:rPr>
                <w:rStyle w:val="Hyperlink"/>
                <w:rFonts w:ascii="Arial" w:hAnsi="Arial" w:cs="Arial"/>
                <w:noProof/>
              </w:rPr>
              <w:t>8.0 Appendix 1 - Linking Aetna’s strategic Business goals to diversity outcomes</w:t>
            </w:r>
            <w:r w:rsidR="005D3BB6">
              <w:rPr>
                <w:noProof/>
                <w:webHidden/>
              </w:rPr>
              <w:tab/>
            </w:r>
            <w:r w:rsidR="005D3BB6">
              <w:rPr>
                <w:noProof/>
                <w:webHidden/>
              </w:rPr>
              <w:fldChar w:fldCharType="begin"/>
            </w:r>
            <w:r w:rsidR="005D3BB6">
              <w:rPr>
                <w:noProof/>
                <w:webHidden/>
              </w:rPr>
              <w:instrText xml:space="preserve"> PAGEREF _Toc534372139 \h </w:instrText>
            </w:r>
            <w:r w:rsidR="005D3BB6">
              <w:rPr>
                <w:noProof/>
                <w:webHidden/>
              </w:rPr>
            </w:r>
            <w:r w:rsidR="005D3BB6">
              <w:rPr>
                <w:noProof/>
                <w:webHidden/>
              </w:rPr>
              <w:fldChar w:fldCharType="separate"/>
            </w:r>
            <w:r w:rsidR="005D3BB6">
              <w:rPr>
                <w:noProof/>
                <w:webHidden/>
              </w:rPr>
              <w:t>26</w:t>
            </w:r>
            <w:r w:rsidR="005D3BB6">
              <w:rPr>
                <w:noProof/>
                <w:webHidden/>
              </w:rPr>
              <w:fldChar w:fldCharType="end"/>
            </w:r>
          </w:hyperlink>
        </w:p>
        <w:p w14:paraId="70C379BA" w14:textId="66C955BD" w:rsidR="005D3BB6" w:rsidRDefault="0034284D">
          <w:pPr>
            <w:pStyle w:val="TOC1"/>
            <w:tabs>
              <w:tab w:val="right" w:leader="dot" w:pos="9016"/>
            </w:tabs>
            <w:rPr>
              <w:rFonts w:eastAsiaTheme="minorEastAsia"/>
              <w:noProof/>
              <w:lang w:eastAsia="en-GB"/>
            </w:rPr>
          </w:pPr>
          <w:hyperlink w:anchor="_Toc534372140" w:history="1">
            <w:r w:rsidR="005D3BB6" w:rsidRPr="008228B9">
              <w:rPr>
                <w:rStyle w:val="Hyperlink"/>
                <w:rFonts w:ascii="Arial" w:hAnsi="Arial" w:cs="Arial"/>
                <w:noProof/>
              </w:rPr>
              <w:t>9.0 Appendix 2 – Workforce training Programme</w:t>
            </w:r>
            <w:r w:rsidR="005D3BB6">
              <w:rPr>
                <w:noProof/>
                <w:webHidden/>
              </w:rPr>
              <w:tab/>
            </w:r>
            <w:r w:rsidR="005D3BB6">
              <w:rPr>
                <w:noProof/>
                <w:webHidden/>
              </w:rPr>
              <w:fldChar w:fldCharType="begin"/>
            </w:r>
            <w:r w:rsidR="005D3BB6">
              <w:rPr>
                <w:noProof/>
                <w:webHidden/>
              </w:rPr>
              <w:instrText xml:space="preserve"> PAGEREF _Toc534372140 \h </w:instrText>
            </w:r>
            <w:r w:rsidR="005D3BB6">
              <w:rPr>
                <w:noProof/>
                <w:webHidden/>
              </w:rPr>
            </w:r>
            <w:r w:rsidR="005D3BB6">
              <w:rPr>
                <w:noProof/>
                <w:webHidden/>
              </w:rPr>
              <w:fldChar w:fldCharType="separate"/>
            </w:r>
            <w:r w:rsidR="005D3BB6">
              <w:rPr>
                <w:noProof/>
                <w:webHidden/>
              </w:rPr>
              <w:t>28</w:t>
            </w:r>
            <w:r w:rsidR="005D3BB6">
              <w:rPr>
                <w:noProof/>
                <w:webHidden/>
              </w:rPr>
              <w:fldChar w:fldCharType="end"/>
            </w:r>
          </w:hyperlink>
        </w:p>
        <w:p w14:paraId="5B6AE3A4" w14:textId="6FCD382E" w:rsidR="005717F4" w:rsidRPr="005D3BB6" w:rsidRDefault="005717F4" w:rsidP="005D3BB6">
          <w:pPr>
            <w:spacing w:line="360" w:lineRule="auto"/>
            <w:rPr>
              <w:rFonts w:ascii="Arial" w:hAnsi="Arial" w:cs="Arial"/>
              <w:sz w:val="24"/>
              <w:szCs w:val="24"/>
            </w:rPr>
          </w:pPr>
          <w:r w:rsidRPr="005D3BB6">
            <w:rPr>
              <w:rFonts w:ascii="Arial" w:hAnsi="Arial" w:cs="Arial"/>
              <w:b/>
              <w:bCs/>
              <w:noProof/>
              <w:sz w:val="24"/>
              <w:szCs w:val="24"/>
            </w:rPr>
            <w:lastRenderedPageBreak/>
            <w:fldChar w:fldCharType="end"/>
          </w:r>
        </w:p>
      </w:sdtContent>
    </w:sdt>
    <w:p w14:paraId="17BC0588" w14:textId="24AD50F8" w:rsidR="003D07DA" w:rsidRPr="005D3BB6" w:rsidRDefault="003D07DA" w:rsidP="005D3BB6">
      <w:pPr>
        <w:spacing w:line="360" w:lineRule="auto"/>
        <w:rPr>
          <w:rFonts w:ascii="Arial" w:hAnsi="Arial" w:cs="Arial"/>
          <w:sz w:val="24"/>
          <w:szCs w:val="24"/>
          <w:lang w:eastAsia="en-GB"/>
        </w:rPr>
      </w:pPr>
    </w:p>
    <w:p w14:paraId="74AFDEC6" w14:textId="02F7AFE4" w:rsidR="003D07DA" w:rsidRDefault="003D07DA" w:rsidP="005D3BB6">
      <w:pPr>
        <w:pStyle w:val="Heading1"/>
        <w:spacing w:line="360" w:lineRule="auto"/>
        <w:rPr>
          <w:rFonts w:ascii="Arial" w:eastAsiaTheme="minorHAnsi" w:hAnsi="Arial" w:cs="Arial"/>
          <w:color w:val="auto"/>
          <w:sz w:val="24"/>
          <w:szCs w:val="24"/>
          <w:lang w:eastAsia="en-GB"/>
        </w:rPr>
      </w:pPr>
    </w:p>
    <w:p w14:paraId="7323757F" w14:textId="36FE79D4" w:rsidR="005D3BB6" w:rsidRDefault="005D3BB6" w:rsidP="005D3BB6">
      <w:pPr>
        <w:rPr>
          <w:lang w:eastAsia="en-GB"/>
        </w:rPr>
      </w:pPr>
    </w:p>
    <w:p w14:paraId="5B948671" w14:textId="77777777" w:rsidR="005D3BB6" w:rsidRPr="005D3BB6" w:rsidRDefault="005D3BB6" w:rsidP="005D3BB6">
      <w:pPr>
        <w:rPr>
          <w:lang w:eastAsia="en-GB"/>
        </w:rPr>
      </w:pPr>
    </w:p>
    <w:p w14:paraId="5D84D943" w14:textId="2AA9477F" w:rsidR="0035033D" w:rsidRPr="005D3BB6" w:rsidRDefault="00D30680" w:rsidP="005D3BB6">
      <w:pPr>
        <w:pStyle w:val="Heading1"/>
        <w:spacing w:line="360" w:lineRule="auto"/>
        <w:rPr>
          <w:rFonts w:ascii="Arial" w:eastAsia="Calibri" w:hAnsi="Arial" w:cs="Arial"/>
          <w:b/>
          <w:sz w:val="24"/>
          <w:szCs w:val="24"/>
          <w:lang w:eastAsia="en-GB"/>
        </w:rPr>
      </w:pPr>
      <w:bookmarkStart w:id="6" w:name="_Toc534372116"/>
      <w:r w:rsidRPr="005D3BB6">
        <w:rPr>
          <w:rFonts w:ascii="Arial" w:eastAsia="Calibri" w:hAnsi="Arial" w:cs="Arial"/>
          <w:b/>
          <w:sz w:val="24"/>
          <w:szCs w:val="24"/>
          <w:lang w:eastAsia="en-GB"/>
        </w:rPr>
        <w:t>1.0 INTRODUCTION</w:t>
      </w:r>
      <w:bookmarkEnd w:id="6"/>
      <w:r w:rsidRPr="005D3BB6">
        <w:rPr>
          <w:rFonts w:ascii="Arial" w:eastAsia="Calibri" w:hAnsi="Arial" w:cs="Arial"/>
          <w:b/>
          <w:sz w:val="24"/>
          <w:szCs w:val="24"/>
          <w:lang w:eastAsia="en-GB"/>
        </w:rPr>
        <w:t xml:space="preserve"> </w:t>
      </w:r>
    </w:p>
    <w:p w14:paraId="482C1FD4" w14:textId="5E7E619B" w:rsidR="009D7E9B" w:rsidRPr="005D3BB6" w:rsidRDefault="009D7E9B" w:rsidP="005D3BB6">
      <w:pPr>
        <w:spacing w:line="360" w:lineRule="auto"/>
        <w:rPr>
          <w:rFonts w:ascii="Arial" w:hAnsi="Arial" w:cs="Arial"/>
          <w:sz w:val="24"/>
          <w:szCs w:val="24"/>
          <w:lang w:eastAsia="en-GB"/>
        </w:rPr>
      </w:pPr>
      <w:r w:rsidRPr="005D3BB6">
        <w:rPr>
          <w:rFonts w:ascii="Arial" w:hAnsi="Arial" w:cs="Arial"/>
          <w:sz w:val="24"/>
          <w:szCs w:val="24"/>
          <w:lang w:eastAsia="en-GB"/>
        </w:rPr>
        <w:t>Having a health insurance for oneself and family members has become one of the critical needs in the current times. The various socio-economic, cultural, and economic factors have contributed towards building a society where one needs to be aware of one’s social and physical environment. Health insurance is a small step with large benefits, towards acting responsibly in healthcare management. This insurance allows for a small co-payment to gain access to a wide variety of care services on demand. The greater the insurance coverage of an individual, the larger may be his demand for medical care, which is also termed as a ‘Moral Hazard Effect’ (</w:t>
      </w:r>
      <w:proofErr w:type="spellStart"/>
      <w:r w:rsidR="00FC23C8">
        <w:rPr>
          <w:rFonts w:ascii="Arial" w:hAnsi="Arial" w:cs="Arial"/>
          <w:sz w:val="24"/>
          <w:szCs w:val="24"/>
        </w:rPr>
        <w:t>Aguinis</w:t>
      </w:r>
      <w:proofErr w:type="spellEnd"/>
      <w:r w:rsidR="00FC23C8">
        <w:rPr>
          <w:rFonts w:ascii="Arial" w:hAnsi="Arial" w:cs="Arial"/>
          <w:sz w:val="24"/>
          <w:szCs w:val="24"/>
        </w:rPr>
        <w:t xml:space="preserve"> &amp; </w:t>
      </w:r>
      <w:proofErr w:type="spellStart"/>
      <w:r w:rsidR="00FC23C8" w:rsidRPr="00271F31">
        <w:rPr>
          <w:rFonts w:ascii="Arial" w:hAnsi="Arial" w:cs="Arial"/>
          <w:sz w:val="24"/>
          <w:szCs w:val="24"/>
        </w:rPr>
        <w:t>Kraiger</w:t>
      </w:r>
      <w:proofErr w:type="spellEnd"/>
      <w:r w:rsidR="00FC23C8">
        <w:rPr>
          <w:rFonts w:ascii="Arial" w:hAnsi="Arial" w:cs="Arial"/>
          <w:sz w:val="24"/>
          <w:szCs w:val="24"/>
          <w:lang w:eastAsia="en-GB"/>
        </w:rPr>
        <w:t>, 2009</w:t>
      </w:r>
      <w:r w:rsidRPr="005D3BB6">
        <w:rPr>
          <w:rFonts w:ascii="Arial" w:hAnsi="Arial" w:cs="Arial"/>
          <w:sz w:val="24"/>
          <w:szCs w:val="24"/>
          <w:lang w:eastAsia="en-GB"/>
        </w:rPr>
        <w:t>). Having a health insurance coverage also allows for preventive care like yearly physical examinations, vaccinations, and access to medical care for trivial concerns like common cold etc. The Affordable Care Act is one of the key reasons for boost in the demand for adequate health care (</w:t>
      </w:r>
      <w:proofErr w:type="spellStart"/>
      <w:r w:rsidR="00092277">
        <w:rPr>
          <w:rFonts w:ascii="Arial" w:hAnsi="Arial" w:cs="Arial"/>
          <w:sz w:val="24"/>
          <w:szCs w:val="24"/>
          <w:lang w:eastAsia="en-GB"/>
        </w:rPr>
        <w:t>Alcazar</w:t>
      </w:r>
      <w:proofErr w:type="spellEnd"/>
      <w:r w:rsidR="00092277">
        <w:rPr>
          <w:rFonts w:ascii="Arial" w:hAnsi="Arial" w:cs="Arial"/>
          <w:sz w:val="24"/>
          <w:szCs w:val="24"/>
          <w:lang w:eastAsia="en-GB"/>
        </w:rPr>
        <w:t xml:space="preserve"> et al, 2013</w:t>
      </w:r>
      <w:r w:rsidRPr="005D3BB6">
        <w:rPr>
          <w:rFonts w:ascii="Arial" w:hAnsi="Arial" w:cs="Arial"/>
          <w:sz w:val="24"/>
          <w:szCs w:val="24"/>
          <w:lang w:eastAsia="en-GB"/>
        </w:rPr>
        <w:t>). This is the reason for the growing popularity and emergence of low-cost health insurance provider like Aetna.</w:t>
      </w:r>
    </w:p>
    <w:p w14:paraId="68A7F16B" w14:textId="3DDFA8DA" w:rsidR="00961EE6" w:rsidRPr="005D3BB6" w:rsidRDefault="009D7E9B" w:rsidP="005D3BB6">
      <w:pPr>
        <w:spacing w:line="360" w:lineRule="auto"/>
        <w:rPr>
          <w:rFonts w:ascii="Arial" w:hAnsi="Arial" w:cs="Arial"/>
          <w:sz w:val="24"/>
          <w:szCs w:val="24"/>
          <w:lang w:eastAsia="en-GB"/>
        </w:rPr>
      </w:pPr>
      <w:r w:rsidRPr="005D3BB6">
        <w:rPr>
          <w:rFonts w:ascii="Arial" w:hAnsi="Arial" w:cs="Arial"/>
          <w:sz w:val="24"/>
          <w:szCs w:val="24"/>
          <w:lang w:eastAsia="en-GB"/>
        </w:rPr>
        <w:t xml:space="preserve">This report is a consultancy-based discussion to provide details on an evidence-based approach to contemporary issues in people management in insurance sector. The report discusses the specific case of global insurance provider Aetna and elaborates on the diversity management issues in the firm. Basis this, the report presents a business case for adopting adequate policies for improving competitive agenda for diversity in the firm. </w:t>
      </w:r>
      <w:r w:rsidR="00F16039" w:rsidRPr="005D3BB6">
        <w:rPr>
          <w:rFonts w:ascii="Arial" w:hAnsi="Arial" w:cs="Arial"/>
          <w:sz w:val="24"/>
          <w:szCs w:val="24"/>
          <w:lang w:eastAsia="en-GB"/>
        </w:rPr>
        <w:t>First an exhaustive literature review has been provided, discussing a broader perspective on diversity management as it is practiced in organisations. This serves as a base for a critical review and analysis of how Aetna has</w:t>
      </w:r>
      <w:r w:rsidR="007923E2" w:rsidRPr="005D3BB6">
        <w:rPr>
          <w:rFonts w:ascii="Arial" w:hAnsi="Arial" w:cs="Arial"/>
          <w:sz w:val="24"/>
          <w:szCs w:val="24"/>
          <w:lang w:eastAsia="en-GB"/>
        </w:rPr>
        <w:t xml:space="preserve"> conducted its workforce training programmes on diversity. </w:t>
      </w:r>
    </w:p>
    <w:p w14:paraId="7C81D4C2" w14:textId="3D41B72A" w:rsidR="00FA5E00" w:rsidRPr="005D3BB6" w:rsidRDefault="003D07DA" w:rsidP="005D3BB6">
      <w:pPr>
        <w:pStyle w:val="Heading2"/>
        <w:spacing w:line="360" w:lineRule="auto"/>
        <w:rPr>
          <w:rFonts w:ascii="Arial" w:hAnsi="Arial" w:cs="Arial"/>
          <w:sz w:val="24"/>
          <w:szCs w:val="24"/>
          <w:lang w:eastAsia="en-GB"/>
        </w:rPr>
      </w:pPr>
      <w:bookmarkStart w:id="7" w:name="_Toc534372117"/>
      <w:r w:rsidRPr="005D3BB6">
        <w:rPr>
          <w:rFonts w:ascii="Arial" w:hAnsi="Arial" w:cs="Arial"/>
          <w:sz w:val="24"/>
          <w:szCs w:val="24"/>
          <w:lang w:eastAsia="en-GB"/>
        </w:rPr>
        <w:lastRenderedPageBreak/>
        <w:t>1.1 Methodology</w:t>
      </w:r>
      <w:bookmarkEnd w:id="7"/>
    </w:p>
    <w:p w14:paraId="6D9A5687" w14:textId="5C73BA19" w:rsidR="00FA5E00" w:rsidRPr="005D3BB6" w:rsidRDefault="00AC1BEB" w:rsidP="005D3BB6">
      <w:pPr>
        <w:spacing w:after="3" w:line="360" w:lineRule="auto"/>
        <w:ind w:left="-15" w:right="108"/>
        <w:jc w:val="both"/>
        <w:rPr>
          <w:rFonts w:ascii="Arial" w:hAnsi="Arial" w:cs="Arial"/>
          <w:sz w:val="24"/>
          <w:szCs w:val="24"/>
        </w:rPr>
      </w:pPr>
      <w:bookmarkStart w:id="8" w:name="_Hlk533146402"/>
      <w:r w:rsidRPr="005D3BB6">
        <w:rPr>
          <w:rFonts w:ascii="Arial" w:eastAsia="Times New Roman" w:hAnsi="Arial" w:cs="Arial"/>
          <w:sz w:val="24"/>
          <w:szCs w:val="24"/>
          <w:lang w:eastAsia="en-GB"/>
        </w:rPr>
        <w:t xml:space="preserve">The report was made by first reviewing the </w:t>
      </w:r>
      <w:r w:rsidR="006E3C82" w:rsidRPr="005D3BB6">
        <w:rPr>
          <w:rFonts w:ascii="Arial" w:eastAsia="Times New Roman" w:hAnsi="Arial" w:cs="Arial"/>
          <w:sz w:val="24"/>
          <w:szCs w:val="24"/>
          <w:lang w:eastAsia="en-GB"/>
        </w:rPr>
        <w:t xml:space="preserve">document that laid down the complete diversity training module at Aetna’s from the year 2012 to 2017. The report also has the points that have been mentioned in the diversity training programs given by </w:t>
      </w:r>
      <w:proofErr w:type="spellStart"/>
      <w:r w:rsidR="006E3C82" w:rsidRPr="005D3BB6">
        <w:rPr>
          <w:rFonts w:ascii="Arial" w:eastAsia="Times New Roman" w:hAnsi="Arial" w:cs="Arial"/>
          <w:sz w:val="24"/>
          <w:szCs w:val="24"/>
          <w:lang w:eastAsia="en-GB"/>
        </w:rPr>
        <w:t>Denyer</w:t>
      </w:r>
      <w:proofErr w:type="spellEnd"/>
      <w:r w:rsidR="006E3C82" w:rsidRPr="005D3BB6">
        <w:rPr>
          <w:rFonts w:ascii="Arial" w:eastAsia="Times New Roman" w:hAnsi="Arial" w:cs="Arial"/>
          <w:sz w:val="24"/>
          <w:szCs w:val="24"/>
          <w:lang w:eastAsia="en-GB"/>
        </w:rPr>
        <w:t xml:space="preserve"> and </w:t>
      </w:r>
      <w:proofErr w:type="spellStart"/>
      <w:r w:rsidR="006E3C82" w:rsidRPr="005D3BB6">
        <w:rPr>
          <w:rFonts w:ascii="Arial" w:eastAsia="Times New Roman" w:hAnsi="Arial" w:cs="Arial"/>
          <w:sz w:val="24"/>
          <w:szCs w:val="24"/>
          <w:lang w:eastAsia="en-GB"/>
        </w:rPr>
        <w:t>Tranfield</w:t>
      </w:r>
      <w:proofErr w:type="spellEnd"/>
      <w:r w:rsidR="006E3C82" w:rsidRPr="005D3BB6">
        <w:rPr>
          <w:rFonts w:ascii="Arial" w:eastAsia="Times New Roman" w:hAnsi="Arial" w:cs="Arial"/>
          <w:sz w:val="24"/>
          <w:szCs w:val="24"/>
          <w:lang w:eastAsia="en-GB"/>
        </w:rPr>
        <w:t xml:space="preserve"> (2008) and </w:t>
      </w:r>
      <w:proofErr w:type="spellStart"/>
      <w:r w:rsidR="00921174">
        <w:rPr>
          <w:rFonts w:ascii="Arial" w:eastAsia="Times New Roman" w:hAnsi="Arial" w:cs="Arial"/>
          <w:sz w:val="24"/>
          <w:szCs w:val="24"/>
          <w:lang w:eastAsia="en-GB"/>
        </w:rPr>
        <w:t>Brammer</w:t>
      </w:r>
      <w:proofErr w:type="spellEnd"/>
      <w:r w:rsidR="00921174">
        <w:rPr>
          <w:rFonts w:ascii="Arial" w:eastAsia="Times New Roman" w:hAnsi="Arial" w:cs="Arial"/>
          <w:sz w:val="24"/>
          <w:szCs w:val="24"/>
          <w:lang w:eastAsia="en-GB"/>
        </w:rPr>
        <w:t xml:space="preserve"> et al (2009</w:t>
      </w:r>
      <w:r w:rsidR="006E3C82" w:rsidRPr="005D3BB6">
        <w:rPr>
          <w:rFonts w:ascii="Arial" w:eastAsia="Times New Roman" w:hAnsi="Arial" w:cs="Arial"/>
          <w:sz w:val="24"/>
          <w:szCs w:val="24"/>
          <w:lang w:eastAsia="en-GB"/>
        </w:rPr>
        <w:t xml:space="preserve">). This practical as well as theoretical method has much significance. It presents a step by step process for training the staff on diversity. The literature review in the report will help the consultant who will be hired by the company to base the practices on robust theory. </w:t>
      </w:r>
      <w:bookmarkEnd w:id="8"/>
    </w:p>
    <w:p w14:paraId="3CB533B1" w14:textId="55F49A54" w:rsidR="005717F4" w:rsidRPr="005D3BB6" w:rsidRDefault="00560311" w:rsidP="005D3BB6">
      <w:pPr>
        <w:spacing w:line="360" w:lineRule="auto"/>
        <w:jc w:val="both"/>
        <w:rPr>
          <w:rFonts w:ascii="Arial" w:hAnsi="Arial" w:cs="Arial"/>
          <w:sz w:val="24"/>
          <w:szCs w:val="24"/>
          <w:lang w:eastAsia="en-GB"/>
        </w:rPr>
      </w:pPr>
      <w:r w:rsidRPr="005D3BB6">
        <w:rPr>
          <w:rFonts w:ascii="Arial" w:hAnsi="Arial" w:cs="Arial"/>
          <w:sz w:val="24"/>
          <w:szCs w:val="24"/>
          <w:lang w:eastAsia="en-GB"/>
        </w:rPr>
        <w:t xml:space="preserve">To have an exhaustive database of the main diversity training literature and modules the consultant went through the following process: First of </w:t>
      </w:r>
      <w:r w:rsidR="001D2473" w:rsidRPr="005D3BB6">
        <w:rPr>
          <w:rFonts w:ascii="Arial" w:hAnsi="Arial" w:cs="Arial"/>
          <w:sz w:val="24"/>
          <w:szCs w:val="24"/>
          <w:lang w:eastAsia="en-GB"/>
        </w:rPr>
        <w:t>all,</w:t>
      </w:r>
      <w:r w:rsidRPr="005D3BB6">
        <w:rPr>
          <w:rFonts w:ascii="Arial" w:hAnsi="Arial" w:cs="Arial"/>
          <w:sz w:val="24"/>
          <w:szCs w:val="24"/>
          <w:lang w:eastAsia="en-GB"/>
        </w:rPr>
        <w:t xml:space="preserve"> the boundary was set as to what literature would be searched for and this was applied to only articles that have be</w:t>
      </w:r>
      <w:r w:rsidR="001D5DA9">
        <w:rPr>
          <w:rFonts w:ascii="Arial" w:hAnsi="Arial" w:cs="Arial"/>
          <w:sz w:val="24"/>
          <w:szCs w:val="24"/>
          <w:lang w:eastAsia="en-GB"/>
        </w:rPr>
        <w:t>en</w:t>
      </w:r>
      <w:r w:rsidRPr="005D3BB6">
        <w:rPr>
          <w:rFonts w:ascii="Arial" w:hAnsi="Arial" w:cs="Arial"/>
          <w:sz w:val="24"/>
          <w:szCs w:val="24"/>
          <w:lang w:eastAsia="en-GB"/>
        </w:rPr>
        <w:t xml:space="preserve"> in the Association of Business Schools (ABS), Academic Journal Quality Guide Version 4 as per the subject area (</w:t>
      </w:r>
      <w:proofErr w:type="spellStart"/>
      <w:r w:rsidR="00B35115" w:rsidRPr="00271F31">
        <w:rPr>
          <w:rFonts w:ascii="Arial" w:hAnsi="Arial" w:cs="Arial"/>
          <w:sz w:val="24"/>
          <w:szCs w:val="24"/>
        </w:rPr>
        <w:t>Bezrukova</w:t>
      </w:r>
      <w:proofErr w:type="spellEnd"/>
      <w:r w:rsidR="00B35115">
        <w:rPr>
          <w:rFonts w:ascii="Arial" w:hAnsi="Arial" w:cs="Arial"/>
          <w:sz w:val="24"/>
          <w:szCs w:val="24"/>
        </w:rPr>
        <w:t xml:space="preserve"> et al, 2012</w:t>
      </w:r>
      <w:r w:rsidRPr="005D3BB6">
        <w:rPr>
          <w:rFonts w:ascii="Arial" w:hAnsi="Arial" w:cs="Arial"/>
          <w:sz w:val="24"/>
          <w:szCs w:val="24"/>
          <w:lang w:eastAsia="en-GB"/>
        </w:rPr>
        <w:t xml:space="preserve">). Second the article that have been listed in the ABS on the following topics were used, human resource development, Youth studies, Psychology, and Social Science. These were selected because the probability of finding diversity training modules were very high in journals of these topics. </w:t>
      </w:r>
      <w:r w:rsidR="00AC4AC7" w:rsidRPr="005D3BB6">
        <w:rPr>
          <w:rFonts w:ascii="Arial" w:hAnsi="Arial" w:cs="Arial"/>
          <w:sz w:val="24"/>
          <w:szCs w:val="24"/>
          <w:lang w:eastAsia="en-GB"/>
        </w:rPr>
        <w:t xml:space="preserve">Third. Electronic resources like the Business Source Complete, SAGE, and many other such databases were used to make the literature review. </w:t>
      </w:r>
    </w:p>
    <w:p w14:paraId="0CF2CC1B" w14:textId="116AE282" w:rsidR="00D45AC7" w:rsidRPr="005D3BB6" w:rsidRDefault="00D45AC7" w:rsidP="005D3BB6">
      <w:pPr>
        <w:pStyle w:val="Heading1"/>
        <w:spacing w:line="360" w:lineRule="auto"/>
        <w:rPr>
          <w:rFonts w:ascii="Arial" w:hAnsi="Arial" w:cs="Arial"/>
          <w:sz w:val="24"/>
          <w:szCs w:val="24"/>
        </w:rPr>
      </w:pPr>
      <w:bookmarkStart w:id="9" w:name="_Toc534372118"/>
      <w:r w:rsidRPr="005D3BB6">
        <w:rPr>
          <w:rFonts w:ascii="Arial" w:hAnsi="Arial" w:cs="Arial"/>
          <w:sz w:val="24"/>
          <w:szCs w:val="24"/>
        </w:rPr>
        <w:t xml:space="preserve">2.0 </w:t>
      </w:r>
      <w:r w:rsidR="007923E2" w:rsidRPr="005D3BB6">
        <w:rPr>
          <w:rFonts w:ascii="Arial" w:hAnsi="Arial" w:cs="Arial"/>
          <w:sz w:val="24"/>
          <w:szCs w:val="24"/>
        </w:rPr>
        <w:t>Workforce diversity management - literature review</w:t>
      </w:r>
      <w:bookmarkEnd w:id="9"/>
    </w:p>
    <w:p w14:paraId="598CF283" w14:textId="5BCAF8D6" w:rsidR="00D45AC7" w:rsidRPr="005D3BB6" w:rsidRDefault="00D45AC7" w:rsidP="005D3BB6">
      <w:pPr>
        <w:spacing w:after="139" w:line="360" w:lineRule="auto"/>
        <w:ind w:left="11" w:right="48" w:hanging="10"/>
        <w:rPr>
          <w:rFonts w:ascii="Arial" w:hAnsi="Arial" w:cs="Arial"/>
          <w:sz w:val="24"/>
          <w:szCs w:val="24"/>
          <w:lang w:eastAsia="en-GB"/>
        </w:rPr>
      </w:pPr>
      <w:r w:rsidRPr="005D3BB6">
        <w:rPr>
          <w:rFonts w:ascii="Arial" w:hAnsi="Arial" w:cs="Arial"/>
          <w:sz w:val="24"/>
          <w:szCs w:val="24"/>
          <w:lang w:eastAsia="en-GB"/>
        </w:rPr>
        <w:t xml:space="preserve">This section will elaborate on the theoretical positions which justify the business case of diversity and equality in a workplace. The section also describes the definition and understanding of diversity management in general, its perceived benefits and the justification for organisations like Aetna to adopt it as a practice and policy. </w:t>
      </w:r>
    </w:p>
    <w:p w14:paraId="0F40691B" w14:textId="3E33532C" w:rsidR="00D45AC7" w:rsidRPr="005D3BB6" w:rsidRDefault="00D45AC7" w:rsidP="005D3BB6">
      <w:pPr>
        <w:pStyle w:val="Heading2"/>
        <w:spacing w:line="360" w:lineRule="auto"/>
        <w:rPr>
          <w:rFonts w:ascii="Arial" w:eastAsia="Times New Roman" w:hAnsi="Arial" w:cs="Arial"/>
          <w:sz w:val="24"/>
          <w:szCs w:val="24"/>
          <w:lang w:eastAsia="en-GB"/>
        </w:rPr>
      </w:pPr>
      <w:bookmarkStart w:id="10" w:name="_Toc534372119"/>
      <w:r w:rsidRPr="005D3BB6">
        <w:rPr>
          <w:rFonts w:ascii="Arial" w:eastAsia="Times New Roman" w:hAnsi="Arial" w:cs="Arial"/>
          <w:sz w:val="24"/>
          <w:szCs w:val="24"/>
          <w:lang w:eastAsia="en-GB"/>
        </w:rPr>
        <w:t xml:space="preserve">2.1 Diversity Management </w:t>
      </w:r>
      <w:r w:rsidR="007923E2" w:rsidRPr="005D3BB6">
        <w:rPr>
          <w:rFonts w:ascii="Arial" w:eastAsia="Times New Roman" w:hAnsi="Arial" w:cs="Arial"/>
          <w:sz w:val="24"/>
          <w:szCs w:val="24"/>
          <w:lang w:eastAsia="en-GB"/>
        </w:rPr>
        <w:t>concept</w:t>
      </w:r>
      <w:bookmarkEnd w:id="10"/>
    </w:p>
    <w:p w14:paraId="469C00D9" w14:textId="52621DD8" w:rsidR="00EA3CAC" w:rsidRPr="005D3BB6" w:rsidRDefault="00D45AC7" w:rsidP="005D3BB6">
      <w:pPr>
        <w:spacing w:after="139" w:line="360" w:lineRule="auto"/>
        <w:ind w:left="11" w:right="48" w:hanging="10"/>
        <w:rPr>
          <w:rFonts w:ascii="Arial" w:hAnsi="Arial" w:cs="Arial"/>
          <w:sz w:val="24"/>
          <w:szCs w:val="24"/>
          <w:lang w:eastAsia="en-GB"/>
        </w:rPr>
      </w:pPr>
      <w:r w:rsidRPr="005D3BB6">
        <w:rPr>
          <w:rFonts w:ascii="Arial" w:hAnsi="Arial" w:cs="Arial"/>
          <w:sz w:val="24"/>
          <w:szCs w:val="24"/>
          <w:lang w:eastAsia="en-GB"/>
        </w:rPr>
        <w:t>Diversity management in firms is an attempt to value and maintain heterogeneity within the firm to ensure high performance (</w:t>
      </w:r>
      <w:proofErr w:type="spellStart"/>
      <w:r w:rsidRPr="005D3BB6">
        <w:rPr>
          <w:rFonts w:ascii="Arial" w:hAnsi="Arial" w:cs="Arial"/>
          <w:sz w:val="24"/>
          <w:szCs w:val="24"/>
          <w:lang w:eastAsia="en-GB"/>
        </w:rPr>
        <w:t>Ozbilgin</w:t>
      </w:r>
      <w:proofErr w:type="spellEnd"/>
      <w:r w:rsidRPr="005D3BB6">
        <w:rPr>
          <w:rFonts w:ascii="Arial" w:hAnsi="Arial" w:cs="Arial"/>
          <w:sz w:val="24"/>
          <w:szCs w:val="24"/>
          <w:lang w:eastAsia="en-GB"/>
        </w:rPr>
        <w:t xml:space="preserve"> and </w:t>
      </w:r>
      <w:proofErr w:type="spellStart"/>
      <w:r w:rsidRPr="005D3BB6">
        <w:rPr>
          <w:rFonts w:ascii="Arial" w:hAnsi="Arial" w:cs="Arial"/>
          <w:sz w:val="24"/>
          <w:szCs w:val="24"/>
          <w:lang w:eastAsia="en-GB"/>
        </w:rPr>
        <w:t>Tatli</w:t>
      </w:r>
      <w:proofErr w:type="spellEnd"/>
      <w:r w:rsidRPr="005D3BB6">
        <w:rPr>
          <w:rFonts w:ascii="Arial" w:hAnsi="Arial" w:cs="Arial"/>
          <w:sz w:val="24"/>
          <w:szCs w:val="24"/>
          <w:lang w:eastAsia="en-GB"/>
        </w:rPr>
        <w:t>, 2011). Within countries like the US and the UK, diversity management has been adopted as an initiative towards larger liberalisation and deregulation. Within their business environments, there has been a radical shift from a legal case to an actual business case for upholding diversity within organisations (</w:t>
      </w:r>
      <w:proofErr w:type="spellStart"/>
      <w:r w:rsidRPr="005D3BB6">
        <w:rPr>
          <w:rFonts w:ascii="Arial" w:hAnsi="Arial" w:cs="Arial"/>
          <w:sz w:val="24"/>
          <w:szCs w:val="24"/>
          <w:lang w:eastAsia="en-GB"/>
        </w:rPr>
        <w:t>Brammer</w:t>
      </w:r>
      <w:proofErr w:type="spellEnd"/>
      <w:r w:rsidRPr="005D3BB6">
        <w:rPr>
          <w:rFonts w:ascii="Arial" w:hAnsi="Arial" w:cs="Arial"/>
          <w:sz w:val="24"/>
          <w:szCs w:val="24"/>
          <w:lang w:eastAsia="en-GB"/>
        </w:rPr>
        <w:t xml:space="preserve"> et al, 2009). According to </w:t>
      </w:r>
      <w:r w:rsidR="00B35115">
        <w:rPr>
          <w:rFonts w:ascii="Arial" w:hAnsi="Arial" w:cs="Arial"/>
          <w:sz w:val="24"/>
          <w:szCs w:val="24"/>
          <w:lang w:eastAsia="en-GB"/>
        </w:rPr>
        <w:t>Shen et al (2009</w:t>
      </w:r>
      <w:r w:rsidRPr="005D3BB6">
        <w:rPr>
          <w:rFonts w:ascii="Arial" w:hAnsi="Arial" w:cs="Arial"/>
          <w:sz w:val="24"/>
          <w:szCs w:val="24"/>
          <w:lang w:eastAsia="en-GB"/>
        </w:rPr>
        <w:t xml:space="preserve">), diversity management at the workplace is a proactive attempt to maximise employee ideas, innovations and maximising employee potential at work. </w:t>
      </w:r>
      <w:proofErr w:type="spellStart"/>
      <w:r w:rsidRPr="005D3BB6">
        <w:rPr>
          <w:rFonts w:ascii="Arial" w:hAnsi="Arial" w:cs="Arial"/>
          <w:sz w:val="24"/>
          <w:szCs w:val="24"/>
          <w:lang w:eastAsia="en-GB"/>
        </w:rPr>
        <w:lastRenderedPageBreak/>
        <w:t>Ozbilgin</w:t>
      </w:r>
      <w:proofErr w:type="spellEnd"/>
      <w:r w:rsidRPr="005D3BB6">
        <w:rPr>
          <w:rFonts w:ascii="Arial" w:hAnsi="Arial" w:cs="Arial"/>
          <w:sz w:val="24"/>
          <w:szCs w:val="24"/>
          <w:lang w:eastAsia="en-GB"/>
        </w:rPr>
        <w:t xml:space="preserve"> and </w:t>
      </w:r>
      <w:proofErr w:type="spellStart"/>
      <w:r w:rsidRPr="005D3BB6">
        <w:rPr>
          <w:rFonts w:ascii="Arial" w:hAnsi="Arial" w:cs="Arial"/>
          <w:sz w:val="24"/>
          <w:szCs w:val="24"/>
          <w:lang w:eastAsia="en-GB"/>
        </w:rPr>
        <w:t>Tatli</w:t>
      </w:r>
      <w:proofErr w:type="spellEnd"/>
      <w:r w:rsidRPr="005D3BB6">
        <w:rPr>
          <w:rFonts w:ascii="Arial" w:hAnsi="Arial" w:cs="Arial"/>
          <w:sz w:val="24"/>
          <w:szCs w:val="24"/>
          <w:lang w:eastAsia="en-GB"/>
        </w:rPr>
        <w:t xml:space="preserve">, (2011) Also describe that the private sector firms show higher belief and diversity management practice as they are strongly profit-driven. On the other hand, public sector indulges in diversity mainly from a social responsibility perspective. However, the definition of diversity management is gradually evolving to include both visible and non-visible characteristics, unlike before where it is majorly focused on protecting minorities. Wider characteristics like age, gender, sex, physical abilities etc. have come under its purview as compared to race or ethnicity which was the earlier focus. While diversity strategy is focused on characteristics of groups and individuals, ‘equality’ as a strategy is more related to autonomy and opportunities for employees in various processes. </w:t>
      </w:r>
    </w:p>
    <w:p w14:paraId="54F280AF" w14:textId="3BA8BF04" w:rsidR="00D45AC7" w:rsidRPr="005D3BB6" w:rsidRDefault="00D45AC7" w:rsidP="005D3BB6">
      <w:pPr>
        <w:pStyle w:val="Heading2"/>
        <w:spacing w:line="360" w:lineRule="auto"/>
        <w:rPr>
          <w:rFonts w:ascii="Arial" w:eastAsia="Times New Roman" w:hAnsi="Arial" w:cs="Arial"/>
          <w:sz w:val="24"/>
          <w:szCs w:val="24"/>
          <w:lang w:eastAsia="en-GB"/>
        </w:rPr>
      </w:pPr>
      <w:bookmarkStart w:id="11" w:name="_Toc534372120"/>
      <w:r w:rsidRPr="005D3BB6">
        <w:rPr>
          <w:rFonts w:ascii="Arial" w:eastAsia="Times New Roman" w:hAnsi="Arial" w:cs="Arial"/>
          <w:sz w:val="24"/>
          <w:szCs w:val="24"/>
          <w:lang w:eastAsia="en-GB"/>
        </w:rPr>
        <w:t>2.1.1 Gender diversity in the workplace</w:t>
      </w:r>
      <w:bookmarkEnd w:id="11"/>
      <w:r w:rsidRPr="005D3BB6">
        <w:rPr>
          <w:rFonts w:ascii="Arial" w:eastAsia="Times New Roman" w:hAnsi="Arial" w:cs="Arial"/>
          <w:sz w:val="24"/>
          <w:szCs w:val="24"/>
          <w:lang w:eastAsia="en-GB"/>
        </w:rPr>
        <w:t xml:space="preserve"> </w:t>
      </w:r>
    </w:p>
    <w:p w14:paraId="560A68EA" w14:textId="381311A4" w:rsidR="003D07DA" w:rsidRPr="005D3BB6" w:rsidRDefault="00D45AC7" w:rsidP="005D3BB6">
      <w:pPr>
        <w:spacing w:after="139" w:line="360" w:lineRule="auto"/>
        <w:ind w:left="11" w:right="48" w:hanging="10"/>
        <w:rPr>
          <w:rFonts w:ascii="Arial" w:hAnsi="Arial" w:cs="Arial"/>
          <w:sz w:val="24"/>
          <w:szCs w:val="24"/>
          <w:lang w:eastAsia="en-GB"/>
        </w:rPr>
      </w:pPr>
      <w:r w:rsidRPr="005D3BB6">
        <w:rPr>
          <w:rFonts w:ascii="Arial" w:hAnsi="Arial" w:cs="Arial"/>
          <w:sz w:val="24"/>
          <w:szCs w:val="24"/>
          <w:lang w:eastAsia="en-GB"/>
        </w:rPr>
        <w:t>Gender diversity and its application in the Europe has become a high-profile debate in the recent times. Various justifications have been provided for the internal and external business benefits which such a move offers. The FTSE report for 2012 described that only 15% of FTSE 100 board members were women. Likewise, the GMI Ratings’2012 within the USA also revealed women represented only 12.6% of the board members between the period 2009 to 2011 (</w:t>
      </w:r>
      <w:proofErr w:type="spellStart"/>
      <w:r w:rsidR="00A03FEA">
        <w:rPr>
          <w:rFonts w:ascii="Arial" w:hAnsi="Arial" w:cs="Arial"/>
          <w:sz w:val="24"/>
          <w:szCs w:val="24"/>
          <w:lang w:eastAsia="en-GB"/>
        </w:rPr>
        <w:t>Celik</w:t>
      </w:r>
      <w:proofErr w:type="spellEnd"/>
      <w:r w:rsidR="00A03FEA">
        <w:rPr>
          <w:rFonts w:ascii="Arial" w:hAnsi="Arial" w:cs="Arial"/>
          <w:sz w:val="24"/>
          <w:szCs w:val="24"/>
          <w:lang w:eastAsia="en-GB"/>
        </w:rPr>
        <w:t xml:space="preserve"> et al, 2012</w:t>
      </w:r>
      <w:r w:rsidRPr="005D3BB6">
        <w:rPr>
          <w:rFonts w:ascii="Arial" w:hAnsi="Arial" w:cs="Arial"/>
          <w:sz w:val="24"/>
          <w:szCs w:val="24"/>
          <w:lang w:eastAsia="en-GB"/>
        </w:rPr>
        <w:t>). The survey revealed a better representation for women in France (16.6%), and Germany (12.9%), and Norway (36.3%). The various evidence on impact of gender diversity at the workplace tend to segregate the benefits into two categories. Firstly, in terms of benefits of access to more talent (</w:t>
      </w:r>
      <w:r w:rsidR="00996CB3">
        <w:rPr>
          <w:rFonts w:ascii="Arial" w:hAnsi="Arial" w:cs="Arial"/>
          <w:sz w:val="24"/>
          <w:szCs w:val="24"/>
          <w:lang w:eastAsia="en-GB"/>
        </w:rPr>
        <w:t xml:space="preserve">Combs &amp; </w:t>
      </w:r>
      <w:proofErr w:type="spellStart"/>
      <w:r w:rsidR="00996CB3">
        <w:rPr>
          <w:rFonts w:ascii="Arial" w:hAnsi="Arial" w:cs="Arial"/>
          <w:sz w:val="24"/>
          <w:szCs w:val="24"/>
          <w:lang w:eastAsia="en-GB"/>
        </w:rPr>
        <w:t>Luthans</w:t>
      </w:r>
      <w:proofErr w:type="spellEnd"/>
      <w:r w:rsidR="00996CB3">
        <w:rPr>
          <w:rFonts w:ascii="Arial" w:hAnsi="Arial" w:cs="Arial"/>
          <w:sz w:val="24"/>
          <w:szCs w:val="24"/>
          <w:lang w:eastAsia="en-GB"/>
        </w:rPr>
        <w:t>, 2007</w:t>
      </w:r>
      <w:r w:rsidRPr="005D3BB6">
        <w:rPr>
          <w:rFonts w:ascii="Arial" w:hAnsi="Arial" w:cs="Arial"/>
          <w:sz w:val="24"/>
          <w:szCs w:val="24"/>
          <w:lang w:eastAsia="en-GB"/>
        </w:rPr>
        <w:t>), and secondly in terms of benefits of better stakeholder management within the firm providing ext</w:t>
      </w:r>
      <w:r w:rsidR="00834DEF">
        <w:rPr>
          <w:rFonts w:ascii="Arial" w:hAnsi="Arial" w:cs="Arial"/>
          <w:sz w:val="24"/>
          <w:szCs w:val="24"/>
          <w:lang w:eastAsia="en-GB"/>
        </w:rPr>
        <w:t>ernal business benefits (</w:t>
      </w:r>
      <w:proofErr w:type="spellStart"/>
      <w:r w:rsidR="00834DEF">
        <w:rPr>
          <w:rFonts w:ascii="Arial" w:hAnsi="Arial" w:cs="Arial"/>
          <w:sz w:val="24"/>
          <w:szCs w:val="24"/>
          <w:lang w:eastAsia="en-GB"/>
        </w:rPr>
        <w:t>Brammer</w:t>
      </w:r>
      <w:proofErr w:type="spellEnd"/>
      <w:r w:rsidRPr="005D3BB6">
        <w:rPr>
          <w:rFonts w:ascii="Arial" w:hAnsi="Arial" w:cs="Arial"/>
          <w:sz w:val="24"/>
          <w:szCs w:val="24"/>
          <w:lang w:eastAsia="en-GB"/>
        </w:rPr>
        <w:t xml:space="preserve"> et al, 2009). Researchers have established the ‘internal benefits’ of having a gender-diverse board of directors in terms of better ideas and more innovation (</w:t>
      </w:r>
      <w:r w:rsidR="004B6D9F">
        <w:rPr>
          <w:rFonts w:ascii="Arial" w:hAnsi="Arial" w:cs="Arial"/>
          <w:sz w:val="24"/>
          <w:szCs w:val="24"/>
          <w:lang w:eastAsia="en-GB"/>
        </w:rPr>
        <w:t>Dobbin et al, 2011</w:t>
      </w:r>
      <w:r w:rsidRPr="005D3BB6">
        <w:rPr>
          <w:rFonts w:ascii="Arial" w:hAnsi="Arial" w:cs="Arial"/>
          <w:sz w:val="24"/>
          <w:szCs w:val="24"/>
          <w:lang w:eastAsia="en-GB"/>
        </w:rPr>
        <w:t>). Likewise, some researchers have also highlighted the business case of such a diverse representation stating that such firms with higher gender representation have average return on equity of 11.4% as compared to a 10.3% return for those firms with lesser women representation (</w:t>
      </w:r>
      <w:proofErr w:type="spellStart"/>
      <w:r w:rsidR="00D76AFE">
        <w:rPr>
          <w:rFonts w:ascii="Arial" w:hAnsi="Arial" w:cs="Arial"/>
          <w:sz w:val="24"/>
          <w:szCs w:val="24"/>
        </w:rPr>
        <w:t>Groeneveld</w:t>
      </w:r>
      <w:proofErr w:type="spellEnd"/>
      <w:r w:rsidR="00D76AFE">
        <w:rPr>
          <w:rFonts w:ascii="Arial" w:hAnsi="Arial" w:cs="Arial"/>
          <w:sz w:val="24"/>
          <w:szCs w:val="24"/>
        </w:rPr>
        <w:t xml:space="preserve"> &amp;</w:t>
      </w:r>
      <w:r w:rsidR="00D76AFE" w:rsidRPr="00271F31">
        <w:rPr>
          <w:rFonts w:ascii="Arial" w:hAnsi="Arial" w:cs="Arial"/>
          <w:sz w:val="24"/>
          <w:szCs w:val="24"/>
        </w:rPr>
        <w:t xml:space="preserve"> </w:t>
      </w:r>
      <w:proofErr w:type="spellStart"/>
      <w:r w:rsidR="00D76AFE" w:rsidRPr="00271F31">
        <w:rPr>
          <w:rFonts w:ascii="Arial" w:hAnsi="Arial" w:cs="Arial"/>
          <w:sz w:val="24"/>
          <w:szCs w:val="24"/>
        </w:rPr>
        <w:t>Verbeek</w:t>
      </w:r>
      <w:proofErr w:type="spellEnd"/>
      <w:r w:rsidR="00D76AFE">
        <w:rPr>
          <w:rFonts w:ascii="Arial" w:hAnsi="Arial" w:cs="Arial"/>
          <w:sz w:val="24"/>
          <w:szCs w:val="24"/>
          <w:lang w:eastAsia="en-GB"/>
        </w:rPr>
        <w:t>, 2012</w:t>
      </w:r>
      <w:r w:rsidRPr="005D3BB6">
        <w:rPr>
          <w:rFonts w:ascii="Arial" w:hAnsi="Arial" w:cs="Arial"/>
          <w:sz w:val="24"/>
          <w:szCs w:val="24"/>
          <w:lang w:eastAsia="en-GB"/>
        </w:rPr>
        <w:t>). Likewise, such firms also achieved an average stock price growth of 64% as compared to a 47% value achieved by those with lesser representation (</w:t>
      </w:r>
      <w:r w:rsidR="001D5973">
        <w:rPr>
          <w:rFonts w:ascii="Arial" w:hAnsi="Arial" w:cs="Arial"/>
          <w:sz w:val="24"/>
          <w:szCs w:val="24"/>
          <w:lang w:eastAsia="en-GB"/>
        </w:rPr>
        <w:t>Hubbard, 2014</w:t>
      </w:r>
      <w:r w:rsidRPr="005D3BB6">
        <w:rPr>
          <w:rFonts w:ascii="Arial" w:hAnsi="Arial" w:cs="Arial"/>
          <w:sz w:val="24"/>
          <w:szCs w:val="24"/>
          <w:lang w:eastAsia="en-GB"/>
        </w:rPr>
        <w:t>)</w:t>
      </w:r>
      <w:r w:rsidR="003D07DA" w:rsidRPr="005D3BB6">
        <w:rPr>
          <w:rFonts w:ascii="Arial" w:hAnsi="Arial" w:cs="Arial"/>
          <w:sz w:val="24"/>
          <w:szCs w:val="24"/>
          <w:lang w:eastAsia="en-GB"/>
        </w:rPr>
        <w:t>.</w:t>
      </w:r>
    </w:p>
    <w:p w14:paraId="64A517A1" w14:textId="47F089A1" w:rsidR="00D45AC7" w:rsidRPr="005D3BB6" w:rsidRDefault="00D45AC7" w:rsidP="005D3BB6">
      <w:pPr>
        <w:pStyle w:val="Heading2"/>
        <w:spacing w:line="360" w:lineRule="auto"/>
        <w:rPr>
          <w:rFonts w:ascii="Arial" w:eastAsia="Times New Roman" w:hAnsi="Arial" w:cs="Arial"/>
          <w:sz w:val="24"/>
          <w:szCs w:val="24"/>
          <w:lang w:eastAsia="en-GB"/>
        </w:rPr>
      </w:pPr>
      <w:bookmarkStart w:id="12" w:name="_Toc534372121"/>
      <w:r w:rsidRPr="005D3BB6">
        <w:rPr>
          <w:rFonts w:ascii="Arial" w:eastAsia="Times New Roman" w:hAnsi="Arial" w:cs="Arial"/>
          <w:sz w:val="24"/>
          <w:szCs w:val="24"/>
          <w:lang w:eastAsia="en-GB"/>
        </w:rPr>
        <w:lastRenderedPageBreak/>
        <w:t>2.1.2 Age diversity in the workplace</w:t>
      </w:r>
      <w:bookmarkEnd w:id="12"/>
      <w:r w:rsidRPr="005D3BB6">
        <w:rPr>
          <w:rFonts w:ascii="Arial" w:eastAsia="Times New Roman" w:hAnsi="Arial" w:cs="Arial"/>
          <w:sz w:val="24"/>
          <w:szCs w:val="24"/>
          <w:lang w:eastAsia="en-GB"/>
        </w:rPr>
        <w:t xml:space="preserve"> </w:t>
      </w:r>
    </w:p>
    <w:p w14:paraId="6D0538F3" w14:textId="0F32E1E3" w:rsidR="00E6689E" w:rsidRPr="005D3BB6" w:rsidRDefault="00D45AC7" w:rsidP="005D3BB6">
      <w:pPr>
        <w:spacing w:after="139" w:line="360" w:lineRule="auto"/>
        <w:ind w:left="11" w:right="48" w:hanging="10"/>
        <w:rPr>
          <w:rFonts w:ascii="Arial" w:hAnsi="Arial" w:cs="Arial"/>
          <w:sz w:val="24"/>
          <w:szCs w:val="24"/>
          <w:lang w:eastAsia="en-GB"/>
        </w:rPr>
      </w:pPr>
      <w:r w:rsidRPr="005D3BB6">
        <w:rPr>
          <w:rFonts w:ascii="Arial" w:hAnsi="Arial" w:cs="Arial"/>
          <w:sz w:val="24"/>
          <w:szCs w:val="24"/>
          <w:lang w:eastAsia="en-GB"/>
        </w:rPr>
        <w:t xml:space="preserve">Age-diversity in the workplace has also been justified on various grounds. </w:t>
      </w:r>
      <w:proofErr w:type="spellStart"/>
      <w:r w:rsidR="00BC333E">
        <w:rPr>
          <w:rFonts w:ascii="Arial" w:hAnsi="Arial" w:cs="Arial"/>
          <w:sz w:val="24"/>
          <w:szCs w:val="24"/>
          <w:lang w:eastAsia="en-GB"/>
        </w:rPr>
        <w:t>Doorenbos</w:t>
      </w:r>
      <w:proofErr w:type="spellEnd"/>
      <w:r w:rsidR="00BC333E">
        <w:rPr>
          <w:rFonts w:ascii="Arial" w:hAnsi="Arial" w:cs="Arial"/>
          <w:sz w:val="24"/>
          <w:szCs w:val="24"/>
          <w:lang w:eastAsia="en-GB"/>
        </w:rPr>
        <w:t xml:space="preserve"> et al (2010) </w:t>
      </w:r>
      <w:r w:rsidRPr="005D3BB6">
        <w:rPr>
          <w:rFonts w:ascii="Arial" w:hAnsi="Arial" w:cs="Arial"/>
          <w:sz w:val="24"/>
          <w:szCs w:val="24"/>
          <w:lang w:eastAsia="en-GB"/>
        </w:rPr>
        <w:t>describes that representation of younger people on the board gives it a higher ability to take risks, while older members continue to provide guidance based on their experience. A report by the Chartered Institu</w:t>
      </w:r>
      <w:r w:rsidR="00B63E06">
        <w:rPr>
          <w:rFonts w:ascii="Arial" w:hAnsi="Arial" w:cs="Arial"/>
          <w:sz w:val="24"/>
          <w:szCs w:val="24"/>
          <w:lang w:eastAsia="en-GB"/>
        </w:rPr>
        <w:t>te of Personnel and Development</w:t>
      </w:r>
      <w:r w:rsidRPr="005D3BB6">
        <w:rPr>
          <w:rFonts w:ascii="Arial" w:hAnsi="Arial" w:cs="Arial"/>
          <w:sz w:val="24"/>
          <w:szCs w:val="24"/>
          <w:lang w:eastAsia="en-GB"/>
        </w:rPr>
        <w:t xml:space="preserve"> describes that with more than 13.5 million vacancies arising in the UK in the next 10 years, the number of young graduates estimated as 7 million may not be sufficient to fill these positions</w:t>
      </w:r>
      <w:r w:rsidR="00B63E06">
        <w:rPr>
          <w:rFonts w:ascii="Arial" w:hAnsi="Arial" w:cs="Arial"/>
          <w:sz w:val="24"/>
          <w:szCs w:val="24"/>
          <w:lang w:eastAsia="en-GB"/>
        </w:rPr>
        <w:t xml:space="preserve"> (</w:t>
      </w:r>
      <w:r w:rsidR="00B63E06" w:rsidRPr="00271F31">
        <w:rPr>
          <w:rFonts w:ascii="Arial" w:hAnsi="Arial" w:cs="Arial"/>
          <w:sz w:val="24"/>
          <w:szCs w:val="24"/>
        </w:rPr>
        <w:t>Ernst</w:t>
      </w:r>
      <w:r w:rsidR="00B63E06">
        <w:rPr>
          <w:rFonts w:ascii="Arial" w:hAnsi="Arial" w:cs="Arial"/>
          <w:sz w:val="24"/>
          <w:szCs w:val="24"/>
        </w:rPr>
        <w:t xml:space="preserve"> </w:t>
      </w:r>
      <w:r w:rsidR="00B63E06" w:rsidRPr="00271F31">
        <w:rPr>
          <w:rFonts w:ascii="Arial" w:hAnsi="Arial" w:cs="Arial"/>
          <w:sz w:val="24"/>
          <w:szCs w:val="24"/>
        </w:rPr>
        <w:t>&amp;</w:t>
      </w:r>
      <w:r w:rsidR="00B63E06">
        <w:rPr>
          <w:rFonts w:ascii="Arial" w:hAnsi="Arial" w:cs="Arial"/>
          <w:sz w:val="24"/>
          <w:szCs w:val="24"/>
        </w:rPr>
        <w:t xml:space="preserve"> </w:t>
      </w:r>
      <w:r w:rsidR="00B63E06" w:rsidRPr="00271F31">
        <w:rPr>
          <w:rFonts w:ascii="Arial" w:hAnsi="Arial" w:cs="Arial"/>
          <w:sz w:val="24"/>
          <w:szCs w:val="24"/>
        </w:rPr>
        <w:t>Young</w:t>
      </w:r>
      <w:r w:rsidR="00B63E06">
        <w:rPr>
          <w:rFonts w:ascii="Arial" w:hAnsi="Arial" w:cs="Arial"/>
          <w:sz w:val="24"/>
          <w:szCs w:val="24"/>
        </w:rPr>
        <w:t>, 2010)</w:t>
      </w:r>
      <w:r w:rsidRPr="005D3BB6">
        <w:rPr>
          <w:rFonts w:ascii="Arial" w:hAnsi="Arial" w:cs="Arial"/>
          <w:sz w:val="24"/>
          <w:szCs w:val="24"/>
          <w:lang w:eastAsia="en-GB"/>
        </w:rPr>
        <w:t xml:space="preserve">. Likewise, another report by the </w:t>
      </w:r>
      <w:r w:rsidR="00040BC6">
        <w:rPr>
          <w:rFonts w:ascii="Arial" w:hAnsi="Arial" w:cs="Arial"/>
          <w:sz w:val="24"/>
          <w:szCs w:val="24"/>
          <w:lang w:eastAsia="en-GB"/>
        </w:rPr>
        <w:t>OECD (2011)</w:t>
      </w:r>
      <w:r w:rsidRPr="005D3BB6">
        <w:rPr>
          <w:rFonts w:ascii="Arial" w:hAnsi="Arial" w:cs="Arial"/>
          <w:sz w:val="24"/>
          <w:szCs w:val="24"/>
          <w:lang w:eastAsia="en-GB"/>
        </w:rPr>
        <w:t xml:space="preserve"> also describes that skills and experiences of older population is critical for ensuring quality within the manufacturing sector. Some researchers also argue that employing older workers may block the progress of the younger generation (</w:t>
      </w:r>
      <w:r w:rsidR="00D72C68">
        <w:rPr>
          <w:rFonts w:ascii="Arial" w:hAnsi="Arial" w:cs="Arial"/>
          <w:sz w:val="24"/>
          <w:szCs w:val="24"/>
          <w:lang w:eastAsia="en-GB"/>
        </w:rPr>
        <w:t>Moss, 2010</w:t>
      </w:r>
      <w:r w:rsidRPr="005D3BB6">
        <w:rPr>
          <w:rFonts w:ascii="Arial" w:hAnsi="Arial" w:cs="Arial"/>
          <w:sz w:val="24"/>
          <w:szCs w:val="24"/>
          <w:lang w:eastAsia="en-GB"/>
        </w:rPr>
        <w:t xml:space="preserve">), but these claims have not been empirically established. Overall, most employers believe on adopting a mixed recruitment strategy to gain from experiences of the older employees and have fresh innovative ideas from the younger employees </w:t>
      </w:r>
      <w:r w:rsidR="00D72C68">
        <w:rPr>
          <w:rFonts w:ascii="Arial" w:hAnsi="Arial" w:cs="Arial"/>
          <w:sz w:val="24"/>
          <w:szCs w:val="24"/>
          <w:lang w:eastAsia="en-GB"/>
        </w:rPr>
        <w:t>(King et al, 2012)</w:t>
      </w:r>
      <w:r w:rsidR="003A6A3D">
        <w:rPr>
          <w:rFonts w:ascii="Arial" w:hAnsi="Arial" w:cs="Arial"/>
          <w:sz w:val="24"/>
          <w:szCs w:val="24"/>
          <w:lang w:eastAsia="en-GB"/>
        </w:rPr>
        <w:t xml:space="preserve">. </w:t>
      </w:r>
    </w:p>
    <w:p w14:paraId="2B196B19" w14:textId="77777777" w:rsidR="00D45AC7" w:rsidRPr="005D3BB6" w:rsidRDefault="00D45AC7" w:rsidP="005D3BB6">
      <w:pPr>
        <w:pStyle w:val="Heading2"/>
        <w:spacing w:line="360" w:lineRule="auto"/>
        <w:rPr>
          <w:rFonts w:ascii="Arial" w:eastAsia="Times New Roman" w:hAnsi="Arial" w:cs="Arial"/>
          <w:sz w:val="24"/>
          <w:szCs w:val="24"/>
          <w:lang w:eastAsia="en-GB"/>
        </w:rPr>
      </w:pPr>
      <w:bookmarkStart w:id="13" w:name="_Toc534372122"/>
      <w:r w:rsidRPr="005D3BB6">
        <w:rPr>
          <w:rFonts w:ascii="Arial" w:eastAsia="Times New Roman" w:hAnsi="Arial" w:cs="Arial"/>
          <w:sz w:val="24"/>
          <w:szCs w:val="24"/>
          <w:lang w:eastAsia="en-GB"/>
        </w:rPr>
        <w:t>2.1.3 Ethnic diversity in the workplace</w:t>
      </w:r>
      <w:bookmarkEnd w:id="13"/>
      <w:r w:rsidRPr="005D3BB6">
        <w:rPr>
          <w:rFonts w:ascii="Arial" w:eastAsia="Times New Roman" w:hAnsi="Arial" w:cs="Arial"/>
          <w:sz w:val="24"/>
          <w:szCs w:val="24"/>
          <w:lang w:eastAsia="en-GB"/>
        </w:rPr>
        <w:t xml:space="preserve"> </w:t>
      </w:r>
    </w:p>
    <w:p w14:paraId="56E0C8B9" w14:textId="29541C68" w:rsidR="00D45AC7" w:rsidRPr="005D3BB6" w:rsidRDefault="00D45AC7" w:rsidP="005D3BB6">
      <w:pPr>
        <w:spacing w:after="139" w:line="360" w:lineRule="auto"/>
        <w:ind w:left="11" w:right="48" w:hanging="10"/>
        <w:rPr>
          <w:rFonts w:ascii="Arial" w:hAnsi="Arial" w:cs="Arial"/>
          <w:sz w:val="24"/>
          <w:szCs w:val="24"/>
          <w:lang w:eastAsia="en-GB"/>
        </w:rPr>
      </w:pPr>
      <w:r w:rsidRPr="005D3BB6">
        <w:rPr>
          <w:rFonts w:ascii="Arial" w:hAnsi="Arial" w:cs="Arial"/>
          <w:sz w:val="24"/>
          <w:szCs w:val="24"/>
          <w:lang w:eastAsia="en-GB"/>
        </w:rPr>
        <w:t xml:space="preserve">Ethnic diversity in the workplace has also been linked with positive business impact. </w:t>
      </w:r>
      <w:r w:rsidR="00C108FF">
        <w:rPr>
          <w:rFonts w:ascii="Arial" w:hAnsi="Arial" w:cs="Arial"/>
          <w:sz w:val="24"/>
          <w:szCs w:val="24"/>
          <w:lang w:eastAsia="en-GB"/>
        </w:rPr>
        <w:t>Wagner (2007)</w:t>
      </w:r>
      <w:r w:rsidRPr="005D3BB6">
        <w:rPr>
          <w:rFonts w:ascii="Arial" w:hAnsi="Arial" w:cs="Arial"/>
          <w:sz w:val="24"/>
          <w:szCs w:val="24"/>
          <w:lang w:eastAsia="en-GB"/>
        </w:rPr>
        <w:t xml:space="preserve"> conducted a secondary literature review to describe various studies which have established the relationship between ethnic diversity in the workplace and superior firm profitability. Likewise, within the UK as well, a study amongst FTSE 100 firms has established a strong linkage between the stock performance of a company and the representation of ethnic minority groups (</w:t>
      </w:r>
      <w:r w:rsidR="00DF34EF" w:rsidRPr="00271F31">
        <w:rPr>
          <w:rFonts w:ascii="Arial" w:hAnsi="Arial" w:cs="Arial"/>
          <w:sz w:val="24"/>
          <w:szCs w:val="24"/>
          <w:lang w:eastAsia="en-GB"/>
        </w:rPr>
        <w:t xml:space="preserve">de </w:t>
      </w:r>
      <w:proofErr w:type="spellStart"/>
      <w:r w:rsidR="00DF34EF" w:rsidRPr="00271F31">
        <w:rPr>
          <w:rFonts w:ascii="Arial" w:hAnsi="Arial" w:cs="Arial"/>
          <w:sz w:val="24"/>
          <w:szCs w:val="24"/>
          <w:lang w:eastAsia="en-GB"/>
        </w:rPr>
        <w:t>Menezes</w:t>
      </w:r>
      <w:proofErr w:type="spellEnd"/>
      <w:r w:rsidR="00DF34EF">
        <w:rPr>
          <w:rFonts w:ascii="Arial" w:hAnsi="Arial" w:cs="Arial"/>
          <w:sz w:val="24"/>
          <w:szCs w:val="24"/>
          <w:lang w:eastAsia="en-GB"/>
        </w:rPr>
        <w:t xml:space="preserve"> &amp;</w:t>
      </w:r>
      <w:r w:rsidR="00DF34EF" w:rsidRPr="00271F31">
        <w:rPr>
          <w:rFonts w:ascii="Arial" w:hAnsi="Arial" w:cs="Arial"/>
          <w:sz w:val="24"/>
          <w:szCs w:val="24"/>
          <w:lang w:eastAsia="en-GB"/>
        </w:rPr>
        <w:t xml:space="preserve"> </w:t>
      </w:r>
      <w:proofErr w:type="spellStart"/>
      <w:r w:rsidR="00DF34EF" w:rsidRPr="00271F31">
        <w:rPr>
          <w:rFonts w:ascii="Arial" w:hAnsi="Arial" w:cs="Arial"/>
          <w:sz w:val="24"/>
          <w:szCs w:val="24"/>
          <w:lang w:eastAsia="en-GB"/>
        </w:rPr>
        <w:t>Kelliher</w:t>
      </w:r>
      <w:proofErr w:type="spellEnd"/>
      <w:r w:rsidR="00DF34EF">
        <w:rPr>
          <w:rFonts w:ascii="Arial" w:hAnsi="Arial" w:cs="Arial"/>
          <w:sz w:val="24"/>
          <w:szCs w:val="24"/>
          <w:lang w:eastAsia="en-GB"/>
        </w:rPr>
        <w:t>, 2011</w:t>
      </w:r>
      <w:r w:rsidRPr="005D3BB6">
        <w:rPr>
          <w:rFonts w:ascii="Arial" w:hAnsi="Arial" w:cs="Arial"/>
          <w:sz w:val="24"/>
          <w:szCs w:val="24"/>
          <w:lang w:eastAsia="en-GB"/>
        </w:rPr>
        <w:t xml:space="preserve">). A case study on the </w:t>
      </w:r>
      <w:proofErr w:type="spellStart"/>
      <w:r w:rsidRPr="005D3BB6">
        <w:rPr>
          <w:rFonts w:ascii="Arial" w:hAnsi="Arial" w:cs="Arial"/>
          <w:sz w:val="24"/>
          <w:szCs w:val="24"/>
          <w:lang w:eastAsia="en-GB"/>
        </w:rPr>
        <w:t>Rabobank</w:t>
      </w:r>
      <w:proofErr w:type="spellEnd"/>
      <w:r w:rsidRPr="005D3BB6">
        <w:rPr>
          <w:rFonts w:ascii="Arial" w:hAnsi="Arial" w:cs="Arial"/>
          <w:sz w:val="24"/>
          <w:szCs w:val="24"/>
          <w:lang w:eastAsia="en-GB"/>
        </w:rPr>
        <w:t xml:space="preserve"> Nederland established that higher representation of ethnic minority also led to increase in market share for the firm (</w:t>
      </w:r>
      <w:proofErr w:type="spellStart"/>
      <w:r w:rsidR="009A68E0" w:rsidRPr="009A68E0">
        <w:rPr>
          <w:rFonts w:ascii="Arial" w:hAnsi="Arial" w:cs="Arial"/>
          <w:sz w:val="24"/>
          <w:szCs w:val="24"/>
          <w:lang w:eastAsia="en-GB"/>
        </w:rPr>
        <w:t>Aguinis</w:t>
      </w:r>
      <w:proofErr w:type="spellEnd"/>
      <w:r w:rsidR="009A68E0" w:rsidRPr="009A68E0">
        <w:rPr>
          <w:rFonts w:ascii="Arial" w:hAnsi="Arial" w:cs="Arial"/>
          <w:sz w:val="24"/>
          <w:szCs w:val="24"/>
          <w:lang w:eastAsia="en-GB"/>
        </w:rPr>
        <w:t xml:space="preserve"> &amp; </w:t>
      </w:r>
      <w:proofErr w:type="spellStart"/>
      <w:r w:rsidR="009A68E0" w:rsidRPr="009A68E0">
        <w:rPr>
          <w:rFonts w:ascii="Arial" w:hAnsi="Arial" w:cs="Arial"/>
          <w:sz w:val="24"/>
          <w:szCs w:val="24"/>
          <w:lang w:eastAsia="en-GB"/>
        </w:rPr>
        <w:t>Kraiger</w:t>
      </w:r>
      <w:proofErr w:type="spellEnd"/>
      <w:r w:rsidRPr="005D3BB6">
        <w:rPr>
          <w:rFonts w:ascii="Arial" w:hAnsi="Arial" w:cs="Arial"/>
          <w:sz w:val="24"/>
          <w:szCs w:val="24"/>
          <w:lang w:eastAsia="en-GB"/>
        </w:rPr>
        <w:t>, 2015). There are studies which have reported positive correlation between ethnic diversity and rising rate of return amongst banking firms and on overall positive impact on the business settings (</w:t>
      </w:r>
      <w:proofErr w:type="spellStart"/>
      <w:r w:rsidR="009A68E0">
        <w:rPr>
          <w:rFonts w:ascii="Arial" w:hAnsi="Arial" w:cs="Arial"/>
          <w:sz w:val="24"/>
          <w:szCs w:val="24"/>
          <w:lang w:eastAsia="en-GB"/>
        </w:rPr>
        <w:t>Celik</w:t>
      </w:r>
      <w:proofErr w:type="spellEnd"/>
      <w:r w:rsidR="009A68E0">
        <w:rPr>
          <w:rFonts w:ascii="Arial" w:hAnsi="Arial" w:cs="Arial"/>
          <w:sz w:val="24"/>
          <w:szCs w:val="24"/>
          <w:lang w:eastAsia="en-GB"/>
        </w:rPr>
        <w:t xml:space="preserve"> et al, 2012</w:t>
      </w:r>
      <w:r w:rsidRPr="005D3BB6">
        <w:rPr>
          <w:rFonts w:ascii="Arial" w:hAnsi="Arial" w:cs="Arial"/>
          <w:sz w:val="24"/>
          <w:szCs w:val="24"/>
          <w:lang w:eastAsia="en-GB"/>
        </w:rPr>
        <w:t xml:space="preserve">). </w:t>
      </w:r>
      <w:r w:rsidR="009A68E0">
        <w:rPr>
          <w:rFonts w:ascii="Arial" w:hAnsi="Arial" w:cs="Arial"/>
          <w:sz w:val="24"/>
          <w:szCs w:val="24"/>
          <w:lang w:eastAsia="en-GB"/>
        </w:rPr>
        <w:t>CEA (2006)</w:t>
      </w:r>
      <w:r w:rsidRPr="005D3BB6">
        <w:rPr>
          <w:rFonts w:ascii="Arial" w:hAnsi="Arial" w:cs="Arial"/>
          <w:sz w:val="24"/>
          <w:szCs w:val="24"/>
          <w:lang w:eastAsia="en-GB"/>
        </w:rPr>
        <w:t xml:space="preserve"> also describes that the diversity climate of a firm may also be correlated with the sales performance of the firm in its business markets. Unlike the gender diversity, there are less empirical studies available on impact of ethnic diversity on business outcomes. </w:t>
      </w:r>
    </w:p>
    <w:p w14:paraId="088151C1" w14:textId="77777777" w:rsidR="00D45AC7" w:rsidRPr="005D3BB6" w:rsidRDefault="00D45AC7" w:rsidP="005D3BB6">
      <w:pPr>
        <w:pStyle w:val="Heading2"/>
        <w:spacing w:line="360" w:lineRule="auto"/>
        <w:rPr>
          <w:rFonts w:ascii="Arial" w:eastAsia="Times New Roman" w:hAnsi="Arial" w:cs="Arial"/>
          <w:sz w:val="24"/>
          <w:szCs w:val="24"/>
          <w:lang w:eastAsia="en-GB"/>
        </w:rPr>
      </w:pPr>
      <w:bookmarkStart w:id="14" w:name="_Toc534372123"/>
      <w:r w:rsidRPr="005D3BB6">
        <w:rPr>
          <w:rFonts w:ascii="Arial" w:eastAsia="Times New Roman" w:hAnsi="Arial" w:cs="Arial"/>
          <w:sz w:val="24"/>
          <w:szCs w:val="24"/>
          <w:lang w:eastAsia="en-GB"/>
        </w:rPr>
        <w:lastRenderedPageBreak/>
        <w:t>2.1.4 Disability, religion and sexual orientation</w:t>
      </w:r>
      <w:bookmarkEnd w:id="14"/>
      <w:r w:rsidRPr="005D3BB6">
        <w:rPr>
          <w:rFonts w:ascii="Arial" w:eastAsia="Times New Roman" w:hAnsi="Arial" w:cs="Arial"/>
          <w:sz w:val="24"/>
          <w:szCs w:val="24"/>
          <w:lang w:eastAsia="en-GB"/>
        </w:rPr>
        <w:t xml:space="preserve"> </w:t>
      </w:r>
    </w:p>
    <w:p w14:paraId="3B2F1A2B" w14:textId="3F698C56" w:rsidR="00D45AC7" w:rsidRPr="005D3BB6" w:rsidRDefault="00D45AC7" w:rsidP="005D3BB6">
      <w:pPr>
        <w:spacing w:after="139" w:line="360" w:lineRule="auto"/>
        <w:ind w:left="11" w:right="48" w:hanging="10"/>
        <w:rPr>
          <w:rFonts w:ascii="Arial" w:eastAsia="Times New Roman" w:hAnsi="Arial" w:cs="Arial"/>
          <w:sz w:val="24"/>
          <w:szCs w:val="24"/>
          <w:lang w:eastAsia="en-GB"/>
        </w:rPr>
      </w:pPr>
      <w:r w:rsidRPr="005D3BB6">
        <w:rPr>
          <w:rFonts w:ascii="Arial" w:hAnsi="Arial" w:cs="Arial"/>
          <w:sz w:val="24"/>
          <w:szCs w:val="24"/>
          <w:lang w:eastAsia="en-GB"/>
        </w:rPr>
        <w:t xml:space="preserve">There are fewer studies to describe the causal relationship between diversity aspects like disability, sexual orientation, or religion and the overall business outcomes. In most cases, it is because of data limitations. Few private firms collect data on sexual orientation or religion. Even if they do, they may have low response rates, particularly disability has a wide range of conditions and may not always be self-reported. Even for publicly available data sets, there are few studies establishing relationship between sexual orientation and business outcomes. Likewise, studies on religion are also quite few as questions on religion have begun to get included only after Labour Force Survey 2014. However, there are studies establishing wider definition of workplace diversity and not restricting it only to religion or sexual orientation. One may try to generalise that findings from such research may equally apply to any diverse setting irrespective of specific data on sexual orientation, religion or disability. For instance, </w:t>
      </w:r>
      <w:r w:rsidR="002F7FC5">
        <w:rPr>
          <w:rFonts w:ascii="Arial" w:hAnsi="Arial" w:cs="Arial"/>
          <w:sz w:val="24"/>
          <w:szCs w:val="24"/>
          <w:lang w:eastAsia="en-GB"/>
        </w:rPr>
        <w:t>Hubbard (2014)</w:t>
      </w:r>
      <w:r w:rsidRPr="005D3BB6">
        <w:rPr>
          <w:rFonts w:ascii="Arial" w:hAnsi="Arial" w:cs="Arial"/>
          <w:sz w:val="24"/>
          <w:szCs w:val="24"/>
          <w:lang w:eastAsia="en-GB"/>
        </w:rPr>
        <w:t xml:space="preserve"> describes that a demographic heterogeneity within a firm helps determine the nature and extent to which it manages its external networks, and hence also determines the business performance. </w:t>
      </w:r>
    </w:p>
    <w:p w14:paraId="190BB047" w14:textId="77777777" w:rsidR="00D45AC7" w:rsidRPr="005D3BB6" w:rsidRDefault="00D45AC7" w:rsidP="005D3BB6">
      <w:pPr>
        <w:pStyle w:val="Heading2"/>
        <w:spacing w:line="360" w:lineRule="auto"/>
        <w:rPr>
          <w:rFonts w:ascii="Arial" w:eastAsia="Times New Roman" w:hAnsi="Arial" w:cs="Arial"/>
          <w:sz w:val="24"/>
          <w:szCs w:val="24"/>
          <w:lang w:eastAsia="en-GB"/>
        </w:rPr>
      </w:pPr>
      <w:bookmarkStart w:id="15" w:name="_Toc534372124"/>
      <w:r w:rsidRPr="005D3BB6">
        <w:rPr>
          <w:rFonts w:ascii="Arial" w:eastAsia="Times New Roman" w:hAnsi="Arial" w:cs="Arial"/>
          <w:sz w:val="24"/>
          <w:szCs w:val="24"/>
          <w:lang w:eastAsia="en-GB"/>
        </w:rPr>
        <w:t>2.2 Evidence on Workplace equality approaches</w:t>
      </w:r>
      <w:bookmarkEnd w:id="15"/>
      <w:r w:rsidRPr="005D3BB6">
        <w:rPr>
          <w:rFonts w:ascii="Arial" w:eastAsia="Times New Roman" w:hAnsi="Arial" w:cs="Arial"/>
          <w:sz w:val="24"/>
          <w:szCs w:val="24"/>
          <w:lang w:eastAsia="en-GB"/>
        </w:rPr>
        <w:t xml:space="preserve"> </w:t>
      </w:r>
    </w:p>
    <w:p w14:paraId="7076404C" w14:textId="482F558D" w:rsidR="00D45AC7" w:rsidRPr="005D3BB6" w:rsidRDefault="00D45AC7" w:rsidP="005D3BB6">
      <w:pPr>
        <w:spacing w:after="139" w:line="360" w:lineRule="auto"/>
        <w:ind w:left="11" w:right="48" w:hanging="10"/>
        <w:rPr>
          <w:rFonts w:ascii="Arial" w:hAnsi="Arial" w:cs="Arial"/>
          <w:sz w:val="24"/>
          <w:szCs w:val="24"/>
          <w:lang w:eastAsia="en-GB"/>
        </w:rPr>
      </w:pPr>
      <w:r w:rsidRPr="005D3BB6">
        <w:rPr>
          <w:rFonts w:ascii="Arial" w:hAnsi="Arial" w:cs="Arial"/>
          <w:sz w:val="24"/>
          <w:szCs w:val="24"/>
          <w:lang w:eastAsia="en-GB"/>
        </w:rPr>
        <w:t>The last two decades have been seeing a growing relationship between HRM practices towards superior employee relations and the employee performance (</w:t>
      </w:r>
      <w:r w:rsidR="00D7051D">
        <w:rPr>
          <w:rFonts w:ascii="Arial" w:hAnsi="Arial" w:cs="Arial"/>
          <w:sz w:val="24"/>
          <w:szCs w:val="24"/>
          <w:lang w:eastAsia="en-GB"/>
        </w:rPr>
        <w:t xml:space="preserve">Combs &amp; </w:t>
      </w:r>
      <w:proofErr w:type="spellStart"/>
      <w:r w:rsidR="00D7051D">
        <w:rPr>
          <w:rFonts w:ascii="Arial" w:hAnsi="Arial" w:cs="Arial"/>
          <w:sz w:val="24"/>
          <w:szCs w:val="24"/>
          <w:lang w:eastAsia="en-GB"/>
        </w:rPr>
        <w:t>Luthans</w:t>
      </w:r>
      <w:proofErr w:type="spellEnd"/>
      <w:r w:rsidR="00D7051D">
        <w:rPr>
          <w:rFonts w:ascii="Arial" w:hAnsi="Arial" w:cs="Arial"/>
          <w:sz w:val="24"/>
          <w:szCs w:val="24"/>
          <w:lang w:eastAsia="en-GB"/>
        </w:rPr>
        <w:t>, 2007</w:t>
      </w:r>
      <w:r w:rsidRPr="005D3BB6">
        <w:rPr>
          <w:rFonts w:ascii="Arial" w:hAnsi="Arial" w:cs="Arial"/>
          <w:sz w:val="24"/>
          <w:szCs w:val="24"/>
          <w:lang w:eastAsia="en-GB"/>
        </w:rPr>
        <w:t>). In general, most of the employee relations practices are tailored to promote a flexible work environment, provide equal opportunities at the workplace, and other forms of employee satisfaction practices (</w:t>
      </w:r>
      <w:r w:rsidR="00D7051D">
        <w:rPr>
          <w:rFonts w:ascii="Arial" w:hAnsi="Arial" w:cs="Arial"/>
          <w:sz w:val="24"/>
          <w:szCs w:val="24"/>
          <w:lang w:eastAsia="en-GB"/>
        </w:rPr>
        <w:t>Dobbin et al, 2011</w:t>
      </w:r>
      <w:r w:rsidRPr="005D3BB6">
        <w:rPr>
          <w:rFonts w:ascii="Arial" w:hAnsi="Arial" w:cs="Arial"/>
          <w:sz w:val="24"/>
          <w:szCs w:val="24"/>
          <w:lang w:eastAsia="en-GB"/>
        </w:rPr>
        <w:t xml:space="preserve">). In general, for researches conducted in this area, the standard practice is to bundle up such form of practices as a variety of indicators and then study the causal relationship with firm performance. For instance, data released by the Workplace Employment Relations Survey (WERS) for 2014 revealed </w:t>
      </w:r>
      <w:r w:rsidR="006E1FEA">
        <w:rPr>
          <w:rFonts w:ascii="Arial" w:hAnsi="Arial" w:cs="Arial"/>
          <w:sz w:val="24"/>
          <w:szCs w:val="24"/>
          <w:lang w:eastAsia="en-GB"/>
        </w:rPr>
        <w:t>that 25% of the workplaces focused</w:t>
      </w:r>
      <w:r w:rsidRPr="005D3BB6">
        <w:rPr>
          <w:rFonts w:ascii="Arial" w:hAnsi="Arial" w:cs="Arial"/>
          <w:sz w:val="24"/>
          <w:szCs w:val="24"/>
          <w:lang w:eastAsia="en-GB"/>
        </w:rPr>
        <w:t xml:space="preserve"> special attention to gender, age, sex, disability and ethnic diversities while handling recruitment for open positions. Likewise, nearly 70% of organisations believed that they could think on the possibility of reducing work time to ensure better work-life balance of employees. A number of empirical papers like </w:t>
      </w:r>
      <w:proofErr w:type="spellStart"/>
      <w:r w:rsidR="00D7051D" w:rsidRPr="00463A56">
        <w:rPr>
          <w:rFonts w:ascii="Arial" w:hAnsi="Arial" w:cs="Arial"/>
          <w:sz w:val="24"/>
          <w:szCs w:val="24"/>
        </w:rPr>
        <w:t>Groeneveld</w:t>
      </w:r>
      <w:proofErr w:type="spellEnd"/>
      <w:r w:rsidR="00D7051D">
        <w:rPr>
          <w:rFonts w:ascii="Arial" w:hAnsi="Arial" w:cs="Arial"/>
          <w:sz w:val="24"/>
          <w:szCs w:val="24"/>
        </w:rPr>
        <w:t xml:space="preserve"> &amp;</w:t>
      </w:r>
      <w:r w:rsidR="00D7051D" w:rsidRPr="00463A56">
        <w:rPr>
          <w:rFonts w:ascii="Arial" w:hAnsi="Arial" w:cs="Arial"/>
          <w:sz w:val="24"/>
          <w:szCs w:val="24"/>
        </w:rPr>
        <w:t xml:space="preserve"> </w:t>
      </w:r>
      <w:proofErr w:type="spellStart"/>
      <w:r w:rsidR="00D7051D" w:rsidRPr="00463A56">
        <w:rPr>
          <w:rFonts w:ascii="Arial" w:hAnsi="Arial" w:cs="Arial"/>
          <w:sz w:val="24"/>
          <w:szCs w:val="24"/>
        </w:rPr>
        <w:t>Verbeek</w:t>
      </w:r>
      <w:proofErr w:type="spellEnd"/>
      <w:r w:rsidR="00D7051D" w:rsidRPr="005D3BB6">
        <w:rPr>
          <w:rFonts w:ascii="Arial" w:hAnsi="Arial" w:cs="Arial"/>
          <w:sz w:val="24"/>
          <w:szCs w:val="24"/>
          <w:lang w:eastAsia="en-GB"/>
        </w:rPr>
        <w:t xml:space="preserve"> </w:t>
      </w:r>
      <w:r w:rsidR="00D7051D">
        <w:rPr>
          <w:rFonts w:ascii="Arial" w:hAnsi="Arial" w:cs="Arial"/>
          <w:sz w:val="24"/>
          <w:szCs w:val="24"/>
          <w:lang w:eastAsia="en-GB"/>
        </w:rPr>
        <w:t xml:space="preserve">(2012) </w:t>
      </w:r>
      <w:r w:rsidRPr="005D3BB6">
        <w:rPr>
          <w:rFonts w:ascii="Arial" w:hAnsi="Arial" w:cs="Arial"/>
          <w:sz w:val="24"/>
          <w:szCs w:val="24"/>
          <w:lang w:eastAsia="en-GB"/>
        </w:rPr>
        <w:t xml:space="preserve">make use of the data released by WERS to assess the relationship between employee relations practice and workplace performance. </w:t>
      </w:r>
    </w:p>
    <w:p w14:paraId="038D9FC5" w14:textId="0B2128A9" w:rsidR="00D45AC7" w:rsidRPr="005D3BB6" w:rsidRDefault="00D45AC7" w:rsidP="005D3BB6">
      <w:pPr>
        <w:spacing w:after="139" w:line="360" w:lineRule="auto"/>
        <w:ind w:left="11" w:right="48" w:hanging="10"/>
        <w:rPr>
          <w:rFonts w:ascii="Arial" w:hAnsi="Arial" w:cs="Arial"/>
          <w:sz w:val="24"/>
          <w:szCs w:val="24"/>
          <w:lang w:eastAsia="en-GB"/>
        </w:rPr>
      </w:pPr>
      <w:r w:rsidRPr="005D3BB6">
        <w:rPr>
          <w:rFonts w:ascii="Arial" w:hAnsi="Arial" w:cs="Arial"/>
          <w:sz w:val="24"/>
          <w:szCs w:val="24"/>
          <w:lang w:eastAsia="en-GB"/>
        </w:rPr>
        <w:lastRenderedPageBreak/>
        <w:t xml:space="preserve">Most of the existing literature tend to capture the impact of equality policies and practices in an implicit manner. For instance, a survey by </w:t>
      </w:r>
      <w:r w:rsidR="00264067">
        <w:rPr>
          <w:rFonts w:ascii="Arial" w:hAnsi="Arial" w:cs="Arial"/>
          <w:sz w:val="24"/>
          <w:szCs w:val="24"/>
          <w:lang w:eastAsia="en-GB"/>
        </w:rPr>
        <w:t>King et al (2012)</w:t>
      </w:r>
      <w:r w:rsidRPr="005D3BB6">
        <w:rPr>
          <w:rFonts w:ascii="Arial" w:hAnsi="Arial" w:cs="Arial"/>
          <w:sz w:val="24"/>
          <w:szCs w:val="24"/>
          <w:lang w:eastAsia="en-GB"/>
        </w:rPr>
        <w:t xml:space="preserve"> conducted across Irish firms revealed that there was a strong relationship between equal opportunities at the workplace and overall employee satisfaction rating for the employer. However, keeping other factors as control, there are few researches to establish that equal opportunities are linked with higher job satisfaction o</w:t>
      </w:r>
      <w:r w:rsidR="00264067">
        <w:rPr>
          <w:rFonts w:ascii="Arial" w:hAnsi="Arial" w:cs="Arial"/>
          <w:sz w:val="24"/>
          <w:szCs w:val="24"/>
          <w:lang w:eastAsia="en-GB"/>
        </w:rPr>
        <w:t xml:space="preserve">r increased commitment to work. Shen et al (2009) </w:t>
      </w:r>
      <w:r w:rsidRPr="005D3BB6">
        <w:rPr>
          <w:rFonts w:ascii="Arial" w:hAnsi="Arial" w:cs="Arial"/>
          <w:sz w:val="24"/>
          <w:szCs w:val="24"/>
          <w:lang w:eastAsia="en-GB"/>
        </w:rPr>
        <w:t>conducted a study to understand the link between policies promoting equal opportunities and the business performance of the firm. The econometri</w:t>
      </w:r>
      <w:r w:rsidR="006E1FEA">
        <w:rPr>
          <w:rFonts w:ascii="Arial" w:hAnsi="Arial" w:cs="Arial"/>
          <w:sz w:val="24"/>
          <w:szCs w:val="24"/>
          <w:lang w:eastAsia="en-GB"/>
        </w:rPr>
        <w:t>c investigation revealed that the</w:t>
      </w:r>
      <w:r w:rsidRPr="005D3BB6">
        <w:rPr>
          <w:rFonts w:ascii="Arial" w:hAnsi="Arial" w:cs="Arial"/>
          <w:sz w:val="24"/>
          <w:szCs w:val="24"/>
          <w:lang w:eastAsia="en-GB"/>
        </w:rPr>
        <w:t xml:space="preserve"> relationship is complex and difficult to prove the larger benefits. The analysis revealed that these practices did not incur much cost to the firms, and the benefits were largely for the larger and mature organisations. The study recommended that more work was required in this subject. </w:t>
      </w:r>
    </w:p>
    <w:p w14:paraId="6B36FB4A" w14:textId="512CE5F0" w:rsidR="00D45AC7" w:rsidRPr="005D3BB6" w:rsidRDefault="00D45AC7" w:rsidP="005D3BB6">
      <w:pPr>
        <w:spacing w:after="139" w:line="360" w:lineRule="auto"/>
        <w:ind w:left="11" w:right="48" w:hanging="10"/>
        <w:rPr>
          <w:rFonts w:ascii="Arial" w:hAnsi="Arial" w:cs="Arial"/>
          <w:sz w:val="24"/>
          <w:szCs w:val="24"/>
          <w:lang w:eastAsia="en-GB"/>
        </w:rPr>
      </w:pPr>
      <w:r w:rsidRPr="005D3BB6">
        <w:rPr>
          <w:rFonts w:ascii="Arial" w:hAnsi="Arial" w:cs="Arial"/>
          <w:sz w:val="24"/>
          <w:szCs w:val="24"/>
          <w:lang w:eastAsia="en-GB"/>
        </w:rPr>
        <w:t xml:space="preserve">A study conducted by </w:t>
      </w:r>
      <w:proofErr w:type="spellStart"/>
      <w:r w:rsidRPr="005D3BB6">
        <w:rPr>
          <w:rFonts w:ascii="Arial" w:hAnsi="Arial" w:cs="Arial"/>
          <w:sz w:val="24"/>
          <w:szCs w:val="24"/>
          <w:lang w:eastAsia="en-GB"/>
        </w:rPr>
        <w:t>DeMenezes</w:t>
      </w:r>
      <w:proofErr w:type="spellEnd"/>
      <w:r w:rsidRPr="005D3BB6">
        <w:rPr>
          <w:rFonts w:ascii="Arial" w:hAnsi="Arial" w:cs="Arial"/>
          <w:sz w:val="24"/>
          <w:szCs w:val="24"/>
          <w:lang w:eastAsia="en-GB"/>
        </w:rPr>
        <w:t xml:space="preserve"> &amp; </w:t>
      </w:r>
      <w:proofErr w:type="spellStart"/>
      <w:r w:rsidRPr="005D3BB6">
        <w:rPr>
          <w:rFonts w:ascii="Arial" w:hAnsi="Arial" w:cs="Arial"/>
          <w:sz w:val="24"/>
          <w:szCs w:val="24"/>
          <w:lang w:eastAsia="en-GB"/>
        </w:rPr>
        <w:t>Kelliher</w:t>
      </w:r>
      <w:proofErr w:type="spellEnd"/>
      <w:r w:rsidRPr="005D3BB6">
        <w:rPr>
          <w:rFonts w:ascii="Arial" w:hAnsi="Arial" w:cs="Arial"/>
          <w:sz w:val="24"/>
          <w:szCs w:val="24"/>
          <w:lang w:eastAsia="en-GB"/>
        </w:rPr>
        <w:t xml:space="preserve"> (2011), was aimed to analyse the systematic evidence of linkage between business performance and flexibility practices at workplace. The study concluded that it was difficult to demonstrate the business case for flexibility practices. Another study conducted by </w:t>
      </w:r>
      <w:proofErr w:type="spellStart"/>
      <w:r w:rsidR="00A36CB2">
        <w:rPr>
          <w:rFonts w:ascii="Arial" w:hAnsi="Arial" w:cs="Arial"/>
          <w:sz w:val="24"/>
          <w:szCs w:val="24"/>
        </w:rPr>
        <w:t>Denyer</w:t>
      </w:r>
      <w:proofErr w:type="spellEnd"/>
      <w:r w:rsidR="00A36CB2">
        <w:rPr>
          <w:rFonts w:ascii="Arial" w:hAnsi="Arial" w:cs="Arial"/>
          <w:sz w:val="24"/>
          <w:szCs w:val="24"/>
        </w:rPr>
        <w:t xml:space="preserve"> &amp; </w:t>
      </w:r>
      <w:proofErr w:type="spellStart"/>
      <w:r w:rsidR="00C1539A">
        <w:rPr>
          <w:rFonts w:ascii="Arial" w:hAnsi="Arial" w:cs="Arial"/>
          <w:sz w:val="24"/>
          <w:szCs w:val="24"/>
        </w:rPr>
        <w:t>Tranfield</w:t>
      </w:r>
      <w:proofErr w:type="spellEnd"/>
      <w:r w:rsidR="00A36CB2">
        <w:rPr>
          <w:rFonts w:ascii="Arial" w:hAnsi="Arial" w:cs="Arial"/>
          <w:sz w:val="24"/>
          <w:szCs w:val="24"/>
        </w:rPr>
        <w:t xml:space="preserve"> (2008</w:t>
      </w:r>
      <w:r w:rsidRPr="005D3BB6">
        <w:rPr>
          <w:rFonts w:ascii="Arial" w:hAnsi="Arial" w:cs="Arial"/>
          <w:sz w:val="24"/>
          <w:szCs w:val="24"/>
          <w:lang w:eastAsia="en-GB"/>
        </w:rPr>
        <w:t xml:space="preserve">) tried to analyse the relationship in ten SMEs and four large sized organisations in the UK. The study looked at practices towards flexible work practices, and family friendly work arrangements. The results revealed that these SMEs can reap a number of business benefits of adopting such practices including higher retention of a highly skilled workforce. </w:t>
      </w:r>
      <w:proofErr w:type="spellStart"/>
      <w:r w:rsidR="00C55D3C">
        <w:rPr>
          <w:rFonts w:ascii="Arial" w:hAnsi="Arial" w:cs="Arial"/>
          <w:sz w:val="24"/>
          <w:szCs w:val="24"/>
          <w:lang w:eastAsia="en-GB"/>
        </w:rPr>
        <w:t>Ozbilgin</w:t>
      </w:r>
      <w:proofErr w:type="spellEnd"/>
      <w:r w:rsidR="00C55D3C">
        <w:rPr>
          <w:rFonts w:ascii="Arial" w:hAnsi="Arial" w:cs="Arial"/>
          <w:sz w:val="24"/>
          <w:szCs w:val="24"/>
          <w:lang w:eastAsia="en-GB"/>
        </w:rPr>
        <w:t xml:space="preserve"> &amp; </w:t>
      </w:r>
      <w:proofErr w:type="spellStart"/>
      <w:r w:rsidR="00C55D3C">
        <w:rPr>
          <w:rFonts w:ascii="Arial" w:hAnsi="Arial" w:cs="Arial"/>
          <w:sz w:val="24"/>
          <w:szCs w:val="24"/>
          <w:lang w:eastAsia="en-GB"/>
        </w:rPr>
        <w:t>Tatli</w:t>
      </w:r>
      <w:proofErr w:type="spellEnd"/>
      <w:r w:rsidR="00C55D3C">
        <w:rPr>
          <w:rFonts w:ascii="Arial" w:hAnsi="Arial" w:cs="Arial"/>
          <w:sz w:val="24"/>
          <w:szCs w:val="24"/>
          <w:lang w:eastAsia="en-GB"/>
        </w:rPr>
        <w:t xml:space="preserve"> (2011)</w:t>
      </w:r>
      <w:r w:rsidRPr="005D3BB6">
        <w:rPr>
          <w:rFonts w:ascii="Arial" w:hAnsi="Arial" w:cs="Arial"/>
          <w:sz w:val="24"/>
          <w:szCs w:val="24"/>
          <w:lang w:eastAsia="en-GB"/>
        </w:rPr>
        <w:t xml:space="preserve"> also revealed through a survey that diversity management practices promoted a high-performance work system with enhanced workplace productivity. Firms with higher use of diversity management practices reported increased labour productivity, higher innovative practices in the workforce, reduced rate of voluntary turnover. Firms using high-performance work systems and greater diversity management in tandem could explain 13.2% of the correlation with worker productivity, 8.8% of the innovation and 8% of voluntary turnover. </w:t>
      </w:r>
    </w:p>
    <w:p w14:paraId="10896D9B" w14:textId="33F8EB6C" w:rsidR="00D45AC7" w:rsidRPr="005D3BB6" w:rsidRDefault="00D45AC7" w:rsidP="005D3BB6">
      <w:pPr>
        <w:spacing w:after="139" w:line="360" w:lineRule="auto"/>
        <w:ind w:left="11" w:right="48" w:hanging="10"/>
        <w:rPr>
          <w:rFonts w:ascii="Arial" w:hAnsi="Arial" w:cs="Arial"/>
          <w:sz w:val="24"/>
          <w:szCs w:val="24"/>
          <w:lang w:eastAsia="en-GB"/>
        </w:rPr>
      </w:pPr>
      <w:r w:rsidRPr="005D3BB6">
        <w:rPr>
          <w:rFonts w:ascii="Arial" w:hAnsi="Arial" w:cs="Arial"/>
          <w:sz w:val="24"/>
          <w:szCs w:val="24"/>
          <w:lang w:eastAsia="en-GB"/>
        </w:rPr>
        <w:t xml:space="preserve">Another such study was conducted by </w:t>
      </w:r>
      <w:proofErr w:type="spellStart"/>
      <w:r w:rsidR="0087006C">
        <w:rPr>
          <w:rFonts w:ascii="Arial" w:hAnsi="Arial" w:cs="Arial"/>
          <w:sz w:val="24"/>
          <w:szCs w:val="24"/>
          <w:lang w:eastAsia="en-GB"/>
        </w:rPr>
        <w:t>Alcazar</w:t>
      </w:r>
      <w:proofErr w:type="spellEnd"/>
      <w:r w:rsidR="0087006C">
        <w:rPr>
          <w:rFonts w:ascii="Arial" w:hAnsi="Arial" w:cs="Arial"/>
          <w:sz w:val="24"/>
          <w:szCs w:val="24"/>
          <w:lang w:eastAsia="en-GB"/>
        </w:rPr>
        <w:t xml:space="preserve"> et al (2013)</w:t>
      </w:r>
      <w:r w:rsidRPr="005D3BB6">
        <w:rPr>
          <w:rFonts w:ascii="Arial" w:hAnsi="Arial" w:cs="Arial"/>
          <w:sz w:val="24"/>
          <w:szCs w:val="24"/>
          <w:lang w:eastAsia="en-GB"/>
        </w:rPr>
        <w:t xml:space="preserve"> which tried to study the impact of announcement of awards for exemplary action initiatives, and the damages for discrimination on the value of the company’s stock price. The study adopted an event-study methodology and concluded that announcement of awards </w:t>
      </w:r>
      <w:r w:rsidRPr="005D3BB6">
        <w:rPr>
          <w:rFonts w:ascii="Arial" w:hAnsi="Arial" w:cs="Arial"/>
          <w:sz w:val="24"/>
          <w:szCs w:val="24"/>
          <w:lang w:eastAsia="en-GB"/>
        </w:rPr>
        <w:lastRenderedPageBreak/>
        <w:t xml:space="preserve">lead to an increased competitive advantage, and also a stock price rise for the firm. Likewise, incidents which highlighted discriminatory practices led to reduced stock price valuation. </w:t>
      </w:r>
      <w:proofErr w:type="spellStart"/>
      <w:r w:rsidR="006531F9">
        <w:rPr>
          <w:rFonts w:ascii="Arial" w:hAnsi="Arial" w:cs="Arial"/>
          <w:sz w:val="24"/>
          <w:szCs w:val="24"/>
          <w:lang w:eastAsia="en-GB"/>
        </w:rPr>
        <w:t>Brammer</w:t>
      </w:r>
      <w:proofErr w:type="spellEnd"/>
      <w:r w:rsidR="006531F9">
        <w:rPr>
          <w:rFonts w:ascii="Arial" w:hAnsi="Arial" w:cs="Arial"/>
          <w:sz w:val="24"/>
          <w:szCs w:val="24"/>
          <w:lang w:eastAsia="en-GB"/>
        </w:rPr>
        <w:t xml:space="preserve"> et al (2009)</w:t>
      </w:r>
      <w:r w:rsidRPr="005D3BB6">
        <w:rPr>
          <w:rFonts w:ascii="Arial" w:hAnsi="Arial" w:cs="Arial"/>
          <w:sz w:val="24"/>
          <w:szCs w:val="24"/>
          <w:lang w:eastAsia="en-GB"/>
        </w:rPr>
        <w:t xml:space="preserve"> also discovered that High Performance Work Practices (HPWP) are strongly associated with high firm performance, superior employee commitment and higher effectiveness. On the other hand, a 2004 CIPD survey showed a weak relationship between HPWP, work-life balance and workplace diversity. Other literature reviews like, </w:t>
      </w:r>
      <w:r w:rsidR="00825F3A">
        <w:rPr>
          <w:rFonts w:ascii="Arial" w:hAnsi="Arial" w:cs="Arial"/>
          <w:sz w:val="24"/>
          <w:szCs w:val="24"/>
          <w:lang w:eastAsia="en-GB"/>
        </w:rPr>
        <w:t xml:space="preserve">Combs &amp; </w:t>
      </w:r>
      <w:proofErr w:type="spellStart"/>
      <w:r w:rsidR="00825F3A">
        <w:rPr>
          <w:rFonts w:ascii="Arial" w:hAnsi="Arial" w:cs="Arial"/>
          <w:sz w:val="24"/>
          <w:szCs w:val="24"/>
          <w:lang w:eastAsia="en-GB"/>
        </w:rPr>
        <w:t>Luthans</w:t>
      </w:r>
      <w:proofErr w:type="spellEnd"/>
      <w:r w:rsidR="00825F3A">
        <w:rPr>
          <w:rFonts w:ascii="Arial" w:hAnsi="Arial" w:cs="Arial"/>
          <w:sz w:val="24"/>
          <w:szCs w:val="24"/>
          <w:lang w:eastAsia="en-GB"/>
        </w:rPr>
        <w:t xml:space="preserve"> (2007)</w:t>
      </w:r>
      <w:r w:rsidRPr="005D3BB6">
        <w:rPr>
          <w:rFonts w:ascii="Arial" w:hAnsi="Arial" w:cs="Arial"/>
          <w:sz w:val="24"/>
          <w:szCs w:val="24"/>
          <w:lang w:eastAsia="en-GB"/>
        </w:rPr>
        <w:t xml:space="preserve"> also highlight that it is difficult to conclude much from these studies. </w:t>
      </w:r>
      <w:r w:rsidR="00091334">
        <w:rPr>
          <w:rFonts w:ascii="Arial" w:hAnsi="Arial" w:cs="Arial"/>
          <w:sz w:val="24"/>
          <w:szCs w:val="24"/>
          <w:lang w:eastAsia="en-GB"/>
        </w:rPr>
        <w:t>Do</w:t>
      </w:r>
      <w:r w:rsidR="00683A1C">
        <w:rPr>
          <w:rFonts w:ascii="Arial" w:hAnsi="Arial" w:cs="Arial"/>
          <w:sz w:val="24"/>
          <w:szCs w:val="24"/>
          <w:lang w:eastAsia="en-GB"/>
        </w:rPr>
        <w:t>b</w:t>
      </w:r>
      <w:r w:rsidR="00091334">
        <w:rPr>
          <w:rFonts w:ascii="Arial" w:hAnsi="Arial" w:cs="Arial"/>
          <w:sz w:val="24"/>
          <w:szCs w:val="24"/>
          <w:lang w:eastAsia="en-GB"/>
        </w:rPr>
        <w:t xml:space="preserve">bin et al (2011) </w:t>
      </w:r>
      <w:r w:rsidRPr="005D3BB6">
        <w:rPr>
          <w:rFonts w:ascii="Arial" w:hAnsi="Arial" w:cs="Arial"/>
          <w:sz w:val="24"/>
          <w:szCs w:val="24"/>
          <w:lang w:eastAsia="en-GB"/>
        </w:rPr>
        <w:t>described that there is lack of concrete evidence to demonstrate the business benefits of diversity and equality management and that most of the evidence is only context-specific and difficult to generalise. This explains how data and methodological differences can make such generalisation difficult to achieve. Firstly, most of the evidences on impact of policies show little light on the impacts of diversity management practices. Likewise, most studies trying to describe the relationship between company policies and impact on firm performance may suffer from an ‘Empty Shell Approach’ which firms are likely to adopt (</w:t>
      </w:r>
      <w:proofErr w:type="spellStart"/>
      <w:r w:rsidR="00683A1C">
        <w:rPr>
          <w:rFonts w:ascii="Arial" w:hAnsi="Arial" w:cs="Arial"/>
          <w:sz w:val="24"/>
          <w:szCs w:val="24"/>
          <w:lang w:eastAsia="en-GB"/>
        </w:rPr>
        <w:t>Doorenbos</w:t>
      </w:r>
      <w:proofErr w:type="spellEnd"/>
      <w:r w:rsidR="00683A1C">
        <w:rPr>
          <w:rFonts w:ascii="Arial" w:hAnsi="Arial" w:cs="Arial"/>
          <w:sz w:val="24"/>
          <w:szCs w:val="24"/>
          <w:lang w:eastAsia="en-GB"/>
        </w:rPr>
        <w:t xml:space="preserve"> et al, 2010</w:t>
      </w:r>
      <w:r w:rsidRPr="005D3BB6">
        <w:rPr>
          <w:rFonts w:ascii="Arial" w:hAnsi="Arial" w:cs="Arial"/>
          <w:sz w:val="24"/>
          <w:szCs w:val="24"/>
          <w:lang w:eastAsia="en-GB"/>
        </w:rPr>
        <w:t>). If organisations adopt an approach where diversity policies are on paper alone and not much into practice, then survey indicators as used in such studies may not be able to capture the impact on business performance. Secondly, most of the methodological approaches used in studies to capture causal impact of diversity on business benefits, tend to rarely deal with work environment complications. They may ignore the relevant variables or fail to adopt a comprehensive approach leading to biased estimates. The relationship between policies, practices, diversity and business outcomes may be quite a complicated one.</w:t>
      </w:r>
    </w:p>
    <w:p w14:paraId="143816FE" w14:textId="35EAD5BE" w:rsidR="00D45AC7" w:rsidRPr="005D3BB6" w:rsidRDefault="00D45AC7" w:rsidP="005D3BB6">
      <w:pPr>
        <w:pStyle w:val="Heading2"/>
        <w:spacing w:line="360" w:lineRule="auto"/>
        <w:rPr>
          <w:rFonts w:ascii="Arial" w:eastAsia="Times New Roman" w:hAnsi="Arial" w:cs="Arial"/>
          <w:sz w:val="24"/>
          <w:szCs w:val="24"/>
          <w:lang w:eastAsia="en-GB"/>
        </w:rPr>
      </w:pPr>
      <w:bookmarkStart w:id="16" w:name="_Toc534372125"/>
      <w:r w:rsidRPr="005D3BB6">
        <w:rPr>
          <w:rFonts w:ascii="Arial" w:eastAsia="Times New Roman" w:hAnsi="Arial" w:cs="Arial"/>
          <w:sz w:val="24"/>
          <w:szCs w:val="24"/>
          <w:lang w:eastAsia="en-GB"/>
        </w:rPr>
        <w:t>2.3 Business Benefits of Diversity</w:t>
      </w:r>
      <w:bookmarkEnd w:id="16"/>
      <w:r w:rsidRPr="005D3BB6">
        <w:rPr>
          <w:rFonts w:ascii="Arial" w:eastAsia="Times New Roman" w:hAnsi="Arial" w:cs="Arial"/>
          <w:sz w:val="24"/>
          <w:szCs w:val="24"/>
          <w:lang w:eastAsia="en-GB"/>
        </w:rPr>
        <w:t xml:space="preserve"> </w:t>
      </w:r>
    </w:p>
    <w:p w14:paraId="46D6C220" w14:textId="6CCF3219" w:rsidR="00D45AC7" w:rsidRPr="005D3BB6" w:rsidRDefault="00D45AC7" w:rsidP="005D3BB6">
      <w:pPr>
        <w:spacing w:line="360" w:lineRule="auto"/>
        <w:rPr>
          <w:rFonts w:ascii="Arial" w:hAnsi="Arial" w:cs="Arial"/>
          <w:sz w:val="24"/>
          <w:szCs w:val="24"/>
          <w:lang w:eastAsia="en-GB"/>
        </w:rPr>
      </w:pPr>
      <w:r w:rsidRPr="005D3BB6">
        <w:rPr>
          <w:rFonts w:ascii="Arial" w:hAnsi="Arial" w:cs="Arial"/>
          <w:sz w:val="24"/>
          <w:szCs w:val="24"/>
          <w:lang w:eastAsia="en-GB"/>
        </w:rPr>
        <w:t xml:space="preserve">There are various studies which have tried to establish the business case for equality and diversity. Most of these studies have tried to focus on establishing the potential costs, or losses, etc. associated with equality practices and their lack of it. For instance, </w:t>
      </w:r>
      <w:proofErr w:type="spellStart"/>
      <w:r w:rsidRPr="005D3BB6">
        <w:rPr>
          <w:rFonts w:ascii="Arial" w:hAnsi="Arial" w:cs="Arial"/>
          <w:sz w:val="24"/>
          <w:szCs w:val="24"/>
          <w:lang w:eastAsia="en-GB"/>
        </w:rPr>
        <w:t>Ozbilgin</w:t>
      </w:r>
      <w:proofErr w:type="spellEnd"/>
      <w:r w:rsidRPr="005D3BB6">
        <w:rPr>
          <w:rFonts w:ascii="Arial" w:hAnsi="Arial" w:cs="Arial"/>
          <w:sz w:val="24"/>
          <w:szCs w:val="24"/>
          <w:lang w:eastAsia="en-GB"/>
        </w:rPr>
        <w:t xml:space="preserve"> &amp; </w:t>
      </w:r>
      <w:proofErr w:type="spellStart"/>
      <w:r w:rsidRPr="005D3BB6">
        <w:rPr>
          <w:rFonts w:ascii="Arial" w:hAnsi="Arial" w:cs="Arial"/>
          <w:sz w:val="24"/>
          <w:szCs w:val="24"/>
          <w:lang w:eastAsia="en-GB"/>
        </w:rPr>
        <w:t>Tatli</w:t>
      </w:r>
      <w:proofErr w:type="spellEnd"/>
      <w:r w:rsidRPr="005D3BB6">
        <w:rPr>
          <w:rFonts w:ascii="Arial" w:hAnsi="Arial" w:cs="Arial"/>
          <w:sz w:val="24"/>
          <w:szCs w:val="24"/>
          <w:lang w:eastAsia="en-GB"/>
        </w:rPr>
        <w:t xml:space="preserve">, (2011), concluded from their research that lack of equality management practices was associated with high turnover amongst the employees, loss of talented employees, and bad publicity in the market. Another study conducted amongst 139 Hispanic employees to study the costs associated with discrimination at the workplace found that perceived discrimination in the job environment is linked </w:t>
      </w:r>
      <w:r w:rsidRPr="005D3BB6">
        <w:rPr>
          <w:rFonts w:ascii="Arial" w:hAnsi="Arial" w:cs="Arial"/>
          <w:sz w:val="24"/>
          <w:szCs w:val="24"/>
          <w:lang w:eastAsia="en-GB"/>
        </w:rPr>
        <w:lastRenderedPageBreak/>
        <w:t>with negative outcomes like, low job satisfaction, low commitment, high work tension amongst employees (</w:t>
      </w:r>
      <w:r w:rsidR="00C1539A">
        <w:rPr>
          <w:rFonts w:ascii="Arial" w:hAnsi="Arial" w:cs="Arial"/>
          <w:sz w:val="24"/>
          <w:szCs w:val="24"/>
          <w:lang w:eastAsia="en-GB"/>
        </w:rPr>
        <w:t>Moss, 2010</w:t>
      </w:r>
      <w:r w:rsidRPr="005D3BB6">
        <w:rPr>
          <w:rFonts w:ascii="Arial" w:hAnsi="Arial" w:cs="Arial"/>
          <w:sz w:val="24"/>
          <w:szCs w:val="24"/>
          <w:lang w:eastAsia="en-GB"/>
        </w:rPr>
        <w:t>). Likewise, the Commission for Racial Equality (1995) also describes that discriminatory practices in the workplace is also linked with higher rate of absenteeism. Another case study based on a construction company established that senior leadership believed strongly that their positive action policy and fair employment practices have given them the necessary popularity and competitive advantage in their markets (</w:t>
      </w:r>
      <w:r w:rsidR="00C1539A">
        <w:rPr>
          <w:rFonts w:ascii="Arial" w:hAnsi="Arial" w:cs="Arial"/>
          <w:sz w:val="24"/>
          <w:szCs w:val="24"/>
          <w:lang w:eastAsia="en-GB"/>
        </w:rPr>
        <w:t>Wagner, 2007</w:t>
      </w:r>
      <w:r w:rsidRPr="005D3BB6">
        <w:rPr>
          <w:rFonts w:ascii="Arial" w:hAnsi="Arial" w:cs="Arial"/>
          <w:sz w:val="24"/>
          <w:szCs w:val="24"/>
          <w:lang w:eastAsia="en-GB"/>
        </w:rPr>
        <w:t>). An empirical study using 1998 Workplace Employee Relations Survey (WERS) also concluded that workplace practices or Equal Opportunity Policies (EOP) tend to enhance motivation and productivity of workers. This effect was more pronounced in organisations which had a greater representation of women or ethnic minority employees. All this highlights that the more the diversity in the workplace, the more evident are the short term and long-term impacts of having equal opportunity policies (</w:t>
      </w:r>
      <w:r w:rsidR="00C1539A">
        <w:rPr>
          <w:rFonts w:ascii="Arial" w:hAnsi="Arial" w:cs="Arial"/>
          <w:sz w:val="24"/>
          <w:szCs w:val="24"/>
          <w:lang w:eastAsia="en-GB"/>
        </w:rPr>
        <w:t>King et al, 2012</w:t>
      </w:r>
      <w:r w:rsidRPr="005D3BB6">
        <w:rPr>
          <w:rFonts w:ascii="Arial" w:hAnsi="Arial" w:cs="Arial"/>
          <w:sz w:val="24"/>
          <w:szCs w:val="24"/>
          <w:lang w:eastAsia="en-GB"/>
        </w:rPr>
        <w:t>).</w:t>
      </w:r>
    </w:p>
    <w:p w14:paraId="4757A88F" w14:textId="711F106F" w:rsidR="00C1539A" w:rsidRDefault="00D45AC7" w:rsidP="00C1539A">
      <w:pPr>
        <w:rPr>
          <w:rFonts w:ascii="Arial" w:hAnsi="Arial" w:cs="Arial"/>
          <w:sz w:val="24"/>
          <w:szCs w:val="24"/>
          <w:lang w:eastAsia="en-GB"/>
        </w:rPr>
      </w:pPr>
      <w:r w:rsidRPr="005D3BB6">
        <w:rPr>
          <w:rFonts w:ascii="Arial" w:hAnsi="Arial" w:cs="Arial"/>
          <w:sz w:val="24"/>
          <w:szCs w:val="24"/>
          <w:lang w:eastAsia="en-GB"/>
        </w:rPr>
        <w:t xml:space="preserve">Based on an extensive literature review on this subject, </w:t>
      </w:r>
      <w:proofErr w:type="spellStart"/>
      <w:r w:rsidR="00C1539A">
        <w:rPr>
          <w:rFonts w:ascii="Arial" w:hAnsi="Arial" w:cs="Arial"/>
          <w:sz w:val="24"/>
          <w:szCs w:val="24"/>
          <w:lang w:eastAsia="en-GB"/>
        </w:rPr>
        <w:t>Doorenbos</w:t>
      </w:r>
      <w:proofErr w:type="spellEnd"/>
      <w:r w:rsidR="00C1539A">
        <w:rPr>
          <w:rFonts w:ascii="Arial" w:hAnsi="Arial" w:cs="Arial"/>
          <w:sz w:val="24"/>
          <w:szCs w:val="24"/>
          <w:lang w:eastAsia="en-GB"/>
        </w:rPr>
        <w:t xml:space="preserve"> et al, (2010)</w:t>
      </w:r>
    </w:p>
    <w:p w14:paraId="37E22AC7" w14:textId="07E71685" w:rsidR="00D45AC7" w:rsidRPr="005D3BB6" w:rsidRDefault="00D45AC7" w:rsidP="005D3BB6">
      <w:pPr>
        <w:spacing w:line="360" w:lineRule="auto"/>
        <w:rPr>
          <w:rFonts w:ascii="Arial" w:hAnsi="Arial" w:cs="Arial"/>
          <w:sz w:val="24"/>
          <w:szCs w:val="24"/>
          <w:lang w:eastAsia="en-GB"/>
        </w:rPr>
      </w:pPr>
      <w:r w:rsidRPr="005D3BB6">
        <w:rPr>
          <w:rFonts w:ascii="Arial" w:hAnsi="Arial" w:cs="Arial"/>
          <w:sz w:val="24"/>
          <w:szCs w:val="24"/>
          <w:lang w:eastAsia="en-GB"/>
        </w:rPr>
        <w:t xml:space="preserve">established a list of six primary business benefits of a diverse workforce: </w:t>
      </w:r>
    </w:p>
    <w:p w14:paraId="7A8FF65F" w14:textId="77777777" w:rsidR="00D45AC7" w:rsidRPr="005D3BB6" w:rsidRDefault="00D45AC7" w:rsidP="005D3BB6">
      <w:pPr>
        <w:numPr>
          <w:ilvl w:val="0"/>
          <w:numId w:val="2"/>
        </w:numPr>
        <w:spacing w:line="360" w:lineRule="auto"/>
        <w:contextualSpacing/>
        <w:rPr>
          <w:rFonts w:ascii="Arial" w:hAnsi="Arial" w:cs="Arial"/>
          <w:sz w:val="24"/>
          <w:szCs w:val="24"/>
          <w:lang w:eastAsia="en-GB"/>
        </w:rPr>
      </w:pPr>
      <w:r w:rsidRPr="005D3BB6">
        <w:rPr>
          <w:rFonts w:ascii="Arial" w:hAnsi="Arial" w:cs="Arial"/>
          <w:sz w:val="24"/>
          <w:szCs w:val="24"/>
          <w:lang w:eastAsia="en-GB"/>
        </w:rPr>
        <w:t xml:space="preserve">Cost argument: Managing diversity better can give a cost advantage as the cost of doing a poor job for worker integration is rising. </w:t>
      </w:r>
    </w:p>
    <w:p w14:paraId="7FEB91CB" w14:textId="77777777" w:rsidR="00D45AC7" w:rsidRPr="005D3BB6" w:rsidRDefault="00D45AC7" w:rsidP="005D3BB6">
      <w:pPr>
        <w:numPr>
          <w:ilvl w:val="0"/>
          <w:numId w:val="2"/>
        </w:numPr>
        <w:spacing w:line="360" w:lineRule="auto"/>
        <w:contextualSpacing/>
        <w:rPr>
          <w:rFonts w:ascii="Arial" w:hAnsi="Arial" w:cs="Arial"/>
          <w:sz w:val="24"/>
          <w:szCs w:val="24"/>
          <w:lang w:eastAsia="en-GB"/>
        </w:rPr>
      </w:pPr>
      <w:r w:rsidRPr="005D3BB6">
        <w:rPr>
          <w:rFonts w:ascii="Arial" w:hAnsi="Arial" w:cs="Arial"/>
          <w:sz w:val="24"/>
          <w:szCs w:val="24"/>
          <w:lang w:eastAsia="en-GB"/>
        </w:rPr>
        <w:t xml:space="preserve">Resource-acquisition argument: Organisations adopting equality practices for women and ethnic minority tend to gain high reputation as prospective employers and tend to attract the best talents in the market </w:t>
      </w:r>
    </w:p>
    <w:p w14:paraId="0B451F8C" w14:textId="77777777" w:rsidR="00D45AC7" w:rsidRPr="005D3BB6" w:rsidRDefault="00D45AC7" w:rsidP="005D3BB6">
      <w:pPr>
        <w:numPr>
          <w:ilvl w:val="0"/>
          <w:numId w:val="2"/>
        </w:numPr>
        <w:spacing w:line="360" w:lineRule="auto"/>
        <w:contextualSpacing/>
        <w:rPr>
          <w:rFonts w:ascii="Arial" w:hAnsi="Arial" w:cs="Arial"/>
          <w:sz w:val="24"/>
          <w:szCs w:val="24"/>
          <w:lang w:eastAsia="en-GB"/>
        </w:rPr>
      </w:pPr>
      <w:r w:rsidRPr="005D3BB6">
        <w:rPr>
          <w:rFonts w:ascii="Arial" w:hAnsi="Arial" w:cs="Arial"/>
          <w:sz w:val="24"/>
          <w:szCs w:val="24"/>
          <w:lang w:eastAsia="en-GB"/>
        </w:rPr>
        <w:t xml:space="preserve">Marketing argument: MNCs tend to gain more insights or cultural sensitivity of their markets if they have themselves have a diverse workforce which brings in diverse opinions and perspectives on the table. </w:t>
      </w:r>
    </w:p>
    <w:p w14:paraId="75D7E8A4" w14:textId="77777777" w:rsidR="00D45AC7" w:rsidRPr="005D3BB6" w:rsidRDefault="00D45AC7" w:rsidP="005D3BB6">
      <w:pPr>
        <w:numPr>
          <w:ilvl w:val="0"/>
          <w:numId w:val="2"/>
        </w:numPr>
        <w:spacing w:line="360" w:lineRule="auto"/>
        <w:contextualSpacing/>
        <w:rPr>
          <w:rFonts w:ascii="Arial" w:hAnsi="Arial" w:cs="Arial"/>
          <w:sz w:val="24"/>
          <w:szCs w:val="24"/>
          <w:lang w:eastAsia="en-GB"/>
        </w:rPr>
      </w:pPr>
      <w:r w:rsidRPr="005D3BB6">
        <w:rPr>
          <w:rFonts w:ascii="Arial" w:hAnsi="Arial" w:cs="Arial"/>
          <w:sz w:val="24"/>
          <w:szCs w:val="24"/>
          <w:lang w:eastAsia="en-GB"/>
        </w:rPr>
        <w:t>Creativity argument: Diverse employees at the workplace bring in high creativity as there is less focus to conform to past norms</w:t>
      </w:r>
    </w:p>
    <w:p w14:paraId="7704D0EA" w14:textId="7B1E0C2E" w:rsidR="00D45AC7" w:rsidRPr="005D3BB6" w:rsidRDefault="00D45AC7" w:rsidP="005D3BB6">
      <w:pPr>
        <w:numPr>
          <w:ilvl w:val="0"/>
          <w:numId w:val="2"/>
        </w:numPr>
        <w:spacing w:line="360" w:lineRule="auto"/>
        <w:contextualSpacing/>
        <w:rPr>
          <w:rFonts w:ascii="Arial" w:hAnsi="Arial" w:cs="Arial"/>
          <w:sz w:val="24"/>
          <w:szCs w:val="24"/>
          <w:lang w:eastAsia="en-GB"/>
        </w:rPr>
      </w:pPr>
      <w:r w:rsidRPr="005D3BB6">
        <w:rPr>
          <w:rFonts w:ascii="Arial" w:hAnsi="Arial" w:cs="Arial"/>
          <w:sz w:val="24"/>
          <w:szCs w:val="24"/>
          <w:lang w:eastAsia="en-GB"/>
        </w:rPr>
        <w:t xml:space="preserve">Problem-solving argument: Inclusion of </w:t>
      </w:r>
      <w:r w:rsidR="003215FB" w:rsidRPr="005D3BB6">
        <w:rPr>
          <w:rFonts w:ascii="Arial" w:hAnsi="Arial" w:cs="Arial"/>
          <w:sz w:val="24"/>
          <w:szCs w:val="24"/>
          <w:lang w:eastAsia="en-GB"/>
        </w:rPr>
        <w:t>heterogeneous</w:t>
      </w:r>
      <w:r w:rsidRPr="005D3BB6">
        <w:rPr>
          <w:rFonts w:ascii="Arial" w:hAnsi="Arial" w:cs="Arial"/>
          <w:sz w:val="24"/>
          <w:szCs w:val="24"/>
          <w:lang w:eastAsia="en-GB"/>
        </w:rPr>
        <w:t xml:space="preserve"> members adds diversity of thoughts, opinions, and experiences, which in turn helps solve a wider range of problems. </w:t>
      </w:r>
    </w:p>
    <w:p w14:paraId="0ECF8C3C" w14:textId="77777777" w:rsidR="00D45AC7" w:rsidRPr="005D3BB6" w:rsidRDefault="00D45AC7" w:rsidP="005D3BB6">
      <w:pPr>
        <w:numPr>
          <w:ilvl w:val="0"/>
          <w:numId w:val="2"/>
        </w:numPr>
        <w:spacing w:line="360" w:lineRule="auto"/>
        <w:contextualSpacing/>
        <w:rPr>
          <w:rFonts w:ascii="Arial" w:hAnsi="Arial" w:cs="Arial"/>
          <w:sz w:val="24"/>
          <w:szCs w:val="24"/>
          <w:lang w:eastAsia="en-GB"/>
        </w:rPr>
      </w:pPr>
      <w:r w:rsidRPr="005D3BB6">
        <w:rPr>
          <w:rFonts w:ascii="Arial" w:hAnsi="Arial" w:cs="Arial"/>
          <w:sz w:val="24"/>
          <w:szCs w:val="24"/>
          <w:lang w:eastAsia="en-GB"/>
        </w:rPr>
        <w:t xml:space="preserve">System-flexibility argument: A system with high diversity is more flexible, less standardised and can respond better to environmental changes. </w:t>
      </w:r>
    </w:p>
    <w:p w14:paraId="233FF058" w14:textId="103AF5A6" w:rsidR="007923E2" w:rsidRPr="005D3BB6" w:rsidRDefault="00D45AC7" w:rsidP="00C1539A">
      <w:pPr>
        <w:spacing w:line="360" w:lineRule="auto"/>
        <w:rPr>
          <w:rFonts w:ascii="Arial" w:hAnsi="Arial" w:cs="Arial"/>
          <w:sz w:val="24"/>
          <w:szCs w:val="24"/>
          <w:lang w:eastAsia="en-GB"/>
        </w:rPr>
      </w:pPr>
      <w:r w:rsidRPr="005D3BB6">
        <w:rPr>
          <w:rFonts w:ascii="Arial" w:hAnsi="Arial" w:cs="Arial"/>
          <w:sz w:val="24"/>
          <w:szCs w:val="24"/>
          <w:lang w:eastAsia="en-GB"/>
        </w:rPr>
        <w:t xml:space="preserve">All this offers a wide range of potential business advantages and has also been supported by various studies. </w:t>
      </w:r>
      <w:proofErr w:type="spellStart"/>
      <w:r w:rsidR="00C1539A">
        <w:rPr>
          <w:rFonts w:ascii="Arial" w:hAnsi="Arial" w:cs="Arial"/>
          <w:sz w:val="24"/>
          <w:szCs w:val="24"/>
          <w:lang w:eastAsia="en-GB"/>
        </w:rPr>
        <w:t>Brammer</w:t>
      </w:r>
      <w:proofErr w:type="spellEnd"/>
      <w:r w:rsidR="00C1539A">
        <w:rPr>
          <w:rFonts w:ascii="Arial" w:hAnsi="Arial" w:cs="Arial"/>
          <w:sz w:val="24"/>
          <w:szCs w:val="24"/>
          <w:lang w:eastAsia="en-GB"/>
        </w:rPr>
        <w:t xml:space="preserve"> et al (2009) </w:t>
      </w:r>
      <w:r w:rsidRPr="005D3BB6">
        <w:rPr>
          <w:rFonts w:ascii="Arial" w:hAnsi="Arial" w:cs="Arial"/>
          <w:sz w:val="24"/>
          <w:szCs w:val="24"/>
          <w:lang w:eastAsia="en-GB"/>
        </w:rPr>
        <w:t xml:space="preserve">describes that increased </w:t>
      </w:r>
      <w:r w:rsidRPr="005D3BB6">
        <w:rPr>
          <w:rFonts w:ascii="Arial" w:hAnsi="Arial" w:cs="Arial"/>
          <w:sz w:val="24"/>
          <w:szCs w:val="24"/>
          <w:lang w:eastAsia="en-GB"/>
        </w:rPr>
        <w:lastRenderedPageBreak/>
        <w:t xml:space="preserve">diversity enhances the ability of the firm to understand and respond to local market changes, local customer needs, ability to attract and retain best people, higher problem solving and flexibility. Anecdotal evidences from primary studies, surveys, and interviews have also built more evidence on this proposition. For instance, the interviews conducted as a part of the study by </w:t>
      </w:r>
      <w:proofErr w:type="spellStart"/>
      <w:r w:rsidRPr="005D3BB6">
        <w:rPr>
          <w:rFonts w:ascii="Arial" w:hAnsi="Arial" w:cs="Arial"/>
          <w:sz w:val="24"/>
          <w:szCs w:val="24"/>
          <w:lang w:eastAsia="en-GB"/>
        </w:rPr>
        <w:t>Ozbilgin</w:t>
      </w:r>
      <w:proofErr w:type="spellEnd"/>
      <w:r w:rsidRPr="005D3BB6">
        <w:rPr>
          <w:rFonts w:ascii="Arial" w:hAnsi="Arial" w:cs="Arial"/>
          <w:sz w:val="24"/>
          <w:szCs w:val="24"/>
          <w:lang w:eastAsia="en-GB"/>
        </w:rPr>
        <w:t xml:space="preserve"> &amp; </w:t>
      </w:r>
      <w:proofErr w:type="spellStart"/>
      <w:r w:rsidRPr="005D3BB6">
        <w:rPr>
          <w:rFonts w:ascii="Arial" w:hAnsi="Arial" w:cs="Arial"/>
          <w:sz w:val="24"/>
          <w:szCs w:val="24"/>
          <w:lang w:eastAsia="en-GB"/>
        </w:rPr>
        <w:t>Tatli</w:t>
      </w:r>
      <w:proofErr w:type="spellEnd"/>
      <w:r w:rsidRPr="005D3BB6">
        <w:rPr>
          <w:rFonts w:ascii="Arial" w:hAnsi="Arial" w:cs="Arial"/>
          <w:sz w:val="24"/>
          <w:szCs w:val="24"/>
          <w:lang w:eastAsia="en-GB"/>
        </w:rPr>
        <w:t xml:space="preserve">, (2011) described that leadership of most organisations believed that diversity helped them to recruit best people from the market, enhance efficiency of business functions, build trust-based relationship with employees, ensure higher satisfaction and commitment from workers, and overall have a high-quality service delivery. Another study conducted by </w:t>
      </w:r>
      <w:proofErr w:type="spellStart"/>
      <w:r w:rsidR="00C1539A">
        <w:rPr>
          <w:rFonts w:ascii="Arial" w:hAnsi="Arial" w:cs="Arial"/>
          <w:sz w:val="24"/>
          <w:szCs w:val="24"/>
          <w:lang w:eastAsia="en-GB"/>
        </w:rPr>
        <w:t>Ozbilgin</w:t>
      </w:r>
      <w:proofErr w:type="spellEnd"/>
      <w:r w:rsidR="00C1539A">
        <w:rPr>
          <w:rFonts w:ascii="Arial" w:hAnsi="Arial" w:cs="Arial"/>
          <w:sz w:val="24"/>
          <w:szCs w:val="24"/>
          <w:lang w:eastAsia="en-GB"/>
        </w:rPr>
        <w:t xml:space="preserve"> &amp; </w:t>
      </w:r>
      <w:proofErr w:type="spellStart"/>
      <w:r w:rsidR="00C1539A">
        <w:rPr>
          <w:rFonts w:ascii="Arial" w:hAnsi="Arial" w:cs="Arial"/>
          <w:sz w:val="24"/>
          <w:szCs w:val="24"/>
          <w:lang w:eastAsia="en-GB"/>
        </w:rPr>
        <w:t>Tatli</w:t>
      </w:r>
      <w:proofErr w:type="spellEnd"/>
      <w:r w:rsidRPr="005D3BB6">
        <w:rPr>
          <w:rFonts w:ascii="Arial" w:hAnsi="Arial" w:cs="Arial"/>
          <w:sz w:val="24"/>
          <w:szCs w:val="24"/>
          <w:lang w:eastAsia="en-GB"/>
        </w:rPr>
        <w:t xml:space="preserve"> (2007) surveyed 285 officers on diversity and equality management practices and their impacts for the organisation. The survey revealed the top-ranking business benefits which these officers perceived. 63.9% believed that they could recruit or hire best talents, 60% believed that such practices have high business advantage, 47.3% believed that it creates less recruitment problems, 43.2% believed that it helped strengthen customer relations, and 42.6% believed that it added diverse ideas and creativity for better product and service design. </w:t>
      </w:r>
    </w:p>
    <w:p w14:paraId="3756B935" w14:textId="6080D4BD" w:rsidR="0035033D" w:rsidRPr="005D3BB6" w:rsidRDefault="00D30680" w:rsidP="005D3BB6">
      <w:pPr>
        <w:pStyle w:val="Heading1"/>
        <w:spacing w:line="360" w:lineRule="auto"/>
        <w:rPr>
          <w:rFonts w:ascii="Arial" w:eastAsia="Times New Roman" w:hAnsi="Arial" w:cs="Arial"/>
          <w:b/>
          <w:sz w:val="24"/>
          <w:szCs w:val="24"/>
          <w:lang w:eastAsia="en-GB"/>
        </w:rPr>
      </w:pPr>
      <w:bookmarkStart w:id="17" w:name="_Toc534372126"/>
      <w:r w:rsidRPr="005D3BB6">
        <w:rPr>
          <w:rFonts w:ascii="Arial" w:eastAsia="Times New Roman" w:hAnsi="Arial" w:cs="Arial"/>
          <w:b/>
          <w:sz w:val="24"/>
          <w:szCs w:val="24"/>
          <w:lang w:eastAsia="en-GB"/>
        </w:rPr>
        <w:t>4.0 A CRITICAL ASSESSMENT OF AETNA’S DIVERSITY PROGRAMMES</w:t>
      </w:r>
      <w:bookmarkEnd w:id="17"/>
    </w:p>
    <w:p w14:paraId="57D7F518" w14:textId="028BB8CD" w:rsidR="007923E2" w:rsidRPr="005D3BB6" w:rsidRDefault="007923E2" w:rsidP="005D3BB6">
      <w:pPr>
        <w:pStyle w:val="Heading2"/>
        <w:spacing w:line="360" w:lineRule="auto"/>
        <w:rPr>
          <w:rFonts w:ascii="Arial" w:eastAsia="Times New Roman" w:hAnsi="Arial" w:cs="Arial"/>
          <w:sz w:val="24"/>
          <w:szCs w:val="24"/>
          <w:lang w:eastAsia="en-GB"/>
        </w:rPr>
      </w:pPr>
      <w:bookmarkStart w:id="18" w:name="_Toc534372127"/>
      <w:r w:rsidRPr="005D3BB6">
        <w:rPr>
          <w:rFonts w:ascii="Arial" w:eastAsia="Times New Roman" w:hAnsi="Arial" w:cs="Arial"/>
          <w:sz w:val="24"/>
          <w:szCs w:val="24"/>
          <w:lang w:eastAsia="en-GB"/>
        </w:rPr>
        <w:t>4.1 Overview of Aetna’s Diversity training programme</w:t>
      </w:r>
      <w:bookmarkEnd w:id="18"/>
    </w:p>
    <w:p w14:paraId="12E28026" w14:textId="77777777" w:rsidR="007923E2" w:rsidRPr="005D3BB6" w:rsidRDefault="007923E2" w:rsidP="005D3BB6">
      <w:pPr>
        <w:spacing w:after="139" w:line="360" w:lineRule="auto"/>
        <w:ind w:left="11" w:right="48" w:hanging="10"/>
        <w:jc w:val="both"/>
        <w:rPr>
          <w:rFonts w:ascii="Arial" w:eastAsia="Times New Roman" w:hAnsi="Arial" w:cs="Arial"/>
          <w:sz w:val="24"/>
          <w:szCs w:val="24"/>
          <w:lang w:eastAsia="en-GB"/>
        </w:rPr>
      </w:pPr>
      <w:r w:rsidRPr="005D3BB6">
        <w:rPr>
          <w:rFonts w:ascii="Arial" w:eastAsia="Times New Roman" w:hAnsi="Arial" w:cs="Arial"/>
          <w:sz w:val="24"/>
          <w:szCs w:val="24"/>
          <w:lang w:eastAsia="en-GB"/>
        </w:rPr>
        <w:t xml:space="preserve">Aetna is one of the biggest and most diversified healthcare company in the country with a client base of almost 44 million people. Its huge database and expertise has allowed it to serve more these people and help them take rational decisions. The products and services that the company offers range from conventional, voluntary and patient directed health care products like medicines, pharmacy, dental products, life insurance, service to disable people and medical management facilities. They also provide services like medical health care, admin services etc. The client base of the company includes people like other organizations, groups of people, students, part-time workers and also the government. Diversity therefore is at the heart of the values of the company. </w:t>
      </w:r>
    </w:p>
    <w:p w14:paraId="165AF0E6" w14:textId="77777777" w:rsidR="007923E2" w:rsidRPr="005D3BB6" w:rsidRDefault="007923E2" w:rsidP="005D3BB6">
      <w:pPr>
        <w:spacing w:after="139" w:line="360" w:lineRule="auto"/>
        <w:ind w:left="11" w:right="48" w:hanging="10"/>
        <w:jc w:val="both"/>
        <w:rPr>
          <w:rFonts w:ascii="Arial" w:eastAsia="Times New Roman" w:hAnsi="Arial" w:cs="Arial"/>
          <w:sz w:val="24"/>
          <w:szCs w:val="24"/>
          <w:lang w:eastAsia="en-GB"/>
        </w:rPr>
      </w:pPr>
      <w:r w:rsidRPr="005D3BB6">
        <w:rPr>
          <w:rFonts w:ascii="Arial" w:eastAsia="Times New Roman" w:hAnsi="Arial" w:cs="Arial"/>
          <w:noProof/>
          <w:sz w:val="24"/>
          <w:szCs w:val="24"/>
          <w:lang w:eastAsia="en-GB"/>
        </w:rPr>
        <w:lastRenderedPageBreak/>
        <w:drawing>
          <wp:inline distT="0" distB="0" distL="0" distR="0" wp14:anchorId="032BDCAD" wp14:editId="44BD9B29">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9D858C9" w14:textId="77777777" w:rsidR="007923E2" w:rsidRPr="005D3BB6" w:rsidRDefault="007923E2" w:rsidP="005D3BB6">
      <w:pPr>
        <w:spacing w:after="139" w:line="360" w:lineRule="auto"/>
        <w:ind w:left="11" w:right="48" w:hanging="10"/>
        <w:rPr>
          <w:rFonts w:ascii="Arial" w:eastAsia="Times New Roman" w:hAnsi="Arial" w:cs="Arial"/>
          <w:color w:val="FF0000"/>
          <w:sz w:val="24"/>
          <w:szCs w:val="24"/>
          <w:lang w:eastAsia="en-GB"/>
        </w:rPr>
      </w:pPr>
      <w:r w:rsidRPr="005D3BB6">
        <w:rPr>
          <w:rFonts w:ascii="Arial" w:eastAsia="Times New Roman" w:hAnsi="Arial" w:cs="Arial"/>
          <w:color w:val="FF0000"/>
          <w:sz w:val="24"/>
          <w:szCs w:val="24"/>
          <w:lang w:eastAsia="en-GB"/>
        </w:rPr>
        <w:t xml:space="preserve">                </w:t>
      </w:r>
    </w:p>
    <w:p w14:paraId="3BD2D775" w14:textId="77777777" w:rsidR="007923E2" w:rsidRPr="005D3BB6" w:rsidRDefault="007923E2" w:rsidP="005D3BB6">
      <w:pPr>
        <w:spacing w:after="139" w:line="360" w:lineRule="auto"/>
        <w:ind w:left="11" w:right="48" w:hanging="10"/>
        <w:rPr>
          <w:rFonts w:ascii="Arial" w:eastAsia="Times New Roman" w:hAnsi="Arial" w:cs="Arial"/>
          <w:i/>
          <w:sz w:val="24"/>
          <w:szCs w:val="24"/>
          <w:lang w:eastAsia="en-GB"/>
        </w:rPr>
      </w:pPr>
      <w:r w:rsidRPr="005D3BB6">
        <w:rPr>
          <w:rFonts w:ascii="Arial" w:eastAsia="Times New Roman" w:hAnsi="Arial" w:cs="Arial"/>
          <w:i/>
          <w:sz w:val="24"/>
          <w:szCs w:val="24"/>
          <w:lang w:eastAsia="en-GB"/>
        </w:rPr>
        <w:t xml:space="preserve">                                        Figure 4: Aetna’s diversity agenda </w:t>
      </w:r>
    </w:p>
    <w:p w14:paraId="045F2DB6" w14:textId="4FE43884" w:rsidR="007923E2" w:rsidRPr="00F53A0E" w:rsidRDefault="007923E2" w:rsidP="00F53A0E">
      <w:pPr>
        <w:spacing w:line="360" w:lineRule="auto"/>
        <w:rPr>
          <w:rFonts w:ascii="Arial" w:hAnsi="Arial" w:cs="Arial"/>
          <w:sz w:val="24"/>
          <w:szCs w:val="24"/>
          <w:lang w:eastAsia="en-GB"/>
        </w:rPr>
      </w:pPr>
      <w:r w:rsidRPr="005D3BB6">
        <w:rPr>
          <w:rFonts w:ascii="Arial" w:eastAsia="Times New Roman" w:hAnsi="Arial" w:cs="Arial"/>
          <w:sz w:val="24"/>
          <w:szCs w:val="24"/>
          <w:lang w:eastAsia="en-GB"/>
        </w:rPr>
        <w:t>The company has been very particular on its workforce understanding and behaving in manner that fits its agenda of taking the communities along. The culture is to encourage diversity in the organization and motivate everyone to do their best (Aetna’s 2017 annual report). The company has collaborated with Magic Johnson Enterprise. The two companies have the common goal of improving the awareness level for organizations and the individuals on healthcare and helping them make better decisions when it comes to their well-being. The company has also been applauded for its diversity and has been awarded for being in the top 40 most diverse organizations. The company was also among the top 100 companies for employees in the year 2008 (</w:t>
      </w:r>
      <w:r w:rsidR="00F53A0E">
        <w:rPr>
          <w:rFonts w:ascii="Arial" w:hAnsi="Arial" w:cs="Arial"/>
          <w:sz w:val="24"/>
          <w:szCs w:val="24"/>
          <w:lang w:eastAsia="en-GB"/>
        </w:rPr>
        <w:t>Shen et al, 2009)</w:t>
      </w:r>
      <w:r w:rsidRPr="005D3BB6">
        <w:rPr>
          <w:rFonts w:ascii="Arial" w:eastAsia="Times New Roman" w:hAnsi="Arial" w:cs="Arial"/>
          <w:sz w:val="24"/>
          <w:szCs w:val="24"/>
          <w:lang w:eastAsia="en-GB"/>
        </w:rPr>
        <w:t xml:space="preserve">. </w:t>
      </w:r>
    </w:p>
    <w:p w14:paraId="6A033651" w14:textId="667FFAA2" w:rsidR="00722E3B" w:rsidRPr="005D3BB6" w:rsidRDefault="0035033D" w:rsidP="005D3BB6">
      <w:pPr>
        <w:pStyle w:val="Heading2"/>
        <w:spacing w:line="360" w:lineRule="auto"/>
        <w:rPr>
          <w:rFonts w:ascii="Arial" w:eastAsia="Times New Roman" w:hAnsi="Arial" w:cs="Arial"/>
          <w:sz w:val="24"/>
          <w:szCs w:val="24"/>
          <w:lang w:eastAsia="en-GB"/>
        </w:rPr>
      </w:pPr>
      <w:bookmarkStart w:id="19" w:name="_Toc534372128"/>
      <w:r w:rsidRPr="005D3BB6">
        <w:rPr>
          <w:rFonts w:ascii="Arial" w:eastAsia="Times New Roman" w:hAnsi="Arial" w:cs="Arial"/>
          <w:sz w:val="24"/>
          <w:szCs w:val="24"/>
          <w:lang w:eastAsia="en-GB"/>
        </w:rPr>
        <w:t>4.</w:t>
      </w:r>
      <w:r w:rsidR="007923E2" w:rsidRPr="005D3BB6">
        <w:rPr>
          <w:rFonts w:ascii="Arial" w:eastAsia="Times New Roman" w:hAnsi="Arial" w:cs="Arial"/>
          <w:sz w:val="24"/>
          <w:szCs w:val="24"/>
          <w:lang w:eastAsia="en-GB"/>
        </w:rPr>
        <w:t>2</w:t>
      </w:r>
      <w:r w:rsidRPr="005D3BB6">
        <w:rPr>
          <w:rFonts w:ascii="Arial" w:eastAsia="Times New Roman" w:hAnsi="Arial" w:cs="Arial"/>
          <w:sz w:val="24"/>
          <w:szCs w:val="24"/>
          <w:lang w:eastAsia="en-GB"/>
        </w:rPr>
        <w:t xml:space="preserve"> </w:t>
      </w:r>
      <w:r w:rsidR="00066030" w:rsidRPr="005D3BB6">
        <w:rPr>
          <w:rFonts w:ascii="Arial" w:eastAsia="Times New Roman" w:hAnsi="Arial" w:cs="Arial"/>
          <w:sz w:val="24"/>
          <w:szCs w:val="24"/>
          <w:lang w:eastAsia="en-GB"/>
        </w:rPr>
        <w:t>Theoretical framework</w:t>
      </w:r>
      <w:r w:rsidR="00961EE6" w:rsidRPr="005D3BB6">
        <w:rPr>
          <w:rFonts w:ascii="Arial" w:eastAsia="Times New Roman" w:hAnsi="Arial" w:cs="Arial"/>
          <w:sz w:val="24"/>
          <w:szCs w:val="24"/>
          <w:lang w:eastAsia="en-GB"/>
        </w:rPr>
        <w:t xml:space="preserve"> for assessment</w:t>
      </w:r>
      <w:bookmarkEnd w:id="19"/>
    </w:p>
    <w:p w14:paraId="0D454110" w14:textId="719B876E" w:rsidR="00C25E80" w:rsidRPr="005D3BB6" w:rsidRDefault="001526D4" w:rsidP="005D3BB6">
      <w:pPr>
        <w:spacing w:after="139" w:line="360" w:lineRule="auto"/>
        <w:ind w:left="11" w:right="48" w:hanging="10"/>
        <w:jc w:val="both"/>
        <w:rPr>
          <w:rFonts w:ascii="Arial" w:eastAsia="Times New Roman" w:hAnsi="Arial" w:cs="Arial"/>
          <w:sz w:val="24"/>
          <w:szCs w:val="24"/>
          <w:lang w:eastAsia="en-GB"/>
        </w:rPr>
      </w:pPr>
      <w:r w:rsidRPr="005D3BB6">
        <w:rPr>
          <w:rFonts w:ascii="Arial" w:eastAsia="Times New Roman" w:hAnsi="Arial" w:cs="Arial"/>
          <w:sz w:val="24"/>
          <w:szCs w:val="24"/>
          <w:lang w:eastAsia="en-GB"/>
        </w:rPr>
        <w:t>The</w:t>
      </w:r>
      <w:r w:rsidR="00C25E80" w:rsidRPr="005D3BB6">
        <w:rPr>
          <w:rFonts w:ascii="Arial" w:eastAsia="Times New Roman" w:hAnsi="Arial" w:cs="Arial"/>
          <w:sz w:val="24"/>
          <w:szCs w:val="24"/>
          <w:lang w:eastAsia="en-GB"/>
        </w:rPr>
        <w:t xml:space="preserve"> segment here will be focused on the diversity training for the workforce that is conducted at Aetna’s and will use the value for money methodology to check for the most impactful process at the lowest minimum cost. </w:t>
      </w:r>
    </w:p>
    <w:p w14:paraId="76A78882" w14:textId="7AE43A4A" w:rsidR="001526D4" w:rsidRPr="005D3BB6" w:rsidRDefault="001526D4" w:rsidP="005D3BB6">
      <w:pPr>
        <w:spacing w:after="139" w:line="360" w:lineRule="auto"/>
        <w:ind w:left="11" w:right="48" w:hanging="10"/>
        <w:jc w:val="both"/>
        <w:rPr>
          <w:rFonts w:ascii="Arial" w:eastAsia="Times New Roman" w:hAnsi="Arial" w:cs="Arial"/>
          <w:sz w:val="24"/>
          <w:szCs w:val="24"/>
          <w:lang w:eastAsia="en-GB"/>
        </w:rPr>
      </w:pPr>
      <w:r w:rsidRPr="005D3BB6">
        <w:rPr>
          <w:rFonts w:ascii="Arial" w:eastAsia="Times New Roman" w:hAnsi="Arial" w:cs="Arial"/>
          <w:sz w:val="24"/>
          <w:szCs w:val="24"/>
          <w:lang w:eastAsia="en-GB"/>
        </w:rPr>
        <w:t xml:space="preserve">There have been a number of researchers who have studied the results of the diversity trainings. There have been a lot of analysis on the results of these training sessions (Combs and </w:t>
      </w:r>
      <w:proofErr w:type="spellStart"/>
      <w:r w:rsidRPr="005D3BB6">
        <w:rPr>
          <w:rFonts w:ascii="Arial" w:eastAsia="Times New Roman" w:hAnsi="Arial" w:cs="Arial"/>
          <w:sz w:val="24"/>
          <w:szCs w:val="24"/>
          <w:lang w:eastAsia="en-GB"/>
        </w:rPr>
        <w:t>Luthans</w:t>
      </w:r>
      <w:proofErr w:type="spellEnd"/>
      <w:r w:rsidRPr="005D3BB6">
        <w:rPr>
          <w:rFonts w:ascii="Arial" w:eastAsia="Times New Roman" w:hAnsi="Arial" w:cs="Arial"/>
          <w:sz w:val="24"/>
          <w:szCs w:val="24"/>
          <w:lang w:eastAsia="en-GB"/>
        </w:rPr>
        <w:t xml:space="preserve"> 2007). </w:t>
      </w:r>
      <w:r w:rsidR="00DC5FF2" w:rsidRPr="005D3BB6">
        <w:rPr>
          <w:rFonts w:ascii="Arial" w:eastAsia="Times New Roman" w:hAnsi="Arial" w:cs="Arial"/>
          <w:sz w:val="24"/>
          <w:szCs w:val="24"/>
          <w:lang w:eastAsia="en-GB"/>
        </w:rPr>
        <w:t xml:space="preserve">There are two different concepts that have been </w:t>
      </w:r>
      <w:r w:rsidR="00DC5FF2" w:rsidRPr="005D3BB6">
        <w:rPr>
          <w:rFonts w:ascii="Arial" w:eastAsia="Times New Roman" w:hAnsi="Arial" w:cs="Arial"/>
          <w:sz w:val="24"/>
          <w:szCs w:val="24"/>
          <w:lang w:eastAsia="en-GB"/>
        </w:rPr>
        <w:lastRenderedPageBreak/>
        <w:t xml:space="preserve">used here to get a better understanding of the training effectiveness: the social categorization and the information processing methods. </w:t>
      </w:r>
    </w:p>
    <w:p w14:paraId="2395FE14" w14:textId="2C6546C5" w:rsidR="001D2473" w:rsidRPr="005D3BB6" w:rsidRDefault="00DC5FF2" w:rsidP="00F53A0E">
      <w:pPr>
        <w:spacing w:after="139" w:line="360" w:lineRule="auto"/>
        <w:ind w:left="11" w:right="48" w:hanging="10"/>
        <w:jc w:val="both"/>
        <w:rPr>
          <w:rFonts w:ascii="Arial" w:eastAsia="Times New Roman" w:hAnsi="Arial" w:cs="Arial"/>
          <w:sz w:val="24"/>
          <w:szCs w:val="24"/>
          <w:lang w:eastAsia="en-GB"/>
        </w:rPr>
      </w:pPr>
      <w:r w:rsidRPr="005D3BB6">
        <w:rPr>
          <w:rFonts w:ascii="Arial" w:eastAsia="Times New Roman" w:hAnsi="Arial" w:cs="Arial"/>
          <w:sz w:val="24"/>
          <w:szCs w:val="24"/>
          <w:lang w:eastAsia="en-GB"/>
        </w:rPr>
        <w:t xml:space="preserve">According to the social categorization concept diversity training will lead to increased fragmentation of the team based on homogeneity of different diversity factors. On the other </w:t>
      </w:r>
      <w:r w:rsidR="00F53A0E" w:rsidRPr="005D3BB6">
        <w:rPr>
          <w:rFonts w:ascii="Arial" w:eastAsia="Times New Roman" w:hAnsi="Arial" w:cs="Arial"/>
          <w:sz w:val="24"/>
          <w:szCs w:val="24"/>
          <w:lang w:eastAsia="en-GB"/>
        </w:rPr>
        <w:t>hand,</w:t>
      </w:r>
      <w:r w:rsidRPr="005D3BB6">
        <w:rPr>
          <w:rFonts w:ascii="Arial" w:eastAsia="Times New Roman" w:hAnsi="Arial" w:cs="Arial"/>
          <w:sz w:val="24"/>
          <w:szCs w:val="24"/>
          <w:lang w:eastAsia="en-GB"/>
        </w:rPr>
        <w:t xml:space="preserve"> the information processing concept states that it will enhance knowledge sharing in the workplace. There is a scarcity of studies that use concepts like resource based or human capital theories. Such theories and co</w:t>
      </w:r>
      <w:r w:rsidR="008456FA">
        <w:rPr>
          <w:rFonts w:ascii="Arial" w:eastAsia="Times New Roman" w:hAnsi="Arial" w:cs="Arial"/>
          <w:sz w:val="24"/>
          <w:szCs w:val="24"/>
          <w:lang w:eastAsia="en-GB"/>
        </w:rPr>
        <w:t>ncepts have not been seen in</w:t>
      </w:r>
      <w:r w:rsidRPr="005D3BB6">
        <w:rPr>
          <w:rFonts w:ascii="Arial" w:eastAsia="Times New Roman" w:hAnsi="Arial" w:cs="Arial"/>
          <w:sz w:val="24"/>
          <w:szCs w:val="24"/>
          <w:lang w:eastAsia="en-GB"/>
        </w:rPr>
        <w:t xml:space="preserve"> all the literature that has been reviewed. The focus of these theories is completely on increasing the skills and behaviours that promote diversity and make it work by encouraging team work. There are very few works on the outcomes of diversity training having an impact on discriminatory practices in office, employee experience and retention, greater motivation and high performance. </w:t>
      </w:r>
      <w:r w:rsidR="00167FAF" w:rsidRPr="005D3BB6">
        <w:rPr>
          <w:rFonts w:ascii="Arial" w:eastAsia="Times New Roman" w:hAnsi="Arial" w:cs="Arial"/>
          <w:sz w:val="24"/>
          <w:szCs w:val="24"/>
          <w:lang w:eastAsia="en-GB"/>
        </w:rPr>
        <w:t xml:space="preserve">In this </w:t>
      </w:r>
      <w:r w:rsidR="00B27EE7" w:rsidRPr="005D3BB6">
        <w:rPr>
          <w:rFonts w:ascii="Arial" w:eastAsia="Times New Roman" w:hAnsi="Arial" w:cs="Arial"/>
          <w:sz w:val="24"/>
          <w:szCs w:val="24"/>
          <w:lang w:eastAsia="en-GB"/>
        </w:rPr>
        <w:t>report,</w:t>
      </w:r>
      <w:r w:rsidR="00167FAF" w:rsidRPr="005D3BB6">
        <w:rPr>
          <w:rFonts w:ascii="Arial" w:eastAsia="Times New Roman" w:hAnsi="Arial" w:cs="Arial"/>
          <w:sz w:val="24"/>
          <w:szCs w:val="24"/>
          <w:lang w:eastAsia="en-GB"/>
        </w:rPr>
        <w:t xml:space="preserve"> there are two frameworks that have been used which will assess the diversity training being offered by Aetna in the workforce diversity training and then evaluating its impact. The m</w:t>
      </w:r>
      <w:r w:rsidR="00F53A0E">
        <w:rPr>
          <w:rFonts w:ascii="Arial" w:eastAsia="Times New Roman" w:hAnsi="Arial" w:cs="Arial"/>
          <w:sz w:val="24"/>
          <w:szCs w:val="24"/>
          <w:lang w:eastAsia="en-GB"/>
        </w:rPr>
        <w:t>odel has been illustrated below</w:t>
      </w:r>
    </w:p>
    <w:p w14:paraId="653F71B3" w14:textId="443E47FE" w:rsidR="00873E3C" w:rsidRPr="005D3BB6" w:rsidRDefault="00873E3C" w:rsidP="005D3BB6">
      <w:pPr>
        <w:spacing w:after="0" w:line="360" w:lineRule="auto"/>
        <w:rPr>
          <w:rFonts w:ascii="Arial" w:eastAsia="Times New Roman" w:hAnsi="Arial" w:cs="Arial"/>
          <w:color w:val="FF0000"/>
          <w:sz w:val="24"/>
          <w:szCs w:val="24"/>
          <w:lang w:eastAsia="en-GB"/>
        </w:rPr>
      </w:pPr>
    </w:p>
    <w:tbl>
      <w:tblPr>
        <w:tblStyle w:val="TableGrid"/>
        <w:tblW w:w="9245" w:type="dxa"/>
        <w:tblInd w:w="-110" w:type="dxa"/>
        <w:tblCellMar>
          <w:top w:w="17" w:type="dxa"/>
          <w:left w:w="110" w:type="dxa"/>
          <w:right w:w="46" w:type="dxa"/>
        </w:tblCellMar>
        <w:tblLook w:val="04A0" w:firstRow="1" w:lastRow="0" w:firstColumn="1" w:lastColumn="0" w:noHBand="0" w:noVBand="1"/>
      </w:tblPr>
      <w:tblGrid>
        <w:gridCol w:w="9245"/>
      </w:tblGrid>
      <w:tr w:rsidR="00FA12D2" w:rsidRPr="005D3BB6" w14:paraId="1113E857" w14:textId="77777777" w:rsidTr="00961EE6">
        <w:trPr>
          <w:trHeight w:val="2698"/>
        </w:trPr>
        <w:tc>
          <w:tcPr>
            <w:tcW w:w="9245" w:type="dxa"/>
            <w:tcBorders>
              <w:top w:val="single" w:sz="4" w:space="0" w:color="000000"/>
              <w:left w:val="single" w:sz="4" w:space="0" w:color="000000"/>
              <w:bottom w:val="single" w:sz="4" w:space="0" w:color="000000"/>
              <w:right w:val="single" w:sz="4" w:space="0" w:color="000000"/>
            </w:tcBorders>
          </w:tcPr>
          <w:p w14:paraId="4DF9C1A9" w14:textId="77777777" w:rsidR="00873E3C" w:rsidRPr="005D3BB6" w:rsidRDefault="00873E3C" w:rsidP="005D3BB6">
            <w:pPr>
              <w:spacing w:after="112" w:line="360" w:lineRule="auto"/>
              <w:ind w:right="63"/>
              <w:jc w:val="center"/>
              <w:rPr>
                <w:rFonts w:ascii="Arial" w:eastAsia="Times New Roman" w:hAnsi="Arial" w:cs="Arial"/>
                <w:sz w:val="24"/>
                <w:szCs w:val="24"/>
              </w:rPr>
            </w:pPr>
            <w:r w:rsidRPr="005D3BB6">
              <w:rPr>
                <w:rFonts w:ascii="Arial" w:eastAsia="Times New Roman" w:hAnsi="Arial" w:cs="Arial"/>
                <w:b/>
                <w:sz w:val="24"/>
                <w:szCs w:val="24"/>
              </w:rPr>
              <w:t xml:space="preserve">Organisational Context </w:t>
            </w:r>
          </w:p>
          <w:p w14:paraId="379D873E" w14:textId="00EF56C1" w:rsidR="0063433E" w:rsidRPr="005D3BB6" w:rsidRDefault="00873E3C" w:rsidP="005D3BB6">
            <w:pPr>
              <w:spacing w:after="35" w:line="360" w:lineRule="auto"/>
              <w:rPr>
                <w:rFonts w:ascii="Arial" w:eastAsia="Times New Roman" w:hAnsi="Arial" w:cs="Arial"/>
                <w:color w:val="FF0000"/>
                <w:sz w:val="24"/>
                <w:szCs w:val="24"/>
              </w:rPr>
            </w:pPr>
            <w:r w:rsidRPr="005D3BB6">
              <w:rPr>
                <w:rFonts w:ascii="Arial" w:eastAsia="Times New Roman" w:hAnsi="Arial" w:cs="Arial"/>
                <w:b/>
                <w:color w:val="FF0000"/>
                <w:sz w:val="24"/>
                <w:szCs w:val="24"/>
              </w:rPr>
              <w:t xml:space="preserve">                  </w:t>
            </w:r>
            <w:r w:rsidRPr="005D3BB6">
              <w:rPr>
                <w:rFonts w:ascii="Arial" w:eastAsia="Times New Roman" w:hAnsi="Arial" w:cs="Arial"/>
                <w:b/>
                <w:sz w:val="24"/>
                <w:szCs w:val="24"/>
              </w:rPr>
              <w:t xml:space="preserve">Macro context                               </w:t>
            </w:r>
            <w:r w:rsidR="007D3794" w:rsidRPr="005D3BB6">
              <w:rPr>
                <w:rFonts w:ascii="Arial" w:eastAsia="Times New Roman" w:hAnsi="Arial" w:cs="Arial"/>
                <w:b/>
                <w:sz w:val="24"/>
                <w:szCs w:val="24"/>
              </w:rPr>
              <w:t xml:space="preserve">                        </w:t>
            </w:r>
            <w:r w:rsidRPr="005D3BB6">
              <w:rPr>
                <w:rFonts w:ascii="Arial" w:eastAsia="Times New Roman" w:hAnsi="Arial" w:cs="Arial"/>
                <w:b/>
                <w:sz w:val="24"/>
                <w:szCs w:val="24"/>
              </w:rPr>
              <w:t>Micro Context</w:t>
            </w:r>
            <w:r w:rsidRPr="005D3BB6">
              <w:rPr>
                <w:rFonts w:ascii="Arial" w:eastAsia="Times New Roman" w:hAnsi="Arial" w:cs="Arial"/>
                <w:sz w:val="24"/>
                <w:szCs w:val="24"/>
              </w:rPr>
              <w:t xml:space="preserve">  </w:t>
            </w:r>
          </w:p>
          <w:p w14:paraId="02D143B2" w14:textId="0DF60E9E" w:rsidR="0063433E" w:rsidRPr="005D3BB6" w:rsidRDefault="00B27EE7" w:rsidP="005D3BB6">
            <w:pPr>
              <w:spacing w:after="35" w:line="360" w:lineRule="auto"/>
              <w:rPr>
                <w:rFonts w:ascii="Arial" w:eastAsia="Times New Roman" w:hAnsi="Arial" w:cs="Arial"/>
                <w:color w:val="FF0000"/>
                <w:sz w:val="24"/>
                <w:szCs w:val="24"/>
              </w:rPr>
            </w:pPr>
            <w:r w:rsidRPr="005D3BB6">
              <w:rPr>
                <w:rFonts w:ascii="Arial" w:eastAsia="Times New Roman" w:hAnsi="Arial" w:cs="Arial"/>
                <w:sz w:val="24"/>
                <w:szCs w:val="24"/>
              </w:rPr>
              <w:t>Organisation and</w:t>
            </w:r>
            <w:r w:rsidR="00873E3C" w:rsidRPr="005D3BB6">
              <w:rPr>
                <w:rFonts w:ascii="Arial" w:eastAsia="Times New Roman" w:hAnsi="Arial" w:cs="Arial"/>
                <w:sz w:val="24"/>
                <w:szCs w:val="24"/>
              </w:rPr>
              <w:t xml:space="preserve"> sector    </w:t>
            </w:r>
            <w:r w:rsidR="00873E3C" w:rsidRPr="005D3BB6">
              <w:rPr>
                <w:rFonts w:ascii="Arial" w:eastAsia="Segoe UI Symbol" w:hAnsi="Arial" w:cs="Arial"/>
                <w:color w:val="FF0000"/>
                <w:sz w:val="24"/>
                <w:szCs w:val="24"/>
              </w:rPr>
              <w:t xml:space="preserve">             </w:t>
            </w:r>
            <w:r w:rsidR="007D3794" w:rsidRPr="005D3BB6">
              <w:rPr>
                <w:rFonts w:ascii="Arial" w:eastAsia="Segoe UI Symbol" w:hAnsi="Arial" w:cs="Arial"/>
                <w:color w:val="FF0000"/>
                <w:sz w:val="24"/>
                <w:szCs w:val="24"/>
              </w:rPr>
              <w:t xml:space="preserve">                  </w:t>
            </w:r>
            <w:r w:rsidR="00873E3C" w:rsidRPr="005D3BB6">
              <w:rPr>
                <w:rFonts w:ascii="Arial" w:eastAsia="Segoe UI Symbol" w:hAnsi="Arial" w:cs="Arial"/>
                <w:color w:val="FF0000"/>
                <w:sz w:val="24"/>
                <w:szCs w:val="24"/>
              </w:rPr>
              <w:t xml:space="preserve"> </w:t>
            </w:r>
            <w:r w:rsidR="007D3794" w:rsidRPr="005D3BB6">
              <w:rPr>
                <w:rFonts w:ascii="Arial" w:eastAsia="Segoe UI Symbol" w:hAnsi="Arial" w:cs="Arial"/>
                <w:color w:val="FF0000"/>
                <w:sz w:val="24"/>
                <w:szCs w:val="24"/>
              </w:rPr>
              <w:t xml:space="preserve">               </w:t>
            </w:r>
            <w:r w:rsidR="00873E3C" w:rsidRPr="005D3BB6">
              <w:rPr>
                <w:rFonts w:ascii="Arial" w:eastAsia="Segoe UI Symbol" w:hAnsi="Arial" w:cs="Arial"/>
                <w:color w:val="FF0000"/>
                <w:sz w:val="24"/>
                <w:szCs w:val="24"/>
              </w:rPr>
              <w:t xml:space="preserve"> </w:t>
            </w:r>
            <w:r w:rsidR="00873E3C" w:rsidRPr="005D3BB6">
              <w:rPr>
                <w:rFonts w:ascii="Arial" w:eastAsia="Segoe UI Symbol" w:hAnsi="Arial" w:cs="Arial"/>
                <w:sz w:val="24"/>
                <w:szCs w:val="24"/>
              </w:rPr>
              <w:t>•</w:t>
            </w:r>
            <w:r w:rsidR="00873E3C" w:rsidRPr="005D3BB6">
              <w:rPr>
                <w:rFonts w:ascii="Arial" w:eastAsia="Arial" w:hAnsi="Arial" w:cs="Arial"/>
                <w:color w:val="FF0000"/>
                <w:sz w:val="24"/>
                <w:szCs w:val="24"/>
              </w:rPr>
              <w:t xml:space="preserve"> </w:t>
            </w:r>
            <w:r w:rsidR="007D3794" w:rsidRPr="005D3BB6">
              <w:rPr>
                <w:rFonts w:ascii="Arial" w:eastAsia="Times New Roman" w:hAnsi="Arial" w:cs="Arial"/>
                <w:sz w:val="24"/>
                <w:szCs w:val="24"/>
              </w:rPr>
              <w:t xml:space="preserve">Nature of organization to recognize </w:t>
            </w:r>
            <w:r w:rsidR="00873E3C" w:rsidRPr="005D3BB6">
              <w:rPr>
                <w:rFonts w:ascii="Arial" w:eastAsia="Times New Roman" w:hAnsi="Arial" w:cs="Arial"/>
                <w:sz w:val="24"/>
                <w:szCs w:val="24"/>
              </w:rPr>
              <w:t xml:space="preserve"> </w:t>
            </w:r>
          </w:p>
          <w:p w14:paraId="10330A04" w14:textId="5185B5DC" w:rsidR="00873E3C" w:rsidRPr="005D3BB6" w:rsidRDefault="00873E3C" w:rsidP="005D3BB6">
            <w:pPr>
              <w:spacing w:after="35" w:line="360" w:lineRule="auto"/>
              <w:rPr>
                <w:rFonts w:ascii="Arial" w:eastAsia="Times New Roman" w:hAnsi="Arial" w:cs="Arial"/>
                <w:color w:val="FF0000"/>
                <w:sz w:val="24"/>
                <w:szCs w:val="24"/>
              </w:rPr>
            </w:pPr>
            <w:r w:rsidRPr="005D3BB6">
              <w:rPr>
                <w:rFonts w:ascii="Arial" w:eastAsia="Times New Roman" w:hAnsi="Arial" w:cs="Arial"/>
                <w:sz w:val="24"/>
                <w:szCs w:val="24"/>
              </w:rPr>
              <w:t>Str</w:t>
            </w:r>
            <w:r w:rsidR="007D3794" w:rsidRPr="005D3BB6">
              <w:rPr>
                <w:rFonts w:ascii="Arial" w:eastAsia="Times New Roman" w:hAnsi="Arial" w:cs="Arial"/>
                <w:sz w:val="24"/>
                <w:szCs w:val="24"/>
              </w:rPr>
              <w:t xml:space="preserve">ategic or institutional need </w:t>
            </w:r>
            <w:r w:rsidRPr="005D3BB6">
              <w:rPr>
                <w:rFonts w:ascii="Arial" w:eastAsia="Times New Roman" w:hAnsi="Arial" w:cs="Arial"/>
                <w:color w:val="FF0000"/>
                <w:sz w:val="24"/>
                <w:szCs w:val="24"/>
              </w:rPr>
              <w:t xml:space="preserve">                </w:t>
            </w:r>
            <w:r w:rsidRPr="005D3BB6">
              <w:rPr>
                <w:rFonts w:ascii="Arial" w:eastAsia="Times New Roman" w:hAnsi="Arial" w:cs="Arial"/>
                <w:color w:val="FF0000"/>
                <w:sz w:val="24"/>
                <w:szCs w:val="24"/>
              </w:rPr>
              <w:tab/>
            </w:r>
            <w:r w:rsidR="0063433E" w:rsidRPr="005D3BB6">
              <w:rPr>
                <w:rFonts w:ascii="Arial" w:eastAsia="Times New Roman" w:hAnsi="Arial" w:cs="Arial"/>
                <w:color w:val="FF0000"/>
                <w:sz w:val="24"/>
                <w:szCs w:val="24"/>
              </w:rPr>
              <w:t xml:space="preserve">      </w:t>
            </w:r>
            <w:r w:rsidR="007D3794" w:rsidRPr="005D3BB6">
              <w:rPr>
                <w:rFonts w:ascii="Arial" w:eastAsia="Times New Roman" w:hAnsi="Arial" w:cs="Arial"/>
                <w:color w:val="FF0000"/>
                <w:sz w:val="24"/>
                <w:szCs w:val="24"/>
              </w:rPr>
              <w:t xml:space="preserve">                      </w:t>
            </w:r>
            <w:r w:rsidR="0063433E" w:rsidRPr="005D3BB6">
              <w:rPr>
                <w:rFonts w:ascii="Arial" w:eastAsia="Times New Roman" w:hAnsi="Arial" w:cs="Arial"/>
                <w:color w:val="FF0000"/>
                <w:sz w:val="24"/>
                <w:szCs w:val="24"/>
              </w:rPr>
              <w:t xml:space="preserve"> </w:t>
            </w:r>
            <w:r w:rsidR="007D3794" w:rsidRPr="005D3BB6">
              <w:rPr>
                <w:rFonts w:ascii="Arial" w:eastAsia="Times New Roman" w:hAnsi="Arial" w:cs="Arial"/>
                <w:sz w:val="24"/>
                <w:szCs w:val="24"/>
              </w:rPr>
              <w:t>diversity training needs</w:t>
            </w:r>
            <w:r w:rsidRPr="005D3BB6">
              <w:rPr>
                <w:rFonts w:ascii="Arial" w:eastAsia="Times New Roman" w:hAnsi="Arial" w:cs="Arial"/>
                <w:sz w:val="24"/>
                <w:szCs w:val="24"/>
              </w:rPr>
              <w:t xml:space="preserve">                           </w:t>
            </w:r>
            <w:r w:rsidRPr="005D3BB6">
              <w:rPr>
                <w:rFonts w:ascii="Arial" w:eastAsia="Times New Roman" w:hAnsi="Arial" w:cs="Arial"/>
                <w:b/>
                <w:sz w:val="24"/>
                <w:szCs w:val="24"/>
              </w:rPr>
              <w:t xml:space="preserve">    </w:t>
            </w:r>
            <w:r w:rsidRPr="005D3BB6">
              <w:rPr>
                <w:rFonts w:ascii="Arial" w:eastAsia="Times New Roman" w:hAnsi="Arial" w:cs="Arial"/>
                <w:sz w:val="24"/>
                <w:szCs w:val="24"/>
              </w:rPr>
              <w:t xml:space="preserve">          </w:t>
            </w:r>
            <w:r w:rsidR="0063433E" w:rsidRPr="005D3BB6">
              <w:rPr>
                <w:rFonts w:ascii="Arial" w:eastAsia="Times New Roman" w:hAnsi="Arial" w:cs="Arial"/>
                <w:sz w:val="24"/>
                <w:szCs w:val="24"/>
              </w:rPr>
              <w:t xml:space="preserve">        </w:t>
            </w:r>
            <w:r w:rsidRPr="005D3BB6">
              <w:rPr>
                <w:rFonts w:ascii="Arial" w:eastAsia="Times New Roman" w:hAnsi="Arial" w:cs="Arial"/>
                <w:sz w:val="24"/>
                <w:szCs w:val="24"/>
              </w:rPr>
              <w:t xml:space="preserve"> </w:t>
            </w:r>
            <w:r w:rsidR="007D3794" w:rsidRPr="005D3BB6">
              <w:rPr>
                <w:rFonts w:ascii="Arial" w:eastAsia="Times New Roman" w:hAnsi="Arial" w:cs="Arial"/>
                <w:sz w:val="24"/>
                <w:szCs w:val="24"/>
              </w:rPr>
              <w:t>Attendance requirements</w:t>
            </w:r>
            <w:r w:rsidR="0063433E" w:rsidRPr="005D3BB6">
              <w:rPr>
                <w:rFonts w:ascii="Arial" w:eastAsia="Times New Roman" w:hAnsi="Arial" w:cs="Arial"/>
                <w:sz w:val="24"/>
                <w:szCs w:val="24"/>
              </w:rPr>
              <w:t xml:space="preserve"> </w:t>
            </w:r>
            <w:r w:rsidRPr="005D3BB6">
              <w:rPr>
                <w:rFonts w:ascii="Arial" w:eastAsia="Times New Roman" w:hAnsi="Arial" w:cs="Arial"/>
                <w:sz w:val="24"/>
                <w:szCs w:val="24"/>
              </w:rPr>
              <w:t xml:space="preserve">              </w:t>
            </w:r>
            <w:r w:rsidRPr="005D3BB6">
              <w:rPr>
                <w:rFonts w:ascii="Arial" w:eastAsia="Times New Roman" w:hAnsi="Arial" w:cs="Arial"/>
                <w:b/>
                <w:sz w:val="24"/>
                <w:szCs w:val="24"/>
              </w:rPr>
              <w:t xml:space="preserve">   </w:t>
            </w:r>
            <w:r w:rsidRPr="005D3BB6">
              <w:rPr>
                <w:rFonts w:ascii="Arial" w:eastAsia="Times New Roman" w:hAnsi="Arial" w:cs="Arial"/>
                <w:sz w:val="24"/>
                <w:szCs w:val="24"/>
              </w:rPr>
              <w:t xml:space="preserve">                                      </w:t>
            </w:r>
          </w:p>
        </w:tc>
      </w:tr>
    </w:tbl>
    <w:p w14:paraId="43C4FD83" w14:textId="77777777" w:rsidR="00873E3C" w:rsidRPr="005D3BB6" w:rsidRDefault="00873E3C" w:rsidP="005D3BB6">
      <w:pPr>
        <w:spacing w:after="0" w:line="360" w:lineRule="auto"/>
        <w:rPr>
          <w:rFonts w:ascii="Arial" w:eastAsia="Times New Roman" w:hAnsi="Arial" w:cs="Arial"/>
          <w:color w:val="FF0000"/>
          <w:sz w:val="24"/>
          <w:szCs w:val="24"/>
          <w:lang w:eastAsia="en-GB"/>
        </w:rPr>
      </w:pPr>
      <w:r w:rsidRPr="005D3BB6">
        <w:rPr>
          <w:rFonts w:ascii="Arial" w:eastAsia="Times New Roman" w:hAnsi="Arial" w:cs="Arial"/>
          <w:b/>
          <w:color w:val="FF0000"/>
          <w:sz w:val="24"/>
          <w:szCs w:val="24"/>
          <w:lang w:eastAsia="en-GB"/>
        </w:rPr>
        <w:t xml:space="preserve"> </w:t>
      </w:r>
    </w:p>
    <w:tbl>
      <w:tblPr>
        <w:tblStyle w:val="TableGrid"/>
        <w:tblW w:w="9245" w:type="dxa"/>
        <w:tblInd w:w="-110" w:type="dxa"/>
        <w:tblCellMar>
          <w:top w:w="12" w:type="dxa"/>
          <w:left w:w="110" w:type="dxa"/>
          <w:right w:w="53" w:type="dxa"/>
        </w:tblCellMar>
        <w:tblLook w:val="04A0" w:firstRow="1" w:lastRow="0" w:firstColumn="1" w:lastColumn="0" w:noHBand="0" w:noVBand="1"/>
      </w:tblPr>
      <w:tblGrid>
        <w:gridCol w:w="9245"/>
      </w:tblGrid>
      <w:tr w:rsidR="00FA12D2" w:rsidRPr="005D3BB6" w14:paraId="0BD69A94" w14:textId="77777777" w:rsidTr="00961EE6">
        <w:trPr>
          <w:trHeight w:val="5117"/>
        </w:trPr>
        <w:tc>
          <w:tcPr>
            <w:tcW w:w="9245" w:type="dxa"/>
            <w:tcBorders>
              <w:top w:val="single" w:sz="4" w:space="0" w:color="000000"/>
              <w:left w:val="single" w:sz="4" w:space="0" w:color="000000"/>
              <w:bottom w:val="single" w:sz="4" w:space="0" w:color="000000"/>
              <w:right w:val="single" w:sz="4" w:space="0" w:color="000000"/>
            </w:tcBorders>
          </w:tcPr>
          <w:p w14:paraId="32294468" w14:textId="5B8493C0" w:rsidR="00873E3C" w:rsidRPr="005D3BB6" w:rsidRDefault="00873E3C" w:rsidP="005D3BB6">
            <w:pPr>
              <w:spacing w:after="16" w:line="360" w:lineRule="auto"/>
              <w:ind w:right="55"/>
              <w:jc w:val="center"/>
              <w:rPr>
                <w:rFonts w:ascii="Arial" w:eastAsia="Times New Roman" w:hAnsi="Arial" w:cs="Arial"/>
                <w:b/>
                <w:sz w:val="24"/>
                <w:szCs w:val="24"/>
              </w:rPr>
            </w:pPr>
            <w:r w:rsidRPr="005D3BB6">
              <w:rPr>
                <w:rFonts w:ascii="Arial" w:eastAsia="Times New Roman" w:hAnsi="Arial" w:cs="Arial"/>
                <w:b/>
                <w:sz w:val="24"/>
                <w:szCs w:val="24"/>
              </w:rPr>
              <w:lastRenderedPageBreak/>
              <w:t>Diversity Training Design Programmes Level</w:t>
            </w:r>
          </w:p>
          <w:p w14:paraId="0825064B" w14:textId="77777777" w:rsidR="00873E3C" w:rsidRPr="005D3BB6" w:rsidRDefault="00873E3C" w:rsidP="005D3BB6">
            <w:pPr>
              <w:spacing w:after="16" w:line="360" w:lineRule="auto"/>
              <w:ind w:right="55"/>
              <w:jc w:val="center"/>
              <w:rPr>
                <w:rFonts w:ascii="Arial" w:eastAsia="Times New Roman" w:hAnsi="Arial" w:cs="Arial"/>
                <w:color w:val="FF0000"/>
                <w:sz w:val="24"/>
                <w:szCs w:val="24"/>
              </w:rPr>
            </w:pPr>
          </w:p>
          <w:p w14:paraId="74321887" w14:textId="77777777" w:rsidR="00873E3C" w:rsidRPr="005D3BB6" w:rsidRDefault="00873E3C" w:rsidP="005D3BB6">
            <w:pPr>
              <w:spacing w:after="36" w:line="360" w:lineRule="auto"/>
              <w:rPr>
                <w:rFonts w:ascii="Arial" w:eastAsia="Times New Roman" w:hAnsi="Arial" w:cs="Arial"/>
                <w:sz w:val="24"/>
                <w:szCs w:val="24"/>
              </w:rPr>
            </w:pPr>
            <w:r w:rsidRPr="005D3BB6">
              <w:rPr>
                <w:rFonts w:ascii="Arial" w:eastAsia="Times New Roman" w:hAnsi="Arial" w:cs="Arial"/>
                <w:b/>
                <w:sz w:val="24"/>
                <w:szCs w:val="24"/>
              </w:rPr>
              <w:t xml:space="preserve">                        Pre-Training                             Post-Training</w:t>
            </w:r>
            <w:r w:rsidRPr="005D3BB6">
              <w:rPr>
                <w:rFonts w:ascii="Arial" w:eastAsia="Times New Roman" w:hAnsi="Arial" w:cs="Arial"/>
                <w:sz w:val="24"/>
                <w:szCs w:val="24"/>
              </w:rPr>
              <w:t xml:space="preserve">  </w:t>
            </w:r>
          </w:p>
          <w:p w14:paraId="40E3EF93" w14:textId="46D035F4" w:rsidR="00873E3C" w:rsidRPr="005D3BB6" w:rsidRDefault="00873E3C" w:rsidP="005D3BB6">
            <w:pPr>
              <w:numPr>
                <w:ilvl w:val="0"/>
                <w:numId w:val="4"/>
              </w:numPr>
              <w:spacing w:after="15" w:line="360" w:lineRule="auto"/>
              <w:ind w:right="123"/>
              <w:jc w:val="both"/>
              <w:rPr>
                <w:rFonts w:ascii="Arial" w:eastAsia="Times New Roman" w:hAnsi="Arial" w:cs="Arial"/>
                <w:color w:val="FF0000"/>
                <w:sz w:val="24"/>
                <w:szCs w:val="24"/>
              </w:rPr>
            </w:pPr>
            <w:r w:rsidRPr="005D3BB6">
              <w:rPr>
                <w:rFonts w:ascii="Arial" w:eastAsia="Times New Roman" w:hAnsi="Arial" w:cs="Arial"/>
                <w:sz w:val="24"/>
                <w:szCs w:val="24"/>
              </w:rPr>
              <w:t>Divers</w:t>
            </w:r>
            <w:r w:rsidR="00403596" w:rsidRPr="005D3BB6">
              <w:rPr>
                <w:rFonts w:ascii="Arial" w:eastAsia="Times New Roman" w:hAnsi="Arial" w:cs="Arial"/>
                <w:sz w:val="24"/>
                <w:szCs w:val="24"/>
              </w:rPr>
              <w:t xml:space="preserve">ity training and outcome </w:t>
            </w:r>
            <w:r w:rsidRPr="005D3BB6">
              <w:rPr>
                <w:rFonts w:ascii="Arial" w:eastAsia="Times New Roman" w:hAnsi="Arial" w:cs="Arial"/>
                <w:sz w:val="24"/>
                <w:szCs w:val="24"/>
              </w:rPr>
              <w:t xml:space="preserve">      </w:t>
            </w:r>
            <w:r w:rsidR="00403596" w:rsidRPr="005D3BB6">
              <w:rPr>
                <w:rFonts w:ascii="Arial" w:eastAsia="Times New Roman" w:hAnsi="Arial" w:cs="Arial"/>
                <w:sz w:val="24"/>
                <w:szCs w:val="24"/>
              </w:rPr>
              <w:t xml:space="preserve">      </w:t>
            </w:r>
            <w:r w:rsidRPr="005D3BB6">
              <w:rPr>
                <w:rFonts w:ascii="Arial" w:eastAsia="Times New Roman" w:hAnsi="Arial" w:cs="Arial"/>
                <w:sz w:val="24"/>
                <w:szCs w:val="24"/>
              </w:rPr>
              <w:t xml:space="preserve">   </w:t>
            </w:r>
            <w:r w:rsidRPr="005D3BB6">
              <w:rPr>
                <w:rFonts w:ascii="Arial" w:eastAsia="Segoe UI Symbol" w:hAnsi="Arial" w:cs="Arial"/>
                <w:sz w:val="24"/>
                <w:szCs w:val="24"/>
              </w:rPr>
              <w:t>•</w:t>
            </w:r>
            <w:r w:rsidRPr="005D3BB6">
              <w:rPr>
                <w:rFonts w:ascii="Arial" w:eastAsia="Arial" w:hAnsi="Arial" w:cs="Arial"/>
                <w:sz w:val="24"/>
                <w:szCs w:val="24"/>
              </w:rPr>
              <w:t xml:space="preserve"> </w:t>
            </w:r>
            <w:r w:rsidR="00403596" w:rsidRPr="005D3BB6">
              <w:rPr>
                <w:rFonts w:ascii="Arial" w:eastAsia="Times New Roman" w:hAnsi="Arial" w:cs="Arial"/>
                <w:sz w:val="24"/>
                <w:szCs w:val="24"/>
              </w:rPr>
              <w:t xml:space="preserve">Support to imbibe training </w:t>
            </w:r>
            <w:r w:rsidRPr="005D3BB6">
              <w:rPr>
                <w:rFonts w:ascii="Arial" w:eastAsia="Times New Roman" w:hAnsi="Arial" w:cs="Arial"/>
                <w:sz w:val="24"/>
                <w:szCs w:val="24"/>
              </w:rPr>
              <w:t xml:space="preserve"> </w:t>
            </w:r>
          </w:p>
          <w:p w14:paraId="036AB00D" w14:textId="59B77596" w:rsidR="00873E3C" w:rsidRPr="005D3BB6" w:rsidRDefault="00873E3C" w:rsidP="005D3BB6">
            <w:pPr>
              <w:numPr>
                <w:ilvl w:val="0"/>
                <w:numId w:val="4"/>
              </w:numPr>
              <w:spacing w:after="3" w:line="360" w:lineRule="auto"/>
              <w:ind w:right="123"/>
              <w:jc w:val="both"/>
              <w:rPr>
                <w:rFonts w:ascii="Arial" w:eastAsia="Times New Roman" w:hAnsi="Arial" w:cs="Arial"/>
                <w:color w:val="FF0000"/>
                <w:sz w:val="24"/>
                <w:szCs w:val="24"/>
              </w:rPr>
            </w:pPr>
            <w:r w:rsidRPr="005D3BB6">
              <w:rPr>
                <w:rFonts w:ascii="Arial" w:eastAsia="Times New Roman" w:hAnsi="Arial" w:cs="Arial"/>
                <w:sz w:val="24"/>
                <w:szCs w:val="24"/>
              </w:rPr>
              <w:t xml:space="preserve">Definition </w:t>
            </w:r>
            <w:r w:rsidR="00403596" w:rsidRPr="005D3BB6">
              <w:rPr>
                <w:rFonts w:ascii="Arial" w:eastAsia="Times New Roman" w:hAnsi="Arial" w:cs="Arial"/>
                <w:sz w:val="24"/>
                <w:szCs w:val="24"/>
              </w:rPr>
              <w:t xml:space="preserve"> </w:t>
            </w:r>
            <w:r w:rsidR="00403596" w:rsidRPr="005D3BB6">
              <w:rPr>
                <w:rFonts w:ascii="Arial" w:eastAsia="Times New Roman" w:hAnsi="Arial" w:cs="Arial"/>
                <w:color w:val="FF0000"/>
                <w:sz w:val="24"/>
                <w:szCs w:val="24"/>
              </w:rPr>
              <w:t xml:space="preserve">                                                </w:t>
            </w:r>
            <w:r w:rsidRPr="005D3BB6">
              <w:rPr>
                <w:rFonts w:ascii="Arial" w:eastAsia="Segoe UI Symbol" w:hAnsi="Arial" w:cs="Arial"/>
                <w:sz w:val="24"/>
                <w:szCs w:val="24"/>
              </w:rPr>
              <w:t>•</w:t>
            </w:r>
            <w:r w:rsidRPr="005D3BB6">
              <w:rPr>
                <w:rFonts w:ascii="Arial" w:eastAsia="Arial" w:hAnsi="Arial" w:cs="Arial"/>
                <w:sz w:val="24"/>
                <w:szCs w:val="24"/>
              </w:rPr>
              <w:t xml:space="preserve"> </w:t>
            </w:r>
            <w:r w:rsidR="00403596" w:rsidRPr="005D3BB6">
              <w:rPr>
                <w:rFonts w:ascii="Arial" w:eastAsia="Times New Roman" w:hAnsi="Arial" w:cs="Arial"/>
                <w:sz w:val="24"/>
                <w:szCs w:val="24"/>
              </w:rPr>
              <w:t xml:space="preserve">keep track of the evaluation process </w:t>
            </w:r>
            <w:r w:rsidRPr="005D3BB6">
              <w:rPr>
                <w:rFonts w:ascii="Arial" w:eastAsia="Times New Roman" w:hAnsi="Arial" w:cs="Arial"/>
                <w:sz w:val="24"/>
                <w:szCs w:val="24"/>
              </w:rPr>
              <w:t xml:space="preserve">     </w:t>
            </w:r>
          </w:p>
          <w:p w14:paraId="5C88ADAD" w14:textId="4E5A72A8" w:rsidR="00873E3C" w:rsidRPr="005D3BB6" w:rsidRDefault="00403596" w:rsidP="005D3BB6">
            <w:pPr>
              <w:numPr>
                <w:ilvl w:val="0"/>
                <w:numId w:val="4"/>
              </w:numPr>
              <w:spacing w:after="15" w:line="360" w:lineRule="auto"/>
              <w:ind w:right="123"/>
              <w:jc w:val="both"/>
              <w:rPr>
                <w:rFonts w:ascii="Arial" w:eastAsia="Times New Roman" w:hAnsi="Arial" w:cs="Arial"/>
                <w:sz w:val="24"/>
                <w:szCs w:val="24"/>
              </w:rPr>
            </w:pPr>
            <w:r w:rsidRPr="005D3BB6">
              <w:rPr>
                <w:rFonts w:ascii="Arial" w:eastAsia="Times New Roman" w:hAnsi="Arial" w:cs="Arial"/>
                <w:sz w:val="24"/>
                <w:szCs w:val="24"/>
              </w:rPr>
              <w:t xml:space="preserve">Selecting the trainers </w:t>
            </w:r>
          </w:p>
          <w:p w14:paraId="027BA576" w14:textId="19EFCEB0" w:rsidR="00873E3C" w:rsidRPr="005D3BB6" w:rsidRDefault="00403596" w:rsidP="005D3BB6">
            <w:pPr>
              <w:numPr>
                <w:ilvl w:val="0"/>
                <w:numId w:val="4"/>
              </w:numPr>
              <w:spacing w:after="3" w:line="360" w:lineRule="auto"/>
              <w:ind w:right="123"/>
              <w:jc w:val="both"/>
              <w:rPr>
                <w:rFonts w:ascii="Arial" w:eastAsia="Times New Roman" w:hAnsi="Arial" w:cs="Arial"/>
                <w:sz w:val="24"/>
                <w:szCs w:val="24"/>
              </w:rPr>
            </w:pPr>
            <w:r w:rsidRPr="005D3BB6">
              <w:rPr>
                <w:rFonts w:ascii="Arial" w:eastAsia="Times New Roman" w:hAnsi="Arial" w:cs="Arial"/>
                <w:sz w:val="24"/>
                <w:szCs w:val="24"/>
              </w:rPr>
              <w:t xml:space="preserve"> M</w:t>
            </w:r>
            <w:r w:rsidR="00873E3C" w:rsidRPr="005D3BB6">
              <w:rPr>
                <w:rFonts w:ascii="Arial" w:eastAsia="Times New Roman" w:hAnsi="Arial" w:cs="Arial"/>
                <w:sz w:val="24"/>
                <w:szCs w:val="24"/>
              </w:rPr>
              <w:t>ethods</w:t>
            </w:r>
            <w:r w:rsidR="00873E3C" w:rsidRPr="005D3BB6">
              <w:rPr>
                <w:rFonts w:ascii="Arial" w:eastAsia="Times New Roman" w:hAnsi="Arial" w:cs="Arial"/>
                <w:b/>
                <w:sz w:val="24"/>
                <w:szCs w:val="24"/>
              </w:rPr>
              <w:t xml:space="preserve"> </w:t>
            </w:r>
            <w:r w:rsidRPr="005D3BB6">
              <w:rPr>
                <w:rFonts w:ascii="Arial" w:eastAsia="Times New Roman" w:hAnsi="Arial" w:cs="Arial"/>
                <w:sz w:val="24"/>
                <w:szCs w:val="24"/>
              </w:rPr>
              <w:t xml:space="preserve">Used </w:t>
            </w:r>
          </w:p>
          <w:p w14:paraId="598D26E6" w14:textId="77777777" w:rsidR="00873E3C" w:rsidRPr="005D3BB6" w:rsidRDefault="00873E3C" w:rsidP="005D3BB6">
            <w:pPr>
              <w:spacing w:after="3" w:line="360" w:lineRule="auto"/>
              <w:ind w:left="360" w:right="123"/>
              <w:jc w:val="both"/>
              <w:rPr>
                <w:rFonts w:ascii="Arial" w:eastAsia="Times New Roman" w:hAnsi="Arial" w:cs="Arial"/>
                <w:color w:val="FF0000"/>
                <w:sz w:val="24"/>
                <w:szCs w:val="24"/>
              </w:rPr>
            </w:pPr>
          </w:p>
          <w:p w14:paraId="5C874AA6" w14:textId="77777777" w:rsidR="00873E3C" w:rsidRPr="005D3BB6" w:rsidRDefault="00873E3C" w:rsidP="005D3BB6">
            <w:pPr>
              <w:spacing w:after="112" w:line="360" w:lineRule="auto"/>
              <w:ind w:right="55"/>
              <w:jc w:val="center"/>
              <w:rPr>
                <w:rFonts w:ascii="Arial" w:eastAsia="Times New Roman" w:hAnsi="Arial" w:cs="Arial"/>
                <w:sz w:val="24"/>
                <w:szCs w:val="24"/>
              </w:rPr>
            </w:pPr>
            <w:r w:rsidRPr="005D3BB6">
              <w:rPr>
                <w:rFonts w:ascii="Arial" w:eastAsia="Times New Roman" w:hAnsi="Arial" w:cs="Arial"/>
                <w:b/>
                <w:sz w:val="24"/>
                <w:szCs w:val="24"/>
              </w:rPr>
              <w:t xml:space="preserve">Individual Level </w:t>
            </w:r>
          </w:p>
          <w:p w14:paraId="4D47B7A5" w14:textId="6E26F2C7" w:rsidR="00873E3C" w:rsidRPr="005D3BB6" w:rsidRDefault="00403596" w:rsidP="005D3BB6">
            <w:pPr>
              <w:spacing w:after="132" w:line="360" w:lineRule="auto"/>
              <w:rPr>
                <w:rFonts w:ascii="Arial" w:eastAsia="Times New Roman" w:hAnsi="Arial" w:cs="Arial"/>
                <w:color w:val="FF0000"/>
                <w:sz w:val="24"/>
                <w:szCs w:val="24"/>
              </w:rPr>
            </w:pPr>
            <w:r w:rsidRPr="005D3BB6">
              <w:rPr>
                <w:rFonts w:ascii="Arial" w:eastAsia="Times New Roman" w:hAnsi="Arial" w:cs="Arial"/>
                <w:b/>
                <w:sz w:val="24"/>
                <w:szCs w:val="24"/>
              </w:rPr>
              <w:t xml:space="preserve">                    </w:t>
            </w:r>
            <w:r w:rsidR="00873E3C" w:rsidRPr="005D3BB6">
              <w:rPr>
                <w:rFonts w:ascii="Arial" w:eastAsia="Times New Roman" w:hAnsi="Arial" w:cs="Arial"/>
                <w:b/>
                <w:sz w:val="24"/>
                <w:szCs w:val="24"/>
              </w:rPr>
              <w:t>Pre-Training                                                     Post-Training</w:t>
            </w:r>
            <w:r w:rsidR="00873E3C" w:rsidRPr="005D3BB6">
              <w:rPr>
                <w:rFonts w:ascii="Arial" w:eastAsia="Times New Roman" w:hAnsi="Arial" w:cs="Arial"/>
                <w:sz w:val="24"/>
                <w:szCs w:val="24"/>
              </w:rPr>
              <w:t xml:space="preserve">  </w:t>
            </w:r>
          </w:p>
          <w:p w14:paraId="535D10A7" w14:textId="69E64542" w:rsidR="00873E3C" w:rsidRPr="005D3BB6" w:rsidRDefault="001F1990" w:rsidP="005D3BB6">
            <w:pPr>
              <w:numPr>
                <w:ilvl w:val="0"/>
                <w:numId w:val="4"/>
              </w:numPr>
              <w:spacing w:after="15" w:line="360" w:lineRule="auto"/>
              <w:ind w:right="123"/>
              <w:jc w:val="both"/>
              <w:rPr>
                <w:rFonts w:ascii="Arial" w:eastAsia="Times New Roman" w:hAnsi="Arial" w:cs="Arial"/>
                <w:color w:val="FF0000"/>
                <w:sz w:val="24"/>
                <w:szCs w:val="24"/>
              </w:rPr>
            </w:pPr>
            <w:r w:rsidRPr="005D3BB6">
              <w:rPr>
                <w:rFonts w:ascii="Arial" w:eastAsia="Times New Roman" w:hAnsi="Arial" w:cs="Arial"/>
                <w:sz w:val="24"/>
                <w:szCs w:val="24"/>
              </w:rPr>
              <w:t>Attitude on diversity at work</w:t>
            </w:r>
            <w:r w:rsidR="00873E3C" w:rsidRPr="005D3BB6">
              <w:rPr>
                <w:rFonts w:ascii="Arial" w:eastAsia="Times New Roman" w:hAnsi="Arial" w:cs="Arial"/>
                <w:color w:val="FF0000"/>
                <w:sz w:val="24"/>
                <w:szCs w:val="24"/>
              </w:rPr>
              <w:t xml:space="preserve">                     </w:t>
            </w:r>
            <w:r w:rsidRPr="005D3BB6">
              <w:rPr>
                <w:rFonts w:ascii="Arial" w:eastAsia="Times New Roman" w:hAnsi="Arial" w:cs="Arial"/>
                <w:color w:val="FF0000"/>
                <w:sz w:val="24"/>
                <w:szCs w:val="24"/>
              </w:rPr>
              <w:t xml:space="preserve"> </w:t>
            </w:r>
            <w:r w:rsidR="00873E3C" w:rsidRPr="005D3BB6">
              <w:rPr>
                <w:rFonts w:ascii="Arial" w:eastAsia="Times New Roman" w:hAnsi="Arial" w:cs="Arial"/>
                <w:sz w:val="24"/>
                <w:szCs w:val="24"/>
              </w:rPr>
              <w:t xml:space="preserve"> </w:t>
            </w:r>
            <w:r w:rsidR="00873E3C" w:rsidRPr="005D3BB6">
              <w:rPr>
                <w:rFonts w:ascii="Arial" w:eastAsia="Segoe UI Symbol" w:hAnsi="Arial" w:cs="Arial"/>
                <w:sz w:val="24"/>
                <w:szCs w:val="24"/>
              </w:rPr>
              <w:t>•</w:t>
            </w:r>
            <w:r w:rsidR="00873E3C" w:rsidRPr="005D3BB6">
              <w:rPr>
                <w:rFonts w:ascii="Arial" w:eastAsia="Arial" w:hAnsi="Arial" w:cs="Arial"/>
                <w:sz w:val="24"/>
                <w:szCs w:val="24"/>
              </w:rPr>
              <w:t xml:space="preserve"> </w:t>
            </w:r>
            <w:r w:rsidRPr="005D3BB6">
              <w:rPr>
                <w:rFonts w:ascii="Arial" w:eastAsia="Times New Roman" w:hAnsi="Arial" w:cs="Arial"/>
                <w:sz w:val="24"/>
                <w:szCs w:val="24"/>
              </w:rPr>
              <w:t>Motivation to last during work</w:t>
            </w:r>
            <w:r w:rsidR="00873E3C" w:rsidRPr="005D3BB6">
              <w:rPr>
                <w:rFonts w:ascii="Arial" w:eastAsia="Times New Roman" w:hAnsi="Arial" w:cs="Arial"/>
                <w:sz w:val="24"/>
                <w:szCs w:val="24"/>
              </w:rPr>
              <w:t xml:space="preserve"> </w:t>
            </w:r>
          </w:p>
          <w:p w14:paraId="3454BD19" w14:textId="05D7067B" w:rsidR="00873E3C" w:rsidRPr="005D3BB6" w:rsidRDefault="001F1990" w:rsidP="005D3BB6">
            <w:pPr>
              <w:numPr>
                <w:ilvl w:val="0"/>
                <w:numId w:val="4"/>
              </w:numPr>
              <w:spacing w:after="10" w:line="360" w:lineRule="auto"/>
              <w:ind w:right="123"/>
              <w:jc w:val="both"/>
              <w:rPr>
                <w:rFonts w:ascii="Arial" w:eastAsia="Times New Roman" w:hAnsi="Arial" w:cs="Arial"/>
                <w:color w:val="FF0000"/>
                <w:sz w:val="24"/>
                <w:szCs w:val="24"/>
              </w:rPr>
            </w:pPr>
            <w:r w:rsidRPr="005D3BB6">
              <w:rPr>
                <w:rFonts w:ascii="Arial" w:eastAsia="Times New Roman" w:hAnsi="Arial" w:cs="Arial"/>
                <w:sz w:val="24"/>
                <w:szCs w:val="24"/>
              </w:rPr>
              <w:t xml:space="preserve">Motivation to learn new things                    </w:t>
            </w:r>
            <w:r w:rsidR="00873E3C" w:rsidRPr="005D3BB6">
              <w:rPr>
                <w:rFonts w:ascii="Arial" w:eastAsia="Times New Roman" w:hAnsi="Arial" w:cs="Arial"/>
                <w:sz w:val="24"/>
                <w:szCs w:val="24"/>
              </w:rPr>
              <w:t xml:space="preserve"> </w:t>
            </w:r>
            <w:r w:rsidR="00873E3C" w:rsidRPr="005D3BB6">
              <w:rPr>
                <w:rFonts w:ascii="Arial" w:eastAsia="Segoe UI Symbol" w:hAnsi="Arial" w:cs="Arial"/>
                <w:sz w:val="24"/>
                <w:szCs w:val="24"/>
              </w:rPr>
              <w:t>•</w:t>
            </w:r>
            <w:r w:rsidR="00873E3C" w:rsidRPr="005D3BB6">
              <w:rPr>
                <w:rFonts w:ascii="Arial" w:eastAsia="Arial" w:hAnsi="Arial" w:cs="Arial"/>
                <w:sz w:val="24"/>
                <w:szCs w:val="24"/>
              </w:rPr>
              <w:t xml:space="preserve"> </w:t>
            </w:r>
            <w:r w:rsidRPr="005D3BB6">
              <w:rPr>
                <w:rFonts w:ascii="Arial" w:eastAsia="Times New Roman" w:hAnsi="Arial" w:cs="Arial"/>
                <w:sz w:val="24"/>
                <w:szCs w:val="24"/>
              </w:rPr>
              <w:t>The self-efficacy to transfer the learning</w:t>
            </w:r>
            <w:r w:rsidR="00873E3C" w:rsidRPr="005D3BB6">
              <w:rPr>
                <w:rFonts w:ascii="Arial" w:eastAsia="Times New Roman" w:hAnsi="Arial" w:cs="Arial"/>
                <w:sz w:val="24"/>
                <w:szCs w:val="24"/>
              </w:rPr>
              <w:t xml:space="preserve"> </w:t>
            </w:r>
          </w:p>
          <w:p w14:paraId="31E7272C" w14:textId="4AE6947C" w:rsidR="00873E3C" w:rsidRPr="005D3BB6" w:rsidRDefault="001F1990" w:rsidP="005D3BB6">
            <w:pPr>
              <w:numPr>
                <w:ilvl w:val="0"/>
                <w:numId w:val="4"/>
              </w:numPr>
              <w:spacing w:after="3" w:line="360" w:lineRule="auto"/>
              <w:ind w:right="123"/>
              <w:jc w:val="both"/>
              <w:rPr>
                <w:rFonts w:ascii="Arial" w:eastAsia="Times New Roman" w:hAnsi="Arial" w:cs="Arial"/>
                <w:color w:val="FF0000"/>
                <w:sz w:val="24"/>
                <w:szCs w:val="24"/>
              </w:rPr>
            </w:pPr>
            <w:r w:rsidRPr="005D3BB6">
              <w:rPr>
                <w:rFonts w:ascii="Arial" w:eastAsia="Times New Roman" w:hAnsi="Arial" w:cs="Arial"/>
                <w:sz w:val="24"/>
                <w:szCs w:val="24"/>
              </w:rPr>
              <w:t>Differences in learning styles</w:t>
            </w:r>
            <w:r w:rsidR="00873E3C" w:rsidRPr="005D3BB6">
              <w:rPr>
                <w:rFonts w:ascii="Arial" w:eastAsia="Times New Roman" w:hAnsi="Arial" w:cs="Arial"/>
                <w:sz w:val="24"/>
                <w:szCs w:val="24"/>
              </w:rPr>
              <w:t xml:space="preserve">              </w:t>
            </w:r>
            <w:r w:rsidRPr="005D3BB6">
              <w:rPr>
                <w:rFonts w:ascii="Arial" w:eastAsia="Times New Roman" w:hAnsi="Arial" w:cs="Arial"/>
                <w:sz w:val="24"/>
                <w:szCs w:val="24"/>
              </w:rPr>
              <w:t xml:space="preserve">          </w:t>
            </w:r>
            <w:r w:rsidR="00873E3C" w:rsidRPr="005D3BB6">
              <w:rPr>
                <w:rFonts w:ascii="Arial" w:eastAsia="Segoe UI Symbol" w:hAnsi="Arial" w:cs="Arial"/>
                <w:sz w:val="24"/>
                <w:szCs w:val="24"/>
              </w:rPr>
              <w:t>•</w:t>
            </w:r>
            <w:r w:rsidR="00873E3C" w:rsidRPr="005D3BB6">
              <w:rPr>
                <w:rFonts w:ascii="Arial" w:eastAsia="Arial" w:hAnsi="Arial" w:cs="Arial"/>
                <w:color w:val="FF0000"/>
                <w:sz w:val="24"/>
                <w:szCs w:val="24"/>
              </w:rPr>
              <w:t xml:space="preserve"> </w:t>
            </w:r>
            <w:r w:rsidRPr="005D3BB6">
              <w:rPr>
                <w:rFonts w:ascii="Arial" w:eastAsia="Times New Roman" w:hAnsi="Arial" w:cs="Arial"/>
                <w:sz w:val="24"/>
                <w:szCs w:val="24"/>
              </w:rPr>
              <w:t xml:space="preserve">Reaction of </w:t>
            </w:r>
            <w:r w:rsidR="0009587E" w:rsidRPr="005D3BB6">
              <w:rPr>
                <w:rFonts w:ascii="Arial" w:eastAsia="Times New Roman" w:hAnsi="Arial" w:cs="Arial"/>
                <w:sz w:val="24"/>
                <w:szCs w:val="24"/>
              </w:rPr>
              <w:t>trainee towards</w:t>
            </w:r>
            <w:r w:rsidRPr="005D3BB6">
              <w:rPr>
                <w:rFonts w:ascii="Arial" w:eastAsia="Times New Roman" w:hAnsi="Arial" w:cs="Arial"/>
                <w:sz w:val="24"/>
                <w:szCs w:val="24"/>
              </w:rPr>
              <w:t xml:space="preserve"> the training</w:t>
            </w:r>
          </w:p>
        </w:tc>
      </w:tr>
    </w:tbl>
    <w:p w14:paraId="4976D18B" w14:textId="57A6DC22" w:rsidR="001F1990" w:rsidRDefault="001F1990" w:rsidP="005D3BB6">
      <w:pPr>
        <w:spacing w:after="0" w:line="360" w:lineRule="auto"/>
        <w:rPr>
          <w:rFonts w:ascii="Arial" w:eastAsia="Times New Roman" w:hAnsi="Arial" w:cs="Arial"/>
          <w:color w:val="FF0000"/>
          <w:sz w:val="24"/>
          <w:szCs w:val="24"/>
          <w:lang w:eastAsia="en-GB"/>
        </w:rPr>
      </w:pPr>
    </w:p>
    <w:p w14:paraId="3757E516" w14:textId="1BEEAFC3" w:rsidR="00F53A0E" w:rsidRDefault="00F53A0E" w:rsidP="005D3BB6">
      <w:pPr>
        <w:spacing w:after="0" w:line="360" w:lineRule="auto"/>
        <w:rPr>
          <w:rFonts w:ascii="Arial" w:eastAsia="Times New Roman" w:hAnsi="Arial" w:cs="Arial"/>
          <w:color w:val="FF0000"/>
          <w:sz w:val="24"/>
          <w:szCs w:val="24"/>
          <w:lang w:eastAsia="en-GB"/>
        </w:rPr>
      </w:pPr>
    </w:p>
    <w:p w14:paraId="2ED9993F" w14:textId="5814582A" w:rsidR="00F53A0E" w:rsidRDefault="00F53A0E" w:rsidP="005D3BB6">
      <w:pPr>
        <w:spacing w:after="0" w:line="360" w:lineRule="auto"/>
        <w:rPr>
          <w:rFonts w:ascii="Arial" w:eastAsia="Times New Roman" w:hAnsi="Arial" w:cs="Arial"/>
          <w:color w:val="FF0000"/>
          <w:sz w:val="24"/>
          <w:szCs w:val="24"/>
          <w:lang w:eastAsia="en-GB"/>
        </w:rPr>
      </w:pPr>
    </w:p>
    <w:p w14:paraId="1F871981" w14:textId="53A1B5A4" w:rsidR="00F53A0E" w:rsidRDefault="00F53A0E" w:rsidP="005D3BB6">
      <w:pPr>
        <w:spacing w:after="0" w:line="360" w:lineRule="auto"/>
        <w:rPr>
          <w:rFonts w:ascii="Arial" w:eastAsia="Times New Roman" w:hAnsi="Arial" w:cs="Arial"/>
          <w:color w:val="FF0000"/>
          <w:sz w:val="24"/>
          <w:szCs w:val="24"/>
          <w:lang w:eastAsia="en-GB"/>
        </w:rPr>
      </w:pPr>
    </w:p>
    <w:p w14:paraId="7DC22845" w14:textId="753671D3" w:rsidR="00F53A0E" w:rsidRDefault="00F53A0E" w:rsidP="005D3BB6">
      <w:pPr>
        <w:spacing w:after="0" w:line="360" w:lineRule="auto"/>
        <w:rPr>
          <w:rFonts w:ascii="Arial" w:eastAsia="Times New Roman" w:hAnsi="Arial" w:cs="Arial"/>
          <w:color w:val="FF0000"/>
          <w:sz w:val="24"/>
          <w:szCs w:val="24"/>
          <w:lang w:eastAsia="en-GB"/>
        </w:rPr>
      </w:pPr>
    </w:p>
    <w:p w14:paraId="44B9B36C" w14:textId="51A7484D" w:rsidR="00F53A0E" w:rsidRDefault="00F53A0E" w:rsidP="005D3BB6">
      <w:pPr>
        <w:spacing w:after="0" w:line="360" w:lineRule="auto"/>
        <w:rPr>
          <w:rFonts w:ascii="Arial" w:eastAsia="Times New Roman" w:hAnsi="Arial" w:cs="Arial"/>
          <w:color w:val="FF0000"/>
          <w:sz w:val="24"/>
          <w:szCs w:val="24"/>
          <w:lang w:eastAsia="en-GB"/>
        </w:rPr>
      </w:pPr>
    </w:p>
    <w:p w14:paraId="198D904F" w14:textId="476AD2F4" w:rsidR="00F53A0E" w:rsidRDefault="00F53A0E" w:rsidP="005D3BB6">
      <w:pPr>
        <w:spacing w:after="0" w:line="360" w:lineRule="auto"/>
        <w:rPr>
          <w:rFonts w:ascii="Arial" w:eastAsia="Times New Roman" w:hAnsi="Arial" w:cs="Arial"/>
          <w:color w:val="FF0000"/>
          <w:sz w:val="24"/>
          <w:szCs w:val="24"/>
          <w:lang w:eastAsia="en-GB"/>
        </w:rPr>
      </w:pPr>
    </w:p>
    <w:p w14:paraId="682BB8D3" w14:textId="77777777" w:rsidR="00F53A0E" w:rsidRPr="005D3BB6" w:rsidRDefault="00F53A0E" w:rsidP="005D3BB6">
      <w:pPr>
        <w:spacing w:after="0" w:line="360" w:lineRule="auto"/>
        <w:rPr>
          <w:rFonts w:ascii="Arial" w:eastAsia="Times New Roman" w:hAnsi="Arial" w:cs="Arial"/>
          <w:color w:val="FF0000"/>
          <w:sz w:val="24"/>
          <w:szCs w:val="24"/>
          <w:lang w:eastAsia="en-GB"/>
        </w:rPr>
      </w:pPr>
    </w:p>
    <w:tbl>
      <w:tblPr>
        <w:tblStyle w:val="TableGrid"/>
        <w:tblW w:w="9245" w:type="dxa"/>
        <w:tblInd w:w="-110" w:type="dxa"/>
        <w:tblCellMar>
          <w:top w:w="17" w:type="dxa"/>
          <w:bottom w:w="74" w:type="dxa"/>
        </w:tblCellMar>
        <w:tblLook w:val="04A0" w:firstRow="1" w:lastRow="0" w:firstColumn="1" w:lastColumn="0" w:noHBand="0" w:noVBand="1"/>
      </w:tblPr>
      <w:tblGrid>
        <w:gridCol w:w="470"/>
        <w:gridCol w:w="4623"/>
        <w:gridCol w:w="4152"/>
      </w:tblGrid>
      <w:tr w:rsidR="00FA12D2" w:rsidRPr="005D3BB6" w14:paraId="28A9FEE4" w14:textId="77777777" w:rsidTr="00D16641">
        <w:trPr>
          <w:trHeight w:val="356"/>
        </w:trPr>
        <w:tc>
          <w:tcPr>
            <w:tcW w:w="470" w:type="dxa"/>
            <w:tcBorders>
              <w:top w:val="single" w:sz="4" w:space="0" w:color="000000"/>
              <w:left w:val="single" w:sz="4" w:space="0" w:color="000000"/>
              <w:bottom w:val="nil"/>
              <w:right w:val="nil"/>
            </w:tcBorders>
          </w:tcPr>
          <w:p w14:paraId="474A0CD2" w14:textId="77777777" w:rsidR="00873E3C" w:rsidRPr="005D3BB6" w:rsidRDefault="00873E3C" w:rsidP="005D3BB6">
            <w:pPr>
              <w:spacing w:after="160" w:line="360" w:lineRule="auto"/>
              <w:rPr>
                <w:rFonts w:ascii="Arial" w:eastAsia="Times New Roman" w:hAnsi="Arial" w:cs="Arial"/>
                <w:color w:val="FF0000"/>
                <w:sz w:val="24"/>
                <w:szCs w:val="24"/>
              </w:rPr>
            </w:pPr>
          </w:p>
        </w:tc>
        <w:tc>
          <w:tcPr>
            <w:tcW w:w="8775" w:type="dxa"/>
            <w:gridSpan w:val="2"/>
            <w:tcBorders>
              <w:top w:val="single" w:sz="4" w:space="0" w:color="000000"/>
              <w:left w:val="nil"/>
              <w:bottom w:val="nil"/>
              <w:right w:val="single" w:sz="4" w:space="0" w:color="000000"/>
            </w:tcBorders>
          </w:tcPr>
          <w:p w14:paraId="7EDABDA2" w14:textId="77777777" w:rsidR="00873E3C" w:rsidRPr="005D3BB6" w:rsidRDefault="00873E3C" w:rsidP="005D3BB6">
            <w:pPr>
              <w:spacing w:line="360" w:lineRule="auto"/>
              <w:ind w:right="468"/>
              <w:jc w:val="center"/>
              <w:rPr>
                <w:rFonts w:ascii="Arial" w:eastAsia="Times New Roman" w:hAnsi="Arial" w:cs="Arial"/>
                <w:color w:val="FF0000"/>
                <w:sz w:val="24"/>
                <w:szCs w:val="24"/>
              </w:rPr>
            </w:pPr>
            <w:r w:rsidRPr="005D3BB6">
              <w:rPr>
                <w:rFonts w:ascii="Arial" w:eastAsia="Times New Roman" w:hAnsi="Arial" w:cs="Arial"/>
                <w:b/>
                <w:sz w:val="24"/>
                <w:szCs w:val="24"/>
              </w:rPr>
              <w:t xml:space="preserve">Diversity Training Outcomes </w:t>
            </w:r>
          </w:p>
        </w:tc>
      </w:tr>
      <w:tr w:rsidR="00FA12D2" w:rsidRPr="005D3BB6" w14:paraId="35DE3E13" w14:textId="77777777" w:rsidTr="00D16641">
        <w:trPr>
          <w:trHeight w:val="3032"/>
        </w:trPr>
        <w:tc>
          <w:tcPr>
            <w:tcW w:w="470" w:type="dxa"/>
            <w:tcBorders>
              <w:top w:val="nil"/>
              <w:left w:val="single" w:sz="4" w:space="0" w:color="000000"/>
              <w:bottom w:val="single" w:sz="4" w:space="0" w:color="000000"/>
              <w:right w:val="nil"/>
            </w:tcBorders>
            <w:vAlign w:val="bottom"/>
          </w:tcPr>
          <w:p w14:paraId="1CA4413B" w14:textId="2BC11886" w:rsidR="00873E3C" w:rsidRPr="005D3BB6" w:rsidRDefault="00873E3C" w:rsidP="005D3BB6">
            <w:pPr>
              <w:spacing w:after="346" w:line="360" w:lineRule="auto"/>
              <w:ind w:left="110"/>
              <w:rPr>
                <w:rFonts w:ascii="Arial" w:eastAsia="Times New Roman" w:hAnsi="Arial" w:cs="Arial"/>
                <w:color w:val="FF0000"/>
                <w:sz w:val="24"/>
                <w:szCs w:val="24"/>
              </w:rPr>
            </w:pPr>
          </w:p>
          <w:p w14:paraId="64672416" w14:textId="77777777" w:rsidR="00873E3C" w:rsidRPr="005D3BB6" w:rsidRDefault="00873E3C" w:rsidP="005D3BB6">
            <w:pPr>
              <w:numPr>
                <w:ilvl w:val="0"/>
                <w:numId w:val="5"/>
              </w:numPr>
              <w:spacing w:after="312" w:line="360" w:lineRule="auto"/>
              <w:ind w:right="72" w:hanging="730"/>
              <w:jc w:val="both"/>
              <w:rPr>
                <w:rFonts w:ascii="Arial" w:eastAsia="Times New Roman" w:hAnsi="Arial" w:cs="Arial"/>
                <w:sz w:val="24"/>
                <w:szCs w:val="24"/>
              </w:rPr>
            </w:pPr>
            <w:r w:rsidRPr="005D3BB6">
              <w:rPr>
                <w:rFonts w:ascii="Arial" w:eastAsia="Segoe UI Symbol" w:hAnsi="Arial" w:cs="Arial"/>
                <w:sz w:val="24"/>
                <w:szCs w:val="24"/>
              </w:rPr>
              <w:t>•</w:t>
            </w:r>
            <w:r w:rsidRPr="005D3BB6">
              <w:rPr>
                <w:rFonts w:ascii="Arial" w:eastAsia="Arial" w:hAnsi="Arial" w:cs="Arial"/>
                <w:sz w:val="24"/>
                <w:szCs w:val="24"/>
              </w:rPr>
              <w:t xml:space="preserve"> </w:t>
            </w:r>
          </w:p>
          <w:p w14:paraId="63E04DE9" w14:textId="0709C09A" w:rsidR="00873E3C" w:rsidRPr="005D3BB6" w:rsidRDefault="00873E3C" w:rsidP="005D3BB6">
            <w:pPr>
              <w:numPr>
                <w:ilvl w:val="0"/>
                <w:numId w:val="5"/>
              </w:numPr>
              <w:spacing w:after="3" w:line="360" w:lineRule="auto"/>
              <w:ind w:right="72" w:hanging="730"/>
              <w:jc w:val="both"/>
              <w:rPr>
                <w:rFonts w:ascii="Arial" w:eastAsia="Times New Roman" w:hAnsi="Arial" w:cs="Arial"/>
                <w:sz w:val="24"/>
                <w:szCs w:val="24"/>
              </w:rPr>
            </w:pPr>
            <w:r w:rsidRPr="005D3BB6">
              <w:rPr>
                <w:rFonts w:ascii="Arial" w:eastAsia="Segoe UI Symbol" w:hAnsi="Arial" w:cs="Arial"/>
                <w:sz w:val="24"/>
                <w:szCs w:val="24"/>
              </w:rPr>
              <w:t>•</w:t>
            </w:r>
            <w:r w:rsidR="00114404" w:rsidRPr="005D3BB6">
              <w:rPr>
                <w:rFonts w:ascii="Arial" w:eastAsia="Segoe UI Symbol" w:hAnsi="Arial" w:cs="Arial"/>
                <w:sz w:val="24"/>
                <w:szCs w:val="24"/>
              </w:rPr>
              <w:t xml:space="preserve"> </w:t>
            </w:r>
            <w:r w:rsidR="005532BF" w:rsidRPr="005D3BB6">
              <w:rPr>
                <w:rFonts w:ascii="Arial" w:eastAsia="Segoe UI Symbol" w:hAnsi="Arial" w:cs="Arial"/>
                <w:sz w:val="24"/>
                <w:szCs w:val="24"/>
              </w:rPr>
              <w:t xml:space="preserve"> </w:t>
            </w:r>
            <w:r w:rsidRPr="005D3BB6">
              <w:rPr>
                <w:rFonts w:ascii="Arial" w:eastAsia="Arial" w:hAnsi="Arial" w:cs="Arial"/>
                <w:sz w:val="24"/>
                <w:szCs w:val="24"/>
              </w:rPr>
              <w:t xml:space="preserve"> </w:t>
            </w:r>
          </w:p>
          <w:p w14:paraId="2F19CF65" w14:textId="4B7F47A9" w:rsidR="00873E3C" w:rsidRPr="005D3BB6" w:rsidRDefault="00873E3C" w:rsidP="005D3BB6">
            <w:pPr>
              <w:spacing w:line="360" w:lineRule="auto"/>
              <w:ind w:left="110"/>
              <w:rPr>
                <w:rFonts w:ascii="Arial" w:eastAsia="Times New Roman" w:hAnsi="Arial" w:cs="Arial"/>
                <w:color w:val="FF0000"/>
                <w:sz w:val="24"/>
                <w:szCs w:val="24"/>
              </w:rPr>
            </w:pPr>
          </w:p>
          <w:p w14:paraId="0C3610D0" w14:textId="77777777" w:rsidR="00873E3C" w:rsidRPr="005D3BB6" w:rsidRDefault="00873E3C" w:rsidP="005D3BB6">
            <w:pPr>
              <w:spacing w:line="360" w:lineRule="auto"/>
              <w:ind w:left="110"/>
              <w:rPr>
                <w:rFonts w:ascii="Arial" w:eastAsia="Times New Roman" w:hAnsi="Arial" w:cs="Arial"/>
                <w:color w:val="FF0000"/>
                <w:sz w:val="24"/>
                <w:szCs w:val="24"/>
              </w:rPr>
            </w:pPr>
            <w:r w:rsidRPr="005D3BB6">
              <w:rPr>
                <w:rFonts w:ascii="Arial" w:eastAsia="Times New Roman" w:hAnsi="Arial" w:cs="Arial"/>
                <w:color w:val="FF0000"/>
                <w:sz w:val="24"/>
                <w:szCs w:val="24"/>
              </w:rPr>
              <w:t xml:space="preserve">     </w:t>
            </w:r>
          </w:p>
        </w:tc>
        <w:tc>
          <w:tcPr>
            <w:tcW w:w="4623" w:type="dxa"/>
            <w:tcBorders>
              <w:top w:val="nil"/>
              <w:left w:val="nil"/>
              <w:bottom w:val="single" w:sz="4" w:space="0" w:color="000000"/>
              <w:right w:val="nil"/>
            </w:tcBorders>
          </w:tcPr>
          <w:p w14:paraId="2D3DF620" w14:textId="08811A37" w:rsidR="00873E3C" w:rsidRPr="005D3BB6" w:rsidRDefault="00873E3C" w:rsidP="005D3BB6">
            <w:pPr>
              <w:spacing w:after="132" w:line="360" w:lineRule="auto"/>
              <w:ind w:left="363"/>
              <w:rPr>
                <w:rFonts w:ascii="Arial" w:eastAsia="Times New Roman" w:hAnsi="Arial" w:cs="Arial"/>
                <w:sz w:val="24"/>
                <w:szCs w:val="24"/>
              </w:rPr>
            </w:pPr>
            <w:r w:rsidRPr="005D3BB6">
              <w:rPr>
                <w:rFonts w:ascii="Arial" w:eastAsia="Times New Roman" w:hAnsi="Arial" w:cs="Arial"/>
                <w:b/>
                <w:sz w:val="24"/>
                <w:szCs w:val="24"/>
              </w:rPr>
              <w:t xml:space="preserve">Human Resources Outcomes </w:t>
            </w:r>
          </w:p>
          <w:p w14:paraId="591C6E03" w14:textId="6A20D05D" w:rsidR="00873E3C" w:rsidRPr="005D3BB6" w:rsidRDefault="002747DE" w:rsidP="005D3BB6">
            <w:pPr>
              <w:tabs>
                <w:tab w:val="center" w:pos="4318"/>
              </w:tabs>
              <w:spacing w:after="10" w:line="360" w:lineRule="auto"/>
              <w:rPr>
                <w:rFonts w:ascii="Arial" w:eastAsia="Times New Roman" w:hAnsi="Arial" w:cs="Arial"/>
                <w:sz w:val="24"/>
                <w:szCs w:val="24"/>
              </w:rPr>
            </w:pPr>
            <w:r w:rsidRPr="005D3BB6">
              <w:rPr>
                <w:rFonts w:ascii="Arial" w:eastAsia="Times New Roman" w:hAnsi="Arial" w:cs="Arial"/>
                <w:sz w:val="24"/>
                <w:szCs w:val="24"/>
              </w:rPr>
              <w:t>Increased awareness of diversity at workplace</w:t>
            </w:r>
            <w:r w:rsidR="00873E3C" w:rsidRPr="005D3BB6">
              <w:rPr>
                <w:rFonts w:ascii="Arial" w:eastAsia="Times New Roman" w:hAnsi="Arial" w:cs="Arial"/>
                <w:sz w:val="24"/>
                <w:szCs w:val="24"/>
              </w:rPr>
              <w:t xml:space="preserve">           </w:t>
            </w:r>
            <w:r w:rsidR="00873E3C" w:rsidRPr="005D3BB6">
              <w:rPr>
                <w:rFonts w:ascii="Arial" w:eastAsia="Times New Roman" w:hAnsi="Arial" w:cs="Arial"/>
                <w:color w:val="FF0000"/>
                <w:sz w:val="24"/>
                <w:szCs w:val="24"/>
              </w:rPr>
              <w:tab/>
            </w:r>
            <w:r w:rsidR="00873E3C" w:rsidRPr="005D3BB6">
              <w:rPr>
                <w:rFonts w:ascii="Arial" w:eastAsia="Segoe UI Symbol" w:hAnsi="Arial" w:cs="Arial"/>
                <w:sz w:val="24"/>
                <w:szCs w:val="24"/>
              </w:rPr>
              <w:t>•</w:t>
            </w:r>
            <w:r w:rsidR="00873E3C" w:rsidRPr="005D3BB6">
              <w:rPr>
                <w:rFonts w:ascii="Arial" w:eastAsia="Arial" w:hAnsi="Arial" w:cs="Arial"/>
                <w:sz w:val="24"/>
                <w:szCs w:val="24"/>
              </w:rPr>
              <w:t xml:space="preserve"> </w:t>
            </w:r>
          </w:p>
          <w:p w14:paraId="32B540FB" w14:textId="3DF148D6" w:rsidR="00873E3C" w:rsidRPr="005D3BB6" w:rsidRDefault="002747DE" w:rsidP="005D3BB6">
            <w:pPr>
              <w:spacing w:after="15" w:line="360" w:lineRule="auto"/>
              <w:rPr>
                <w:rFonts w:ascii="Arial" w:eastAsia="Times New Roman" w:hAnsi="Arial" w:cs="Arial"/>
                <w:sz w:val="24"/>
                <w:szCs w:val="24"/>
              </w:rPr>
            </w:pPr>
            <w:r w:rsidRPr="005D3BB6">
              <w:rPr>
                <w:rFonts w:ascii="Arial" w:eastAsia="Times New Roman" w:hAnsi="Arial" w:cs="Arial"/>
                <w:sz w:val="24"/>
                <w:szCs w:val="24"/>
              </w:rPr>
              <w:t xml:space="preserve">Greater Job satisfaction                                         </w:t>
            </w:r>
            <w:r w:rsidR="00873E3C" w:rsidRPr="005D3BB6">
              <w:rPr>
                <w:rFonts w:ascii="Arial" w:eastAsia="Segoe UI Symbol" w:hAnsi="Arial" w:cs="Arial"/>
                <w:sz w:val="24"/>
                <w:szCs w:val="24"/>
              </w:rPr>
              <w:t>•</w:t>
            </w:r>
            <w:r w:rsidR="00873E3C" w:rsidRPr="005D3BB6">
              <w:rPr>
                <w:rFonts w:ascii="Arial" w:eastAsia="Arial" w:hAnsi="Arial" w:cs="Arial"/>
                <w:sz w:val="24"/>
                <w:szCs w:val="24"/>
              </w:rPr>
              <w:t xml:space="preserve"> </w:t>
            </w:r>
          </w:p>
          <w:p w14:paraId="6E8AB97E" w14:textId="210240D6" w:rsidR="00873E3C" w:rsidRPr="005D3BB6" w:rsidRDefault="002747DE" w:rsidP="005D3BB6">
            <w:pPr>
              <w:spacing w:after="11" w:line="360" w:lineRule="auto"/>
              <w:rPr>
                <w:rFonts w:ascii="Arial" w:eastAsia="Times New Roman" w:hAnsi="Arial" w:cs="Arial"/>
                <w:sz w:val="24"/>
                <w:szCs w:val="24"/>
              </w:rPr>
            </w:pPr>
            <w:r w:rsidRPr="005D3BB6">
              <w:rPr>
                <w:rFonts w:ascii="Arial" w:eastAsia="Times New Roman" w:hAnsi="Arial" w:cs="Arial"/>
                <w:sz w:val="24"/>
                <w:szCs w:val="24"/>
              </w:rPr>
              <w:t xml:space="preserve">Greater individual performance             </w:t>
            </w:r>
            <w:r w:rsidR="00873E3C" w:rsidRPr="005D3BB6">
              <w:rPr>
                <w:rFonts w:ascii="Arial" w:eastAsia="Times New Roman" w:hAnsi="Arial" w:cs="Arial"/>
                <w:sz w:val="24"/>
                <w:szCs w:val="24"/>
              </w:rPr>
              <w:t xml:space="preserve">                </w:t>
            </w:r>
          </w:p>
          <w:p w14:paraId="3C092A8F" w14:textId="77777777" w:rsidR="002747DE" w:rsidRPr="005D3BB6" w:rsidRDefault="002747DE" w:rsidP="005D3BB6">
            <w:pPr>
              <w:spacing w:after="52" w:line="360" w:lineRule="auto"/>
              <w:rPr>
                <w:rFonts w:ascii="Arial" w:eastAsia="Times New Roman" w:hAnsi="Arial" w:cs="Arial"/>
                <w:sz w:val="24"/>
                <w:szCs w:val="24"/>
              </w:rPr>
            </w:pPr>
            <w:r w:rsidRPr="005D3BB6">
              <w:rPr>
                <w:rFonts w:ascii="Arial" w:eastAsia="Times New Roman" w:hAnsi="Arial" w:cs="Arial"/>
                <w:sz w:val="24"/>
                <w:szCs w:val="24"/>
              </w:rPr>
              <w:t>More committed employees</w:t>
            </w:r>
            <w:r w:rsidR="00873E3C" w:rsidRPr="005D3BB6">
              <w:rPr>
                <w:rFonts w:ascii="Arial" w:eastAsia="Times New Roman" w:hAnsi="Arial" w:cs="Arial"/>
                <w:sz w:val="24"/>
                <w:szCs w:val="24"/>
              </w:rPr>
              <w:t xml:space="preserve">   </w:t>
            </w:r>
          </w:p>
          <w:p w14:paraId="6CAAB547" w14:textId="48FB4BF6" w:rsidR="00873E3C" w:rsidRPr="005D3BB6" w:rsidRDefault="002747DE" w:rsidP="005D3BB6">
            <w:pPr>
              <w:spacing w:after="52" w:line="360" w:lineRule="auto"/>
              <w:rPr>
                <w:rFonts w:ascii="Arial" w:eastAsia="Times New Roman" w:hAnsi="Arial" w:cs="Arial"/>
                <w:color w:val="FF0000"/>
                <w:sz w:val="24"/>
                <w:szCs w:val="24"/>
              </w:rPr>
            </w:pPr>
            <w:r w:rsidRPr="005D3BB6">
              <w:rPr>
                <w:rFonts w:ascii="Arial" w:eastAsia="Times New Roman" w:hAnsi="Arial" w:cs="Arial"/>
                <w:sz w:val="24"/>
                <w:szCs w:val="24"/>
              </w:rPr>
              <w:lastRenderedPageBreak/>
              <w:t xml:space="preserve">More retention </w:t>
            </w:r>
            <w:r w:rsidR="00873E3C" w:rsidRPr="005D3BB6">
              <w:rPr>
                <w:rFonts w:ascii="Arial" w:eastAsia="Times New Roman" w:hAnsi="Arial" w:cs="Arial"/>
                <w:sz w:val="24"/>
                <w:szCs w:val="24"/>
              </w:rPr>
              <w:t xml:space="preserve">   </w:t>
            </w:r>
            <w:r w:rsidR="00873E3C" w:rsidRPr="005D3BB6">
              <w:rPr>
                <w:rFonts w:ascii="Arial" w:eastAsia="Times New Roman" w:hAnsi="Arial" w:cs="Arial"/>
                <w:color w:val="FF0000"/>
                <w:sz w:val="24"/>
                <w:szCs w:val="24"/>
              </w:rPr>
              <w:t xml:space="preserve">            </w:t>
            </w:r>
            <w:r w:rsidR="00873E3C" w:rsidRPr="005D3BB6">
              <w:rPr>
                <w:rFonts w:ascii="Arial" w:eastAsia="Times New Roman" w:hAnsi="Arial" w:cs="Arial"/>
                <w:b/>
                <w:color w:val="FF0000"/>
                <w:sz w:val="24"/>
                <w:szCs w:val="24"/>
              </w:rPr>
              <w:t xml:space="preserve"> </w:t>
            </w:r>
          </w:p>
        </w:tc>
        <w:tc>
          <w:tcPr>
            <w:tcW w:w="4152" w:type="dxa"/>
            <w:tcBorders>
              <w:top w:val="nil"/>
              <w:left w:val="nil"/>
              <w:bottom w:val="single" w:sz="4" w:space="0" w:color="000000"/>
              <w:right w:val="single" w:sz="4" w:space="0" w:color="000000"/>
            </w:tcBorders>
          </w:tcPr>
          <w:p w14:paraId="6BF951D0" w14:textId="77777777" w:rsidR="00873E3C" w:rsidRPr="005D3BB6" w:rsidRDefault="00873E3C" w:rsidP="005D3BB6">
            <w:pPr>
              <w:spacing w:after="127" w:line="360" w:lineRule="auto"/>
              <w:ind w:left="533"/>
              <w:rPr>
                <w:rFonts w:ascii="Arial" w:eastAsia="Times New Roman" w:hAnsi="Arial" w:cs="Arial"/>
                <w:sz w:val="24"/>
                <w:szCs w:val="24"/>
              </w:rPr>
            </w:pPr>
            <w:r w:rsidRPr="005D3BB6">
              <w:rPr>
                <w:rFonts w:ascii="Arial" w:eastAsia="Times New Roman" w:hAnsi="Arial" w:cs="Arial"/>
                <w:b/>
                <w:sz w:val="24"/>
                <w:szCs w:val="24"/>
              </w:rPr>
              <w:lastRenderedPageBreak/>
              <w:t>Organisational Outcomes</w:t>
            </w:r>
            <w:r w:rsidRPr="005D3BB6">
              <w:rPr>
                <w:rFonts w:ascii="Arial" w:eastAsia="Times New Roman" w:hAnsi="Arial" w:cs="Arial"/>
                <w:sz w:val="24"/>
                <w:szCs w:val="24"/>
              </w:rPr>
              <w:t xml:space="preserve"> </w:t>
            </w:r>
          </w:p>
          <w:p w14:paraId="56C47D7D" w14:textId="16029765" w:rsidR="00873E3C" w:rsidRPr="005D3BB6" w:rsidRDefault="002747DE" w:rsidP="005D3BB6">
            <w:pPr>
              <w:spacing w:after="10" w:line="360" w:lineRule="auto"/>
              <w:rPr>
                <w:rFonts w:ascii="Arial" w:eastAsia="Times New Roman" w:hAnsi="Arial" w:cs="Arial"/>
                <w:color w:val="FF0000"/>
                <w:sz w:val="24"/>
                <w:szCs w:val="24"/>
              </w:rPr>
            </w:pPr>
            <w:r w:rsidRPr="005D3BB6">
              <w:rPr>
                <w:rFonts w:ascii="Arial" w:eastAsia="Times New Roman" w:hAnsi="Arial" w:cs="Arial"/>
                <w:color w:val="FF0000"/>
                <w:sz w:val="24"/>
                <w:szCs w:val="24"/>
              </w:rPr>
              <w:t xml:space="preserve">   </w:t>
            </w:r>
            <w:r w:rsidRPr="005D3BB6">
              <w:rPr>
                <w:rFonts w:ascii="Arial" w:eastAsia="Times New Roman" w:hAnsi="Arial" w:cs="Arial"/>
                <w:sz w:val="24"/>
                <w:szCs w:val="24"/>
              </w:rPr>
              <w:t>Low instances of racial discrimination</w:t>
            </w:r>
            <w:r w:rsidR="00873E3C" w:rsidRPr="005D3BB6">
              <w:rPr>
                <w:rFonts w:ascii="Arial" w:eastAsia="Times New Roman" w:hAnsi="Arial" w:cs="Arial"/>
                <w:sz w:val="24"/>
                <w:szCs w:val="24"/>
              </w:rPr>
              <w:t xml:space="preserve">         </w:t>
            </w:r>
          </w:p>
          <w:p w14:paraId="4B0F1806" w14:textId="37CE4ADA" w:rsidR="00873E3C" w:rsidRPr="005D3BB6" w:rsidRDefault="002747DE" w:rsidP="005D3BB6">
            <w:pPr>
              <w:spacing w:after="10" w:line="360" w:lineRule="auto"/>
              <w:rPr>
                <w:rFonts w:ascii="Arial" w:eastAsia="Times New Roman" w:hAnsi="Arial" w:cs="Arial"/>
                <w:sz w:val="24"/>
                <w:szCs w:val="24"/>
              </w:rPr>
            </w:pPr>
            <w:r w:rsidRPr="005D3BB6">
              <w:rPr>
                <w:rFonts w:ascii="Arial" w:eastAsia="Times New Roman" w:hAnsi="Arial" w:cs="Arial"/>
                <w:sz w:val="24"/>
                <w:szCs w:val="24"/>
              </w:rPr>
              <w:t xml:space="preserve">Greater ethnic and racial composition of the teams </w:t>
            </w:r>
          </w:p>
          <w:p w14:paraId="1D198270" w14:textId="3AD400BE" w:rsidR="00873E3C" w:rsidRPr="005D3BB6" w:rsidRDefault="002747DE" w:rsidP="005D3BB6">
            <w:pPr>
              <w:spacing w:after="31" w:line="360" w:lineRule="auto"/>
              <w:rPr>
                <w:rFonts w:ascii="Arial" w:eastAsia="Times New Roman" w:hAnsi="Arial" w:cs="Arial"/>
                <w:sz w:val="24"/>
                <w:szCs w:val="24"/>
              </w:rPr>
            </w:pPr>
            <w:r w:rsidRPr="005D3BB6">
              <w:rPr>
                <w:rFonts w:ascii="Arial" w:eastAsia="Times New Roman" w:hAnsi="Arial" w:cs="Arial"/>
                <w:sz w:val="24"/>
                <w:szCs w:val="24"/>
              </w:rPr>
              <w:t xml:space="preserve">Greater performance at work </w:t>
            </w:r>
          </w:p>
          <w:p w14:paraId="3FFF07E2" w14:textId="0624F85E" w:rsidR="00873E3C" w:rsidRPr="005D3BB6" w:rsidRDefault="00873E3C" w:rsidP="005D3BB6">
            <w:pPr>
              <w:spacing w:line="360" w:lineRule="auto"/>
              <w:rPr>
                <w:rFonts w:ascii="Arial" w:eastAsia="Times New Roman" w:hAnsi="Arial" w:cs="Arial"/>
                <w:color w:val="FF0000"/>
                <w:sz w:val="24"/>
                <w:szCs w:val="24"/>
              </w:rPr>
            </w:pPr>
            <w:r w:rsidRPr="005D3BB6">
              <w:rPr>
                <w:rFonts w:ascii="Arial" w:eastAsia="Times New Roman" w:hAnsi="Arial" w:cs="Arial"/>
                <w:color w:val="FF0000"/>
                <w:sz w:val="24"/>
                <w:szCs w:val="24"/>
              </w:rPr>
              <w:t xml:space="preserve"> </w:t>
            </w:r>
          </w:p>
        </w:tc>
      </w:tr>
    </w:tbl>
    <w:p w14:paraId="5745B72C" w14:textId="2096822A" w:rsidR="00B2015F" w:rsidRPr="005D3BB6" w:rsidRDefault="00873E3C" w:rsidP="005D3BB6">
      <w:pPr>
        <w:spacing w:after="0" w:line="360" w:lineRule="auto"/>
        <w:rPr>
          <w:rFonts w:ascii="Arial" w:eastAsia="Times New Roman" w:hAnsi="Arial" w:cs="Arial"/>
          <w:b/>
          <w:i/>
          <w:sz w:val="24"/>
          <w:szCs w:val="24"/>
          <w:lang w:eastAsia="en-GB"/>
        </w:rPr>
      </w:pPr>
      <w:r w:rsidRPr="005D3BB6">
        <w:rPr>
          <w:rFonts w:ascii="Arial" w:eastAsia="Times New Roman" w:hAnsi="Arial" w:cs="Arial"/>
          <w:b/>
          <w:i/>
          <w:sz w:val="24"/>
          <w:szCs w:val="24"/>
          <w:lang w:eastAsia="en-GB"/>
        </w:rPr>
        <w:lastRenderedPageBreak/>
        <w:t>Figure</w:t>
      </w:r>
      <w:r w:rsidR="009E2026" w:rsidRPr="005D3BB6">
        <w:rPr>
          <w:rFonts w:ascii="Arial" w:eastAsia="Times New Roman" w:hAnsi="Arial" w:cs="Arial"/>
          <w:b/>
          <w:i/>
          <w:sz w:val="24"/>
          <w:szCs w:val="24"/>
          <w:lang w:eastAsia="en-GB"/>
        </w:rPr>
        <w:t xml:space="preserve"> 3</w:t>
      </w:r>
      <w:r w:rsidRPr="005D3BB6">
        <w:rPr>
          <w:rFonts w:ascii="Arial" w:eastAsia="Times New Roman" w:hAnsi="Arial" w:cs="Arial"/>
          <w:b/>
          <w:i/>
          <w:sz w:val="24"/>
          <w:szCs w:val="24"/>
          <w:lang w:eastAsia="en-GB"/>
        </w:rPr>
        <w:t xml:space="preserve">: </w:t>
      </w:r>
      <w:r w:rsidR="00B2015F" w:rsidRPr="005D3BB6">
        <w:rPr>
          <w:rFonts w:ascii="Arial" w:eastAsia="Times New Roman" w:hAnsi="Arial" w:cs="Arial"/>
          <w:b/>
          <w:i/>
          <w:sz w:val="24"/>
          <w:szCs w:val="24"/>
          <w:lang w:eastAsia="en-GB"/>
        </w:rPr>
        <w:t>Model to understand the case, design and the expected outcome of the diversity training at Aetna’s</w:t>
      </w:r>
    </w:p>
    <w:p w14:paraId="0F3A4D17" w14:textId="258B0877" w:rsidR="007B046A" w:rsidRDefault="007B046A" w:rsidP="005D3BB6">
      <w:pPr>
        <w:spacing w:after="139" w:line="360" w:lineRule="auto"/>
        <w:ind w:left="11" w:right="48" w:hanging="10"/>
        <w:rPr>
          <w:rFonts w:ascii="Arial" w:eastAsia="Times New Roman" w:hAnsi="Arial" w:cs="Arial"/>
          <w:color w:val="FF0000"/>
          <w:sz w:val="24"/>
          <w:szCs w:val="24"/>
          <w:lang w:eastAsia="en-GB"/>
        </w:rPr>
      </w:pPr>
    </w:p>
    <w:p w14:paraId="61D07247" w14:textId="77777777" w:rsidR="00EA4320" w:rsidRPr="005D3BB6" w:rsidRDefault="00EA4320" w:rsidP="005D3BB6">
      <w:pPr>
        <w:spacing w:after="139" w:line="360" w:lineRule="auto"/>
        <w:ind w:left="11" w:right="48" w:hanging="10"/>
        <w:rPr>
          <w:rFonts w:ascii="Arial" w:eastAsia="Times New Roman" w:hAnsi="Arial" w:cs="Arial"/>
          <w:color w:val="FF0000"/>
          <w:sz w:val="24"/>
          <w:szCs w:val="24"/>
          <w:lang w:eastAsia="en-GB"/>
        </w:rPr>
      </w:pPr>
    </w:p>
    <w:p w14:paraId="4A9E1AF3" w14:textId="6B0B76CD" w:rsidR="007923E2" w:rsidRPr="005D3BB6" w:rsidRDefault="007923E2" w:rsidP="005D3BB6">
      <w:pPr>
        <w:pStyle w:val="Heading2"/>
        <w:spacing w:line="360" w:lineRule="auto"/>
        <w:rPr>
          <w:rFonts w:ascii="Arial" w:hAnsi="Arial" w:cs="Arial"/>
          <w:sz w:val="24"/>
          <w:szCs w:val="24"/>
          <w:lang w:eastAsia="en-GB"/>
        </w:rPr>
      </w:pPr>
      <w:bookmarkStart w:id="20" w:name="_Toc534372129"/>
      <w:r w:rsidRPr="005D3BB6">
        <w:rPr>
          <w:rFonts w:ascii="Arial" w:hAnsi="Arial" w:cs="Arial"/>
          <w:sz w:val="24"/>
          <w:szCs w:val="24"/>
          <w:lang w:eastAsia="en-GB"/>
        </w:rPr>
        <w:t>4.3 Environmental context</w:t>
      </w:r>
      <w:bookmarkEnd w:id="20"/>
    </w:p>
    <w:p w14:paraId="3DC8042F" w14:textId="7444AAE2" w:rsidR="007923E2" w:rsidRPr="005D3BB6" w:rsidRDefault="007923E2" w:rsidP="005D3BB6">
      <w:pPr>
        <w:spacing w:line="360" w:lineRule="auto"/>
        <w:ind w:left="11" w:right="48"/>
        <w:rPr>
          <w:rFonts w:ascii="Arial" w:hAnsi="Arial" w:cs="Arial"/>
          <w:sz w:val="24"/>
          <w:szCs w:val="24"/>
          <w:lang w:eastAsia="en-GB"/>
        </w:rPr>
      </w:pPr>
      <w:r w:rsidRPr="005D3BB6">
        <w:rPr>
          <w:rFonts w:ascii="Arial" w:hAnsi="Arial" w:cs="Arial"/>
          <w:sz w:val="24"/>
          <w:szCs w:val="24"/>
          <w:lang w:eastAsia="en-GB"/>
        </w:rPr>
        <w:t>Changes within the environment tend to impact the very context in which businesses operate. Within the healthcare sector, the immediate stakeholders to get impacted are the scientists, government and regulatory bodies. The financial crisis and global meltdown are specific examples which highlight the criticality of the environment in determining the future of businesses. Insurance sector is also one such sector which is deeply impacted by the changing socio-economic conditions. Insurance companies, risk managers, risk carriers and investors are amongst the front liners when dealing with uncertainty. The below section describes the PESTEL analysis for Aetna as an insurance provid</w:t>
      </w:r>
      <w:r w:rsidR="00D16641">
        <w:rPr>
          <w:rFonts w:ascii="Arial" w:hAnsi="Arial" w:cs="Arial"/>
          <w:sz w:val="24"/>
          <w:szCs w:val="24"/>
          <w:lang w:eastAsia="en-GB"/>
        </w:rPr>
        <w:t>er and the uncertainty which it</w:t>
      </w:r>
      <w:r w:rsidRPr="005D3BB6">
        <w:rPr>
          <w:rFonts w:ascii="Arial" w:hAnsi="Arial" w:cs="Arial"/>
          <w:sz w:val="24"/>
          <w:szCs w:val="24"/>
          <w:lang w:eastAsia="en-GB"/>
        </w:rPr>
        <w:t xml:space="preserve"> faces in this sector. </w:t>
      </w:r>
    </w:p>
    <w:p w14:paraId="3D55571E" w14:textId="77777777" w:rsidR="007923E2" w:rsidRPr="005D3BB6" w:rsidRDefault="007923E2" w:rsidP="005D3BB6">
      <w:pPr>
        <w:spacing w:line="360" w:lineRule="auto"/>
        <w:ind w:left="11" w:right="48"/>
        <w:rPr>
          <w:rFonts w:ascii="Arial" w:eastAsia="Times New Roman" w:hAnsi="Arial" w:cs="Arial"/>
          <w:b/>
          <w:color w:val="000000"/>
          <w:sz w:val="24"/>
          <w:szCs w:val="24"/>
          <w:lang w:eastAsia="en-GB"/>
        </w:rPr>
      </w:pPr>
      <w:r w:rsidRPr="005D3BB6">
        <w:rPr>
          <w:rFonts w:ascii="Arial" w:eastAsia="Times New Roman" w:hAnsi="Arial" w:cs="Arial"/>
          <w:b/>
          <w:color w:val="000000"/>
          <w:sz w:val="24"/>
          <w:szCs w:val="24"/>
          <w:lang w:eastAsia="en-GB"/>
        </w:rPr>
        <w:t>Political</w:t>
      </w:r>
    </w:p>
    <w:p w14:paraId="0DFBDDC9" w14:textId="77777777" w:rsidR="007923E2" w:rsidRPr="005D3BB6" w:rsidRDefault="007923E2" w:rsidP="005D3BB6">
      <w:pPr>
        <w:spacing w:line="360" w:lineRule="auto"/>
        <w:ind w:left="11" w:right="48"/>
        <w:rPr>
          <w:rFonts w:ascii="Arial" w:hAnsi="Arial" w:cs="Arial"/>
          <w:sz w:val="24"/>
          <w:szCs w:val="24"/>
          <w:lang w:eastAsia="en-GB"/>
        </w:rPr>
      </w:pPr>
      <w:r w:rsidRPr="005D3BB6">
        <w:rPr>
          <w:rFonts w:ascii="Arial" w:hAnsi="Arial" w:cs="Arial"/>
          <w:sz w:val="24"/>
          <w:szCs w:val="24"/>
          <w:lang w:eastAsia="en-GB"/>
        </w:rPr>
        <w:t xml:space="preserve">Healthcare sector is highly governed by the political environment. Shifts in government tend to impact the policies underlying health and insurance which impact the bills, claims, and the related processes. Taking the case of 2008 subprime mortgage crisis, when widespread defaults were reported in capital markets and leading investment banks collapsed. Political environment in such a case struggled to battle the shore financial system with more tightening of the credit markets. Political forces battled to create necessary incentives to boost the economy or protect the insurance and healthcare sector from collapsing. Taking the case of Aetna or other insurance companies in general, governments within EU tend to provide tax incentives to the healthcare sector to promote greater benefits. </w:t>
      </w:r>
      <w:r w:rsidRPr="005D3BB6">
        <w:rPr>
          <w:rFonts w:ascii="Arial" w:hAnsi="Arial" w:cs="Arial"/>
          <w:sz w:val="24"/>
          <w:szCs w:val="24"/>
          <w:lang w:eastAsia="en-GB"/>
        </w:rPr>
        <w:lastRenderedPageBreak/>
        <w:t xml:space="preserve">Likewise, introduction of new schemes like the Retirement scheme in Malta also creates more markets for companies like Aetna. Such retirement schemes create Recognised Overseas Pension Schemes and in turn encourage a larger market for companies like Aetna to operate. </w:t>
      </w:r>
    </w:p>
    <w:p w14:paraId="1278313A" w14:textId="77777777" w:rsidR="007923E2" w:rsidRPr="005D3BB6" w:rsidRDefault="007923E2" w:rsidP="005D3BB6">
      <w:pPr>
        <w:spacing w:after="0" w:line="360" w:lineRule="auto"/>
        <w:ind w:left="11" w:right="48" w:hanging="10"/>
        <w:rPr>
          <w:rFonts w:ascii="Arial" w:eastAsia="Times New Roman" w:hAnsi="Arial" w:cs="Arial"/>
          <w:b/>
          <w:color w:val="000000"/>
          <w:sz w:val="24"/>
          <w:szCs w:val="24"/>
          <w:lang w:eastAsia="en-GB"/>
        </w:rPr>
      </w:pPr>
      <w:r w:rsidRPr="005D3BB6">
        <w:rPr>
          <w:rFonts w:ascii="Arial" w:eastAsia="Times New Roman" w:hAnsi="Arial" w:cs="Arial"/>
          <w:b/>
          <w:color w:val="000000"/>
          <w:sz w:val="24"/>
          <w:szCs w:val="24"/>
          <w:lang w:eastAsia="en-GB"/>
        </w:rPr>
        <w:t>Economic</w:t>
      </w:r>
    </w:p>
    <w:p w14:paraId="2805434E" w14:textId="5F76BF50" w:rsidR="007923E2" w:rsidRPr="005D3BB6" w:rsidRDefault="007923E2" w:rsidP="005D3BB6">
      <w:pPr>
        <w:spacing w:after="166" w:line="360" w:lineRule="auto"/>
        <w:ind w:left="1" w:right="48"/>
        <w:rPr>
          <w:rFonts w:ascii="Arial" w:hAnsi="Arial" w:cs="Arial"/>
          <w:sz w:val="24"/>
          <w:szCs w:val="24"/>
          <w:lang w:eastAsia="en-GB"/>
        </w:rPr>
      </w:pPr>
      <w:r w:rsidRPr="005D3BB6">
        <w:rPr>
          <w:rFonts w:ascii="Arial" w:hAnsi="Arial" w:cs="Arial"/>
          <w:sz w:val="24"/>
          <w:szCs w:val="24"/>
          <w:lang w:eastAsia="en-GB"/>
        </w:rPr>
        <w:t>Changes within the economic climate also pose concern for insurers as it tends to increase the risk involved, particularly in areas of life and health insurance.  The success of this industry lies in adequately anticipating and handling risks. Out of the top 10 insured losses from 1970 to 2005, 5 of them occurred in the period 2004 to 2005, during the economic slowdown. This is why the insurance sector keeps a close eye on economic forecasts. Although it is argued that the insurance sector suffers lesser than the banking sector with low liquidity risk and limited systematic risk (</w:t>
      </w:r>
      <w:r w:rsidR="00F53A0E">
        <w:rPr>
          <w:rFonts w:ascii="Arial" w:hAnsi="Arial" w:cs="Arial"/>
          <w:sz w:val="24"/>
          <w:szCs w:val="24"/>
          <w:lang w:eastAsia="en-GB"/>
        </w:rPr>
        <w:t>King et al, 2012</w:t>
      </w:r>
      <w:r w:rsidRPr="005D3BB6">
        <w:rPr>
          <w:rFonts w:ascii="Arial" w:hAnsi="Arial" w:cs="Arial"/>
          <w:sz w:val="24"/>
          <w:szCs w:val="24"/>
          <w:lang w:eastAsia="en-GB"/>
        </w:rPr>
        <w:t>). Insurance firms do not face the risk of a defaulting client, but it is the other way around, as they face the risk of paying in the event of loss, death or maturity etc. (</w:t>
      </w:r>
      <w:r w:rsidR="00F53A0E">
        <w:rPr>
          <w:rFonts w:ascii="Arial" w:hAnsi="Arial" w:cs="Arial"/>
          <w:sz w:val="24"/>
          <w:szCs w:val="24"/>
          <w:lang w:eastAsia="en-GB"/>
        </w:rPr>
        <w:t>Dobbin et al, 2011</w:t>
      </w:r>
      <w:r w:rsidRPr="005D3BB6">
        <w:rPr>
          <w:rFonts w:ascii="Arial" w:hAnsi="Arial" w:cs="Arial"/>
          <w:sz w:val="24"/>
          <w:szCs w:val="24"/>
          <w:lang w:eastAsia="en-GB"/>
        </w:rPr>
        <w:t xml:space="preserve">). The 2008 crisis saw a decline in the collateralised debt obligations which impacted both banks and insurance companies alike. However, since the last two decades, Aetna followed a strategy of increasing connections with banks and non-traditional insurance, particularly in capital markets. Therefore, the systematic risk has seeped into sales and insurance packages offered by the firm. Diversification into non-traditional activities has led to a systematic link between insurance providers and banks altering the business model for Aetna. </w:t>
      </w:r>
      <w:r w:rsidRPr="005D3BB6">
        <w:rPr>
          <w:rFonts w:ascii="Arial" w:eastAsia="Times New Roman" w:hAnsi="Arial" w:cs="Arial"/>
          <w:color w:val="000000"/>
          <w:sz w:val="24"/>
          <w:szCs w:val="24"/>
          <w:lang w:eastAsia="en-GB"/>
        </w:rPr>
        <w:br/>
      </w:r>
      <w:r w:rsidRPr="005D3BB6">
        <w:rPr>
          <w:rFonts w:ascii="Arial" w:eastAsia="Times New Roman" w:hAnsi="Arial" w:cs="Arial"/>
          <w:b/>
          <w:color w:val="000000"/>
          <w:sz w:val="24"/>
          <w:szCs w:val="24"/>
          <w:lang w:eastAsia="en-GB"/>
        </w:rPr>
        <w:t>Social</w:t>
      </w:r>
    </w:p>
    <w:p w14:paraId="6CF3DAE1" w14:textId="77777777" w:rsidR="007923E2" w:rsidRPr="005D3BB6" w:rsidRDefault="007923E2" w:rsidP="005D3BB6">
      <w:pPr>
        <w:spacing w:after="166" w:line="360" w:lineRule="auto"/>
        <w:ind w:left="11" w:right="48" w:hanging="10"/>
        <w:rPr>
          <w:rFonts w:ascii="Arial" w:hAnsi="Arial" w:cs="Arial"/>
          <w:sz w:val="24"/>
          <w:szCs w:val="24"/>
          <w:lang w:eastAsia="en-GB"/>
        </w:rPr>
      </w:pPr>
      <w:r w:rsidRPr="005D3BB6">
        <w:rPr>
          <w:rFonts w:ascii="Arial" w:hAnsi="Arial" w:cs="Arial"/>
          <w:sz w:val="24"/>
          <w:szCs w:val="24"/>
          <w:lang w:eastAsia="en-GB"/>
        </w:rPr>
        <w:t xml:space="preserve">Social factors also impact the health insurance sector. Average age of the population, life expectancy, mortality rate etc. are some factors which directly impact the industry at large. Within the EU, the average life expectancy is higher than most parts of the world. With better healthcare service, the mortality rate is expected to lower down further, leading to better life expectancy in the region. This will eventually also effect the demography, such that a higher proportion of individuals would remain in their retirement age. An ageing population also implies lesser proportion available for the working age group. This would imply an increasing cost for pensions, and health and aged care costs for them. Given the rising costs for </w:t>
      </w:r>
      <w:r w:rsidRPr="005D3BB6">
        <w:rPr>
          <w:rFonts w:ascii="Arial" w:hAnsi="Arial" w:cs="Arial"/>
          <w:sz w:val="24"/>
          <w:szCs w:val="24"/>
          <w:lang w:eastAsia="en-GB"/>
        </w:rPr>
        <w:lastRenderedPageBreak/>
        <w:t xml:space="preserve">state provided age pensions, several OECD governments have worked to equalise the male and female eligibility ages for beginning of pension age. </w:t>
      </w:r>
    </w:p>
    <w:p w14:paraId="6220D7E2" w14:textId="77777777" w:rsidR="007923E2" w:rsidRPr="005D3BB6" w:rsidRDefault="007923E2" w:rsidP="005D3BB6">
      <w:pPr>
        <w:spacing w:after="166" w:line="360" w:lineRule="auto"/>
        <w:ind w:left="11" w:right="48" w:hanging="10"/>
        <w:jc w:val="center"/>
        <w:rPr>
          <w:rFonts w:ascii="Arial" w:eastAsia="Times New Roman" w:hAnsi="Arial" w:cs="Arial"/>
          <w:color w:val="000000"/>
          <w:sz w:val="24"/>
          <w:szCs w:val="24"/>
          <w:lang w:eastAsia="en-GB"/>
        </w:rPr>
      </w:pPr>
      <w:r w:rsidRPr="005D3BB6">
        <w:rPr>
          <w:rFonts w:ascii="Arial" w:hAnsi="Arial" w:cs="Arial"/>
          <w:noProof/>
          <w:sz w:val="24"/>
          <w:szCs w:val="24"/>
          <w:lang w:eastAsia="en-GB"/>
        </w:rPr>
        <w:drawing>
          <wp:inline distT="0" distB="0" distL="0" distR="0" wp14:anchorId="198DC84F" wp14:editId="6F4A304D">
            <wp:extent cx="5844540" cy="3323645"/>
            <wp:effectExtent l="0" t="0" r="3810" b="0"/>
            <wp:docPr id="1186" name="Picture 1186"/>
            <wp:cNvGraphicFramePr/>
            <a:graphic xmlns:a="http://schemas.openxmlformats.org/drawingml/2006/main">
              <a:graphicData uri="http://schemas.openxmlformats.org/drawingml/2006/picture">
                <pic:pic xmlns:pic="http://schemas.openxmlformats.org/drawingml/2006/picture">
                  <pic:nvPicPr>
                    <pic:cNvPr id="1186" name="Picture 1186"/>
                    <pic:cNvPicPr/>
                  </pic:nvPicPr>
                  <pic:blipFill>
                    <a:blip r:embed="rId13"/>
                    <a:stretch>
                      <a:fillRect/>
                    </a:stretch>
                  </pic:blipFill>
                  <pic:spPr>
                    <a:xfrm>
                      <a:off x="0" y="0"/>
                      <a:ext cx="5858264" cy="3331449"/>
                    </a:xfrm>
                    <a:prstGeom prst="rect">
                      <a:avLst/>
                    </a:prstGeom>
                  </pic:spPr>
                </pic:pic>
              </a:graphicData>
            </a:graphic>
          </wp:inline>
        </w:drawing>
      </w:r>
    </w:p>
    <w:p w14:paraId="2106D38B" w14:textId="77777777" w:rsidR="007923E2" w:rsidRPr="005D3BB6" w:rsidRDefault="007923E2" w:rsidP="005D3BB6">
      <w:pPr>
        <w:spacing w:after="166" w:line="360" w:lineRule="auto"/>
        <w:ind w:left="11" w:right="48" w:hanging="10"/>
        <w:rPr>
          <w:rFonts w:ascii="Arial" w:hAnsi="Arial" w:cs="Arial"/>
          <w:i/>
          <w:sz w:val="24"/>
          <w:szCs w:val="24"/>
          <w:lang w:eastAsia="en-GB"/>
        </w:rPr>
      </w:pPr>
      <w:r w:rsidRPr="005D3BB6">
        <w:rPr>
          <w:rFonts w:ascii="Arial" w:hAnsi="Arial" w:cs="Arial"/>
          <w:i/>
          <w:sz w:val="24"/>
          <w:szCs w:val="24"/>
          <w:lang w:eastAsia="en-GB"/>
        </w:rPr>
        <w:t>Figure 2 – Population and age distribution - Europe</w:t>
      </w:r>
    </w:p>
    <w:p w14:paraId="1DEE3831" w14:textId="696DD103" w:rsidR="007923E2" w:rsidRDefault="007923E2" w:rsidP="005D3BB6">
      <w:pPr>
        <w:spacing w:after="166" w:line="360" w:lineRule="auto"/>
        <w:ind w:left="11" w:right="48" w:hanging="10"/>
        <w:rPr>
          <w:rFonts w:ascii="Arial" w:hAnsi="Arial" w:cs="Arial"/>
          <w:sz w:val="24"/>
          <w:szCs w:val="24"/>
          <w:lang w:eastAsia="en-GB"/>
        </w:rPr>
      </w:pPr>
      <w:r w:rsidRPr="005D3BB6">
        <w:rPr>
          <w:rFonts w:ascii="Arial" w:hAnsi="Arial" w:cs="Arial"/>
          <w:sz w:val="24"/>
          <w:szCs w:val="24"/>
          <w:lang w:eastAsia="en-GB"/>
        </w:rPr>
        <w:t>The extremes for the ranges for life expectancy as evident from 2012 data, are for Bulgaria at 77.9 years for women, and Spain for 85.5 years for them. Likewise, for men, Lithuania at 68.4 years and Sweden at 79.9 year are the extremes. With higher standard of education and uplifting of living standards, the life expectancy is expected to get longer in the future. Looking at the data for the past 5 decades, average life expectancy for both men and women in the EU has increased by 10 years (</w:t>
      </w:r>
      <w:r w:rsidR="00F53A0E">
        <w:rPr>
          <w:rFonts w:ascii="Arial" w:hAnsi="Arial" w:cs="Arial"/>
          <w:sz w:val="24"/>
          <w:szCs w:val="24"/>
          <w:lang w:eastAsia="en-GB"/>
        </w:rPr>
        <w:t>OECD, 2011</w:t>
      </w:r>
      <w:r w:rsidRPr="005D3BB6">
        <w:rPr>
          <w:rFonts w:ascii="Arial" w:hAnsi="Arial" w:cs="Arial"/>
          <w:sz w:val="24"/>
          <w:szCs w:val="24"/>
          <w:lang w:eastAsia="en-GB"/>
        </w:rPr>
        <w:t>). In most EU countries, public pensions constitute one of the largest share of the budget items (</w:t>
      </w:r>
      <w:r w:rsidR="00C71815">
        <w:rPr>
          <w:rFonts w:ascii="Arial" w:hAnsi="Arial" w:cs="Arial"/>
          <w:sz w:val="24"/>
          <w:szCs w:val="24"/>
          <w:lang w:eastAsia="en-GB"/>
        </w:rPr>
        <w:t>Ernst &amp; Young, 2010</w:t>
      </w:r>
      <w:r w:rsidRPr="005D3BB6">
        <w:rPr>
          <w:rFonts w:ascii="Arial" w:hAnsi="Arial" w:cs="Arial"/>
          <w:sz w:val="24"/>
          <w:szCs w:val="24"/>
          <w:lang w:eastAsia="en-GB"/>
        </w:rPr>
        <w:t>). Owing to this, most government are rethinking on the retirement age of 65 years. For instance, Germany is planning to raise it to 67 years, UK wishes to raise it to 68 years, and Iceland and Norway have already implemented a 67 years’ policy (</w:t>
      </w:r>
      <w:r w:rsidR="007746FD">
        <w:rPr>
          <w:rFonts w:ascii="Arial" w:hAnsi="Arial" w:cs="Arial"/>
          <w:sz w:val="24"/>
          <w:szCs w:val="24"/>
          <w:lang w:eastAsia="en-GB"/>
        </w:rPr>
        <w:t>Hubbard, 2014</w:t>
      </w:r>
      <w:r w:rsidRPr="005D3BB6">
        <w:rPr>
          <w:rFonts w:ascii="Arial" w:hAnsi="Arial" w:cs="Arial"/>
          <w:sz w:val="24"/>
          <w:szCs w:val="24"/>
          <w:lang w:eastAsia="en-GB"/>
        </w:rPr>
        <w:t xml:space="preserve">). The policies aimed to increase retirement age are an attempt to ameliorate the impact on public finances which these governments manage. </w:t>
      </w:r>
    </w:p>
    <w:p w14:paraId="5A3CADB5" w14:textId="77777777" w:rsidR="00EA4320" w:rsidRPr="005D3BB6" w:rsidRDefault="00EA4320" w:rsidP="005D3BB6">
      <w:pPr>
        <w:spacing w:after="166" w:line="360" w:lineRule="auto"/>
        <w:ind w:left="11" w:right="48" w:hanging="10"/>
        <w:rPr>
          <w:rFonts w:ascii="Arial" w:hAnsi="Arial" w:cs="Arial"/>
          <w:sz w:val="24"/>
          <w:szCs w:val="24"/>
          <w:lang w:eastAsia="en-GB"/>
        </w:rPr>
      </w:pPr>
    </w:p>
    <w:p w14:paraId="56EE6839" w14:textId="77777777" w:rsidR="007923E2" w:rsidRPr="005D3BB6" w:rsidRDefault="007923E2" w:rsidP="005D3BB6">
      <w:pPr>
        <w:spacing w:after="166" w:line="360" w:lineRule="auto"/>
        <w:ind w:left="11" w:right="48" w:hanging="10"/>
        <w:rPr>
          <w:rFonts w:ascii="Arial" w:eastAsia="Times New Roman" w:hAnsi="Arial" w:cs="Arial"/>
          <w:b/>
          <w:color w:val="000000"/>
          <w:sz w:val="24"/>
          <w:szCs w:val="24"/>
          <w:lang w:eastAsia="en-GB"/>
        </w:rPr>
      </w:pPr>
      <w:r w:rsidRPr="005D3BB6">
        <w:rPr>
          <w:rFonts w:ascii="Arial" w:eastAsia="Times New Roman" w:hAnsi="Arial" w:cs="Arial"/>
          <w:b/>
          <w:color w:val="000000"/>
          <w:sz w:val="24"/>
          <w:szCs w:val="24"/>
          <w:lang w:eastAsia="en-GB"/>
        </w:rPr>
        <w:t>Technological</w:t>
      </w:r>
    </w:p>
    <w:p w14:paraId="132123EF" w14:textId="50123789" w:rsidR="007923E2" w:rsidRPr="005D3BB6" w:rsidRDefault="007923E2" w:rsidP="005D3BB6">
      <w:pPr>
        <w:spacing w:after="166" w:line="360" w:lineRule="auto"/>
        <w:ind w:left="11" w:right="48" w:hanging="10"/>
        <w:rPr>
          <w:rFonts w:ascii="Arial" w:hAnsi="Arial" w:cs="Arial"/>
          <w:sz w:val="24"/>
          <w:szCs w:val="24"/>
          <w:lang w:eastAsia="en-GB"/>
        </w:rPr>
      </w:pPr>
      <w:r w:rsidRPr="005D3BB6">
        <w:rPr>
          <w:rFonts w:ascii="Arial" w:hAnsi="Arial" w:cs="Arial"/>
          <w:sz w:val="24"/>
          <w:szCs w:val="24"/>
          <w:lang w:eastAsia="en-GB"/>
        </w:rPr>
        <w:lastRenderedPageBreak/>
        <w:t xml:space="preserve">Technological innovations bring about radical changes in the businesses operate within their markets. Newer products and innovations allow for more business diversification to insurance companies. For instance, with rise in solar power and photovoltaic panels, 5% </w:t>
      </w:r>
      <w:r w:rsidR="009E6E75">
        <w:rPr>
          <w:rFonts w:ascii="Arial" w:hAnsi="Arial" w:cs="Arial"/>
          <w:sz w:val="24"/>
          <w:szCs w:val="24"/>
          <w:lang w:eastAsia="en-GB"/>
        </w:rPr>
        <w:t>of the electricity demand in</w:t>
      </w:r>
      <w:r w:rsidRPr="005D3BB6">
        <w:rPr>
          <w:rFonts w:ascii="Arial" w:hAnsi="Arial" w:cs="Arial"/>
          <w:sz w:val="24"/>
          <w:szCs w:val="24"/>
          <w:lang w:eastAsia="en-GB"/>
        </w:rPr>
        <w:t xml:space="preserve"> Europe is met with this new form of renewable energy (</w:t>
      </w:r>
      <w:proofErr w:type="spellStart"/>
      <w:r w:rsidR="007746FD">
        <w:rPr>
          <w:rFonts w:ascii="Arial" w:hAnsi="Arial" w:cs="Arial"/>
          <w:sz w:val="24"/>
          <w:szCs w:val="24"/>
          <w:lang w:eastAsia="en-GB"/>
        </w:rPr>
        <w:t>Celik</w:t>
      </w:r>
      <w:proofErr w:type="spellEnd"/>
      <w:r w:rsidR="007746FD">
        <w:rPr>
          <w:rFonts w:ascii="Arial" w:hAnsi="Arial" w:cs="Arial"/>
          <w:sz w:val="24"/>
          <w:szCs w:val="24"/>
          <w:lang w:eastAsia="en-GB"/>
        </w:rPr>
        <w:t xml:space="preserve"> et al, 2012</w:t>
      </w:r>
      <w:r w:rsidRPr="005D3BB6">
        <w:rPr>
          <w:rFonts w:ascii="Arial" w:hAnsi="Arial" w:cs="Arial"/>
          <w:sz w:val="24"/>
          <w:szCs w:val="24"/>
          <w:lang w:eastAsia="en-GB"/>
        </w:rPr>
        <w:t>). Basis this, insurance companies have also started providing products with coverage for risks with solar panels. Likewise, with higher penetration of internet and mobile devices, betting industry has grown in scope and scale to become a large complex sector. This has increased demand for insurance for not just property but also</w:t>
      </w:r>
      <w:r w:rsidR="007746FD">
        <w:rPr>
          <w:rFonts w:ascii="Arial" w:hAnsi="Arial" w:cs="Arial"/>
          <w:sz w:val="24"/>
          <w:szCs w:val="24"/>
          <w:lang w:eastAsia="en-GB"/>
        </w:rPr>
        <w:t xml:space="preserve"> towards financial derivatives. </w:t>
      </w:r>
      <w:r w:rsidRPr="005D3BB6">
        <w:rPr>
          <w:rFonts w:ascii="Arial" w:hAnsi="Arial" w:cs="Arial"/>
          <w:sz w:val="24"/>
          <w:szCs w:val="24"/>
          <w:lang w:eastAsia="en-GB"/>
        </w:rPr>
        <w:t xml:space="preserve"> </w:t>
      </w:r>
    </w:p>
    <w:p w14:paraId="796C3767" w14:textId="77777777" w:rsidR="007923E2" w:rsidRPr="005D3BB6" w:rsidRDefault="007923E2" w:rsidP="005D3BB6">
      <w:pPr>
        <w:spacing w:after="166" w:line="360" w:lineRule="auto"/>
        <w:ind w:left="11" w:right="48" w:hanging="10"/>
        <w:rPr>
          <w:rFonts w:ascii="Arial" w:eastAsia="Times New Roman" w:hAnsi="Arial" w:cs="Arial"/>
          <w:b/>
          <w:color w:val="000000"/>
          <w:sz w:val="24"/>
          <w:szCs w:val="24"/>
          <w:lang w:eastAsia="en-GB"/>
        </w:rPr>
      </w:pPr>
      <w:r w:rsidRPr="005D3BB6">
        <w:rPr>
          <w:rFonts w:ascii="Arial" w:eastAsia="Times New Roman" w:hAnsi="Arial" w:cs="Arial"/>
          <w:b/>
          <w:color w:val="000000"/>
          <w:sz w:val="24"/>
          <w:szCs w:val="24"/>
          <w:lang w:eastAsia="en-GB"/>
        </w:rPr>
        <w:t>Legal</w:t>
      </w:r>
    </w:p>
    <w:p w14:paraId="4796515F" w14:textId="2CEDD0B7" w:rsidR="007923E2" w:rsidRPr="005D3BB6" w:rsidRDefault="007923E2" w:rsidP="005D3BB6">
      <w:pPr>
        <w:spacing w:after="166" w:line="360" w:lineRule="auto"/>
        <w:ind w:left="11" w:right="48" w:hanging="10"/>
        <w:rPr>
          <w:rFonts w:ascii="Arial" w:hAnsi="Arial" w:cs="Arial"/>
          <w:sz w:val="24"/>
          <w:szCs w:val="24"/>
          <w:lang w:eastAsia="en-GB"/>
        </w:rPr>
      </w:pPr>
      <w:r w:rsidRPr="005D3BB6">
        <w:rPr>
          <w:rFonts w:ascii="Arial" w:hAnsi="Arial" w:cs="Arial"/>
          <w:sz w:val="24"/>
          <w:szCs w:val="24"/>
          <w:lang w:eastAsia="en-GB"/>
        </w:rPr>
        <w:t>The legal environment of the markets and the regulatory regime have a major role to play in the industry. Legislations create new form of strategic and compliance related measures. For instance, laws decide on the capital base needed for insurance, which is the biggest pillar to impact this derivative. This impacts areas like, Solvency Capital Requirements (SCR), technical provisions, Minimum capital needs etc. (</w:t>
      </w:r>
      <w:r w:rsidR="007746FD">
        <w:rPr>
          <w:rFonts w:ascii="Arial" w:hAnsi="Arial" w:cs="Arial"/>
          <w:sz w:val="24"/>
          <w:szCs w:val="24"/>
          <w:lang w:eastAsia="en-GB"/>
        </w:rPr>
        <w:t>Wagner, 2007</w:t>
      </w:r>
      <w:r w:rsidRPr="005D3BB6">
        <w:rPr>
          <w:rFonts w:ascii="Arial" w:hAnsi="Arial" w:cs="Arial"/>
          <w:sz w:val="24"/>
          <w:szCs w:val="24"/>
          <w:lang w:eastAsia="en-GB"/>
        </w:rPr>
        <w:t>). New requirements lead to insurance companies keeping additional capital base for being compliant. For instance, SII may not be prescriptive in nature. It allows insurance firms to develop their own internal models or take necessary risks based on their self-assessment of appetite, all of which is again subject to regulatory approval (Ernst &amp; Young, 2010).  Likewise, regulatory practices determine the flexibility which such firms have towards Own Risk and Solvency Assessment (ORSA) steps.</w:t>
      </w:r>
      <w:r w:rsidRPr="005D3BB6">
        <w:rPr>
          <w:rFonts w:ascii="Arial" w:eastAsia="Times New Roman" w:hAnsi="Arial" w:cs="Arial"/>
          <w:color w:val="000000"/>
          <w:sz w:val="24"/>
          <w:szCs w:val="24"/>
          <w:lang w:eastAsia="en-GB"/>
        </w:rPr>
        <w:t xml:space="preserve"> </w:t>
      </w:r>
    </w:p>
    <w:p w14:paraId="6CBC732A" w14:textId="77777777" w:rsidR="007923E2" w:rsidRPr="005D3BB6" w:rsidRDefault="007923E2" w:rsidP="005D3BB6">
      <w:pPr>
        <w:spacing w:after="166" w:line="360" w:lineRule="auto"/>
        <w:ind w:left="11" w:right="48" w:hanging="10"/>
        <w:rPr>
          <w:rFonts w:ascii="Arial" w:eastAsia="Times New Roman" w:hAnsi="Arial" w:cs="Arial"/>
          <w:b/>
          <w:color w:val="000000"/>
          <w:sz w:val="24"/>
          <w:szCs w:val="24"/>
          <w:lang w:eastAsia="en-GB"/>
        </w:rPr>
      </w:pPr>
      <w:r w:rsidRPr="005D3BB6">
        <w:rPr>
          <w:rFonts w:ascii="Arial" w:eastAsia="Times New Roman" w:hAnsi="Arial" w:cs="Arial"/>
          <w:b/>
          <w:color w:val="000000"/>
          <w:sz w:val="24"/>
          <w:szCs w:val="24"/>
          <w:lang w:eastAsia="en-GB"/>
        </w:rPr>
        <w:t>Environmental</w:t>
      </w:r>
    </w:p>
    <w:p w14:paraId="6E8F9956" w14:textId="62484AB2" w:rsidR="007746FD" w:rsidRDefault="007923E2" w:rsidP="007746FD">
      <w:pPr>
        <w:spacing w:line="360" w:lineRule="auto"/>
        <w:rPr>
          <w:rFonts w:ascii="Arial" w:hAnsi="Arial" w:cs="Arial"/>
          <w:sz w:val="24"/>
          <w:szCs w:val="24"/>
          <w:lang w:eastAsia="en-GB"/>
        </w:rPr>
      </w:pPr>
      <w:r w:rsidRPr="005D3BB6">
        <w:rPr>
          <w:rFonts w:ascii="Arial" w:hAnsi="Arial" w:cs="Arial"/>
          <w:sz w:val="24"/>
          <w:szCs w:val="24"/>
          <w:lang w:eastAsia="en-GB"/>
        </w:rPr>
        <w:t>Environmental factors also impact the way businesses are conduct. Particularly for insurance firms, they are at the cutting edge of assessing risk and providing early warning system to the society (</w:t>
      </w:r>
      <w:proofErr w:type="spellStart"/>
      <w:r w:rsidR="007746FD">
        <w:rPr>
          <w:rFonts w:ascii="Arial" w:hAnsi="Arial" w:cs="Arial"/>
          <w:sz w:val="24"/>
          <w:szCs w:val="24"/>
          <w:lang w:eastAsia="en-GB"/>
        </w:rPr>
        <w:t>Brammer</w:t>
      </w:r>
      <w:proofErr w:type="spellEnd"/>
      <w:r w:rsidR="007746FD">
        <w:rPr>
          <w:rFonts w:ascii="Arial" w:hAnsi="Arial" w:cs="Arial"/>
          <w:sz w:val="24"/>
          <w:szCs w:val="24"/>
          <w:lang w:eastAsia="en-GB"/>
        </w:rPr>
        <w:t xml:space="preserve"> et al, 2009</w:t>
      </w:r>
      <w:r w:rsidRPr="005D3BB6">
        <w:rPr>
          <w:rFonts w:ascii="Arial" w:hAnsi="Arial" w:cs="Arial"/>
          <w:sz w:val="24"/>
          <w:szCs w:val="24"/>
          <w:lang w:eastAsia="en-GB"/>
        </w:rPr>
        <w:t>). With new risks emerging in the environment, coverage requirements also keep changing thereby impacting the business model of these firms. Insurance firms need to think ‘green’ and help customers have adequate coverage to risks from environmental changes, terrorism, etc. Insurers face challenges when designing these products. For instance, identifying and determining the exposure to los</w:t>
      </w:r>
      <w:r w:rsidR="007746FD">
        <w:rPr>
          <w:rFonts w:ascii="Arial" w:hAnsi="Arial" w:cs="Arial"/>
          <w:sz w:val="24"/>
          <w:szCs w:val="24"/>
          <w:lang w:eastAsia="en-GB"/>
        </w:rPr>
        <w:t xml:space="preserve">s remains an area of challenge. </w:t>
      </w:r>
      <w:r w:rsidRPr="005D3BB6">
        <w:rPr>
          <w:rFonts w:ascii="Arial" w:hAnsi="Arial" w:cs="Arial"/>
          <w:sz w:val="24"/>
          <w:szCs w:val="24"/>
          <w:lang w:eastAsia="en-GB"/>
        </w:rPr>
        <w:t xml:space="preserve">Apart from theories for damage liability in the common law, newer form of theories and </w:t>
      </w:r>
      <w:r w:rsidRPr="005D3BB6">
        <w:rPr>
          <w:rFonts w:ascii="Arial" w:hAnsi="Arial" w:cs="Arial"/>
          <w:sz w:val="24"/>
          <w:szCs w:val="24"/>
          <w:lang w:eastAsia="en-GB"/>
        </w:rPr>
        <w:lastRenderedPageBreak/>
        <w:t>designs are needed for liability for environmental damages claims, third party damages, damage to natural resources etc. It may be difficult to quantify such claims with regard to time, amount or place (</w:t>
      </w:r>
      <w:r w:rsidR="007746FD">
        <w:rPr>
          <w:rFonts w:ascii="Arial" w:hAnsi="Arial" w:cs="Arial"/>
          <w:sz w:val="24"/>
          <w:szCs w:val="24"/>
          <w:lang w:eastAsia="en-GB"/>
        </w:rPr>
        <w:t>Shen et al, 2009)</w:t>
      </w:r>
    </w:p>
    <w:p w14:paraId="79BFB171" w14:textId="1745FE85" w:rsidR="00EA4320" w:rsidRPr="005D3BB6" w:rsidRDefault="00EA4320" w:rsidP="007746FD">
      <w:pPr>
        <w:spacing w:after="166" w:line="360" w:lineRule="auto"/>
        <w:ind w:right="48"/>
        <w:rPr>
          <w:rFonts w:ascii="Arial" w:hAnsi="Arial" w:cs="Arial"/>
          <w:sz w:val="24"/>
          <w:szCs w:val="24"/>
          <w:lang w:eastAsia="en-GB"/>
        </w:rPr>
      </w:pPr>
    </w:p>
    <w:p w14:paraId="5B08686F" w14:textId="3CDB6E00" w:rsidR="00961EE6" w:rsidRPr="005D3BB6" w:rsidRDefault="007923E2" w:rsidP="005D3BB6">
      <w:pPr>
        <w:pStyle w:val="Heading1"/>
        <w:spacing w:line="360" w:lineRule="auto"/>
        <w:rPr>
          <w:rFonts w:ascii="Arial" w:eastAsia="Times New Roman" w:hAnsi="Arial" w:cs="Arial"/>
          <w:sz w:val="24"/>
          <w:szCs w:val="24"/>
          <w:lang w:eastAsia="en-GB"/>
        </w:rPr>
      </w:pPr>
      <w:bookmarkStart w:id="21" w:name="_Toc534372130"/>
      <w:r w:rsidRPr="005D3BB6">
        <w:rPr>
          <w:rFonts w:ascii="Arial" w:eastAsia="Times New Roman" w:hAnsi="Arial" w:cs="Arial"/>
          <w:sz w:val="24"/>
          <w:szCs w:val="24"/>
          <w:lang w:eastAsia="en-GB"/>
        </w:rPr>
        <w:t xml:space="preserve">5.0 </w:t>
      </w:r>
      <w:r w:rsidR="00961EE6" w:rsidRPr="005D3BB6">
        <w:rPr>
          <w:rFonts w:ascii="Arial" w:eastAsia="Times New Roman" w:hAnsi="Arial" w:cs="Arial"/>
          <w:sz w:val="24"/>
          <w:szCs w:val="24"/>
          <w:lang w:eastAsia="en-GB"/>
        </w:rPr>
        <w:t>The Business case for Aetna’s diversity programme</w:t>
      </w:r>
      <w:bookmarkEnd w:id="21"/>
    </w:p>
    <w:p w14:paraId="38437AED" w14:textId="79F3E78A" w:rsidR="002654DC" w:rsidRPr="005D3BB6" w:rsidRDefault="002654DC" w:rsidP="005D3BB6">
      <w:pPr>
        <w:spacing w:after="139" w:line="360" w:lineRule="auto"/>
        <w:ind w:left="11" w:right="48" w:hanging="10"/>
        <w:jc w:val="both"/>
        <w:rPr>
          <w:rFonts w:ascii="Arial" w:eastAsia="Times New Roman" w:hAnsi="Arial" w:cs="Arial"/>
          <w:sz w:val="24"/>
          <w:szCs w:val="24"/>
          <w:lang w:eastAsia="en-GB"/>
        </w:rPr>
      </w:pPr>
      <w:r w:rsidRPr="005D3BB6">
        <w:rPr>
          <w:rFonts w:ascii="Arial" w:eastAsia="Times New Roman" w:hAnsi="Arial" w:cs="Arial"/>
          <w:sz w:val="24"/>
          <w:szCs w:val="24"/>
          <w:lang w:eastAsia="en-GB"/>
        </w:rPr>
        <w:t>Diversity at Aetna means recognizing and appreciating the differences among the employees. In general terms diversity having a workforce that has people who have different backgrounds in terms of sex, religion, language, culture, gender etc. who can work in a team and perform better t</w:t>
      </w:r>
      <w:r w:rsidR="00C3075D" w:rsidRPr="005D3BB6">
        <w:rPr>
          <w:rFonts w:ascii="Arial" w:eastAsia="Times New Roman" w:hAnsi="Arial" w:cs="Arial"/>
          <w:sz w:val="24"/>
          <w:szCs w:val="24"/>
          <w:lang w:eastAsia="en-GB"/>
        </w:rPr>
        <w:t>han when in a homogeneous group (</w:t>
      </w:r>
      <w:r w:rsidR="007746FD">
        <w:rPr>
          <w:rFonts w:ascii="Arial" w:eastAsia="Times New Roman" w:hAnsi="Arial" w:cs="Arial"/>
          <w:sz w:val="24"/>
          <w:szCs w:val="24"/>
          <w:lang w:eastAsia="en-GB"/>
        </w:rPr>
        <w:t>Hubbard, 2014</w:t>
      </w:r>
      <w:r w:rsidR="00C3075D" w:rsidRPr="005D3BB6">
        <w:rPr>
          <w:rFonts w:ascii="Arial" w:eastAsia="Times New Roman" w:hAnsi="Arial" w:cs="Arial"/>
          <w:sz w:val="24"/>
          <w:szCs w:val="24"/>
          <w:lang w:eastAsia="en-GB"/>
        </w:rPr>
        <w:t xml:space="preserve">). This business model is very holistic in nature and it encourages the people to perform at their highest potential. At </w:t>
      </w:r>
      <w:r w:rsidR="007A6027" w:rsidRPr="005D3BB6">
        <w:rPr>
          <w:rFonts w:ascii="Arial" w:eastAsia="Times New Roman" w:hAnsi="Arial" w:cs="Arial"/>
          <w:sz w:val="24"/>
          <w:szCs w:val="24"/>
          <w:lang w:eastAsia="en-GB"/>
        </w:rPr>
        <w:t>Aetna,</w:t>
      </w:r>
      <w:r w:rsidR="00C3075D" w:rsidRPr="005D3BB6">
        <w:rPr>
          <w:rFonts w:ascii="Arial" w:eastAsia="Times New Roman" w:hAnsi="Arial" w:cs="Arial"/>
          <w:sz w:val="24"/>
          <w:szCs w:val="24"/>
          <w:lang w:eastAsia="en-GB"/>
        </w:rPr>
        <w:t xml:space="preserve"> the definition of diversity is </w:t>
      </w:r>
      <w:r w:rsidR="00AB6E28" w:rsidRPr="005D3BB6">
        <w:rPr>
          <w:rFonts w:ascii="Arial" w:eastAsia="Times New Roman" w:hAnsi="Arial" w:cs="Arial"/>
          <w:sz w:val="24"/>
          <w:szCs w:val="24"/>
          <w:lang w:eastAsia="en-GB"/>
        </w:rPr>
        <w:t>core</w:t>
      </w:r>
      <w:r w:rsidR="00C3075D" w:rsidRPr="005D3BB6">
        <w:rPr>
          <w:rFonts w:ascii="Arial" w:eastAsia="Times New Roman" w:hAnsi="Arial" w:cs="Arial"/>
          <w:sz w:val="24"/>
          <w:szCs w:val="24"/>
          <w:lang w:eastAsia="en-GB"/>
        </w:rPr>
        <w:t xml:space="preserve"> sophisticated and it is not just restricted to just the racial, gender or ethnic background but different work experience, different educational qualification and different cultural background. </w:t>
      </w:r>
      <w:r w:rsidR="007D3820" w:rsidRPr="005D3BB6">
        <w:rPr>
          <w:rFonts w:ascii="Arial" w:eastAsia="Times New Roman" w:hAnsi="Arial" w:cs="Arial"/>
          <w:sz w:val="24"/>
          <w:szCs w:val="24"/>
          <w:lang w:eastAsia="en-GB"/>
        </w:rPr>
        <w:t xml:space="preserve">In the US the diversity training sells only if it can ensure that at the end of it there will be greater team motivation and provides the bottom line to the organization. The case for diversity can be enhanced only if it is not only for compliance </w:t>
      </w:r>
      <w:r w:rsidR="008E3A61" w:rsidRPr="005D3BB6">
        <w:rPr>
          <w:rFonts w:ascii="Arial" w:eastAsia="Times New Roman" w:hAnsi="Arial" w:cs="Arial"/>
          <w:sz w:val="24"/>
          <w:szCs w:val="24"/>
          <w:lang w:eastAsia="en-GB"/>
        </w:rPr>
        <w:t xml:space="preserve">with all the negatives of fines due to non-compliance, but also contribute to the success of the bottom-line results and makes the best use of the diverse resource pool that it has. </w:t>
      </w:r>
    </w:p>
    <w:p w14:paraId="42902915" w14:textId="4CA57204" w:rsidR="00B8726E" w:rsidRDefault="00B8726E" w:rsidP="005D3BB6">
      <w:pPr>
        <w:spacing w:after="139" w:line="360" w:lineRule="auto"/>
        <w:ind w:left="11" w:right="48" w:hanging="10"/>
        <w:jc w:val="both"/>
        <w:rPr>
          <w:rFonts w:ascii="Arial" w:eastAsia="Times New Roman" w:hAnsi="Arial" w:cs="Arial"/>
          <w:sz w:val="24"/>
          <w:szCs w:val="24"/>
          <w:lang w:eastAsia="en-GB"/>
        </w:rPr>
      </w:pPr>
      <w:r w:rsidRPr="005D3BB6">
        <w:rPr>
          <w:rFonts w:ascii="Arial" w:eastAsia="Times New Roman" w:hAnsi="Arial" w:cs="Arial"/>
          <w:sz w:val="24"/>
          <w:szCs w:val="24"/>
          <w:lang w:eastAsia="en-GB"/>
        </w:rPr>
        <w:t xml:space="preserve">The employee resource groups that the company has are great examples of the diversity that is on display at Aetna. The Employee resource group that the company has in Africa helped in providing the ideas that has helped the company in penetrating the market, design if products and also in selling the products based on the promotions that were done. </w:t>
      </w:r>
      <w:r w:rsidR="00DA2C50" w:rsidRPr="005D3BB6">
        <w:rPr>
          <w:rFonts w:ascii="Arial" w:eastAsia="Times New Roman" w:hAnsi="Arial" w:cs="Arial"/>
          <w:sz w:val="24"/>
          <w:szCs w:val="24"/>
          <w:lang w:eastAsia="en-GB"/>
        </w:rPr>
        <w:t xml:space="preserve">There are other ERGs at Aetna like the Telework, Caregivers and Amenabilities that helps in dealing with very specific segments of the market and also exploring the different business opportunities that are present. The Hispanic and the Asian ERGs help in providing translation of languages. The translation is very important as word to word translation does not literally provide the same meaning as the original and one has to have an intelligent person conversant in that particular language to be able to translate the same. </w:t>
      </w:r>
      <w:r w:rsidR="00B0751F" w:rsidRPr="005D3BB6">
        <w:rPr>
          <w:rFonts w:ascii="Arial" w:eastAsia="Times New Roman" w:hAnsi="Arial" w:cs="Arial"/>
          <w:sz w:val="24"/>
          <w:szCs w:val="24"/>
          <w:lang w:eastAsia="en-GB"/>
        </w:rPr>
        <w:t xml:space="preserve">The Generation Y ERG has helped the company in designing a retention model that is very popular with the employees. They also help in the marketing endeavours of the company. </w:t>
      </w:r>
    </w:p>
    <w:p w14:paraId="0213DCD9" w14:textId="77777777" w:rsidR="00EA4320" w:rsidRPr="005D3BB6" w:rsidRDefault="00EA4320" w:rsidP="00EA4320">
      <w:pPr>
        <w:spacing w:after="139" w:line="360" w:lineRule="auto"/>
        <w:ind w:right="48"/>
        <w:jc w:val="both"/>
        <w:rPr>
          <w:rFonts w:ascii="Arial" w:eastAsia="Times New Roman" w:hAnsi="Arial" w:cs="Arial"/>
          <w:sz w:val="24"/>
          <w:szCs w:val="24"/>
          <w:lang w:eastAsia="en-GB"/>
        </w:rPr>
      </w:pPr>
    </w:p>
    <w:p w14:paraId="2AC1C197" w14:textId="248DF616" w:rsidR="0009224F" w:rsidRPr="005D3BB6" w:rsidRDefault="001D2473" w:rsidP="005D3BB6">
      <w:pPr>
        <w:pStyle w:val="Heading2"/>
        <w:spacing w:line="360" w:lineRule="auto"/>
        <w:rPr>
          <w:rFonts w:ascii="Arial" w:eastAsia="Times New Roman" w:hAnsi="Arial" w:cs="Arial"/>
          <w:sz w:val="24"/>
          <w:szCs w:val="24"/>
          <w:lang w:eastAsia="en-GB"/>
        </w:rPr>
      </w:pPr>
      <w:bookmarkStart w:id="22" w:name="_Toc534372131"/>
      <w:r w:rsidRPr="005D3BB6">
        <w:rPr>
          <w:rFonts w:ascii="Arial" w:eastAsia="Times New Roman" w:hAnsi="Arial" w:cs="Arial"/>
          <w:sz w:val="24"/>
          <w:szCs w:val="24"/>
          <w:lang w:eastAsia="en-GB"/>
        </w:rPr>
        <w:t>5</w:t>
      </w:r>
      <w:r w:rsidR="00961EE6" w:rsidRPr="005D3BB6">
        <w:rPr>
          <w:rFonts w:ascii="Arial" w:eastAsia="Times New Roman" w:hAnsi="Arial" w:cs="Arial"/>
          <w:sz w:val="24"/>
          <w:szCs w:val="24"/>
          <w:lang w:eastAsia="en-GB"/>
        </w:rPr>
        <w:t>.</w:t>
      </w:r>
      <w:r w:rsidRPr="005D3BB6">
        <w:rPr>
          <w:rFonts w:ascii="Arial" w:eastAsia="Times New Roman" w:hAnsi="Arial" w:cs="Arial"/>
          <w:sz w:val="24"/>
          <w:szCs w:val="24"/>
          <w:lang w:eastAsia="en-GB"/>
        </w:rPr>
        <w:t>1</w:t>
      </w:r>
      <w:r w:rsidR="00961EE6" w:rsidRPr="005D3BB6">
        <w:rPr>
          <w:rFonts w:ascii="Arial" w:eastAsia="Times New Roman" w:hAnsi="Arial" w:cs="Arial"/>
          <w:sz w:val="24"/>
          <w:szCs w:val="24"/>
          <w:lang w:eastAsia="en-GB"/>
        </w:rPr>
        <w:t xml:space="preserve"> </w:t>
      </w:r>
      <w:r w:rsidR="007B046A" w:rsidRPr="005D3BB6">
        <w:rPr>
          <w:rFonts w:ascii="Arial" w:eastAsia="Times New Roman" w:hAnsi="Arial" w:cs="Arial"/>
          <w:sz w:val="24"/>
          <w:szCs w:val="24"/>
          <w:lang w:eastAsia="en-GB"/>
        </w:rPr>
        <w:t>Critical Analysis</w:t>
      </w:r>
      <w:bookmarkEnd w:id="22"/>
      <w:r w:rsidR="007B046A" w:rsidRPr="005D3BB6">
        <w:rPr>
          <w:rFonts w:ascii="Arial" w:eastAsia="Times New Roman" w:hAnsi="Arial" w:cs="Arial"/>
          <w:sz w:val="24"/>
          <w:szCs w:val="24"/>
          <w:lang w:eastAsia="en-GB"/>
        </w:rPr>
        <w:t xml:space="preserve"> </w:t>
      </w:r>
    </w:p>
    <w:p w14:paraId="76C6EA9F" w14:textId="3D19EA02" w:rsidR="00795036" w:rsidRPr="005D3BB6" w:rsidRDefault="00795036" w:rsidP="005D3BB6">
      <w:pPr>
        <w:spacing w:after="139" w:line="360" w:lineRule="auto"/>
        <w:ind w:right="48"/>
        <w:jc w:val="both"/>
        <w:rPr>
          <w:rFonts w:ascii="Arial" w:eastAsia="Times New Roman" w:hAnsi="Arial" w:cs="Arial"/>
          <w:sz w:val="24"/>
          <w:szCs w:val="24"/>
          <w:lang w:eastAsia="en-GB"/>
        </w:rPr>
      </w:pPr>
      <w:bookmarkStart w:id="23" w:name="_Hlk533148225"/>
      <w:r w:rsidRPr="005D3BB6">
        <w:rPr>
          <w:rFonts w:ascii="Arial" w:eastAsia="Times New Roman" w:hAnsi="Arial" w:cs="Arial"/>
          <w:sz w:val="24"/>
          <w:szCs w:val="24"/>
          <w:lang w:eastAsia="en-GB"/>
        </w:rPr>
        <w:t xml:space="preserve">As per the work done by </w:t>
      </w:r>
      <w:r w:rsidR="00C55078">
        <w:rPr>
          <w:rFonts w:ascii="Arial" w:eastAsia="Times New Roman" w:hAnsi="Arial" w:cs="Arial"/>
          <w:sz w:val="24"/>
          <w:szCs w:val="24"/>
          <w:lang w:eastAsia="en-GB"/>
        </w:rPr>
        <w:t>Ernst &amp; Young (2010)</w:t>
      </w:r>
      <w:r w:rsidRPr="005D3BB6">
        <w:rPr>
          <w:rFonts w:ascii="Arial" w:eastAsia="Times New Roman" w:hAnsi="Arial" w:cs="Arial"/>
          <w:sz w:val="24"/>
          <w:szCs w:val="24"/>
          <w:lang w:eastAsia="en-GB"/>
        </w:rPr>
        <w:t xml:space="preserve"> around 13% of the 8000 strong women participating in the </w:t>
      </w:r>
      <w:r w:rsidR="00C55078">
        <w:rPr>
          <w:rFonts w:ascii="Arial" w:eastAsia="Times New Roman" w:hAnsi="Arial" w:cs="Arial"/>
          <w:sz w:val="24"/>
          <w:szCs w:val="24"/>
          <w:lang w:eastAsia="en-GB"/>
        </w:rPr>
        <w:t>I</w:t>
      </w:r>
      <w:r w:rsidRPr="005D3BB6">
        <w:rPr>
          <w:rFonts w:ascii="Arial" w:eastAsia="Times New Roman" w:hAnsi="Arial" w:cs="Arial"/>
          <w:sz w:val="24"/>
          <w:szCs w:val="24"/>
          <w:lang w:eastAsia="en-GB"/>
        </w:rPr>
        <w:t xml:space="preserve">nternational millennial survey did not want to be a part of the insurance companies as it had a bad reputation when it came to diversity. The hesitation of the women to work in the sector was found to be highest among the Asians at 19%, which was 10% in Western Europe and 11% in North America. This finding mirrored the fact that there were issues in the insurance sector when it came to dealing with women as the clients. Another study done by the AXA11 in 2015 stated that with the trends showing that women have now more wealth than ever and they have increasing clout in the boardrooms. This could be a $1.7 trillion market for the insurance agencies by the year 2030 (Aetna, 2017). This is more so in the emerging markets where the power of women </w:t>
      </w:r>
      <w:r w:rsidR="007A6027" w:rsidRPr="005D3BB6">
        <w:rPr>
          <w:rFonts w:ascii="Arial" w:eastAsia="Times New Roman" w:hAnsi="Arial" w:cs="Arial"/>
          <w:sz w:val="24"/>
          <w:szCs w:val="24"/>
          <w:lang w:eastAsia="en-GB"/>
        </w:rPr>
        <w:t>has</w:t>
      </w:r>
      <w:r w:rsidRPr="005D3BB6">
        <w:rPr>
          <w:rFonts w:ascii="Arial" w:eastAsia="Times New Roman" w:hAnsi="Arial" w:cs="Arial"/>
          <w:sz w:val="24"/>
          <w:szCs w:val="24"/>
          <w:lang w:eastAsia="en-GB"/>
        </w:rPr>
        <w:t xml:space="preserve"> been greatly side stepped</w:t>
      </w:r>
      <w:r w:rsidR="007C63F8" w:rsidRPr="005D3BB6">
        <w:rPr>
          <w:rFonts w:ascii="Arial" w:eastAsia="Times New Roman" w:hAnsi="Arial" w:cs="Arial"/>
          <w:sz w:val="24"/>
          <w:szCs w:val="24"/>
          <w:lang w:eastAsia="en-GB"/>
        </w:rPr>
        <w:t xml:space="preserve">. When the industry taps into the talent pool that the women provide they can use it to enhance their organizational growth and </w:t>
      </w:r>
      <w:r w:rsidR="002777F8" w:rsidRPr="005D3BB6">
        <w:rPr>
          <w:rFonts w:ascii="Arial" w:eastAsia="Times New Roman" w:hAnsi="Arial" w:cs="Arial"/>
          <w:sz w:val="24"/>
          <w:szCs w:val="24"/>
          <w:lang w:eastAsia="en-GB"/>
        </w:rPr>
        <w:t xml:space="preserve">also open up a </w:t>
      </w:r>
      <w:r w:rsidR="007C63F8" w:rsidRPr="005D3BB6">
        <w:rPr>
          <w:rFonts w:ascii="Arial" w:eastAsia="Times New Roman" w:hAnsi="Arial" w:cs="Arial"/>
          <w:sz w:val="24"/>
          <w:szCs w:val="24"/>
          <w:lang w:eastAsia="en-GB"/>
        </w:rPr>
        <w:t xml:space="preserve">new customer segment for the future. </w:t>
      </w:r>
    </w:p>
    <w:p w14:paraId="261C10CB" w14:textId="7EF917E9" w:rsidR="002777F8" w:rsidRPr="005D3BB6" w:rsidRDefault="002777F8" w:rsidP="005D3BB6">
      <w:pPr>
        <w:spacing w:after="139" w:line="360" w:lineRule="auto"/>
        <w:ind w:right="48"/>
        <w:jc w:val="both"/>
        <w:rPr>
          <w:rFonts w:ascii="Arial" w:eastAsia="Times New Roman" w:hAnsi="Arial" w:cs="Arial"/>
          <w:sz w:val="24"/>
          <w:szCs w:val="24"/>
          <w:lang w:eastAsia="en-GB"/>
        </w:rPr>
      </w:pPr>
      <w:r w:rsidRPr="005D3BB6">
        <w:rPr>
          <w:rFonts w:ascii="Arial" w:eastAsia="Times New Roman" w:hAnsi="Arial" w:cs="Arial"/>
          <w:sz w:val="24"/>
          <w:szCs w:val="24"/>
          <w:lang w:eastAsia="en-GB"/>
        </w:rPr>
        <w:t xml:space="preserve">These findings were stated the study of the diversity programme of Aetna as per the framework given in figure 3 of the report. </w:t>
      </w:r>
    </w:p>
    <w:p w14:paraId="72E4B22F" w14:textId="1430C2FE" w:rsidR="009E2026" w:rsidRPr="005D3BB6" w:rsidRDefault="001D2473" w:rsidP="005D3BB6">
      <w:pPr>
        <w:pStyle w:val="Heading3"/>
        <w:spacing w:line="360" w:lineRule="auto"/>
        <w:rPr>
          <w:rFonts w:ascii="Arial" w:eastAsia="Times New Roman" w:hAnsi="Arial" w:cs="Arial"/>
          <w:color w:val="2F5496" w:themeColor="accent1" w:themeShade="BF"/>
          <w:lang w:eastAsia="en-GB"/>
        </w:rPr>
      </w:pPr>
      <w:bookmarkStart w:id="24" w:name="_Toc534372132"/>
      <w:r w:rsidRPr="005D3BB6">
        <w:rPr>
          <w:rFonts w:ascii="Arial" w:eastAsia="Times New Roman" w:hAnsi="Arial" w:cs="Arial"/>
          <w:color w:val="2F5496" w:themeColor="accent1" w:themeShade="BF"/>
          <w:lang w:eastAsia="en-GB"/>
        </w:rPr>
        <w:t>5</w:t>
      </w:r>
      <w:r w:rsidR="009E2026" w:rsidRPr="005D3BB6">
        <w:rPr>
          <w:rFonts w:ascii="Arial" w:eastAsia="Times New Roman" w:hAnsi="Arial" w:cs="Arial"/>
          <w:color w:val="2F5496" w:themeColor="accent1" w:themeShade="BF"/>
          <w:lang w:eastAsia="en-GB"/>
        </w:rPr>
        <w:t>.</w:t>
      </w:r>
      <w:r w:rsidRPr="005D3BB6">
        <w:rPr>
          <w:rFonts w:ascii="Arial" w:eastAsia="Times New Roman" w:hAnsi="Arial" w:cs="Arial"/>
          <w:color w:val="2F5496" w:themeColor="accent1" w:themeShade="BF"/>
          <w:lang w:eastAsia="en-GB"/>
        </w:rPr>
        <w:t>1</w:t>
      </w:r>
      <w:r w:rsidR="009E2026" w:rsidRPr="005D3BB6">
        <w:rPr>
          <w:rFonts w:ascii="Arial" w:eastAsia="Times New Roman" w:hAnsi="Arial" w:cs="Arial"/>
          <w:color w:val="2F5496" w:themeColor="accent1" w:themeShade="BF"/>
          <w:lang w:eastAsia="en-GB"/>
        </w:rPr>
        <w:t>.1 Recruitment of workforce</w:t>
      </w:r>
      <w:bookmarkEnd w:id="24"/>
    </w:p>
    <w:p w14:paraId="67792A8D" w14:textId="70559939" w:rsidR="002B73AC" w:rsidRPr="005D3BB6" w:rsidRDefault="002B73AC" w:rsidP="005D3BB6">
      <w:pPr>
        <w:spacing w:after="139" w:line="360" w:lineRule="auto"/>
        <w:ind w:right="48"/>
        <w:jc w:val="both"/>
        <w:rPr>
          <w:rFonts w:ascii="Arial" w:eastAsia="Times New Roman" w:hAnsi="Arial" w:cs="Arial"/>
          <w:sz w:val="24"/>
          <w:szCs w:val="24"/>
          <w:lang w:eastAsia="en-GB"/>
        </w:rPr>
      </w:pPr>
      <w:r w:rsidRPr="005D3BB6">
        <w:rPr>
          <w:rFonts w:ascii="Arial" w:eastAsia="Times New Roman" w:hAnsi="Arial" w:cs="Arial"/>
          <w:sz w:val="24"/>
          <w:szCs w:val="24"/>
          <w:lang w:eastAsia="en-GB"/>
        </w:rPr>
        <w:t xml:space="preserve">The recruitment and selection process at Aetna’s shows that the selection of the candidate is based completely on the knowledge, skill and abilities of the person and on no other factor. The equal </w:t>
      </w:r>
      <w:r w:rsidR="00CE250A" w:rsidRPr="005D3BB6">
        <w:rPr>
          <w:rFonts w:ascii="Arial" w:eastAsia="Times New Roman" w:hAnsi="Arial" w:cs="Arial"/>
          <w:sz w:val="24"/>
          <w:szCs w:val="24"/>
          <w:lang w:eastAsia="en-GB"/>
        </w:rPr>
        <w:t>opportunities in</w:t>
      </w:r>
      <w:r w:rsidRPr="005D3BB6">
        <w:rPr>
          <w:rFonts w:ascii="Arial" w:eastAsia="Times New Roman" w:hAnsi="Arial" w:cs="Arial"/>
          <w:sz w:val="24"/>
          <w:szCs w:val="24"/>
          <w:lang w:eastAsia="en-GB"/>
        </w:rPr>
        <w:t xml:space="preserve"> the organization has been brushed onto many aspects of the organization like the employee relationship segments like hiring, promotions, learning and development, conditions of work, incentives and pay. The decisions are made using quantitative evaluations of the performance and the contribution of the employee towards the growth of the organization. </w:t>
      </w:r>
    </w:p>
    <w:p w14:paraId="7F9CB0B6" w14:textId="77777777" w:rsidR="009E2026" w:rsidRPr="005D3BB6" w:rsidRDefault="009E2026" w:rsidP="005D3BB6">
      <w:pPr>
        <w:pStyle w:val="Heading3"/>
        <w:spacing w:line="360" w:lineRule="auto"/>
        <w:rPr>
          <w:rFonts w:ascii="Arial" w:eastAsia="Times New Roman" w:hAnsi="Arial" w:cs="Arial"/>
          <w:b/>
          <w:color w:val="FF0000"/>
          <w:lang w:eastAsia="en-GB"/>
        </w:rPr>
      </w:pPr>
    </w:p>
    <w:p w14:paraId="09A20D60" w14:textId="39415A6E" w:rsidR="009E2026" w:rsidRPr="005D3BB6" w:rsidRDefault="001D2473" w:rsidP="005D3BB6">
      <w:pPr>
        <w:pStyle w:val="Heading3"/>
        <w:spacing w:line="360" w:lineRule="auto"/>
        <w:rPr>
          <w:rFonts w:ascii="Arial" w:eastAsia="Times New Roman" w:hAnsi="Arial" w:cs="Arial"/>
          <w:color w:val="2F5496" w:themeColor="accent1" w:themeShade="BF"/>
          <w:lang w:eastAsia="en-GB"/>
        </w:rPr>
      </w:pPr>
      <w:bookmarkStart w:id="25" w:name="_Toc534372133"/>
      <w:r w:rsidRPr="005D3BB6">
        <w:rPr>
          <w:rFonts w:ascii="Arial" w:eastAsia="Times New Roman" w:hAnsi="Arial" w:cs="Arial"/>
          <w:color w:val="2F5496" w:themeColor="accent1" w:themeShade="BF"/>
          <w:lang w:eastAsia="en-GB"/>
        </w:rPr>
        <w:t>5</w:t>
      </w:r>
      <w:r w:rsidR="009E2026" w:rsidRPr="005D3BB6">
        <w:rPr>
          <w:rFonts w:ascii="Arial" w:eastAsia="Times New Roman" w:hAnsi="Arial" w:cs="Arial"/>
          <w:color w:val="2F5496" w:themeColor="accent1" w:themeShade="BF"/>
          <w:lang w:eastAsia="en-GB"/>
        </w:rPr>
        <w:t>.</w:t>
      </w:r>
      <w:r w:rsidRPr="005D3BB6">
        <w:rPr>
          <w:rFonts w:ascii="Arial" w:eastAsia="Times New Roman" w:hAnsi="Arial" w:cs="Arial"/>
          <w:color w:val="2F5496" w:themeColor="accent1" w:themeShade="BF"/>
          <w:lang w:eastAsia="en-GB"/>
        </w:rPr>
        <w:t>1</w:t>
      </w:r>
      <w:r w:rsidR="009E2026" w:rsidRPr="005D3BB6">
        <w:rPr>
          <w:rFonts w:ascii="Arial" w:eastAsia="Times New Roman" w:hAnsi="Arial" w:cs="Arial"/>
          <w:color w:val="2F5496" w:themeColor="accent1" w:themeShade="BF"/>
          <w:lang w:eastAsia="en-GB"/>
        </w:rPr>
        <w:t>.2 Training Duration</w:t>
      </w:r>
      <w:bookmarkEnd w:id="25"/>
    </w:p>
    <w:p w14:paraId="5EE19B3E" w14:textId="42471E2B" w:rsidR="002B73AC" w:rsidRPr="005D3BB6" w:rsidRDefault="0094548F" w:rsidP="005D3BB6">
      <w:pPr>
        <w:spacing w:after="139" w:line="360" w:lineRule="auto"/>
        <w:ind w:right="48"/>
        <w:jc w:val="both"/>
        <w:rPr>
          <w:rFonts w:ascii="Arial" w:eastAsia="Times New Roman" w:hAnsi="Arial" w:cs="Arial"/>
          <w:sz w:val="24"/>
          <w:szCs w:val="24"/>
          <w:lang w:eastAsia="en-GB"/>
        </w:rPr>
      </w:pPr>
      <w:r>
        <w:rPr>
          <w:rFonts w:ascii="Arial" w:eastAsia="Times New Roman" w:hAnsi="Arial" w:cs="Arial"/>
          <w:sz w:val="24"/>
          <w:szCs w:val="24"/>
          <w:lang w:eastAsia="en-GB"/>
        </w:rPr>
        <w:t>The consultant found</w:t>
      </w:r>
      <w:r w:rsidR="002B73AC" w:rsidRPr="005D3BB6">
        <w:rPr>
          <w:rFonts w:ascii="Arial" w:eastAsia="Times New Roman" w:hAnsi="Arial" w:cs="Arial"/>
          <w:sz w:val="24"/>
          <w:szCs w:val="24"/>
          <w:lang w:eastAsia="en-GB"/>
        </w:rPr>
        <w:t xml:space="preserve"> that the off the job training programmes were far more in duration </w:t>
      </w:r>
      <w:r w:rsidR="002C5F6B">
        <w:rPr>
          <w:rFonts w:ascii="Arial" w:eastAsia="Times New Roman" w:hAnsi="Arial" w:cs="Arial"/>
          <w:sz w:val="24"/>
          <w:szCs w:val="24"/>
          <w:lang w:eastAsia="en-GB"/>
        </w:rPr>
        <w:t xml:space="preserve">than </w:t>
      </w:r>
      <w:r w:rsidR="002B73AC" w:rsidRPr="005D3BB6">
        <w:rPr>
          <w:rFonts w:ascii="Arial" w:eastAsia="Times New Roman" w:hAnsi="Arial" w:cs="Arial"/>
          <w:sz w:val="24"/>
          <w:szCs w:val="24"/>
          <w:lang w:eastAsia="en-GB"/>
        </w:rPr>
        <w:t xml:space="preserve">that </w:t>
      </w:r>
      <w:r w:rsidR="002C5F6B">
        <w:rPr>
          <w:rFonts w:ascii="Arial" w:eastAsia="Times New Roman" w:hAnsi="Arial" w:cs="Arial"/>
          <w:sz w:val="24"/>
          <w:szCs w:val="24"/>
          <w:lang w:eastAsia="en-GB"/>
        </w:rPr>
        <w:t xml:space="preserve">of </w:t>
      </w:r>
      <w:r w:rsidR="002B73AC" w:rsidRPr="005D3BB6">
        <w:rPr>
          <w:rFonts w:ascii="Arial" w:eastAsia="Times New Roman" w:hAnsi="Arial" w:cs="Arial"/>
          <w:sz w:val="24"/>
          <w:szCs w:val="24"/>
          <w:lang w:eastAsia="en-GB"/>
        </w:rPr>
        <w:t xml:space="preserve">the on the job training programmes. The off the job training programme lasted a few days while the on the job training programmes lasted for only a few hours. The report has also found that the duration of the training has nothing to do with the location of the job of the employee. There </w:t>
      </w:r>
      <w:r w:rsidR="00D11F15" w:rsidRPr="005D3BB6">
        <w:rPr>
          <w:rFonts w:ascii="Arial" w:eastAsia="Times New Roman" w:hAnsi="Arial" w:cs="Arial"/>
          <w:sz w:val="24"/>
          <w:szCs w:val="24"/>
          <w:lang w:eastAsia="en-GB"/>
        </w:rPr>
        <w:t>was</w:t>
      </w:r>
      <w:r w:rsidR="002B73AC" w:rsidRPr="005D3BB6">
        <w:rPr>
          <w:rFonts w:ascii="Arial" w:eastAsia="Times New Roman" w:hAnsi="Arial" w:cs="Arial"/>
          <w:sz w:val="24"/>
          <w:szCs w:val="24"/>
          <w:lang w:eastAsia="en-GB"/>
        </w:rPr>
        <w:t xml:space="preserve"> lack of synergies in the </w:t>
      </w:r>
      <w:r w:rsidR="002B73AC" w:rsidRPr="005D3BB6">
        <w:rPr>
          <w:rFonts w:ascii="Arial" w:eastAsia="Times New Roman" w:hAnsi="Arial" w:cs="Arial"/>
          <w:sz w:val="24"/>
          <w:szCs w:val="24"/>
          <w:lang w:eastAsia="en-GB"/>
        </w:rPr>
        <w:lastRenderedPageBreak/>
        <w:t>type of training and the duration of the training provide</w:t>
      </w:r>
      <w:r w:rsidR="002C5F6B">
        <w:rPr>
          <w:rFonts w:ascii="Arial" w:eastAsia="Times New Roman" w:hAnsi="Arial" w:cs="Arial"/>
          <w:sz w:val="24"/>
          <w:szCs w:val="24"/>
          <w:lang w:eastAsia="en-GB"/>
        </w:rPr>
        <w:t>d</w:t>
      </w:r>
      <w:r w:rsidR="002B73AC" w:rsidRPr="005D3BB6">
        <w:rPr>
          <w:rFonts w:ascii="Arial" w:eastAsia="Times New Roman" w:hAnsi="Arial" w:cs="Arial"/>
          <w:sz w:val="24"/>
          <w:szCs w:val="24"/>
          <w:lang w:eastAsia="en-GB"/>
        </w:rPr>
        <w:t xml:space="preserve">. For </w:t>
      </w:r>
      <w:r w:rsidR="00D11F15" w:rsidRPr="005D3BB6">
        <w:rPr>
          <w:rFonts w:ascii="Arial" w:eastAsia="Times New Roman" w:hAnsi="Arial" w:cs="Arial"/>
          <w:sz w:val="24"/>
          <w:szCs w:val="24"/>
          <w:lang w:eastAsia="en-GB"/>
        </w:rPr>
        <w:t>example,</w:t>
      </w:r>
      <w:r w:rsidR="002B73AC" w:rsidRPr="005D3BB6">
        <w:rPr>
          <w:rFonts w:ascii="Arial" w:eastAsia="Times New Roman" w:hAnsi="Arial" w:cs="Arial"/>
          <w:sz w:val="24"/>
          <w:szCs w:val="24"/>
          <w:lang w:eastAsia="en-GB"/>
        </w:rPr>
        <w:t xml:space="preserve"> the trainings for the behavioural sessions that were for bringing change in attitude towards diversity were very short while the duration for just sensitizing the employees on diversity took much longer time. </w:t>
      </w:r>
    </w:p>
    <w:p w14:paraId="2EAE2B8F" w14:textId="1DB4BBC1" w:rsidR="002B73AC" w:rsidRPr="005D3BB6" w:rsidRDefault="002B73AC" w:rsidP="005D3BB6">
      <w:pPr>
        <w:spacing w:after="139" w:line="360" w:lineRule="auto"/>
        <w:ind w:right="48"/>
        <w:jc w:val="both"/>
        <w:rPr>
          <w:rFonts w:ascii="Arial" w:eastAsia="Times New Roman" w:hAnsi="Arial" w:cs="Arial"/>
          <w:sz w:val="24"/>
          <w:szCs w:val="24"/>
          <w:lang w:eastAsia="en-GB"/>
        </w:rPr>
      </w:pPr>
      <w:r w:rsidRPr="005D3BB6">
        <w:rPr>
          <w:rFonts w:ascii="Arial" w:eastAsia="Times New Roman" w:hAnsi="Arial" w:cs="Arial"/>
          <w:sz w:val="24"/>
          <w:szCs w:val="24"/>
          <w:lang w:eastAsia="en-GB"/>
        </w:rPr>
        <w:t xml:space="preserve">This revels that there are serious changes to be made in the implementation of the diversity training modules. </w:t>
      </w:r>
    </w:p>
    <w:p w14:paraId="7053CA3B" w14:textId="02095C88" w:rsidR="00D4456E" w:rsidRPr="005D3BB6" w:rsidRDefault="005D3BB6" w:rsidP="005D3BB6">
      <w:pPr>
        <w:pStyle w:val="Heading3"/>
        <w:spacing w:line="360" w:lineRule="auto"/>
        <w:rPr>
          <w:rFonts w:ascii="Arial" w:hAnsi="Arial" w:cs="Arial"/>
          <w:b/>
          <w:color w:val="auto"/>
        </w:rPr>
      </w:pPr>
      <w:bookmarkStart w:id="26" w:name="_Toc534372134"/>
      <w:bookmarkEnd w:id="23"/>
      <w:r w:rsidRPr="005D3BB6">
        <w:rPr>
          <w:rFonts w:ascii="Arial" w:eastAsia="Times New Roman" w:hAnsi="Arial" w:cs="Arial"/>
          <w:color w:val="2F5496" w:themeColor="accent1" w:themeShade="BF"/>
          <w:lang w:eastAsia="en-GB"/>
        </w:rPr>
        <w:t>5</w:t>
      </w:r>
      <w:r w:rsidR="000F619D" w:rsidRPr="005D3BB6">
        <w:rPr>
          <w:rFonts w:ascii="Arial" w:eastAsia="Times New Roman" w:hAnsi="Arial" w:cs="Arial"/>
          <w:color w:val="2F5496" w:themeColor="accent1" w:themeShade="BF"/>
          <w:lang w:eastAsia="en-GB"/>
        </w:rPr>
        <w:t>.</w:t>
      </w:r>
      <w:r w:rsidRPr="005D3BB6">
        <w:rPr>
          <w:rFonts w:ascii="Arial" w:eastAsia="Times New Roman" w:hAnsi="Arial" w:cs="Arial"/>
          <w:color w:val="2F5496" w:themeColor="accent1" w:themeShade="BF"/>
          <w:lang w:eastAsia="en-GB"/>
        </w:rPr>
        <w:t>1</w:t>
      </w:r>
      <w:r w:rsidR="000F619D" w:rsidRPr="005D3BB6">
        <w:rPr>
          <w:rFonts w:ascii="Arial" w:eastAsia="Times New Roman" w:hAnsi="Arial" w:cs="Arial"/>
          <w:color w:val="2F5496" w:themeColor="accent1" w:themeShade="BF"/>
          <w:lang w:eastAsia="en-GB"/>
        </w:rPr>
        <w:t>.</w:t>
      </w:r>
      <w:r w:rsidR="009E2026" w:rsidRPr="005D3BB6">
        <w:rPr>
          <w:rFonts w:ascii="Arial" w:eastAsia="Times New Roman" w:hAnsi="Arial" w:cs="Arial"/>
          <w:color w:val="2F5496" w:themeColor="accent1" w:themeShade="BF"/>
          <w:lang w:eastAsia="en-GB"/>
        </w:rPr>
        <w:t>3</w:t>
      </w:r>
      <w:r w:rsidR="000F619D" w:rsidRPr="005D3BB6">
        <w:rPr>
          <w:rFonts w:ascii="Arial" w:eastAsia="Times New Roman" w:hAnsi="Arial" w:cs="Arial"/>
          <w:color w:val="2F5496" w:themeColor="accent1" w:themeShade="BF"/>
          <w:lang w:eastAsia="en-GB"/>
        </w:rPr>
        <w:t xml:space="preserve"> </w:t>
      </w:r>
      <w:r w:rsidR="005616A0" w:rsidRPr="005D3BB6">
        <w:rPr>
          <w:rFonts w:ascii="Arial" w:eastAsia="Times New Roman" w:hAnsi="Arial" w:cs="Arial"/>
          <w:color w:val="2F5496" w:themeColor="accent1" w:themeShade="BF"/>
          <w:lang w:eastAsia="en-GB"/>
        </w:rPr>
        <w:t>Identification of Diversity Training Needs</w:t>
      </w:r>
      <w:bookmarkEnd w:id="26"/>
      <w:r w:rsidR="005616A0" w:rsidRPr="005D3BB6">
        <w:rPr>
          <w:rFonts w:ascii="Arial" w:eastAsia="Times New Roman" w:hAnsi="Arial" w:cs="Arial"/>
          <w:color w:val="2F5496" w:themeColor="accent1" w:themeShade="BF"/>
          <w:lang w:eastAsia="en-GB"/>
        </w:rPr>
        <w:t xml:space="preserve"> </w:t>
      </w:r>
    </w:p>
    <w:p w14:paraId="7F4FE074" w14:textId="3EFD370C" w:rsidR="0093016C" w:rsidRPr="005D3BB6" w:rsidRDefault="0093016C" w:rsidP="00D11F15">
      <w:pPr>
        <w:spacing w:line="360" w:lineRule="auto"/>
        <w:rPr>
          <w:rFonts w:ascii="Arial" w:hAnsi="Arial" w:cs="Arial"/>
          <w:sz w:val="24"/>
          <w:szCs w:val="24"/>
          <w:lang w:eastAsia="en-GB"/>
        </w:rPr>
      </w:pPr>
      <w:r w:rsidRPr="005D3BB6">
        <w:rPr>
          <w:rFonts w:ascii="Arial" w:hAnsi="Arial" w:cs="Arial"/>
          <w:sz w:val="24"/>
          <w:szCs w:val="24"/>
        </w:rPr>
        <w:t xml:space="preserve">The analysis that has been done shows that there is a lack of needs analysis on the part of Aetna when it comes to providing the diversity trainings. Different training programmes which have been found in the database of the company from 2012 to 2017 show that the managers have always suggested some training modules for the employees. This shows that the needs that the mangers have identified must not have been very well researched and hence the correct training might not have been provided to the right candidates. This defeats the whole purpose of the training programme. If the needs analysis is done in a professional manner then the knowledge, skill and ability of the employees must be taken into consideration. As per </w:t>
      </w:r>
      <w:proofErr w:type="spellStart"/>
      <w:r w:rsidR="00D11F15" w:rsidRPr="00463A56">
        <w:rPr>
          <w:rFonts w:ascii="Arial" w:hAnsi="Arial" w:cs="Arial"/>
          <w:sz w:val="24"/>
          <w:szCs w:val="24"/>
        </w:rPr>
        <w:t>Groeneveld</w:t>
      </w:r>
      <w:proofErr w:type="spellEnd"/>
      <w:r w:rsidR="00D11F15">
        <w:rPr>
          <w:rFonts w:ascii="Arial" w:hAnsi="Arial" w:cs="Arial"/>
          <w:sz w:val="24"/>
          <w:szCs w:val="24"/>
        </w:rPr>
        <w:t xml:space="preserve"> &amp;</w:t>
      </w:r>
      <w:r w:rsidR="00D11F15" w:rsidRPr="00463A56">
        <w:rPr>
          <w:rFonts w:ascii="Arial" w:hAnsi="Arial" w:cs="Arial"/>
          <w:sz w:val="24"/>
          <w:szCs w:val="24"/>
        </w:rPr>
        <w:t xml:space="preserve"> </w:t>
      </w:r>
      <w:proofErr w:type="spellStart"/>
      <w:r w:rsidR="00D11F15" w:rsidRPr="00463A56">
        <w:rPr>
          <w:rFonts w:ascii="Arial" w:hAnsi="Arial" w:cs="Arial"/>
          <w:sz w:val="24"/>
          <w:szCs w:val="24"/>
        </w:rPr>
        <w:t>Verbeek</w:t>
      </w:r>
      <w:proofErr w:type="spellEnd"/>
      <w:r w:rsidR="00D11F15" w:rsidRPr="005D3BB6">
        <w:rPr>
          <w:rFonts w:ascii="Arial" w:hAnsi="Arial" w:cs="Arial"/>
          <w:sz w:val="24"/>
          <w:szCs w:val="24"/>
          <w:lang w:eastAsia="en-GB"/>
        </w:rPr>
        <w:t xml:space="preserve"> </w:t>
      </w:r>
      <w:r w:rsidR="00D11F15">
        <w:rPr>
          <w:rFonts w:ascii="Arial" w:hAnsi="Arial" w:cs="Arial"/>
          <w:sz w:val="24"/>
          <w:szCs w:val="24"/>
          <w:lang w:eastAsia="en-GB"/>
        </w:rPr>
        <w:t xml:space="preserve">(2012), </w:t>
      </w:r>
      <w:r w:rsidRPr="005D3BB6">
        <w:rPr>
          <w:rFonts w:ascii="Arial" w:hAnsi="Arial" w:cs="Arial"/>
          <w:sz w:val="24"/>
          <w:szCs w:val="24"/>
        </w:rPr>
        <w:t xml:space="preserve">the process must be able to clarify between what are the requirements and what are being delivered. The needs analysis will help the trainers in identifying the actual training needs of the people and then implement the programme accordingly. </w:t>
      </w:r>
    </w:p>
    <w:p w14:paraId="29865375" w14:textId="3D5D1A7D" w:rsidR="00D4456E" w:rsidRPr="005D3BB6" w:rsidRDefault="005D3BB6" w:rsidP="005D3BB6">
      <w:pPr>
        <w:pStyle w:val="Heading3"/>
        <w:spacing w:line="360" w:lineRule="auto"/>
        <w:rPr>
          <w:rFonts w:ascii="Arial" w:eastAsia="Times New Roman" w:hAnsi="Arial" w:cs="Arial"/>
          <w:color w:val="2F5496" w:themeColor="accent1" w:themeShade="BF"/>
          <w:lang w:eastAsia="en-GB"/>
        </w:rPr>
      </w:pPr>
      <w:bookmarkStart w:id="27" w:name="_Toc534372135"/>
      <w:r w:rsidRPr="005D3BB6">
        <w:rPr>
          <w:rFonts w:ascii="Arial" w:eastAsia="Times New Roman" w:hAnsi="Arial" w:cs="Arial"/>
          <w:color w:val="2F5496" w:themeColor="accent1" w:themeShade="BF"/>
          <w:lang w:eastAsia="en-GB"/>
        </w:rPr>
        <w:t>5</w:t>
      </w:r>
      <w:r w:rsidR="000F619D" w:rsidRPr="005D3BB6">
        <w:rPr>
          <w:rFonts w:ascii="Arial" w:eastAsia="Times New Roman" w:hAnsi="Arial" w:cs="Arial"/>
          <w:color w:val="2F5496" w:themeColor="accent1" w:themeShade="BF"/>
          <w:lang w:eastAsia="en-GB"/>
        </w:rPr>
        <w:t>.</w:t>
      </w:r>
      <w:r w:rsidRPr="005D3BB6">
        <w:rPr>
          <w:rFonts w:ascii="Arial" w:eastAsia="Times New Roman" w:hAnsi="Arial" w:cs="Arial"/>
          <w:color w:val="2F5496" w:themeColor="accent1" w:themeShade="BF"/>
          <w:lang w:eastAsia="en-GB"/>
        </w:rPr>
        <w:t>1</w:t>
      </w:r>
      <w:r w:rsidR="000F619D" w:rsidRPr="005D3BB6">
        <w:rPr>
          <w:rFonts w:ascii="Arial" w:eastAsia="Times New Roman" w:hAnsi="Arial" w:cs="Arial"/>
          <w:color w:val="2F5496" w:themeColor="accent1" w:themeShade="BF"/>
          <w:lang w:eastAsia="en-GB"/>
        </w:rPr>
        <w:t>.</w:t>
      </w:r>
      <w:r w:rsidR="009E2026" w:rsidRPr="005D3BB6">
        <w:rPr>
          <w:rFonts w:ascii="Arial" w:eastAsia="Times New Roman" w:hAnsi="Arial" w:cs="Arial"/>
          <w:color w:val="2F5496" w:themeColor="accent1" w:themeShade="BF"/>
          <w:lang w:eastAsia="en-GB"/>
        </w:rPr>
        <w:t>4</w:t>
      </w:r>
      <w:r w:rsidR="000F619D" w:rsidRPr="005D3BB6">
        <w:rPr>
          <w:rFonts w:ascii="Arial" w:eastAsia="Times New Roman" w:hAnsi="Arial" w:cs="Arial"/>
          <w:color w:val="2F5496" w:themeColor="accent1" w:themeShade="BF"/>
          <w:lang w:eastAsia="en-GB"/>
        </w:rPr>
        <w:t xml:space="preserve"> </w:t>
      </w:r>
      <w:r w:rsidR="005616A0" w:rsidRPr="005D3BB6">
        <w:rPr>
          <w:rFonts w:ascii="Arial" w:eastAsia="Times New Roman" w:hAnsi="Arial" w:cs="Arial"/>
          <w:color w:val="2F5496" w:themeColor="accent1" w:themeShade="BF"/>
          <w:lang w:eastAsia="en-GB"/>
        </w:rPr>
        <w:t>Methods to Deliver Diversity</w:t>
      </w:r>
      <w:bookmarkEnd w:id="27"/>
      <w:r w:rsidR="005616A0" w:rsidRPr="005D3BB6">
        <w:rPr>
          <w:rFonts w:ascii="Arial" w:eastAsia="Times New Roman" w:hAnsi="Arial" w:cs="Arial"/>
          <w:color w:val="2F5496" w:themeColor="accent1" w:themeShade="BF"/>
          <w:lang w:eastAsia="en-GB"/>
        </w:rPr>
        <w:t xml:space="preserve"> </w:t>
      </w:r>
    </w:p>
    <w:p w14:paraId="5133E55D" w14:textId="05B11742" w:rsidR="00C4358A" w:rsidRPr="005D3BB6" w:rsidRDefault="00C4358A" w:rsidP="005D3BB6">
      <w:pPr>
        <w:spacing w:line="360" w:lineRule="auto"/>
        <w:jc w:val="both"/>
        <w:rPr>
          <w:rFonts w:ascii="Arial" w:hAnsi="Arial" w:cs="Arial"/>
          <w:sz w:val="24"/>
          <w:szCs w:val="24"/>
        </w:rPr>
      </w:pPr>
      <w:r w:rsidRPr="005D3BB6">
        <w:rPr>
          <w:rFonts w:ascii="Arial" w:hAnsi="Arial" w:cs="Arial"/>
          <w:sz w:val="24"/>
          <w:szCs w:val="24"/>
        </w:rPr>
        <w:t xml:space="preserve">The report here found that most of the diversity training is provided to the employees in a classroom setting and not on the job. These settings might be good for students but for professionals this might not be the most effective manner to deliver any training. </w:t>
      </w:r>
      <w:r w:rsidR="002066BB" w:rsidRPr="005D3BB6">
        <w:rPr>
          <w:rFonts w:ascii="Arial" w:hAnsi="Arial" w:cs="Arial"/>
          <w:sz w:val="24"/>
          <w:szCs w:val="24"/>
        </w:rPr>
        <w:t xml:space="preserve">These formal classroom training programmes are also viewed as being mere ceremonial events and they are linked with any performance enhancement at work. The classroom only training programme makes very little use of the technology that is at the organization’s expense. The E-learning facilities using simulations and </w:t>
      </w:r>
      <w:r w:rsidR="00052EED" w:rsidRPr="005D3BB6">
        <w:rPr>
          <w:rFonts w:ascii="Arial" w:hAnsi="Arial" w:cs="Arial"/>
          <w:sz w:val="24"/>
          <w:szCs w:val="24"/>
        </w:rPr>
        <w:t>gratification</w:t>
      </w:r>
      <w:r w:rsidR="002066BB" w:rsidRPr="005D3BB6">
        <w:rPr>
          <w:rFonts w:ascii="Arial" w:hAnsi="Arial" w:cs="Arial"/>
          <w:sz w:val="24"/>
          <w:szCs w:val="24"/>
        </w:rPr>
        <w:t xml:space="preserve"> have been widely used in the industry and they have become very successful in transforming learning and development in the organizations. </w:t>
      </w:r>
    </w:p>
    <w:p w14:paraId="52DADED9" w14:textId="77777777" w:rsidR="00CE250A" w:rsidRPr="005D3BB6" w:rsidRDefault="00CE250A" w:rsidP="005D3BB6">
      <w:pPr>
        <w:spacing w:line="360" w:lineRule="auto"/>
        <w:jc w:val="both"/>
        <w:rPr>
          <w:rFonts w:ascii="Arial" w:hAnsi="Arial" w:cs="Arial"/>
          <w:sz w:val="24"/>
          <w:szCs w:val="24"/>
        </w:rPr>
      </w:pPr>
    </w:p>
    <w:p w14:paraId="4493204A" w14:textId="6F12D2F0" w:rsidR="00D4456E" w:rsidRPr="005D3BB6" w:rsidRDefault="005D3BB6" w:rsidP="005D3BB6">
      <w:pPr>
        <w:pStyle w:val="Heading3"/>
        <w:spacing w:line="360" w:lineRule="auto"/>
        <w:rPr>
          <w:rFonts w:ascii="Arial" w:eastAsia="Times New Roman" w:hAnsi="Arial" w:cs="Arial"/>
          <w:color w:val="2F5496" w:themeColor="accent1" w:themeShade="BF"/>
          <w:lang w:eastAsia="en-GB"/>
        </w:rPr>
      </w:pPr>
      <w:bookmarkStart w:id="28" w:name="_Toc534372136"/>
      <w:r w:rsidRPr="005D3BB6">
        <w:rPr>
          <w:rFonts w:ascii="Arial" w:eastAsia="Times New Roman" w:hAnsi="Arial" w:cs="Arial"/>
          <w:color w:val="2F5496" w:themeColor="accent1" w:themeShade="BF"/>
          <w:lang w:eastAsia="en-GB"/>
        </w:rPr>
        <w:lastRenderedPageBreak/>
        <w:t>5</w:t>
      </w:r>
      <w:r w:rsidR="000F619D" w:rsidRPr="005D3BB6">
        <w:rPr>
          <w:rFonts w:ascii="Arial" w:eastAsia="Times New Roman" w:hAnsi="Arial" w:cs="Arial"/>
          <w:color w:val="2F5496" w:themeColor="accent1" w:themeShade="BF"/>
          <w:lang w:eastAsia="en-GB"/>
        </w:rPr>
        <w:t>.</w:t>
      </w:r>
      <w:r w:rsidRPr="005D3BB6">
        <w:rPr>
          <w:rFonts w:ascii="Arial" w:eastAsia="Times New Roman" w:hAnsi="Arial" w:cs="Arial"/>
          <w:color w:val="2F5496" w:themeColor="accent1" w:themeShade="BF"/>
          <w:lang w:eastAsia="en-GB"/>
        </w:rPr>
        <w:t>1</w:t>
      </w:r>
      <w:r w:rsidR="000F619D" w:rsidRPr="005D3BB6">
        <w:rPr>
          <w:rFonts w:ascii="Arial" w:eastAsia="Times New Roman" w:hAnsi="Arial" w:cs="Arial"/>
          <w:color w:val="2F5496" w:themeColor="accent1" w:themeShade="BF"/>
          <w:lang w:eastAsia="en-GB"/>
        </w:rPr>
        <w:t>.</w:t>
      </w:r>
      <w:r w:rsidR="009E2026" w:rsidRPr="005D3BB6">
        <w:rPr>
          <w:rFonts w:ascii="Arial" w:eastAsia="Times New Roman" w:hAnsi="Arial" w:cs="Arial"/>
          <w:color w:val="2F5496" w:themeColor="accent1" w:themeShade="BF"/>
          <w:lang w:eastAsia="en-GB"/>
        </w:rPr>
        <w:t>5</w:t>
      </w:r>
      <w:r w:rsidR="000F619D" w:rsidRPr="005D3BB6">
        <w:rPr>
          <w:rFonts w:ascii="Arial" w:eastAsia="Times New Roman" w:hAnsi="Arial" w:cs="Arial"/>
          <w:color w:val="2F5496" w:themeColor="accent1" w:themeShade="BF"/>
          <w:lang w:eastAsia="en-GB"/>
        </w:rPr>
        <w:t xml:space="preserve"> </w:t>
      </w:r>
      <w:r w:rsidR="005616A0" w:rsidRPr="005D3BB6">
        <w:rPr>
          <w:rFonts w:ascii="Arial" w:eastAsia="Times New Roman" w:hAnsi="Arial" w:cs="Arial"/>
          <w:color w:val="2F5496" w:themeColor="accent1" w:themeShade="BF"/>
          <w:lang w:eastAsia="en-GB"/>
        </w:rPr>
        <w:t>Evaluating Diversity Training Programmes</w:t>
      </w:r>
      <w:bookmarkEnd w:id="28"/>
      <w:r w:rsidR="005616A0" w:rsidRPr="005D3BB6">
        <w:rPr>
          <w:rFonts w:ascii="Arial" w:eastAsia="Times New Roman" w:hAnsi="Arial" w:cs="Arial"/>
          <w:color w:val="2F5496" w:themeColor="accent1" w:themeShade="BF"/>
          <w:lang w:eastAsia="en-GB"/>
        </w:rPr>
        <w:t xml:space="preserve"> </w:t>
      </w:r>
    </w:p>
    <w:p w14:paraId="13D1BE13" w14:textId="010D55A3" w:rsidR="00972398" w:rsidRPr="005D3BB6" w:rsidRDefault="00972398" w:rsidP="005D3BB6">
      <w:pPr>
        <w:spacing w:line="360" w:lineRule="auto"/>
        <w:jc w:val="both"/>
        <w:rPr>
          <w:rFonts w:ascii="Arial" w:hAnsi="Arial" w:cs="Arial"/>
          <w:sz w:val="24"/>
          <w:szCs w:val="24"/>
        </w:rPr>
      </w:pPr>
      <w:r w:rsidRPr="005D3BB6">
        <w:rPr>
          <w:rFonts w:ascii="Arial" w:hAnsi="Arial" w:cs="Arial"/>
          <w:sz w:val="24"/>
          <w:szCs w:val="24"/>
        </w:rPr>
        <w:t xml:space="preserve">The present methods that re being used to evaluate the outcomes of the research are also very base and they are not the most sophisticated methods on offer. The evaluation of the training outcomes is a very comprehensive process where the organizations collect data which includes the feedbacks and the performance data before and after the training being delivered. They also look at the different ways in which the training has been viewed by the participants and what have been the financial implications of the training processes. </w:t>
      </w:r>
      <w:r w:rsidR="00E34592" w:rsidRPr="005D3BB6">
        <w:rPr>
          <w:rFonts w:ascii="Arial" w:hAnsi="Arial" w:cs="Arial"/>
          <w:sz w:val="24"/>
          <w:szCs w:val="24"/>
        </w:rPr>
        <w:t xml:space="preserve">A major part of the feedback is collected just after the training process gets completed and that is it. There are very few instances where the companies have undertaken exercises where the bottom line of the company has been checked or the Return on Investment after the training process has been evaluated. </w:t>
      </w:r>
      <w:r w:rsidR="00EA6B33" w:rsidRPr="005D3BB6">
        <w:rPr>
          <w:rFonts w:ascii="Arial" w:hAnsi="Arial" w:cs="Arial"/>
          <w:sz w:val="24"/>
          <w:szCs w:val="24"/>
        </w:rPr>
        <w:t xml:space="preserve">There is a need for a more accurate and intelligent way of evaluating the training outcomes which must have a cost-benefit analysis and also there must be efforts made to pinning the value that the different training programmes have brought about to the organization. This will motivate the employees to participate whole-heartedly </w:t>
      </w:r>
      <w:r w:rsidR="00012ABB" w:rsidRPr="005D3BB6">
        <w:rPr>
          <w:rFonts w:ascii="Arial" w:hAnsi="Arial" w:cs="Arial"/>
          <w:sz w:val="24"/>
          <w:szCs w:val="24"/>
        </w:rPr>
        <w:t xml:space="preserve">in the various training programmes. </w:t>
      </w:r>
    </w:p>
    <w:p w14:paraId="79EE13FF" w14:textId="7D287AD6" w:rsidR="00392F2B" w:rsidRPr="005D3BB6" w:rsidRDefault="005D3BB6" w:rsidP="005D3BB6">
      <w:pPr>
        <w:pStyle w:val="Heading2"/>
        <w:spacing w:line="360" w:lineRule="auto"/>
        <w:rPr>
          <w:rFonts w:ascii="Arial" w:hAnsi="Arial" w:cs="Arial"/>
          <w:sz w:val="24"/>
          <w:szCs w:val="24"/>
        </w:rPr>
      </w:pPr>
      <w:bookmarkStart w:id="29" w:name="_Toc534372137"/>
      <w:r w:rsidRPr="005D3BB6">
        <w:rPr>
          <w:rFonts w:ascii="Arial" w:hAnsi="Arial" w:cs="Arial"/>
          <w:sz w:val="24"/>
          <w:szCs w:val="24"/>
        </w:rPr>
        <w:t>6</w:t>
      </w:r>
      <w:r w:rsidR="00D30680" w:rsidRPr="005D3BB6">
        <w:rPr>
          <w:rFonts w:ascii="Arial" w:hAnsi="Arial" w:cs="Arial"/>
          <w:sz w:val="24"/>
          <w:szCs w:val="24"/>
        </w:rPr>
        <w:t>.0 CONCLUSIONS AND RECOMMENDATIONS</w:t>
      </w:r>
      <w:bookmarkEnd w:id="29"/>
    </w:p>
    <w:p w14:paraId="38499300" w14:textId="4F8DE544" w:rsidR="003563F7" w:rsidRPr="005D3BB6" w:rsidRDefault="003563F7" w:rsidP="005D3BB6">
      <w:pPr>
        <w:spacing w:line="360" w:lineRule="auto"/>
        <w:jc w:val="both"/>
        <w:rPr>
          <w:rFonts w:ascii="Arial" w:hAnsi="Arial" w:cs="Arial"/>
          <w:sz w:val="24"/>
          <w:szCs w:val="24"/>
        </w:rPr>
      </w:pPr>
      <w:r w:rsidRPr="005D3BB6">
        <w:rPr>
          <w:rFonts w:ascii="Arial" w:hAnsi="Arial" w:cs="Arial"/>
          <w:sz w:val="24"/>
          <w:szCs w:val="24"/>
        </w:rPr>
        <w:t>Diversity training is one area which still has not been aced by many organizations and there has been a lot of work going on this topic in the academics and the industry. The report here states the main problems that the company like Aetna has been facing and the way ahead if the company has to provide the needed interventions in the form of diversity training to the employ</w:t>
      </w:r>
      <w:r w:rsidR="001103DB">
        <w:rPr>
          <w:rFonts w:ascii="Arial" w:hAnsi="Arial" w:cs="Arial"/>
          <w:sz w:val="24"/>
          <w:szCs w:val="24"/>
        </w:rPr>
        <w:t>ees. The three results have been</w:t>
      </w:r>
      <w:r w:rsidRPr="005D3BB6">
        <w:rPr>
          <w:rFonts w:ascii="Arial" w:hAnsi="Arial" w:cs="Arial"/>
          <w:sz w:val="24"/>
          <w:szCs w:val="24"/>
        </w:rPr>
        <w:t xml:space="preserve"> shown using the data which has been documented by the company between the years 2012-2017. The training programmes that have been provided to the employees of the organization have been segmented into the categories of vision, focus, timing, cost and the concepts that provide the base for these programmes. It has been found that on these grounds the</w:t>
      </w:r>
      <w:r w:rsidR="00924B5D" w:rsidRPr="005D3BB6">
        <w:rPr>
          <w:rFonts w:ascii="Arial" w:hAnsi="Arial" w:cs="Arial"/>
          <w:sz w:val="24"/>
          <w:szCs w:val="24"/>
        </w:rPr>
        <w:t xml:space="preserve"> diversity programmes at the organization have not been able to provide the results that are expected from them.  The research therefore has laid down three recommendations for the company: </w:t>
      </w:r>
    </w:p>
    <w:p w14:paraId="4AFFC80D" w14:textId="42AE8774" w:rsidR="002A6855" w:rsidRPr="005D3BB6" w:rsidRDefault="002A6855" w:rsidP="005D3BB6">
      <w:pPr>
        <w:pStyle w:val="ListParagraph"/>
        <w:numPr>
          <w:ilvl w:val="0"/>
          <w:numId w:val="13"/>
        </w:numPr>
        <w:spacing w:line="360" w:lineRule="auto"/>
        <w:jc w:val="both"/>
        <w:rPr>
          <w:rFonts w:ascii="Arial" w:hAnsi="Arial" w:cs="Arial"/>
          <w:sz w:val="24"/>
          <w:szCs w:val="24"/>
        </w:rPr>
      </w:pPr>
      <w:r w:rsidRPr="005D3BB6">
        <w:rPr>
          <w:rFonts w:ascii="Arial" w:hAnsi="Arial" w:cs="Arial"/>
          <w:sz w:val="24"/>
          <w:szCs w:val="24"/>
        </w:rPr>
        <w:t xml:space="preserve">The diversity training in the company must take into account the business environment and all the aspects of the training right from the design, implementation and the evaluation of the outcomes must be based on complete </w:t>
      </w:r>
      <w:r w:rsidRPr="005D3BB6">
        <w:rPr>
          <w:rFonts w:ascii="Arial" w:hAnsi="Arial" w:cs="Arial"/>
          <w:sz w:val="24"/>
          <w:szCs w:val="24"/>
        </w:rPr>
        <w:lastRenderedPageBreak/>
        <w:t xml:space="preserve">research and therefore must have a strong theoretical and results based approach. </w:t>
      </w:r>
    </w:p>
    <w:p w14:paraId="7E69FA26" w14:textId="290C89D6" w:rsidR="002A6855" w:rsidRPr="005D3BB6" w:rsidRDefault="002A6855" w:rsidP="005D3BB6">
      <w:pPr>
        <w:pStyle w:val="ListParagraph"/>
        <w:numPr>
          <w:ilvl w:val="0"/>
          <w:numId w:val="13"/>
        </w:numPr>
        <w:spacing w:line="360" w:lineRule="auto"/>
        <w:jc w:val="both"/>
        <w:rPr>
          <w:rFonts w:ascii="Arial" w:hAnsi="Arial" w:cs="Arial"/>
          <w:sz w:val="24"/>
          <w:szCs w:val="24"/>
        </w:rPr>
      </w:pPr>
      <w:r w:rsidRPr="005D3BB6">
        <w:rPr>
          <w:rFonts w:ascii="Arial" w:hAnsi="Arial" w:cs="Arial"/>
          <w:sz w:val="24"/>
          <w:szCs w:val="24"/>
        </w:rPr>
        <w:t xml:space="preserve">The HR department </w:t>
      </w:r>
      <w:r w:rsidR="00AC5BC0" w:rsidRPr="005D3BB6">
        <w:rPr>
          <w:rFonts w:ascii="Arial" w:hAnsi="Arial" w:cs="Arial"/>
          <w:sz w:val="24"/>
          <w:szCs w:val="24"/>
        </w:rPr>
        <w:t>must</w:t>
      </w:r>
      <w:r w:rsidRPr="005D3BB6">
        <w:rPr>
          <w:rFonts w:ascii="Arial" w:hAnsi="Arial" w:cs="Arial"/>
          <w:sz w:val="24"/>
          <w:szCs w:val="24"/>
        </w:rPr>
        <w:t xml:space="preserve"> articulate the benefits of the training to the employees and get all the different levels in the organization on-board for promoting the trainings. This will be very motivating to the ethnically diverse workforce in the company. </w:t>
      </w:r>
    </w:p>
    <w:p w14:paraId="0D4A5675" w14:textId="77E1C470" w:rsidR="002A6855" w:rsidRPr="005D3BB6" w:rsidRDefault="002A6855" w:rsidP="005D3BB6">
      <w:pPr>
        <w:pStyle w:val="ListParagraph"/>
        <w:numPr>
          <w:ilvl w:val="0"/>
          <w:numId w:val="13"/>
        </w:numPr>
        <w:spacing w:line="360" w:lineRule="auto"/>
        <w:jc w:val="both"/>
        <w:rPr>
          <w:rFonts w:ascii="Arial" w:hAnsi="Arial" w:cs="Arial"/>
          <w:sz w:val="24"/>
          <w:szCs w:val="24"/>
        </w:rPr>
      </w:pPr>
      <w:r w:rsidRPr="005D3BB6">
        <w:rPr>
          <w:rFonts w:ascii="Arial" w:hAnsi="Arial" w:cs="Arial"/>
          <w:sz w:val="24"/>
          <w:szCs w:val="24"/>
        </w:rPr>
        <w:t xml:space="preserve">The company must take care to not fall into the trap of unconscious bias. Having diversity as an agenda does not mean that all the processes like recruitment, promotions and incentives are provided to the diversity candidates alone. Any form of bias must be removed from the system. This will need training the trainers initially. </w:t>
      </w:r>
    </w:p>
    <w:p w14:paraId="0C0DCE45" w14:textId="77777777" w:rsidR="00392F2B" w:rsidRPr="005D3BB6" w:rsidRDefault="00392F2B" w:rsidP="005D3BB6">
      <w:pPr>
        <w:spacing w:line="360" w:lineRule="auto"/>
        <w:rPr>
          <w:rFonts w:ascii="Arial" w:hAnsi="Arial" w:cs="Arial"/>
          <w:color w:val="FF0000"/>
          <w:sz w:val="24"/>
          <w:szCs w:val="24"/>
        </w:rPr>
      </w:pPr>
    </w:p>
    <w:p w14:paraId="38D1DBB1" w14:textId="50F98263" w:rsidR="00392F2B" w:rsidRPr="005D3BB6" w:rsidRDefault="00392F2B" w:rsidP="005D3BB6">
      <w:pPr>
        <w:spacing w:line="360" w:lineRule="auto"/>
        <w:rPr>
          <w:rFonts w:ascii="Arial" w:hAnsi="Arial" w:cs="Arial"/>
          <w:sz w:val="24"/>
          <w:szCs w:val="24"/>
        </w:rPr>
      </w:pPr>
    </w:p>
    <w:p w14:paraId="0F0BF545" w14:textId="046F468B" w:rsidR="005D3BB6" w:rsidRPr="005D3BB6" w:rsidRDefault="005D3BB6" w:rsidP="005D3BB6">
      <w:pPr>
        <w:spacing w:line="360" w:lineRule="auto"/>
        <w:rPr>
          <w:rFonts w:ascii="Arial" w:hAnsi="Arial" w:cs="Arial"/>
          <w:sz w:val="24"/>
          <w:szCs w:val="24"/>
        </w:rPr>
      </w:pPr>
    </w:p>
    <w:p w14:paraId="3BF1F60C" w14:textId="4CE7915F" w:rsidR="005D3BB6" w:rsidRPr="005D3BB6" w:rsidRDefault="005D3BB6" w:rsidP="005D3BB6">
      <w:pPr>
        <w:spacing w:line="360" w:lineRule="auto"/>
        <w:rPr>
          <w:rFonts w:ascii="Arial" w:hAnsi="Arial" w:cs="Arial"/>
          <w:sz w:val="24"/>
          <w:szCs w:val="24"/>
        </w:rPr>
      </w:pPr>
    </w:p>
    <w:p w14:paraId="6AC0D0D6" w14:textId="4DCC3CCB" w:rsidR="005D3BB6" w:rsidRPr="005D3BB6" w:rsidRDefault="005D3BB6" w:rsidP="005D3BB6">
      <w:pPr>
        <w:spacing w:line="360" w:lineRule="auto"/>
        <w:rPr>
          <w:rFonts w:ascii="Arial" w:hAnsi="Arial" w:cs="Arial"/>
          <w:sz w:val="24"/>
          <w:szCs w:val="24"/>
        </w:rPr>
      </w:pPr>
    </w:p>
    <w:p w14:paraId="2F451BA5" w14:textId="5923C538" w:rsidR="005D3BB6" w:rsidRPr="005D3BB6" w:rsidRDefault="005D3BB6" w:rsidP="005D3BB6">
      <w:pPr>
        <w:spacing w:line="360" w:lineRule="auto"/>
        <w:rPr>
          <w:rFonts w:ascii="Arial" w:hAnsi="Arial" w:cs="Arial"/>
          <w:sz w:val="24"/>
          <w:szCs w:val="24"/>
        </w:rPr>
      </w:pPr>
    </w:p>
    <w:p w14:paraId="4C51D3E7" w14:textId="2B5BBEA0" w:rsidR="005D3BB6" w:rsidRPr="005D3BB6" w:rsidRDefault="005D3BB6" w:rsidP="005D3BB6">
      <w:pPr>
        <w:spacing w:line="360" w:lineRule="auto"/>
        <w:rPr>
          <w:rFonts w:ascii="Arial" w:hAnsi="Arial" w:cs="Arial"/>
          <w:sz w:val="24"/>
          <w:szCs w:val="24"/>
        </w:rPr>
      </w:pPr>
    </w:p>
    <w:p w14:paraId="79ACBD90" w14:textId="1182CF3A" w:rsidR="005D3BB6" w:rsidRPr="005D3BB6" w:rsidRDefault="005D3BB6" w:rsidP="005D3BB6">
      <w:pPr>
        <w:spacing w:line="360" w:lineRule="auto"/>
        <w:rPr>
          <w:rFonts w:ascii="Arial" w:hAnsi="Arial" w:cs="Arial"/>
          <w:sz w:val="24"/>
          <w:szCs w:val="24"/>
        </w:rPr>
      </w:pPr>
    </w:p>
    <w:p w14:paraId="6254AE66" w14:textId="46D70E6F" w:rsidR="005D3BB6" w:rsidRPr="005D3BB6" w:rsidRDefault="005D3BB6" w:rsidP="005D3BB6">
      <w:pPr>
        <w:spacing w:line="360" w:lineRule="auto"/>
        <w:rPr>
          <w:rFonts w:ascii="Arial" w:hAnsi="Arial" w:cs="Arial"/>
          <w:sz w:val="24"/>
          <w:szCs w:val="24"/>
        </w:rPr>
      </w:pPr>
    </w:p>
    <w:p w14:paraId="4351A02D" w14:textId="7C75FD63" w:rsidR="005D3BB6" w:rsidRPr="005D3BB6" w:rsidRDefault="005D3BB6" w:rsidP="005D3BB6">
      <w:pPr>
        <w:spacing w:line="360" w:lineRule="auto"/>
        <w:rPr>
          <w:rFonts w:ascii="Arial" w:hAnsi="Arial" w:cs="Arial"/>
          <w:sz w:val="24"/>
          <w:szCs w:val="24"/>
        </w:rPr>
      </w:pPr>
    </w:p>
    <w:p w14:paraId="5586CB3B" w14:textId="29C2AD16" w:rsidR="005D3BB6" w:rsidRPr="005D3BB6" w:rsidRDefault="005D3BB6" w:rsidP="005D3BB6">
      <w:pPr>
        <w:spacing w:line="360" w:lineRule="auto"/>
        <w:rPr>
          <w:rFonts w:ascii="Arial" w:hAnsi="Arial" w:cs="Arial"/>
          <w:sz w:val="24"/>
          <w:szCs w:val="24"/>
        </w:rPr>
      </w:pPr>
    </w:p>
    <w:p w14:paraId="2C76E85B" w14:textId="5C99E443" w:rsidR="005D3BB6" w:rsidRPr="005D3BB6" w:rsidRDefault="005D3BB6" w:rsidP="005D3BB6">
      <w:pPr>
        <w:spacing w:line="360" w:lineRule="auto"/>
        <w:rPr>
          <w:rFonts w:ascii="Arial" w:hAnsi="Arial" w:cs="Arial"/>
          <w:sz w:val="24"/>
          <w:szCs w:val="24"/>
        </w:rPr>
      </w:pPr>
    </w:p>
    <w:p w14:paraId="16D6CCB6" w14:textId="0C1DDBF5" w:rsidR="005D3BB6" w:rsidRPr="005D3BB6" w:rsidRDefault="005D3BB6" w:rsidP="005D3BB6">
      <w:pPr>
        <w:spacing w:line="360" w:lineRule="auto"/>
        <w:rPr>
          <w:rFonts w:ascii="Arial" w:hAnsi="Arial" w:cs="Arial"/>
          <w:sz w:val="24"/>
          <w:szCs w:val="24"/>
        </w:rPr>
      </w:pPr>
    </w:p>
    <w:p w14:paraId="708C0F0E" w14:textId="1D38279C" w:rsidR="005D3BB6" w:rsidRPr="005D3BB6" w:rsidRDefault="005D3BB6" w:rsidP="005D3BB6">
      <w:pPr>
        <w:spacing w:line="360" w:lineRule="auto"/>
        <w:rPr>
          <w:rFonts w:ascii="Arial" w:hAnsi="Arial" w:cs="Arial"/>
          <w:sz w:val="24"/>
          <w:szCs w:val="24"/>
        </w:rPr>
      </w:pPr>
    </w:p>
    <w:p w14:paraId="0E544A2A" w14:textId="391B8468" w:rsidR="005D3BB6" w:rsidRPr="005D3BB6" w:rsidRDefault="005D3BB6" w:rsidP="005D3BB6">
      <w:pPr>
        <w:spacing w:line="360" w:lineRule="auto"/>
        <w:rPr>
          <w:rFonts w:ascii="Arial" w:hAnsi="Arial" w:cs="Arial"/>
          <w:sz w:val="24"/>
          <w:szCs w:val="24"/>
        </w:rPr>
      </w:pPr>
    </w:p>
    <w:p w14:paraId="414E9A39" w14:textId="4641D77E" w:rsidR="00392F2B" w:rsidRPr="005D3BB6" w:rsidRDefault="005D3BB6" w:rsidP="005D3BB6">
      <w:pPr>
        <w:pStyle w:val="Heading1"/>
        <w:spacing w:line="360" w:lineRule="auto"/>
        <w:rPr>
          <w:rFonts w:ascii="Arial" w:hAnsi="Arial" w:cs="Arial"/>
          <w:sz w:val="24"/>
          <w:szCs w:val="24"/>
        </w:rPr>
      </w:pPr>
      <w:bookmarkStart w:id="30" w:name="_Toc534372138"/>
      <w:r w:rsidRPr="005D3BB6">
        <w:rPr>
          <w:rFonts w:ascii="Arial" w:hAnsi="Arial" w:cs="Arial"/>
          <w:sz w:val="24"/>
          <w:szCs w:val="24"/>
        </w:rPr>
        <w:lastRenderedPageBreak/>
        <w:t>7.0 References</w:t>
      </w:r>
      <w:bookmarkEnd w:id="30"/>
    </w:p>
    <w:p w14:paraId="721C89C7" w14:textId="3D3DA66E" w:rsidR="007418B9" w:rsidRPr="007418B9" w:rsidRDefault="007418B9" w:rsidP="007418B9">
      <w:pPr>
        <w:ind w:left="360"/>
        <w:rPr>
          <w:rFonts w:ascii="Arial" w:hAnsi="Arial" w:cs="Arial"/>
          <w:sz w:val="24"/>
          <w:szCs w:val="24"/>
        </w:rPr>
      </w:pPr>
      <w:proofErr w:type="spellStart"/>
      <w:r w:rsidRPr="007418B9">
        <w:rPr>
          <w:rFonts w:ascii="Arial" w:hAnsi="Arial" w:cs="Arial"/>
          <w:sz w:val="24"/>
          <w:szCs w:val="24"/>
        </w:rPr>
        <w:t>Aguinis</w:t>
      </w:r>
      <w:proofErr w:type="spellEnd"/>
      <w:r w:rsidRPr="007418B9">
        <w:rPr>
          <w:rFonts w:ascii="Arial" w:hAnsi="Arial" w:cs="Arial"/>
          <w:sz w:val="24"/>
          <w:szCs w:val="24"/>
        </w:rPr>
        <w:t xml:space="preserve">, H. and </w:t>
      </w:r>
      <w:proofErr w:type="spellStart"/>
      <w:r w:rsidRPr="007418B9">
        <w:rPr>
          <w:rFonts w:ascii="Arial" w:hAnsi="Arial" w:cs="Arial"/>
          <w:sz w:val="24"/>
          <w:szCs w:val="24"/>
        </w:rPr>
        <w:t>Kraiger</w:t>
      </w:r>
      <w:proofErr w:type="spellEnd"/>
      <w:r w:rsidRPr="007418B9">
        <w:rPr>
          <w:rFonts w:ascii="Arial" w:hAnsi="Arial" w:cs="Arial"/>
          <w:sz w:val="24"/>
          <w:szCs w:val="24"/>
        </w:rPr>
        <w:t xml:space="preserve">, K. (2009) </w:t>
      </w:r>
      <w:r w:rsidR="002A1181">
        <w:rPr>
          <w:rFonts w:ascii="Arial" w:hAnsi="Arial" w:cs="Arial"/>
          <w:sz w:val="24"/>
          <w:szCs w:val="24"/>
        </w:rPr>
        <w:t>‘</w:t>
      </w:r>
      <w:r w:rsidRPr="007418B9">
        <w:rPr>
          <w:rFonts w:ascii="Arial" w:hAnsi="Arial" w:cs="Arial"/>
          <w:sz w:val="24"/>
          <w:szCs w:val="24"/>
        </w:rPr>
        <w:t>Benefits of training and development for individuals and teams, organizations, and society</w:t>
      </w:r>
      <w:r w:rsidR="002A1181">
        <w:rPr>
          <w:rFonts w:ascii="Arial" w:hAnsi="Arial" w:cs="Arial"/>
          <w:sz w:val="24"/>
          <w:szCs w:val="24"/>
        </w:rPr>
        <w:t>’</w:t>
      </w:r>
      <w:r w:rsidRPr="007418B9">
        <w:rPr>
          <w:rFonts w:ascii="Arial" w:hAnsi="Arial" w:cs="Arial"/>
          <w:sz w:val="24"/>
          <w:szCs w:val="24"/>
        </w:rPr>
        <w:t>, Annual Review of Psychology, 60(1), 451-474</w:t>
      </w:r>
    </w:p>
    <w:p w14:paraId="34A8FD6C" w14:textId="370EE2E1" w:rsidR="007418B9" w:rsidRPr="00D11F15" w:rsidRDefault="007418B9" w:rsidP="00D11F15">
      <w:pPr>
        <w:ind w:left="360"/>
        <w:rPr>
          <w:rFonts w:ascii="Arial" w:hAnsi="Arial" w:cs="Arial"/>
          <w:sz w:val="24"/>
          <w:szCs w:val="24"/>
        </w:rPr>
      </w:pPr>
      <w:proofErr w:type="spellStart"/>
      <w:r w:rsidRPr="007418B9">
        <w:rPr>
          <w:rFonts w:ascii="Arial" w:hAnsi="Arial" w:cs="Arial"/>
          <w:sz w:val="24"/>
          <w:szCs w:val="24"/>
        </w:rPr>
        <w:t>Alcázar</w:t>
      </w:r>
      <w:proofErr w:type="spellEnd"/>
      <w:r w:rsidRPr="007418B9">
        <w:rPr>
          <w:rFonts w:ascii="Arial" w:hAnsi="Arial" w:cs="Arial"/>
          <w:sz w:val="24"/>
          <w:szCs w:val="24"/>
        </w:rPr>
        <w:t xml:space="preserve">, F. M., </w:t>
      </w:r>
      <w:proofErr w:type="spellStart"/>
      <w:r w:rsidRPr="007418B9">
        <w:rPr>
          <w:rFonts w:ascii="Arial" w:hAnsi="Arial" w:cs="Arial"/>
          <w:sz w:val="24"/>
          <w:szCs w:val="24"/>
        </w:rPr>
        <w:t>Fernández</w:t>
      </w:r>
      <w:proofErr w:type="spellEnd"/>
      <w:r w:rsidRPr="007418B9">
        <w:rPr>
          <w:rFonts w:ascii="Arial" w:hAnsi="Arial" w:cs="Arial"/>
          <w:sz w:val="24"/>
          <w:szCs w:val="24"/>
        </w:rPr>
        <w:t xml:space="preserve">, P. M. R. and </w:t>
      </w:r>
      <w:proofErr w:type="spellStart"/>
      <w:r w:rsidRPr="007418B9">
        <w:rPr>
          <w:rFonts w:ascii="Arial" w:hAnsi="Arial" w:cs="Arial"/>
          <w:sz w:val="24"/>
          <w:szCs w:val="24"/>
        </w:rPr>
        <w:t>Gardey</w:t>
      </w:r>
      <w:proofErr w:type="spellEnd"/>
      <w:r w:rsidRPr="007418B9">
        <w:rPr>
          <w:rFonts w:ascii="Arial" w:hAnsi="Arial" w:cs="Arial"/>
          <w:sz w:val="24"/>
          <w:szCs w:val="24"/>
        </w:rPr>
        <w:t xml:space="preserve">, G. S. (2013) </w:t>
      </w:r>
      <w:r w:rsidR="002A1181">
        <w:rPr>
          <w:rFonts w:ascii="Arial" w:hAnsi="Arial" w:cs="Arial"/>
          <w:sz w:val="24"/>
          <w:szCs w:val="24"/>
        </w:rPr>
        <w:t>‘</w:t>
      </w:r>
      <w:r w:rsidRPr="007418B9">
        <w:rPr>
          <w:rFonts w:ascii="Arial" w:hAnsi="Arial" w:cs="Arial"/>
          <w:sz w:val="24"/>
          <w:szCs w:val="24"/>
        </w:rPr>
        <w:t>Workforce diversity in strategic human resource management models: A critical review of the literature and implications for future research</w:t>
      </w:r>
      <w:r w:rsidR="002A1181">
        <w:rPr>
          <w:rFonts w:ascii="Arial" w:hAnsi="Arial" w:cs="Arial"/>
          <w:sz w:val="24"/>
          <w:szCs w:val="24"/>
        </w:rPr>
        <w:t>’</w:t>
      </w:r>
      <w:r w:rsidRPr="007418B9">
        <w:rPr>
          <w:rFonts w:ascii="Arial" w:hAnsi="Arial" w:cs="Arial"/>
          <w:sz w:val="24"/>
          <w:szCs w:val="24"/>
        </w:rPr>
        <w:t>, Cross Cultural Management: An International Journal, 20(1), 39-49.</w:t>
      </w:r>
    </w:p>
    <w:p w14:paraId="520ED5AD" w14:textId="77777777" w:rsidR="007418B9" w:rsidRPr="007418B9" w:rsidRDefault="007418B9" w:rsidP="007418B9">
      <w:pPr>
        <w:ind w:left="360"/>
        <w:rPr>
          <w:rFonts w:ascii="Arial" w:hAnsi="Arial" w:cs="Arial"/>
          <w:sz w:val="24"/>
          <w:szCs w:val="24"/>
        </w:rPr>
      </w:pPr>
      <w:proofErr w:type="spellStart"/>
      <w:r w:rsidRPr="007418B9">
        <w:rPr>
          <w:rFonts w:ascii="Arial" w:hAnsi="Arial" w:cs="Arial"/>
          <w:sz w:val="24"/>
          <w:szCs w:val="24"/>
        </w:rPr>
        <w:t>Brammer</w:t>
      </w:r>
      <w:proofErr w:type="spellEnd"/>
      <w:r w:rsidRPr="007418B9">
        <w:rPr>
          <w:rFonts w:ascii="Arial" w:hAnsi="Arial" w:cs="Arial"/>
          <w:sz w:val="24"/>
          <w:szCs w:val="24"/>
        </w:rPr>
        <w:t xml:space="preserve">, S., Millington, A. and </w:t>
      </w:r>
      <w:proofErr w:type="spellStart"/>
      <w:r w:rsidRPr="007418B9">
        <w:rPr>
          <w:rFonts w:ascii="Arial" w:hAnsi="Arial" w:cs="Arial"/>
          <w:sz w:val="24"/>
          <w:szCs w:val="24"/>
        </w:rPr>
        <w:t>Pavelin</w:t>
      </w:r>
      <w:proofErr w:type="spellEnd"/>
      <w:r w:rsidRPr="007418B9">
        <w:rPr>
          <w:rFonts w:ascii="Arial" w:hAnsi="Arial" w:cs="Arial"/>
          <w:sz w:val="24"/>
          <w:szCs w:val="24"/>
        </w:rPr>
        <w:t>, S. (2009), “Corporate reputation and women on the board”, British Journal of Management, Vol. 20; pp 17–29</w:t>
      </w:r>
    </w:p>
    <w:p w14:paraId="1E282597" w14:textId="3C874B5F" w:rsidR="007418B9" w:rsidRPr="007418B9" w:rsidRDefault="007418B9" w:rsidP="007418B9">
      <w:pPr>
        <w:ind w:left="360"/>
        <w:rPr>
          <w:rFonts w:ascii="Arial" w:hAnsi="Arial" w:cs="Arial"/>
          <w:sz w:val="24"/>
          <w:szCs w:val="24"/>
        </w:rPr>
      </w:pPr>
      <w:proofErr w:type="spellStart"/>
      <w:r w:rsidRPr="007418B9">
        <w:rPr>
          <w:rFonts w:ascii="Arial" w:hAnsi="Arial" w:cs="Arial"/>
          <w:sz w:val="24"/>
          <w:szCs w:val="24"/>
        </w:rPr>
        <w:t>Bezrukova</w:t>
      </w:r>
      <w:proofErr w:type="spellEnd"/>
      <w:r w:rsidRPr="007418B9">
        <w:rPr>
          <w:rFonts w:ascii="Arial" w:hAnsi="Arial" w:cs="Arial"/>
          <w:sz w:val="24"/>
          <w:szCs w:val="24"/>
        </w:rPr>
        <w:t xml:space="preserve">, K., </w:t>
      </w:r>
      <w:proofErr w:type="spellStart"/>
      <w:r w:rsidRPr="007418B9">
        <w:rPr>
          <w:rFonts w:ascii="Arial" w:hAnsi="Arial" w:cs="Arial"/>
          <w:sz w:val="24"/>
          <w:szCs w:val="24"/>
        </w:rPr>
        <w:t>Jehn</w:t>
      </w:r>
      <w:proofErr w:type="spellEnd"/>
      <w:r w:rsidRPr="007418B9">
        <w:rPr>
          <w:rFonts w:ascii="Arial" w:hAnsi="Arial" w:cs="Arial"/>
          <w:sz w:val="24"/>
          <w:szCs w:val="24"/>
        </w:rPr>
        <w:t xml:space="preserve">, K. A. and Spell, C. S. (2012) </w:t>
      </w:r>
      <w:r w:rsidR="002A1181">
        <w:rPr>
          <w:rFonts w:ascii="Arial" w:hAnsi="Arial" w:cs="Arial"/>
          <w:sz w:val="24"/>
          <w:szCs w:val="24"/>
        </w:rPr>
        <w:t>‘</w:t>
      </w:r>
      <w:r w:rsidRPr="007418B9">
        <w:rPr>
          <w:rFonts w:ascii="Arial" w:hAnsi="Arial" w:cs="Arial"/>
          <w:sz w:val="24"/>
          <w:szCs w:val="24"/>
        </w:rPr>
        <w:t>Reviewing diversity training: where we have been and where we should go</w:t>
      </w:r>
      <w:r w:rsidR="002A1181">
        <w:rPr>
          <w:rFonts w:ascii="Arial" w:hAnsi="Arial" w:cs="Arial"/>
          <w:sz w:val="24"/>
          <w:szCs w:val="24"/>
        </w:rPr>
        <w:t>’</w:t>
      </w:r>
      <w:r w:rsidRPr="007418B9">
        <w:rPr>
          <w:rFonts w:ascii="Arial" w:hAnsi="Arial" w:cs="Arial"/>
          <w:sz w:val="24"/>
          <w:szCs w:val="24"/>
        </w:rPr>
        <w:t>, Academy of Management Learning &amp; Education, 11(2), 207-227</w:t>
      </w:r>
    </w:p>
    <w:p w14:paraId="0536E03C" w14:textId="33818351" w:rsidR="007418B9" w:rsidRPr="007418B9" w:rsidRDefault="007418B9" w:rsidP="007418B9">
      <w:pPr>
        <w:ind w:left="360"/>
        <w:rPr>
          <w:rFonts w:ascii="Arial" w:hAnsi="Arial" w:cs="Arial"/>
          <w:sz w:val="24"/>
          <w:szCs w:val="24"/>
        </w:rPr>
      </w:pPr>
      <w:proofErr w:type="spellStart"/>
      <w:r w:rsidRPr="007418B9">
        <w:rPr>
          <w:rFonts w:ascii="Arial" w:hAnsi="Arial" w:cs="Arial"/>
          <w:sz w:val="24"/>
          <w:szCs w:val="24"/>
        </w:rPr>
        <w:t>Celik</w:t>
      </w:r>
      <w:proofErr w:type="spellEnd"/>
      <w:r w:rsidRPr="007418B9">
        <w:rPr>
          <w:rFonts w:ascii="Arial" w:hAnsi="Arial" w:cs="Arial"/>
          <w:sz w:val="24"/>
          <w:szCs w:val="24"/>
        </w:rPr>
        <w:t xml:space="preserve">, H., </w:t>
      </w:r>
      <w:proofErr w:type="spellStart"/>
      <w:r w:rsidRPr="007418B9">
        <w:rPr>
          <w:rFonts w:ascii="Arial" w:hAnsi="Arial" w:cs="Arial"/>
          <w:sz w:val="24"/>
          <w:szCs w:val="24"/>
        </w:rPr>
        <w:t>Abma</w:t>
      </w:r>
      <w:proofErr w:type="spellEnd"/>
      <w:r w:rsidRPr="007418B9">
        <w:rPr>
          <w:rFonts w:ascii="Arial" w:hAnsi="Arial" w:cs="Arial"/>
          <w:sz w:val="24"/>
          <w:szCs w:val="24"/>
        </w:rPr>
        <w:t xml:space="preserve">, T. A., </w:t>
      </w:r>
      <w:proofErr w:type="spellStart"/>
      <w:r w:rsidRPr="007418B9">
        <w:rPr>
          <w:rFonts w:ascii="Arial" w:hAnsi="Arial" w:cs="Arial"/>
          <w:sz w:val="24"/>
          <w:szCs w:val="24"/>
        </w:rPr>
        <w:t>Klinge</w:t>
      </w:r>
      <w:proofErr w:type="spellEnd"/>
      <w:r w:rsidRPr="007418B9">
        <w:rPr>
          <w:rFonts w:ascii="Arial" w:hAnsi="Arial" w:cs="Arial"/>
          <w:sz w:val="24"/>
          <w:szCs w:val="24"/>
        </w:rPr>
        <w:t xml:space="preserve">, I. and </w:t>
      </w:r>
      <w:proofErr w:type="spellStart"/>
      <w:r w:rsidRPr="007418B9">
        <w:rPr>
          <w:rFonts w:ascii="Arial" w:hAnsi="Arial" w:cs="Arial"/>
          <w:sz w:val="24"/>
          <w:szCs w:val="24"/>
        </w:rPr>
        <w:t>Widdershoven</w:t>
      </w:r>
      <w:proofErr w:type="spellEnd"/>
      <w:r w:rsidRPr="007418B9">
        <w:rPr>
          <w:rFonts w:ascii="Arial" w:hAnsi="Arial" w:cs="Arial"/>
          <w:sz w:val="24"/>
          <w:szCs w:val="24"/>
        </w:rPr>
        <w:t xml:space="preserve">, G. A. M. (2012) </w:t>
      </w:r>
      <w:r w:rsidR="002A1181">
        <w:rPr>
          <w:rFonts w:ascii="Arial" w:hAnsi="Arial" w:cs="Arial"/>
          <w:sz w:val="24"/>
          <w:szCs w:val="24"/>
        </w:rPr>
        <w:t>‘</w:t>
      </w:r>
      <w:r w:rsidRPr="007418B9">
        <w:rPr>
          <w:rFonts w:ascii="Arial" w:hAnsi="Arial" w:cs="Arial"/>
          <w:sz w:val="24"/>
          <w:szCs w:val="24"/>
        </w:rPr>
        <w:t>Process evaluation of a diversity training program: The value of a mixed method strategy</w:t>
      </w:r>
      <w:r w:rsidR="002A1181">
        <w:rPr>
          <w:rFonts w:ascii="Arial" w:hAnsi="Arial" w:cs="Arial"/>
          <w:sz w:val="24"/>
          <w:szCs w:val="24"/>
        </w:rPr>
        <w:t>’</w:t>
      </w:r>
      <w:r w:rsidRPr="007418B9">
        <w:rPr>
          <w:rFonts w:ascii="Arial" w:hAnsi="Arial" w:cs="Arial"/>
          <w:sz w:val="24"/>
          <w:szCs w:val="24"/>
        </w:rPr>
        <w:t>, Evaluation and Program Planning, 35(1), 54-65</w:t>
      </w:r>
    </w:p>
    <w:p w14:paraId="25451120" w14:textId="6B81D217" w:rsidR="007418B9" w:rsidRPr="007418B9" w:rsidRDefault="007418B9" w:rsidP="007418B9">
      <w:pPr>
        <w:ind w:left="360"/>
        <w:rPr>
          <w:rFonts w:ascii="Arial" w:hAnsi="Arial" w:cs="Arial"/>
          <w:sz w:val="24"/>
          <w:szCs w:val="24"/>
        </w:rPr>
      </w:pPr>
      <w:r w:rsidRPr="007418B9">
        <w:rPr>
          <w:rFonts w:ascii="Arial" w:hAnsi="Arial" w:cs="Arial"/>
          <w:sz w:val="24"/>
          <w:szCs w:val="24"/>
        </w:rPr>
        <w:t xml:space="preserve">Combs, G. M. and </w:t>
      </w:r>
      <w:proofErr w:type="spellStart"/>
      <w:r w:rsidRPr="007418B9">
        <w:rPr>
          <w:rFonts w:ascii="Arial" w:hAnsi="Arial" w:cs="Arial"/>
          <w:sz w:val="24"/>
          <w:szCs w:val="24"/>
        </w:rPr>
        <w:t>Luthans</w:t>
      </w:r>
      <w:proofErr w:type="spellEnd"/>
      <w:r w:rsidRPr="007418B9">
        <w:rPr>
          <w:rFonts w:ascii="Arial" w:hAnsi="Arial" w:cs="Arial"/>
          <w:sz w:val="24"/>
          <w:szCs w:val="24"/>
        </w:rPr>
        <w:t xml:space="preserve">, F. (2007) </w:t>
      </w:r>
      <w:r w:rsidR="002A1181">
        <w:rPr>
          <w:rFonts w:ascii="Arial" w:hAnsi="Arial" w:cs="Arial"/>
          <w:sz w:val="24"/>
          <w:szCs w:val="24"/>
        </w:rPr>
        <w:t>‘</w:t>
      </w:r>
      <w:r w:rsidRPr="007418B9">
        <w:rPr>
          <w:rFonts w:ascii="Arial" w:hAnsi="Arial" w:cs="Arial"/>
          <w:sz w:val="24"/>
          <w:szCs w:val="24"/>
        </w:rPr>
        <w:t xml:space="preserve">Diversity training: Analysis of the impact of </w:t>
      </w:r>
      <w:proofErr w:type="spellStart"/>
      <w:r w:rsidRPr="007418B9">
        <w:rPr>
          <w:rFonts w:ascii="Arial" w:hAnsi="Arial" w:cs="Arial"/>
          <w:sz w:val="24"/>
          <w:szCs w:val="24"/>
        </w:rPr>
        <w:t>selfefficacy</w:t>
      </w:r>
      <w:proofErr w:type="spellEnd"/>
      <w:r w:rsidR="002A1181">
        <w:rPr>
          <w:rFonts w:ascii="Arial" w:hAnsi="Arial" w:cs="Arial"/>
          <w:sz w:val="24"/>
          <w:szCs w:val="24"/>
        </w:rPr>
        <w:t>’</w:t>
      </w:r>
      <w:r w:rsidRPr="007418B9">
        <w:rPr>
          <w:rFonts w:ascii="Arial" w:hAnsi="Arial" w:cs="Arial"/>
          <w:sz w:val="24"/>
          <w:szCs w:val="24"/>
        </w:rPr>
        <w:t>, Human Resource Development Quarterly, 18(1), 91-120</w:t>
      </w:r>
    </w:p>
    <w:p w14:paraId="65AEBC5C" w14:textId="77777777" w:rsidR="007418B9" w:rsidRPr="007418B9" w:rsidRDefault="007418B9" w:rsidP="007418B9">
      <w:pPr>
        <w:ind w:left="360"/>
        <w:rPr>
          <w:rFonts w:ascii="Arial" w:hAnsi="Arial" w:cs="Arial"/>
          <w:sz w:val="24"/>
          <w:szCs w:val="24"/>
        </w:rPr>
      </w:pPr>
      <w:r w:rsidRPr="007418B9">
        <w:rPr>
          <w:rFonts w:ascii="Arial" w:hAnsi="Arial" w:cs="Arial"/>
          <w:sz w:val="24"/>
          <w:szCs w:val="24"/>
        </w:rPr>
        <w:t>CEA. 2006. The Contribution of the Insurance Sector to Economic Growth and Employment in the EU. Available online: http://docshare01.docshare.tips/ﬁles/18470/184702260.pdf</w:t>
      </w:r>
      <w:proofErr w:type="gramStart"/>
      <w:r w:rsidRPr="007418B9">
        <w:rPr>
          <w:rFonts w:ascii="Arial" w:hAnsi="Arial" w:cs="Arial"/>
          <w:sz w:val="24"/>
          <w:szCs w:val="24"/>
        </w:rPr>
        <w:t xml:space="preserve">   (</w:t>
      </w:r>
      <w:proofErr w:type="gramEnd"/>
      <w:r w:rsidRPr="007418B9">
        <w:rPr>
          <w:rFonts w:ascii="Arial" w:hAnsi="Arial" w:cs="Arial"/>
          <w:sz w:val="24"/>
          <w:szCs w:val="24"/>
        </w:rPr>
        <w:t>accessed on 10 November 2018).</w:t>
      </w:r>
    </w:p>
    <w:p w14:paraId="7B7CF70D" w14:textId="664015FD" w:rsidR="007418B9" w:rsidRPr="007418B9" w:rsidRDefault="007418B9" w:rsidP="007418B9">
      <w:pPr>
        <w:ind w:left="360"/>
        <w:rPr>
          <w:rFonts w:ascii="Arial" w:hAnsi="Arial" w:cs="Arial"/>
          <w:sz w:val="24"/>
          <w:szCs w:val="24"/>
        </w:rPr>
      </w:pPr>
      <w:proofErr w:type="spellStart"/>
      <w:r w:rsidRPr="007418B9">
        <w:rPr>
          <w:rFonts w:ascii="Arial" w:hAnsi="Arial" w:cs="Arial"/>
          <w:sz w:val="24"/>
          <w:szCs w:val="24"/>
        </w:rPr>
        <w:t>Denyer</w:t>
      </w:r>
      <w:proofErr w:type="spellEnd"/>
      <w:r w:rsidRPr="007418B9">
        <w:rPr>
          <w:rFonts w:ascii="Arial" w:hAnsi="Arial" w:cs="Arial"/>
          <w:sz w:val="24"/>
          <w:szCs w:val="24"/>
        </w:rPr>
        <w:t xml:space="preserve">, D. and </w:t>
      </w:r>
      <w:proofErr w:type="spellStart"/>
      <w:r w:rsidRPr="007418B9">
        <w:rPr>
          <w:rFonts w:ascii="Arial" w:hAnsi="Arial" w:cs="Arial"/>
          <w:sz w:val="24"/>
          <w:szCs w:val="24"/>
        </w:rPr>
        <w:t>Tranfield</w:t>
      </w:r>
      <w:proofErr w:type="spellEnd"/>
      <w:r w:rsidRPr="007418B9">
        <w:rPr>
          <w:rFonts w:ascii="Arial" w:hAnsi="Arial" w:cs="Arial"/>
          <w:sz w:val="24"/>
          <w:szCs w:val="24"/>
        </w:rPr>
        <w:t xml:space="preserve">, D. (2008) </w:t>
      </w:r>
      <w:r w:rsidR="002A1181">
        <w:rPr>
          <w:rFonts w:ascii="Arial" w:hAnsi="Arial" w:cs="Arial"/>
          <w:sz w:val="24"/>
          <w:szCs w:val="24"/>
        </w:rPr>
        <w:t>‘</w:t>
      </w:r>
      <w:r w:rsidRPr="007418B9">
        <w:rPr>
          <w:rFonts w:ascii="Arial" w:hAnsi="Arial" w:cs="Arial"/>
          <w:sz w:val="24"/>
          <w:szCs w:val="24"/>
        </w:rPr>
        <w:t>Producing a systematic review</w:t>
      </w:r>
      <w:r w:rsidR="002A1181">
        <w:rPr>
          <w:rFonts w:ascii="Arial" w:hAnsi="Arial" w:cs="Arial"/>
          <w:sz w:val="24"/>
          <w:szCs w:val="24"/>
        </w:rPr>
        <w:t>’</w:t>
      </w:r>
      <w:r w:rsidRPr="007418B9">
        <w:rPr>
          <w:rFonts w:ascii="Arial" w:hAnsi="Arial" w:cs="Arial"/>
          <w:sz w:val="24"/>
          <w:szCs w:val="24"/>
        </w:rPr>
        <w:t xml:space="preserve"> in Buchanan, D. A. and </w:t>
      </w:r>
      <w:proofErr w:type="spellStart"/>
      <w:r w:rsidRPr="007418B9">
        <w:rPr>
          <w:rFonts w:ascii="Arial" w:hAnsi="Arial" w:cs="Arial"/>
          <w:sz w:val="24"/>
          <w:szCs w:val="24"/>
        </w:rPr>
        <w:t>Bryman</w:t>
      </w:r>
      <w:proofErr w:type="spellEnd"/>
      <w:r w:rsidRPr="007418B9">
        <w:rPr>
          <w:rFonts w:ascii="Arial" w:hAnsi="Arial" w:cs="Arial"/>
          <w:sz w:val="24"/>
          <w:szCs w:val="24"/>
        </w:rPr>
        <w:t>, A., eds., The Sage handbook of organizational research methods, Thousand Oaks, CA: Sage Publications Ltd, 671-689</w:t>
      </w:r>
    </w:p>
    <w:p w14:paraId="041EA191" w14:textId="7B766F02" w:rsidR="007418B9" w:rsidRPr="007418B9" w:rsidRDefault="007418B9" w:rsidP="007418B9">
      <w:pPr>
        <w:ind w:left="360"/>
        <w:rPr>
          <w:rFonts w:ascii="Arial" w:hAnsi="Arial" w:cs="Arial"/>
          <w:sz w:val="24"/>
          <w:szCs w:val="24"/>
        </w:rPr>
      </w:pPr>
      <w:r w:rsidRPr="007418B9">
        <w:rPr>
          <w:rFonts w:ascii="Arial" w:hAnsi="Arial" w:cs="Arial"/>
          <w:sz w:val="24"/>
          <w:szCs w:val="24"/>
        </w:rPr>
        <w:t xml:space="preserve">Dobbin, F., Kim, S. and </w:t>
      </w:r>
      <w:proofErr w:type="spellStart"/>
      <w:r w:rsidRPr="007418B9">
        <w:rPr>
          <w:rFonts w:ascii="Arial" w:hAnsi="Arial" w:cs="Arial"/>
          <w:sz w:val="24"/>
          <w:szCs w:val="24"/>
        </w:rPr>
        <w:t>Kalev</w:t>
      </w:r>
      <w:proofErr w:type="spellEnd"/>
      <w:r w:rsidRPr="007418B9">
        <w:rPr>
          <w:rFonts w:ascii="Arial" w:hAnsi="Arial" w:cs="Arial"/>
          <w:sz w:val="24"/>
          <w:szCs w:val="24"/>
        </w:rPr>
        <w:t xml:space="preserve">, A. (2011) </w:t>
      </w:r>
      <w:r w:rsidR="002A1181">
        <w:rPr>
          <w:rFonts w:ascii="Arial" w:hAnsi="Arial" w:cs="Arial"/>
          <w:sz w:val="24"/>
          <w:szCs w:val="24"/>
        </w:rPr>
        <w:t>‘</w:t>
      </w:r>
      <w:r w:rsidRPr="007418B9">
        <w:rPr>
          <w:rFonts w:ascii="Arial" w:hAnsi="Arial" w:cs="Arial"/>
          <w:sz w:val="24"/>
          <w:szCs w:val="24"/>
        </w:rPr>
        <w:t>You can’t always get what you need organizational determinants of diversity programs</w:t>
      </w:r>
      <w:r w:rsidR="002A1181">
        <w:rPr>
          <w:rFonts w:ascii="Arial" w:hAnsi="Arial" w:cs="Arial"/>
          <w:sz w:val="24"/>
          <w:szCs w:val="24"/>
        </w:rPr>
        <w:t>’</w:t>
      </w:r>
      <w:r w:rsidRPr="007418B9">
        <w:rPr>
          <w:rFonts w:ascii="Arial" w:hAnsi="Arial" w:cs="Arial"/>
          <w:sz w:val="24"/>
          <w:szCs w:val="24"/>
        </w:rPr>
        <w:t xml:space="preserve">, American Sociological Review, 76(3), 386-411. </w:t>
      </w:r>
    </w:p>
    <w:p w14:paraId="2628E443" w14:textId="1654C0A2" w:rsidR="007418B9" w:rsidRPr="007418B9" w:rsidRDefault="002A1181" w:rsidP="007418B9">
      <w:pPr>
        <w:ind w:left="360"/>
        <w:rPr>
          <w:rFonts w:ascii="Arial" w:hAnsi="Arial" w:cs="Arial"/>
          <w:sz w:val="24"/>
          <w:szCs w:val="24"/>
        </w:rPr>
      </w:pPr>
      <w:r w:rsidRPr="007418B9">
        <w:rPr>
          <w:rFonts w:ascii="Arial" w:hAnsi="Arial" w:cs="Arial"/>
          <w:sz w:val="24"/>
          <w:szCs w:val="24"/>
        </w:rPr>
        <w:t>D</w:t>
      </w:r>
      <w:r w:rsidR="007418B9" w:rsidRPr="007418B9">
        <w:rPr>
          <w:rFonts w:ascii="Arial" w:hAnsi="Arial" w:cs="Arial"/>
          <w:sz w:val="24"/>
          <w:szCs w:val="24"/>
        </w:rPr>
        <w:t xml:space="preserve">e </w:t>
      </w:r>
      <w:proofErr w:type="spellStart"/>
      <w:r w:rsidR="007418B9" w:rsidRPr="007418B9">
        <w:rPr>
          <w:rFonts w:ascii="Arial" w:hAnsi="Arial" w:cs="Arial"/>
          <w:sz w:val="24"/>
          <w:szCs w:val="24"/>
        </w:rPr>
        <w:t>Menezes</w:t>
      </w:r>
      <w:proofErr w:type="spellEnd"/>
      <w:r w:rsidR="007418B9" w:rsidRPr="007418B9">
        <w:rPr>
          <w:rFonts w:ascii="Arial" w:hAnsi="Arial" w:cs="Arial"/>
          <w:sz w:val="24"/>
          <w:szCs w:val="24"/>
        </w:rPr>
        <w:t xml:space="preserve">, L. M. and </w:t>
      </w:r>
      <w:proofErr w:type="spellStart"/>
      <w:r w:rsidR="007418B9" w:rsidRPr="007418B9">
        <w:rPr>
          <w:rFonts w:ascii="Arial" w:hAnsi="Arial" w:cs="Arial"/>
          <w:sz w:val="24"/>
          <w:szCs w:val="24"/>
        </w:rPr>
        <w:t>Kelliher</w:t>
      </w:r>
      <w:proofErr w:type="spellEnd"/>
      <w:r w:rsidR="007418B9" w:rsidRPr="007418B9">
        <w:rPr>
          <w:rFonts w:ascii="Arial" w:hAnsi="Arial" w:cs="Arial"/>
          <w:sz w:val="24"/>
          <w:szCs w:val="24"/>
        </w:rPr>
        <w:t>, C. (2011), “Flexible Working and Performance: A Systematic Review of the Evidence for a Business Case”, International Journal of Management Reviews, Vol. 13, Issue 4; pp 452–474</w:t>
      </w:r>
    </w:p>
    <w:p w14:paraId="09C994BE" w14:textId="193A1B93" w:rsidR="007418B9" w:rsidRPr="007418B9" w:rsidRDefault="007418B9" w:rsidP="007418B9">
      <w:pPr>
        <w:ind w:left="360"/>
        <w:rPr>
          <w:rFonts w:ascii="Arial" w:hAnsi="Arial" w:cs="Arial"/>
          <w:sz w:val="24"/>
          <w:szCs w:val="24"/>
        </w:rPr>
      </w:pPr>
      <w:proofErr w:type="spellStart"/>
      <w:r w:rsidRPr="007418B9">
        <w:rPr>
          <w:rFonts w:ascii="Arial" w:hAnsi="Arial" w:cs="Arial"/>
          <w:sz w:val="24"/>
          <w:szCs w:val="24"/>
        </w:rPr>
        <w:t>Doorenbos</w:t>
      </w:r>
      <w:proofErr w:type="spellEnd"/>
      <w:r w:rsidRPr="007418B9">
        <w:rPr>
          <w:rFonts w:ascii="Arial" w:hAnsi="Arial" w:cs="Arial"/>
          <w:sz w:val="24"/>
          <w:szCs w:val="24"/>
        </w:rPr>
        <w:t xml:space="preserve">, A. Z., </w:t>
      </w:r>
      <w:proofErr w:type="spellStart"/>
      <w:r w:rsidRPr="007418B9">
        <w:rPr>
          <w:rFonts w:ascii="Arial" w:hAnsi="Arial" w:cs="Arial"/>
          <w:sz w:val="24"/>
          <w:szCs w:val="24"/>
        </w:rPr>
        <w:t>Lindhorst</w:t>
      </w:r>
      <w:proofErr w:type="spellEnd"/>
      <w:r w:rsidRPr="007418B9">
        <w:rPr>
          <w:rFonts w:ascii="Arial" w:hAnsi="Arial" w:cs="Arial"/>
          <w:sz w:val="24"/>
          <w:szCs w:val="24"/>
        </w:rPr>
        <w:t xml:space="preserve">, T., </w:t>
      </w:r>
      <w:proofErr w:type="spellStart"/>
      <w:r w:rsidRPr="007418B9">
        <w:rPr>
          <w:rFonts w:ascii="Arial" w:hAnsi="Arial" w:cs="Arial"/>
          <w:sz w:val="24"/>
          <w:szCs w:val="24"/>
        </w:rPr>
        <w:t>Schim</w:t>
      </w:r>
      <w:proofErr w:type="spellEnd"/>
      <w:r w:rsidRPr="007418B9">
        <w:rPr>
          <w:rFonts w:ascii="Arial" w:hAnsi="Arial" w:cs="Arial"/>
          <w:sz w:val="24"/>
          <w:szCs w:val="24"/>
        </w:rPr>
        <w:t xml:space="preserve">, S. M., Van </w:t>
      </w:r>
      <w:proofErr w:type="spellStart"/>
      <w:r w:rsidRPr="007418B9">
        <w:rPr>
          <w:rFonts w:ascii="Arial" w:hAnsi="Arial" w:cs="Arial"/>
          <w:sz w:val="24"/>
          <w:szCs w:val="24"/>
        </w:rPr>
        <w:t>Schaik</w:t>
      </w:r>
      <w:proofErr w:type="spellEnd"/>
      <w:r w:rsidRPr="007418B9">
        <w:rPr>
          <w:rFonts w:ascii="Arial" w:hAnsi="Arial" w:cs="Arial"/>
          <w:sz w:val="24"/>
          <w:szCs w:val="24"/>
        </w:rPr>
        <w:t xml:space="preserve">, E., </w:t>
      </w:r>
      <w:proofErr w:type="spellStart"/>
      <w:r w:rsidRPr="007418B9">
        <w:rPr>
          <w:rFonts w:ascii="Arial" w:hAnsi="Arial" w:cs="Arial"/>
          <w:sz w:val="24"/>
          <w:szCs w:val="24"/>
        </w:rPr>
        <w:t>Demiris</w:t>
      </w:r>
      <w:proofErr w:type="spellEnd"/>
      <w:r w:rsidRPr="007418B9">
        <w:rPr>
          <w:rFonts w:ascii="Arial" w:hAnsi="Arial" w:cs="Arial"/>
          <w:sz w:val="24"/>
          <w:szCs w:val="24"/>
        </w:rPr>
        <w:t xml:space="preserve">, G., </w:t>
      </w:r>
      <w:proofErr w:type="spellStart"/>
      <w:r w:rsidRPr="007418B9">
        <w:rPr>
          <w:rFonts w:ascii="Arial" w:hAnsi="Arial" w:cs="Arial"/>
          <w:sz w:val="24"/>
          <w:szCs w:val="24"/>
        </w:rPr>
        <w:t>Wechkin</w:t>
      </w:r>
      <w:proofErr w:type="spellEnd"/>
      <w:r w:rsidRPr="007418B9">
        <w:rPr>
          <w:rFonts w:ascii="Arial" w:hAnsi="Arial" w:cs="Arial"/>
          <w:sz w:val="24"/>
          <w:szCs w:val="24"/>
        </w:rPr>
        <w:t xml:space="preserve">, H. A. and Curtis, J. R. (2010) </w:t>
      </w:r>
      <w:r w:rsidR="002A1181">
        <w:rPr>
          <w:rFonts w:ascii="Arial" w:hAnsi="Arial" w:cs="Arial"/>
          <w:sz w:val="24"/>
          <w:szCs w:val="24"/>
        </w:rPr>
        <w:t>‘</w:t>
      </w:r>
      <w:r w:rsidRPr="007418B9">
        <w:rPr>
          <w:rFonts w:ascii="Arial" w:hAnsi="Arial" w:cs="Arial"/>
          <w:sz w:val="24"/>
          <w:szCs w:val="24"/>
        </w:rPr>
        <w:t>Development of a web-based educational intervention to Improve cross-cultural communication among hospice providers</w:t>
      </w:r>
      <w:r w:rsidR="002A1181">
        <w:rPr>
          <w:rFonts w:ascii="Arial" w:hAnsi="Arial" w:cs="Arial"/>
          <w:sz w:val="24"/>
          <w:szCs w:val="24"/>
        </w:rPr>
        <w:t>’</w:t>
      </w:r>
      <w:r w:rsidRPr="007418B9">
        <w:rPr>
          <w:rFonts w:ascii="Arial" w:hAnsi="Arial" w:cs="Arial"/>
          <w:sz w:val="24"/>
          <w:szCs w:val="24"/>
        </w:rPr>
        <w:t>, Journal of Social Work in End-Of-Life &amp; Palliative Care, 6(3-4), 236-255.</w:t>
      </w:r>
    </w:p>
    <w:p w14:paraId="155BEB8F" w14:textId="3AAC925F" w:rsidR="007418B9" w:rsidRPr="007418B9" w:rsidRDefault="007418B9" w:rsidP="007418B9">
      <w:pPr>
        <w:ind w:left="360"/>
        <w:rPr>
          <w:rFonts w:ascii="Arial" w:hAnsi="Arial" w:cs="Arial"/>
          <w:sz w:val="24"/>
          <w:szCs w:val="24"/>
        </w:rPr>
      </w:pPr>
      <w:proofErr w:type="spellStart"/>
      <w:r w:rsidRPr="007418B9">
        <w:rPr>
          <w:rFonts w:ascii="Arial" w:hAnsi="Arial" w:cs="Arial"/>
          <w:sz w:val="24"/>
          <w:szCs w:val="24"/>
        </w:rPr>
        <w:t>Ernst&amp;Young</w:t>
      </w:r>
      <w:proofErr w:type="spellEnd"/>
      <w:r w:rsidRPr="007418B9">
        <w:rPr>
          <w:rFonts w:ascii="Arial" w:hAnsi="Arial" w:cs="Arial"/>
          <w:sz w:val="24"/>
          <w:szCs w:val="24"/>
        </w:rPr>
        <w:t>. 2010. Solvency</w:t>
      </w:r>
      <w:r w:rsidR="00C31E86">
        <w:rPr>
          <w:rFonts w:ascii="Arial" w:hAnsi="Arial" w:cs="Arial"/>
          <w:sz w:val="24"/>
          <w:szCs w:val="24"/>
        </w:rPr>
        <w:t xml:space="preserve"> </w:t>
      </w:r>
      <w:r w:rsidR="00C31E86" w:rsidRPr="007418B9">
        <w:rPr>
          <w:rFonts w:ascii="Arial" w:hAnsi="Arial" w:cs="Arial"/>
          <w:sz w:val="24"/>
          <w:szCs w:val="24"/>
        </w:rPr>
        <w:t>II</w:t>
      </w:r>
      <w:r w:rsidR="00C31E86">
        <w:rPr>
          <w:rFonts w:ascii="Arial" w:hAnsi="Arial" w:cs="Arial"/>
          <w:sz w:val="24"/>
          <w:szCs w:val="24"/>
        </w:rPr>
        <w:t xml:space="preserve"> Internal </w:t>
      </w:r>
      <w:r w:rsidRPr="007418B9">
        <w:rPr>
          <w:rFonts w:ascii="Arial" w:hAnsi="Arial" w:cs="Arial"/>
          <w:sz w:val="24"/>
          <w:szCs w:val="24"/>
        </w:rPr>
        <w:t>Models. Available</w:t>
      </w:r>
      <w:r w:rsidR="00C31E86">
        <w:rPr>
          <w:rFonts w:ascii="Arial" w:hAnsi="Arial" w:cs="Arial"/>
          <w:sz w:val="24"/>
          <w:szCs w:val="24"/>
        </w:rPr>
        <w:t xml:space="preserve"> </w:t>
      </w:r>
      <w:r w:rsidRPr="007418B9">
        <w:rPr>
          <w:rFonts w:ascii="Arial" w:hAnsi="Arial" w:cs="Arial"/>
          <w:sz w:val="24"/>
          <w:szCs w:val="24"/>
        </w:rPr>
        <w:t xml:space="preserve">online: http://www.ey.com/Publication/vwLUAssets/ </w:t>
      </w:r>
      <w:proofErr w:type="spellStart"/>
      <w:r w:rsidRPr="007418B9">
        <w:rPr>
          <w:rFonts w:ascii="Arial" w:hAnsi="Arial" w:cs="Arial"/>
          <w:sz w:val="24"/>
          <w:szCs w:val="24"/>
        </w:rPr>
        <w:t>Solvency_internal_models</w:t>
      </w:r>
      <w:proofErr w:type="spellEnd"/>
      <w:r w:rsidRPr="007418B9">
        <w:rPr>
          <w:rFonts w:ascii="Arial" w:hAnsi="Arial" w:cs="Arial"/>
          <w:sz w:val="24"/>
          <w:szCs w:val="24"/>
        </w:rPr>
        <w:t>/$FILE/Solvency%20internal%20models.pdf(accessedon20December2015).</w:t>
      </w:r>
    </w:p>
    <w:p w14:paraId="7CEB9496" w14:textId="7AE12D08" w:rsidR="007418B9" w:rsidRPr="007843B5" w:rsidRDefault="007418B9" w:rsidP="007843B5">
      <w:pPr>
        <w:ind w:left="360"/>
        <w:rPr>
          <w:rFonts w:ascii="Arial" w:hAnsi="Arial" w:cs="Arial"/>
          <w:sz w:val="24"/>
          <w:szCs w:val="24"/>
        </w:rPr>
      </w:pPr>
      <w:proofErr w:type="spellStart"/>
      <w:r w:rsidRPr="007418B9">
        <w:rPr>
          <w:rFonts w:ascii="Arial" w:hAnsi="Arial" w:cs="Arial"/>
          <w:sz w:val="24"/>
          <w:szCs w:val="24"/>
        </w:rPr>
        <w:lastRenderedPageBreak/>
        <w:t>Groeneveld</w:t>
      </w:r>
      <w:proofErr w:type="spellEnd"/>
      <w:r w:rsidRPr="007418B9">
        <w:rPr>
          <w:rFonts w:ascii="Arial" w:hAnsi="Arial" w:cs="Arial"/>
          <w:sz w:val="24"/>
          <w:szCs w:val="24"/>
        </w:rPr>
        <w:t xml:space="preserve">, S. and </w:t>
      </w:r>
      <w:proofErr w:type="spellStart"/>
      <w:r w:rsidRPr="007418B9">
        <w:rPr>
          <w:rFonts w:ascii="Arial" w:hAnsi="Arial" w:cs="Arial"/>
          <w:sz w:val="24"/>
          <w:szCs w:val="24"/>
        </w:rPr>
        <w:t>Verbeek</w:t>
      </w:r>
      <w:proofErr w:type="spellEnd"/>
      <w:r w:rsidRPr="007418B9">
        <w:rPr>
          <w:rFonts w:ascii="Arial" w:hAnsi="Arial" w:cs="Arial"/>
          <w:sz w:val="24"/>
          <w:szCs w:val="24"/>
        </w:rPr>
        <w:t xml:space="preserve">, S. (2012) </w:t>
      </w:r>
      <w:r w:rsidR="002A1181">
        <w:rPr>
          <w:rFonts w:ascii="Arial" w:hAnsi="Arial" w:cs="Arial"/>
          <w:sz w:val="24"/>
          <w:szCs w:val="24"/>
        </w:rPr>
        <w:t>‘</w:t>
      </w:r>
      <w:r w:rsidRPr="007418B9">
        <w:rPr>
          <w:rFonts w:ascii="Arial" w:hAnsi="Arial" w:cs="Arial"/>
          <w:sz w:val="24"/>
          <w:szCs w:val="24"/>
        </w:rPr>
        <w:t>Diversity policies in public and private sector organizations: An empirical comparison of incidence and effectiveness</w:t>
      </w:r>
      <w:r w:rsidR="002A1181">
        <w:rPr>
          <w:rFonts w:ascii="Arial" w:hAnsi="Arial" w:cs="Arial"/>
          <w:sz w:val="24"/>
          <w:szCs w:val="24"/>
        </w:rPr>
        <w:t>’</w:t>
      </w:r>
      <w:r w:rsidRPr="007418B9">
        <w:rPr>
          <w:rFonts w:ascii="Arial" w:hAnsi="Arial" w:cs="Arial"/>
          <w:sz w:val="24"/>
          <w:szCs w:val="24"/>
        </w:rPr>
        <w:t>, Review of Public Personnel Administration, 32(4), 353-381</w:t>
      </w:r>
    </w:p>
    <w:p w14:paraId="74B040B8" w14:textId="77777777" w:rsidR="007418B9" w:rsidRPr="007418B9" w:rsidRDefault="007418B9" w:rsidP="007418B9">
      <w:pPr>
        <w:ind w:left="360"/>
        <w:rPr>
          <w:rFonts w:ascii="Arial" w:hAnsi="Arial" w:cs="Arial"/>
          <w:sz w:val="24"/>
          <w:szCs w:val="24"/>
        </w:rPr>
      </w:pPr>
      <w:r w:rsidRPr="007418B9">
        <w:rPr>
          <w:rFonts w:ascii="Arial" w:hAnsi="Arial" w:cs="Arial"/>
          <w:sz w:val="24"/>
          <w:szCs w:val="24"/>
        </w:rPr>
        <w:t>Hubbard. E. (2014), The Diversity Scorecard, Elsevier-Butterworth-</w:t>
      </w:r>
      <w:proofErr w:type="spellStart"/>
      <w:r w:rsidRPr="007418B9">
        <w:rPr>
          <w:rFonts w:ascii="Arial" w:hAnsi="Arial" w:cs="Arial"/>
          <w:sz w:val="24"/>
          <w:szCs w:val="24"/>
        </w:rPr>
        <w:t>Heinermann</w:t>
      </w:r>
      <w:proofErr w:type="spellEnd"/>
    </w:p>
    <w:p w14:paraId="28AFB7EC" w14:textId="7FCF3201" w:rsidR="007418B9" w:rsidRPr="007418B9" w:rsidRDefault="007418B9" w:rsidP="007418B9">
      <w:pPr>
        <w:ind w:left="360"/>
        <w:rPr>
          <w:rFonts w:ascii="Arial" w:hAnsi="Arial" w:cs="Arial"/>
          <w:sz w:val="24"/>
          <w:szCs w:val="24"/>
        </w:rPr>
      </w:pPr>
      <w:r w:rsidRPr="007418B9">
        <w:rPr>
          <w:rFonts w:ascii="Arial" w:hAnsi="Arial" w:cs="Arial"/>
          <w:sz w:val="24"/>
          <w:szCs w:val="24"/>
        </w:rPr>
        <w:t xml:space="preserve">King, E. B., Dawson, J. F., </w:t>
      </w:r>
      <w:proofErr w:type="spellStart"/>
      <w:r w:rsidRPr="007418B9">
        <w:rPr>
          <w:rFonts w:ascii="Arial" w:hAnsi="Arial" w:cs="Arial"/>
          <w:sz w:val="24"/>
          <w:szCs w:val="24"/>
        </w:rPr>
        <w:t>Kravitz</w:t>
      </w:r>
      <w:proofErr w:type="spellEnd"/>
      <w:r w:rsidRPr="007418B9">
        <w:rPr>
          <w:rFonts w:ascii="Arial" w:hAnsi="Arial" w:cs="Arial"/>
          <w:sz w:val="24"/>
          <w:szCs w:val="24"/>
        </w:rPr>
        <w:t xml:space="preserve">, D. A. and </w:t>
      </w:r>
      <w:proofErr w:type="spellStart"/>
      <w:r w:rsidRPr="007418B9">
        <w:rPr>
          <w:rFonts w:ascii="Arial" w:hAnsi="Arial" w:cs="Arial"/>
          <w:sz w:val="24"/>
          <w:szCs w:val="24"/>
        </w:rPr>
        <w:t>Gulick</w:t>
      </w:r>
      <w:proofErr w:type="spellEnd"/>
      <w:r w:rsidRPr="007418B9">
        <w:rPr>
          <w:rFonts w:ascii="Arial" w:hAnsi="Arial" w:cs="Arial"/>
          <w:sz w:val="24"/>
          <w:szCs w:val="24"/>
        </w:rPr>
        <w:t xml:space="preserve">, L. M. V. (2012) </w:t>
      </w:r>
      <w:r w:rsidR="002A1181">
        <w:rPr>
          <w:rFonts w:ascii="Arial" w:hAnsi="Arial" w:cs="Arial"/>
          <w:sz w:val="24"/>
          <w:szCs w:val="24"/>
        </w:rPr>
        <w:t>‘</w:t>
      </w:r>
      <w:r w:rsidRPr="007418B9">
        <w:rPr>
          <w:rFonts w:ascii="Arial" w:hAnsi="Arial" w:cs="Arial"/>
          <w:sz w:val="24"/>
          <w:szCs w:val="24"/>
        </w:rPr>
        <w:t>A multilevel study of the relationships between diversity training, ethnic discrimination and satisfaction in organizations</w:t>
      </w:r>
      <w:r w:rsidR="002A1181">
        <w:rPr>
          <w:rFonts w:ascii="Arial" w:hAnsi="Arial" w:cs="Arial"/>
          <w:sz w:val="24"/>
          <w:szCs w:val="24"/>
        </w:rPr>
        <w:t>’</w:t>
      </w:r>
      <w:r w:rsidRPr="007418B9">
        <w:rPr>
          <w:rFonts w:ascii="Arial" w:hAnsi="Arial" w:cs="Arial"/>
          <w:sz w:val="24"/>
          <w:szCs w:val="24"/>
        </w:rPr>
        <w:t xml:space="preserve">, Journal of Organizational </w:t>
      </w:r>
      <w:proofErr w:type="spellStart"/>
      <w:r w:rsidRPr="007418B9">
        <w:rPr>
          <w:rFonts w:ascii="Arial" w:hAnsi="Arial" w:cs="Arial"/>
          <w:sz w:val="24"/>
          <w:szCs w:val="24"/>
        </w:rPr>
        <w:t>Behavior</w:t>
      </w:r>
      <w:proofErr w:type="spellEnd"/>
      <w:r w:rsidRPr="007418B9">
        <w:rPr>
          <w:rFonts w:ascii="Arial" w:hAnsi="Arial" w:cs="Arial"/>
          <w:sz w:val="24"/>
          <w:szCs w:val="24"/>
        </w:rPr>
        <w:t>, 33(1), 5-20.</w:t>
      </w:r>
    </w:p>
    <w:p w14:paraId="591640BF" w14:textId="3B05C70B" w:rsidR="007418B9" w:rsidRPr="007418B9" w:rsidRDefault="007418B9" w:rsidP="007418B9">
      <w:pPr>
        <w:ind w:left="360"/>
        <w:rPr>
          <w:rFonts w:ascii="Arial" w:hAnsi="Arial" w:cs="Arial"/>
          <w:sz w:val="24"/>
          <w:szCs w:val="24"/>
        </w:rPr>
      </w:pPr>
      <w:proofErr w:type="spellStart"/>
      <w:r w:rsidRPr="007418B9">
        <w:rPr>
          <w:rFonts w:ascii="Arial" w:hAnsi="Arial" w:cs="Arial"/>
          <w:sz w:val="24"/>
          <w:szCs w:val="24"/>
        </w:rPr>
        <w:t>Malvin</w:t>
      </w:r>
      <w:proofErr w:type="spellEnd"/>
      <w:r w:rsidRPr="007418B9">
        <w:rPr>
          <w:rFonts w:ascii="Arial" w:hAnsi="Arial" w:cs="Arial"/>
          <w:sz w:val="24"/>
          <w:szCs w:val="24"/>
        </w:rPr>
        <w:t xml:space="preserve">, S. and </w:t>
      </w:r>
      <w:proofErr w:type="spellStart"/>
      <w:r w:rsidRPr="007418B9">
        <w:rPr>
          <w:rFonts w:ascii="Arial" w:hAnsi="Arial" w:cs="Arial"/>
          <w:sz w:val="24"/>
          <w:szCs w:val="24"/>
        </w:rPr>
        <w:t>Girling</w:t>
      </w:r>
      <w:proofErr w:type="spellEnd"/>
      <w:r w:rsidRPr="007418B9">
        <w:rPr>
          <w:rFonts w:ascii="Arial" w:hAnsi="Arial" w:cs="Arial"/>
          <w:sz w:val="24"/>
          <w:szCs w:val="24"/>
        </w:rPr>
        <w:t>, G. (2000), “What is managing diversity and why does it matter?”, Human Resource Development International, Vol. 3, No. 4; pp 419-433</w:t>
      </w:r>
    </w:p>
    <w:p w14:paraId="45BEBB53" w14:textId="77777777" w:rsidR="007418B9" w:rsidRPr="007418B9" w:rsidRDefault="007418B9" w:rsidP="007418B9">
      <w:pPr>
        <w:ind w:left="360"/>
        <w:rPr>
          <w:rFonts w:ascii="Arial" w:hAnsi="Arial" w:cs="Arial"/>
          <w:sz w:val="24"/>
          <w:szCs w:val="24"/>
        </w:rPr>
      </w:pPr>
      <w:proofErr w:type="spellStart"/>
      <w:r w:rsidRPr="007418B9">
        <w:rPr>
          <w:rFonts w:ascii="Arial" w:hAnsi="Arial" w:cs="Arial"/>
          <w:sz w:val="24"/>
          <w:szCs w:val="24"/>
        </w:rPr>
        <w:t>Ozbilgin</w:t>
      </w:r>
      <w:proofErr w:type="spellEnd"/>
      <w:r w:rsidRPr="007418B9">
        <w:rPr>
          <w:rFonts w:ascii="Arial" w:hAnsi="Arial" w:cs="Arial"/>
          <w:sz w:val="24"/>
          <w:szCs w:val="24"/>
        </w:rPr>
        <w:t xml:space="preserve">, M. F. and </w:t>
      </w:r>
      <w:proofErr w:type="spellStart"/>
      <w:r w:rsidRPr="007418B9">
        <w:rPr>
          <w:rFonts w:ascii="Arial" w:hAnsi="Arial" w:cs="Arial"/>
          <w:sz w:val="24"/>
          <w:szCs w:val="24"/>
        </w:rPr>
        <w:t>Tatli</w:t>
      </w:r>
      <w:proofErr w:type="spellEnd"/>
      <w:r w:rsidRPr="007418B9">
        <w:rPr>
          <w:rFonts w:ascii="Arial" w:hAnsi="Arial" w:cs="Arial"/>
          <w:sz w:val="24"/>
          <w:szCs w:val="24"/>
        </w:rPr>
        <w:t>, A. (2011), “Mapping out the field of equality and diversity: rise of individualism and voluntarism”, Human Relations, Vol. 64, No. 9; pp 12291253</w:t>
      </w:r>
    </w:p>
    <w:p w14:paraId="4125341F" w14:textId="4DA74981" w:rsidR="007418B9" w:rsidRPr="007418B9" w:rsidRDefault="007418B9" w:rsidP="007418B9">
      <w:pPr>
        <w:ind w:left="360"/>
        <w:rPr>
          <w:rFonts w:ascii="Arial" w:hAnsi="Arial" w:cs="Arial"/>
          <w:sz w:val="24"/>
          <w:szCs w:val="24"/>
        </w:rPr>
      </w:pPr>
      <w:r w:rsidRPr="007418B9">
        <w:rPr>
          <w:rFonts w:ascii="Arial" w:hAnsi="Arial" w:cs="Arial"/>
          <w:sz w:val="24"/>
          <w:szCs w:val="24"/>
        </w:rPr>
        <w:t xml:space="preserve">OECD. 2011. Key Policy Conclusions from the Crisis. In </w:t>
      </w:r>
      <w:r w:rsidR="00C31E86" w:rsidRPr="007418B9">
        <w:rPr>
          <w:rFonts w:ascii="Arial" w:hAnsi="Arial" w:cs="Arial"/>
          <w:sz w:val="24"/>
          <w:szCs w:val="24"/>
        </w:rPr>
        <w:t>the</w:t>
      </w:r>
      <w:r w:rsidR="00C31E86">
        <w:rPr>
          <w:rFonts w:ascii="Arial" w:hAnsi="Arial" w:cs="Arial"/>
          <w:sz w:val="24"/>
          <w:szCs w:val="24"/>
        </w:rPr>
        <w:t xml:space="preserve"> </w:t>
      </w:r>
      <w:r w:rsidRPr="007418B9">
        <w:rPr>
          <w:rFonts w:ascii="Arial" w:hAnsi="Arial" w:cs="Arial"/>
          <w:sz w:val="24"/>
          <w:szCs w:val="24"/>
        </w:rPr>
        <w:t>Impact</w:t>
      </w:r>
      <w:r w:rsidR="00C31E86">
        <w:rPr>
          <w:rFonts w:ascii="Arial" w:hAnsi="Arial" w:cs="Arial"/>
          <w:sz w:val="24"/>
          <w:szCs w:val="24"/>
        </w:rPr>
        <w:t xml:space="preserve"> </w:t>
      </w:r>
      <w:r w:rsidRPr="007418B9">
        <w:rPr>
          <w:rFonts w:ascii="Arial" w:hAnsi="Arial" w:cs="Arial"/>
          <w:sz w:val="24"/>
          <w:szCs w:val="24"/>
        </w:rPr>
        <w:t>of</w:t>
      </w:r>
      <w:r w:rsidR="00C31E86">
        <w:rPr>
          <w:rFonts w:ascii="Arial" w:hAnsi="Arial" w:cs="Arial"/>
          <w:sz w:val="24"/>
          <w:szCs w:val="24"/>
        </w:rPr>
        <w:t xml:space="preserve"> </w:t>
      </w:r>
      <w:r w:rsidRPr="007418B9">
        <w:rPr>
          <w:rFonts w:ascii="Arial" w:hAnsi="Arial" w:cs="Arial"/>
          <w:sz w:val="24"/>
          <w:szCs w:val="24"/>
        </w:rPr>
        <w:t>the</w:t>
      </w:r>
      <w:r w:rsidR="00C31E86">
        <w:rPr>
          <w:rFonts w:ascii="Arial" w:hAnsi="Arial" w:cs="Arial"/>
          <w:sz w:val="24"/>
          <w:szCs w:val="24"/>
        </w:rPr>
        <w:t xml:space="preserve"> </w:t>
      </w:r>
      <w:r w:rsidRPr="007418B9">
        <w:rPr>
          <w:rFonts w:ascii="Arial" w:hAnsi="Arial" w:cs="Arial"/>
          <w:sz w:val="24"/>
          <w:szCs w:val="24"/>
        </w:rPr>
        <w:t>Financial</w:t>
      </w:r>
      <w:r w:rsidR="00C31E86">
        <w:rPr>
          <w:rFonts w:ascii="Arial" w:hAnsi="Arial" w:cs="Arial"/>
          <w:sz w:val="24"/>
          <w:szCs w:val="24"/>
        </w:rPr>
        <w:t xml:space="preserve"> </w:t>
      </w:r>
      <w:r w:rsidRPr="007418B9">
        <w:rPr>
          <w:rFonts w:ascii="Arial" w:hAnsi="Arial" w:cs="Arial"/>
          <w:sz w:val="24"/>
          <w:szCs w:val="24"/>
        </w:rPr>
        <w:t>Crisis</w:t>
      </w:r>
      <w:r w:rsidR="00C31E86">
        <w:rPr>
          <w:rFonts w:ascii="Arial" w:hAnsi="Arial" w:cs="Arial"/>
          <w:sz w:val="24"/>
          <w:szCs w:val="24"/>
        </w:rPr>
        <w:t xml:space="preserve"> </w:t>
      </w:r>
      <w:r w:rsidRPr="007418B9">
        <w:rPr>
          <w:rFonts w:ascii="Arial" w:hAnsi="Arial" w:cs="Arial"/>
          <w:sz w:val="24"/>
          <w:szCs w:val="24"/>
        </w:rPr>
        <w:t>on</w:t>
      </w:r>
      <w:r w:rsidR="00C31E86">
        <w:rPr>
          <w:rFonts w:ascii="Arial" w:hAnsi="Arial" w:cs="Arial"/>
          <w:sz w:val="24"/>
          <w:szCs w:val="24"/>
        </w:rPr>
        <w:t xml:space="preserve"> </w:t>
      </w:r>
      <w:r w:rsidRPr="007418B9">
        <w:rPr>
          <w:rFonts w:ascii="Arial" w:hAnsi="Arial" w:cs="Arial"/>
          <w:sz w:val="24"/>
          <w:szCs w:val="24"/>
        </w:rPr>
        <w:t>the</w:t>
      </w:r>
      <w:r w:rsidR="00C31E86">
        <w:rPr>
          <w:rFonts w:ascii="Arial" w:hAnsi="Arial" w:cs="Arial"/>
          <w:sz w:val="24"/>
          <w:szCs w:val="24"/>
        </w:rPr>
        <w:t xml:space="preserve"> </w:t>
      </w:r>
      <w:r w:rsidRPr="007418B9">
        <w:rPr>
          <w:rFonts w:ascii="Arial" w:hAnsi="Arial" w:cs="Arial"/>
          <w:sz w:val="24"/>
          <w:szCs w:val="24"/>
        </w:rPr>
        <w:t>Insurance</w:t>
      </w:r>
      <w:r w:rsidR="00C31E86">
        <w:rPr>
          <w:rFonts w:ascii="Arial" w:hAnsi="Arial" w:cs="Arial"/>
          <w:sz w:val="24"/>
          <w:szCs w:val="24"/>
        </w:rPr>
        <w:t xml:space="preserve"> </w:t>
      </w:r>
      <w:r w:rsidRPr="007418B9">
        <w:rPr>
          <w:rFonts w:ascii="Arial" w:hAnsi="Arial" w:cs="Arial"/>
          <w:sz w:val="24"/>
          <w:szCs w:val="24"/>
        </w:rPr>
        <w:t>Sector</w:t>
      </w:r>
      <w:r w:rsidR="00C31E86">
        <w:rPr>
          <w:rFonts w:ascii="Arial" w:hAnsi="Arial" w:cs="Arial"/>
          <w:sz w:val="24"/>
          <w:szCs w:val="24"/>
        </w:rPr>
        <w:t xml:space="preserve"> </w:t>
      </w:r>
      <w:r w:rsidRPr="007418B9">
        <w:rPr>
          <w:rFonts w:ascii="Arial" w:hAnsi="Arial" w:cs="Arial"/>
          <w:sz w:val="24"/>
          <w:szCs w:val="24"/>
        </w:rPr>
        <w:t>and Policy Responses. Paris: OECD, pp. 55–7</w:t>
      </w:r>
    </w:p>
    <w:p w14:paraId="4B4D625A" w14:textId="047B2A5C" w:rsidR="007418B9" w:rsidRPr="007418B9" w:rsidRDefault="007418B9" w:rsidP="007418B9">
      <w:pPr>
        <w:ind w:left="360"/>
        <w:rPr>
          <w:rFonts w:ascii="Arial" w:hAnsi="Arial" w:cs="Arial"/>
          <w:sz w:val="24"/>
          <w:szCs w:val="24"/>
        </w:rPr>
      </w:pPr>
      <w:r w:rsidRPr="007418B9">
        <w:rPr>
          <w:rFonts w:ascii="Arial" w:hAnsi="Arial" w:cs="Arial"/>
          <w:sz w:val="24"/>
          <w:szCs w:val="24"/>
        </w:rPr>
        <w:t xml:space="preserve">Shen, J., </w:t>
      </w:r>
      <w:proofErr w:type="spellStart"/>
      <w:r w:rsidRPr="007418B9">
        <w:rPr>
          <w:rFonts w:ascii="Arial" w:hAnsi="Arial" w:cs="Arial"/>
          <w:sz w:val="24"/>
          <w:szCs w:val="24"/>
        </w:rPr>
        <w:t>Chanda</w:t>
      </w:r>
      <w:proofErr w:type="spellEnd"/>
      <w:r w:rsidRPr="007418B9">
        <w:rPr>
          <w:rFonts w:ascii="Arial" w:hAnsi="Arial" w:cs="Arial"/>
          <w:sz w:val="24"/>
          <w:szCs w:val="24"/>
        </w:rPr>
        <w:t xml:space="preserve">, A., </w:t>
      </w:r>
      <w:proofErr w:type="spellStart"/>
      <w:r w:rsidRPr="007418B9">
        <w:rPr>
          <w:rFonts w:ascii="Arial" w:hAnsi="Arial" w:cs="Arial"/>
          <w:sz w:val="24"/>
          <w:szCs w:val="24"/>
        </w:rPr>
        <w:t>D’Netto</w:t>
      </w:r>
      <w:proofErr w:type="spellEnd"/>
      <w:r w:rsidRPr="007418B9">
        <w:rPr>
          <w:rFonts w:ascii="Arial" w:hAnsi="Arial" w:cs="Arial"/>
          <w:sz w:val="24"/>
          <w:szCs w:val="24"/>
        </w:rPr>
        <w:t xml:space="preserve">, B. and </w:t>
      </w:r>
      <w:proofErr w:type="spellStart"/>
      <w:r w:rsidRPr="007418B9">
        <w:rPr>
          <w:rFonts w:ascii="Arial" w:hAnsi="Arial" w:cs="Arial"/>
          <w:sz w:val="24"/>
          <w:szCs w:val="24"/>
        </w:rPr>
        <w:t>Monga</w:t>
      </w:r>
      <w:proofErr w:type="spellEnd"/>
      <w:r w:rsidRPr="007418B9">
        <w:rPr>
          <w:rFonts w:ascii="Arial" w:hAnsi="Arial" w:cs="Arial"/>
          <w:sz w:val="24"/>
          <w:szCs w:val="24"/>
        </w:rPr>
        <w:t>, M. (2009), “Managing diversity through human resource management:</w:t>
      </w:r>
      <w:r w:rsidR="00C31E86">
        <w:rPr>
          <w:rFonts w:ascii="Arial" w:hAnsi="Arial" w:cs="Arial"/>
          <w:sz w:val="24"/>
          <w:szCs w:val="24"/>
        </w:rPr>
        <w:t xml:space="preserve"> </w:t>
      </w:r>
      <w:r w:rsidRPr="007418B9">
        <w:rPr>
          <w:rFonts w:ascii="Arial" w:hAnsi="Arial" w:cs="Arial"/>
          <w:sz w:val="24"/>
          <w:szCs w:val="24"/>
        </w:rPr>
        <w:t>an international perspective and conceptual framework”, The International Journal of Human Resource Management, Vol. 20, No. 2; pp 235–251</w:t>
      </w:r>
    </w:p>
    <w:p w14:paraId="72C2EF68" w14:textId="77777777" w:rsidR="007418B9" w:rsidRPr="007418B9" w:rsidRDefault="007418B9" w:rsidP="007418B9">
      <w:pPr>
        <w:ind w:left="360"/>
        <w:rPr>
          <w:rFonts w:ascii="Arial" w:hAnsi="Arial" w:cs="Arial"/>
          <w:sz w:val="24"/>
          <w:szCs w:val="24"/>
        </w:rPr>
      </w:pPr>
      <w:r w:rsidRPr="007418B9">
        <w:rPr>
          <w:rFonts w:ascii="Arial" w:hAnsi="Arial" w:cs="Arial"/>
          <w:sz w:val="24"/>
          <w:szCs w:val="24"/>
        </w:rPr>
        <w:t xml:space="preserve">Wagner, Tim. ((2007) The Impact of Environmental Change on Insurance. (pp. 3) Retrieved Fri Aug 2 17:00:48 2013, from </w:t>
      </w:r>
      <w:hyperlink r:id="rId14" w:history="1">
        <w:r w:rsidRPr="007418B9">
          <w:rPr>
            <w:rStyle w:val="Hyperlink"/>
            <w:rFonts w:ascii="Arial" w:hAnsi="Arial" w:cs="Arial"/>
            <w:sz w:val="24"/>
            <w:szCs w:val="24"/>
          </w:rPr>
          <w:t>http://www.civilsocietyinstitute.org</w:t>
        </w:r>
      </w:hyperlink>
      <w:r w:rsidRPr="007418B9">
        <w:rPr>
          <w:rFonts w:ascii="Arial" w:hAnsi="Arial" w:cs="Arial"/>
          <w:sz w:val="24"/>
          <w:szCs w:val="24"/>
        </w:rPr>
        <w:t xml:space="preserve">. </w:t>
      </w:r>
    </w:p>
    <w:p w14:paraId="472541A1" w14:textId="77777777" w:rsidR="005D3BB6" w:rsidRPr="005D3BB6" w:rsidRDefault="005D3BB6" w:rsidP="005D3BB6">
      <w:pPr>
        <w:spacing w:line="360" w:lineRule="auto"/>
        <w:rPr>
          <w:rFonts w:ascii="Arial" w:hAnsi="Arial" w:cs="Arial"/>
          <w:sz w:val="24"/>
          <w:szCs w:val="24"/>
        </w:rPr>
      </w:pPr>
    </w:p>
    <w:p w14:paraId="54477D99" w14:textId="77777777" w:rsidR="00392F2B" w:rsidRPr="005D3BB6" w:rsidRDefault="00392F2B" w:rsidP="005D3BB6">
      <w:pPr>
        <w:spacing w:line="360" w:lineRule="auto"/>
        <w:rPr>
          <w:rFonts w:ascii="Arial" w:hAnsi="Arial" w:cs="Arial"/>
          <w:sz w:val="24"/>
          <w:szCs w:val="24"/>
        </w:rPr>
      </w:pPr>
    </w:p>
    <w:p w14:paraId="7E806059" w14:textId="77777777" w:rsidR="00392F2B" w:rsidRPr="005D3BB6" w:rsidRDefault="00392F2B" w:rsidP="005D3BB6">
      <w:pPr>
        <w:spacing w:line="360" w:lineRule="auto"/>
        <w:rPr>
          <w:rFonts w:ascii="Arial" w:hAnsi="Arial" w:cs="Arial"/>
          <w:sz w:val="24"/>
          <w:szCs w:val="24"/>
        </w:rPr>
      </w:pPr>
    </w:p>
    <w:p w14:paraId="3FC03CF0" w14:textId="3DAFD9F9" w:rsidR="00392F2B" w:rsidRPr="005D3BB6" w:rsidRDefault="00392F2B" w:rsidP="005D3BB6">
      <w:pPr>
        <w:spacing w:line="360" w:lineRule="auto"/>
        <w:rPr>
          <w:rFonts w:ascii="Arial" w:hAnsi="Arial" w:cs="Arial"/>
          <w:sz w:val="24"/>
          <w:szCs w:val="24"/>
        </w:rPr>
      </w:pPr>
    </w:p>
    <w:p w14:paraId="1E49F6E8" w14:textId="479B07A7" w:rsidR="005616A0" w:rsidRPr="005D3BB6" w:rsidRDefault="005616A0" w:rsidP="005D3BB6">
      <w:pPr>
        <w:tabs>
          <w:tab w:val="left" w:pos="2379"/>
        </w:tabs>
        <w:spacing w:line="360" w:lineRule="auto"/>
        <w:rPr>
          <w:rFonts w:ascii="Arial" w:hAnsi="Arial" w:cs="Arial"/>
          <w:sz w:val="24"/>
          <w:szCs w:val="24"/>
        </w:rPr>
      </w:pPr>
    </w:p>
    <w:p w14:paraId="218169DC" w14:textId="76245E0F" w:rsidR="00392F2B" w:rsidRPr="005D3BB6" w:rsidRDefault="00392F2B" w:rsidP="005D3BB6">
      <w:pPr>
        <w:tabs>
          <w:tab w:val="left" w:pos="2379"/>
        </w:tabs>
        <w:spacing w:line="360" w:lineRule="auto"/>
        <w:rPr>
          <w:rFonts w:ascii="Arial" w:hAnsi="Arial" w:cs="Arial"/>
          <w:sz w:val="24"/>
          <w:szCs w:val="24"/>
        </w:rPr>
      </w:pPr>
    </w:p>
    <w:p w14:paraId="0BAE391B" w14:textId="02F772E9" w:rsidR="00392F2B" w:rsidRPr="005D3BB6" w:rsidRDefault="005D3BB6" w:rsidP="005D3BB6">
      <w:pPr>
        <w:pStyle w:val="Heading1"/>
        <w:spacing w:line="360" w:lineRule="auto"/>
        <w:rPr>
          <w:rFonts w:ascii="Arial" w:hAnsi="Arial" w:cs="Arial"/>
          <w:sz w:val="24"/>
          <w:szCs w:val="24"/>
        </w:rPr>
      </w:pPr>
      <w:bookmarkStart w:id="31" w:name="_Toc534372139"/>
      <w:r w:rsidRPr="005D3BB6">
        <w:rPr>
          <w:rFonts w:ascii="Arial" w:hAnsi="Arial" w:cs="Arial"/>
          <w:sz w:val="24"/>
          <w:szCs w:val="24"/>
        </w:rPr>
        <w:lastRenderedPageBreak/>
        <w:t xml:space="preserve">8.0 </w:t>
      </w:r>
      <w:r w:rsidR="00392F2B" w:rsidRPr="005D3BB6">
        <w:rPr>
          <w:rFonts w:ascii="Arial" w:hAnsi="Arial" w:cs="Arial"/>
          <w:sz w:val="24"/>
          <w:szCs w:val="24"/>
        </w:rPr>
        <w:t>Appendix</w:t>
      </w:r>
      <w:r w:rsidR="00F15B24" w:rsidRPr="005D3BB6">
        <w:rPr>
          <w:rFonts w:ascii="Arial" w:hAnsi="Arial" w:cs="Arial"/>
          <w:sz w:val="24"/>
          <w:szCs w:val="24"/>
        </w:rPr>
        <w:t xml:space="preserve"> 1 </w:t>
      </w:r>
      <w:r w:rsidR="002A1181">
        <w:rPr>
          <w:rFonts w:ascii="Arial" w:hAnsi="Arial" w:cs="Arial"/>
          <w:sz w:val="24"/>
          <w:szCs w:val="24"/>
        </w:rPr>
        <w:t>–</w:t>
      </w:r>
      <w:r w:rsidR="00F15B24" w:rsidRPr="005D3BB6">
        <w:rPr>
          <w:rFonts w:ascii="Arial" w:hAnsi="Arial" w:cs="Arial"/>
          <w:sz w:val="24"/>
          <w:szCs w:val="24"/>
        </w:rPr>
        <w:t xml:space="preserve"> Linking Aetna’s strategic Business goals to diversity outcomes</w:t>
      </w:r>
      <w:bookmarkEnd w:id="31"/>
    </w:p>
    <w:tbl>
      <w:tblPr>
        <w:tblStyle w:val="TableGrid"/>
        <w:tblW w:w="8182" w:type="dxa"/>
        <w:tblInd w:w="47" w:type="dxa"/>
        <w:tblLook w:val="04A0" w:firstRow="1" w:lastRow="0" w:firstColumn="1" w:lastColumn="0" w:noHBand="0" w:noVBand="1"/>
      </w:tblPr>
      <w:tblGrid>
        <w:gridCol w:w="2406"/>
        <w:gridCol w:w="539"/>
        <w:gridCol w:w="6034"/>
      </w:tblGrid>
      <w:tr w:rsidR="00F15B24" w:rsidRPr="005D3BB6" w14:paraId="1AB3162C" w14:textId="77777777" w:rsidTr="00961EE6">
        <w:trPr>
          <w:trHeight w:val="9631"/>
        </w:trPr>
        <w:tc>
          <w:tcPr>
            <w:tcW w:w="3647" w:type="dxa"/>
            <w:tcBorders>
              <w:top w:val="nil"/>
              <w:left w:val="nil"/>
              <w:bottom w:val="nil"/>
              <w:right w:val="nil"/>
            </w:tcBorders>
          </w:tcPr>
          <w:p w14:paraId="76B28AD8" w14:textId="77777777" w:rsidR="00F15B24" w:rsidRPr="005D3BB6" w:rsidRDefault="00F15B24" w:rsidP="005D3BB6">
            <w:pPr>
              <w:spacing w:line="360" w:lineRule="auto"/>
              <w:ind w:left="-1111" w:right="47"/>
              <w:rPr>
                <w:rFonts w:ascii="Arial" w:eastAsia="Times New Roman" w:hAnsi="Arial" w:cs="Arial"/>
                <w:color w:val="000000"/>
                <w:sz w:val="24"/>
                <w:szCs w:val="24"/>
              </w:rPr>
            </w:pPr>
          </w:p>
          <w:tbl>
            <w:tblPr>
              <w:tblStyle w:val="TableGrid"/>
              <w:tblW w:w="3600" w:type="dxa"/>
              <w:tblInd w:w="0" w:type="dxa"/>
              <w:tblCellMar>
                <w:left w:w="180" w:type="dxa"/>
                <w:right w:w="115" w:type="dxa"/>
              </w:tblCellMar>
              <w:tblLook w:val="04A0" w:firstRow="1" w:lastRow="0" w:firstColumn="1" w:lastColumn="0" w:noHBand="0" w:noVBand="1"/>
            </w:tblPr>
            <w:tblGrid>
              <w:gridCol w:w="3600"/>
            </w:tblGrid>
            <w:tr w:rsidR="00F15B24" w:rsidRPr="005D3BB6" w14:paraId="2CDD0CB8" w14:textId="77777777" w:rsidTr="00961EE6">
              <w:trPr>
                <w:trHeight w:val="519"/>
              </w:trPr>
              <w:tc>
                <w:tcPr>
                  <w:tcW w:w="3600" w:type="dxa"/>
                  <w:tcBorders>
                    <w:top w:val="single" w:sz="4" w:space="0" w:color="00B5CC"/>
                    <w:left w:val="single" w:sz="4" w:space="0" w:color="00B5CC"/>
                    <w:bottom w:val="single" w:sz="4" w:space="0" w:color="00B5CC"/>
                    <w:right w:val="single" w:sz="4" w:space="0" w:color="00B5CC"/>
                  </w:tcBorders>
                  <w:shd w:val="clear" w:color="auto" w:fill="00B5CC"/>
                  <w:vAlign w:val="center"/>
                </w:tcPr>
                <w:p w14:paraId="3A8574C2" w14:textId="77777777" w:rsidR="00F15B24" w:rsidRPr="005D3BB6" w:rsidRDefault="00F15B24" w:rsidP="005D3BB6">
                  <w:pPr>
                    <w:spacing w:line="360" w:lineRule="auto"/>
                    <w:ind w:right="65"/>
                    <w:jc w:val="center"/>
                    <w:rPr>
                      <w:rFonts w:ascii="Arial" w:eastAsia="Times New Roman" w:hAnsi="Arial" w:cs="Arial"/>
                      <w:color w:val="000000"/>
                      <w:sz w:val="24"/>
                      <w:szCs w:val="24"/>
                    </w:rPr>
                  </w:pPr>
                  <w:r w:rsidRPr="005D3BB6">
                    <w:rPr>
                      <w:rFonts w:ascii="Arial" w:eastAsia="Calibri" w:hAnsi="Arial" w:cs="Arial"/>
                      <w:b/>
                      <w:color w:val="FFFFFF"/>
                      <w:sz w:val="24"/>
                      <w:szCs w:val="24"/>
                    </w:rPr>
                    <w:t>Aetna’s strategic focus</w:t>
                  </w:r>
                </w:p>
              </w:tc>
            </w:tr>
            <w:tr w:rsidR="00F15B24" w:rsidRPr="005D3BB6" w14:paraId="17C40D69" w14:textId="77777777" w:rsidTr="00961EE6">
              <w:trPr>
                <w:trHeight w:val="5293"/>
              </w:trPr>
              <w:tc>
                <w:tcPr>
                  <w:tcW w:w="3600" w:type="dxa"/>
                  <w:tcBorders>
                    <w:top w:val="single" w:sz="4" w:space="0" w:color="00B5CC"/>
                    <w:left w:val="single" w:sz="4" w:space="0" w:color="000000"/>
                    <w:bottom w:val="single" w:sz="4" w:space="0" w:color="000000"/>
                    <w:right w:val="single" w:sz="4" w:space="0" w:color="000000"/>
                  </w:tcBorders>
                  <w:vAlign w:val="center"/>
                </w:tcPr>
                <w:p w14:paraId="373DCB4E"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Profitably grow market share and earnings</w:t>
                  </w:r>
                </w:p>
                <w:p w14:paraId="58AD4EB8"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Deliver superior medical quality and total cost management</w:t>
                  </w:r>
                </w:p>
                <w:p w14:paraId="0BB1CB74"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Achieve optimal expense structure through improved productivity to support growth</w:t>
                  </w:r>
                </w:p>
                <w:p w14:paraId="3ED6D61E"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Create customer value through innovation and technology</w:t>
                  </w:r>
                </w:p>
                <w:p w14:paraId="52E1007C"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 xml:space="preserve">Apply technology to create customer value </w:t>
                  </w:r>
                </w:p>
                <w:p w14:paraId="1CDC68BF"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Deliver best-in-class customer experience</w:t>
                  </w:r>
                </w:p>
                <w:p w14:paraId="4EAB16BE"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Foster compliance as a core competency</w:t>
                  </w:r>
                </w:p>
                <w:p w14:paraId="14944913" w14:textId="77777777" w:rsidR="00F15B24" w:rsidRPr="005D3BB6" w:rsidRDefault="00F15B24" w:rsidP="005D3BB6">
                  <w:pPr>
                    <w:spacing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 xml:space="preserve">Enhance our diverse, </w:t>
                  </w:r>
                  <w:proofErr w:type="spellStart"/>
                  <w:r w:rsidRPr="005D3BB6">
                    <w:rPr>
                      <w:rFonts w:ascii="Arial" w:eastAsia="Calibri" w:hAnsi="Arial" w:cs="Arial"/>
                      <w:color w:val="000000"/>
                      <w:sz w:val="24"/>
                      <w:szCs w:val="24"/>
                    </w:rPr>
                    <w:t>highperformance</w:t>
                  </w:r>
                  <w:proofErr w:type="spellEnd"/>
                  <w:r w:rsidRPr="005D3BB6">
                    <w:rPr>
                      <w:rFonts w:ascii="Arial" w:eastAsia="Calibri" w:hAnsi="Arial" w:cs="Arial"/>
                      <w:color w:val="000000"/>
                      <w:sz w:val="24"/>
                      <w:szCs w:val="24"/>
                    </w:rPr>
                    <w:t xml:space="preserve"> culture and workforce </w:t>
                  </w:r>
                </w:p>
              </w:tc>
            </w:tr>
          </w:tbl>
          <w:p w14:paraId="57432EC3" w14:textId="77777777" w:rsidR="00F15B24" w:rsidRPr="005D3BB6" w:rsidRDefault="00F15B24" w:rsidP="005D3BB6">
            <w:pPr>
              <w:spacing w:after="160" w:line="360" w:lineRule="auto"/>
              <w:rPr>
                <w:rFonts w:ascii="Arial" w:eastAsia="Times New Roman" w:hAnsi="Arial" w:cs="Arial"/>
                <w:color w:val="000000"/>
                <w:sz w:val="24"/>
                <w:szCs w:val="24"/>
              </w:rPr>
            </w:pPr>
          </w:p>
        </w:tc>
        <w:tc>
          <w:tcPr>
            <w:tcW w:w="892" w:type="dxa"/>
            <w:tcBorders>
              <w:top w:val="nil"/>
              <w:left w:val="nil"/>
              <w:bottom w:val="nil"/>
              <w:right w:val="nil"/>
            </w:tcBorders>
          </w:tcPr>
          <w:p w14:paraId="4765E2D4" w14:textId="77777777" w:rsidR="00F15B24" w:rsidRPr="005D3BB6" w:rsidRDefault="00F15B24" w:rsidP="005D3BB6">
            <w:pPr>
              <w:spacing w:line="360" w:lineRule="auto"/>
              <w:ind w:left="47"/>
              <w:rPr>
                <w:rFonts w:ascii="Arial" w:eastAsia="Times New Roman" w:hAnsi="Arial" w:cs="Arial"/>
                <w:color w:val="000000"/>
                <w:sz w:val="24"/>
                <w:szCs w:val="24"/>
              </w:rPr>
            </w:pPr>
            <w:r w:rsidRPr="005D3BB6">
              <w:rPr>
                <w:rFonts w:ascii="Arial" w:eastAsia="Calibri" w:hAnsi="Arial" w:cs="Arial"/>
                <w:noProof/>
                <w:color w:val="000000"/>
                <w:sz w:val="24"/>
                <w:szCs w:val="24"/>
              </w:rPr>
              <mc:AlternateContent>
                <mc:Choice Requires="wpg">
                  <w:drawing>
                    <wp:inline distT="0" distB="0" distL="0" distR="0" wp14:anchorId="636665EE" wp14:editId="6A615465">
                      <wp:extent cx="509154" cy="400456"/>
                      <wp:effectExtent l="0" t="0" r="0" b="0"/>
                      <wp:docPr id="26578" name="Group 26578"/>
                      <wp:cNvGraphicFramePr/>
                      <a:graphic xmlns:a="http://schemas.openxmlformats.org/drawingml/2006/main">
                        <a:graphicData uri="http://schemas.microsoft.com/office/word/2010/wordprocessingGroup">
                          <wpg:wgp>
                            <wpg:cNvGrpSpPr/>
                            <wpg:grpSpPr>
                              <a:xfrm>
                                <a:off x="0" y="0"/>
                                <a:ext cx="509154" cy="400456"/>
                                <a:chOff x="0" y="0"/>
                                <a:chExt cx="509154" cy="400456"/>
                              </a:xfrm>
                            </wpg:grpSpPr>
                            <wps:wsp>
                              <wps:cNvPr id="1989" name="Shape 1989"/>
                              <wps:cNvSpPr/>
                              <wps:spPr>
                                <a:xfrm>
                                  <a:off x="0" y="200228"/>
                                  <a:ext cx="377800" cy="0"/>
                                </a:xfrm>
                                <a:custGeom>
                                  <a:avLst/>
                                  <a:gdLst/>
                                  <a:ahLst/>
                                  <a:cxnLst/>
                                  <a:rect l="0" t="0" r="0" b="0"/>
                                  <a:pathLst>
                                    <a:path w="377800">
                                      <a:moveTo>
                                        <a:pt x="0" y="0"/>
                                      </a:moveTo>
                                      <a:lnTo>
                                        <a:pt x="377800" y="0"/>
                                      </a:lnTo>
                                    </a:path>
                                  </a:pathLst>
                                </a:custGeom>
                                <a:noFill/>
                                <a:ln w="127000" cap="flat" cmpd="sng" algn="ctr">
                                  <a:solidFill>
                                    <a:srgbClr val="00B5CC"/>
                                  </a:solidFill>
                                  <a:prstDash val="solid"/>
                                  <a:miter lim="100000"/>
                                </a:ln>
                                <a:effectLst/>
                              </wps:spPr>
                              <wps:bodyPr/>
                            </wps:wsp>
                            <wps:wsp>
                              <wps:cNvPr id="1990" name="Shape 1990"/>
                              <wps:cNvSpPr/>
                              <wps:spPr>
                                <a:xfrm>
                                  <a:off x="293788" y="0"/>
                                  <a:ext cx="215367" cy="400456"/>
                                </a:xfrm>
                                <a:custGeom>
                                  <a:avLst/>
                                  <a:gdLst/>
                                  <a:ahLst/>
                                  <a:cxnLst/>
                                  <a:rect l="0" t="0" r="0" b="0"/>
                                  <a:pathLst>
                                    <a:path w="215367" h="400456">
                                      <a:moveTo>
                                        <a:pt x="0" y="0"/>
                                      </a:moveTo>
                                      <a:lnTo>
                                        <a:pt x="215367" y="200228"/>
                                      </a:lnTo>
                                      <a:lnTo>
                                        <a:pt x="0" y="400456"/>
                                      </a:lnTo>
                                      <a:lnTo>
                                        <a:pt x="0" y="0"/>
                                      </a:lnTo>
                                      <a:close/>
                                    </a:path>
                                  </a:pathLst>
                                </a:custGeom>
                                <a:solidFill>
                                  <a:srgbClr val="00B5CC"/>
                                </a:solidFill>
                                <a:ln w="0" cap="flat">
                                  <a:noFill/>
                                  <a:miter lim="100000"/>
                                </a:ln>
                                <a:effectLst/>
                              </wps:spPr>
                              <wps:bodyPr/>
                            </wps:wsp>
                          </wpg:wgp>
                        </a:graphicData>
                      </a:graphic>
                    </wp:inline>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F6F866B" id="Group 26578" o:spid="_x0000_s1026" style="width:40.1pt;height:31.55pt;mso-position-horizontal-relative:char;mso-position-vertical-relative:line" coordsize="509154,4004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">
                      <v:shape id="Shape 1989" o:spid="_x0000_s1027" style="position:absolute;top:200228;width:377800;height:0;visibility:visible;mso-wrap-style:square;v-text-anchor:top" coordsize="377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" path="m,l377800,e" filled="f" strokecolor="#00b5cc" strokeweight="10pt">
                        <v:stroke miterlimit="1" joinstyle="miter"/>
                        <v:path arrowok="t" textboxrect="0,0,377800,0"/>
                      </v:shape>
                      <v:shape id="Shape 1990" o:spid="_x0000_s1028" style="position:absolute;left:293788;width:215367;height:400456;visibility:visible;mso-wrap-style:square;v-text-anchor:top" coordsize="215367,400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" path="m,l215367,200228,,400456,,xe" fillcolor="#00b5cc" stroked="f" strokeweight="0">
                        <v:stroke miterlimit="1" joinstyle="miter"/>
                        <v:path arrowok="t" textboxrect="0,0,215367,400456"/>
                      </v:shape>
                      <w10:anchorlock/>
                    </v:group>
                  </w:pict>
                </mc:Fallback>
              </mc:AlternateContent>
            </w:r>
          </w:p>
        </w:tc>
        <w:tc>
          <w:tcPr>
            <w:tcW w:w="3643" w:type="dxa"/>
            <w:tcBorders>
              <w:top w:val="nil"/>
              <w:left w:val="nil"/>
              <w:bottom w:val="nil"/>
              <w:right w:val="nil"/>
            </w:tcBorders>
          </w:tcPr>
          <w:p w14:paraId="2ABBBFC0" w14:textId="77777777" w:rsidR="00F15B24" w:rsidRPr="005D3BB6" w:rsidRDefault="00F15B24" w:rsidP="005D3BB6">
            <w:pPr>
              <w:spacing w:line="360" w:lineRule="auto"/>
              <w:ind w:left="-5649" w:right="9293"/>
              <w:rPr>
                <w:rFonts w:ascii="Arial" w:eastAsia="Times New Roman" w:hAnsi="Arial" w:cs="Arial"/>
                <w:color w:val="000000"/>
                <w:sz w:val="24"/>
                <w:szCs w:val="24"/>
              </w:rPr>
            </w:pPr>
          </w:p>
          <w:tbl>
            <w:tblPr>
              <w:tblStyle w:val="TableGrid"/>
              <w:tblW w:w="3600" w:type="dxa"/>
              <w:tblInd w:w="43" w:type="dxa"/>
              <w:tblCellMar>
                <w:left w:w="180" w:type="dxa"/>
                <w:right w:w="115" w:type="dxa"/>
              </w:tblCellMar>
              <w:tblLook w:val="04A0" w:firstRow="1" w:lastRow="0" w:firstColumn="1" w:lastColumn="0" w:noHBand="0" w:noVBand="1"/>
            </w:tblPr>
            <w:tblGrid>
              <w:gridCol w:w="3600"/>
            </w:tblGrid>
            <w:tr w:rsidR="00F15B24" w:rsidRPr="005D3BB6" w14:paraId="4E656DC3" w14:textId="77777777" w:rsidTr="00961EE6">
              <w:trPr>
                <w:trHeight w:val="519"/>
              </w:trPr>
              <w:tc>
                <w:tcPr>
                  <w:tcW w:w="3600" w:type="dxa"/>
                  <w:tcBorders>
                    <w:top w:val="single" w:sz="4" w:space="0" w:color="00B5CC"/>
                    <w:left w:val="single" w:sz="4" w:space="0" w:color="00B5CC"/>
                    <w:bottom w:val="single" w:sz="4" w:space="0" w:color="00B5CC"/>
                    <w:right w:val="single" w:sz="4" w:space="0" w:color="00B5CC"/>
                  </w:tcBorders>
                  <w:shd w:val="clear" w:color="auto" w:fill="00B5CC"/>
                  <w:vAlign w:val="center"/>
                </w:tcPr>
                <w:p w14:paraId="7FB7EF54" w14:textId="77777777" w:rsidR="00F15B24" w:rsidRPr="005D3BB6" w:rsidRDefault="00F15B24" w:rsidP="005D3BB6">
                  <w:pPr>
                    <w:spacing w:line="360" w:lineRule="auto"/>
                    <w:ind w:right="65"/>
                    <w:jc w:val="center"/>
                    <w:rPr>
                      <w:rFonts w:ascii="Arial" w:eastAsia="Times New Roman" w:hAnsi="Arial" w:cs="Arial"/>
                      <w:color w:val="000000"/>
                      <w:sz w:val="24"/>
                      <w:szCs w:val="24"/>
                    </w:rPr>
                  </w:pPr>
                  <w:r w:rsidRPr="005D3BB6">
                    <w:rPr>
                      <w:rFonts w:ascii="Arial" w:eastAsia="Calibri" w:hAnsi="Arial" w:cs="Arial"/>
                      <w:b/>
                      <w:color w:val="FFFFFF"/>
                      <w:sz w:val="24"/>
                      <w:szCs w:val="24"/>
                    </w:rPr>
                    <w:t>diversity Implications</w:t>
                  </w:r>
                </w:p>
              </w:tc>
            </w:tr>
            <w:tr w:rsidR="00F15B24" w:rsidRPr="005D3BB6" w14:paraId="6A6AAA8B" w14:textId="77777777" w:rsidTr="00961EE6">
              <w:trPr>
                <w:trHeight w:val="9113"/>
              </w:trPr>
              <w:tc>
                <w:tcPr>
                  <w:tcW w:w="3600" w:type="dxa"/>
                  <w:tcBorders>
                    <w:top w:val="single" w:sz="4" w:space="0" w:color="00B5CC"/>
                    <w:left w:val="single" w:sz="4" w:space="0" w:color="000000"/>
                    <w:bottom w:val="single" w:sz="4" w:space="0" w:color="000000"/>
                    <w:right w:val="single" w:sz="4" w:space="0" w:color="000000"/>
                  </w:tcBorders>
                  <w:vAlign w:val="center"/>
                </w:tcPr>
                <w:p w14:paraId="2430C29C"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Build a workforce that understands the racial/ethnic, gender, sexual orientation and generational diversity of the marketplace</w:t>
                  </w:r>
                </w:p>
                <w:p w14:paraId="7DA69C4E"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Create an inclusive work environment that maximizes each employee’s contributions and productivity</w:t>
                  </w:r>
                </w:p>
                <w:p w14:paraId="7BC76108"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Attract potential candidates to Aetna; choose from a broader and deeper pool of candidates</w:t>
                  </w:r>
                </w:p>
                <w:p w14:paraId="2AE2641F"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Achieve criteria to bid on government and public-sector businesses</w:t>
                  </w:r>
                </w:p>
                <w:p w14:paraId="4A27C89C" w14:textId="77777777" w:rsidR="00F15B24" w:rsidRPr="005D3BB6" w:rsidRDefault="00F15B24" w:rsidP="005D3BB6">
                  <w:pPr>
                    <w:spacing w:after="91" w:line="360" w:lineRule="auto"/>
                    <w:ind w:left="144" w:right="127"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Enhance workforce capabilities to address the needs of our multicultural/multilingual constituents</w:t>
                  </w:r>
                </w:p>
                <w:p w14:paraId="7347F038" w14:textId="77777777" w:rsidR="00F15B24" w:rsidRPr="005D3BB6" w:rsidRDefault="00F15B24" w:rsidP="005D3BB6">
                  <w:pPr>
                    <w:spacing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 xml:space="preserve">Provide culturally appropriate consumer experience; design </w:t>
                  </w:r>
                </w:p>
                <w:p w14:paraId="29D79599" w14:textId="77777777" w:rsidR="00F15B24" w:rsidRPr="005D3BB6" w:rsidRDefault="00F15B24" w:rsidP="005D3BB6">
                  <w:pPr>
                    <w:spacing w:after="91" w:line="360" w:lineRule="auto"/>
                    <w:ind w:left="144"/>
                    <w:rPr>
                      <w:rFonts w:ascii="Arial" w:eastAsia="Times New Roman" w:hAnsi="Arial" w:cs="Arial"/>
                      <w:color w:val="000000"/>
                      <w:sz w:val="24"/>
                      <w:szCs w:val="24"/>
                    </w:rPr>
                  </w:pPr>
                  <w:r w:rsidRPr="005D3BB6">
                    <w:rPr>
                      <w:rFonts w:ascii="Arial" w:eastAsia="Calibri" w:hAnsi="Arial" w:cs="Arial"/>
                      <w:color w:val="000000"/>
                      <w:sz w:val="24"/>
                      <w:szCs w:val="24"/>
                    </w:rPr>
                    <w:t>products and services to meet their needs</w:t>
                  </w:r>
                </w:p>
                <w:p w14:paraId="4E92CECC"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 xml:space="preserve">Establish business relationships with organizations and local </w:t>
                  </w:r>
                  <w:r w:rsidRPr="005D3BB6">
                    <w:rPr>
                      <w:rFonts w:ascii="Arial" w:eastAsia="Calibri" w:hAnsi="Arial" w:cs="Arial"/>
                      <w:color w:val="000000"/>
                      <w:sz w:val="24"/>
                      <w:szCs w:val="24"/>
                    </w:rPr>
                    <w:lastRenderedPageBreak/>
                    <w:t>communities to support community-based marketing and sales</w:t>
                  </w:r>
                </w:p>
                <w:p w14:paraId="71143522" w14:textId="77777777" w:rsidR="00F15B24" w:rsidRPr="005D3BB6" w:rsidRDefault="00F15B24" w:rsidP="005D3BB6">
                  <w:pPr>
                    <w:spacing w:after="91"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Establish an infrastructure that supports sales and renewal efforts of employers</w:t>
                  </w:r>
                </w:p>
                <w:p w14:paraId="2F474F11" w14:textId="77777777" w:rsidR="00F15B24" w:rsidRPr="005D3BB6" w:rsidRDefault="00F15B24" w:rsidP="005D3BB6">
                  <w:pPr>
                    <w:spacing w:after="91" w:line="360" w:lineRule="auto"/>
                    <w:ind w:left="144" w:right="21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Increase supplier diversity spending to fully leverage business opportunities at the local levels</w:t>
                  </w:r>
                </w:p>
                <w:p w14:paraId="5DB10070" w14:textId="77777777" w:rsidR="00F15B24" w:rsidRPr="005D3BB6" w:rsidRDefault="00F15B24" w:rsidP="005D3BB6">
                  <w:pPr>
                    <w:spacing w:line="360" w:lineRule="auto"/>
                    <w:ind w:left="144" w:hanging="144"/>
                    <w:rPr>
                      <w:rFonts w:ascii="Arial" w:eastAsia="Times New Roman" w:hAnsi="Arial" w:cs="Arial"/>
                      <w:color w:val="000000"/>
                      <w:sz w:val="24"/>
                      <w:szCs w:val="24"/>
                    </w:rPr>
                  </w:pPr>
                  <w:r w:rsidRPr="005D3BB6">
                    <w:rPr>
                      <w:rFonts w:ascii="Arial" w:eastAsia="Calibri" w:hAnsi="Arial" w:cs="Arial"/>
                      <w:color w:val="00B5CC"/>
                      <w:sz w:val="24"/>
                      <w:szCs w:val="24"/>
                    </w:rPr>
                    <w:t xml:space="preserve">» </w:t>
                  </w:r>
                  <w:r w:rsidRPr="005D3BB6">
                    <w:rPr>
                      <w:rFonts w:ascii="Arial" w:eastAsia="Calibri" w:hAnsi="Arial" w:cs="Arial"/>
                      <w:color w:val="000000"/>
                      <w:sz w:val="24"/>
                      <w:szCs w:val="24"/>
                    </w:rPr>
                    <w:t>Link diversity metrics directly to enterprise scorecard</w:t>
                  </w:r>
                </w:p>
              </w:tc>
            </w:tr>
          </w:tbl>
          <w:p w14:paraId="191D78E1" w14:textId="3A7CAF44" w:rsidR="00F15B24" w:rsidRPr="005D3BB6" w:rsidRDefault="002A1181" w:rsidP="005D3BB6">
            <w:pPr>
              <w:spacing w:after="160" w:line="360" w:lineRule="auto"/>
              <w:rPr>
                <w:rFonts w:ascii="Arial" w:eastAsia="Times New Roman" w:hAnsi="Arial" w:cs="Arial"/>
                <w:color w:val="000000"/>
                <w:sz w:val="24"/>
                <w:szCs w:val="24"/>
              </w:rPr>
            </w:pPr>
            <w:r>
              <w:rPr>
                <w:rFonts w:ascii="Arial" w:eastAsia="Times New Roman" w:hAnsi="Arial" w:cs="Arial"/>
                <w:color w:val="000000"/>
                <w:sz w:val="24"/>
                <w:szCs w:val="24"/>
              </w:rPr>
              <w:lastRenderedPageBreak/>
              <w:t>,</w:t>
            </w:r>
          </w:p>
        </w:tc>
      </w:tr>
    </w:tbl>
    <w:p w14:paraId="41F41B6F" w14:textId="23391BFC" w:rsidR="00F15B24" w:rsidRPr="005D3BB6" w:rsidRDefault="00F15B24" w:rsidP="005D3BB6">
      <w:pPr>
        <w:tabs>
          <w:tab w:val="left" w:pos="2379"/>
        </w:tabs>
        <w:spacing w:line="360" w:lineRule="auto"/>
        <w:rPr>
          <w:rFonts w:ascii="Arial" w:hAnsi="Arial" w:cs="Arial"/>
          <w:sz w:val="24"/>
          <w:szCs w:val="24"/>
        </w:rPr>
      </w:pPr>
    </w:p>
    <w:p w14:paraId="60F3686A" w14:textId="336E269E" w:rsidR="00D4456E" w:rsidRPr="005D3BB6" w:rsidRDefault="00D4456E" w:rsidP="005D3BB6">
      <w:pPr>
        <w:tabs>
          <w:tab w:val="left" w:pos="2379"/>
        </w:tabs>
        <w:spacing w:line="360" w:lineRule="auto"/>
        <w:rPr>
          <w:rFonts w:ascii="Arial" w:hAnsi="Arial" w:cs="Arial"/>
          <w:sz w:val="24"/>
          <w:szCs w:val="24"/>
        </w:rPr>
      </w:pPr>
    </w:p>
    <w:p w14:paraId="23CC45BB" w14:textId="4E75447F" w:rsidR="00D4456E" w:rsidRPr="005D3BB6" w:rsidRDefault="00D4456E" w:rsidP="005D3BB6">
      <w:pPr>
        <w:tabs>
          <w:tab w:val="left" w:pos="2379"/>
        </w:tabs>
        <w:spacing w:line="360" w:lineRule="auto"/>
        <w:rPr>
          <w:rFonts w:ascii="Arial" w:hAnsi="Arial" w:cs="Arial"/>
          <w:sz w:val="24"/>
          <w:szCs w:val="24"/>
        </w:rPr>
      </w:pPr>
    </w:p>
    <w:p w14:paraId="03D19588" w14:textId="67B49844" w:rsidR="00D4456E" w:rsidRPr="005D3BB6" w:rsidRDefault="00D4456E" w:rsidP="005D3BB6">
      <w:pPr>
        <w:tabs>
          <w:tab w:val="left" w:pos="2379"/>
        </w:tabs>
        <w:spacing w:line="360" w:lineRule="auto"/>
        <w:rPr>
          <w:rFonts w:ascii="Arial" w:hAnsi="Arial" w:cs="Arial"/>
          <w:sz w:val="24"/>
          <w:szCs w:val="24"/>
        </w:rPr>
      </w:pPr>
    </w:p>
    <w:p w14:paraId="16424997" w14:textId="1C0B9361" w:rsidR="00D4456E" w:rsidRPr="005D3BB6" w:rsidRDefault="00D4456E" w:rsidP="005D3BB6">
      <w:pPr>
        <w:tabs>
          <w:tab w:val="left" w:pos="2379"/>
        </w:tabs>
        <w:spacing w:line="360" w:lineRule="auto"/>
        <w:rPr>
          <w:rFonts w:ascii="Arial" w:hAnsi="Arial" w:cs="Arial"/>
          <w:sz w:val="24"/>
          <w:szCs w:val="24"/>
        </w:rPr>
      </w:pPr>
    </w:p>
    <w:p w14:paraId="0321A3DE" w14:textId="382A1D95" w:rsidR="00D4456E" w:rsidRPr="005D3BB6" w:rsidRDefault="00D4456E" w:rsidP="005D3BB6">
      <w:pPr>
        <w:tabs>
          <w:tab w:val="left" w:pos="2379"/>
        </w:tabs>
        <w:spacing w:line="360" w:lineRule="auto"/>
        <w:rPr>
          <w:rFonts w:ascii="Arial" w:hAnsi="Arial" w:cs="Arial"/>
          <w:sz w:val="24"/>
          <w:szCs w:val="24"/>
        </w:rPr>
      </w:pPr>
    </w:p>
    <w:p w14:paraId="245D7956" w14:textId="77777777" w:rsidR="00D4456E" w:rsidRPr="005D3BB6" w:rsidRDefault="00D4456E" w:rsidP="005D3BB6">
      <w:pPr>
        <w:tabs>
          <w:tab w:val="left" w:pos="2379"/>
        </w:tabs>
        <w:spacing w:line="360" w:lineRule="auto"/>
        <w:rPr>
          <w:rFonts w:ascii="Arial" w:hAnsi="Arial" w:cs="Arial"/>
          <w:sz w:val="24"/>
          <w:szCs w:val="24"/>
        </w:rPr>
        <w:sectPr w:rsidR="00D4456E" w:rsidRPr="005D3BB6" w:rsidSect="0063433E">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5F502A63" w14:textId="515E2926" w:rsidR="00D4456E" w:rsidRPr="005D3BB6" w:rsidRDefault="00D4456E" w:rsidP="005D3BB6">
      <w:pPr>
        <w:tabs>
          <w:tab w:val="left" w:pos="2379"/>
        </w:tabs>
        <w:spacing w:line="360" w:lineRule="auto"/>
        <w:rPr>
          <w:rFonts w:ascii="Arial" w:hAnsi="Arial" w:cs="Arial"/>
          <w:sz w:val="24"/>
          <w:szCs w:val="24"/>
        </w:rPr>
      </w:pPr>
    </w:p>
    <w:p w14:paraId="34BB1BC3" w14:textId="42EB98CB" w:rsidR="00D4456E" w:rsidRPr="005D3BB6" w:rsidRDefault="005D3BB6" w:rsidP="005D3BB6">
      <w:pPr>
        <w:pStyle w:val="Heading1"/>
        <w:spacing w:line="360" w:lineRule="auto"/>
        <w:rPr>
          <w:rFonts w:ascii="Arial" w:hAnsi="Arial" w:cs="Arial"/>
          <w:sz w:val="24"/>
          <w:szCs w:val="24"/>
        </w:rPr>
      </w:pPr>
      <w:bookmarkStart w:id="32" w:name="_Toc534372140"/>
      <w:r w:rsidRPr="005D3BB6">
        <w:rPr>
          <w:rFonts w:ascii="Arial" w:hAnsi="Arial" w:cs="Arial"/>
          <w:sz w:val="24"/>
          <w:szCs w:val="24"/>
        </w:rPr>
        <w:t xml:space="preserve">9.0 </w:t>
      </w:r>
      <w:r w:rsidR="00D4456E" w:rsidRPr="005D3BB6">
        <w:rPr>
          <w:rFonts w:ascii="Arial" w:hAnsi="Arial" w:cs="Arial"/>
          <w:sz w:val="24"/>
          <w:szCs w:val="24"/>
        </w:rPr>
        <w:t xml:space="preserve">Appendix </w:t>
      </w:r>
      <w:r w:rsidRPr="005D3BB6">
        <w:rPr>
          <w:rFonts w:ascii="Arial" w:hAnsi="Arial" w:cs="Arial"/>
          <w:sz w:val="24"/>
          <w:szCs w:val="24"/>
        </w:rPr>
        <w:t>2</w:t>
      </w:r>
      <w:r w:rsidR="00D4456E" w:rsidRPr="005D3BB6">
        <w:rPr>
          <w:rFonts w:ascii="Arial" w:hAnsi="Arial" w:cs="Arial"/>
          <w:sz w:val="24"/>
          <w:szCs w:val="24"/>
        </w:rPr>
        <w:t xml:space="preserve"> </w:t>
      </w:r>
      <w:r w:rsidR="000F619D" w:rsidRPr="005D3BB6">
        <w:rPr>
          <w:rFonts w:ascii="Arial" w:hAnsi="Arial" w:cs="Arial"/>
          <w:sz w:val="24"/>
          <w:szCs w:val="24"/>
        </w:rPr>
        <w:t>– Workforce training Programme</w:t>
      </w:r>
      <w:bookmarkEnd w:id="32"/>
    </w:p>
    <w:tbl>
      <w:tblPr>
        <w:tblW w:w="14148" w:type="dxa"/>
        <w:tblInd w:w="-108" w:type="dxa"/>
        <w:tblCellMar>
          <w:top w:w="10" w:type="dxa"/>
          <w:right w:w="115" w:type="dxa"/>
        </w:tblCellMar>
        <w:tblLook w:val="04A0" w:firstRow="1" w:lastRow="0" w:firstColumn="1" w:lastColumn="0" w:noHBand="0" w:noVBand="1"/>
      </w:tblPr>
      <w:tblGrid>
        <w:gridCol w:w="8325"/>
        <w:gridCol w:w="3827"/>
        <w:gridCol w:w="1996"/>
      </w:tblGrid>
      <w:tr w:rsidR="00D4456E" w:rsidRPr="005D3BB6" w14:paraId="59F38DC8" w14:textId="77777777" w:rsidTr="000F619D">
        <w:trPr>
          <w:trHeight w:val="838"/>
        </w:trPr>
        <w:tc>
          <w:tcPr>
            <w:tcW w:w="8325" w:type="dxa"/>
            <w:tcBorders>
              <w:top w:val="single" w:sz="4" w:space="0" w:color="000000"/>
              <w:left w:val="single" w:sz="4" w:space="0" w:color="000000"/>
              <w:bottom w:val="single" w:sz="4" w:space="0" w:color="000000"/>
              <w:right w:val="nil"/>
            </w:tcBorders>
          </w:tcPr>
          <w:p w14:paraId="7AA51209" w14:textId="77777777" w:rsidR="00D4456E" w:rsidRPr="005D3BB6" w:rsidRDefault="00D4456E" w:rsidP="005D3BB6">
            <w:pPr>
              <w:tabs>
                <w:tab w:val="left" w:pos="2379"/>
              </w:tabs>
              <w:spacing w:line="360" w:lineRule="auto"/>
              <w:rPr>
                <w:rFonts w:ascii="Arial" w:hAnsi="Arial" w:cs="Arial"/>
                <w:sz w:val="24"/>
                <w:szCs w:val="24"/>
              </w:rPr>
            </w:pPr>
          </w:p>
          <w:p w14:paraId="28426CC6" w14:textId="3EBAFAB3" w:rsidR="00D4456E" w:rsidRPr="005D3BB6" w:rsidRDefault="000F619D" w:rsidP="005D3BB6">
            <w:pPr>
              <w:tabs>
                <w:tab w:val="left" w:pos="2379"/>
              </w:tabs>
              <w:spacing w:line="360" w:lineRule="auto"/>
              <w:rPr>
                <w:rFonts w:ascii="Arial" w:hAnsi="Arial" w:cs="Arial"/>
                <w:sz w:val="24"/>
                <w:szCs w:val="24"/>
              </w:rPr>
            </w:pPr>
            <w:r w:rsidRPr="005D3BB6">
              <w:rPr>
                <w:rFonts w:ascii="Arial" w:hAnsi="Arial" w:cs="Arial"/>
                <w:sz w:val="24"/>
                <w:szCs w:val="24"/>
              </w:rPr>
              <w:t>Action Plan – 2019-2020</w:t>
            </w:r>
          </w:p>
        </w:tc>
        <w:tc>
          <w:tcPr>
            <w:tcW w:w="3827" w:type="dxa"/>
            <w:tcBorders>
              <w:top w:val="single" w:sz="4" w:space="0" w:color="000000"/>
              <w:left w:val="nil"/>
              <w:bottom w:val="single" w:sz="4" w:space="0" w:color="000000"/>
              <w:right w:val="nil"/>
            </w:tcBorders>
          </w:tcPr>
          <w:p w14:paraId="1753BD80" w14:textId="77777777"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 </w:t>
            </w:r>
          </w:p>
        </w:tc>
        <w:tc>
          <w:tcPr>
            <w:tcW w:w="1996" w:type="dxa"/>
            <w:tcBorders>
              <w:top w:val="single" w:sz="4" w:space="0" w:color="000000"/>
              <w:left w:val="nil"/>
              <w:bottom w:val="single" w:sz="4" w:space="0" w:color="000000"/>
              <w:right w:val="single" w:sz="4" w:space="0" w:color="000000"/>
            </w:tcBorders>
          </w:tcPr>
          <w:p w14:paraId="02999B9D" w14:textId="77777777"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 </w:t>
            </w:r>
          </w:p>
        </w:tc>
      </w:tr>
      <w:tr w:rsidR="00D4456E" w:rsidRPr="005D3BB6" w14:paraId="3738F487" w14:textId="77777777" w:rsidTr="000F619D">
        <w:trPr>
          <w:trHeight w:val="6335"/>
        </w:trPr>
        <w:tc>
          <w:tcPr>
            <w:tcW w:w="8325" w:type="dxa"/>
            <w:tcBorders>
              <w:top w:val="single" w:sz="4" w:space="0" w:color="000000"/>
              <w:left w:val="single" w:sz="4" w:space="0" w:color="000000"/>
              <w:bottom w:val="single" w:sz="4" w:space="0" w:color="000000"/>
              <w:right w:val="single" w:sz="4" w:space="0" w:color="000000"/>
            </w:tcBorders>
          </w:tcPr>
          <w:p w14:paraId="15C69717" w14:textId="5DE37AD2" w:rsidR="00D4456E" w:rsidRPr="005D3BB6" w:rsidRDefault="000F619D" w:rsidP="005D3BB6">
            <w:pPr>
              <w:tabs>
                <w:tab w:val="left" w:pos="2379"/>
              </w:tabs>
              <w:spacing w:line="360" w:lineRule="auto"/>
              <w:rPr>
                <w:rFonts w:ascii="Arial" w:hAnsi="Arial" w:cs="Arial"/>
                <w:i/>
                <w:sz w:val="24"/>
                <w:szCs w:val="24"/>
              </w:rPr>
            </w:pPr>
            <w:r w:rsidRPr="005D3BB6">
              <w:rPr>
                <w:rFonts w:ascii="Arial" w:hAnsi="Arial" w:cs="Arial"/>
                <w:i/>
                <w:sz w:val="24"/>
                <w:szCs w:val="24"/>
              </w:rPr>
              <w:t>A</w:t>
            </w:r>
            <w:r w:rsidR="00D4456E" w:rsidRPr="005D3BB6">
              <w:rPr>
                <w:rFonts w:ascii="Arial" w:hAnsi="Arial" w:cs="Arial"/>
                <w:i/>
                <w:sz w:val="24"/>
                <w:szCs w:val="24"/>
              </w:rPr>
              <w:t xml:space="preserve">ctions  </w:t>
            </w:r>
          </w:p>
          <w:p w14:paraId="7AEBB5A8" w14:textId="77777777" w:rsidR="000F619D" w:rsidRPr="005D3BB6" w:rsidRDefault="000F619D" w:rsidP="005D3BB6">
            <w:pPr>
              <w:tabs>
                <w:tab w:val="left" w:pos="2379"/>
              </w:tabs>
              <w:spacing w:line="360" w:lineRule="auto"/>
              <w:rPr>
                <w:rFonts w:ascii="Arial" w:hAnsi="Arial" w:cs="Arial"/>
                <w:sz w:val="24"/>
                <w:szCs w:val="24"/>
              </w:rPr>
            </w:pPr>
          </w:p>
          <w:p w14:paraId="0AB14B4C" w14:textId="13028D60" w:rsidR="005D4233"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A statement of policy linking our existing core values to commitment to equality and </w:t>
            </w:r>
            <w:r w:rsidR="005D4233" w:rsidRPr="005D3BB6">
              <w:rPr>
                <w:rFonts w:ascii="Arial" w:hAnsi="Arial" w:cs="Arial"/>
                <w:sz w:val="24"/>
                <w:szCs w:val="24"/>
              </w:rPr>
              <w:t xml:space="preserve">training </w:t>
            </w:r>
            <w:r w:rsidRPr="005D3BB6">
              <w:rPr>
                <w:rFonts w:ascii="Arial" w:hAnsi="Arial" w:cs="Arial"/>
                <w:sz w:val="24"/>
                <w:szCs w:val="24"/>
              </w:rPr>
              <w:t xml:space="preserve">accessibility </w:t>
            </w:r>
            <w:r w:rsidR="005D4233" w:rsidRPr="005D3BB6">
              <w:rPr>
                <w:rFonts w:ascii="Arial" w:hAnsi="Arial" w:cs="Arial"/>
                <w:sz w:val="24"/>
                <w:szCs w:val="24"/>
              </w:rPr>
              <w:t>should be</w:t>
            </w:r>
            <w:r w:rsidRPr="005D3BB6">
              <w:rPr>
                <w:rFonts w:ascii="Arial" w:hAnsi="Arial" w:cs="Arial"/>
                <w:sz w:val="24"/>
                <w:szCs w:val="24"/>
              </w:rPr>
              <w:t xml:space="preserve"> developed by the board and the executive. </w:t>
            </w:r>
          </w:p>
          <w:p w14:paraId="7D5E7C21" w14:textId="2EF19BF9"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Once the policy is agreed, this should be communicated across the organisation in a clear and meaningful way. </w:t>
            </w:r>
          </w:p>
          <w:p w14:paraId="4156C030" w14:textId="46FFBFB7"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Equality champions should be identified at executive level.  </w:t>
            </w:r>
          </w:p>
          <w:p w14:paraId="03B5F648" w14:textId="277C1780"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Equality champions should be identified to cover: </w:t>
            </w:r>
          </w:p>
          <w:p w14:paraId="76B5C826" w14:textId="77777777" w:rsidR="00D4456E" w:rsidRPr="005D3BB6" w:rsidRDefault="00D4456E" w:rsidP="005D3BB6">
            <w:pPr>
              <w:pStyle w:val="ListParagraph"/>
              <w:numPr>
                <w:ilvl w:val="0"/>
                <w:numId w:val="11"/>
              </w:numPr>
              <w:tabs>
                <w:tab w:val="left" w:pos="2379"/>
              </w:tabs>
              <w:spacing w:line="360" w:lineRule="auto"/>
              <w:rPr>
                <w:rFonts w:ascii="Arial" w:hAnsi="Arial" w:cs="Arial"/>
                <w:sz w:val="24"/>
                <w:szCs w:val="24"/>
              </w:rPr>
            </w:pPr>
            <w:r w:rsidRPr="005D3BB6">
              <w:rPr>
                <w:rFonts w:ascii="Arial" w:hAnsi="Arial" w:cs="Arial"/>
                <w:sz w:val="24"/>
                <w:szCs w:val="24"/>
              </w:rPr>
              <w:t xml:space="preserve">leadership and strategy </w:t>
            </w:r>
          </w:p>
          <w:p w14:paraId="36CC4926" w14:textId="77777777" w:rsidR="00D4456E" w:rsidRPr="005D3BB6" w:rsidRDefault="00D4456E" w:rsidP="005D3BB6">
            <w:pPr>
              <w:pStyle w:val="ListParagraph"/>
              <w:numPr>
                <w:ilvl w:val="0"/>
                <w:numId w:val="11"/>
              </w:numPr>
              <w:tabs>
                <w:tab w:val="left" w:pos="2379"/>
              </w:tabs>
              <w:spacing w:line="360" w:lineRule="auto"/>
              <w:rPr>
                <w:rFonts w:ascii="Arial" w:hAnsi="Arial" w:cs="Arial"/>
                <w:sz w:val="24"/>
                <w:szCs w:val="24"/>
              </w:rPr>
            </w:pPr>
            <w:r w:rsidRPr="005D3BB6">
              <w:rPr>
                <w:rFonts w:ascii="Arial" w:hAnsi="Arial" w:cs="Arial"/>
                <w:sz w:val="24"/>
                <w:szCs w:val="24"/>
              </w:rPr>
              <w:t xml:space="preserve">access and inclusion </w:t>
            </w:r>
          </w:p>
          <w:p w14:paraId="561F0DA5" w14:textId="77777777" w:rsidR="00D4456E" w:rsidRPr="005D3BB6" w:rsidRDefault="00D4456E" w:rsidP="005D3BB6">
            <w:pPr>
              <w:pStyle w:val="ListParagraph"/>
              <w:numPr>
                <w:ilvl w:val="0"/>
                <w:numId w:val="11"/>
              </w:numPr>
              <w:tabs>
                <w:tab w:val="left" w:pos="2379"/>
              </w:tabs>
              <w:spacing w:line="360" w:lineRule="auto"/>
              <w:rPr>
                <w:rFonts w:ascii="Arial" w:hAnsi="Arial" w:cs="Arial"/>
                <w:sz w:val="24"/>
                <w:szCs w:val="24"/>
              </w:rPr>
            </w:pPr>
            <w:r w:rsidRPr="005D3BB6">
              <w:rPr>
                <w:rFonts w:ascii="Arial" w:hAnsi="Arial" w:cs="Arial"/>
                <w:sz w:val="24"/>
                <w:szCs w:val="24"/>
              </w:rPr>
              <w:t xml:space="preserve">service delivery </w:t>
            </w:r>
          </w:p>
          <w:p w14:paraId="4C9CE3CC" w14:textId="278027AE" w:rsidR="00D4456E" w:rsidRPr="005D3BB6" w:rsidRDefault="00D4456E" w:rsidP="005D3BB6">
            <w:pPr>
              <w:pStyle w:val="ListParagraph"/>
              <w:numPr>
                <w:ilvl w:val="0"/>
                <w:numId w:val="11"/>
              </w:numPr>
              <w:tabs>
                <w:tab w:val="left" w:pos="2379"/>
              </w:tabs>
              <w:spacing w:line="360" w:lineRule="auto"/>
              <w:rPr>
                <w:rFonts w:ascii="Arial" w:hAnsi="Arial" w:cs="Arial"/>
                <w:sz w:val="24"/>
                <w:szCs w:val="24"/>
              </w:rPr>
            </w:pPr>
            <w:r w:rsidRPr="005D3BB6">
              <w:rPr>
                <w:rFonts w:ascii="Arial" w:hAnsi="Arial" w:cs="Arial"/>
                <w:sz w:val="24"/>
                <w:szCs w:val="24"/>
              </w:rPr>
              <w:t xml:space="preserve">recruitment, procurement and workforce diversity  </w:t>
            </w:r>
          </w:p>
          <w:p w14:paraId="5A4F768C" w14:textId="5B928262" w:rsidR="000F619D"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lastRenderedPageBreak/>
              <w:t xml:space="preserve">Targeted and appropriate training and support will be provided to: </w:t>
            </w:r>
          </w:p>
          <w:p w14:paraId="4FAAFCAB" w14:textId="2A1748C5" w:rsidR="00D4456E" w:rsidRPr="005D3BB6" w:rsidRDefault="00D4456E" w:rsidP="005D3BB6">
            <w:pPr>
              <w:tabs>
                <w:tab w:val="left" w:pos="2379"/>
              </w:tabs>
              <w:spacing w:line="360" w:lineRule="auto"/>
              <w:ind w:left="720"/>
              <w:rPr>
                <w:rFonts w:ascii="Arial" w:hAnsi="Arial" w:cs="Arial"/>
                <w:sz w:val="24"/>
                <w:szCs w:val="24"/>
              </w:rPr>
            </w:pPr>
            <w:r w:rsidRPr="005D3BB6">
              <w:rPr>
                <w:rFonts w:ascii="Arial" w:hAnsi="Arial" w:cs="Arial"/>
                <w:sz w:val="24"/>
                <w:szCs w:val="24"/>
              </w:rPr>
              <w:t xml:space="preserve">members of the customer service group  </w:t>
            </w:r>
          </w:p>
          <w:p w14:paraId="6DAC1D2F" w14:textId="77777777" w:rsidR="00D4456E" w:rsidRPr="005D3BB6" w:rsidRDefault="00D4456E" w:rsidP="005D3BB6">
            <w:pPr>
              <w:tabs>
                <w:tab w:val="left" w:pos="2379"/>
              </w:tabs>
              <w:spacing w:line="360" w:lineRule="auto"/>
              <w:ind w:left="720"/>
              <w:rPr>
                <w:rFonts w:ascii="Arial" w:hAnsi="Arial" w:cs="Arial"/>
                <w:sz w:val="24"/>
                <w:szCs w:val="24"/>
              </w:rPr>
            </w:pPr>
            <w:r w:rsidRPr="005D3BB6">
              <w:rPr>
                <w:rFonts w:ascii="Arial" w:hAnsi="Arial" w:cs="Arial"/>
                <w:sz w:val="24"/>
                <w:szCs w:val="24"/>
              </w:rPr>
              <w:t xml:space="preserve">equality champions </w:t>
            </w:r>
          </w:p>
          <w:p w14:paraId="7EE897F2" w14:textId="77777777"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 </w:t>
            </w:r>
          </w:p>
        </w:tc>
        <w:tc>
          <w:tcPr>
            <w:tcW w:w="3827" w:type="dxa"/>
            <w:tcBorders>
              <w:top w:val="single" w:sz="4" w:space="0" w:color="000000"/>
              <w:left w:val="single" w:sz="4" w:space="0" w:color="000000"/>
              <w:bottom w:val="single" w:sz="4" w:space="0" w:color="000000"/>
              <w:right w:val="single" w:sz="4" w:space="0" w:color="000000"/>
            </w:tcBorders>
          </w:tcPr>
          <w:p w14:paraId="4F5CA856" w14:textId="6FD26CD0" w:rsidR="00D4456E" w:rsidRPr="005D3BB6" w:rsidRDefault="000F619D" w:rsidP="005D3BB6">
            <w:pPr>
              <w:tabs>
                <w:tab w:val="left" w:pos="2379"/>
              </w:tabs>
              <w:spacing w:line="360" w:lineRule="auto"/>
              <w:rPr>
                <w:rFonts w:ascii="Arial" w:hAnsi="Arial" w:cs="Arial"/>
                <w:sz w:val="24"/>
                <w:szCs w:val="24"/>
              </w:rPr>
            </w:pPr>
            <w:r w:rsidRPr="005D3BB6">
              <w:rPr>
                <w:rFonts w:ascii="Arial" w:hAnsi="Arial" w:cs="Arial"/>
                <w:i/>
                <w:sz w:val="24"/>
                <w:szCs w:val="24"/>
              </w:rPr>
              <w:lastRenderedPageBreak/>
              <w:t>T</w:t>
            </w:r>
            <w:r w:rsidR="00D4456E" w:rsidRPr="005D3BB6">
              <w:rPr>
                <w:rFonts w:ascii="Arial" w:hAnsi="Arial" w:cs="Arial"/>
                <w:i/>
                <w:sz w:val="24"/>
                <w:szCs w:val="24"/>
              </w:rPr>
              <w:t xml:space="preserve">imings  </w:t>
            </w:r>
          </w:p>
          <w:p w14:paraId="3B7FD21E" w14:textId="21223E05"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 </w:t>
            </w:r>
          </w:p>
          <w:p w14:paraId="45F7A953" w14:textId="09E5C2CC"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Initial communication complete but repeat on regular basis </w:t>
            </w:r>
          </w:p>
          <w:p w14:paraId="0E0A8E1B" w14:textId="4C138D5B" w:rsidR="000F619D"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 </w:t>
            </w:r>
          </w:p>
          <w:p w14:paraId="1320700F" w14:textId="10CDB5B1"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Q2 20</w:t>
            </w:r>
            <w:r w:rsidR="005D4233" w:rsidRPr="005D3BB6">
              <w:rPr>
                <w:rFonts w:ascii="Arial" w:hAnsi="Arial" w:cs="Arial"/>
                <w:sz w:val="24"/>
                <w:szCs w:val="24"/>
              </w:rPr>
              <w:t>20</w:t>
            </w:r>
          </w:p>
          <w:p w14:paraId="313332EE" w14:textId="2DA4819D" w:rsidR="00D4456E" w:rsidRPr="005D3BB6" w:rsidRDefault="00D4456E" w:rsidP="005D3BB6">
            <w:pPr>
              <w:tabs>
                <w:tab w:val="left" w:pos="2379"/>
              </w:tabs>
              <w:spacing w:line="360" w:lineRule="auto"/>
              <w:rPr>
                <w:rFonts w:ascii="Arial" w:hAnsi="Arial" w:cs="Arial"/>
                <w:sz w:val="24"/>
                <w:szCs w:val="24"/>
              </w:rPr>
            </w:pPr>
          </w:p>
          <w:p w14:paraId="1435AF94" w14:textId="61031316"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Q2 20</w:t>
            </w:r>
            <w:r w:rsidR="005D4233" w:rsidRPr="005D3BB6">
              <w:rPr>
                <w:rFonts w:ascii="Arial" w:hAnsi="Arial" w:cs="Arial"/>
                <w:sz w:val="24"/>
                <w:szCs w:val="24"/>
              </w:rPr>
              <w:t>20</w:t>
            </w:r>
            <w:r w:rsidRPr="005D3BB6">
              <w:rPr>
                <w:rFonts w:ascii="Arial" w:hAnsi="Arial" w:cs="Arial"/>
                <w:sz w:val="24"/>
                <w:szCs w:val="24"/>
              </w:rPr>
              <w:t xml:space="preserve"> </w:t>
            </w:r>
          </w:p>
          <w:p w14:paraId="78CE9D69" w14:textId="6E423B0C" w:rsidR="00D4456E" w:rsidRPr="005D3BB6" w:rsidRDefault="00D4456E" w:rsidP="005D3BB6">
            <w:pPr>
              <w:tabs>
                <w:tab w:val="left" w:pos="2379"/>
              </w:tabs>
              <w:spacing w:line="360" w:lineRule="auto"/>
              <w:rPr>
                <w:rFonts w:ascii="Arial" w:hAnsi="Arial" w:cs="Arial"/>
                <w:sz w:val="24"/>
                <w:szCs w:val="24"/>
              </w:rPr>
            </w:pPr>
          </w:p>
          <w:p w14:paraId="2979BC5B" w14:textId="0D8EB2E7"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Q3 20</w:t>
            </w:r>
            <w:r w:rsidR="000F619D" w:rsidRPr="005D3BB6">
              <w:rPr>
                <w:rFonts w:ascii="Arial" w:hAnsi="Arial" w:cs="Arial"/>
                <w:sz w:val="24"/>
                <w:szCs w:val="24"/>
              </w:rPr>
              <w:t>20</w:t>
            </w:r>
            <w:r w:rsidRPr="005D3BB6">
              <w:rPr>
                <w:rFonts w:ascii="Arial" w:hAnsi="Arial" w:cs="Arial"/>
                <w:sz w:val="24"/>
                <w:szCs w:val="24"/>
              </w:rPr>
              <w:t xml:space="preserve"> </w:t>
            </w:r>
          </w:p>
          <w:p w14:paraId="3E3BC899" w14:textId="4CA600CC"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Q3 20</w:t>
            </w:r>
            <w:r w:rsidR="000F619D" w:rsidRPr="005D3BB6">
              <w:rPr>
                <w:rFonts w:ascii="Arial" w:hAnsi="Arial" w:cs="Arial"/>
                <w:sz w:val="24"/>
                <w:szCs w:val="24"/>
              </w:rPr>
              <w:t>20</w:t>
            </w:r>
          </w:p>
        </w:tc>
        <w:tc>
          <w:tcPr>
            <w:tcW w:w="1996" w:type="dxa"/>
            <w:tcBorders>
              <w:top w:val="single" w:sz="4" w:space="0" w:color="000000"/>
              <w:left w:val="single" w:sz="4" w:space="0" w:color="000000"/>
              <w:bottom w:val="single" w:sz="4" w:space="0" w:color="000000"/>
              <w:right w:val="single" w:sz="4" w:space="0" w:color="000000"/>
            </w:tcBorders>
          </w:tcPr>
          <w:p w14:paraId="168B71BF" w14:textId="07ACB59D"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i/>
                <w:sz w:val="24"/>
                <w:szCs w:val="24"/>
              </w:rPr>
              <w:t xml:space="preserve"> </w:t>
            </w:r>
            <w:r w:rsidR="000F619D" w:rsidRPr="005D3BB6">
              <w:rPr>
                <w:rFonts w:ascii="Arial" w:hAnsi="Arial" w:cs="Arial"/>
                <w:i/>
                <w:sz w:val="24"/>
                <w:szCs w:val="24"/>
              </w:rPr>
              <w:t>By Who</w:t>
            </w:r>
          </w:p>
          <w:p w14:paraId="4637330E" w14:textId="77777777" w:rsidR="000F619D" w:rsidRPr="005D3BB6" w:rsidRDefault="000F619D" w:rsidP="005D3BB6">
            <w:pPr>
              <w:tabs>
                <w:tab w:val="left" w:pos="2379"/>
              </w:tabs>
              <w:spacing w:line="360" w:lineRule="auto"/>
              <w:rPr>
                <w:rFonts w:ascii="Arial" w:hAnsi="Arial" w:cs="Arial"/>
                <w:i/>
                <w:sz w:val="24"/>
                <w:szCs w:val="24"/>
              </w:rPr>
            </w:pPr>
          </w:p>
          <w:p w14:paraId="7E976FE5" w14:textId="5818B07B" w:rsidR="00D4456E" w:rsidRPr="005D3BB6" w:rsidRDefault="005D4233" w:rsidP="005D3BB6">
            <w:pPr>
              <w:tabs>
                <w:tab w:val="left" w:pos="2379"/>
              </w:tabs>
              <w:spacing w:line="360" w:lineRule="auto"/>
              <w:rPr>
                <w:rFonts w:ascii="Arial" w:hAnsi="Arial" w:cs="Arial"/>
                <w:sz w:val="24"/>
                <w:szCs w:val="24"/>
              </w:rPr>
            </w:pPr>
            <w:r w:rsidRPr="005D3BB6">
              <w:rPr>
                <w:rFonts w:ascii="Arial" w:hAnsi="Arial" w:cs="Arial"/>
                <w:i/>
                <w:sz w:val="24"/>
                <w:szCs w:val="24"/>
              </w:rPr>
              <w:t>E</w:t>
            </w:r>
            <w:r w:rsidR="00D4456E" w:rsidRPr="005D3BB6">
              <w:rPr>
                <w:rFonts w:ascii="Arial" w:hAnsi="Arial" w:cs="Arial"/>
                <w:i/>
                <w:sz w:val="24"/>
                <w:szCs w:val="24"/>
              </w:rPr>
              <w:t>xecutive</w:t>
            </w:r>
            <w:r w:rsidRPr="005D3BB6">
              <w:rPr>
                <w:rFonts w:ascii="Arial" w:hAnsi="Arial" w:cs="Arial"/>
                <w:i/>
                <w:sz w:val="24"/>
                <w:szCs w:val="24"/>
              </w:rPr>
              <w:t xml:space="preserve"> CEO</w:t>
            </w:r>
          </w:p>
          <w:p w14:paraId="12AC9749" w14:textId="77777777"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 </w:t>
            </w:r>
          </w:p>
          <w:p w14:paraId="02347F00" w14:textId="77777777"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all executive directors </w:t>
            </w:r>
          </w:p>
          <w:p w14:paraId="0E0F8618" w14:textId="72ABEC3F"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 </w:t>
            </w:r>
          </w:p>
          <w:p w14:paraId="2D21CD66" w14:textId="3331A440"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chief executive </w:t>
            </w:r>
          </w:p>
          <w:p w14:paraId="04D18F9C" w14:textId="77777777"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HR director </w:t>
            </w:r>
          </w:p>
          <w:p w14:paraId="767F0712" w14:textId="77777777"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communications director </w:t>
            </w:r>
          </w:p>
          <w:p w14:paraId="694F183E" w14:textId="336723BF"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lastRenderedPageBreak/>
              <w:t xml:space="preserve">communications director operations director </w:t>
            </w:r>
          </w:p>
          <w:p w14:paraId="4A3A3CBD" w14:textId="77777777" w:rsidR="00D4456E" w:rsidRPr="005D3BB6" w:rsidRDefault="00D4456E" w:rsidP="005D3BB6">
            <w:pPr>
              <w:tabs>
                <w:tab w:val="left" w:pos="2379"/>
              </w:tabs>
              <w:spacing w:line="360" w:lineRule="auto"/>
              <w:rPr>
                <w:rFonts w:ascii="Arial" w:hAnsi="Arial" w:cs="Arial"/>
                <w:sz w:val="24"/>
                <w:szCs w:val="24"/>
              </w:rPr>
            </w:pPr>
            <w:r w:rsidRPr="005D3BB6">
              <w:rPr>
                <w:rFonts w:ascii="Arial" w:hAnsi="Arial" w:cs="Arial"/>
                <w:sz w:val="24"/>
                <w:szCs w:val="24"/>
              </w:rPr>
              <w:t xml:space="preserve"> </w:t>
            </w:r>
          </w:p>
        </w:tc>
      </w:tr>
    </w:tbl>
    <w:p w14:paraId="3D6DDF63" w14:textId="77777777" w:rsidR="00D4456E" w:rsidRPr="00392F2B" w:rsidRDefault="00D4456E" w:rsidP="00392F2B">
      <w:pPr>
        <w:tabs>
          <w:tab w:val="left" w:pos="2379"/>
        </w:tabs>
      </w:pPr>
    </w:p>
    <w:sectPr w:rsidR="00D4456E" w:rsidRPr="00392F2B" w:rsidSect="00D4456E">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30B45D" w14:textId="77777777" w:rsidR="0034284D" w:rsidRDefault="0034284D" w:rsidP="005B1A2C">
      <w:pPr>
        <w:spacing w:after="0" w:line="240" w:lineRule="auto"/>
      </w:pPr>
      <w:r>
        <w:separator/>
      </w:r>
    </w:p>
  </w:endnote>
  <w:endnote w:type="continuationSeparator" w:id="0">
    <w:p w14:paraId="29274A28" w14:textId="77777777" w:rsidR="0034284D" w:rsidRDefault="0034284D" w:rsidP="005B1A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Segoe UI Symbol">
    <w:charset w:val="00"/>
    <w:family w:val="swiss"/>
    <w:pitch w:val="variable"/>
    <w:sig w:usb0="800001E3" w:usb1="1200FFEF" w:usb2="00040000" w:usb3="00000000" w:csb0="00000001"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9123279"/>
      <w:docPartObj>
        <w:docPartGallery w:val="Page Numbers (Bottom of Page)"/>
        <w:docPartUnique/>
      </w:docPartObj>
    </w:sdtPr>
    <w:sdtEndPr>
      <w:rPr>
        <w:noProof/>
      </w:rPr>
    </w:sdtEndPr>
    <w:sdtContent>
      <w:p w14:paraId="0CA679BE" w14:textId="412B9B66" w:rsidR="00ED6B62" w:rsidRDefault="00ED6B62">
        <w:pPr>
          <w:pStyle w:val="Footer"/>
          <w:jc w:val="center"/>
        </w:pPr>
        <w:r>
          <w:fldChar w:fldCharType="begin"/>
        </w:r>
        <w:r>
          <w:instrText xml:space="preserve"> PAGE   \* MERGEFORMAT </w:instrText>
        </w:r>
        <w:r>
          <w:fldChar w:fldCharType="separate"/>
        </w:r>
        <w:r w:rsidR="00C514E8">
          <w:rPr>
            <w:noProof/>
          </w:rPr>
          <w:t>1</w:t>
        </w:r>
        <w:r>
          <w:rPr>
            <w:noProof/>
          </w:rPr>
          <w:fldChar w:fldCharType="end"/>
        </w:r>
      </w:p>
    </w:sdtContent>
  </w:sdt>
  <w:p w14:paraId="0E8CE3C1" w14:textId="77777777" w:rsidR="00ED6B62" w:rsidRDefault="00ED6B6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9E480B" w14:textId="77777777" w:rsidR="0034284D" w:rsidRDefault="0034284D" w:rsidP="005B1A2C">
      <w:pPr>
        <w:spacing w:after="0" w:line="240" w:lineRule="auto"/>
      </w:pPr>
      <w:r>
        <w:separator/>
      </w:r>
    </w:p>
  </w:footnote>
  <w:footnote w:type="continuationSeparator" w:id="0">
    <w:p w14:paraId="3E0A61D0" w14:textId="77777777" w:rsidR="0034284D" w:rsidRDefault="0034284D" w:rsidP="005B1A2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A82FAC"/>
    <w:multiLevelType w:val="multilevel"/>
    <w:tmpl w:val="4314A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25479A5"/>
    <w:multiLevelType w:val="hybridMultilevel"/>
    <w:tmpl w:val="036465C8"/>
    <w:lvl w:ilvl="0" w:tplc="1910E598">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8804426">
      <w:start w:val="1"/>
      <w:numFmt w:val="bullet"/>
      <w:lvlText w:val="o"/>
      <w:lvlJc w:val="left"/>
      <w:pPr>
        <w:ind w:left="152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646A46C">
      <w:start w:val="1"/>
      <w:numFmt w:val="bullet"/>
      <w:lvlText w:val="▪"/>
      <w:lvlJc w:val="left"/>
      <w:pPr>
        <w:ind w:left="224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090EDB0">
      <w:start w:val="1"/>
      <w:numFmt w:val="bullet"/>
      <w:lvlText w:val="•"/>
      <w:lvlJc w:val="left"/>
      <w:pPr>
        <w:ind w:left="29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7147404">
      <w:start w:val="1"/>
      <w:numFmt w:val="bullet"/>
      <w:lvlText w:val="o"/>
      <w:lvlJc w:val="left"/>
      <w:pPr>
        <w:ind w:left="368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9F6885C">
      <w:start w:val="1"/>
      <w:numFmt w:val="bullet"/>
      <w:lvlText w:val="▪"/>
      <w:lvlJc w:val="left"/>
      <w:pPr>
        <w:ind w:left="440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B36F7CA">
      <w:start w:val="1"/>
      <w:numFmt w:val="bullet"/>
      <w:lvlText w:val="•"/>
      <w:lvlJc w:val="left"/>
      <w:pPr>
        <w:ind w:left="512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6B088BE">
      <w:start w:val="1"/>
      <w:numFmt w:val="bullet"/>
      <w:lvlText w:val="o"/>
      <w:lvlJc w:val="left"/>
      <w:pPr>
        <w:ind w:left="584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D58A9DE">
      <w:start w:val="1"/>
      <w:numFmt w:val="bullet"/>
      <w:lvlText w:val="▪"/>
      <w:lvlJc w:val="left"/>
      <w:pPr>
        <w:ind w:left="656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nsid w:val="13357D18"/>
    <w:multiLevelType w:val="hybridMultilevel"/>
    <w:tmpl w:val="1F789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DC678E8"/>
    <w:multiLevelType w:val="hybridMultilevel"/>
    <w:tmpl w:val="692E77BA"/>
    <w:lvl w:ilvl="0" w:tplc="7A9C599C">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02F722">
      <w:start w:val="1"/>
      <w:numFmt w:val="bullet"/>
      <w:lvlText w:val="o"/>
      <w:lvlJc w:val="left"/>
      <w:pPr>
        <w:ind w:left="11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9FECC414">
      <w:start w:val="1"/>
      <w:numFmt w:val="bullet"/>
      <w:lvlText w:val="▪"/>
      <w:lvlJc w:val="left"/>
      <w:pPr>
        <w:ind w:left="19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1BCCFB2">
      <w:start w:val="1"/>
      <w:numFmt w:val="bullet"/>
      <w:lvlText w:val="•"/>
      <w:lvlJc w:val="left"/>
      <w:pPr>
        <w:ind w:left="263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E56CBB6">
      <w:start w:val="1"/>
      <w:numFmt w:val="bullet"/>
      <w:lvlText w:val="o"/>
      <w:lvlJc w:val="left"/>
      <w:pPr>
        <w:ind w:left="33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31C44C2">
      <w:start w:val="1"/>
      <w:numFmt w:val="bullet"/>
      <w:lvlText w:val="▪"/>
      <w:lvlJc w:val="left"/>
      <w:pPr>
        <w:ind w:left="40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E442E42">
      <w:start w:val="1"/>
      <w:numFmt w:val="bullet"/>
      <w:lvlText w:val="•"/>
      <w:lvlJc w:val="left"/>
      <w:pPr>
        <w:ind w:left="47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AC45774">
      <w:start w:val="1"/>
      <w:numFmt w:val="bullet"/>
      <w:lvlText w:val="o"/>
      <w:lvlJc w:val="left"/>
      <w:pPr>
        <w:ind w:left="55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382E748">
      <w:start w:val="1"/>
      <w:numFmt w:val="bullet"/>
      <w:lvlText w:val="▪"/>
      <w:lvlJc w:val="left"/>
      <w:pPr>
        <w:ind w:left="62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nsid w:val="22FC5B92"/>
    <w:multiLevelType w:val="hybridMultilevel"/>
    <w:tmpl w:val="8A9AE1A0"/>
    <w:lvl w:ilvl="0" w:tplc="6E8A0838">
      <w:start w:val="1"/>
      <w:numFmt w:val="bullet"/>
      <w:lvlText w:val="•"/>
      <w:lvlJc w:val="left"/>
      <w:pPr>
        <w:ind w:left="334"/>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8E468DAC">
      <w:start w:val="1"/>
      <w:numFmt w:val="bullet"/>
      <w:lvlText w:val="o"/>
      <w:lvlJc w:val="left"/>
      <w:pPr>
        <w:ind w:left="1413"/>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992A4F40">
      <w:start w:val="1"/>
      <w:numFmt w:val="bullet"/>
      <w:lvlText w:val="▪"/>
      <w:lvlJc w:val="left"/>
      <w:pPr>
        <w:ind w:left="2133"/>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C70E12F8">
      <w:start w:val="1"/>
      <w:numFmt w:val="bullet"/>
      <w:lvlText w:val="•"/>
      <w:lvlJc w:val="left"/>
      <w:pPr>
        <w:ind w:left="2853"/>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119037D4">
      <w:start w:val="1"/>
      <w:numFmt w:val="bullet"/>
      <w:lvlText w:val="o"/>
      <w:lvlJc w:val="left"/>
      <w:pPr>
        <w:ind w:left="3573"/>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1C5A124C">
      <w:start w:val="1"/>
      <w:numFmt w:val="bullet"/>
      <w:lvlText w:val="▪"/>
      <w:lvlJc w:val="left"/>
      <w:pPr>
        <w:ind w:left="4293"/>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61B602A2">
      <w:start w:val="1"/>
      <w:numFmt w:val="bullet"/>
      <w:lvlText w:val="•"/>
      <w:lvlJc w:val="left"/>
      <w:pPr>
        <w:ind w:left="5013"/>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6406A3C0">
      <w:start w:val="1"/>
      <w:numFmt w:val="bullet"/>
      <w:lvlText w:val="o"/>
      <w:lvlJc w:val="left"/>
      <w:pPr>
        <w:ind w:left="5733"/>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8466BD46">
      <w:start w:val="1"/>
      <w:numFmt w:val="bullet"/>
      <w:lvlText w:val="▪"/>
      <w:lvlJc w:val="left"/>
      <w:pPr>
        <w:ind w:left="6453"/>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5">
    <w:nsid w:val="2AC04289"/>
    <w:multiLevelType w:val="hybridMultilevel"/>
    <w:tmpl w:val="FD6CC86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2D6A7D96"/>
    <w:multiLevelType w:val="hybridMultilevel"/>
    <w:tmpl w:val="4D226598"/>
    <w:lvl w:ilvl="0" w:tplc="FBFA4D26">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E12FF82">
      <w:start w:val="1"/>
      <w:numFmt w:val="bullet"/>
      <w:lvlText w:val="o"/>
      <w:lvlJc w:val="left"/>
      <w:pPr>
        <w:ind w:left="11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344A88C">
      <w:start w:val="1"/>
      <w:numFmt w:val="bullet"/>
      <w:lvlText w:val="▪"/>
      <w:lvlJc w:val="left"/>
      <w:pPr>
        <w:ind w:left="19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20ADBA2">
      <w:start w:val="1"/>
      <w:numFmt w:val="bullet"/>
      <w:lvlText w:val="•"/>
      <w:lvlJc w:val="left"/>
      <w:pPr>
        <w:ind w:left="263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6C4293C">
      <w:start w:val="1"/>
      <w:numFmt w:val="bullet"/>
      <w:lvlText w:val="o"/>
      <w:lvlJc w:val="left"/>
      <w:pPr>
        <w:ind w:left="33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FC0E24E">
      <w:start w:val="1"/>
      <w:numFmt w:val="bullet"/>
      <w:lvlText w:val="▪"/>
      <w:lvlJc w:val="left"/>
      <w:pPr>
        <w:ind w:left="40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F9ABEEE">
      <w:start w:val="1"/>
      <w:numFmt w:val="bullet"/>
      <w:lvlText w:val="•"/>
      <w:lvlJc w:val="left"/>
      <w:pPr>
        <w:ind w:left="47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C909B6A">
      <w:start w:val="1"/>
      <w:numFmt w:val="bullet"/>
      <w:lvlText w:val="o"/>
      <w:lvlJc w:val="left"/>
      <w:pPr>
        <w:ind w:left="55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D2C67B0">
      <w:start w:val="1"/>
      <w:numFmt w:val="bullet"/>
      <w:lvlText w:val="▪"/>
      <w:lvlJc w:val="left"/>
      <w:pPr>
        <w:ind w:left="62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nsid w:val="2F133A5C"/>
    <w:multiLevelType w:val="hybridMultilevel"/>
    <w:tmpl w:val="506CD746"/>
    <w:lvl w:ilvl="0" w:tplc="165C30E6">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CC2DFBA">
      <w:start w:val="1"/>
      <w:numFmt w:val="bullet"/>
      <w:lvlText w:val="o"/>
      <w:lvlJc w:val="left"/>
      <w:pPr>
        <w:ind w:left="184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4383952">
      <w:start w:val="1"/>
      <w:numFmt w:val="bullet"/>
      <w:lvlText w:val="▪"/>
      <w:lvlJc w:val="left"/>
      <w:pPr>
        <w:ind w:left="256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5C85764">
      <w:start w:val="1"/>
      <w:numFmt w:val="bullet"/>
      <w:lvlText w:val="•"/>
      <w:lvlJc w:val="left"/>
      <w:pPr>
        <w:ind w:left="32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86C2058">
      <w:start w:val="1"/>
      <w:numFmt w:val="bullet"/>
      <w:lvlText w:val="o"/>
      <w:lvlJc w:val="left"/>
      <w:pPr>
        <w:ind w:left="400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3563D06">
      <w:start w:val="1"/>
      <w:numFmt w:val="bullet"/>
      <w:lvlText w:val="▪"/>
      <w:lvlJc w:val="left"/>
      <w:pPr>
        <w:ind w:left="472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D27970">
      <w:start w:val="1"/>
      <w:numFmt w:val="bullet"/>
      <w:lvlText w:val="•"/>
      <w:lvlJc w:val="left"/>
      <w:pPr>
        <w:ind w:left="54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0DC671C">
      <w:start w:val="1"/>
      <w:numFmt w:val="bullet"/>
      <w:lvlText w:val="o"/>
      <w:lvlJc w:val="left"/>
      <w:pPr>
        <w:ind w:left="616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C086336">
      <w:start w:val="1"/>
      <w:numFmt w:val="bullet"/>
      <w:lvlText w:val="▪"/>
      <w:lvlJc w:val="left"/>
      <w:pPr>
        <w:ind w:left="688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nsid w:val="349A463F"/>
    <w:multiLevelType w:val="hybridMultilevel"/>
    <w:tmpl w:val="66EABC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61C028F"/>
    <w:multiLevelType w:val="hybridMultilevel"/>
    <w:tmpl w:val="B69285A0"/>
    <w:lvl w:ilvl="0" w:tplc="D0F6F656">
      <w:start w:val="1"/>
      <w:numFmt w:val="bullet"/>
      <w:lvlText w:val="•"/>
      <w:lvlJc w:val="left"/>
      <w:pPr>
        <w:ind w:left="1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01671E0">
      <w:start w:val="1"/>
      <w:numFmt w:val="bullet"/>
      <w:lvlText w:val="o"/>
      <w:lvlJc w:val="left"/>
      <w:pPr>
        <w:ind w:left="11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478BF04">
      <w:start w:val="1"/>
      <w:numFmt w:val="bullet"/>
      <w:lvlText w:val="▪"/>
      <w:lvlJc w:val="left"/>
      <w:pPr>
        <w:ind w:left="19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ACA636">
      <w:start w:val="1"/>
      <w:numFmt w:val="bullet"/>
      <w:lvlText w:val="•"/>
      <w:lvlJc w:val="left"/>
      <w:pPr>
        <w:ind w:left="263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6D886C8">
      <w:start w:val="1"/>
      <w:numFmt w:val="bullet"/>
      <w:lvlText w:val="o"/>
      <w:lvlJc w:val="left"/>
      <w:pPr>
        <w:ind w:left="33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E222FCE">
      <w:start w:val="1"/>
      <w:numFmt w:val="bullet"/>
      <w:lvlText w:val="▪"/>
      <w:lvlJc w:val="left"/>
      <w:pPr>
        <w:ind w:left="40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B4ACE56">
      <w:start w:val="1"/>
      <w:numFmt w:val="bullet"/>
      <w:lvlText w:val="•"/>
      <w:lvlJc w:val="left"/>
      <w:pPr>
        <w:ind w:left="47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84C17EC">
      <w:start w:val="1"/>
      <w:numFmt w:val="bullet"/>
      <w:lvlText w:val="o"/>
      <w:lvlJc w:val="left"/>
      <w:pPr>
        <w:ind w:left="55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47C5E5C">
      <w:start w:val="1"/>
      <w:numFmt w:val="bullet"/>
      <w:lvlText w:val="▪"/>
      <w:lvlJc w:val="left"/>
      <w:pPr>
        <w:ind w:left="62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nsid w:val="3DAD53AA"/>
    <w:multiLevelType w:val="hybridMultilevel"/>
    <w:tmpl w:val="D2C0A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E67429D"/>
    <w:multiLevelType w:val="hybridMultilevel"/>
    <w:tmpl w:val="8BFE38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0C85B98"/>
    <w:multiLevelType w:val="hybridMultilevel"/>
    <w:tmpl w:val="29109A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D137DB6"/>
    <w:multiLevelType w:val="hybridMultilevel"/>
    <w:tmpl w:val="2AAAFF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C6945EF"/>
    <w:multiLevelType w:val="hybridMultilevel"/>
    <w:tmpl w:val="670E1FF0"/>
    <w:lvl w:ilvl="0" w:tplc="40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F153CF5"/>
    <w:multiLevelType w:val="hybridMultilevel"/>
    <w:tmpl w:val="673C02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64168D5"/>
    <w:multiLevelType w:val="multilevel"/>
    <w:tmpl w:val="DE08570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nsid w:val="7EED12FA"/>
    <w:multiLevelType w:val="hybridMultilevel"/>
    <w:tmpl w:val="578CEA48"/>
    <w:lvl w:ilvl="0" w:tplc="6DF2712E">
      <w:start w:val="1"/>
      <w:numFmt w:val="bullet"/>
      <w:lvlText w:val=""/>
      <w:lvlJc w:val="left"/>
      <w:pPr>
        <w:ind w:left="7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7E26D430">
      <w:start w:val="1"/>
      <w:numFmt w:val="bullet"/>
      <w:lvlText w:val="o"/>
      <w:lvlJc w:val="left"/>
      <w:pPr>
        <w:ind w:left="1548"/>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EA4C05E8">
      <w:start w:val="1"/>
      <w:numFmt w:val="bullet"/>
      <w:lvlText w:val="▪"/>
      <w:lvlJc w:val="left"/>
      <w:pPr>
        <w:ind w:left="2268"/>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F77ACC78">
      <w:start w:val="1"/>
      <w:numFmt w:val="bullet"/>
      <w:lvlText w:val="•"/>
      <w:lvlJc w:val="left"/>
      <w:pPr>
        <w:ind w:left="2988"/>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9D46113A">
      <w:start w:val="1"/>
      <w:numFmt w:val="bullet"/>
      <w:lvlText w:val="o"/>
      <w:lvlJc w:val="left"/>
      <w:pPr>
        <w:ind w:left="3708"/>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24FE9B22">
      <w:start w:val="1"/>
      <w:numFmt w:val="bullet"/>
      <w:lvlText w:val="▪"/>
      <w:lvlJc w:val="left"/>
      <w:pPr>
        <w:ind w:left="4428"/>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041CFB36">
      <w:start w:val="1"/>
      <w:numFmt w:val="bullet"/>
      <w:lvlText w:val="•"/>
      <w:lvlJc w:val="left"/>
      <w:pPr>
        <w:ind w:left="5148"/>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E364F51E">
      <w:start w:val="1"/>
      <w:numFmt w:val="bullet"/>
      <w:lvlText w:val="o"/>
      <w:lvlJc w:val="left"/>
      <w:pPr>
        <w:ind w:left="5868"/>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39EA5866">
      <w:start w:val="1"/>
      <w:numFmt w:val="bullet"/>
      <w:lvlText w:val="▪"/>
      <w:lvlJc w:val="left"/>
      <w:pPr>
        <w:ind w:left="6588"/>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num w:numId="1">
    <w:abstractNumId w:val="10"/>
  </w:num>
  <w:num w:numId="2">
    <w:abstractNumId w:val="5"/>
  </w:num>
  <w:num w:numId="3">
    <w:abstractNumId w:val="3"/>
  </w:num>
  <w:num w:numId="4">
    <w:abstractNumId w:val="6"/>
  </w:num>
  <w:num w:numId="5">
    <w:abstractNumId w:val="9"/>
  </w:num>
  <w:num w:numId="6">
    <w:abstractNumId w:val="4"/>
  </w:num>
  <w:num w:numId="7">
    <w:abstractNumId w:val="16"/>
  </w:num>
  <w:num w:numId="8">
    <w:abstractNumId w:val="1"/>
  </w:num>
  <w:num w:numId="9">
    <w:abstractNumId w:val="7"/>
  </w:num>
  <w:num w:numId="10">
    <w:abstractNumId w:val="17"/>
  </w:num>
  <w:num w:numId="11">
    <w:abstractNumId w:val="15"/>
  </w:num>
  <w:num w:numId="12">
    <w:abstractNumId w:val="2"/>
  </w:num>
  <w:num w:numId="13">
    <w:abstractNumId w:val="14"/>
  </w:num>
  <w:num w:numId="14">
    <w:abstractNumId w:val="0"/>
  </w:num>
  <w:num w:numId="15">
    <w:abstractNumId w:val="8"/>
  </w:num>
  <w:num w:numId="16">
    <w:abstractNumId w:val="13"/>
  </w:num>
  <w:num w:numId="17">
    <w:abstractNumId w:val="11"/>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033D"/>
    <w:rsid w:val="0001115C"/>
    <w:rsid w:val="00012ABB"/>
    <w:rsid w:val="00040BC6"/>
    <w:rsid w:val="00052EED"/>
    <w:rsid w:val="0006209F"/>
    <w:rsid w:val="00066030"/>
    <w:rsid w:val="00081995"/>
    <w:rsid w:val="00084923"/>
    <w:rsid w:val="00091334"/>
    <w:rsid w:val="0009224F"/>
    <w:rsid w:val="00092277"/>
    <w:rsid w:val="0009587E"/>
    <w:rsid w:val="000A2F23"/>
    <w:rsid w:val="000F3C95"/>
    <w:rsid w:val="000F619D"/>
    <w:rsid w:val="001103DB"/>
    <w:rsid w:val="0011220C"/>
    <w:rsid w:val="00114404"/>
    <w:rsid w:val="0011714E"/>
    <w:rsid w:val="001526D4"/>
    <w:rsid w:val="00167FAF"/>
    <w:rsid w:val="00184854"/>
    <w:rsid w:val="001873E6"/>
    <w:rsid w:val="001D2473"/>
    <w:rsid w:val="001D5973"/>
    <w:rsid w:val="001D5DA9"/>
    <w:rsid w:val="001F1990"/>
    <w:rsid w:val="002066BB"/>
    <w:rsid w:val="00213C1D"/>
    <w:rsid w:val="0024403D"/>
    <w:rsid w:val="00255CA6"/>
    <w:rsid w:val="00264067"/>
    <w:rsid w:val="002654DC"/>
    <w:rsid w:val="002747DE"/>
    <w:rsid w:val="002777F8"/>
    <w:rsid w:val="00294CC4"/>
    <w:rsid w:val="002A1181"/>
    <w:rsid w:val="002A6855"/>
    <w:rsid w:val="002B73AC"/>
    <w:rsid w:val="002C5A3B"/>
    <w:rsid w:val="002C5F6B"/>
    <w:rsid w:val="002D124E"/>
    <w:rsid w:val="002F2609"/>
    <w:rsid w:val="002F7FC5"/>
    <w:rsid w:val="003215FB"/>
    <w:rsid w:val="0034284D"/>
    <w:rsid w:val="0035033D"/>
    <w:rsid w:val="003563F7"/>
    <w:rsid w:val="00363441"/>
    <w:rsid w:val="00371A13"/>
    <w:rsid w:val="00371BE4"/>
    <w:rsid w:val="0037794E"/>
    <w:rsid w:val="00392F2B"/>
    <w:rsid w:val="003A6A3D"/>
    <w:rsid w:val="003D07DA"/>
    <w:rsid w:val="00403596"/>
    <w:rsid w:val="004428A0"/>
    <w:rsid w:val="00452C97"/>
    <w:rsid w:val="00467BBE"/>
    <w:rsid w:val="00473843"/>
    <w:rsid w:val="004A40EE"/>
    <w:rsid w:val="004A4E7F"/>
    <w:rsid w:val="004A527B"/>
    <w:rsid w:val="004A68B0"/>
    <w:rsid w:val="004B6BE1"/>
    <w:rsid w:val="004B6D9F"/>
    <w:rsid w:val="004F392C"/>
    <w:rsid w:val="005532BF"/>
    <w:rsid w:val="00560311"/>
    <w:rsid w:val="005616A0"/>
    <w:rsid w:val="005717F4"/>
    <w:rsid w:val="005B1A2C"/>
    <w:rsid w:val="005D3BB6"/>
    <w:rsid w:val="005D4233"/>
    <w:rsid w:val="005F48E1"/>
    <w:rsid w:val="0063433E"/>
    <w:rsid w:val="006531F9"/>
    <w:rsid w:val="0065739B"/>
    <w:rsid w:val="006706B8"/>
    <w:rsid w:val="00683A1C"/>
    <w:rsid w:val="0069020C"/>
    <w:rsid w:val="006E1FEA"/>
    <w:rsid w:val="006E3C82"/>
    <w:rsid w:val="006F5D6B"/>
    <w:rsid w:val="007137D9"/>
    <w:rsid w:val="00722E3B"/>
    <w:rsid w:val="00723F3E"/>
    <w:rsid w:val="007418B9"/>
    <w:rsid w:val="00750CA9"/>
    <w:rsid w:val="007746FD"/>
    <w:rsid w:val="007843B5"/>
    <w:rsid w:val="00785EE7"/>
    <w:rsid w:val="007923E2"/>
    <w:rsid w:val="00793A4C"/>
    <w:rsid w:val="00795036"/>
    <w:rsid w:val="007A6027"/>
    <w:rsid w:val="007B046A"/>
    <w:rsid w:val="007C3B21"/>
    <w:rsid w:val="007C63F8"/>
    <w:rsid w:val="007D3794"/>
    <w:rsid w:val="007D3820"/>
    <w:rsid w:val="007E1763"/>
    <w:rsid w:val="0081102B"/>
    <w:rsid w:val="00825F3A"/>
    <w:rsid w:val="00827AC8"/>
    <w:rsid w:val="00834DEF"/>
    <w:rsid w:val="008456FA"/>
    <w:rsid w:val="0087006C"/>
    <w:rsid w:val="00873E3C"/>
    <w:rsid w:val="008A2CA9"/>
    <w:rsid w:val="008E3A61"/>
    <w:rsid w:val="008F7631"/>
    <w:rsid w:val="0090721A"/>
    <w:rsid w:val="00920B9D"/>
    <w:rsid w:val="00921174"/>
    <w:rsid w:val="00924B5D"/>
    <w:rsid w:val="0093016C"/>
    <w:rsid w:val="0094375F"/>
    <w:rsid w:val="0094548F"/>
    <w:rsid w:val="00951472"/>
    <w:rsid w:val="00961EE6"/>
    <w:rsid w:val="00972398"/>
    <w:rsid w:val="00987329"/>
    <w:rsid w:val="00996CB3"/>
    <w:rsid w:val="009A68E0"/>
    <w:rsid w:val="009B2435"/>
    <w:rsid w:val="009C1C82"/>
    <w:rsid w:val="009C75C2"/>
    <w:rsid w:val="009D7E9B"/>
    <w:rsid w:val="009E2026"/>
    <w:rsid w:val="009E6E75"/>
    <w:rsid w:val="00A03FEA"/>
    <w:rsid w:val="00A36CB2"/>
    <w:rsid w:val="00AB6E28"/>
    <w:rsid w:val="00AC1BEB"/>
    <w:rsid w:val="00AC4AC7"/>
    <w:rsid w:val="00AC5BC0"/>
    <w:rsid w:val="00AC62DC"/>
    <w:rsid w:val="00B01F55"/>
    <w:rsid w:val="00B0751F"/>
    <w:rsid w:val="00B11861"/>
    <w:rsid w:val="00B2015F"/>
    <w:rsid w:val="00B27EE7"/>
    <w:rsid w:val="00B35115"/>
    <w:rsid w:val="00B41DA7"/>
    <w:rsid w:val="00B54C79"/>
    <w:rsid w:val="00B63E06"/>
    <w:rsid w:val="00B8726E"/>
    <w:rsid w:val="00B87337"/>
    <w:rsid w:val="00BC333E"/>
    <w:rsid w:val="00BC6067"/>
    <w:rsid w:val="00BD74F1"/>
    <w:rsid w:val="00C0033E"/>
    <w:rsid w:val="00C108FF"/>
    <w:rsid w:val="00C1539A"/>
    <w:rsid w:val="00C25E80"/>
    <w:rsid w:val="00C3075D"/>
    <w:rsid w:val="00C31E86"/>
    <w:rsid w:val="00C36B6B"/>
    <w:rsid w:val="00C4358A"/>
    <w:rsid w:val="00C514E8"/>
    <w:rsid w:val="00C55078"/>
    <w:rsid w:val="00C55D3C"/>
    <w:rsid w:val="00C71815"/>
    <w:rsid w:val="00CE250A"/>
    <w:rsid w:val="00CE7BA3"/>
    <w:rsid w:val="00D11F15"/>
    <w:rsid w:val="00D16641"/>
    <w:rsid w:val="00D30680"/>
    <w:rsid w:val="00D41F90"/>
    <w:rsid w:val="00D4456E"/>
    <w:rsid w:val="00D45AC7"/>
    <w:rsid w:val="00D7051D"/>
    <w:rsid w:val="00D72C68"/>
    <w:rsid w:val="00D7320C"/>
    <w:rsid w:val="00D76AFE"/>
    <w:rsid w:val="00D8081C"/>
    <w:rsid w:val="00D90A48"/>
    <w:rsid w:val="00DA2C50"/>
    <w:rsid w:val="00DA4F93"/>
    <w:rsid w:val="00DC5FF2"/>
    <w:rsid w:val="00DF34EF"/>
    <w:rsid w:val="00E0137C"/>
    <w:rsid w:val="00E34592"/>
    <w:rsid w:val="00E6689E"/>
    <w:rsid w:val="00EA3CAC"/>
    <w:rsid w:val="00EA4320"/>
    <w:rsid w:val="00EA6B33"/>
    <w:rsid w:val="00EC18C3"/>
    <w:rsid w:val="00ED6B62"/>
    <w:rsid w:val="00EF6E90"/>
    <w:rsid w:val="00F10183"/>
    <w:rsid w:val="00F13058"/>
    <w:rsid w:val="00F15B24"/>
    <w:rsid w:val="00F16039"/>
    <w:rsid w:val="00F254AD"/>
    <w:rsid w:val="00F53A0E"/>
    <w:rsid w:val="00F817D0"/>
    <w:rsid w:val="00F82428"/>
    <w:rsid w:val="00FA0428"/>
    <w:rsid w:val="00FA12D2"/>
    <w:rsid w:val="00FA5E00"/>
    <w:rsid w:val="00FC2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7EFA0"/>
  <w15:chartTrackingRefBased/>
  <w15:docId w15:val="{D827B2BC-7D29-4397-9DDF-1975052C3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033D"/>
  </w:style>
  <w:style w:type="paragraph" w:styleId="Heading1">
    <w:name w:val="heading 1"/>
    <w:basedOn w:val="Normal"/>
    <w:next w:val="Normal"/>
    <w:link w:val="Heading1Char"/>
    <w:uiPriority w:val="9"/>
    <w:qFormat/>
    <w:rsid w:val="003503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03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61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33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033D"/>
    <w:rPr>
      <w:rFonts w:asciiTheme="majorHAnsi" w:eastAsiaTheme="majorEastAsia" w:hAnsiTheme="majorHAnsi" w:cstheme="majorBidi"/>
      <w:color w:val="2F5496" w:themeColor="accent1" w:themeShade="BF"/>
      <w:sz w:val="26"/>
      <w:szCs w:val="26"/>
    </w:rPr>
  </w:style>
  <w:style w:type="character" w:styleId="BookTitle">
    <w:name w:val="Book Title"/>
    <w:basedOn w:val="DefaultParagraphFont"/>
    <w:uiPriority w:val="33"/>
    <w:qFormat/>
    <w:rsid w:val="005B1A2C"/>
    <w:rPr>
      <w:b/>
      <w:bCs/>
      <w:i/>
      <w:iCs/>
      <w:spacing w:val="5"/>
    </w:rPr>
  </w:style>
  <w:style w:type="paragraph" w:styleId="Header">
    <w:name w:val="header"/>
    <w:basedOn w:val="Normal"/>
    <w:link w:val="HeaderChar"/>
    <w:uiPriority w:val="99"/>
    <w:unhideWhenUsed/>
    <w:rsid w:val="005B1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A2C"/>
  </w:style>
  <w:style w:type="paragraph" w:styleId="Footer">
    <w:name w:val="footer"/>
    <w:basedOn w:val="Normal"/>
    <w:link w:val="FooterChar"/>
    <w:uiPriority w:val="99"/>
    <w:unhideWhenUsed/>
    <w:rsid w:val="005B1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A2C"/>
  </w:style>
  <w:style w:type="table" w:customStyle="1" w:styleId="TableGrid">
    <w:name w:val="TableGrid"/>
    <w:rsid w:val="00873E3C"/>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961EE6"/>
    <w:rPr>
      <w:color w:val="0563C1" w:themeColor="hyperlink"/>
      <w:u w:val="single"/>
    </w:rPr>
  </w:style>
  <w:style w:type="character" w:customStyle="1" w:styleId="UnresolvedMention1">
    <w:name w:val="Unresolved Mention1"/>
    <w:basedOn w:val="DefaultParagraphFont"/>
    <w:uiPriority w:val="99"/>
    <w:semiHidden/>
    <w:unhideWhenUsed/>
    <w:rsid w:val="00961EE6"/>
    <w:rPr>
      <w:color w:val="808080"/>
      <w:shd w:val="clear" w:color="auto" w:fill="E6E6E6"/>
    </w:rPr>
  </w:style>
  <w:style w:type="paragraph" w:styleId="ListParagraph">
    <w:name w:val="List Paragraph"/>
    <w:basedOn w:val="Normal"/>
    <w:uiPriority w:val="34"/>
    <w:qFormat/>
    <w:rsid w:val="000F619D"/>
    <w:pPr>
      <w:ind w:left="720"/>
      <w:contextualSpacing/>
    </w:pPr>
  </w:style>
  <w:style w:type="character" w:customStyle="1" w:styleId="Heading3Char">
    <w:name w:val="Heading 3 Char"/>
    <w:basedOn w:val="DefaultParagraphFont"/>
    <w:link w:val="Heading3"/>
    <w:uiPriority w:val="9"/>
    <w:rsid w:val="000F619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717F4"/>
    <w:pPr>
      <w:outlineLvl w:val="9"/>
    </w:pPr>
    <w:rPr>
      <w:lang w:val="en-US"/>
    </w:rPr>
  </w:style>
  <w:style w:type="paragraph" w:styleId="TOC1">
    <w:name w:val="toc 1"/>
    <w:basedOn w:val="Normal"/>
    <w:next w:val="Normal"/>
    <w:autoRedefine/>
    <w:uiPriority w:val="39"/>
    <w:unhideWhenUsed/>
    <w:rsid w:val="005717F4"/>
    <w:pPr>
      <w:spacing w:after="100"/>
    </w:pPr>
  </w:style>
  <w:style w:type="paragraph" w:styleId="TOC2">
    <w:name w:val="toc 2"/>
    <w:basedOn w:val="Normal"/>
    <w:next w:val="Normal"/>
    <w:autoRedefine/>
    <w:uiPriority w:val="39"/>
    <w:unhideWhenUsed/>
    <w:rsid w:val="005717F4"/>
    <w:pPr>
      <w:spacing w:after="100"/>
      <w:ind w:left="220"/>
    </w:pPr>
  </w:style>
  <w:style w:type="paragraph" w:styleId="TOC3">
    <w:name w:val="toc 3"/>
    <w:basedOn w:val="Normal"/>
    <w:next w:val="Normal"/>
    <w:autoRedefine/>
    <w:uiPriority w:val="39"/>
    <w:unhideWhenUsed/>
    <w:rsid w:val="005717F4"/>
    <w:pPr>
      <w:spacing w:after="100"/>
      <w:ind w:left="440"/>
    </w:pPr>
  </w:style>
  <w:style w:type="paragraph" w:styleId="Title">
    <w:name w:val="Title"/>
    <w:basedOn w:val="Normal"/>
    <w:next w:val="Normal"/>
    <w:link w:val="TitleChar"/>
    <w:uiPriority w:val="10"/>
    <w:qFormat/>
    <w:rsid w:val="005D3BB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BB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002319">
      <w:bodyDiv w:val="1"/>
      <w:marLeft w:val="0"/>
      <w:marRight w:val="0"/>
      <w:marTop w:val="0"/>
      <w:marBottom w:val="0"/>
      <w:divBdr>
        <w:top w:val="none" w:sz="0" w:space="0" w:color="auto"/>
        <w:left w:val="none" w:sz="0" w:space="0" w:color="auto"/>
        <w:bottom w:val="none" w:sz="0" w:space="0" w:color="auto"/>
        <w:right w:val="none" w:sz="0" w:space="0" w:color="auto"/>
      </w:divBdr>
      <w:divsChild>
        <w:div w:id="66559099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20184413">
              <w:marLeft w:val="0"/>
              <w:marRight w:val="0"/>
              <w:marTop w:val="0"/>
              <w:marBottom w:val="0"/>
              <w:divBdr>
                <w:top w:val="none" w:sz="0" w:space="0" w:color="auto"/>
                <w:left w:val="none" w:sz="0" w:space="0" w:color="auto"/>
                <w:bottom w:val="none" w:sz="0" w:space="0" w:color="auto"/>
                <w:right w:val="none" w:sz="0" w:space="0" w:color="auto"/>
              </w:divBdr>
              <w:divsChild>
                <w:div w:id="28026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350858">
      <w:bodyDiv w:val="1"/>
      <w:marLeft w:val="0"/>
      <w:marRight w:val="0"/>
      <w:marTop w:val="0"/>
      <w:marBottom w:val="0"/>
      <w:divBdr>
        <w:top w:val="none" w:sz="0" w:space="0" w:color="auto"/>
        <w:left w:val="none" w:sz="0" w:space="0" w:color="auto"/>
        <w:bottom w:val="none" w:sz="0" w:space="0" w:color="auto"/>
        <w:right w:val="none" w:sz="0" w:space="0" w:color="auto"/>
      </w:divBdr>
      <w:divsChild>
        <w:div w:id="130100397">
          <w:marLeft w:val="0"/>
          <w:marRight w:val="0"/>
          <w:marTop w:val="0"/>
          <w:marBottom w:val="0"/>
          <w:divBdr>
            <w:top w:val="none" w:sz="0" w:space="0" w:color="auto"/>
            <w:left w:val="none" w:sz="0" w:space="0" w:color="auto"/>
            <w:bottom w:val="none" w:sz="0" w:space="0" w:color="auto"/>
            <w:right w:val="none" w:sz="0" w:space="0" w:color="auto"/>
          </w:divBdr>
        </w:div>
        <w:div w:id="204830716">
          <w:marLeft w:val="0"/>
          <w:marRight w:val="0"/>
          <w:marTop w:val="0"/>
          <w:marBottom w:val="0"/>
          <w:divBdr>
            <w:top w:val="none" w:sz="0" w:space="0" w:color="auto"/>
            <w:left w:val="none" w:sz="0" w:space="0" w:color="auto"/>
            <w:bottom w:val="none" w:sz="0" w:space="0" w:color="auto"/>
            <w:right w:val="none" w:sz="0" w:space="0" w:color="auto"/>
          </w:divBdr>
        </w:div>
        <w:div w:id="273832305">
          <w:marLeft w:val="0"/>
          <w:marRight w:val="0"/>
          <w:marTop w:val="0"/>
          <w:marBottom w:val="0"/>
          <w:divBdr>
            <w:top w:val="none" w:sz="0" w:space="0" w:color="auto"/>
            <w:left w:val="none" w:sz="0" w:space="0" w:color="auto"/>
            <w:bottom w:val="none" w:sz="0" w:space="0" w:color="auto"/>
            <w:right w:val="none" w:sz="0" w:space="0" w:color="auto"/>
          </w:divBdr>
        </w:div>
        <w:div w:id="299725729">
          <w:marLeft w:val="0"/>
          <w:marRight w:val="0"/>
          <w:marTop w:val="0"/>
          <w:marBottom w:val="0"/>
          <w:divBdr>
            <w:top w:val="none" w:sz="0" w:space="0" w:color="auto"/>
            <w:left w:val="none" w:sz="0" w:space="0" w:color="auto"/>
            <w:bottom w:val="none" w:sz="0" w:space="0" w:color="auto"/>
            <w:right w:val="none" w:sz="0" w:space="0" w:color="auto"/>
          </w:divBdr>
        </w:div>
        <w:div w:id="970212784">
          <w:marLeft w:val="0"/>
          <w:marRight w:val="0"/>
          <w:marTop w:val="0"/>
          <w:marBottom w:val="0"/>
          <w:divBdr>
            <w:top w:val="none" w:sz="0" w:space="0" w:color="auto"/>
            <w:left w:val="none" w:sz="0" w:space="0" w:color="auto"/>
            <w:bottom w:val="none" w:sz="0" w:space="0" w:color="auto"/>
            <w:right w:val="none" w:sz="0" w:space="0" w:color="auto"/>
          </w:divBdr>
        </w:div>
        <w:div w:id="1893031006">
          <w:marLeft w:val="0"/>
          <w:marRight w:val="0"/>
          <w:marTop w:val="0"/>
          <w:marBottom w:val="0"/>
          <w:divBdr>
            <w:top w:val="none" w:sz="0" w:space="0" w:color="auto"/>
            <w:left w:val="none" w:sz="0" w:space="0" w:color="auto"/>
            <w:bottom w:val="none" w:sz="0" w:space="0" w:color="auto"/>
            <w:right w:val="none" w:sz="0" w:space="0" w:color="auto"/>
          </w:divBdr>
        </w:div>
        <w:div w:id="2068604332">
          <w:marLeft w:val="0"/>
          <w:marRight w:val="0"/>
          <w:marTop w:val="0"/>
          <w:marBottom w:val="0"/>
          <w:divBdr>
            <w:top w:val="none" w:sz="0" w:space="0" w:color="auto"/>
            <w:left w:val="none" w:sz="0" w:space="0" w:color="auto"/>
            <w:bottom w:val="none" w:sz="0" w:space="0" w:color="auto"/>
            <w:right w:val="none" w:sz="0" w:space="0" w:color="auto"/>
          </w:divBdr>
        </w:div>
      </w:divsChild>
    </w:div>
    <w:div w:id="2027362679">
      <w:bodyDiv w:val="1"/>
      <w:marLeft w:val="0"/>
      <w:marRight w:val="0"/>
      <w:marTop w:val="0"/>
      <w:marBottom w:val="0"/>
      <w:divBdr>
        <w:top w:val="none" w:sz="0" w:space="0" w:color="auto"/>
        <w:left w:val="none" w:sz="0" w:space="0" w:color="auto"/>
        <w:bottom w:val="none" w:sz="0" w:space="0" w:color="auto"/>
        <w:right w:val="none" w:sz="0" w:space="0" w:color="auto"/>
      </w:divBdr>
      <w:divsChild>
        <w:div w:id="147092711">
          <w:marLeft w:val="0"/>
          <w:marRight w:val="0"/>
          <w:marTop w:val="0"/>
          <w:marBottom w:val="0"/>
          <w:divBdr>
            <w:top w:val="none" w:sz="0" w:space="0" w:color="auto"/>
            <w:left w:val="none" w:sz="0" w:space="0" w:color="auto"/>
            <w:bottom w:val="none" w:sz="0" w:space="0" w:color="auto"/>
            <w:right w:val="none" w:sz="0" w:space="0" w:color="auto"/>
          </w:divBdr>
        </w:div>
        <w:div w:id="444083301">
          <w:marLeft w:val="0"/>
          <w:marRight w:val="0"/>
          <w:marTop w:val="0"/>
          <w:marBottom w:val="0"/>
          <w:divBdr>
            <w:top w:val="none" w:sz="0" w:space="0" w:color="auto"/>
            <w:left w:val="none" w:sz="0" w:space="0" w:color="auto"/>
            <w:bottom w:val="none" w:sz="0" w:space="0" w:color="auto"/>
            <w:right w:val="none" w:sz="0" w:space="0" w:color="auto"/>
          </w:divBdr>
        </w:div>
        <w:div w:id="807160841">
          <w:marLeft w:val="0"/>
          <w:marRight w:val="0"/>
          <w:marTop w:val="0"/>
          <w:marBottom w:val="0"/>
          <w:divBdr>
            <w:top w:val="none" w:sz="0" w:space="0" w:color="auto"/>
            <w:left w:val="none" w:sz="0" w:space="0" w:color="auto"/>
            <w:bottom w:val="none" w:sz="0" w:space="0" w:color="auto"/>
            <w:right w:val="none" w:sz="0" w:space="0" w:color="auto"/>
          </w:divBdr>
        </w:div>
        <w:div w:id="1125469375">
          <w:marLeft w:val="0"/>
          <w:marRight w:val="0"/>
          <w:marTop w:val="0"/>
          <w:marBottom w:val="0"/>
          <w:divBdr>
            <w:top w:val="none" w:sz="0" w:space="0" w:color="auto"/>
            <w:left w:val="none" w:sz="0" w:space="0" w:color="auto"/>
            <w:bottom w:val="none" w:sz="0" w:space="0" w:color="auto"/>
            <w:right w:val="none" w:sz="0" w:space="0" w:color="auto"/>
          </w:divBdr>
        </w:div>
        <w:div w:id="1722438124">
          <w:marLeft w:val="0"/>
          <w:marRight w:val="0"/>
          <w:marTop w:val="0"/>
          <w:marBottom w:val="0"/>
          <w:divBdr>
            <w:top w:val="none" w:sz="0" w:space="0" w:color="auto"/>
            <w:left w:val="none" w:sz="0" w:space="0" w:color="auto"/>
            <w:bottom w:val="none" w:sz="0" w:space="0" w:color="auto"/>
            <w:right w:val="none" w:sz="0" w:space="0" w:color="auto"/>
          </w:divBdr>
        </w:div>
        <w:div w:id="1768766699">
          <w:marLeft w:val="0"/>
          <w:marRight w:val="0"/>
          <w:marTop w:val="0"/>
          <w:marBottom w:val="0"/>
          <w:divBdr>
            <w:top w:val="none" w:sz="0" w:space="0" w:color="auto"/>
            <w:left w:val="none" w:sz="0" w:space="0" w:color="auto"/>
            <w:bottom w:val="none" w:sz="0" w:space="0" w:color="auto"/>
            <w:right w:val="none" w:sz="0" w:space="0" w:color="auto"/>
          </w:divBdr>
        </w:div>
        <w:div w:id="1769038675">
          <w:marLeft w:val="0"/>
          <w:marRight w:val="0"/>
          <w:marTop w:val="0"/>
          <w:marBottom w:val="0"/>
          <w:divBdr>
            <w:top w:val="none" w:sz="0" w:space="0" w:color="auto"/>
            <w:left w:val="none" w:sz="0" w:space="0" w:color="auto"/>
            <w:bottom w:val="none" w:sz="0" w:space="0" w:color="auto"/>
            <w:right w:val="none" w:sz="0" w:space="0" w:color="auto"/>
          </w:divBdr>
        </w:div>
        <w:div w:id="1866364752">
          <w:marLeft w:val="0"/>
          <w:marRight w:val="0"/>
          <w:marTop w:val="0"/>
          <w:marBottom w:val="0"/>
          <w:divBdr>
            <w:top w:val="none" w:sz="0" w:space="0" w:color="auto"/>
            <w:left w:val="none" w:sz="0" w:space="0" w:color="auto"/>
            <w:bottom w:val="none" w:sz="0" w:space="0" w:color="auto"/>
            <w:right w:val="none" w:sz="0" w:space="0" w:color="auto"/>
          </w:divBdr>
        </w:div>
        <w:div w:id="2039888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diagramColors" Target="diagrams/colors1.xml"/><Relationship Id="rId12" Type="http://schemas.microsoft.com/office/2007/relationships/diagramDrawing" Target="diagrams/drawing1.xml"/><Relationship Id="rId13" Type="http://schemas.openxmlformats.org/officeDocument/2006/relationships/image" Target="media/image1.jpg"/><Relationship Id="rId14" Type="http://schemas.openxmlformats.org/officeDocument/2006/relationships/hyperlink" Target="http://www.civilsocietyinstitute.org" TargetMode="Externa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diagramData" Target="diagrams/data1.xml"/><Relationship Id="rId9" Type="http://schemas.openxmlformats.org/officeDocument/2006/relationships/diagramLayout" Target="diagrams/layout1.xml"/><Relationship Id="rId10"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8F708F7-3A52-4AFD-A7FD-5F2C16751B3B}"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6B93712C-7D25-436C-B520-58C4E75E5D3D}">
      <dgm:prSet phldrT="[Text]"/>
      <dgm:spPr>
        <a:xfrm>
          <a:off x="1447038" y="304038"/>
          <a:ext cx="1248156" cy="1248156"/>
        </a:xfr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Integrity</a:t>
          </a:r>
        </a:p>
      </dgm:t>
    </dgm:pt>
    <dgm:pt modelId="{F795EDAE-5585-4151-A352-CC9BE0FFCCF4}" type="parTrans" cxnId="{47C340DD-9CF2-43CF-BE98-18757942BB73}">
      <dgm:prSet/>
      <dgm:spPr/>
      <dgm:t>
        <a:bodyPr/>
        <a:lstStyle/>
        <a:p>
          <a:endParaRPr lang="en-GB"/>
        </a:p>
      </dgm:t>
    </dgm:pt>
    <dgm:pt modelId="{1909EE0F-0320-401C-B435-7645A38EDAE5}" type="sibTrans" cxnId="{47C340DD-9CF2-43CF-BE98-18757942BB73}">
      <dgm:prSet/>
      <dgm:spPr/>
      <dgm:t>
        <a:bodyPr/>
        <a:lstStyle/>
        <a:p>
          <a:endParaRPr lang="en-GB"/>
        </a:p>
      </dgm:t>
    </dgm:pt>
    <dgm:pt modelId="{4386765F-62CE-4C7A-B401-E226884B6524}">
      <dgm:prSet phldrT="[Text]"/>
      <dgm:spPr>
        <a:xfrm>
          <a:off x="2791206" y="304038"/>
          <a:ext cx="1248156" cy="1248156"/>
        </a:xfr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Employee Enaggement</a:t>
          </a:r>
        </a:p>
      </dgm:t>
    </dgm:pt>
    <dgm:pt modelId="{F752A944-1643-496B-B4E6-14619301E05C}" type="parTrans" cxnId="{8FC12981-0F2C-4B3B-BE33-5BF33CC974DD}">
      <dgm:prSet/>
      <dgm:spPr/>
      <dgm:t>
        <a:bodyPr/>
        <a:lstStyle/>
        <a:p>
          <a:endParaRPr lang="en-GB"/>
        </a:p>
      </dgm:t>
    </dgm:pt>
    <dgm:pt modelId="{7BE5BBCD-C03C-4323-B532-1F0F92028CCD}" type="sibTrans" cxnId="{8FC12981-0F2C-4B3B-BE33-5BF33CC974DD}">
      <dgm:prSet/>
      <dgm:spPr/>
      <dgm:t>
        <a:bodyPr/>
        <a:lstStyle/>
        <a:p>
          <a:endParaRPr lang="en-GB"/>
        </a:p>
      </dgm:t>
    </dgm:pt>
    <dgm:pt modelId="{FDFC3D81-7615-4230-A29F-972127A16593}">
      <dgm:prSet phldrT="[Text]"/>
      <dgm:spPr>
        <a:xfrm>
          <a:off x="1447038" y="1648206"/>
          <a:ext cx="1248156" cy="1248156"/>
        </a:xfr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Quality service and vaue</a:t>
          </a:r>
        </a:p>
      </dgm:t>
    </dgm:pt>
    <dgm:pt modelId="{DB239C19-E5DE-46E9-ACA1-F92A33999EB4}" type="parTrans" cxnId="{8AC6C6C4-A871-4964-AF60-4D2D04089F4A}">
      <dgm:prSet/>
      <dgm:spPr/>
      <dgm:t>
        <a:bodyPr/>
        <a:lstStyle/>
        <a:p>
          <a:endParaRPr lang="en-GB"/>
        </a:p>
      </dgm:t>
    </dgm:pt>
    <dgm:pt modelId="{0EE76DEC-1020-4318-8EBE-6AE84AB2F912}" type="sibTrans" cxnId="{8AC6C6C4-A871-4964-AF60-4D2D04089F4A}">
      <dgm:prSet/>
      <dgm:spPr/>
      <dgm:t>
        <a:bodyPr/>
        <a:lstStyle/>
        <a:p>
          <a:endParaRPr lang="en-GB"/>
        </a:p>
      </dgm:t>
    </dgm:pt>
    <dgm:pt modelId="{218CFD35-6A2D-4410-B66A-2778A5DA8013}">
      <dgm:prSet phldrT="[Text]"/>
      <dgm:spPr>
        <a:xfrm>
          <a:off x="2791206" y="1648206"/>
          <a:ext cx="1248156" cy="1248156"/>
        </a:xfr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Excellence and Accountability </a:t>
          </a:r>
        </a:p>
      </dgm:t>
    </dgm:pt>
    <dgm:pt modelId="{68C443DE-2B2E-498A-B289-EFA1C6EA6625}" type="parTrans" cxnId="{AAF418D2-EC1A-4B9F-A4A7-FE8A4D2F6D49}">
      <dgm:prSet/>
      <dgm:spPr/>
      <dgm:t>
        <a:bodyPr/>
        <a:lstStyle/>
        <a:p>
          <a:endParaRPr lang="en-GB"/>
        </a:p>
      </dgm:t>
    </dgm:pt>
    <dgm:pt modelId="{94780DD2-E4EB-413D-BA8E-5FD90AD7F00E}" type="sibTrans" cxnId="{AAF418D2-EC1A-4B9F-A4A7-FE8A4D2F6D49}">
      <dgm:prSet/>
      <dgm:spPr/>
      <dgm:t>
        <a:bodyPr/>
        <a:lstStyle/>
        <a:p>
          <a:endParaRPr lang="en-GB"/>
        </a:p>
      </dgm:t>
    </dgm:pt>
    <dgm:pt modelId="{B48C579B-22E5-4699-84AD-F62D81A8B614}" type="pres">
      <dgm:prSet presAssocID="{38F708F7-3A52-4AFD-A7FD-5F2C16751B3B}" presName="matrix" presStyleCnt="0">
        <dgm:presLayoutVars>
          <dgm:chMax val="1"/>
          <dgm:dir/>
          <dgm:resizeHandles val="exact"/>
        </dgm:presLayoutVars>
      </dgm:prSet>
      <dgm:spPr/>
      <dgm:t>
        <a:bodyPr/>
        <a:lstStyle/>
        <a:p>
          <a:endParaRPr lang="en-GB"/>
        </a:p>
      </dgm:t>
    </dgm:pt>
    <dgm:pt modelId="{52A4F256-7409-4460-9E65-06D830782F7F}" type="pres">
      <dgm:prSet presAssocID="{38F708F7-3A52-4AFD-A7FD-5F2C16751B3B}" presName="diamond" presStyleLbl="bgShp" presStyleIdx="0" presStyleCnt="1"/>
      <dgm:spPr>
        <a:xfrm>
          <a:off x="1143000" y="0"/>
          <a:ext cx="3200400" cy="3200400"/>
        </a:xfrm>
        <a:prstGeom prst="diamond">
          <a:avLst/>
        </a:prstGeom>
        <a:solidFill>
          <a:srgbClr val="44546A">
            <a:lumMod val="60000"/>
            <a:lumOff val="40000"/>
          </a:srgbClr>
        </a:solidFill>
        <a:ln>
          <a:noFill/>
        </a:ln>
        <a:effectLst/>
      </dgm:spPr>
    </dgm:pt>
    <dgm:pt modelId="{C5AF1F20-2B8C-4D4C-A29D-EDE2C5ADA859}" type="pres">
      <dgm:prSet presAssocID="{38F708F7-3A52-4AFD-A7FD-5F2C16751B3B}" presName="quad1" presStyleLbl="node1" presStyleIdx="0" presStyleCnt="4">
        <dgm:presLayoutVars>
          <dgm:chMax val="0"/>
          <dgm:chPref val="0"/>
          <dgm:bulletEnabled val="1"/>
        </dgm:presLayoutVars>
      </dgm:prSet>
      <dgm:spPr>
        <a:prstGeom prst="roundRect">
          <a:avLst/>
        </a:prstGeom>
      </dgm:spPr>
      <dgm:t>
        <a:bodyPr/>
        <a:lstStyle/>
        <a:p>
          <a:endParaRPr lang="en-GB"/>
        </a:p>
      </dgm:t>
    </dgm:pt>
    <dgm:pt modelId="{736E20AB-2D41-45D4-9D24-575760AA6B13}" type="pres">
      <dgm:prSet presAssocID="{38F708F7-3A52-4AFD-A7FD-5F2C16751B3B}" presName="quad2" presStyleLbl="node1" presStyleIdx="1" presStyleCnt="4">
        <dgm:presLayoutVars>
          <dgm:chMax val="0"/>
          <dgm:chPref val="0"/>
          <dgm:bulletEnabled val="1"/>
        </dgm:presLayoutVars>
      </dgm:prSet>
      <dgm:spPr>
        <a:prstGeom prst="roundRect">
          <a:avLst/>
        </a:prstGeom>
      </dgm:spPr>
      <dgm:t>
        <a:bodyPr/>
        <a:lstStyle/>
        <a:p>
          <a:endParaRPr lang="en-GB"/>
        </a:p>
      </dgm:t>
    </dgm:pt>
    <dgm:pt modelId="{F85112D9-5E4B-4605-8704-62AA3351A696}" type="pres">
      <dgm:prSet presAssocID="{38F708F7-3A52-4AFD-A7FD-5F2C16751B3B}" presName="quad3" presStyleLbl="node1" presStyleIdx="2" presStyleCnt="4">
        <dgm:presLayoutVars>
          <dgm:chMax val="0"/>
          <dgm:chPref val="0"/>
          <dgm:bulletEnabled val="1"/>
        </dgm:presLayoutVars>
      </dgm:prSet>
      <dgm:spPr>
        <a:prstGeom prst="roundRect">
          <a:avLst/>
        </a:prstGeom>
      </dgm:spPr>
      <dgm:t>
        <a:bodyPr/>
        <a:lstStyle/>
        <a:p>
          <a:endParaRPr lang="en-GB"/>
        </a:p>
      </dgm:t>
    </dgm:pt>
    <dgm:pt modelId="{D86E8672-9E7D-447C-B18D-055CB09C3CB0}" type="pres">
      <dgm:prSet presAssocID="{38F708F7-3A52-4AFD-A7FD-5F2C16751B3B}" presName="quad4" presStyleLbl="node1" presStyleIdx="3" presStyleCnt="4">
        <dgm:presLayoutVars>
          <dgm:chMax val="0"/>
          <dgm:chPref val="0"/>
          <dgm:bulletEnabled val="1"/>
        </dgm:presLayoutVars>
      </dgm:prSet>
      <dgm:spPr>
        <a:prstGeom prst="roundRect">
          <a:avLst/>
        </a:prstGeom>
      </dgm:spPr>
      <dgm:t>
        <a:bodyPr/>
        <a:lstStyle/>
        <a:p>
          <a:endParaRPr lang="en-GB"/>
        </a:p>
      </dgm:t>
    </dgm:pt>
  </dgm:ptLst>
  <dgm:cxnLst>
    <dgm:cxn modelId="{8C6880E5-4DC6-FB45-9F6E-EED67E373E6D}" type="presOf" srcId="{FDFC3D81-7615-4230-A29F-972127A16593}" destId="{F85112D9-5E4B-4605-8704-62AA3351A696}" srcOrd="0" destOrd="0" presId="urn:microsoft.com/office/officeart/2005/8/layout/matrix3"/>
    <dgm:cxn modelId="{7C369EF3-56C5-9745-AD8A-EA019B866BFD}" type="presOf" srcId="{38F708F7-3A52-4AFD-A7FD-5F2C16751B3B}" destId="{B48C579B-22E5-4699-84AD-F62D81A8B614}" srcOrd="0" destOrd="0" presId="urn:microsoft.com/office/officeart/2005/8/layout/matrix3"/>
    <dgm:cxn modelId="{8FC12981-0F2C-4B3B-BE33-5BF33CC974DD}" srcId="{38F708F7-3A52-4AFD-A7FD-5F2C16751B3B}" destId="{4386765F-62CE-4C7A-B401-E226884B6524}" srcOrd="1" destOrd="0" parTransId="{F752A944-1643-496B-B4E6-14619301E05C}" sibTransId="{7BE5BBCD-C03C-4323-B532-1F0F92028CCD}"/>
    <dgm:cxn modelId="{8AC6C6C4-A871-4964-AF60-4D2D04089F4A}" srcId="{38F708F7-3A52-4AFD-A7FD-5F2C16751B3B}" destId="{FDFC3D81-7615-4230-A29F-972127A16593}" srcOrd="2" destOrd="0" parTransId="{DB239C19-E5DE-46E9-ACA1-F92A33999EB4}" sibTransId="{0EE76DEC-1020-4318-8EBE-6AE84AB2F912}"/>
    <dgm:cxn modelId="{47C340DD-9CF2-43CF-BE98-18757942BB73}" srcId="{38F708F7-3A52-4AFD-A7FD-5F2C16751B3B}" destId="{6B93712C-7D25-436C-B520-58C4E75E5D3D}" srcOrd="0" destOrd="0" parTransId="{F795EDAE-5585-4151-A352-CC9BE0FFCCF4}" sibTransId="{1909EE0F-0320-401C-B435-7645A38EDAE5}"/>
    <dgm:cxn modelId="{AAF418D2-EC1A-4B9F-A4A7-FE8A4D2F6D49}" srcId="{38F708F7-3A52-4AFD-A7FD-5F2C16751B3B}" destId="{218CFD35-6A2D-4410-B66A-2778A5DA8013}" srcOrd="3" destOrd="0" parTransId="{68C443DE-2B2E-498A-B289-EFA1C6EA6625}" sibTransId="{94780DD2-E4EB-413D-BA8E-5FD90AD7F00E}"/>
    <dgm:cxn modelId="{30F63019-7046-FA42-A155-82444351A130}" type="presOf" srcId="{6B93712C-7D25-436C-B520-58C4E75E5D3D}" destId="{C5AF1F20-2B8C-4D4C-A29D-EDE2C5ADA859}" srcOrd="0" destOrd="0" presId="urn:microsoft.com/office/officeart/2005/8/layout/matrix3"/>
    <dgm:cxn modelId="{0DDD04AF-70BF-0B45-ADEB-589F5434FCE9}" type="presOf" srcId="{4386765F-62CE-4C7A-B401-E226884B6524}" destId="{736E20AB-2D41-45D4-9D24-575760AA6B13}" srcOrd="0" destOrd="0" presId="urn:microsoft.com/office/officeart/2005/8/layout/matrix3"/>
    <dgm:cxn modelId="{64CE9641-415F-FB4C-9E1A-80F71FFB9A5B}" type="presOf" srcId="{218CFD35-6A2D-4410-B66A-2778A5DA8013}" destId="{D86E8672-9E7D-447C-B18D-055CB09C3CB0}" srcOrd="0" destOrd="0" presId="urn:microsoft.com/office/officeart/2005/8/layout/matrix3"/>
    <dgm:cxn modelId="{B1DF5540-375E-E945-8AE4-9F4429FC8011}" type="presParOf" srcId="{B48C579B-22E5-4699-84AD-F62D81A8B614}" destId="{52A4F256-7409-4460-9E65-06D830782F7F}" srcOrd="0" destOrd="0" presId="urn:microsoft.com/office/officeart/2005/8/layout/matrix3"/>
    <dgm:cxn modelId="{28AB4C98-82FA-F54D-B91E-2ABAF1B26F8F}" type="presParOf" srcId="{B48C579B-22E5-4699-84AD-F62D81A8B614}" destId="{C5AF1F20-2B8C-4D4C-A29D-EDE2C5ADA859}" srcOrd="1" destOrd="0" presId="urn:microsoft.com/office/officeart/2005/8/layout/matrix3"/>
    <dgm:cxn modelId="{5C519442-8BF9-104C-BB46-22EC15792963}" type="presParOf" srcId="{B48C579B-22E5-4699-84AD-F62D81A8B614}" destId="{736E20AB-2D41-45D4-9D24-575760AA6B13}" srcOrd="2" destOrd="0" presId="urn:microsoft.com/office/officeart/2005/8/layout/matrix3"/>
    <dgm:cxn modelId="{C2BEBA68-A0A0-D347-B9E8-2E3B358C7D10}" type="presParOf" srcId="{B48C579B-22E5-4699-84AD-F62D81A8B614}" destId="{F85112D9-5E4B-4605-8704-62AA3351A696}" srcOrd="3" destOrd="0" presId="urn:microsoft.com/office/officeart/2005/8/layout/matrix3"/>
    <dgm:cxn modelId="{E80AC0BE-0C6C-ED49-AFB6-72B2A829A204}" type="presParOf" srcId="{B48C579B-22E5-4699-84AD-F62D81A8B614}" destId="{D86E8672-9E7D-447C-B18D-055CB09C3CB0}" srcOrd="4" destOrd="0" presId="urn:microsoft.com/office/officeart/2005/8/layout/matrix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A4F256-7409-4460-9E65-06D830782F7F}">
      <dsp:nvSpPr>
        <dsp:cNvPr id="0" name=""/>
        <dsp:cNvSpPr/>
      </dsp:nvSpPr>
      <dsp:spPr>
        <a:xfrm>
          <a:off x="1143000" y="0"/>
          <a:ext cx="3200400" cy="3200400"/>
        </a:xfrm>
        <a:prstGeom prst="diamond">
          <a:avLst/>
        </a:prstGeom>
        <a:solidFill>
          <a:srgbClr val="44546A">
            <a:lumMod val="60000"/>
            <a:lumOff val="40000"/>
          </a:srgbClr>
        </a:solidFill>
        <a:ln>
          <a:noFill/>
        </a:ln>
        <a:effectLst/>
      </dsp:spPr>
      <dsp:style>
        <a:lnRef idx="0">
          <a:scrgbClr r="0" g="0" b="0"/>
        </a:lnRef>
        <a:fillRef idx="1">
          <a:scrgbClr r="0" g="0" b="0"/>
        </a:fillRef>
        <a:effectRef idx="0">
          <a:scrgbClr r="0" g="0" b="0"/>
        </a:effectRef>
        <a:fontRef idx="minor"/>
      </dsp:style>
    </dsp:sp>
    <dsp:sp modelId="{C5AF1F20-2B8C-4D4C-A29D-EDE2C5ADA859}">
      <dsp:nvSpPr>
        <dsp:cNvPr id="0" name=""/>
        <dsp:cNvSpPr/>
      </dsp:nvSpPr>
      <dsp:spPr>
        <a:xfrm>
          <a:off x="1447038" y="304038"/>
          <a:ext cx="1248156" cy="1248156"/>
        </a:xfrm>
        <a:prstGeom prst="roundRect">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Integrity</a:t>
          </a:r>
        </a:p>
      </dsp:txBody>
      <dsp:txXfrm>
        <a:off x="1507968" y="364968"/>
        <a:ext cx="1126296" cy="1126296"/>
      </dsp:txXfrm>
    </dsp:sp>
    <dsp:sp modelId="{736E20AB-2D41-45D4-9D24-575760AA6B13}">
      <dsp:nvSpPr>
        <dsp:cNvPr id="0" name=""/>
        <dsp:cNvSpPr/>
      </dsp:nvSpPr>
      <dsp:spPr>
        <a:xfrm>
          <a:off x="2791206" y="304038"/>
          <a:ext cx="1248156" cy="1248156"/>
        </a:xfrm>
        <a:prstGeom prst="roundRect">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Employee Enaggement</a:t>
          </a:r>
        </a:p>
      </dsp:txBody>
      <dsp:txXfrm>
        <a:off x="2852136" y="364968"/>
        <a:ext cx="1126296" cy="1126296"/>
      </dsp:txXfrm>
    </dsp:sp>
    <dsp:sp modelId="{F85112D9-5E4B-4605-8704-62AA3351A696}">
      <dsp:nvSpPr>
        <dsp:cNvPr id="0" name=""/>
        <dsp:cNvSpPr/>
      </dsp:nvSpPr>
      <dsp:spPr>
        <a:xfrm>
          <a:off x="1447038" y="1648206"/>
          <a:ext cx="1248156" cy="1248156"/>
        </a:xfrm>
        <a:prstGeom prst="roundRect">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Quality service and vaue</a:t>
          </a:r>
        </a:p>
      </dsp:txBody>
      <dsp:txXfrm>
        <a:off x="1507968" y="1709136"/>
        <a:ext cx="1126296" cy="1126296"/>
      </dsp:txXfrm>
    </dsp:sp>
    <dsp:sp modelId="{D86E8672-9E7D-447C-B18D-055CB09C3CB0}">
      <dsp:nvSpPr>
        <dsp:cNvPr id="0" name=""/>
        <dsp:cNvSpPr/>
      </dsp:nvSpPr>
      <dsp:spPr>
        <a:xfrm>
          <a:off x="2791206" y="1648206"/>
          <a:ext cx="1248156" cy="1248156"/>
        </a:xfrm>
        <a:prstGeom prst="roundRect">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Excellence and Accountability </a:t>
          </a: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CB6DA-75D3-B344-B6C5-747C4B247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30</Pages>
  <Words>8195</Words>
  <Characters>46716</Characters>
  <Application>Microsoft Macintosh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Turnit Great</dc:creator>
  <cp:keywords/>
  <dc:description/>
  <cp:lastModifiedBy>Microsoft Office User</cp:lastModifiedBy>
  <cp:revision>4</cp:revision>
  <dcterms:created xsi:type="dcterms:W3CDTF">2019-01-06T09:40:00Z</dcterms:created>
  <dcterms:modified xsi:type="dcterms:W3CDTF">2019-01-07T04:26:00Z</dcterms:modified>
</cp:coreProperties>
</file>