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644C6" w14:textId="77777777" w:rsidR="00FF34F7" w:rsidRDefault="00FF34F7">
      <w:pPr>
        <w:jc w:val="center"/>
        <w:rPr>
          <w:b/>
          <w:bCs/>
          <w:sz w:val="36"/>
          <w:szCs w:val="36"/>
        </w:rPr>
      </w:pPr>
    </w:p>
    <w:p w14:paraId="717938CB" w14:textId="77777777" w:rsidR="00FF34F7" w:rsidRDefault="00FF34F7">
      <w:pPr>
        <w:jc w:val="center"/>
        <w:rPr>
          <w:b/>
          <w:bCs/>
          <w:sz w:val="36"/>
          <w:szCs w:val="36"/>
        </w:rPr>
      </w:pPr>
    </w:p>
    <w:p w14:paraId="5284ADEB" w14:textId="77777777" w:rsidR="00FF34F7" w:rsidRDefault="00FF34F7">
      <w:pPr>
        <w:jc w:val="center"/>
        <w:rPr>
          <w:b/>
          <w:bCs/>
          <w:sz w:val="36"/>
          <w:szCs w:val="36"/>
        </w:rPr>
      </w:pPr>
    </w:p>
    <w:p w14:paraId="4710F90C" w14:textId="77777777" w:rsidR="00FF34F7" w:rsidRDefault="00FF34F7">
      <w:pPr>
        <w:jc w:val="center"/>
        <w:rPr>
          <w:b/>
          <w:bCs/>
          <w:sz w:val="36"/>
          <w:szCs w:val="36"/>
        </w:rPr>
      </w:pPr>
    </w:p>
    <w:p w14:paraId="712F11AE" w14:textId="77777777" w:rsidR="00FF34F7" w:rsidRDefault="00FF34F7">
      <w:pPr>
        <w:jc w:val="center"/>
        <w:rPr>
          <w:b/>
          <w:bCs/>
          <w:sz w:val="36"/>
          <w:szCs w:val="36"/>
        </w:rPr>
      </w:pPr>
    </w:p>
    <w:p w14:paraId="35C635A0" w14:textId="77777777" w:rsidR="00FF34F7" w:rsidRDefault="00C830B5">
      <w:pPr>
        <w:jc w:val="center"/>
        <w:rPr>
          <w:b/>
          <w:bCs/>
          <w:sz w:val="36"/>
          <w:szCs w:val="36"/>
        </w:rPr>
      </w:pPr>
      <w:r>
        <w:rPr>
          <w:b/>
          <w:bCs/>
          <w:sz w:val="36"/>
          <w:szCs w:val="36"/>
        </w:rPr>
        <w:t>DISSERTATION PROPOSAL</w:t>
      </w:r>
    </w:p>
    <w:p w14:paraId="100406E1" w14:textId="77777777" w:rsidR="00FF34F7" w:rsidRDefault="00FF34F7">
      <w:pPr>
        <w:jc w:val="center"/>
        <w:rPr>
          <w:b/>
          <w:bCs/>
          <w:sz w:val="36"/>
          <w:szCs w:val="36"/>
        </w:rPr>
      </w:pPr>
    </w:p>
    <w:p w14:paraId="0588B1B8" w14:textId="77777777" w:rsidR="00FF34F7" w:rsidRDefault="00C830B5">
      <w:pPr>
        <w:jc w:val="center"/>
        <w:rPr>
          <w:b/>
          <w:bCs/>
          <w:sz w:val="36"/>
          <w:szCs w:val="36"/>
        </w:rPr>
      </w:pPr>
      <w:r>
        <w:rPr>
          <w:b/>
          <w:bCs/>
          <w:sz w:val="36"/>
          <w:szCs w:val="36"/>
        </w:rPr>
        <w:t>TOPIC: CUSTOMER TRUST IN ESG INITIATIVES IN THE UK FOOD INDUSTRY: A SYSTEMATIC LITERATURE REVIEW</w:t>
      </w:r>
      <w:r>
        <w:br w:type="page"/>
      </w:r>
    </w:p>
    <w:p w14:paraId="68169A5C" w14:textId="77777777" w:rsidR="00FF34F7" w:rsidRDefault="00C830B5">
      <w:pPr>
        <w:jc w:val="center"/>
      </w:pPr>
      <w:r>
        <w:rPr>
          <w:b/>
          <w:bCs/>
        </w:rPr>
        <w:lastRenderedPageBreak/>
        <w:t xml:space="preserve">Table of Contents </w:t>
      </w:r>
    </w:p>
    <w:sdt>
      <w:sdtPr>
        <w:id w:val="272322816"/>
        <w:docPartObj>
          <w:docPartGallery w:val="Table of Contents"/>
          <w:docPartUnique/>
        </w:docPartObj>
      </w:sdtPr>
      <w:sdtEndPr/>
      <w:sdtContent>
        <w:p w14:paraId="462CB64E" w14:textId="77777777" w:rsidR="00FF34F7" w:rsidRDefault="00C830B5">
          <w:pPr>
            <w:widowControl w:val="0"/>
            <w:tabs>
              <w:tab w:val="right" w:leader="dot" w:pos="9025"/>
            </w:tabs>
            <w:spacing w:before="60"/>
            <w:jc w:val="left"/>
            <w:rPr>
              <w:color w:val="000000"/>
            </w:rPr>
          </w:pPr>
          <w:r>
            <w:fldChar w:fldCharType="begin"/>
          </w:r>
          <w:r>
            <w:instrText xml:space="preserve"> TOC \h \u \z \t "Heading 1,1,Heading 2,2,Heading 3,3,Heading 4,4,Heading 5,5,Heading 6,6,"</w:instrText>
          </w:r>
          <w:r>
            <w:fldChar w:fldCharType="separate"/>
          </w:r>
          <w:hyperlink w:anchor="_2g4ncqja2qll">
            <w:r>
              <w:rPr>
                <w:color w:val="000000"/>
              </w:rPr>
              <w:t>Introduction</w:t>
            </w:r>
            <w:r>
              <w:rPr>
                <w:color w:val="000000"/>
              </w:rPr>
              <w:tab/>
            </w:r>
          </w:hyperlink>
          <w:r>
            <w:fldChar w:fldCharType="begin"/>
          </w:r>
          <w:r>
            <w:instrText xml:space="preserve"> PAGEREF _2g4ncqja2qll \h </w:instrText>
          </w:r>
          <w:r>
            <w:fldChar w:fldCharType="separate"/>
          </w:r>
          <w:r>
            <w:t>2</w:t>
          </w:r>
          <w:r>
            <w:fldChar w:fldCharType="end"/>
          </w:r>
        </w:p>
        <w:p w14:paraId="3C5AA3FB" w14:textId="77777777" w:rsidR="00FF34F7" w:rsidRDefault="00C830B5">
          <w:pPr>
            <w:widowControl w:val="0"/>
            <w:tabs>
              <w:tab w:val="right" w:leader="dot" w:pos="9025"/>
            </w:tabs>
            <w:spacing w:before="60"/>
            <w:ind w:left="360"/>
            <w:jc w:val="left"/>
            <w:rPr>
              <w:color w:val="000000"/>
            </w:rPr>
          </w:pPr>
          <w:hyperlink w:anchor="_o5sb4azh72kr">
            <w:r>
              <w:rPr>
                <w:color w:val="000000"/>
              </w:rPr>
              <w:t>Background of the study</w:t>
            </w:r>
            <w:r>
              <w:rPr>
                <w:color w:val="000000"/>
              </w:rPr>
              <w:tab/>
            </w:r>
          </w:hyperlink>
          <w:r>
            <w:fldChar w:fldCharType="begin"/>
          </w:r>
          <w:r>
            <w:instrText xml:space="preserve"> PAGEREF _o5sb4azh72kr \h </w:instrText>
          </w:r>
          <w:r>
            <w:fldChar w:fldCharType="separate"/>
          </w:r>
          <w:r>
            <w:t>2</w:t>
          </w:r>
          <w:r>
            <w:fldChar w:fldCharType="end"/>
          </w:r>
        </w:p>
        <w:p w14:paraId="7C519F42" w14:textId="77777777" w:rsidR="00FF34F7" w:rsidRDefault="00C830B5">
          <w:pPr>
            <w:widowControl w:val="0"/>
            <w:tabs>
              <w:tab w:val="right" w:leader="dot" w:pos="9025"/>
            </w:tabs>
            <w:spacing w:before="60"/>
            <w:ind w:left="360"/>
            <w:jc w:val="left"/>
            <w:rPr>
              <w:color w:val="000000"/>
            </w:rPr>
          </w:pPr>
          <w:hyperlink w:anchor="_bd6cla6gyyd">
            <w:r>
              <w:rPr>
                <w:color w:val="000000"/>
              </w:rPr>
              <w:t>Research problem</w:t>
            </w:r>
            <w:r>
              <w:rPr>
                <w:color w:val="000000"/>
              </w:rPr>
              <w:tab/>
            </w:r>
          </w:hyperlink>
          <w:r>
            <w:fldChar w:fldCharType="begin"/>
          </w:r>
          <w:r>
            <w:instrText xml:space="preserve"> PAGEREF _bd6cla6gyyd \h </w:instrText>
          </w:r>
          <w:r>
            <w:fldChar w:fldCharType="separate"/>
          </w:r>
          <w:r>
            <w:t>3</w:t>
          </w:r>
          <w:r>
            <w:fldChar w:fldCharType="end"/>
          </w:r>
        </w:p>
        <w:p w14:paraId="6257A754" w14:textId="77777777" w:rsidR="00FF34F7" w:rsidRDefault="00C830B5">
          <w:pPr>
            <w:widowControl w:val="0"/>
            <w:tabs>
              <w:tab w:val="right" w:leader="dot" w:pos="9025"/>
            </w:tabs>
            <w:spacing w:before="60"/>
            <w:jc w:val="left"/>
            <w:rPr>
              <w:color w:val="000000"/>
            </w:rPr>
          </w:pPr>
          <w:hyperlink w:anchor="_ygbm1xdfwj5n">
            <w:r>
              <w:rPr>
                <w:color w:val="000000"/>
              </w:rPr>
              <w:t>Research aim, objectives and questions</w:t>
            </w:r>
            <w:r>
              <w:rPr>
                <w:color w:val="000000"/>
              </w:rPr>
              <w:tab/>
            </w:r>
          </w:hyperlink>
          <w:r>
            <w:fldChar w:fldCharType="begin"/>
          </w:r>
          <w:r>
            <w:instrText xml:space="preserve"> PAGEREF _ygbm1xdfwj5n \h </w:instrText>
          </w:r>
          <w:r>
            <w:fldChar w:fldCharType="separate"/>
          </w:r>
          <w:r>
            <w:t>3</w:t>
          </w:r>
          <w:r>
            <w:fldChar w:fldCharType="end"/>
          </w:r>
        </w:p>
        <w:p w14:paraId="57BB2133" w14:textId="77777777" w:rsidR="00FF34F7" w:rsidRDefault="00C830B5">
          <w:pPr>
            <w:widowControl w:val="0"/>
            <w:tabs>
              <w:tab w:val="right" w:leader="dot" w:pos="9025"/>
            </w:tabs>
            <w:spacing w:before="60"/>
            <w:ind w:left="360"/>
            <w:jc w:val="left"/>
            <w:rPr>
              <w:color w:val="000000"/>
            </w:rPr>
          </w:pPr>
          <w:hyperlink w:anchor="_1dv93gbaj8hv">
            <w:r>
              <w:rPr>
                <w:color w:val="000000"/>
              </w:rPr>
              <w:t>Research aim</w:t>
            </w:r>
            <w:r>
              <w:rPr>
                <w:color w:val="000000"/>
              </w:rPr>
              <w:tab/>
            </w:r>
          </w:hyperlink>
          <w:r>
            <w:fldChar w:fldCharType="begin"/>
          </w:r>
          <w:r>
            <w:instrText xml:space="preserve"> PAGEREF _1d</w:instrText>
          </w:r>
          <w:r>
            <w:instrText xml:space="preserve">v93gbaj8hv \h </w:instrText>
          </w:r>
          <w:r>
            <w:fldChar w:fldCharType="separate"/>
          </w:r>
          <w:r>
            <w:t>3</w:t>
          </w:r>
          <w:r>
            <w:fldChar w:fldCharType="end"/>
          </w:r>
        </w:p>
        <w:p w14:paraId="40F579A5" w14:textId="77777777" w:rsidR="00FF34F7" w:rsidRDefault="00C830B5">
          <w:pPr>
            <w:widowControl w:val="0"/>
            <w:tabs>
              <w:tab w:val="right" w:leader="dot" w:pos="9025"/>
            </w:tabs>
            <w:spacing w:before="60"/>
            <w:ind w:left="360"/>
            <w:jc w:val="left"/>
            <w:rPr>
              <w:color w:val="000000"/>
            </w:rPr>
          </w:pPr>
          <w:hyperlink w:anchor="_4dsqn8s81ia">
            <w:r>
              <w:rPr>
                <w:color w:val="000000"/>
              </w:rPr>
              <w:t>Research objectives</w:t>
            </w:r>
            <w:r>
              <w:rPr>
                <w:color w:val="000000"/>
              </w:rPr>
              <w:tab/>
            </w:r>
          </w:hyperlink>
          <w:r>
            <w:fldChar w:fldCharType="begin"/>
          </w:r>
          <w:r>
            <w:instrText xml:space="preserve"> PAGEREF _4dsqn8s81ia \h </w:instrText>
          </w:r>
          <w:r>
            <w:fldChar w:fldCharType="separate"/>
          </w:r>
          <w:r>
            <w:t>3</w:t>
          </w:r>
          <w:r>
            <w:fldChar w:fldCharType="end"/>
          </w:r>
        </w:p>
        <w:p w14:paraId="244879CC" w14:textId="77777777" w:rsidR="00FF34F7" w:rsidRDefault="00C830B5">
          <w:pPr>
            <w:widowControl w:val="0"/>
            <w:tabs>
              <w:tab w:val="right" w:leader="dot" w:pos="9025"/>
            </w:tabs>
            <w:spacing w:before="60"/>
            <w:ind w:left="360"/>
            <w:jc w:val="left"/>
            <w:rPr>
              <w:color w:val="000000"/>
            </w:rPr>
          </w:pPr>
          <w:hyperlink w:anchor="_d6j0pd53td87">
            <w:r>
              <w:rPr>
                <w:color w:val="000000"/>
              </w:rPr>
              <w:t>Research questions</w:t>
            </w:r>
            <w:r>
              <w:rPr>
                <w:color w:val="000000"/>
              </w:rPr>
              <w:tab/>
            </w:r>
          </w:hyperlink>
          <w:r>
            <w:fldChar w:fldCharType="begin"/>
          </w:r>
          <w:r>
            <w:instrText xml:space="preserve"> PAGEREF _d6j0pd53td87 \h </w:instrText>
          </w:r>
          <w:r>
            <w:fldChar w:fldCharType="separate"/>
          </w:r>
          <w:r>
            <w:t>4</w:t>
          </w:r>
          <w:r>
            <w:fldChar w:fldCharType="end"/>
          </w:r>
        </w:p>
        <w:p w14:paraId="0B754C32" w14:textId="77777777" w:rsidR="00FF34F7" w:rsidRDefault="00C830B5">
          <w:pPr>
            <w:widowControl w:val="0"/>
            <w:tabs>
              <w:tab w:val="right" w:leader="dot" w:pos="9025"/>
            </w:tabs>
            <w:spacing w:before="60"/>
            <w:jc w:val="left"/>
            <w:rPr>
              <w:color w:val="000000"/>
            </w:rPr>
          </w:pPr>
          <w:hyperlink w:anchor="_hthfelyp11r8">
            <w:r>
              <w:rPr>
                <w:color w:val="000000"/>
              </w:rPr>
              <w:t>Preliminary literature search</w:t>
            </w:r>
            <w:r>
              <w:rPr>
                <w:color w:val="000000"/>
              </w:rPr>
              <w:tab/>
            </w:r>
          </w:hyperlink>
          <w:r>
            <w:fldChar w:fldCharType="begin"/>
          </w:r>
          <w:r>
            <w:instrText xml:space="preserve"> PAGEREF _hthfelyp11r8 \h </w:instrText>
          </w:r>
          <w:r>
            <w:fldChar w:fldCharType="separate"/>
          </w:r>
          <w:r>
            <w:t>4</w:t>
          </w:r>
          <w:r>
            <w:fldChar w:fldCharType="end"/>
          </w:r>
        </w:p>
        <w:p w14:paraId="2DF8DFC6" w14:textId="77777777" w:rsidR="00FF34F7" w:rsidRDefault="00C830B5">
          <w:pPr>
            <w:widowControl w:val="0"/>
            <w:tabs>
              <w:tab w:val="right" w:leader="dot" w:pos="9025"/>
            </w:tabs>
            <w:spacing w:before="60"/>
            <w:ind w:left="360"/>
            <w:jc w:val="left"/>
            <w:rPr>
              <w:color w:val="000000"/>
            </w:rPr>
          </w:pPr>
          <w:hyperlink w:anchor="_kqfg1f8sqat0">
            <w:r>
              <w:rPr>
                <w:color w:val="000000"/>
              </w:rPr>
              <w:t>Theoretical implications</w:t>
            </w:r>
            <w:r>
              <w:rPr>
                <w:color w:val="000000"/>
              </w:rPr>
              <w:tab/>
            </w:r>
          </w:hyperlink>
          <w:r>
            <w:fldChar w:fldCharType="begin"/>
          </w:r>
          <w:r>
            <w:instrText xml:space="preserve"> PAGEREF _kqfg1f8sqat0 \h </w:instrText>
          </w:r>
          <w:r>
            <w:fldChar w:fldCharType="separate"/>
          </w:r>
          <w:r>
            <w:t>4</w:t>
          </w:r>
          <w:r>
            <w:fldChar w:fldCharType="end"/>
          </w:r>
        </w:p>
        <w:p w14:paraId="3FAD7EF4" w14:textId="77777777" w:rsidR="00FF34F7" w:rsidRDefault="00C830B5">
          <w:pPr>
            <w:widowControl w:val="0"/>
            <w:tabs>
              <w:tab w:val="right" w:leader="dot" w:pos="9025"/>
            </w:tabs>
            <w:spacing w:before="60"/>
            <w:ind w:left="360"/>
            <w:jc w:val="left"/>
            <w:rPr>
              <w:color w:val="000000"/>
            </w:rPr>
          </w:pPr>
          <w:hyperlink w:anchor="_80qe0pj6muji">
            <w:r>
              <w:rPr>
                <w:color w:val="000000"/>
              </w:rPr>
              <w:t>Empirical research</w:t>
            </w:r>
            <w:r>
              <w:rPr>
                <w:color w:val="000000"/>
              </w:rPr>
              <w:tab/>
            </w:r>
          </w:hyperlink>
          <w:r>
            <w:fldChar w:fldCharType="begin"/>
          </w:r>
          <w:r>
            <w:instrText xml:space="preserve"> PAGEREF _80qe0pj6muji \h </w:instrText>
          </w:r>
          <w:r>
            <w:fldChar w:fldCharType="separate"/>
          </w:r>
          <w:r>
            <w:t>5</w:t>
          </w:r>
          <w:r>
            <w:fldChar w:fldCharType="end"/>
          </w:r>
        </w:p>
        <w:p w14:paraId="7DEC302D" w14:textId="77777777" w:rsidR="00FF34F7" w:rsidRDefault="00C830B5">
          <w:pPr>
            <w:widowControl w:val="0"/>
            <w:tabs>
              <w:tab w:val="right" w:leader="dot" w:pos="9025"/>
            </w:tabs>
            <w:spacing w:before="60"/>
            <w:ind w:left="360"/>
            <w:jc w:val="left"/>
            <w:rPr>
              <w:color w:val="000000"/>
            </w:rPr>
          </w:pPr>
          <w:hyperlink w:anchor="_qvykvjw0sqbb">
            <w:r>
              <w:rPr>
                <w:color w:val="000000"/>
              </w:rPr>
              <w:t>Gaps in knowledge</w:t>
            </w:r>
            <w:r>
              <w:rPr>
                <w:color w:val="000000"/>
              </w:rPr>
              <w:tab/>
            </w:r>
          </w:hyperlink>
          <w:r>
            <w:fldChar w:fldCharType="begin"/>
          </w:r>
          <w:r>
            <w:instrText xml:space="preserve"> PAGEREF _qvykvjw0sqbb \h </w:instrText>
          </w:r>
          <w:r>
            <w:fldChar w:fldCharType="separate"/>
          </w:r>
          <w:r>
            <w:t>7</w:t>
          </w:r>
          <w:r>
            <w:fldChar w:fldCharType="end"/>
          </w:r>
        </w:p>
        <w:p w14:paraId="690130DF" w14:textId="77777777" w:rsidR="00FF34F7" w:rsidRDefault="00C830B5">
          <w:pPr>
            <w:widowControl w:val="0"/>
            <w:tabs>
              <w:tab w:val="right" w:leader="dot" w:pos="9025"/>
            </w:tabs>
            <w:spacing w:before="60"/>
            <w:ind w:left="360"/>
            <w:jc w:val="left"/>
            <w:rPr>
              <w:color w:val="000000"/>
            </w:rPr>
          </w:pPr>
          <w:hyperlink w:anchor="_4b6p2eo7ebcg">
            <w:r>
              <w:rPr>
                <w:color w:val="000000"/>
              </w:rPr>
              <w:t>Conceptual framework</w:t>
            </w:r>
            <w:r>
              <w:rPr>
                <w:color w:val="000000"/>
              </w:rPr>
              <w:tab/>
            </w:r>
          </w:hyperlink>
          <w:r>
            <w:fldChar w:fldCharType="begin"/>
          </w:r>
          <w:r>
            <w:instrText xml:space="preserve"> PAGEREF _4b6p2eo7ebcg \h </w:instrText>
          </w:r>
          <w:r>
            <w:fldChar w:fldCharType="separate"/>
          </w:r>
          <w:r>
            <w:t>8</w:t>
          </w:r>
          <w:r>
            <w:fldChar w:fldCharType="end"/>
          </w:r>
        </w:p>
        <w:p w14:paraId="6DBCC508" w14:textId="77777777" w:rsidR="00FF34F7" w:rsidRDefault="00C830B5">
          <w:pPr>
            <w:widowControl w:val="0"/>
            <w:tabs>
              <w:tab w:val="right" w:leader="dot" w:pos="9025"/>
            </w:tabs>
            <w:spacing w:before="60"/>
            <w:jc w:val="left"/>
            <w:rPr>
              <w:color w:val="000000"/>
            </w:rPr>
          </w:pPr>
          <w:hyperlink w:anchor="_78ujwifaqhct">
            <w:r>
              <w:rPr>
                <w:color w:val="000000"/>
              </w:rPr>
              <w:t>Research methodology</w:t>
            </w:r>
            <w:r>
              <w:rPr>
                <w:color w:val="000000"/>
              </w:rPr>
              <w:tab/>
            </w:r>
          </w:hyperlink>
          <w:r>
            <w:fldChar w:fldCharType="begin"/>
          </w:r>
          <w:r>
            <w:instrText xml:space="preserve"> PAGEREF _78ujwifaqhct \h </w:instrText>
          </w:r>
          <w:r>
            <w:fldChar w:fldCharType="separate"/>
          </w:r>
          <w:r>
            <w:t>8</w:t>
          </w:r>
          <w:r>
            <w:fldChar w:fldCharType="end"/>
          </w:r>
        </w:p>
        <w:p w14:paraId="7DDFC4EE" w14:textId="77777777" w:rsidR="00FF34F7" w:rsidRDefault="00C830B5">
          <w:pPr>
            <w:widowControl w:val="0"/>
            <w:tabs>
              <w:tab w:val="right" w:leader="dot" w:pos="9025"/>
            </w:tabs>
            <w:spacing w:before="60"/>
            <w:ind w:left="360"/>
            <w:jc w:val="left"/>
            <w:rPr>
              <w:color w:val="000000"/>
            </w:rPr>
          </w:pPr>
          <w:hyperlink w:anchor="_ae2aoo6v80y">
            <w:r>
              <w:rPr>
                <w:color w:val="000000"/>
              </w:rPr>
              <w:t>Justification using the PICO framework</w:t>
            </w:r>
            <w:r>
              <w:rPr>
                <w:color w:val="000000"/>
              </w:rPr>
              <w:tab/>
            </w:r>
          </w:hyperlink>
          <w:r>
            <w:fldChar w:fldCharType="begin"/>
          </w:r>
          <w:r>
            <w:instrText xml:space="preserve"> PAGEREF _ae2aoo6v80y \h </w:instrText>
          </w:r>
          <w:r>
            <w:fldChar w:fldCharType="separate"/>
          </w:r>
          <w:r>
            <w:t>8</w:t>
          </w:r>
          <w:r>
            <w:fldChar w:fldCharType="end"/>
          </w:r>
        </w:p>
        <w:p w14:paraId="0C92D693" w14:textId="77777777" w:rsidR="00FF34F7" w:rsidRDefault="00C830B5">
          <w:pPr>
            <w:widowControl w:val="0"/>
            <w:tabs>
              <w:tab w:val="right" w:leader="dot" w:pos="9025"/>
            </w:tabs>
            <w:spacing w:before="60"/>
            <w:ind w:left="360"/>
            <w:jc w:val="left"/>
            <w:rPr>
              <w:color w:val="000000"/>
            </w:rPr>
          </w:pPr>
          <w:hyperlink w:anchor="_ufi0hza034tf">
            <w:r>
              <w:rPr>
                <w:color w:val="000000"/>
              </w:rPr>
              <w:t>Research philosophy</w:t>
            </w:r>
            <w:r>
              <w:rPr>
                <w:color w:val="000000"/>
              </w:rPr>
              <w:tab/>
            </w:r>
          </w:hyperlink>
          <w:r>
            <w:fldChar w:fldCharType="begin"/>
          </w:r>
          <w:r>
            <w:instrText xml:space="preserve"> PAGEREF _ufi0hza034tf \h </w:instrText>
          </w:r>
          <w:r>
            <w:fldChar w:fldCharType="separate"/>
          </w:r>
          <w:r>
            <w:t>8</w:t>
          </w:r>
          <w:r>
            <w:fldChar w:fldCharType="end"/>
          </w:r>
        </w:p>
        <w:p w14:paraId="783E7F78" w14:textId="77777777" w:rsidR="00FF34F7" w:rsidRDefault="00C830B5">
          <w:pPr>
            <w:widowControl w:val="0"/>
            <w:tabs>
              <w:tab w:val="right" w:leader="dot" w:pos="9025"/>
            </w:tabs>
            <w:spacing w:before="60"/>
            <w:ind w:left="360"/>
            <w:jc w:val="left"/>
            <w:rPr>
              <w:color w:val="000000"/>
            </w:rPr>
          </w:pPr>
          <w:hyperlink w:anchor="_9voc6i57mdgb">
            <w:r>
              <w:rPr>
                <w:color w:val="000000"/>
              </w:rPr>
              <w:t>Research approach</w:t>
            </w:r>
            <w:r>
              <w:rPr>
                <w:color w:val="000000"/>
              </w:rPr>
              <w:tab/>
            </w:r>
          </w:hyperlink>
          <w:r>
            <w:fldChar w:fldCharType="begin"/>
          </w:r>
          <w:r>
            <w:instrText xml:space="preserve"> PAGEREF _9voc6i57mdgb \h </w:instrText>
          </w:r>
          <w:r>
            <w:fldChar w:fldCharType="separate"/>
          </w:r>
          <w:r>
            <w:t>9</w:t>
          </w:r>
          <w:r>
            <w:fldChar w:fldCharType="end"/>
          </w:r>
        </w:p>
        <w:p w14:paraId="10AD1608" w14:textId="77777777" w:rsidR="00FF34F7" w:rsidRDefault="00C830B5">
          <w:pPr>
            <w:widowControl w:val="0"/>
            <w:tabs>
              <w:tab w:val="right" w:leader="dot" w:pos="9025"/>
            </w:tabs>
            <w:spacing w:before="60"/>
            <w:ind w:left="360"/>
            <w:jc w:val="left"/>
            <w:rPr>
              <w:color w:val="000000"/>
            </w:rPr>
          </w:pPr>
          <w:hyperlink w:anchor="_8zzhajxp0v4">
            <w:r>
              <w:rPr>
                <w:color w:val="000000"/>
              </w:rPr>
              <w:t>Research design</w:t>
            </w:r>
            <w:r>
              <w:rPr>
                <w:color w:val="000000"/>
              </w:rPr>
              <w:tab/>
            </w:r>
          </w:hyperlink>
          <w:r>
            <w:fldChar w:fldCharType="begin"/>
          </w:r>
          <w:r>
            <w:instrText xml:space="preserve"> PAGEREF _8zzhajxp0v4 \h </w:instrText>
          </w:r>
          <w:r>
            <w:fldChar w:fldCharType="separate"/>
          </w:r>
          <w:r>
            <w:t>9</w:t>
          </w:r>
          <w:r>
            <w:fldChar w:fldCharType="end"/>
          </w:r>
        </w:p>
        <w:p w14:paraId="5B32F910" w14:textId="77777777" w:rsidR="00FF34F7" w:rsidRDefault="00C830B5">
          <w:pPr>
            <w:widowControl w:val="0"/>
            <w:tabs>
              <w:tab w:val="right" w:leader="dot" w:pos="9025"/>
            </w:tabs>
            <w:spacing w:before="60"/>
            <w:ind w:left="360"/>
            <w:jc w:val="left"/>
            <w:rPr>
              <w:color w:val="000000"/>
            </w:rPr>
          </w:pPr>
          <w:hyperlink w:anchor="_4lpqdjncrcxo">
            <w:r>
              <w:rPr>
                <w:color w:val="000000"/>
              </w:rPr>
              <w:t>Data collection</w:t>
            </w:r>
            <w:r>
              <w:rPr>
                <w:color w:val="000000"/>
              </w:rPr>
              <w:tab/>
            </w:r>
          </w:hyperlink>
          <w:r>
            <w:fldChar w:fldCharType="begin"/>
          </w:r>
          <w:r>
            <w:instrText xml:space="preserve"> PAGEREF _4lpqdjncrcxo \h </w:instrText>
          </w:r>
          <w:r>
            <w:fldChar w:fldCharType="separate"/>
          </w:r>
          <w:r>
            <w:t>9</w:t>
          </w:r>
          <w:r>
            <w:fldChar w:fldCharType="end"/>
          </w:r>
        </w:p>
        <w:p w14:paraId="4D89B194" w14:textId="77777777" w:rsidR="00FF34F7" w:rsidRDefault="00C830B5">
          <w:pPr>
            <w:widowControl w:val="0"/>
            <w:tabs>
              <w:tab w:val="right" w:leader="dot" w:pos="9025"/>
            </w:tabs>
            <w:spacing w:before="60"/>
            <w:ind w:left="360"/>
            <w:jc w:val="left"/>
            <w:rPr>
              <w:color w:val="000000"/>
            </w:rPr>
          </w:pPr>
          <w:hyperlink w:anchor="_7qxvcpg484wk">
            <w:r>
              <w:rPr>
                <w:color w:val="000000"/>
              </w:rPr>
              <w:t>Databases</w:t>
            </w:r>
            <w:r>
              <w:rPr>
                <w:color w:val="000000"/>
              </w:rPr>
              <w:tab/>
            </w:r>
          </w:hyperlink>
          <w:r>
            <w:fldChar w:fldCharType="begin"/>
          </w:r>
          <w:r>
            <w:instrText xml:space="preserve"> PAGEREF _7qxvcpg484wk \h </w:instrText>
          </w:r>
          <w:r>
            <w:fldChar w:fldCharType="separate"/>
          </w:r>
          <w:r>
            <w:t>9</w:t>
          </w:r>
          <w:r>
            <w:fldChar w:fldCharType="end"/>
          </w:r>
        </w:p>
        <w:p w14:paraId="366E61A5" w14:textId="77777777" w:rsidR="00FF34F7" w:rsidRDefault="00C830B5">
          <w:pPr>
            <w:widowControl w:val="0"/>
            <w:tabs>
              <w:tab w:val="right" w:leader="dot" w:pos="9025"/>
            </w:tabs>
            <w:spacing w:before="60"/>
            <w:ind w:left="360"/>
            <w:jc w:val="left"/>
            <w:rPr>
              <w:color w:val="000000"/>
            </w:rPr>
          </w:pPr>
          <w:hyperlink w:anchor="_esgtg49cde6v">
            <w:r>
              <w:rPr>
                <w:color w:val="000000"/>
              </w:rPr>
              <w:t>Keywords</w:t>
            </w:r>
            <w:r>
              <w:rPr>
                <w:color w:val="000000"/>
              </w:rPr>
              <w:tab/>
            </w:r>
          </w:hyperlink>
          <w:r>
            <w:fldChar w:fldCharType="begin"/>
          </w:r>
          <w:r>
            <w:instrText xml:space="preserve"> PAGEREF _esgtg49cde6v \h </w:instrText>
          </w:r>
          <w:r>
            <w:fldChar w:fldCharType="separate"/>
          </w:r>
          <w:r>
            <w:t>9</w:t>
          </w:r>
          <w:r>
            <w:fldChar w:fldCharType="end"/>
          </w:r>
        </w:p>
        <w:p w14:paraId="43A4B97A" w14:textId="77777777" w:rsidR="00FF34F7" w:rsidRDefault="00C830B5">
          <w:pPr>
            <w:widowControl w:val="0"/>
            <w:tabs>
              <w:tab w:val="right" w:leader="dot" w:pos="9025"/>
            </w:tabs>
            <w:spacing w:before="60"/>
            <w:ind w:left="360"/>
            <w:jc w:val="left"/>
            <w:rPr>
              <w:color w:val="000000"/>
            </w:rPr>
          </w:pPr>
          <w:hyperlink w:anchor="_xipqxvtq0skg">
            <w:r>
              <w:rPr>
                <w:color w:val="000000"/>
              </w:rPr>
              <w:t>Example search strings</w:t>
            </w:r>
            <w:r>
              <w:rPr>
                <w:color w:val="000000"/>
              </w:rPr>
              <w:tab/>
            </w:r>
          </w:hyperlink>
          <w:r>
            <w:fldChar w:fldCharType="begin"/>
          </w:r>
          <w:r>
            <w:instrText xml:space="preserve"> PAGEREF _xipqxvtq0skg \h </w:instrText>
          </w:r>
          <w:r>
            <w:fldChar w:fldCharType="separate"/>
          </w:r>
          <w:r>
            <w:t>10</w:t>
          </w:r>
          <w:r>
            <w:fldChar w:fldCharType="end"/>
          </w:r>
        </w:p>
        <w:p w14:paraId="216C628D" w14:textId="77777777" w:rsidR="00FF34F7" w:rsidRDefault="00C830B5">
          <w:pPr>
            <w:widowControl w:val="0"/>
            <w:tabs>
              <w:tab w:val="right" w:leader="dot" w:pos="9025"/>
            </w:tabs>
            <w:spacing w:before="60"/>
            <w:ind w:left="360"/>
            <w:jc w:val="left"/>
            <w:rPr>
              <w:color w:val="000000"/>
            </w:rPr>
          </w:pPr>
          <w:hyperlink w:anchor="_6owsxt7p2h2m">
            <w:r>
              <w:rPr>
                <w:color w:val="000000"/>
              </w:rPr>
              <w:t>Data analysis</w:t>
            </w:r>
            <w:r>
              <w:rPr>
                <w:color w:val="000000"/>
              </w:rPr>
              <w:tab/>
            </w:r>
          </w:hyperlink>
          <w:r>
            <w:fldChar w:fldCharType="begin"/>
          </w:r>
          <w:r>
            <w:instrText xml:space="preserve"> PAGEREF _6owsxt7p2h2m \h </w:instrText>
          </w:r>
          <w:r>
            <w:fldChar w:fldCharType="separate"/>
          </w:r>
          <w:r>
            <w:t>10</w:t>
          </w:r>
          <w:r>
            <w:fldChar w:fldCharType="end"/>
          </w:r>
        </w:p>
        <w:p w14:paraId="560D7DE8" w14:textId="77777777" w:rsidR="00FF34F7" w:rsidRDefault="00C830B5">
          <w:pPr>
            <w:widowControl w:val="0"/>
            <w:tabs>
              <w:tab w:val="right" w:leader="dot" w:pos="9025"/>
            </w:tabs>
            <w:spacing w:before="60"/>
            <w:ind w:left="360"/>
            <w:jc w:val="left"/>
            <w:rPr>
              <w:color w:val="000000"/>
            </w:rPr>
          </w:pPr>
          <w:hyperlink w:anchor="_2f0kzmev9ymq">
            <w:r>
              <w:rPr>
                <w:color w:val="000000"/>
              </w:rPr>
              <w:t>Ethical considerations</w:t>
            </w:r>
            <w:r>
              <w:rPr>
                <w:color w:val="000000"/>
              </w:rPr>
              <w:tab/>
            </w:r>
          </w:hyperlink>
          <w:r>
            <w:fldChar w:fldCharType="begin"/>
          </w:r>
          <w:r>
            <w:instrText xml:space="preserve"> PAGEREF _2f0kzmev9ymq \h </w:instrText>
          </w:r>
          <w:r>
            <w:fldChar w:fldCharType="separate"/>
          </w:r>
          <w:r>
            <w:t>10</w:t>
          </w:r>
          <w:r>
            <w:fldChar w:fldCharType="end"/>
          </w:r>
        </w:p>
        <w:p w14:paraId="5EA42072" w14:textId="77777777" w:rsidR="00FF34F7" w:rsidRDefault="00C830B5">
          <w:pPr>
            <w:widowControl w:val="0"/>
            <w:tabs>
              <w:tab w:val="right" w:leader="dot" w:pos="9025"/>
            </w:tabs>
            <w:spacing w:before="60"/>
            <w:jc w:val="left"/>
            <w:rPr>
              <w:color w:val="000000"/>
            </w:rPr>
          </w:pPr>
          <w:hyperlink w:anchor="_39auw2rfd2nn">
            <w:r>
              <w:rPr>
                <w:color w:val="000000"/>
              </w:rPr>
              <w:t>Risks</w:t>
            </w:r>
            <w:r>
              <w:rPr>
                <w:color w:val="000000"/>
              </w:rPr>
              <w:tab/>
            </w:r>
          </w:hyperlink>
          <w:r>
            <w:fldChar w:fldCharType="begin"/>
          </w:r>
          <w:r>
            <w:instrText xml:space="preserve"> PAGEREF _39auw2rfd2nn \h </w:instrText>
          </w:r>
          <w:r>
            <w:fldChar w:fldCharType="separate"/>
          </w:r>
          <w:r>
            <w:t>11</w:t>
          </w:r>
          <w:r>
            <w:fldChar w:fldCharType="end"/>
          </w:r>
        </w:p>
        <w:p w14:paraId="597D9638" w14:textId="77777777" w:rsidR="00FF34F7" w:rsidRDefault="00C830B5">
          <w:pPr>
            <w:widowControl w:val="0"/>
            <w:tabs>
              <w:tab w:val="right" w:leader="dot" w:pos="9025"/>
            </w:tabs>
            <w:spacing w:before="60"/>
            <w:jc w:val="left"/>
            <w:rPr>
              <w:color w:val="000000"/>
            </w:rPr>
          </w:pPr>
          <w:hyperlink w:anchor="_e29qkrcx4tdl">
            <w:r>
              <w:rPr>
                <w:color w:val="000000"/>
              </w:rPr>
              <w:t>Timeline</w:t>
            </w:r>
            <w:r>
              <w:rPr>
                <w:color w:val="000000"/>
              </w:rPr>
              <w:tab/>
            </w:r>
          </w:hyperlink>
          <w:r>
            <w:fldChar w:fldCharType="begin"/>
          </w:r>
          <w:r>
            <w:instrText xml:space="preserve"> PAGEREF _e29qkrcx4tdl \h </w:instrText>
          </w:r>
          <w:r>
            <w:fldChar w:fldCharType="separate"/>
          </w:r>
          <w:r>
            <w:t>11</w:t>
          </w:r>
          <w:r>
            <w:fldChar w:fldCharType="end"/>
          </w:r>
        </w:p>
        <w:p w14:paraId="41F8D642" w14:textId="77777777" w:rsidR="00FF34F7" w:rsidRDefault="00C830B5">
          <w:pPr>
            <w:widowControl w:val="0"/>
            <w:tabs>
              <w:tab w:val="right" w:leader="dot" w:pos="9025"/>
            </w:tabs>
            <w:spacing w:before="60"/>
            <w:jc w:val="left"/>
            <w:rPr>
              <w:color w:val="000000"/>
            </w:rPr>
          </w:pPr>
          <w:hyperlink w:anchor="_f8qppirjvd1v">
            <w:r>
              <w:rPr>
                <w:color w:val="000000"/>
              </w:rPr>
              <w:t>References</w:t>
            </w:r>
            <w:r>
              <w:rPr>
                <w:color w:val="000000"/>
              </w:rPr>
              <w:tab/>
            </w:r>
          </w:hyperlink>
          <w:r>
            <w:fldChar w:fldCharType="begin"/>
          </w:r>
          <w:r>
            <w:instrText xml:space="preserve"> PAGEREF _f8qppirjvd1v \h </w:instrText>
          </w:r>
          <w:r>
            <w:fldChar w:fldCharType="separate"/>
          </w:r>
          <w:r>
            <w:t>13</w:t>
          </w:r>
          <w:r>
            <w:fldChar w:fldCharType="end"/>
          </w:r>
          <w:r>
            <w:fldChar w:fldCharType="end"/>
          </w:r>
        </w:p>
      </w:sdtContent>
    </w:sdt>
    <w:p w14:paraId="02407BBF" w14:textId="77777777" w:rsidR="00FF34F7" w:rsidRDefault="00FF34F7"/>
    <w:p w14:paraId="7ED7F2B9" w14:textId="77777777" w:rsidR="00FF34F7" w:rsidRDefault="00C830B5">
      <w:r>
        <w:br w:type="page"/>
      </w:r>
    </w:p>
    <w:p w14:paraId="3D87A715" w14:textId="77777777" w:rsidR="00FF34F7" w:rsidRDefault="00C830B5">
      <w:pPr>
        <w:pStyle w:val="Heading1"/>
      </w:pPr>
      <w:bookmarkStart w:id="0" w:name="_2g4ncqja2qll" w:colFirst="0" w:colLast="0"/>
      <w:bookmarkEnd w:id="0"/>
      <w:r>
        <w:lastRenderedPageBreak/>
        <w:t>Introduction</w:t>
      </w:r>
    </w:p>
    <w:p w14:paraId="1821B58F" w14:textId="77777777" w:rsidR="00FF34F7" w:rsidRDefault="00C830B5">
      <w:pPr>
        <w:pStyle w:val="Heading2"/>
      </w:pPr>
      <w:bookmarkStart w:id="1" w:name="_o5sb4azh72kr" w:colFirst="0" w:colLast="0"/>
      <w:bookmarkEnd w:id="1"/>
      <w:r>
        <w:t xml:space="preserve">Background of the study </w:t>
      </w:r>
    </w:p>
    <w:p w14:paraId="603EFC20" w14:textId="77777777" w:rsidR="00FF34F7" w:rsidRDefault="00C830B5">
      <w:r>
        <w:t>Environmental, Social and Governance (ESG) projects have become a major part of modern business strategy as organ</w:t>
      </w:r>
      <w:r>
        <w:t xml:space="preserve">isations are under more and more pressure to ensure they are responsible and sustainable. </w:t>
      </w:r>
    </w:p>
    <w:p w14:paraId="6B5B34E9" w14:textId="77777777" w:rsidR="00FF34F7" w:rsidRDefault="00C830B5">
      <w:pPr>
        <w:jc w:val="center"/>
      </w:pPr>
      <w:r>
        <w:rPr>
          <w:noProof/>
        </w:rPr>
        <w:drawing>
          <wp:inline distT="114300" distB="114300" distL="114300" distR="114300" wp14:anchorId="691CD68D" wp14:editId="125FBEAF">
            <wp:extent cx="5731200" cy="2768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768600"/>
                    </a:xfrm>
                    <a:prstGeom prst="rect">
                      <a:avLst/>
                    </a:prstGeom>
                    <a:ln/>
                  </pic:spPr>
                </pic:pic>
              </a:graphicData>
            </a:graphic>
          </wp:inline>
        </w:drawing>
      </w:r>
    </w:p>
    <w:p w14:paraId="2509ADF5" w14:textId="77777777" w:rsidR="00FF34F7" w:rsidRDefault="00C830B5">
      <w:pPr>
        <w:jc w:val="center"/>
        <w:rPr>
          <w:b/>
          <w:bCs/>
        </w:rPr>
      </w:pPr>
      <w:r>
        <w:rPr>
          <w:b/>
          <w:bCs/>
        </w:rPr>
        <w:t xml:space="preserve">Figure 1: 2025 Executive Benchmark on Integrated Reporting </w:t>
      </w:r>
    </w:p>
    <w:p w14:paraId="7F634546" w14:textId="77777777" w:rsidR="00FF34F7" w:rsidRDefault="00C830B5">
      <w:pPr>
        <w:jc w:val="center"/>
      </w:pPr>
      <w:r>
        <w:t xml:space="preserve">(Source: Klindt and McReynolds, 2025) </w:t>
      </w:r>
    </w:p>
    <w:p w14:paraId="1E659441" w14:textId="77777777" w:rsidR="00FF34F7" w:rsidRDefault="00C830B5">
      <w:r>
        <w:t>The 2025 Executive Benchmark on Integrated Reporting in Figure 1</w:t>
      </w:r>
      <w:r>
        <w:t xml:space="preserve"> indicates that 85% of the executives intend to proceed with sustainability disclosures despite regulatory change and 97% believe that robust sustainability reporting provides a competitive advantage (Klindt and McReynolds, 2025).</w:t>
      </w:r>
    </w:p>
    <w:p w14:paraId="39F544F9" w14:textId="77777777" w:rsidR="00FF34F7" w:rsidRDefault="00C830B5">
      <w:r>
        <w:t>The significance of ESG i</w:t>
      </w:r>
      <w:r>
        <w:t xml:space="preserve">s more pronounced in the UK food industry. The industry is significant in the national economy and it is directly related to the issues of environmental sustainability, food security, human health and ethical supply chain management. The food industry and </w:t>
      </w:r>
      <w:r>
        <w:t>retailers are facing a lot of scrutiny on matters of carbon emissions, food waste, sustainable sourcing, labour practices and animal welfare. As reported by Shilling (2023), a majority of almost 46% of adults and 63% of under-35s find it more significant t</w:t>
      </w:r>
      <w:r>
        <w:t xml:space="preserve">hat ingredients are sustainable than that they are minimally processed. </w:t>
      </w:r>
    </w:p>
    <w:p w14:paraId="1163E99D" w14:textId="77777777" w:rsidR="00FF34F7" w:rsidRDefault="00C830B5">
      <w:r>
        <w:t xml:space="preserve">Although organisations are becoming fervent in marketing their ESG success, customer confidence determines the success of such a move to a large extent. Trust is an essential element </w:t>
      </w:r>
      <w:r>
        <w:t>of the consumer-organisation relationship since it minimises uncertainty and fosters trust in organisational arguments and actions (Kulova and Nikolova-Alexieva, 2023). After the implementation of ESG, customer trust is of paramount importance since consum</w:t>
      </w:r>
      <w:r>
        <w:t xml:space="preserve">ers usually </w:t>
      </w:r>
      <w:r>
        <w:lastRenderedPageBreak/>
        <w:t>have limited resources or knowledge to perform their own checks of sustainability statements. Although there is an increased corporate investment in ESG programmes, the issue of greenwashing has been escalating. Greenwashing is a process of ove</w:t>
      </w:r>
      <w:r>
        <w:t xml:space="preserve">rstating, exaggerating or misinforming stakeholders regarding sustainability performance. </w:t>
      </w:r>
    </w:p>
    <w:p w14:paraId="4105E7C1" w14:textId="77777777" w:rsidR="00FF34F7" w:rsidRDefault="00C830B5">
      <w:pPr>
        <w:pStyle w:val="Heading2"/>
      </w:pPr>
      <w:bookmarkStart w:id="2" w:name="_bd6cla6gyyd" w:colFirst="0" w:colLast="0"/>
      <w:bookmarkEnd w:id="2"/>
      <w:r>
        <w:t xml:space="preserve">Research problem </w:t>
      </w:r>
    </w:p>
    <w:p w14:paraId="1A98A80A" w14:textId="77777777" w:rsidR="00FF34F7" w:rsidRDefault="00C830B5">
      <w:r>
        <w:t>Despite the literature that has been conducted on ESG in terms of its impact on other outcomes like the reputation of the corporation, customer sat</w:t>
      </w:r>
      <w:r>
        <w:t xml:space="preserve">isfaction, purchase intention and customer loyalty, there is relatively less emphasis on customer trust as a research construct. Current literature by Bae </w:t>
      </w:r>
      <w:r>
        <w:rPr>
          <w:i/>
          <w:iCs/>
        </w:rPr>
        <w:t>et al.,</w:t>
      </w:r>
      <w:r>
        <w:t xml:space="preserve"> (2023) tends to study trust as a secondary phenomenon or examine the effects of ESG in a vari</w:t>
      </w:r>
      <w:r>
        <w:t>ety of industries without taking into account the peculiarities of the food industry. Moreover, the evidence on ESG initiatives and customer trust is still inconsistent and sometimes even contradictory, especially when the aspects of transparency, authenti</w:t>
      </w:r>
      <w:r>
        <w:t>city and greenwashing are taken into account. With the growing significance of sustainability in food consumption, as well as the growing scepticism of corporate ESG assertions, a synthesis of existing evidence is necessary. This research thus postulates a</w:t>
      </w:r>
      <w:r>
        <w:t xml:space="preserve"> systematic literature review to critically analyse the association between ESG initiatives and customer trust in the UK food industry, to determine the main trust-building mechanisms and to point out the gaps that need additional research in the academic </w:t>
      </w:r>
      <w:r>
        <w:t>field.</w:t>
      </w:r>
    </w:p>
    <w:p w14:paraId="6D7341B3" w14:textId="77777777" w:rsidR="00FF34F7" w:rsidRDefault="00FF34F7"/>
    <w:p w14:paraId="79AC6776" w14:textId="77777777" w:rsidR="00FF34F7" w:rsidRDefault="00C830B5">
      <w:pPr>
        <w:pStyle w:val="Heading1"/>
      </w:pPr>
      <w:bookmarkStart w:id="3" w:name="_ygbm1xdfwj5n" w:colFirst="0" w:colLast="0"/>
      <w:bookmarkEnd w:id="3"/>
      <w:r>
        <w:t>Research aim, objectives and questions</w:t>
      </w:r>
    </w:p>
    <w:p w14:paraId="660A0862" w14:textId="77777777" w:rsidR="00FF34F7" w:rsidRDefault="00C830B5">
      <w:pPr>
        <w:pStyle w:val="Heading2"/>
      </w:pPr>
      <w:bookmarkStart w:id="4" w:name="_1dv93gbaj8hv" w:colFirst="0" w:colLast="0"/>
      <w:bookmarkEnd w:id="4"/>
      <w:r>
        <w:t xml:space="preserve">Research aim </w:t>
      </w:r>
    </w:p>
    <w:p w14:paraId="29F094CF" w14:textId="77777777" w:rsidR="00FF34F7" w:rsidRDefault="00C830B5">
      <w:r>
        <w:t>The aim of this study will be to critically investigate the impact of Environmental, Social and Governance (ESG) initiatives on customer trust within the UK food industry.</w:t>
      </w:r>
    </w:p>
    <w:p w14:paraId="0D8990AF" w14:textId="77777777" w:rsidR="00FF34F7" w:rsidRDefault="00C830B5">
      <w:pPr>
        <w:pStyle w:val="Heading2"/>
      </w:pPr>
      <w:bookmarkStart w:id="5" w:name="_4dsqn8s81ia" w:colFirst="0" w:colLast="0"/>
      <w:bookmarkEnd w:id="5"/>
      <w:r>
        <w:t xml:space="preserve">Research </w:t>
      </w:r>
      <w:r>
        <w:t>objectives</w:t>
      </w:r>
    </w:p>
    <w:p w14:paraId="718047FD" w14:textId="77777777" w:rsidR="00FF34F7" w:rsidRDefault="00C830B5">
      <w:r>
        <w:t>RO1: To critically evaluate the implementation and significance of ESG initiatives within the UK food industry</w:t>
      </w:r>
    </w:p>
    <w:p w14:paraId="61569A83" w14:textId="77777777" w:rsidR="00FF34F7" w:rsidRDefault="00C830B5">
      <w:r>
        <w:t xml:space="preserve">RO2: To examine the relationship between ESG initiatives and customer trust </w:t>
      </w:r>
    </w:p>
    <w:p w14:paraId="5272791E" w14:textId="77777777" w:rsidR="00FF34F7" w:rsidRDefault="00C830B5">
      <w:r>
        <w:t>RO3: To identify the challenges related to ESG dimensions</w:t>
      </w:r>
      <w:r>
        <w:t xml:space="preserve"> and organisational practices that impact customer trust</w:t>
      </w:r>
    </w:p>
    <w:p w14:paraId="0C9D5276" w14:textId="77777777" w:rsidR="00FF34F7" w:rsidRDefault="00C830B5">
      <w:r>
        <w:t xml:space="preserve">RO4: To recommend the factors that strengthen customer trust through ESG initiatives </w:t>
      </w:r>
    </w:p>
    <w:p w14:paraId="0A713530" w14:textId="77777777" w:rsidR="00FF34F7" w:rsidRDefault="00C830B5">
      <w:pPr>
        <w:pStyle w:val="Heading2"/>
      </w:pPr>
      <w:bookmarkStart w:id="6" w:name="_d6j0pd53td87" w:colFirst="0" w:colLast="0"/>
      <w:bookmarkEnd w:id="6"/>
      <w:r>
        <w:t>Research questions</w:t>
      </w:r>
    </w:p>
    <w:p w14:paraId="34122E62" w14:textId="77777777" w:rsidR="00FF34F7" w:rsidRDefault="00C830B5">
      <w:r>
        <w:t>RQ1: How are ESG initiatives implemented within the UK food industry?</w:t>
      </w:r>
    </w:p>
    <w:p w14:paraId="388A2511" w14:textId="77777777" w:rsidR="00FF34F7" w:rsidRDefault="00C830B5">
      <w:r>
        <w:lastRenderedPageBreak/>
        <w:t>RQ2: What is the relatio</w:t>
      </w:r>
      <w:r>
        <w:t>nship between ESG initiatives and customer trust in the UK food industry?</w:t>
      </w:r>
    </w:p>
    <w:p w14:paraId="26BCD13F" w14:textId="77777777" w:rsidR="00FF34F7" w:rsidRDefault="00C830B5">
      <w:r>
        <w:t>RQ3: Which challenges do organisations face related to ESG dimensions that most significantly influence customer trust?</w:t>
      </w:r>
    </w:p>
    <w:p w14:paraId="34B43016" w14:textId="77777777" w:rsidR="00FF34F7" w:rsidRDefault="00C830B5">
      <w:r>
        <w:t xml:space="preserve">RQ4: What factors strengthen customer trust in </w:t>
      </w:r>
      <w:r>
        <w:t>relation to ESG initiatives?</w:t>
      </w:r>
    </w:p>
    <w:p w14:paraId="7FA5796E" w14:textId="77777777" w:rsidR="00FF34F7" w:rsidRDefault="00FF34F7"/>
    <w:p w14:paraId="0A306F12" w14:textId="77777777" w:rsidR="00FF34F7" w:rsidRDefault="00C830B5">
      <w:pPr>
        <w:pStyle w:val="Heading1"/>
      </w:pPr>
      <w:bookmarkStart w:id="7" w:name="_hthfelyp11r8" w:colFirst="0" w:colLast="0"/>
      <w:bookmarkEnd w:id="7"/>
      <w:r>
        <w:t>Preliminary literature search</w:t>
      </w:r>
    </w:p>
    <w:p w14:paraId="7F21AD9F" w14:textId="77777777" w:rsidR="00FF34F7" w:rsidRDefault="00C830B5">
      <w:pPr>
        <w:pStyle w:val="Heading2"/>
      </w:pPr>
      <w:bookmarkStart w:id="8" w:name="_kqfg1f8sqat0" w:colFirst="0" w:colLast="0"/>
      <w:bookmarkEnd w:id="8"/>
      <w:r>
        <w:t xml:space="preserve">Theoretical implications </w:t>
      </w:r>
    </w:p>
    <w:p w14:paraId="4A0EB3C8" w14:textId="77777777" w:rsidR="00FF34F7" w:rsidRDefault="00C830B5">
      <w:pPr>
        <w:rPr>
          <w:b/>
          <w:bCs/>
          <w:i/>
          <w:iCs/>
        </w:rPr>
      </w:pPr>
      <w:r>
        <w:rPr>
          <w:b/>
          <w:bCs/>
          <w:i/>
          <w:iCs/>
        </w:rPr>
        <w:t>Stakeholder theory</w:t>
      </w:r>
    </w:p>
    <w:p w14:paraId="3113E5C9" w14:textId="77777777" w:rsidR="00FF34F7" w:rsidRDefault="00C830B5">
      <w:r>
        <w:t xml:space="preserve">Stakeholder Theory offers one of the most popular theoretical frameworks to study the Environmental, Social and Governance (ESG) initiatives (Awa </w:t>
      </w:r>
      <w:r>
        <w:rPr>
          <w:i/>
          <w:iCs/>
        </w:rPr>
        <w:t>et al</w:t>
      </w:r>
      <w:r>
        <w:rPr>
          <w:i/>
          <w:iCs/>
        </w:rPr>
        <w:t>.,</w:t>
      </w:r>
      <w:r>
        <w:t xml:space="preserve"> 2024). </w:t>
      </w:r>
    </w:p>
    <w:p w14:paraId="63631999" w14:textId="77777777" w:rsidR="00FF34F7" w:rsidRDefault="00C830B5">
      <w:pPr>
        <w:jc w:val="center"/>
      </w:pPr>
      <w:r>
        <w:rPr>
          <w:noProof/>
        </w:rPr>
        <w:drawing>
          <wp:inline distT="114300" distB="114300" distL="114300" distR="114300" wp14:anchorId="7E2302C8" wp14:editId="202EB03D">
            <wp:extent cx="3532717" cy="345642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32717" cy="3456429"/>
                    </a:xfrm>
                    <a:prstGeom prst="rect">
                      <a:avLst/>
                    </a:prstGeom>
                    <a:ln/>
                  </pic:spPr>
                </pic:pic>
              </a:graphicData>
            </a:graphic>
          </wp:inline>
        </w:drawing>
      </w:r>
    </w:p>
    <w:p w14:paraId="6BD9EAA8" w14:textId="77777777" w:rsidR="00FF34F7" w:rsidRDefault="00C830B5">
      <w:pPr>
        <w:jc w:val="center"/>
        <w:rPr>
          <w:b/>
          <w:bCs/>
        </w:rPr>
      </w:pPr>
      <w:r>
        <w:rPr>
          <w:b/>
          <w:bCs/>
        </w:rPr>
        <w:t xml:space="preserve">Figure 2: Stakeholder Theory </w:t>
      </w:r>
    </w:p>
    <w:p w14:paraId="220C1456" w14:textId="77777777" w:rsidR="00FF34F7" w:rsidRDefault="00C830B5">
      <w:pPr>
        <w:jc w:val="center"/>
      </w:pPr>
      <w:r>
        <w:t xml:space="preserve">(Source: Awa </w:t>
      </w:r>
      <w:r>
        <w:rPr>
          <w:i/>
          <w:iCs/>
        </w:rPr>
        <w:t>et al.,</w:t>
      </w:r>
      <w:r>
        <w:t xml:space="preserve"> 2024)</w:t>
      </w:r>
    </w:p>
    <w:p w14:paraId="4474F0E6" w14:textId="77777777" w:rsidR="00FF34F7" w:rsidRDefault="00C830B5">
      <w:r>
        <w:t>According to the theory, organisations need not just pursue the interests of shareholders but aim at creating value for all stakeholders such as customers, employees, suppliers, communit</w:t>
      </w:r>
      <w:r>
        <w:t>ies and investors. ESG initiatives could thus be considered as strategic processes by which organisations seek to respond to demands of stakeholders and be legitimate. According to the theory, organisations which show responsible behaviour are more incline</w:t>
      </w:r>
      <w:r>
        <w:t>d to receive stakeholder support and trust.</w:t>
      </w:r>
    </w:p>
    <w:p w14:paraId="554A703C" w14:textId="77777777" w:rsidR="00FF34F7" w:rsidRDefault="00C830B5">
      <w:pPr>
        <w:rPr>
          <w:b/>
          <w:bCs/>
          <w:i/>
          <w:iCs/>
        </w:rPr>
      </w:pPr>
      <w:r>
        <w:rPr>
          <w:b/>
          <w:bCs/>
          <w:i/>
          <w:iCs/>
        </w:rPr>
        <w:t>Customer trust theory</w:t>
      </w:r>
    </w:p>
    <w:p w14:paraId="23C08EFB" w14:textId="77777777" w:rsidR="00FF34F7" w:rsidRDefault="00C830B5">
      <w:r>
        <w:lastRenderedPageBreak/>
        <w:t xml:space="preserve">Customer Trust Theory is an explanation of the development of trust between consumers and organisations based on perceptions of competence, honesty, integrity and benevolence. </w:t>
      </w:r>
    </w:p>
    <w:p w14:paraId="2D39FD37" w14:textId="77777777" w:rsidR="00FF34F7" w:rsidRDefault="00C830B5">
      <w:pPr>
        <w:jc w:val="center"/>
      </w:pPr>
      <w:r>
        <w:rPr>
          <w:noProof/>
        </w:rPr>
        <w:drawing>
          <wp:inline distT="114300" distB="114300" distL="114300" distR="114300" wp14:anchorId="3A2BD81F" wp14:editId="3F0EED6F">
            <wp:extent cx="4422864" cy="2174697"/>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422864" cy="2174697"/>
                    </a:xfrm>
                    <a:prstGeom prst="rect">
                      <a:avLst/>
                    </a:prstGeom>
                    <a:ln/>
                  </pic:spPr>
                </pic:pic>
              </a:graphicData>
            </a:graphic>
          </wp:inline>
        </w:drawing>
      </w:r>
    </w:p>
    <w:p w14:paraId="24B3EC24" w14:textId="77777777" w:rsidR="00FF34F7" w:rsidRDefault="00C830B5">
      <w:pPr>
        <w:jc w:val="center"/>
        <w:rPr>
          <w:b/>
          <w:bCs/>
        </w:rPr>
      </w:pPr>
      <w:r>
        <w:rPr>
          <w:b/>
          <w:bCs/>
        </w:rPr>
        <w:t>Figure 3: C</w:t>
      </w:r>
      <w:r>
        <w:rPr>
          <w:b/>
          <w:bCs/>
        </w:rPr>
        <w:t xml:space="preserve">ustomer Trust Model </w:t>
      </w:r>
    </w:p>
    <w:p w14:paraId="2576EDA8" w14:textId="77777777" w:rsidR="00FF34F7" w:rsidRDefault="00C830B5">
      <w:pPr>
        <w:jc w:val="center"/>
      </w:pPr>
      <w:r>
        <w:t>(Source: Van Hummel and Russell-Bennett, 2025)</w:t>
      </w:r>
    </w:p>
    <w:p w14:paraId="5E8811EF" w14:textId="77777777" w:rsidR="00FF34F7" w:rsidRDefault="00C830B5">
      <w:r>
        <w:t xml:space="preserve">Trust is especially essential when dealing with a situation that is characterised by uncertainty, where consumers are unable to test the claims of organisations directly. The customers in </w:t>
      </w:r>
      <w:r>
        <w:t>the ESG context usually do not have enough information to evaluate the sustainability performance on their own and thus depend on the organisational disclosures and communications. Researchers also make a differentiation between cognitive trust, based on t</w:t>
      </w:r>
      <w:r>
        <w:t xml:space="preserve">he rational assessment of organisational performance, and affective trust, being based on the emotional belief in the intentions of a company. </w:t>
      </w:r>
    </w:p>
    <w:p w14:paraId="2524D7BD" w14:textId="77777777" w:rsidR="00FF34F7" w:rsidRDefault="00C830B5">
      <w:pPr>
        <w:pStyle w:val="Heading2"/>
      </w:pPr>
      <w:bookmarkStart w:id="9" w:name="_80qe0pj6muji" w:colFirst="0" w:colLast="0"/>
      <w:bookmarkEnd w:id="9"/>
      <w:r>
        <w:t xml:space="preserve">Empirical research </w:t>
      </w:r>
    </w:p>
    <w:p w14:paraId="1175464E" w14:textId="77777777" w:rsidR="00FF34F7" w:rsidRDefault="00C830B5">
      <w:pPr>
        <w:rPr>
          <w:b/>
          <w:bCs/>
          <w:i/>
          <w:iCs/>
        </w:rPr>
      </w:pPr>
      <w:r>
        <w:rPr>
          <w:b/>
          <w:bCs/>
          <w:i/>
          <w:iCs/>
        </w:rPr>
        <w:t xml:space="preserve">Critical evaluation of the implementation of ESG initiatives within the UK food </w:t>
      </w:r>
      <w:r>
        <w:rPr>
          <w:b/>
          <w:bCs/>
          <w:i/>
          <w:iCs/>
        </w:rPr>
        <w:t>industry</w:t>
      </w:r>
    </w:p>
    <w:p w14:paraId="5B16CD3D" w14:textId="67980AD0" w:rsidR="00FF34F7" w:rsidRDefault="00C830B5">
      <w:r>
        <w:t xml:space="preserve">The introduction of ESG initiatives has been gaining momentum in the UK food industry as the pressure on regulation, stakeholder expectations and environmental issues have increased. The activities involved in food production and distribution are </w:t>
      </w:r>
      <w:r>
        <w:t xml:space="preserve">major contributors to greenhouse gases, waste production and consumption of resources, which motivates organisations to embrace business practices that are sustainable in nature. </w:t>
      </w:r>
      <w:r w:rsidR="009039AD" w:rsidRPr="009039AD">
        <w:t>According to Onukwulu et al., (2023), leading UK food retailers and manufacturers have embarked on strategies intended to minimize carbon footprints, promote sustainable sourcing, improve labor conditions and promote supply chain visibility.</w:t>
      </w:r>
    </w:p>
    <w:p w14:paraId="14CC9220" w14:textId="0A379A92" w:rsidR="00FF34F7" w:rsidRDefault="009039AD">
      <w:r w:rsidRPr="009039AD">
        <w:t xml:space="preserve">The positive benefits of ESG activities include good reputation for corporations, good organizational image and stakeholder relations. As regards this topic, it can be noted that Manzoor et al., (2024) argue that sustainable sourcing programs and food waste reduction programs have assisted organizations in demonstrating their environmental responsibility as </w:t>
      </w:r>
      <w:r w:rsidRPr="009039AD">
        <w:lastRenderedPageBreak/>
        <w:t>well as meeting the needs and expectations of consumers.</w:t>
      </w:r>
      <w:r w:rsidR="00C830B5">
        <w:t xml:space="preserve"> Other organisations have more resources in terms of finances and technology to spend on sustainability programmes and small firms frequently have limited resources. Researchers in Nugroho </w:t>
      </w:r>
      <w:r w:rsidR="00C830B5">
        <w:rPr>
          <w:i/>
          <w:iCs/>
        </w:rPr>
        <w:t xml:space="preserve">et al., </w:t>
      </w:r>
      <w:r w:rsidR="00C830B5">
        <w:t xml:space="preserve">(2024) also claim that the </w:t>
      </w:r>
      <w:r w:rsidR="00C830B5">
        <w:t xml:space="preserve">usefulness of the implementation of ESG does not just rely on whether the sustainability practices are adopted or not, but also on the means of communication and perception of the sustainability initiatives by the consumers. </w:t>
      </w:r>
    </w:p>
    <w:p w14:paraId="070E9DDC" w14:textId="77777777" w:rsidR="00FF34F7" w:rsidRDefault="00C830B5">
      <w:r>
        <w:rPr>
          <w:b/>
          <w:bCs/>
          <w:i/>
          <w:iCs/>
        </w:rPr>
        <w:t>Relationship between ESG initi</w:t>
      </w:r>
      <w:r>
        <w:rPr>
          <w:b/>
          <w:bCs/>
          <w:i/>
          <w:iCs/>
        </w:rPr>
        <w:t>atives and customer trust</w:t>
      </w:r>
    </w:p>
    <w:p w14:paraId="56CAB84B" w14:textId="77777777" w:rsidR="00FF34F7" w:rsidRDefault="00C830B5">
      <w:r>
        <w:t xml:space="preserve">The literature available tends to indicate that there is a positive correlation between ESG activities and customer trust. </w:t>
      </w:r>
    </w:p>
    <w:p w14:paraId="3A0CF801" w14:textId="77777777" w:rsidR="00FF34F7" w:rsidRDefault="00C830B5">
      <w:pPr>
        <w:jc w:val="center"/>
      </w:pPr>
      <w:r>
        <w:rPr>
          <w:noProof/>
        </w:rPr>
        <w:drawing>
          <wp:inline distT="114300" distB="114300" distL="114300" distR="114300" wp14:anchorId="3AB7A2CD" wp14:editId="31ED6665">
            <wp:extent cx="5731200" cy="2641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2641600"/>
                    </a:xfrm>
                    <a:prstGeom prst="rect">
                      <a:avLst/>
                    </a:prstGeom>
                    <a:ln/>
                  </pic:spPr>
                </pic:pic>
              </a:graphicData>
            </a:graphic>
          </wp:inline>
        </w:drawing>
      </w:r>
    </w:p>
    <w:p w14:paraId="1E930147" w14:textId="77777777" w:rsidR="00FF34F7" w:rsidRDefault="00C830B5">
      <w:pPr>
        <w:jc w:val="center"/>
        <w:rPr>
          <w:b/>
          <w:bCs/>
        </w:rPr>
      </w:pPr>
      <w:r>
        <w:rPr>
          <w:b/>
          <w:bCs/>
        </w:rPr>
        <w:t xml:space="preserve">Figure 4: ESG commitments influencing consumer buying decisions </w:t>
      </w:r>
    </w:p>
    <w:p w14:paraId="08A4BC24" w14:textId="77777777" w:rsidR="00FF34F7" w:rsidRDefault="00C830B5">
      <w:pPr>
        <w:jc w:val="center"/>
      </w:pPr>
      <w:r>
        <w:t xml:space="preserve">(Source: Kulova and Nikolova-Alexieva, </w:t>
      </w:r>
      <w:r>
        <w:t>2023)</w:t>
      </w:r>
    </w:p>
    <w:p w14:paraId="32D25F29" w14:textId="33FC723E" w:rsidR="00FF34F7" w:rsidRDefault="00C830B5">
      <w:r>
        <w:t xml:space="preserve">Kulova and Nikolova-Alexieva (2023) stated that 80% of consumers are turning towards organisations that show environmental responsibility, ethical business practices and social responsibility. </w:t>
      </w:r>
      <w:r w:rsidR="009039AD" w:rsidRPr="009039AD">
        <w:t>The involvement of organisations in such activities as ESG can remind consumers about organizational integrit</w:t>
      </w:r>
      <w:r>
        <w:t xml:space="preserve"> </w:t>
      </w:r>
    </w:p>
    <w:p w14:paraId="4B997692" w14:textId="62A9A082" w:rsidR="00FF34F7" w:rsidRDefault="009039AD">
      <w:r w:rsidRPr="009039AD">
        <w:t>Deshmukh and Tare (2023) noted that the positive results related to trust could be linked with organizational environmental activities, such as carbon reduction programs, sustainable packaging, and responsible sourcing, because of the efforts made by firms to demonstrate their concern about solving the problem faced by society. This idea is further explained by Tziner and Persoff (2024), stating that socially-oriented programs focusing on employees and communities can contribute to good organizational reputation and image.</w:t>
      </w:r>
      <w:r w:rsidR="00C830B5">
        <w:t xml:space="preserve"> The governance practices, especially transparency and accountability, are also identified as significant mechanisms of trust-building. Certain studies indicate that there </w:t>
      </w:r>
      <w:r w:rsidR="00C830B5">
        <w:t xml:space="preserve">are strong positive </w:t>
      </w:r>
      <w:r w:rsidR="00C830B5">
        <w:lastRenderedPageBreak/>
        <w:t>relationships between ESG performance and customer trust, but others find that there are weak or indirect relationships.</w:t>
      </w:r>
    </w:p>
    <w:p w14:paraId="59668E3D" w14:textId="77777777" w:rsidR="00FF34F7" w:rsidRDefault="00C830B5">
      <w:pPr>
        <w:rPr>
          <w:b/>
          <w:bCs/>
          <w:i/>
          <w:iCs/>
        </w:rPr>
      </w:pPr>
      <w:r>
        <w:rPr>
          <w:b/>
          <w:bCs/>
          <w:i/>
          <w:iCs/>
        </w:rPr>
        <w:t>Challenges organisations face related to ESG dimensions that impact customer trust</w:t>
      </w:r>
    </w:p>
    <w:p w14:paraId="32D4EF03" w14:textId="77777777" w:rsidR="00E16544" w:rsidRDefault="00C830B5" w:rsidP="00E16544">
      <w:pPr>
        <w:rPr>
          <w:rStyle w:val="cursor-pointer"/>
          <w:szCs w:val="23"/>
        </w:rPr>
      </w:pPr>
      <w:r>
        <w:t>Total ESG initiatives can help o</w:t>
      </w:r>
      <w:r>
        <w:t xml:space="preserve">rganisations to increase customer trust, but organisations encounter numerous challenges that can affect their effectiveness. Nguyen </w:t>
      </w:r>
      <w:r>
        <w:rPr>
          <w:i/>
          <w:iCs/>
        </w:rPr>
        <w:t>et al.,</w:t>
      </w:r>
      <w:r>
        <w:t xml:space="preserve"> (2026) state that greenwashing is known to be one of the most common issues because it occurs when companies exagge</w:t>
      </w:r>
      <w:r>
        <w:t>rate or misrepresent their environmental achievements</w:t>
      </w:r>
      <w:r w:rsidRPr="00E16544">
        <w:t>.</w:t>
      </w:r>
      <w:r>
        <w:t xml:space="preserve"> </w:t>
      </w:r>
      <w:r w:rsidR="00E16544" w:rsidRPr="003C4B1B">
        <w:rPr>
          <w:rStyle w:val="cursor-pointer"/>
          <w:szCs w:val="23"/>
        </w:rPr>
        <w:t>As highlighted by Daou et al. (2025), consumer trust can be broken as greenwashing creates a disconnect between what is promised and what is really happening within the organisation.</w:t>
      </w:r>
      <w:r w:rsidR="00E16544" w:rsidRPr="003C4B1B">
        <w:rPr>
          <w:szCs w:val="23"/>
        </w:rPr>
        <w:t xml:space="preserve"> </w:t>
      </w:r>
      <w:r w:rsidR="00E16544" w:rsidRPr="003C4B1B">
        <w:rPr>
          <w:rStyle w:val="cursor-pointer"/>
          <w:szCs w:val="23"/>
        </w:rPr>
        <w:t>With growing recognitions of sustainability issues, people are more sceptical of business communications at ESG issues.</w:t>
      </w:r>
    </w:p>
    <w:p w14:paraId="1010F610" w14:textId="699BB176" w:rsidR="00FF34F7" w:rsidRDefault="003C4B1B">
      <w:r w:rsidRPr="003C4B1B">
        <w:rPr>
          <w:szCs w:val="23"/>
        </w:rPr>
        <w:t>Okeke (2026) noted that consumers want organisations to be more transparent and evidence-based in relation to ESG activities.</w:t>
      </w:r>
      <w:r w:rsidR="002F7E8F" w:rsidRPr="002F7E8F">
        <w:t xml:space="preserve"> Moreover, information contained in sustainability reports could prove to be quite complicated to comprehend and assess for individuals. The lack of such information might lead to distrust of the information. According to Singer-Brodowski (2025), environmental programmes could be viewed negatively in circumstances when organisations failed to provide tangible evidence.</w:t>
      </w:r>
      <w:r w:rsidR="00721F55">
        <w:t xml:space="preserve"> </w:t>
      </w:r>
      <w:r w:rsidR="00C830B5">
        <w:t>Challenges related to governance, including poor accountability measures, poor disclosure practices or poor reporting standards, can further decrease cons</w:t>
      </w:r>
      <w:r w:rsidR="00C830B5">
        <w:t xml:space="preserve">umer confidence. </w:t>
      </w:r>
    </w:p>
    <w:p w14:paraId="75BC8333" w14:textId="77777777" w:rsidR="00FF34F7" w:rsidRDefault="00C830B5">
      <w:pPr>
        <w:pStyle w:val="Heading2"/>
      </w:pPr>
      <w:bookmarkStart w:id="10" w:name="_qvykvjw0sqbb" w:colFirst="0" w:colLast="0"/>
      <w:bookmarkEnd w:id="10"/>
      <w:r>
        <w:t xml:space="preserve">Gaps in knowledge </w:t>
      </w:r>
    </w:p>
    <w:p w14:paraId="5C022EFE" w14:textId="64662C94" w:rsidR="00FF34F7" w:rsidRDefault="00C830B5">
      <w:r>
        <w:t xml:space="preserve">The analysis of the current literature shows that there are some significant gaps. </w:t>
      </w:r>
      <w:r w:rsidR="00A120A5">
        <w:t>S</w:t>
      </w:r>
      <w:r>
        <w:t>tudies consider ESG as related to corporate reputation, customer loyalty or purchase intention, whereas very few concentrate on custome</w:t>
      </w:r>
      <w:r>
        <w:t>r trust as the main result variable. Second, the current evidence in David (2025) on the linkage between ESG initiatives and customer trust is still scattered and sometimes even conflicting, especially on the role played by transparency and greenwashing pe</w:t>
      </w:r>
      <w:r>
        <w:t>rceptions. Third, the bulk of the evidence available is based on the general international circumstances, and few studies are based specifically on the UK food industry. The existing gaps indicate that there is a need to conduct a systematic synthesis of e</w:t>
      </w:r>
      <w:r>
        <w:t>xisting evidence to get a better picture of customer trust in ESG efforts in the UK food industry.</w:t>
      </w:r>
    </w:p>
    <w:p w14:paraId="5AD19CAA" w14:textId="77777777" w:rsidR="00FF34F7" w:rsidRDefault="00C830B5">
      <w:pPr>
        <w:pStyle w:val="Heading2"/>
      </w:pPr>
      <w:bookmarkStart w:id="11" w:name="_4b6p2eo7ebcg" w:colFirst="0" w:colLast="0"/>
      <w:bookmarkEnd w:id="11"/>
      <w:r>
        <w:lastRenderedPageBreak/>
        <w:t>Conceptual framework</w:t>
      </w:r>
    </w:p>
    <w:p w14:paraId="36741028" w14:textId="77777777" w:rsidR="00FF34F7" w:rsidRDefault="00C830B5">
      <w:pPr>
        <w:jc w:val="center"/>
        <w:rPr>
          <w:b/>
          <w:bCs/>
        </w:rPr>
      </w:pPr>
      <w:r>
        <w:rPr>
          <w:b/>
          <w:bCs/>
          <w:noProof/>
        </w:rPr>
        <w:drawing>
          <wp:inline distT="114300" distB="114300" distL="114300" distR="114300" wp14:anchorId="7B7DF4F3" wp14:editId="2A2AFA53">
            <wp:extent cx="5731200" cy="40005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4000500"/>
                    </a:xfrm>
                    <a:prstGeom prst="rect">
                      <a:avLst/>
                    </a:prstGeom>
                    <a:ln/>
                  </pic:spPr>
                </pic:pic>
              </a:graphicData>
            </a:graphic>
          </wp:inline>
        </w:drawing>
      </w:r>
    </w:p>
    <w:p w14:paraId="1D9CA5AD" w14:textId="77777777" w:rsidR="00FF34F7" w:rsidRDefault="00C830B5">
      <w:pPr>
        <w:jc w:val="center"/>
        <w:rPr>
          <w:b/>
          <w:bCs/>
        </w:rPr>
      </w:pPr>
      <w:r>
        <w:rPr>
          <w:b/>
          <w:bCs/>
        </w:rPr>
        <w:t>Figure 4: Conceptual Framework</w:t>
      </w:r>
    </w:p>
    <w:p w14:paraId="1D8C9AD7" w14:textId="77777777" w:rsidR="00FF34F7" w:rsidRDefault="00C830B5">
      <w:pPr>
        <w:jc w:val="center"/>
      </w:pPr>
      <w:r>
        <w:t>(Source: Self-Created)</w:t>
      </w:r>
    </w:p>
    <w:p w14:paraId="11587629" w14:textId="3DAEAB73" w:rsidR="00FF34F7" w:rsidRDefault="00C830B5">
      <w:r>
        <w:t xml:space="preserve">The framework suggests that ESG activities have an effect on customer trust in </w:t>
      </w:r>
      <w:r>
        <w:t xml:space="preserve">the UK food sector. Nevertheless, transparency mediates this relationship, along with authenticity and perceptions of greenwashing. </w:t>
      </w:r>
      <w:r w:rsidR="009D085D" w:rsidRPr="00D270FA">
        <w:rPr>
          <w:szCs w:val="23"/>
        </w:rPr>
        <w:t>When it comes to communicating about ESG activities, a credible communication boosts consumer trust, whereas a miscommunication results in consumer scepticism about the organisation's activities.</w:t>
      </w:r>
    </w:p>
    <w:p w14:paraId="09B9B3FA" w14:textId="77777777" w:rsidR="00FF34F7" w:rsidRDefault="00C830B5">
      <w:pPr>
        <w:pStyle w:val="Heading1"/>
      </w:pPr>
      <w:bookmarkStart w:id="12" w:name="_78ujwifaqhct" w:colFirst="0" w:colLast="0"/>
      <w:bookmarkEnd w:id="12"/>
      <w:r>
        <w:t>Research methodology</w:t>
      </w:r>
    </w:p>
    <w:p w14:paraId="343A3053" w14:textId="77777777" w:rsidR="00FF34F7" w:rsidRDefault="00C830B5">
      <w:pPr>
        <w:pStyle w:val="Heading2"/>
      </w:pPr>
      <w:bookmarkStart w:id="13" w:name="_ae2aoo6v80y" w:colFirst="0" w:colLast="0"/>
      <w:bookmarkEnd w:id="13"/>
      <w:r>
        <w:t>Justification using the PICO framework</w:t>
      </w:r>
    </w:p>
    <w:p w14:paraId="375CA3F7" w14:textId="77777777" w:rsidR="00FF34F7" w:rsidRDefault="00C830B5">
      <w:r>
        <w:t>The PICO framework is a systematic method of formulating specific research questions as well as informing systemat</w:t>
      </w:r>
      <w:r>
        <w:t>ic literature reviews (Zaccagnini and Li, 2023). The PICO is applied to explain the main concepts linked to customer trust and ESG actions in the UK food industry in this study. The framework defines the target population, the intervention under investigat</w:t>
      </w:r>
      <w:r>
        <w:t xml:space="preserve">ion, the comparison situation and the desired outcome. </w:t>
      </w:r>
    </w:p>
    <w:p w14:paraId="780AFCF7" w14:textId="77777777" w:rsidR="00FF34F7" w:rsidRDefault="00FF34F7"/>
    <w:tbl>
      <w:tblPr>
        <w:tblStyle w:val="a"/>
        <w:tblW w:w="90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39"/>
        <w:gridCol w:w="7076"/>
      </w:tblGrid>
      <w:tr w:rsidR="00FF34F7" w14:paraId="13E8E274" w14:textId="77777777">
        <w:trPr>
          <w:trHeight w:val="564"/>
        </w:trPr>
        <w:tc>
          <w:tcPr>
            <w:tcW w:w="19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977F73" w14:textId="77777777" w:rsidR="00FF34F7" w:rsidRDefault="00C830B5">
            <w:pPr>
              <w:jc w:val="center"/>
              <w:rPr>
                <w:b/>
                <w:bCs/>
              </w:rPr>
            </w:pPr>
            <w:r>
              <w:rPr>
                <w:b/>
                <w:bCs/>
              </w:rPr>
              <w:t>PICO element</w:t>
            </w:r>
          </w:p>
        </w:tc>
        <w:tc>
          <w:tcPr>
            <w:tcW w:w="7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013206" w14:textId="77777777" w:rsidR="00FF34F7" w:rsidRDefault="00C830B5">
            <w:pPr>
              <w:jc w:val="center"/>
              <w:rPr>
                <w:b/>
                <w:bCs/>
              </w:rPr>
            </w:pPr>
            <w:r>
              <w:rPr>
                <w:b/>
                <w:bCs/>
              </w:rPr>
              <w:t>Description</w:t>
            </w:r>
          </w:p>
        </w:tc>
      </w:tr>
      <w:tr w:rsidR="00FF34F7" w14:paraId="01911139" w14:textId="77777777">
        <w:trPr>
          <w:trHeight w:val="500"/>
        </w:trPr>
        <w:tc>
          <w:tcPr>
            <w:tcW w:w="19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44408C" w14:textId="77777777" w:rsidR="00FF34F7" w:rsidRDefault="00C830B5">
            <w:r>
              <w:lastRenderedPageBreak/>
              <w:t>Population (P)</w:t>
            </w:r>
          </w:p>
        </w:tc>
        <w:tc>
          <w:tcPr>
            <w:tcW w:w="7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6D34D8" w14:textId="77777777" w:rsidR="00FF34F7" w:rsidRDefault="00C830B5">
            <w:r>
              <w:t xml:space="preserve">Customers and consumers within the UK food industry </w:t>
            </w:r>
          </w:p>
        </w:tc>
      </w:tr>
      <w:tr w:rsidR="00FF34F7" w14:paraId="5D1F2EA2" w14:textId="77777777">
        <w:trPr>
          <w:trHeight w:val="770"/>
        </w:trPr>
        <w:tc>
          <w:tcPr>
            <w:tcW w:w="19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4E6783" w14:textId="77777777" w:rsidR="00FF34F7" w:rsidRDefault="00C830B5">
            <w:r>
              <w:t>Intervention (I)</w:t>
            </w:r>
          </w:p>
        </w:tc>
        <w:tc>
          <w:tcPr>
            <w:tcW w:w="7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E5E216" w14:textId="77777777" w:rsidR="00FF34F7" w:rsidRDefault="00C830B5">
            <w:r>
              <w:t xml:space="preserve">Food companies have been carrying out Environmental, Social and Governance (ESG) </w:t>
            </w:r>
            <w:r>
              <w:t>initiatives</w:t>
            </w:r>
          </w:p>
        </w:tc>
      </w:tr>
      <w:tr w:rsidR="00FF34F7" w14:paraId="754E6C28" w14:textId="77777777">
        <w:trPr>
          <w:trHeight w:val="770"/>
        </w:trPr>
        <w:tc>
          <w:tcPr>
            <w:tcW w:w="19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4CEDBC" w14:textId="77777777" w:rsidR="00FF34F7" w:rsidRDefault="00C830B5">
            <w:r>
              <w:t>Comparison (C)</w:t>
            </w:r>
          </w:p>
        </w:tc>
        <w:tc>
          <w:tcPr>
            <w:tcW w:w="7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48FE3D" w14:textId="77777777" w:rsidR="00FF34F7" w:rsidRDefault="00C830B5">
            <w:r>
              <w:t>Organisations that have limited, weak or poorly communicated ESG initiatives, or studies of the comparison of various ESG practices</w:t>
            </w:r>
          </w:p>
        </w:tc>
      </w:tr>
      <w:tr w:rsidR="00FF34F7" w14:paraId="27E5C60C" w14:textId="77777777">
        <w:trPr>
          <w:trHeight w:val="770"/>
        </w:trPr>
        <w:tc>
          <w:tcPr>
            <w:tcW w:w="19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98406D" w14:textId="77777777" w:rsidR="00FF34F7" w:rsidRDefault="00C830B5">
            <w:r>
              <w:t>Outcome (O)</w:t>
            </w:r>
          </w:p>
        </w:tc>
        <w:tc>
          <w:tcPr>
            <w:tcW w:w="7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EC8637" w14:textId="77777777" w:rsidR="00FF34F7" w:rsidRDefault="00C830B5">
            <w:r>
              <w:t xml:space="preserve">Customer trust, such as credibility, transparency and organisational </w:t>
            </w:r>
            <w:r>
              <w:t>trustworthiness perceptions</w:t>
            </w:r>
          </w:p>
        </w:tc>
      </w:tr>
    </w:tbl>
    <w:p w14:paraId="34EB7A93" w14:textId="77777777" w:rsidR="00FF34F7" w:rsidRDefault="00C830B5">
      <w:pPr>
        <w:jc w:val="center"/>
        <w:rPr>
          <w:b/>
          <w:bCs/>
        </w:rPr>
      </w:pPr>
      <w:r>
        <w:rPr>
          <w:b/>
          <w:bCs/>
        </w:rPr>
        <w:t xml:space="preserve">Table 1: PICO implementation on research context </w:t>
      </w:r>
    </w:p>
    <w:p w14:paraId="48CA266E" w14:textId="77777777" w:rsidR="00FF34F7" w:rsidRDefault="00C830B5">
      <w:pPr>
        <w:jc w:val="center"/>
      </w:pPr>
      <w:r>
        <w:t>(Source: Self-Created)</w:t>
      </w:r>
    </w:p>
    <w:p w14:paraId="0E311950" w14:textId="77777777" w:rsidR="00FF34F7" w:rsidRDefault="00C830B5">
      <w:pPr>
        <w:pStyle w:val="Heading2"/>
      </w:pPr>
      <w:bookmarkStart w:id="14" w:name="_ufi0hza034tf" w:colFirst="0" w:colLast="0"/>
      <w:bookmarkEnd w:id="14"/>
      <w:r>
        <w:t>Research philosophy</w:t>
      </w:r>
    </w:p>
    <w:p w14:paraId="0CA4D341" w14:textId="77777777" w:rsidR="00FF34F7" w:rsidRDefault="00C830B5">
      <w:r>
        <w:t>This research is based on an interpretivist research philosophy as it is suitable since the study aims at comprehending how customer t</w:t>
      </w:r>
      <w:r>
        <w:t xml:space="preserve">rust in ESG initiatives has been conceptualised and interpreted in the current literature. Acharya (2025) stated that the philosophy allows exploring the meaning, perspectives, and contextual knowledge that was reported by earlier researchers to assist in </w:t>
      </w:r>
      <w:r>
        <w:t xml:space="preserve">comprehending the ESG -trust relationship further. </w:t>
      </w:r>
    </w:p>
    <w:p w14:paraId="2A491924" w14:textId="77777777" w:rsidR="00FF34F7" w:rsidRDefault="00C830B5">
      <w:pPr>
        <w:pStyle w:val="Heading2"/>
      </w:pPr>
      <w:bookmarkStart w:id="15" w:name="_9voc6i57mdgb" w:colFirst="0" w:colLast="0"/>
      <w:bookmarkEnd w:id="15"/>
      <w:r>
        <w:t>Research approach</w:t>
      </w:r>
    </w:p>
    <w:p w14:paraId="51563A37" w14:textId="3DC94288" w:rsidR="00FF34F7" w:rsidRDefault="00C830B5">
      <w:r>
        <w:t xml:space="preserve">The deductive research methodology will be utilised in this research. </w:t>
      </w:r>
      <w:r w:rsidR="002F7E8F" w:rsidRPr="002F7E8F">
        <w:t>Previous research provides valuable theoretical underpinning on the subject matter, including Stakeholder Theory and Customer Trust Theory, which could help guide the research and provide a firm basis to analyse the link between ESG programmes and consumer trust.</w:t>
      </w:r>
      <w:r>
        <w:t xml:space="preserve"> The review will evaluate and summarise the evidence used by past researchers to explain the level of support for the current theoretical assumptions i</w:t>
      </w:r>
      <w:r>
        <w:t xml:space="preserve">n the UK food industry setting. </w:t>
      </w:r>
    </w:p>
    <w:p w14:paraId="74043C66" w14:textId="77777777" w:rsidR="00FF34F7" w:rsidRDefault="00C830B5">
      <w:pPr>
        <w:pStyle w:val="Heading2"/>
      </w:pPr>
      <w:bookmarkStart w:id="16" w:name="_8zzhajxp0v4" w:colFirst="0" w:colLast="0"/>
      <w:bookmarkEnd w:id="16"/>
      <w:r>
        <w:t>Research design</w:t>
      </w:r>
    </w:p>
    <w:p w14:paraId="618E0EE3" w14:textId="77777777" w:rsidR="00FF34F7" w:rsidRDefault="00C830B5">
      <w:r>
        <w:t>The research design to be used in the study will be a descriptive research design which will adopt a Systematic Literature Review (SLR) methodology. A systematic review offers a systematic and transparent me</w:t>
      </w:r>
      <w:r>
        <w:t>thodology of finding, reviewing and synthesising scholarly evidence (Satnarine, 2023). The descriptive design fits well since the research will summarise and critically analyse the current knowledge on ESG initiatives and customer trust instead of ascertai</w:t>
      </w:r>
      <w:r>
        <w:t xml:space="preserve">ning causal relationships based on primary data gathering. </w:t>
      </w:r>
    </w:p>
    <w:p w14:paraId="21DE01CB" w14:textId="77777777" w:rsidR="00FF34F7" w:rsidRDefault="00C830B5">
      <w:pPr>
        <w:pStyle w:val="Heading2"/>
      </w:pPr>
      <w:bookmarkStart w:id="17" w:name="_4lpqdjncrcxo" w:colFirst="0" w:colLast="0"/>
      <w:bookmarkEnd w:id="17"/>
      <w:r>
        <w:lastRenderedPageBreak/>
        <w:t>Data collection</w:t>
      </w:r>
    </w:p>
    <w:p w14:paraId="5CF78EBA" w14:textId="77777777" w:rsidR="00FF34F7" w:rsidRDefault="00C830B5">
      <w:r>
        <w:t>The study will use secondary data, which will be gathered through peer-reviewed academic literature. The relevant studies will be determined based on extensive searches in the reco</w:t>
      </w:r>
      <w:r>
        <w:t xml:space="preserve">gnised academic databases. </w:t>
      </w:r>
    </w:p>
    <w:p w14:paraId="202B6870" w14:textId="77777777" w:rsidR="00FF34F7" w:rsidRDefault="00C830B5">
      <w:pPr>
        <w:pStyle w:val="Heading2"/>
      </w:pPr>
      <w:bookmarkStart w:id="18" w:name="_7qxvcpg484wk" w:colFirst="0" w:colLast="0"/>
      <w:bookmarkEnd w:id="18"/>
      <w:r>
        <w:t>Databases</w:t>
      </w:r>
    </w:p>
    <w:p w14:paraId="3C52559F" w14:textId="77777777" w:rsidR="00FF34F7" w:rsidRDefault="00C830B5">
      <w:pPr>
        <w:numPr>
          <w:ilvl w:val="0"/>
          <w:numId w:val="1"/>
        </w:numPr>
      </w:pPr>
      <w:r>
        <w:t>Emerald Insight</w:t>
      </w:r>
    </w:p>
    <w:p w14:paraId="3DAB92CC" w14:textId="77777777" w:rsidR="00FF34F7" w:rsidRDefault="00C830B5">
      <w:pPr>
        <w:numPr>
          <w:ilvl w:val="0"/>
          <w:numId w:val="1"/>
        </w:numPr>
      </w:pPr>
      <w:r>
        <w:t>ScienceDirect</w:t>
      </w:r>
    </w:p>
    <w:p w14:paraId="7A2B745F" w14:textId="77777777" w:rsidR="00FF34F7" w:rsidRDefault="00C830B5">
      <w:pPr>
        <w:numPr>
          <w:ilvl w:val="0"/>
          <w:numId w:val="1"/>
        </w:numPr>
      </w:pPr>
      <w:r>
        <w:t>Business Source Complete</w:t>
      </w:r>
    </w:p>
    <w:p w14:paraId="701C5FAA" w14:textId="77777777" w:rsidR="00FF34F7" w:rsidRDefault="00C830B5">
      <w:pPr>
        <w:numPr>
          <w:ilvl w:val="0"/>
          <w:numId w:val="1"/>
        </w:numPr>
      </w:pPr>
      <w:r>
        <w:t xml:space="preserve">Google Scholar </w:t>
      </w:r>
    </w:p>
    <w:p w14:paraId="0B8EE00B" w14:textId="77777777" w:rsidR="00FF34F7" w:rsidRDefault="00C830B5">
      <w:pPr>
        <w:pStyle w:val="Heading2"/>
      </w:pPr>
      <w:bookmarkStart w:id="19" w:name="_esgtg49cde6v" w:colFirst="0" w:colLast="0"/>
      <w:bookmarkEnd w:id="19"/>
      <w:r>
        <w:t>Keywords</w:t>
      </w:r>
    </w:p>
    <w:p w14:paraId="0335AD0A" w14:textId="77777777" w:rsidR="00FF34F7" w:rsidRDefault="00C830B5">
      <w:pPr>
        <w:numPr>
          <w:ilvl w:val="0"/>
          <w:numId w:val="2"/>
        </w:numPr>
      </w:pPr>
      <w:r>
        <w:t>ESG initiatives</w:t>
      </w:r>
    </w:p>
    <w:p w14:paraId="3D3BFE19" w14:textId="77777777" w:rsidR="00FF34F7" w:rsidRDefault="00C830B5">
      <w:pPr>
        <w:numPr>
          <w:ilvl w:val="0"/>
          <w:numId w:val="2"/>
        </w:numPr>
      </w:pPr>
      <w:r>
        <w:t>Environmental, Social and Governance</w:t>
      </w:r>
    </w:p>
    <w:p w14:paraId="418FD808" w14:textId="77777777" w:rsidR="00FF34F7" w:rsidRDefault="00C830B5">
      <w:pPr>
        <w:numPr>
          <w:ilvl w:val="0"/>
          <w:numId w:val="2"/>
        </w:numPr>
      </w:pPr>
      <w:r>
        <w:t>Customer trust</w:t>
      </w:r>
    </w:p>
    <w:p w14:paraId="465F784F" w14:textId="77777777" w:rsidR="00FF34F7" w:rsidRDefault="00C830B5">
      <w:pPr>
        <w:numPr>
          <w:ilvl w:val="0"/>
          <w:numId w:val="2"/>
        </w:numPr>
      </w:pPr>
      <w:r>
        <w:t>Consumer trust</w:t>
      </w:r>
    </w:p>
    <w:p w14:paraId="57973A87" w14:textId="77777777" w:rsidR="00FF34F7" w:rsidRDefault="00C830B5">
      <w:pPr>
        <w:numPr>
          <w:ilvl w:val="0"/>
          <w:numId w:val="2"/>
        </w:numPr>
      </w:pPr>
      <w:r>
        <w:t>Sustainability</w:t>
      </w:r>
    </w:p>
    <w:p w14:paraId="5FAD1FFD" w14:textId="77777777" w:rsidR="00FF34F7" w:rsidRDefault="00C830B5">
      <w:pPr>
        <w:numPr>
          <w:ilvl w:val="0"/>
          <w:numId w:val="2"/>
        </w:numPr>
      </w:pPr>
      <w:r>
        <w:t>UK food industry</w:t>
      </w:r>
    </w:p>
    <w:p w14:paraId="0FB109AD" w14:textId="77777777" w:rsidR="00FF34F7" w:rsidRDefault="00C830B5">
      <w:pPr>
        <w:numPr>
          <w:ilvl w:val="0"/>
          <w:numId w:val="2"/>
        </w:numPr>
      </w:pPr>
      <w:r>
        <w:t>Food sector</w:t>
      </w:r>
    </w:p>
    <w:p w14:paraId="15CCE062" w14:textId="77777777" w:rsidR="00FF34F7" w:rsidRDefault="00C830B5">
      <w:pPr>
        <w:numPr>
          <w:ilvl w:val="0"/>
          <w:numId w:val="2"/>
        </w:numPr>
      </w:pPr>
      <w:r>
        <w:t>Greenwashing</w:t>
      </w:r>
    </w:p>
    <w:p w14:paraId="6FC8BB5B" w14:textId="77777777" w:rsidR="00FF34F7" w:rsidRDefault="00C830B5">
      <w:pPr>
        <w:numPr>
          <w:ilvl w:val="0"/>
          <w:numId w:val="2"/>
        </w:numPr>
      </w:pPr>
      <w:r>
        <w:t>Transparency</w:t>
      </w:r>
    </w:p>
    <w:p w14:paraId="02C89543" w14:textId="77777777" w:rsidR="00FF34F7" w:rsidRDefault="00C830B5">
      <w:pPr>
        <w:numPr>
          <w:ilvl w:val="0"/>
          <w:numId w:val="2"/>
        </w:numPr>
      </w:pPr>
      <w:r>
        <w:t>ESG communication</w:t>
      </w:r>
    </w:p>
    <w:p w14:paraId="6412E0E9" w14:textId="77777777" w:rsidR="00FF34F7" w:rsidRDefault="00C830B5">
      <w:r>
        <w:t xml:space="preserve">Search terms will be combined and refined using Boolean operators such as AND, OR and NOT to enhance the relevance and accuracy of studies retrieved. </w:t>
      </w:r>
    </w:p>
    <w:p w14:paraId="434B45FB" w14:textId="77777777" w:rsidR="00FF34F7" w:rsidRDefault="00C830B5">
      <w:pPr>
        <w:pStyle w:val="Heading2"/>
      </w:pPr>
      <w:bookmarkStart w:id="20" w:name="_xipqxvtq0skg" w:colFirst="0" w:colLast="0"/>
      <w:bookmarkEnd w:id="20"/>
      <w:r>
        <w:t>Example search strings</w:t>
      </w:r>
    </w:p>
    <w:p w14:paraId="39C877EA" w14:textId="77777777" w:rsidR="00FF34F7" w:rsidRDefault="00C830B5">
      <w:pPr>
        <w:numPr>
          <w:ilvl w:val="0"/>
          <w:numId w:val="3"/>
        </w:numPr>
      </w:pPr>
      <w:r>
        <w:t xml:space="preserve">“ESG initiatives” AND </w:t>
      </w:r>
      <w:r>
        <w:t>“customer trust”</w:t>
      </w:r>
    </w:p>
    <w:p w14:paraId="5AAD1BA8" w14:textId="77777777" w:rsidR="00FF34F7" w:rsidRDefault="00C830B5">
      <w:pPr>
        <w:numPr>
          <w:ilvl w:val="0"/>
          <w:numId w:val="3"/>
        </w:numPr>
      </w:pPr>
      <w:r>
        <w:t>“Environmental Social Governance” AND “food industry” AND “consumer trust”</w:t>
      </w:r>
    </w:p>
    <w:p w14:paraId="3E0AD918" w14:textId="77777777" w:rsidR="00FF34F7" w:rsidRDefault="00C830B5">
      <w:pPr>
        <w:numPr>
          <w:ilvl w:val="0"/>
          <w:numId w:val="3"/>
        </w:numPr>
      </w:pPr>
      <w:r>
        <w:t>“Sustainability” AND “food sector” AND “trust” NOT “financial performance”</w:t>
      </w:r>
    </w:p>
    <w:p w14:paraId="4137381F" w14:textId="77777777" w:rsidR="00FF34F7" w:rsidRDefault="00C830B5">
      <w:pPr>
        <w:numPr>
          <w:ilvl w:val="0"/>
          <w:numId w:val="3"/>
        </w:numPr>
      </w:pPr>
      <w:r>
        <w:t>“Greenwashing” AND “customer trust” AND “food companies”</w:t>
      </w:r>
    </w:p>
    <w:p w14:paraId="7E70E542" w14:textId="77777777" w:rsidR="00FF34F7" w:rsidRDefault="00FF34F7"/>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F34F7" w14:paraId="6835D54D" w14:textId="77777777">
        <w:tc>
          <w:tcPr>
            <w:tcW w:w="4514" w:type="dxa"/>
            <w:tcMar>
              <w:top w:w="100" w:type="dxa"/>
              <w:left w:w="100" w:type="dxa"/>
              <w:bottom w:w="100" w:type="dxa"/>
              <w:right w:w="100" w:type="dxa"/>
            </w:tcMar>
          </w:tcPr>
          <w:p w14:paraId="4C1819AD" w14:textId="77777777" w:rsidR="00FF34F7" w:rsidRDefault="00C830B5">
            <w:pPr>
              <w:jc w:val="center"/>
              <w:rPr>
                <w:b/>
                <w:bCs/>
              </w:rPr>
            </w:pPr>
            <w:r>
              <w:rPr>
                <w:b/>
                <w:bCs/>
              </w:rPr>
              <w:t>Inclusion criteria</w:t>
            </w:r>
          </w:p>
        </w:tc>
        <w:tc>
          <w:tcPr>
            <w:tcW w:w="4514" w:type="dxa"/>
            <w:tcMar>
              <w:top w:w="100" w:type="dxa"/>
              <w:left w:w="100" w:type="dxa"/>
              <w:bottom w:w="100" w:type="dxa"/>
              <w:right w:w="100" w:type="dxa"/>
            </w:tcMar>
          </w:tcPr>
          <w:p w14:paraId="539DCFB3" w14:textId="77777777" w:rsidR="00FF34F7" w:rsidRDefault="00C830B5">
            <w:pPr>
              <w:jc w:val="center"/>
              <w:rPr>
                <w:b/>
                <w:bCs/>
              </w:rPr>
            </w:pPr>
            <w:r>
              <w:rPr>
                <w:b/>
                <w:bCs/>
              </w:rPr>
              <w:t>Exclusion cr</w:t>
            </w:r>
            <w:r>
              <w:rPr>
                <w:b/>
                <w:bCs/>
              </w:rPr>
              <w:t>iteria</w:t>
            </w:r>
          </w:p>
        </w:tc>
      </w:tr>
      <w:tr w:rsidR="00FF34F7" w14:paraId="213361FF" w14:textId="77777777">
        <w:tc>
          <w:tcPr>
            <w:tcW w:w="4514" w:type="dxa"/>
            <w:tcMar>
              <w:top w:w="100" w:type="dxa"/>
              <w:left w:w="100" w:type="dxa"/>
              <w:bottom w:w="100" w:type="dxa"/>
              <w:right w:w="100" w:type="dxa"/>
            </w:tcMar>
          </w:tcPr>
          <w:p w14:paraId="7444CB8D" w14:textId="77777777" w:rsidR="00FF34F7" w:rsidRDefault="00C830B5">
            <w:pPr>
              <w:numPr>
                <w:ilvl w:val="0"/>
                <w:numId w:val="5"/>
              </w:numPr>
            </w:pPr>
            <w:r>
              <w:t>Peer-reviewed journal articles</w:t>
            </w:r>
          </w:p>
          <w:p w14:paraId="0E41E599" w14:textId="77777777" w:rsidR="00FF34F7" w:rsidRDefault="00C830B5">
            <w:pPr>
              <w:numPr>
                <w:ilvl w:val="0"/>
                <w:numId w:val="5"/>
              </w:numPr>
            </w:pPr>
            <w:r>
              <w:t>Published in English</w:t>
            </w:r>
          </w:p>
          <w:p w14:paraId="1111DE59" w14:textId="77777777" w:rsidR="00FF34F7" w:rsidRDefault="00C830B5">
            <w:pPr>
              <w:numPr>
                <w:ilvl w:val="0"/>
                <w:numId w:val="5"/>
              </w:numPr>
            </w:pPr>
            <w:r>
              <w:t>Published between 2021 and 2026</w:t>
            </w:r>
          </w:p>
          <w:p w14:paraId="758BC5E9" w14:textId="77777777" w:rsidR="00FF34F7" w:rsidRDefault="00C830B5">
            <w:pPr>
              <w:numPr>
                <w:ilvl w:val="0"/>
                <w:numId w:val="5"/>
              </w:numPr>
            </w:pPr>
            <w:r>
              <w:lastRenderedPageBreak/>
              <w:t>Studies examining ESG, sustainability or CSR initiatives</w:t>
            </w:r>
          </w:p>
          <w:p w14:paraId="0E3463B9" w14:textId="77777777" w:rsidR="00FF34F7" w:rsidRDefault="00C830B5">
            <w:pPr>
              <w:numPr>
                <w:ilvl w:val="0"/>
                <w:numId w:val="5"/>
              </w:numPr>
            </w:pPr>
            <w:r>
              <w:t>Studies investigating customer trust or related trust constructs</w:t>
            </w:r>
          </w:p>
          <w:p w14:paraId="0AE26F3A" w14:textId="77777777" w:rsidR="00FF34F7" w:rsidRDefault="00C830B5">
            <w:pPr>
              <w:numPr>
                <w:ilvl w:val="0"/>
                <w:numId w:val="5"/>
              </w:numPr>
            </w:pPr>
            <w:r>
              <w:t xml:space="preserve">Research relevant to food, retail or </w:t>
            </w:r>
            <w:r>
              <w:t>consumer sectors</w:t>
            </w:r>
          </w:p>
          <w:p w14:paraId="2BD1AE55" w14:textId="77777777" w:rsidR="00FF34F7" w:rsidRDefault="00C830B5">
            <w:pPr>
              <w:numPr>
                <w:ilvl w:val="0"/>
                <w:numId w:val="5"/>
              </w:numPr>
            </w:pPr>
            <w:r>
              <w:t xml:space="preserve">Authentic and credible access </w:t>
            </w:r>
          </w:p>
        </w:tc>
        <w:tc>
          <w:tcPr>
            <w:tcW w:w="4514" w:type="dxa"/>
            <w:tcMar>
              <w:top w:w="100" w:type="dxa"/>
              <w:left w:w="100" w:type="dxa"/>
              <w:bottom w:w="100" w:type="dxa"/>
              <w:right w:w="100" w:type="dxa"/>
            </w:tcMar>
          </w:tcPr>
          <w:p w14:paraId="2619B771" w14:textId="77777777" w:rsidR="00FF34F7" w:rsidRDefault="00C830B5">
            <w:pPr>
              <w:numPr>
                <w:ilvl w:val="0"/>
                <w:numId w:val="4"/>
              </w:numPr>
            </w:pPr>
            <w:r>
              <w:lastRenderedPageBreak/>
              <w:t>Non-peer-reviewed publications</w:t>
            </w:r>
          </w:p>
          <w:p w14:paraId="439F253F" w14:textId="77777777" w:rsidR="00FF34F7" w:rsidRDefault="00C830B5">
            <w:pPr>
              <w:numPr>
                <w:ilvl w:val="0"/>
                <w:numId w:val="4"/>
              </w:numPr>
            </w:pPr>
            <w:r>
              <w:t>Conference abstracts and unpublished manuscripts</w:t>
            </w:r>
          </w:p>
          <w:p w14:paraId="4B64A865" w14:textId="77777777" w:rsidR="00FF34F7" w:rsidRDefault="00C830B5">
            <w:pPr>
              <w:numPr>
                <w:ilvl w:val="0"/>
                <w:numId w:val="4"/>
              </w:numPr>
            </w:pPr>
            <w:r>
              <w:lastRenderedPageBreak/>
              <w:t>Studies focusing solely on investors or financial markets</w:t>
            </w:r>
          </w:p>
          <w:p w14:paraId="6F9D019B" w14:textId="77777777" w:rsidR="00FF34F7" w:rsidRDefault="00C830B5">
            <w:pPr>
              <w:numPr>
                <w:ilvl w:val="0"/>
                <w:numId w:val="4"/>
              </w:numPr>
            </w:pPr>
            <w:r>
              <w:t>Articles lacking sufficient methodological information</w:t>
            </w:r>
          </w:p>
          <w:p w14:paraId="75538C1E" w14:textId="77777777" w:rsidR="00FF34F7" w:rsidRDefault="00C830B5">
            <w:pPr>
              <w:numPr>
                <w:ilvl w:val="0"/>
                <w:numId w:val="4"/>
              </w:numPr>
            </w:pPr>
            <w:r>
              <w:t>Studies with no</w:t>
            </w:r>
            <w:r>
              <w:t xml:space="preserve"> access </w:t>
            </w:r>
          </w:p>
        </w:tc>
      </w:tr>
    </w:tbl>
    <w:p w14:paraId="4B433A4B" w14:textId="77777777" w:rsidR="00FF34F7" w:rsidRDefault="00C830B5">
      <w:pPr>
        <w:jc w:val="center"/>
        <w:rPr>
          <w:b/>
          <w:bCs/>
        </w:rPr>
      </w:pPr>
      <w:r>
        <w:rPr>
          <w:b/>
          <w:bCs/>
        </w:rPr>
        <w:lastRenderedPageBreak/>
        <w:t xml:space="preserve">Table 2: Inclusion and Exclusion criteria </w:t>
      </w:r>
    </w:p>
    <w:p w14:paraId="6D203419" w14:textId="77777777" w:rsidR="00FF34F7" w:rsidRDefault="00C830B5">
      <w:pPr>
        <w:jc w:val="center"/>
      </w:pPr>
      <w:r>
        <w:t>(Source: Self-Created)</w:t>
      </w:r>
    </w:p>
    <w:p w14:paraId="077B8FA8" w14:textId="77777777" w:rsidR="00FF34F7" w:rsidRDefault="00C830B5">
      <w:pPr>
        <w:pStyle w:val="Heading2"/>
      </w:pPr>
      <w:bookmarkStart w:id="21" w:name="_6owsxt7p2h2m" w:colFirst="0" w:colLast="0"/>
      <w:bookmarkEnd w:id="21"/>
      <w:r>
        <w:t>Data analysis</w:t>
      </w:r>
    </w:p>
    <w:p w14:paraId="2A42DB27" w14:textId="77777777" w:rsidR="00FF34F7" w:rsidRDefault="00C830B5">
      <w:r>
        <w:t>The chosen studies will be analysed with the help of thematic analysis. After the screening process, the findings will be relevant and they will be coded to determine the recurring patterns and concepts (Cabrera and Cabrera, 2023). An analogous code will t</w:t>
      </w:r>
      <w:r>
        <w:t>hen be clustered into larger themes, which will allow synthesising evidence concerning ESG initiatives, transparency, greenwashing and customer trust. This is the right approach to be used in order to identify similarities, differences and trends in the re</w:t>
      </w:r>
      <w:r>
        <w:t xml:space="preserve">viewed literature in a systematic manner. </w:t>
      </w:r>
    </w:p>
    <w:p w14:paraId="61DE26B5" w14:textId="77777777" w:rsidR="00FF34F7" w:rsidRDefault="00C830B5">
      <w:pPr>
        <w:pStyle w:val="Heading2"/>
      </w:pPr>
      <w:bookmarkStart w:id="22" w:name="_2f0kzmev9ymq" w:colFirst="0" w:colLast="0"/>
      <w:bookmarkEnd w:id="22"/>
      <w:r>
        <w:t>Ethical considerations</w:t>
      </w:r>
    </w:p>
    <w:p w14:paraId="227FC8CB" w14:textId="77777777" w:rsidR="00FF34F7" w:rsidRDefault="00C830B5">
      <w:r>
        <w:t>The research will only be based on secondary data sources that are publicly available and hence the ethical risk will be minimal. There will be no human subjects and no personal or confident</w:t>
      </w:r>
      <w:r>
        <w:t>ial information will be collected. As a result, the goal of informed consent, anonymity and the welfare of the participants do not apply (Nii Laryeafio and Ogbewe, 2023). Although there will be no primary data collection, the study will comply with the UWT</w:t>
      </w:r>
      <w:r>
        <w:t>SD ethical codes and principles of academic integrity. The citations and references of all sources will be done using the Harvard Referencing style in order to prevent plagiarism and respect intellectual property rights. Besides, honesty and objectivity of</w:t>
      </w:r>
      <w:r>
        <w:t xml:space="preserve"> the findings will be reported and transparency will be observed during the literature search, selection and analysis. </w:t>
      </w:r>
    </w:p>
    <w:p w14:paraId="1B46E1D3" w14:textId="77777777" w:rsidR="00FF34F7" w:rsidRDefault="00C830B5">
      <w:pPr>
        <w:pStyle w:val="Heading1"/>
      </w:pPr>
      <w:bookmarkStart w:id="23" w:name="_39auw2rfd2nn" w:colFirst="0" w:colLast="0"/>
      <w:bookmarkEnd w:id="23"/>
      <w:r>
        <w:t xml:space="preserve">Risks </w:t>
      </w:r>
    </w:p>
    <w:p w14:paraId="09521979" w14:textId="77777777" w:rsidR="00FF34F7" w:rsidRDefault="00FF34F7"/>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062"/>
        <w:gridCol w:w="4963"/>
      </w:tblGrid>
      <w:tr w:rsidR="00FF34F7" w14:paraId="6BEF8B39" w14:textId="77777777" w:rsidTr="00EF450B">
        <w:trPr>
          <w:trHeight w:val="315"/>
        </w:trPr>
        <w:tc>
          <w:tcPr>
            <w:tcW w:w="40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A7E4D1" w14:textId="77777777" w:rsidR="00FF34F7" w:rsidRDefault="00C830B5">
            <w:pPr>
              <w:jc w:val="center"/>
              <w:rPr>
                <w:b/>
                <w:bCs/>
              </w:rPr>
            </w:pPr>
            <w:r>
              <w:rPr>
                <w:b/>
                <w:bCs/>
              </w:rPr>
              <w:t>Risk</w:t>
            </w:r>
          </w:p>
        </w:tc>
        <w:tc>
          <w:tcPr>
            <w:tcW w:w="4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01DFB3" w14:textId="77777777" w:rsidR="00FF34F7" w:rsidRDefault="00C830B5">
            <w:pPr>
              <w:jc w:val="center"/>
              <w:rPr>
                <w:b/>
                <w:bCs/>
              </w:rPr>
            </w:pPr>
            <w:r>
              <w:rPr>
                <w:b/>
                <w:bCs/>
              </w:rPr>
              <w:t>Mitigation strategy</w:t>
            </w:r>
          </w:p>
        </w:tc>
      </w:tr>
      <w:tr w:rsidR="00FF34F7" w14:paraId="4278C7A7" w14:textId="77777777">
        <w:trPr>
          <w:trHeight w:val="1040"/>
        </w:trPr>
        <w:tc>
          <w:tcPr>
            <w:tcW w:w="40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BD088F" w14:textId="77777777" w:rsidR="00FF34F7" w:rsidRDefault="00C830B5">
            <w:r>
              <w:t xml:space="preserve">Poor access to UK food industry-related research </w:t>
            </w:r>
          </w:p>
        </w:tc>
        <w:tc>
          <w:tcPr>
            <w:tcW w:w="4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FE43B7" w14:textId="77777777" w:rsidR="00FF34F7" w:rsidRDefault="00C830B5">
            <w:r>
              <w:t>Expand search terms to food retail, consumer goods a</w:t>
            </w:r>
            <w:r>
              <w:t>nd sustainability literature as relevant</w:t>
            </w:r>
          </w:p>
        </w:tc>
      </w:tr>
      <w:tr w:rsidR="00FF34F7" w14:paraId="277360C4" w14:textId="77777777" w:rsidTr="00EF450B">
        <w:trPr>
          <w:trHeight w:val="1166"/>
        </w:trPr>
        <w:tc>
          <w:tcPr>
            <w:tcW w:w="40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903B65" w14:textId="77777777" w:rsidR="00FF34F7" w:rsidRDefault="00C830B5">
            <w:r>
              <w:lastRenderedPageBreak/>
              <w:t>Bias in publication in academic literature</w:t>
            </w:r>
          </w:p>
        </w:tc>
        <w:tc>
          <w:tcPr>
            <w:tcW w:w="4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43507B" w14:textId="77777777" w:rsidR="00FF34F7" w:rsidRDefault="00C830B5">
            <w:r>
              <w:t>Identify a variety of scholarly databases and incorporate research that has revealed varying results</w:t>
            </w:r>
          </w:p>
        </w:tc>
      </w:tr>
      <w:tr w:rsidR="00FF34F7" w14:paraId="50198669" w14:textId="77777777" w:rsidTr="00EF450B">
        <w:trPr>
          <w:trHeight w:val="846"/>
        </w:trPr>
        <w:tc>
          <w:tcPr>
            <w:tcW w:w="40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541034" w14:textId="77777777" w:rsidR="00FF34F7" w:rsidRDefault="00C830B5">
            <w:r>
              <w:t>Bias of interpretation by the researcher in thematic analysis</w:t>
            </w:r>
          </w:p>
        </w:tc>
        <w:tc>
          <w:tcPr>
            <w:tcW w:w="4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FE5BEF" w14:textId="77777777" w:rsidR="00FF34F7" w:rsidRDefault="00C830B5">
            <w:r>
              <w:t>Implement transparent coding processes and keep an audit trail during the review process</w:t>
            </w:r>
          </w:p>
        </w:tc>
      </w:tr>
      <w:tr w:rsidR="00FF34F7" w14:paraId="2EF2614E" w14:textId="77777777" w:rsidTr="00EF450B">
        <w:trPr>
          <w:trHeight w:val="736"/>
        </w:trPr>
        <w:tc>
          <w:tcPr>
            <w:tcW w:w="40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4658E3" w14:textId="77777777" w:rsidR="00FF34F7" w:rsidRDefault="00C830B5">
            <w:r>
              <w:t>Time limitations related to screening and analysis of a large number of studies</w:t>
            </w:r>
          </w:p>
        </w:tc>
        <w:tc>
          <w:tcPr>
            <w:tcW w:w="4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CCE822" w14:textId="77777777" w:rsidR="00FF34F7" w:rsidRDefault="00C830B5">
            <w:r>
              <w:t>Develop a systematic review plan and adhere to a research schedule</w:t>
            </w:r>
          </w:p>
        </w:tc>
      </w:tr>
      <w:tr w:rsidR="00FF34F7" w14:paraId="68A39A4A" w14:textId="77777777" w:rsidTr="00EF450B">
        <w:trPr>
          <w:trHeight w:val="1106"/>
        </w:trPr>
        <w:tc>
          <w:tcPr>
            <w:tcW w:w="40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8BB80B" w14:textId="77777777" w:rsidR="00FF34F7" w:rsidRDefault="00C830B5">
            <w:r>
              <w:t xml:space="preserve">Possible bias </w:t>
            </w:r>
            <w:r>
              <w:t>that could exclude pertinent studies because of limitations of databases</w:t>
            </w:r>
          </w:p>
        </w:tc>
        <w:tc>
          <w:tcPr>
            <w:tcW w:w="4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203525" w14:textId="77777777" w:rsidR="00FF34F7" w:rsidRDefault="00C830B5">
            <w:r>
              <w:t>Independent searches in Google Scholar and screening of reference lists</w:t>
            </w:r>
          </w:p>
        </w:tc>
      </w:tr>
    </w:tbl>
    <w:p w14:paraId="6762FE85" w14:textId="77777777" w:rsidR="00FF34F7" w:rsidRDefault="00C830B5">
      <w:pPr>
        <w:jc w:val="center"/>
        <w:rPr>
          <w:b/>
          <w:bCs/>
        </w:rPr>
      </w:pPr>
      <w:r>
        <w:rPr>
          <w:b/>
          <w:bCs/>
        </w:rPr>
        <w:t xml:space="preserve">Table 3: Risk and Mitigation strategies  </w:t>
      </w:r>
    </w:p>
    <w:p w14:paraId="5BCB14E6" w14:textId="77777777" w:rsidR="00FF34F7" w:rsidRDefault="00C830B5">
      <w:pPr>
        <w:jc w:val="center"/>
      </w:pPr>
      <w:r>
        <w:t>(Source: Self-Created)</w:t>
      </w:r>
    </w:p>
    <w:p w14:paraId="18ED9A91" w14:textId="77777777" w:rsidR="00FF34F7" w:rsidRDefault="00FF34F7"/>
    <w:p w14:paraId="6E4F6C70" w14:textId="77777777" w:rsidR="00FF34F7" w:rsidRDefault="00C830B5">
      <w:pPr>
        <w:pStyle w:val="Heading1"/>
      </w:pPr>
      <w:bookmarkStart w:id="24" w:name="_e29qkrcx4tdl" w:colFirst="0" w:colLast="0"/>
      <w:bookmarkEnd w:id="24"/>
      <w:r>
        <w:t xml:space="preserve">Timeline </w:t>
      </w:r>
    </w:p>
    <w:p w14:paraId="77FFF4A1" w14:textId="77777777" w:rsidR="00FF34F7" w:rsidRDefault="00FF34F7"/>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894"/>
        <w:gridCol w:w="1216"/>
        <w:gridCol w:w="1246"/>
        <w:gridCol w:w="1187"/>
        <w:gridCol w:w="1482"/>
      </w:tblGrid>
      <w:tr w:rsidR="00FF34F7" w14:paraId="651A1E0B" w14:textId="77777777">
        <w:trPr>
          <w:trHeight w:val="500"/>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58ACB7" w14:textId="77777777" w:rsidR="00FF34F7" w:rsidRDefault="00C830B5">
            <w:pPr>
              <w:jc w:val="center"/>
              <w:rPr>
                <w:b/>
                <w:bCs/>
                <w:i/>
                <w:iCs/>
              </w:rPr>
            </w:pPr>
            <w:r>
              <w:rPr>
                <w:b/>
                <w:bCs/>
                <w:i/>
                <w:iCs/>
              </w:rPr>
              <w:t>Activities</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E6B56F" w14:textId="77777777" w:rsidR="00FF34F7" w:rsidRDefault="00C830B5">
            <w:pPr>
              <w:jc w:val="center"/>
              <w:rPr>
                <w:b/>
                <w:bCs/>
                <w:i/>
                <w:iCs/>
              </w:rPr>
            </w:pPr>
            <w:r>
              <w:rPr>
                <w:b/>
                <w:bCs/>
                <w:i/>
                <w:iCs/>
              </w:rPr>
              <w:t>June</w:t>
            </w:r>
          </w:p>
        </w:tc>
        <w:tc>
          <w:tcPr>
            <w:tcW w:w="12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CB2BB4" w14:textId="77777777" w:rsidR="00FF34F7" w:rsidRDefault="00C830B5">
            <w:pPr>
              <w:jc w:val="center"/>
              <w:rPr>
                <w:b/>
                <w:bCs/>
                <w:i/>
                <w:iCs/>
              </w:rPr>
            </w:pPr>
            <w:r>
              <w:rPr>
                <w:b/>
                <w:bCs/>
                <w:i/>
                <w:iCs/>
              </w:rPr>
              <w:t xml:space="preserve">July </w:t>
            </w:r>
          </w:p>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588410" w14:textId="77777777" w:rsidR="00FF34F7" w:rsidRDefault="00C830B5">
            <w:pPr>
              <w:jc w:val="center"/>
              <w:rPr>
                <w:b/>
                <w:bCs/>
                <w:i/>
                <w:iCs/>
              </w:rPr>
            </w:pPr>
            <w:r>
              <w:rPr>
                <w:b/>
                <w:bCs/>
                <w:i/>
                <w:iCs/>
              </w:rPr>
              <w:t xml:space="preserve">August </w:t>
            </w:r>
          </w:p>
        </w:tc>
        <w:tc>
          <w:tcPr>
            <w:tcW w:w="1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CF3466" w14:textId="77777777" w:rsidR="00FF34F7" w:rsidRDefault="00C830B5">
            <w:pPr>
              <w:jc w:val="center"/>
              <w:rPr>
                <w:b/>
                <w:bCs/>
                <w:i/>
                <w:iCs/>
              </w:rPr>
            </w:pPr>
            <w:r>
              <w:rPr>
                <w:b/>
                <w:bCs/>
                <w:i/>
                <w:iCs/>
              </w:rPr>
              <w:t xml:space="preserve">September </w:t>
            </w:r>
          </w:p>
        </w:tc>
      </w:tr>
      <w:tr w:rsidR="00FF34F7" w14:paraId="51FCB456"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FF88E7" w14:textId="77777777" w:rsidR="00FF34F7" w:rsidRDefault="00C830B5">
            <w:r>
              <w:t>Proposal approval</w:t>
            </w:r>
          </w:p>
        </w:tc>
        <w:tc>
          <w:tcPr>
            <w:tcW w:w="1216" w:type="dxa"/>
            <w:tcBorders>
              <w:top w:val="single" w:sz="4" w:space="0" w:color="000000"/>
              <w:left w:val="single" w:sz="4" w:space="0" w:color="000000"/>
              <w:bottom w:val="single" w:sz="4" w:space="0" w:color="000000"/>
              <w:right w:val="single" w:sz="4" w:space="0" w:color="000000"/>
            </w:tcBorders>
            <w:shd w:val="clear" w:color="auto" w:fill="E06666"/>
            <w:tcMar>
              <w:top w:w="100" w:type="dxa"/>
              <w:left w:w="100" w:type="dxa"/>
              <w:bottom w:w="100" w:type="dxa"/>
              <w:right w:w="100" w:type="dxa"/>
            </w:tcMar>
          </w:tcPr>
          <w:p w14:paraId="2733D7E4"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EE14BB"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E07AC"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994519" w14:textId="77777777" w:rsidR="00FF34F7" w:rsidRDefault="00FF34F7"/>
        </w:tc>
      </w:tr>
      <w:tr w:rsidR="00FF34F7" w14:paraId="26E22E10"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9F226E" w14:textId="77777777" w:rsidR="00FF34F7" w:rsidRDefault="00C830B5">
            <w:r>
              <w:t>Literature search</w:t>
            </w:r>
          </w:p>
        </w:tc>
        <w:tc>
          <w:tcPr>
            <w:tcW w:w="1216"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01F8B1FA"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3CD07965"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CDECAA"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FCFF7E" w14:textId="77777777" w:rsidR="00FF34F7" w:rsidRDefault="00FF34F7"/>
        </w:tc>
      </w:tr>
      <w:tr w:rsidR="00FF34F7" w14:paraId="1F4AE9CA"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0DD282" w14:textId="77777777" w:rsidR="00FF34F7" w:rsidRDefault="00C830B5">
            <w:r>
              <w:t>Article screening and selection</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51B5FF"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14:paraId="70BFB945"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14:paraId="063390C5"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4593FC" w14:textId="77777777" w:rsidR="00FF34F7" w:rsidRDefault="00FF34F7"/>
        </w:tc>
      </w:tr>
      <w:tr w:rsidR="00FF34F7" w14:paraId="1E41B584"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F7A98D" w14:textId="77777777" w:rsidR="00FF34F7" w:rsidRDefault="00C830B5">
            <w:r>
              <w:t>Data extraction</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30556D"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shd w:val="clear" w:color="auto" w:fill="6D9EEB"/>
            <w:tcMar>
              <w:top w:w="100" w:type="dxa"/>
              <w:left w:w="100" w:type="dxa"/>
              <w:bottom w:w="100" w:type="dxa"/>
              <w:right w:w="100" w:type="dxa"/>
            </w:tcMar>
          </w:tcPr>
          <w:p w14:paraId="4049E9D9"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shd w:val="clear" w:color="auto" w:fill="6D9EEB"/>
            <w:tcMar>
              <w:top w:w="100" w:type="dxa"/>
              <w:left w:w="100" w:type="dxa"/>
              <w:bottom w:w="100" w:type="dxa"/>
              <w:right w:w="100" w:type="dxa"/>
            </w:tcMar>
          </w:tcPr>
          <w:p w14:paraId="6E9D0CF6"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071F1F" w14:textId="77777777" w:rsidR="00FF34F7" w:rsidRDefault="00FF34F7"/>
        </w:tc>
      </w:tr>
      <w:tr w:rsidR="00FF34F7" w14:paraId="57D802D6"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DD46D8" w14:textId="77777777" w:rsidR="00FF34F7" w:rsidRDefault="00C830B5">
            <w:r>
              <w:t>Thematic analysis</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F3A7A9"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73B40B"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shd w:val="clear" w:color="auto" w:fill="B4A7D6"/>
            <w:tcMar>
              <w:top w:w="100" w:type="dxa"/>
              <w:left w:w="100" w:type="dxa"/>
              <w:bottom w:w="100" w:type="dxa"/>
              <w:right w:w="100" w:type="dxa"/>
            </w:tcMar>
          </w:tcPr>
          <w:p w14:paraId="2FCEE5EF"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57D6CB" w14:textId="77777777" w:rsidR="00FF34F7" w:rsidRDefault="00FF34F7"/>
        </w:tc>
      </w:tr>
      <w:tr w:rsidR="00FF34F7" w14:paraId="58F3C059"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F1A476" w14:textId="77777777" w:rsidR="00FF34F7" w:rsidRDefault="00C830B5">
            <w:r>
              <w:t>Findings and discussion development</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3EF8BE"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D95B81"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shd w:val="clear" w:color="auto" w:fill="BF9000"/>
            <w:tcMar>
              <w:top w:w="100" w:type="dxa"/>
              <w:left w:w="100" w:type="dxa"/>
              <w:bottom w:w="100" w:type="dxa"/>
              <w:right w:w="100" w:type="dxa"/>
            </w:tcMar>
          </w:tcPr>
          <w:p w14:paraId="4C982C78"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shd w:val="clear" w:color="auto" w:fill="BF9000"/>
            <w:tcMar>
              <w:top w:w="100" w:type="dxa"/>
              <w:left w:w="100" w:type="dxa"/>
              <w:bottom w:w="100" w:type="dxa"/>
              <w:right w:w="100" w:type="dxa"/>
            </w:tcMar>
          </w:tcPr>
          <w:p w14:paraId="04EED1D0" w14:textId="77777777" w:rsidR="00FF34F7" w:rsidRDefault="00FF34F7"/>
        </w:tc>
      </w:tr>
      <w:tr w:rsidR="00FF34F7" w14:paraId="69F6FD20"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27017B" w14:textId="77777777" w:rsidR="00FF34F7" w:rsidRDefault="00C830B5">
            <w:r>
              <w:t xml:space="preserve">Dissertation completion </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709BC8"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15282A"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shd w:val="clear" w:color="auto" w:fill="666666"/>
            <w:tcMar>
              <w:top w:w="100" w:type="dxa"/>
              <w:left w:w="100" w:type="dxa"/>
              <w:bottom w:w="100" w:type="dxa"/>
              <w:right w:w="100" w:type="dxa"/>
            </w:tcMar>
          </w:tcPr>
          <w:p w14:paraId="42B2AB4C"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shd w:val="clear" w:color="auto" w:fill="666666"/>
            <w:tcMar>
              <w:top w:w="100" w:type="dxa"/>
              <w:left w:w="100" w:type="dxa"/>
              <w:bottom w:w="100" w:type="dxa"/>
              <w:right w:w="100" w:type="dxa"/>
            </w:tcMar>
          </w:tcPr>
          <w:p w14:paraId="5B626CDB" w14:textId="77777777" w:rsidR="00FF34F7" w:rsidRDefault="00FF34F7"/>
        </w:tc>
      </w:tr>
      <w:tr w:rsidR="00FF34F7" w14:paraId="0E722E01"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59A039" w14:textId="77777777" w:rsidR="00FF34F7" w:rsidRDefault="00C830B5">
            <w:r>
              <w:t>Proofreading</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647E40"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4C4B66"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F53BFB"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shd w:val="clear" w:color="auto" w:fill="CC4125"/>
            <w:tcMar>
              <w:top w:w="100" w:type="dxa"/>
              <w:left w:w="100" w:type="dxa"/>
              <w:bottom w:w="100" w:type="dxa"/>
              <w:right w:w="100" w:type="dxa"/>
            </w:tcMar>
          </w:tcPr>
          <w:p w14:paraId="7A0AE14D" w14:textId="77777777" w:rsidR="00FF34F7" w:rsidRDefault="00FF34F7"/>
        </w:tc>
      </w:tr>
      <w:tr w:rsidR="00FF34F7" w14:paraId="025B9AA7" w14:textId="77777777">
        <w:trPr>
          <w:trHeight w:val="545"/>
        </w:trPr>
        <w:tc>
          <w:tcPr>
            <w:tcW w:w="38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5B868C" w14:textId="77777777" w:rsidR="00FF34F7" w:rsidRDefault="00C830B5">
            <w:r>
              <w:lastRenderedPageBreak/>
              <w:t>Submission</w:t>
            </w:r>
          </w:p>
        </w:tc>
        <w:tc>
          <w:tcPr>
            <w:tcW w:w="1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458CD0" w14:textId="77777777" w:rsidR="00FF34F7" w:rsidRDefault="00FF34F7"/>
        </w:tc>
        <w:tc>
          <w:tcPr>
            <w:tcW w:w="12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37ED3D" w14:textId="77777777" w:rsidR="00FF34F7" w:rsidRDefault="00FF34F7"/>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529A7" w14:textId="77777777" w:rsidR="00FF34F7" w:rsidRDefault="00FF34F7"/>
        </w:tc>
        <w:tc>
          <w:tcPr>
            <w:tcW w:w="1482" w:type="dxa"/>
            <w:tcBorders>
              <w:top w:val="single" w:sz="4" w:space="0" w:color="000000"/>
              <w:left w:val="single" w:sz="4" w:space="0" w:color="000000"/>
              <w:bottom w:val="single" w:sz="4" w:space="0" w:color="000000"/>
              <w:right w:val="single" w:sz="4" w:space="0" w:color="000000"/>
            </w:tcBorders>
            <w:shd w:val="clear" w:color="auto" w:fill="674EA7"/>
            <w:tcMar>
              <w:top w:w="100" w:type="dxa"/>
              <w:left w:w="100" w:type="dxa"/>
              <w:bottom w:w="100" w:type="dxa"/>
              <w:right w:w="100" w:type="dxa"/>
            </w:tcMar>
          </w:tcPr>
          <w:p w14:paraId="776BEC77" w14:textId="77777777" w:rsidR="00FF34F7" w:rsidRDefault="00FF34F7"/>
        </w:tc>
      </w:tr>
    </w:tbl>
    <w:p w14:paraId="0F48B13E" w14:textId="77777777" w:rsidR="00FF34F7" w:rsidRDefault="00C830B5">
      <w:pPr>
        <w:jc w:val="center"/>
        <w:rPr>
          <w:b/>
          <w:bCs/>
        </w:rPr>
      </w:pPr>
      <w:r>
        <w:rPr>
          <w:b/>
          <w:bCs/>
        </w:rPr>
        <w:t xml:space="preserve">Table 4: Research Timeline </w:t>
      </w:r>
    </w:p>
    <w:p w14:paraId="72C45052" w14:textId="77777777" w:rsidR="00FF34F7" w:rsidRDefault="00C830B5">
      <w:pPr>
        <w:jc w:val="center"/>
      </w:pPr>
      <w:r>
        <w:t>(Source: Self-Created)</w:t>
      </w:r>
    </w:p>
    <w:p w14:paraId="704A3E7D" w14:textId="77777777" w:rsidR="00FF34F7" w:rsidRDefault="00FF34F7"/>
    <w:p w14:paraId="6B4C4668" w14:textId="77777777" w:rsidR="00FF34F7" w:rsidRDefault="00C830B5">
      <w:r>
        <w:br w:type="page"/>
      </w:r>
    </w:p>
    <w:p w14:paraId="6835ED81" w14:textId="7061A489" w:rsidR="00FF34F7" w:rsidRDefault="00C830B5">
      <w:pPr>
        <w:pStyle w:val="Heading1"/>
      </w:pPr>
      <w:bookmarkStart w:id="25" w:name="_f8qppirjvd1v" w:colFirst="0" w:colLast="0"/>
      <w:bookmarkEnd w:id="25"/>
      <w:r>
        <w:lastRenderedPageBreak/>
        <w:t>References</w:t>
      </w:r>
    </w:p>
    <w:p w14:paraId="7AB54069" w14:textId="77777777" w:rsidR="00EC72B2" w:rsidRDefault="00EC72B2" w:rsidP="00EC72B2">
      <w:pPr>
        <w:rPr>
          <w:highlight w:val="white"/>
        </w:rPr>
      </w:pPr>
      <w:r>
        <w:rPr>
          <w:color w:val="222222"/>
          <w:highlight w:val="white"/>
        </w:rPr>
        <w:t xml:space="preserve">Acharya, R., (2025). Examining Interpretivism in Social Science Research: Exploring Subjectivity, Context, and Meaning in Social Inquiry. </w:t>
      </w:r>
      <w:r>
        <w:rPr>
          <w:i/>
          <w:iCs/>
          <w:color w:val="222222"/>
          <w:highlight w:val="white"/>
        </w:rPr>
        <w:t>Education Science &amp; Technology</w:t>
      </w:r>
      <w:r>
        <w:rPr>
          <w:color w:val="222222"/>
          <w:highlight w:val="white"/>
        </w:rPr>
        <w:t>.</w:t>
      </w:r>
      <w:hyperlink r:id="rId12">
        <w:r>
          <w:rPr>
            <w:color w:val="1155CC"/>
            <w:highlight w:val="white"/>
            <w:u w:val="single"/>
          </w:rPr>
          <w:t>https://www.skultech.com/examining-interpretivism-in-social-science-research/</w:t>
        </w:r>
      </w:hyperlink>
      <w:r>
        <w:rPr>
          <w:color w:val="222222"/>
          <w:highlight w:val="white"/>
        </w:rPr>
        <w:t>.</w:t>
      </w:r>
    </w:p>
    <w:p w14:paraId="167507E3" w14:textId="77777777" w:rsidR="00EC72B2" w:rsidRDefault="00EC72B2" w:rsidP="00EC72B2">
      <w:r>
        <w:t xml:space="preserve">Awa, H.O., Etim, W. and Ogbonda, E. (2024). Stakeholders, Stakeholder Theory and Corporate Social Responsibility (CSR). </w:t>
      </w:r>
      <w:r>
        <w:rPr>
          <w:i/>
          <w:iCs/>
        </w:rPr>
        <w:t>International Journal of Corporate Social Responsibility</w:t>
      </w:r>
      <w:r>
        <w:t>, 9(1), pp.1–14. doi:</w:t>
      </w:r>
      <w:hyperlink r:id="rId13">
        <w:r>
          <w:rPr>
            <w:color w:val="1155CC"/>
            <w:u w:val="single"/>
          </w:rPr>
          <w:t>https://doi.org/10.1186/s40991-024-00094-y</w:t>
        </w:r>
      </w:hyperlink>
      <w:r>
        <w:t>.</w:t>
      </w:r>
    </w:p>
    <w:p w14:paraId="22BC602A" w14:textId="77777777" w:rsidR="00EC72B2" w:rsidRDefault="00EC72B2" w:rsidP="00EC72B2">
      <w:r>
        <w:rPr>
          <w:color w:val="222222"/>
          <w:highlight w:val="white"/>
        </w:rPr>
        <w:t xml:space="preserve">Bae, G.K., Lee, S.M. and Luan, B.K., (2023). The impact of ESG on brand trust and word of mouth in food and beverage companies: Focusing on Jeju Island tourists.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(3), p.2348.</w:t>
      </w:r>
      <w:hyperlink r:id="rId14">
        <w:r>
          <w:rPr>
            <w:color w:val="1155CC"/>
            <w:highlight w:val="white"/>
            <w:u w:val="single"/>
          </w:rPr>
          <w:t>https://doi.org/10.3390/su15032348</w:t>
        </w:r>
      </w:hyperlink>
      <w:r>
        <w:t>.</w:t>
      </w:r>
    </w:p>
    <w:p w14:paraId="2FC1F6C9" w14:textId="77777777" w:rsidR="00EC72B2" w:rsidRDefault="00EC72B2" w:rsidP="00EC72B2">
      <w:pPr>
        <w:rPr>
          <w:highlight w:val="white"/>
        </w:rPr>
      </w:pPr>
      <w:r>
        <w:rPr>
          <w:color w:val="222222"/>
          <w:highlight w:val="white"/>
        </w:rPr>
        <w:t xml:space="preserve">Cabrera, D. and Cabrera, L.L., (2023). The steps to doing a systems literature review (SLR). </w:t>
      </w:r>
      <w:r>
        <w:rPr>
          <w:i/>
          <w:iCs/>
          <w:color w:val="222222"/>
          <w:highlight w:val="white"/>
        </w:rPr>
        <w:t>Journal of Systems Thinking Preprints</w:t>
      </w:r>
      <w:r>
        <w:rPr>
          <w:color w:val="222222"/>
          <w:highlight w:val="white"/>
        </w:rPr>
        <w:t>.</w:t>
      </w:r>
      <w:hyperlink r:id="rId15">
        <w:r>
          <w:rPr>
            <w:color w:val="1155CC"/>
            <w:highlight w:val="white"/>
            <w:u w:val="single"/>
          </w:rPr>
          <w:t>https://www.scienceopen.com/document_file/022953c9-0797-4d30-a8cd-b301bff8e331/ScienceOpenPreprint/SLR%201.pdf</w:t>
        </w:r>
      </w:hyperlink>
      <w:r>
        <w:rPr>
          <w:highlight w:val="white"/>
        </w:rPr>
        <w:t>.</w:t>
      </w:r>
    </w:p>
    <w:p w14:paraId="3F255A75" w14:textId="77777777" w:rsidR="00EC72B2" w:rsidRDefault="00EC72B2" w:rsidP="00EC72B2">
      <w:pPr>
        <w:rPr>
          <w:highlight w:val="white"/>
        </w:rPr>
      </w:pPr>
      <w:r>
        <w:rPr>
          <w:color w:val="222222"/>
          <w:highlight w:val="white"/>
        </w:rPr>
        <w:t xml:space="preserve">Daou, L., Sayegh, E., Atallah, E., Jabbour Al Maalouf, N. and Sarkis, N., (2025). Greenwashing as a barrier to sustainable marketing: Expectation disconfirmation, confusion, and brand–consumer relationships. </w:t>
      </w:r>
      <w:r>
        <w:rPr>
          <w:i/>
          <w:iCs/>
          <w:color w:val="222222"/>
          <w:highlight w:val="white"/>
        </w:rPr>
        <w:t>Sustainability</w:t>
      </w:r>
      <w:r>
        <w:rPr>
          <w:color w:val="222222"/>
          <w:highlight w:val="white"/>
        </w:rPr>
        <w:t xml:space="preserve">, </w:t>
      </w:r>
      <w:r>
        <w:rPr>
          <w:i/>
          <w:iCs/>
          <w:color w:val="222222"/>
          <w:highlight w:val="white"/>
        </w:rPr>
        <w:t>17</w:t>
      </w:r>
      <w:r>
        <w:rPr>
          <w:color w:val="222222"/>
          <w:highlight w:val="white"/>
        </w:rPr>
        <w:t>(22), p.9979.</w:t>
      </w:r>
      <w:hyperlink r:id="rId16">
        <w:r>
          <w:rPr>
            <w:color w:val="1155CC"/>
            <w:highlight w:val="white"/>
            <w:u w:val="single"/>
          </w:rPr>
          <w:t>https://doi.org/10.3390/su17229979</w:t>
        </w:r>
      </w:hyperlink>
      <w:r>
        <w:rPr>
          <w:color w:val="222222"/>
          <w:highlight w:val="white"/>
        </w:rPr>
        <w:t>.</w:t>
      </w:r>
    </w:p>
    <w:p w14:paraId="170C0164" w14:textId="77777777" w:rsidR="00EC72B2" w:rsidRDefault="00EC72B2" w:rsidP="00EC72B2">
      <w:pPr>
        <w:rPr>
          <w:highlight w:val="white"/>
        </w:rPr>
      </w:pPr>
      <w:r>
        <w:rPr>
          <w:color w:val="222222"/>
          <w:highlight w:val="white"/>
        </w:rPr>
        <w:t>David, W., (2025). The Role of ESG Reporting in Enhancing Corporate Transparency and Stakeholder Trust.</w:t>
      </w:r>
      <w:hyperlink r:id="rId17">
        <w:r>
          <w:rPr>
            <w:color w:val="1155CC"/>
            <w:highlight w:val="white"/>
            <w:u w:val="single"/>
          </w:rPr>
          <w:t>https://www.researchgate.net/profile/Naimat-Eniola/publication/400002442_The_Role_of_ESG_Reporting_in_Enhancing_Corporate_Transparency_and_Stakeholder_Trust/links/6972e01bac604d40d0e512fc/The-Role-of-ESG-Reporting-in-Enhancing-Corporate-Transparency-and-Stakeholder-Trust.pdf</w:t>
        </w:r>
      </w:hyperlink>
      <w:r>
        <w:rPr>
          <w:color w:val="222222"/>
          <w:highlight w:val="white"/>
        </w:rPr>
        <w:t>.</w:t>
      </w:r>
    </w:p>
    <w:p w14:paraId="429E065C" w14:textId="77777777" w:rsidR="00EC72B2" w:rsidRDefault="00EC72B2" w:rsidP="00EC72B2">
      <w:pPr>
        <w:rPr>
          <w:color w:val="222222"/>
          <w:highlight w:val="white"/>
        </w:rPr>
      </w:pPr>
      <w:r>
        <w:rPr>
          <w:color w:val="222222"/>
          <w:highlight w:val="white"/>
        </w:rPr>
        <w:t xml:space="preserve">Deshmukh, P. and Tare, H., (2023). Green marketing and corporate social responsibility: A review of business practices. </w:t>
      </w:r>
      <w:r>
        <w:rPr>
          <w:i/>
          <w:iCs/>
          <w:color w:val="222222"/>
          <w:highlight w:val="white"/>
        </w:rPr>
        <w:t>Multidisciplinary Reviews</w:t>
      </w:r>
      <w:r>
        <w:rPr>
          <w:color w:val="222222"/>
          <w:highlight w:val="white"/>
        </w:rPr>
        <w:t xml:space="preserve">, </w:t>
      </w:r>
      <w:r>
        <w:rPr>
          <w:i/>
          <w:iCs/>
          <w:color w:val="222222"/>
          <w:highlight w:val="white"/>
        </w:rPr>
        <w:t>7</w:t>
      </w:r>
      <w:r>
        <w:rPr>
          <w:color w:val="222222"/>
          <w:highlight w:val="white"/>
        </w:rPr>
        <w:t>(3), pp.1-9.</w:t>
      </w:r>
      <w:hyperlink r:id="rId18">
        <w:r>
          <w:rPr>
            <w:color w:val="1155CC"/>
            <w:highlight w:val="white"/>
            <w:u w:val="single"/>
          </w:rPr>
          <w:t>https://doi.org/10.31893/multirev.2024059</w:t>
        </w:r>
      </w:hyperlink>
      <w:r>
        <w:rPr>
          <w:color w:val="222222"/>
          <w:highlight w:val="white"/>
        </w:rPr>
        <w:t>.</w:t>
      </w:r>
    </w:p>
    <w:p w14:paraId="4366D7A1" w14:textId="77777777" w:rsidR="00EC72B2" w:rsidRDefault="00EC72B2" w:rsidP="00EC72B2">
      <w:r>
        <w:t xml:space="preserve">Klindt, J. and McReynolds, M. (2025). </w:t>
      </w:r>
      <w:r>
        <w:rPr>
          <w:i/>
          <w:iCs/>
        </w:rPr>
        <w:t>Why sustainability data is now a non-negotiable measurement</w:t>
      </w:r>
      <w:r>
        <w:t xml:space="preserve">. [online] World Economic Forum. Available at: </w:t>
      </w:r>
      <w:hyperlink r:id="rId19">
        <w:r>
          <w:rPr>
            <w:color w:val="1155CC"/>
            <w:u w:val="single"/>
          </w:rPr>
          <w:t>https://www.weforum.org/stories/2025/05/beyond-compliance-why-sustainability-data-is-now-non-negotiable/</w:t>
        </w:r>
      </w:hyperlink>
      <w:r>
        <w:t>.</w:t>
      </w:r>
    </w:p>
    <w:p w14:paraId="5B6B1E05" w14:textId="77777777" w:rsidR="00EC72B2" w:rsidRDefault="00EC72B2" w:rsidP="00EC72B2">
      <w:r>
        <w:rPr>
          <w:color w:val="222222"/>
          <w:highlight w:val="white"/>
        </w:rPr>
        <w:t xml:space="preserve">Kulova, I. and Nikolova-Alexieva, V., (2023). ESG strategy: Pivotal in cultivating stakeholder trust and ensuring customer loyalty. In </w:t>
      </w:r>
      <w:r>
        <w:rPr>
          <w:i/>
          <w:iCs/>
          <w:color w:val="222222"/>
          <w:highlight w:val="white"/>
        </w:rPr>
        <w:t>E3S Web of Conferences</w:t>
      </w:r>
      <w:r>
        <w:rPr>
          <w:color w:val="222222"/>
          <w:highlight w:val="white"/>
        </w:rPr>
        <w:t xml:space="preserve"> (Vol. 462, p. 03035). EDP Sciences.</w:t>
      </w:r>
      <w:hyperlink r:id="rId20">
        <w:r>
          <w:rPr>
            <w:color w:val="1155CC"/>
            <w:highlight w:val="white"/>
            <w:u w:val="single"/>
          </w:rPr>
          <w:t>https://doi.org/10.1051/e3sconf/202346203035</w:t>
        </w:r>
      </w:hyperlink>
      <w:r>
        <w:rPr>
          <w:color w:val="222222"/>
        </w:rPr>
        <w:t>.</w:t>
      </w:r>
    </w:p>
    <w:p w14:paraId="376B7A30" w14:textId="77777777" w:rsidR="00EC72B2" w:rsidRDefault="00EC72B2" w:rsidP="00EC72B2">
      <w:pPr>
        <w:rPr>
          <w:color w:val="222222"/>
          <w:highlight w:val="white"/>
        </w:rPr>
      </w:pPr>
      <w:r>
        <w:rPr>
          <w:color w:val="222222"/>
          <w:highlight w:val="white"/>
        </w:rPr>
        <w:lastRenderedPageBreak/>
        <w:t xml:space="preserve">Manzoor, S., Fayaz, U., Dar, A.H., Dash, K.K., Shams, R., Bashir, I., Pandey, V.K. and Abdi, G., (2024). Sustainable development goals through reducing food loss and food waste: A comprehensive review. </w:t>
      </w:r>
      <w:r>
        <w:rPr>
          <w:i/>
          <w:iCs/>
          <w:color w:val="222222"/>
          <w:highlight w:val="white"/>
        </w:rPr>
        <w:t>Future Foods</w:t>
      </w:r>
      <w:r>
        <w:rPr>
          <w:color w:val="222222"/>
          <w:highlight w:val="white"/>
        </w:rPr>
        <w:t xml:space="preserve">, </w:t>
      </w:r>
      <w:r>
        <w:rPr>
          <w:i/>
          <w:iCs/>
          <w:color w:val="222222"/>
          <w:highlight w:val="white"/>
        </w:rPr>
        <w:t>9</w:t>
      </w:r>
      <w:r>
        <w:rPr>
          <w:color w:val="222222"/>
          <w:highlight w:val="white"/>
        </w:rPr>
        <w:t>, p.100362.</w:t>
      </w:r>
      <w:hyperlink r:id="rId21">
        <w:r>
          <w:rPr>
            <w:color w:val="1155CC"/>
            <w:highlight w:val="white"/>
            <w:u w:val="single"/>
          </w:rPr>
          <w:t>https://doi.org/10.1016/j.fufo.2024.100362</w:t>
        </w:r>
      </w:hyperlink>
      <w:r>
        <w:rPr>
          <w:color w:val="222222"/>
          <w:highlight w:val="white"/>
        </w:rPr>
        <w:t xml:space="preserve">  </w:t>
      </w:r>
    </w:p>
    <w:p w14:paraId="313B4B25" w14:textId="77777777" w:rsidR="00EC72B2" w:rsidRDefault="00EC72B2" w:rsidP="00EC72B2">
      <w:pPr>
        <w:rPr>
          <w:highlight w:val="white"/>
        </w:rPr>
      </w:pPr>
      <w:r>
        <w:rPr>
          <w:highlight w:val="white"/>
        </w:rPr>
        <w:t xml:space="preserve">Nguyen, M.V., Khanh, H.D., Nguyen, K.V. and Nguyen, T.-T.-H. (2026). Investigation of the impacts of perceived greenwashing on employee loyalty: the mediating role of guilt and frustration. </w:t>
      </w:r>
      <w:r>
        <w:rPr>
          <w:i/>
          <w:iCs/>
          <w:highlight w:val="white"/>
        </w:rPr>
        <w:t>Engineering, Construction and Architectural Management</w:t>
      </w:r>
      <w:r>
        <w:rPr>
          <w:highlight w:val="white"/>
        </w:rPr>
        <w:t>, pp.1–19. doi:</w:t>
      </w:r>
      <w:hyperlink r:id="rId22">
        <w:r>
          <w:rPr>
            <w:color w:val="1155CC"/>
            <w:highlight w:val="white"/>
            <w:u w:val="single"/>
          </w:rPr>
          <w:t>https://doi.org/10.1108/ecam-07-2025-1120</w:t>
        </w:r>
      </w:hyperlink>
      <w:r>
        <w:rPr>
          <w:highlight w:val="white"/>
        </w:rPr>
        <w:t>.</w:t>
      </w:r>
    </w:p>
    <w:p w14:paraId="4ABE9DC3" w14:textId="77777777" w:rsidR="00EC72B2" w:rsidRDefault="00EC72B2" w:rsidP="00EC72B2">
      <w:r>
        <w:rPr>
          <w:color w:val="222222"/>
          <w:highlight w:val="white"/>
        </w:rPr>
        <w:t xml:space="preserve">Nii Laryeafio, M. and Ogbewe, O.C., (2023). Ethical consideration dilemma: systematic review of ethics in qualitative data collection through interviews. </w:t>
      </w:r>
      <w:r>
        <w:rPr>
          <w:i/>
          <w:iCs/>
          <w:color w:val="222222"/>
          <w:highlight w:val="white"/>
        </w:rPr>
        <w:t>Journal of Ethics in Entrepreneurship and Technology</w:t>
      </w:r>
      <w:r>
        <w:rPr>
          <w:color w:val="222222"/>
          <w:highlight w:val="white"/>
        </w:rPr>
        <w:t xml:space="preserve">, </w:t>
      </w:r>
      <w:r>
        <w:rPr>
          <w:i/>
          <w:iCs/>
          <w:color w:val="222222"/>
          <w:highlight w:val="white"/>
        </w:rPr>
        <w:t>3</w:t>
      </w:r>
      <w:r>
        <w:rPr>
          <w:color w:val="222222"/>
          <w:highlight w:val="white"/>
        </w:rPr>
        <w:t>(2), pp.94-110.</w:t>
      </w:r>
      <w:hyperlink r:id="rId23">
        <w:r>
          <w:rPr>
            <w:color w:val="1155CC"/>
            <w:highlight w:val="white"/>
            <w:u w:val="single"/>
          </w:rPr>
          <w:t>http://dx.doi.org/10.1108/JEET-09-2022-0014</w:t>
        </w:r>
      </w:hyperlink>
      <w:r>
        <w:rPr>
          <w:color w:val="222222"/>
        </w:rPr>
        <w:t>.</w:t>
      </w:r>
    </w:p>
    <w:p w14:paraId="0DB71B15" w14:textId="77777777" w:rsidR="00EC72B2" w:rsidRDefault="00EC72B2" w:rsidP="00EC72B2">
      <w:pPr>
        <w:rPr>
          <w:highlight w:val="white"/>
        </w:rPr>
      </w:pPr>
      <w:r>
        <w:rPr>
          <w:color w:val="222222"/>
          <w:highlight w:val="white"/>
        </w:rPr>
        <w:t xml:space="preserve">Nugroho, D.P., Hsu, Y., Hartauer, C. and Hartauer, A., (2024). Investigating the interconnection between environmental, social, and governance (ESG), and corporate social responsibility (CSR) strategies: An examination of the influence on consumer behavior. </w:t>
      </w:r>
      <w:r>
        <w:rPr>
          <w:i/>
          <w:iCs/>
          <w:color w:val="222222"/>
          <w:highlight w:val="white"/>
        </w:rPr>
        <w:t>Sustainability</w:t>
      </w:r>
      <w:r>
        <w:rPr>
          <w:color w:val="222222"/>
          <w:highlight w:val="white"/>
        </w:rPr>
        <w:t xml:space="preserve">, </w:t>
      </w:r>
      <w:r>
        <w:rPr>
          <w:i/>
          <w:iCs/>
          <w:color w:val="222222"/>
          <w:highlight w:val="white"/>
        </w:rPr>
        <w:t>16</w:t>
      </w:r>
      <w:r>
        <w:rPr>
          <w:color w:val="222222"/>
          <w:highlight w:val="white"/>
        </w:rPr>
        <w:t>(2), p.614.</w:t>
      </w:r>
      <w:hyperlink r:id="rId24">
        <w:r>
          <w:rPr>
            <w:color w:val="1155CC"/>
            <w:highlight w:val="white"/>
            <w:u w:val="single"/>
          </w:rPr>
          <w:t>https://doi.org/10.3390/su16020614</w:t>
        </w:r>
      </w:hyperlink>
      <w:r>
        <w:rPr>
          <w:color w:val="222222"/>
          <w:highlight w:val="white"/>
        </w:rPr>
        <w:t>.</w:t>
      </w:r>
    </w:p>
    <w:p w14:paraId="4496B4EB" w14:textId="77777777" w:rsidR="00EC72B2" w:rsidRDefault="00EC72B2" w:rsidP="00EC72B2">
      <w:pPr>
        <w:rPr>
          <w:highlight w:val="white"/>
        </w:rPr>
      </w:pPr>
      <w:r>
        <w:rPr>
          <w:color w:val="222222"/>
          <w:highlight w:val="white"/>
        </w:rPr>
        <w:t xml:space="preserve">Okeke, A., (2026). Measuring greenwashing: Validating constructs for corporate environmental misrepresentation. </w:t>
      </w:r>
      <w:r>
        <w:rPr>
          <w:i/>
          <w:iCs/>
          <w:color w:val="222222"/>
          <w:highlight w:val="white"/>
        </w:rPr>
        <w:t>Innovation and Green Development</w:t>
      </w:r>
      <w:r>
        <w:rPr>
          <w:color w:val="222222"/>
          <w:highlight w:val="white"/>
        </w:rPr>
        <w:t xml:space="preserve">, </w:t>
      </w:r>
      <w:r>
        <w:rPr>
          <w:i/>
          <w:iCs/>
          <w:color w:val="222222"/>
          <w:highlight w:val="white"/>
        </w:rPr>
        <w:t>5</w:t>
      </w:r>
      <w:r>
        <w:rPr>
          <w:color w:val="222222"/>
          <w:highlight w:val="white"/>
        </w:rPr>
        <w:t>(3), p.100363.</w:t>
      </w:r>
      <w:hyperlink r:id="rId25">
        <w:r>
          <w:rPr>
            <w:color w:val="1155CC"/>
            <w:highlight w:val="white"/>
            <w:u w:val="single"/>
          </w:rPr>
          <w:t>https://doi.org/10.1016/j.igd.2026.100363</w:t>
        </w:r>
      </w:hyperlink>
      <w:r>
        <w:rPr>
          <w:color w:val="222222"/>
          <w:highlight w:val="white"/>
        </w:rPr>
        <w:t>.</w:t>
      </w:r>
    </w:p>
    <w:p w14:paraId="64A76F5D" w14:textId="77777777" w:rsidR="00EC72B2" w:rsidRDefault="00EC72B2" w:rsidP="00EC72B2">
      <w:pPr>
        <w:rPr>
          <w:color w:val="222222"/>
          <w:highlight w:val="white"/>
        </w:rPr>
      </w:pPr>
      <w:r>
        <w:rPr>
          <w:color w:val="222222"/>
          <w:highlight w:val="white"/>
        </w:rPr>
        <w:t xml:space="preserve">Onukwulu, E.C., Agho, M.O. and Eyo-Udo, N.L., (2023). Sustainable supply chain practices to reduce carbon footprint in oil and gas. </w:t>
      </w:r>
      <w:r>
        <w:rPr>
          <w:i/>
          <w:iCs/>
          <w:color w:val="222222"/>
          <w:highlight w:val="white"/>
        </w:rPr>
        <w:t>Global Journal of Research in Multidisciplinary Studies</w:t>
      </w:r>
      <w:r>
        <w:rPr>
          <w:color w:val="222222"/>
          <w:highlight w:val="white"/>
        </w:rPr>
        <w:t xml:space="preserve">, </w:t>
      </w:r>
      <w:r>
        <w:rPr>
          <w:i/>
          <w:iCs/>
          <w:color w:val="222222"/>
          <w:highlight w:val="white"/>
        </w:rPr>
        <w:t>1</w:t>
      </w:r>
      <w:r>
        <w:rPr>
          <w:color w:val="222222"/>
          <w:highlight w:val="white"/>
        </w:rPr>
        <w:t>(2), pp.24-43.</w:t>
      </w:r>
      <w:hyperlink r:id="rId26">
        <w:r>
          <w:rPr>
            <w:color w:val="1155CC"/>
            <w:highlight w:val="white"/>
            <w:u w:val="single"/>
          </w:rPr>
          <w:t>https://doi.org/10.58175/gjrms.2023.1.2.0044</w:t>
        </w:r>
      </w:hyperlink>
      <w:r>
        <w:rPr>
          <w:color w:val="222222"/>
          <w:highlight w:val="white"/>
        </w:rPr>
        <w:t>.</w:t>
      </w:r>
    </w:p>
    <w:p w14:paraId="06683461" w14:textId="77777777" w:rsidR="00EC72B2" w:rsidRDefault="00EC72B2" w:rsidP="00EC72B2">
      <w:pPr>
        <w:rPr>
          <w:highlight w:val="white"/>
        </w:rPr>
      </w:pPr>
      <w:r>
        <w:rPr>
          <w:color w:val="222222"/>
          <w:highlight w:val="white"/>
        </w:rPr>
        <w:t xml:space="preserve">Satnarine, T., (2023). Systematic review methodology: conducting high-quality reviews and understanding their significance in evidence-based practice. </w:t>
      </w:r>
      <w:r>
        <w:rPr>
          <w:i/>
          <w:iCs/>
          <w:color w:val="222222"/>
          <w:highlight w:val="white"/>
        </w:rPr>
        <w:t>Journal For International Medical Graduates</w:t>
      </w:r>
      <w:r>
        <w:rPr>
          <w:color w:val="222222"/>
          <w:highlight w:val="white"/>
        </w:rPr>
        <w:t xml:space="preserve">, </w:t>
      </w:r>
      <w:r>
        <w:rPr>
          <w:i/>
          <w:iCs/>
          <w:color w:val="222222"/>
          <w:highlight w:val="white"/>
        </w:rPr>
        <w:t>2</w:t>
      </w:r>
      <w:r>
        <w:rPr>
          <w:color w:val="222222"/>
          <w:highlight w:val="white"/>
        </w:rPr>
        <w:t>(1).</w:t>
      </w:r>
      <w:hyperlink r:id="rId27">
        <w:r>
          <w:rPr>
            <w:color w:val="1155CC"/>
            <w:highlight w:val="white"/>
            <w:u w:val="single"/>
          </w:rPr>
          <w:t>https://jimgs.com/ojs/index.php/journal/article/view/76</w:t>
        </w:r>
      </w:hyperlink>
      <w:r>
        <w:rPr>
          <w:color w:val="222222"/>
          <w:highlight w:val="white"/>
        </w:rPr>
        <w:t>.</w:t>
      </w:r>
    </w:p>
    <w:p w14:paraId="66AE2ECC" w14:textId="77777777" w:rsidR="00EC72B2" w:rsidRDefault="00EC72B2" w:rsidP="00EC72B2">
      <w:r>
        <w:t xml:space="preserve">Shilling, I. (2023). </w:t>
      </w:r>
      <w:r>
        <w:rPr>
          <w:i/>
          <w:iCs/>
        </w:rPr>
        <w:t>UK Sustainability in Food Market Report - Consumer Trends</w:t>
      </w:r>
      <w:r>
        <w:t xml:space="preserve">. [online] Mintel Store. Available at: </w:t>
      </w:r>
      <w:hyperlink r:id="rId28">
        <w:r>
          <w:rPr>
            <w:color w:val="1155CC"/>
            <w:u w:val="single"/>
          </w:rPr>
          <w:t>https://store.mintel.com/report/uk-sustainability-in-food-market-report</w:t>
        </w:r>
      </w:hyperlink>
      <w:r>
        <w:t xml:space="preserve">. </w:t>
      </w:r>
    </w:p>
    <w:p w14:paraId="434645D7" w14:textId="77777777" w:rsidR="00EC72B2" w:rsidRDefault="00EC72B2" w:rsidP="00EC72B2">
      <w:pPr>
        <w:rPr>
          <w:highlight w:val="white"/>
        </w:rPr>
      </w:pPr>
      <w:r>
        <w:rPr>
          <w:color w:val="222222"/>
          <w:highlight w:val="white"/>
        </w:rPr>
        <w:t xml:space="preserve">Singer-Brodowski, M., (2025). The potential of transformative learning for sustainability transitions: moving beyond formal learning environments. </w:t>
      </w:r>
      <w:r>
        <w:rPr>
          <w:i/>
          <w:iCs/>
          <w:color w:val="222222"/>
          <w:highlight w:val="white"/>
        </w:rPr>
        <w:t>Environment, Development and Sustainability</w:t>
      </w:r>
      <w:r>
        <w:rPr>
          <w:color w:val="222222"/>
          <w:highlight w:val="white"/>
        </w:rPr>
        <w:t xml:space="preserve">, </w:t>
      </w:r>
      <w:r>
        <w:rPr>
          <w:i/>
          <w:iCs/>
          <w:color w:val="222222"/>
          <w:highlight w:val="white"/>
        </w:rPr>
        <w:t>27</w:t>
      </w:r>
      <w:r>
        <w:rPr>
          <w:color w:val="222222"/>
          <w:highlight w:val="white"/>
        </w:rPr>
        <w:t>(9), pp.20621-20639.</w:t>
      </w:r>
      <w:hyperlink r:id="rId29">
        <w:r>
          <w:rPr>
            <w:color w:val="1155CC"/>
            <w:highlight w:val="white"/>
            <w:u w:val="single"/>
          </w:rPr>
          <w:t>https://doi.org/10.1007/s10668-022-02444-x</w:t>
        </w:r>
      </w:hyperlink>
      <w:r>
        <w:rPr>
          <w:color w:val="222222"/>
          <w:highlight w:val="white"/>
        </w:rPr>
        <w:t>.</w:t>
      </w:r>
    </w:p>
    <w:p w14:paraId="79F21B00" w14:textId="77777777" w:rsidR="00EC72B2" w:rsidRDefault="00EC72B2" w:rsidP="00EC72B2">
      <w:pPr>
        <w:rPr>
          <w:color w:val="222222"/>
          <w:highlight w:val="white"/>
        </w:rPr>
      </w:pPr>
      <w:r>
        <w:rPr>
          <w:color w:val="222222"/>
          <w:highlight w:val="white"/>
        </w:rPr>
        <w:t xml:space="preserve">Tziner, A. and Persoff, M., (2024). The interplay between ethics, justice, corporate social responsibility, and performance management sustainability. </w:t>
      </w:r>
      <w:r>
        <w:rPr>
          <w:i/>
          <w:iCs/>
          <w:color w:val="222222"/>
          <w:highlight w:val="white"/>
        </w:rPr>
        <w:t>Frontiers in Psychology</w:t>
      </w:r>
      <w:r>
        <w:rPr>
          <w:color w:val="222222"/>
          <w:highlight w:val="white"/>
        </w:rPr>
        <w:t xml:space="preserve">, </w:t>
      </w:r>
      <w:r>
        <w:rPr>
          <w:i/>
          <w:iCs/>
          <w:color w:val="222222"/>
          <w:highlight w:val="white"/>
        </w:rPr>
        <w:t>15</w:t>
      </w:r>
      <w:r>
        <w:rPr>
          <w:color w:val="222222"/>
          <w:highlight w:val="white"/>
        </w:rPr>
        <w:t>, p.1323910.</w:t>
      </w:r>
      <w:hyperlink r:id="rId30">
        <w:r>
          <w:rPr>
            <w:color w:val="1155CC"/>
            <w:highlight w:val="white"/>
            <w:u w:val="single"/>
          </w:rPr>
          <w:t>https://doi.org/10.3389/fpsyg.2024.1323910</w:t>
        </w:r>
      </w:hyperlink>
      <w:r>
        <w:rPr>
          <w:color w:val="222222"/>
          <w:highlight w:val="white"/>
        </w:rPr>
        <w:t>.</w:t>
      </w:r>
    </w:p>
    <w:p w14:paraId="5802BD4B" w14:textId="77777777" w:rsidR="00EC72B2" w:rsidRDefault="00EC72B2" w:rsidP="00EC72B2">
      <w:r>
        <w:lastRenderedPageBreak/>
        <w:t xml:space="preserve">Van Hummel, A. and Russell-Bennett, R. (2025). Understanding consumer trust and distrust in a public service ecosystem. </w:t>
      </w:r>
      <w:r>
        <w:rPr>
          <w:i/>
          <w:iCs/>
        </w:rPr>
        <w:t>Journal of Services Marketing</w:t>
      </w:r>
      <w:r>
        <w:t>. doi:</w:t>
      </w:r>
      <w:hyperlink r:id="rId31">
        <w:r>
          <w:rPr>
            <w:color w:val="1155CC"/>
            <w:u w:val="single"/>
          </w:rPr>
          <w:t>https://doi.org/10.1108/jsm-01-2025-0059</w:t>
        </w:r>
      </w:hyperlink>
      <w:r>
        <w:t>.</w:t>
      </w:r>
    </w:p>
    <w:p w14:paraId="7C24CE78" w14:textId="77777777" w:rsidR="00EC72B2" w:rsidRDefault="00EC72B2" w:rsidP="00EC72B2">
      <w:r>
        <w:rPr>
          <w:color w:val="222222"/>
          <w:highlight w:val="white"/>
        </w:rPr>
        <w:t xml:space="preserve">Zaccagnini, M. and Li, J., (2023). How to conduct a systematic review and meta-analysis: a guide for clinicians. </w:t>
      </w:r>
      <w:r>
        <w:rPr>
          <w:i/>
          <w:iCs/>
          <w:color w:val="222222"/>
          <w:highlight w:val="white"/>
        </w:rPr>
        <w:t>Respiratory Care</w:t>
      </w:r>
      <w:r>
        <w:rPr>
          <w:color w:val="222222"/>
          <w:highlight w:val="white"/>
        </w:rPr>
        <w:t xml:space="preserve">, </w:t>
      </w:r>
      <w:r>
        <w:rPr>
          <w:i/>
          <w:iCs/>
          <w:color w:val="222222"/>
          <w:highlight w:val="white"/>
        </w:rPr>
        <w:t>68</w:t>
      </w:r>
      <w:r>
        <w:rPr>
          <w:color w:val="222222"/>
          <w:highlight w:val="white"/>
        </w:rPr>
        <w:t>(9), pp.1295-1308.</w:t>
      </w:r>
      <w:hyperlink r:id="rId32">
        <w:r>
          <w:rPr>
            <w:color w:val="1155CC"/>
            <w:highlight w:val="white"/>
            <w:u w:val="single"/>
          </w:rPr>
          <w:t>https://doi.org/10.4187/respcare.10971</w:t>
        </w:r>
      </w:hyperlink>
      <w:r>
        <w:rPr>
          <w:highlight w:val="white"/>
        </w:rPr>
        <w:t>.</w:t>
      </w:r>
    </w:p>
    <w:p w14:paraId="6CF211A1" w14:textId="5CC1515E" w:rsidR="00C24A60" w:rsidRPr="00C24A60" w:rsidRDefault="00C24A60" w:rsidP="009646D2">
      <w:pPr>
        <w:rPr>
          <w:highlight w:val="white"/>
        </w:rPr>
      </w:pPr>
      <w:bookmarkStart w:id="26" w:name="_GoBack"/>
      <w:bookmarkEnd w:id="26"/>
    </w:p>
    <w:sectPr w:rsidR="00C24A60" w:rsidRPr="00C24A60">
      <w:headerReference w:type="default" r:id="rId33"/>
      <w:footerReference w:type="default" r:id="rId34"/>
      <w:headerReference w:type="first" r:id="rId35"/>
      <w:footerReference w:type="first" r:id="rId3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93817" w14:textId="77777777" w:rsidR="00C830B5" w:rsidRDefault="00C830B5">
      <w:pPr>
        <w:spacing w:line="240" w:lineRule="auto"/>
      </w:pPr>
      <w:r>
        <w:separator/>
      </w:r>
    </w:p>
  </w:endnote>
  <w:endnote w:type="continuationSeparator" w:id="0">
    <w:p w14:paraId="6823D23F" w14:textId="77777777" w:rsidR="00C830B5" w:rsidRDefault="00C830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CFD5FBB1-8405-4769-A299-4096D862F445}"/>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E0B124E4-C1F7-4255-9135-656DA27EA4B8}"/>
  </w:font>
  <w:font w:name="Cambria">
    <w:panose1 w:val="02040503050406030204"/>
    <w:charset w:val="00"/>
    <w:family w:val="roman"/>
    <w:pitch w:val="variable"/>
    <w:sig w:usb0="E00006FF" w:usb1="420024FF" w:usb2="02000000" w:usb3="00000000" w:csb0="0000019F" w:csb1="00000000"/>
    <w:embedRegular r:id="rId3" w:fontKey="{EC83D7C6-201F-45D5-AF82-DACCC39506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069A4" w14:textId="77777777" w:rsidR="00FF34F7" w:rsidRDefault="00C830B5">
    <w:pPr>
      <w:jc w:val="right"/>
    </w:pPr>
    <w:r>
      <w:fldChar w:fldCharType="begin"/>
    </w:r>
    <w:r>
      <w:instrText>PAGE</w:instrText>
    </w:r>
    <w:r>
      <w:fldChar w:fldCharType="separate"/>
    </w:r>
    <w:r w:rsidR="00CC0B3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E1DD9" w14:textId="77777777" w:rsidR="00FF34F7" w:rsidRDefault="00FF34F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7E48B" w14:textId="77777777" w:rsidR="00C830B5" w:rsidRDefault="00C830B5">
      <w:pPr>
        <w:spacing w:line="240" w:lineRule="auto"/>
      </w:pPr>
      <w:r>
        <w:separator/>
      </w:r>
    </w:p>
  </w:footnote>
  <w:footnote w:type="continuationSeparator" w:id="0">
    <w:p w14:paraId="203B6E66" w14:textId="77777777" w:rsidR="00C830B5" w:rsidRDefault="00C830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60E96" w14:textId="77777777" w:rsidR="00FF34F7" w:rsidRDefault="00C830B5">
    <w:pPr>
      <w:jc w:val="right"/>
    </w:pPr>
    <w:r>
      <w:t xml:space="preserve">Dissertation Proposal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DEFED" w14:textId="77777777" w:rsidR="00FF34F7" w:rsidRDefault="00FF34F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429AD"/>
    <w:multiLevelType w:val="multilevel"/>
    <w:tmpl w:val="3B187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F715D3"/>
    <w:multiLevelType w:val="multilevel"/>
    <w:tmpl w:val="D33E8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6465D7"/>
    <w:multiLevelType w:val="multilevel"/>
    <w:tmpl w:val="8DEE8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114A96"/>
    <w:multiLevelType w:val="multilevel"/>
    <w:tmpl w:val="31805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BA29C2"/>
    <w:multiLevelType w:val="multilevel"/>
    <w:tmpl w:val="54F251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34F7"/>
    <w:rsid w:val="001126F9"/>
    <w:rsid w:val="002F7E8F"/>
    <w:rsid w:val="003A5829"/>
    <w:rsid w:val="003C4B1B"/>
    <w:rsid w:val="004A70BE"/>
    <w:rsid w:val="00521DB0"/>
    <w:rsid w:val="00721F55"/>
    <w:rsid w:val="00726F87"/>
    <w:rsid w:val="007D3BA5"/>
    <w:rsid w:val="009039AD"/>
    <w:rsid w:val="00923694"/>
    <w:rsid w:val="0096059C"/>
    <w:rsid w:val="009646D2"/>
    <w:rsid w:val="009D085D"/>
    <w:rsid w:val="00A120A5"/>
    <w:rsid w:val="00AD1BCE"/>
    <w:rsid w:val="00B2185F"/>
    <w:rsid w:val="00B830C5"/>
    <w:rsid w:val="00C24A60"/>
    <w:rsid w:val="00C830B5"/>
    <w:rsid w:val="00CC0B3C"/>
    <w:rsid w:val="00CF32BB"/>
    <w:rsid w:val="00D270FA"/>
    <w:rsid w:val="00E16544"/>
    <w:rsid w:val="00EC72B2"/>
    <w:rsid w:val="00EF450B"/>
    <w:rsid w:val="00FB02E9"/>
    <w:rsid w:val="00FF34F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CC3F3"/>
  <w15:docId w15:val="{C96FB6BF-9FAB-4AF6-ADD7-C962749F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BalloonText">
    <w:name w:val="Balloon Text"/>
    <w:basedOn w:val="Normal"/>
    <w:link w:val="BalloonTextChar"/>
    <w:uiPriority w:val="99"/>
    <w:semiHidden/>
    <w:unhideWhenUsed/>
    <w:rsid w:val="001126F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26F9"/>
    <w:rPr>
      <w:rFonts w:ascii="Segoe UI" w:hAnsi="Segoe UI" w:cs="Segoe UI"/>
      <w:sz w:val="18"/>
      <w:szCs w:val="18"/>
    </w:rPr>
  </w:style>
  <w:style w:type="character" w:customStyle="1" w:styleId="cursor-pointer">
    <w:name w:val="cursor-pointer"/>
    <w:basedOn w:val="DefaultParagraphFont"/>
    <w:rsid w:val="003C4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86/s40991-024-00094-y" TargetMode="External"/><Relationship Id="rId18" Type="http://schemas.openxmlformats.org/officeDocument/2006/relationships/hyperlink" Target="https://doi.org/10.31893/multirev.2024059" TargetMode="External"/><Relationship Id="rId26" Type="http://schemas.openxmlformats.org/officeDocument/2006/relationships/hyperlink" Target="https://doi.org/10.58175/gjrms.2023.1.2.0044" TargetMode="External"/><Relationship Id="rId3" Type="http://schemas.openxmlformats.org/officeDocument/2006/relationships/settings" Target="settings.xml"/><Relationship Id="rId21" Type="http://schemas.openxmlformats.org/officeDocument/2006/relationships/hyperlink" Target="https://doi.org/10.1016/j.fufo.2024.100362"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skultech.com/examining-interpretivism-in-social-science-research/" TargetMode="External"/><Relationship Id="rId17" Type="http://schemas.openxmlformats.org/officeDocument/2006/relationships/hyperlink" Target="https://www.researchgate.net/profile/Naimat-Eniola/publication/400002442_The_Role_of_ESG_Reporting_in_Enhancing_Corporate_Transparency_and_Stakeholder_Trust/links/6972e01bac604d40d0e512fc/The-Role-of-ESG-Reporting-in-Enhancing-Corporate-Transparency-and-Stakeholder-Trust.pdf" TargetMode="External"/><Relationship Id="rId25" Type="http://schemas.openxmlformats.org/officeDocument/2006/relationships/hyperlink" Target="https://doi.org/10.1016/j.igd.2026.100363"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su17229979" TargetMode="External"/><Relationship Id="rId20" Type="http://schemas.openxmlformats.org/officeDocument/2006/relationships/hyperlink" Target="https://doi.org/10.1051/e3sconf/202346203035" TargetMode="External"/><Relationship Id="rId29" Type="http://schemas.openxmlformats.org/officeDocument/2006/relationships/hyperlink" Target="https://doi.org/10.1007/s10668-022-02444-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390/su16020614" TargetMode="External"/><Relationship Id="rId32" Type="http://schemas.openxmlformats.org/officeDocument/2006/relationships/hyperlink" Target="https://doi.org/10.4187/respcare.10971"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open.com/document_file/022953c9-0797-4d30-a8cd-b301bff8e331/ScienceOpenPreprint/SLR%201.pdf" TargetMode="External"/><Relationship Id="rId23" Type="http://schemas.openxmlformats.org/officeDocument/2006/relationships/hyperlink" Target="http://dx.doi.org/10.1108/JEET-09-2022-0014" TargetMode="External"/><Relationship Id="rId28" Type="http://schemas.openxmlformats.org/officeDocument/2006/relationships/hyperlink" Target="https://store.mintel.com/report/uk-sustainability-in-food-market-report" TargetMode="External"/><Relationship Id="rId36"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weforum.org/stories/2025/05/beyond-compliance-why-sustainability-data-is-now-non-negotiable/" TargetMode="External"/><Relationship Id="rId31" Type="http://schemas.openxmlformats.org/officeDocument/2006/relationships/hyperlink" Target="https://doi.org/10.1108/jsm-01-2025-005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su15032348" TargetMode="External"/><Relationship Id="rId22" Type="http://schemas.openxmlformats.org/officeDocument/2006/relationships/hyperlink" Target="https://doi.org/10.1108/ecam-07-2025-1120" TargetMode="External"/><Relationship Id="rId27" Type="http://schemas.openxmlformats.org/officeDocument/2006/relationships/hyperlink" Target="https://jimgs.com/ojs/index.php/journal/article/view/76" TargetMode="External"/><Relationship Id="rId30" Type="http://schemas.openxmlformats.org/officeDocument/2006/relationships/hyperlink" Target="https://doi.org/10.3389/fpsyg.2024.1323910" TargetMode="External"/><Relationship Id="rId35"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17</Pages>
  <Words>4160</Words>
  <Characters>23717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45</cp:revision>
  <dcterms:created xsi:type="dcterms:W3CDTF">2026-06-06T14:07:00Z</dcterms:created>
  <dcterms:modified xsi:type="dcterms:W3CDTF">2026-06-08T14:17:00Z</dcterms:modified>
</cp:coreProperties>
</file>