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98C04" w14:textId="7FD1DFDF" w:rsidR="00F02BD1" w:rsidRDefault="00E03700" w:rsidP="00100C31">
      <w:pPr>
        <w:pStyle w:val="Heading1"/>
      </w:pPr>
      <w:commentRangeStart w:id="0"/>
      <w:commentRangeEnd w:id="0"/>
      <w:r>
        <w:rPr>
          <w:rStyle w:val="CommentReference"/>
          <w:color w:val="auto"/>
        </w:rPr>
        <w:commentReference w:id="0"/>
      </w:r>
      <w:r w:rsidR="00100C31">
        <w:t xml:space="preserve">Title: </w:t>
      </w:r>
      <w:r>
        <w:t xml:space="preserve">Life Course Approach to Health </w:t>
      </w:r>
      <w:r w:rsidR="00F02BD1">
        <w:t xml:space="preserve">and </w:t>
      </w:r>
      <w:r>
        <w:t>Wellbeing</w:t>
      </w:r>
    </w:p>
    <w:p w14:paraId="67B36566" w14:textId="0C5C908B" w:rsidR="00100C31" w:rsidRPr="00100C31" w:rsidRDefault="00100C31" w:rsidP="00100C31">
      <w:pPr>
        <w:pStyle w:val="Heading2"/>
      </w:pPr>
      <w:bookmarkStart w:id="1" w:name="_Toc190090484"/>
      <w:r w:rsidRPr="00100C31">
        <w:t>Module: BMNS4014 Living well: A Life course approach to Health &amp; Wellbeing</w:t>
      </w:r>
      <w:bookmarkEnd w:id="1"/>
      <w:r w:rsidRPr="00100C31">
        <w:t xml:space="preserve"> </w:t>
      </w:r>
    </w:p>
    <w:p w14:paraId="26D3CF09" w14:textId="4B1F0379" w:rsidR="00197DEF" w:rsidRDefault="00E03700" w:rsidP="00100C31">
      <w:pPr>
        <w:pStyle w:val="Heading4"/>
      </w:pPr>
      <w:r>
        <w:t>12/05/2025</w:t>
      </w:r>
    </w:p>
    <w:p w14:paraId="728D68B4" w14:textId="3518E138" w:rsidR="00100C31" w:rsidRPr="00100C31" w:rsidRDefault="00100C31" w:rsidP="00100C31">
      <w:pPr>
        <w:pStyle w:val="Heading4"/>
      </w:pPr>
      <w:bookmarkStart w:id="2" w:name="_Toc190090485"/>
      <w:r w:rsidRPr="008D3D95">
        <w:t>Lecturer:</w:t>
      </w:r>
      <w:r>
        <w:t xml:space="preserve"> </w:t>
      </w:r>
      <w:r w:rsidRPr="008D3D95">
        <w:t>Amanda Owens</w:t>
      </w:r>
      <w:bookmarkEnd w:id="2"/>
      <w:r w:rsidRPr="008D3D95">
        <w:t xml:space="preserve"> </w:t>
      </w:r>
    </w:p>
    <w:p w14:paraId="26D3CF0A" w14:textId="5621EBD4" w:rsidR="00197DEF" w:rsidRDefault="00100C31" w:rsidP="00100C31">
      <w:pPr>
        <w:pStyle w:val="Heading4"/>
      </w:pPr>
      <w:r>
        <w:t xml:space="preserve">Student: </w:t>
      </w:r>
      <w:r w:rsidR="00E03700">
        <w:t>Adriana Dinu</w:t>
      </w:r>
    </w:p>
    <w:p w14:paraId="26D3CF0B" w14:textId="77777777" w:rsidR="00197DEF" w:rsidRDefault="00E03700">
      <w:pPr>
        <w:pStyle w:val="Heading1"/>
      </w:pPr>
      <w:r>
        <w:lastRenderedPageBreak/>
        <w:t xml:space="preserve">Abstract  </w:t>
      </w:r>
    </w:p>
    <w:p w14:paraId="74948B7A" w14:textId="29413FEE" w:rsidR="00173BF5" w:rsidRPr="00173BF5" w:rsidRDefault="00173BF5" w:rsidP="00173BF5">
      <w:r w:rsidRPr="00173BF5">
        <w:t>The text raises several important points regarding health and well-being across the life course. It questions the effectiveness of focusing solely on individual lifestyle choices, suggesting that such a focus may neglect broader systemic issues impacting health. It also explores the idea that life transitions, like retirement, might have negative effects on well-being for everyone, irrespective of their previous work experiences. Lastly, it addresses the argument that societal and cultural changes can shift the significance of life course factors, potentially rendering previous studies less applicable to contemporary contexts.</w:t>
      </w:r>
    </w:p>
    <w:p w14:paraId="26D3CF17" w14:textId="77777777" w:rsidR="00197DEF" w:rsidRDefault="00197DEF"/>
    <w:p w14:paraId="044CF4E4" w14:textId="77777777" w:rsidR="0071758D" w:rsidRDefault="0071758D"/>
    <w:p w14:paraId="2A38B7D1" w14:textId="77777777" w:rsidR="0071758D" w:rsidRDefault="0071758D"/>
    <w:p w14:paraId="11F65B88" w14:textId="77777777" w:rsidR="0071758D" w:rsidRDefault="0071758D"/>
    <w:p w14:paraId="41E6AE55" w14:textId="77777777" w:rsidR="0071758D" w:rsidRDefault="0071758D"/>
    <w:p w14:paraId="1C7DB557" w14:textId="77777777" w:rsidR="0071758D" w:rsidRDefault="0071758D"/>
    <w:p w14:paraId="7F6C8A8C" w14:textId="77777777" w:rsidR="0071758D" w:rsidRDefault="0071758D"/>
    <w:p w14:paraId="22628790" w14:textId="77777777" w:rsidR="0071758D" w:rsidRDefault="0071758D"/>
    <w:p w14:paraId="0720EAAB" w14:textId="77777777" w:rsidR="0071758D" w:rsidRDefault="0071758D"/>
    <w:p w14:paraId="24409D27" w14:textId="77777777" w:rsidR="0071758D" w:rsidRDefault="0071758D"/>
    <w:p w14:paraId="0183F475" w14:textId="77777777" w:rsidR="0071758D" w:rsidRDefault="0071758D"/>
    <w:p w14:paraId="1C26D568" w14:textId="77777777" w:rsidR="0071758D" w:rsidRDefault="0071758D"/>
    <w:p w14:paraId="5BB46C53" w14:textId="77777777" w:rsidR="0071758D" w:rsidRDefault="0071758D"/>
    <w:p w14:paraId="7CA012D0" w14:textId="77777777" w:rsidR="0071758D" w:rsidRDefault="0071758D"/>
    <w:p w14:paraId="7CE099E9" w14:textId="77777777" w:rsidR="0071758D" w:rsidRDefault="0071758D"/>
    <w:p w14:paraId="1C119FFE" w14:textId="77777777" w:rsidR="0071758D" w:rsidRDefault="0071758D"/>
    <w:p w14:paraId="364EBCAF" w14:textId="77777777" w:rsidR="0071758D" w:rsidRDefault="0071758D"/>
    <w:p w14:paraId="4E9E6D17" w14:textId="77777777" w:rsidR="0071758D" w:rsidRDefault="0071758D"/>
    <w:p w14:paraId="26D3CF18" w14:textId="51E9ED1B" w:rsidR="00197DEF" w:rsidRDefault="00E03700">
      <w:pPr>
        <w:rPr>
          <w:b/>
          <w:bCs/>
          <w:sz w:val="36"/>
          <w:szCs w:val="36"/>
        </w:rPr>
      </w:pPr>
      <w:r>
        <w:rPr>
          <w:b/>
          <w:bCs/>
          <w:sz w:val="36"/>
          <w:szCs w:val="36"/>
        </w:rPr>
        <w:lastRenderedPageBreak/>
        <w:t xml:space="preserve">Glossary </w:t>
      </w:r>
    </w:p>
    <w:p w14:paraId="26D3CF19" w14:textId="77777777" w:rsidR="00197DEF" w:rsidRDefault="00197DEF">
      <w:pPr>
        <w:rPr>
          <w:b/>
          <w:bCs/>
          <w:sz w:val="36"/>
          <w:szCs w:val="36"/>
        </w:rPr>
      </w:pPr>
    </w:p>
    <w:p w14:paraId="26D3CF1B" w14:textId="692F53BD" w:rsidR="00197DEF" w:rsidRPr="0071758D" w:rsidRDefault="0071758D">
      <w:pPr>
        <w:rPr>
          <w:rFonts w:cs="Arial"/>
        </w:rPr>
      </w:pPr>
      <w:r>
        <w:rPr>
          <w:rFonts w:cs="Arial"/>
        </w:rPr>
        <w:t xml:space="preserve">The term "life course" refers to the sequence of events and experiences that an individual goes through over their lifetime. It encompasses various stages such as childhood, adolescence, adulthood, and old age, and includes significant life events like education, career choices, family formation, and retirement. The life course perspective examines how social, economic, and cultural contexts influence an individual’s development and choices at different stages of life, highlighting the interplay between personal agency and </w:t>
      </w:r>
      <w:r w:rsidRPr="0071758D">
        <w:rPr>
          <w:rFonts w:cs="Arial"/>
        </w:rPr>
        <w:t>structural factors.</w:t>
      </w:r>
    </w:p>
    <w:p w14:paraId="00F7D207" w14:textId="6A799B62" w:rsidR="0071758D" w:rsidRPr="0071758D" w:rsidRDefault="0071758D">
      <w:r w:rsidRPr="0071758D">
        <w:t xml:space="preserve">The term "psychological" refers to anything related to the mind or mental processes. It encompasses aspects of human </w:t>
      </w:r>
      <w:proofErr w:type="spellStart"/>
      <w:r w:rsidRPr="0071758D">
        <w:t>behavior</w:t>
      </w:r>
      <w:proofErr w:type="spellEnd"/>
      <w:r w:rsidRPr="0071758D">
        <w:t xml:space="preserve">, emotions, cognitions, and the ways in which individuals think, feel, and interact with others. Psychological factors can influence how people respond to situations, their mental health, and their overall well-being. In various fields, such as psychology, psychiatry, and education, understanding psychological elements is crucial for addressing </w:t>
      </w:r>
      <w:proofErr w:type="spellStart"/>
      <w:r w:rsidRPr="0071758D">
        <w:t>behavioral</w:t>
      </w:r>
      <w:proofErr w:type="spellEnd"/>
      <w:r w:rsidRPr="0071758D">
        <w:t xml:space="preserve"> issues, improving mental health, and facilitating personal growth.</w:t>
      </w:r>
    </w:p>
    <w:p w14:paraId="26D3CF1C" w14:textId="77777777" w:rsidR="00197DEF" w:rsidRDefault="00E03700">
      <w:pPr>
        <w:pStyle w:val="TOCHeading"/>
        <w:rPr>
          <w:color w:val="auto"/>
        </w:rPr>
      </w:pPr>
      <w:r>
        <w:rPr>
          <w:color w:val="auto"/>
        </w:rPr>
        <w:lastRenderedPageBreak/>
        <w:t>Contents</w:t>
      </w:r>
    </w:p>
    <w:p w14:paraId="26D3CF1D" w14:textId="77777777" w:rsidR="00197DEF" w:rsidRDefault="00E03700" w:rsidP="00F02BD1">
      <w:pPr>
        <w:pStyle w:val="TOC1"/>
        <w:numPr>
          <w:ilvl w:val="0"/>
          <w:numId w:val="22"/>
        </w:numPr>
        <w:jc w:val="both"/>
        <w:rPr>
          <w:b/>
        </w:rPr>
      </w:pPr>
      <w:r>
        <w:rPr>
          <w:b/>
        </w:rPr>
        <w:t>Introduction ………………………………………………………………………  4</w:t>
      </w:r>
    </w:p>
    <w:p w14:paraId="26D3CF21" w14:textId="46A8E44C" w:rsidR="00197DEF" w:rsidRPr="00F02BD1" w:rsidRDefault="00E03700" w:rsidP="00F02BD1">
      <w:pPr>
        <w:pStyle w:val="TOC1"/>
        <w:numPr>
          <w:ilvl w:val="0"/>
          <w:numId w:val="22"/>
        </w:numPr>
        <w:jc w:val="both"/>
        <w:rPr>
          <w:b/>
        </w:rPr>
      </w:pPr>
      <w:r>
        <w:rPr>
          <w:b/>
        </w:rPr>
        <w:t>Main Findings ……………………………………………………………………  5</w:t>
      </w:r>
    </w:p>
    <w:p w14:paraId="26D3CF22" w14:textId="56F59B1C" w:rsidR="00197DEF" w:rsidRDefault="00E03700" w:rsidP="00F02BD1">
      <w:pPr>
        <w:pStyle w:val="TOC1"/>
        <w:jc w:val="both"/>
        <w:rPr>
          <w:b/>
          <w:lang w:val="fr-FR"/>
        </w:rPr>
      </w:pPr>
      <w:r>
        <w:rPr>
          <w:b/>
          <w:lang w:val="fr-FR"/>
        </w:rPr>
        <w:t xml:space="preserve">3. </w:t>
      </w:r>
      <w:r>
        <w:rPr>
          <w:b/>
          <w:lang w:val="fr-FR"/>
        </w:rPr>
        <w:t xml:space="preserve"> </w:t>
      </w:r>
      <w:r w:rsidR="00F02BD1">
        <w:rPr>
          <w:b/>
          <w:lang w:val="fr-FR"/>
        </w:rPr>
        <w:t>Recommandations</w:t>
      </w:r>
      <w:r>
        <w:rPr>
          <w:b/>
          <w:lang w:val="fr-FR"/>
        </w:rPr>
        <w:t xml:space="preserve"> ……………………………………………………………….   9</w:t>
      </w:r>
    </w:p>
    <w:p w14:paraId="26D3CF23" w14:textId="274C5372" w:rsidR="00197DEF" w:rsidRDefault="00E03700" w:rsidP="00F02BD1">
      <w:pPr>
        <w:pStyle w:val="TOC1"/>
        <w:jc w:val="both"/>
        <w:rPr>
          <w:b/>
          <w:lang w:val="fr-FR"/>
        </w:rPr>
      </w:pPr>
      <w:r>
        <w:rPr>
          <w:b/>
          <w:lang w:val="fr-FR"/>
        </w:rPr>
        <w:t xml:space="preserve">4.   Conclusion </w:t>
      </w:r>
      <w:r>
        <w:rPr>
          <w:b/>
          <w:lang w:val="fr-FR"/>
        </w:rPr>
        <w:t>…………………………………………………………………………  10</w:t>
      </w:r>
    </w:p>
    <w:p w14:paraId="26D3CF24" w14:textId="046E7247" w:rsidR="00197DEF" w:rsidRDefault="00E03700" w:rsidP="00F02BD1">
      <w:pPr>
        <w:pStyle w:val="TOC1"/>
        <w:jc w:val="both"/>
        <w:rPr>
          <w:b/>
          <w:lang w:val="fr-FR"/>
        </w:rPr>
      </w:pPr>
      <w:r>
        <w:rPr>
          <w:b/>
          <w:lang w:val="fr-FR"/>
        </w:rPr>
        <w:t>5.   Appendices ………………………………………………………………………… 11-12</w:t>
      </w:r>
    </w:p>
    <w:p w14:paraId="26D3CF25" w14:textId="1C22B62F" w:rsidR="00197DEF" w:rsidRDefault="00E03700" w:rsidP="00F02BD1">
      <w:pPr>
        <w:pStyle w:val="TOC1"/>
        <w:jc w:val="both"/>
      </w:pPr>
      <w:r>
        <w:rPr>
          <w:b/>
          <w:lang w:val="fr-FR"/>
        </w:rPr>
        <w:t>6.   Reference List ……………………………………………………………………    13-14</w:t>
      </w:r>
    </w:p>
    <w:p w14:paraId="26D3CF26" w14:textId="77777777" w:rsidR="00197DEF" w:rsidRDefault="00E03700" w:rsidP="00F02BD1">
      <w:pPr>
        <w:pStyle w:val="TOC1"/>
        <w:jc w:val="both"/>
      </w:pPr>
      <w:r>
        <w:fldChar w:fldCharType="begin"/>
      </w:r>
      <w:r>
        <w:instrText xml:space="preserve"> TOC \o "1-3" \u \h </w:instrText>
      </w:r>
      <w:r>
        <w:fldChar w:fldCharType="separate"/>
      </w:r>
    </w:p>
    <w:p w14:paraId="26D3CF27" w14:textId="77777777" w:rsidR="00197DEF" w:rsidRDefault="00197DEF" w:rsidP="00F02BD1">
      <w:pPr>
        <w:pStyle w:val="TOC3"/>
        <w:jc w:val="both"/>
        <w:rPr>
          <w:lang w:val="fr-FR"/>
        </w:rPr>
      </w:pPr>
    </w:p>
    <w:p w14:paraId="26D3CF28" w14:textId="77777777" w:rsidR="00197DEF" w:rsidRDefault="00E03700" w:rsidP="00F02BD1">
      <w:pPr>
        <w:pStyle w:val="TOC1"/>
        <w:jc w:val="both"/>
      </w:pPr>
      <w:r>
        <w:fldChar w:fldCharType="end"/>
      </w:r>
    </w:p>
    <w:p w14:paraId="26D3CF29" w14:textId="77777777" w:rsidR="00197DEF" w:rsidRDefault="00197DEF">
      <w:pPr>
        <w:rPr>
          <w:lang w:val="en"/>
        </w:rPr>
      </w:pPr>
    </w:p>
    <w:p w14:paraId="26D3CF2A" w14:textId="77777777" w:rsidR="00197DEF" w:rsidRDefault="00E03700">
      <w:pPr>
        <w:pStyle w:val="Heading1"/>
        <w:numPr>
          <w:ilvl w:val="0"/>
          <w:numId w:val="23"/>
        </w:numPr>
        <w:spacing w:line="360" w:lineRule="auto"/>
        <w:rPr>
          <w:color w:val="auto"/>
        </w:rPr>
      </w:pPr>
      <w:bookmarkStart w:id="3" w:name="_Toc359402513"/>
      <w:bookmarkStart w:id="4" w:name="_Toc373392868"/>
      <w:bookmarkStart w:id="5" w:name="_Toc511903636"/>
      <w:r>
        <w:rPr>
          <w:color w:val="auto"/>
        </w:rPr>
        <w:lastRenderedPageBreak/>
        <w:t xml:space="preserve">Introduction </w:t>
      </w:r>
      <w:bookmarkEnd w:id="3"/>
      <w:bookmarkEnd w:id="4"/>
      <w:bookmarkEnd w:id="5"/>
    </w:p>
    <w:p w14:paraId="52D23B88" w14:textId="2CEA81F3" w:rsidR="00100C31" w:rsidRPr="00100C31" w:rsidRDefault="00100C31" w:rsidP="00100C31">
      <w:pPr>
        <w:spacing w:line="360" w:lineRule="auto"/>
        <w:rPr>
          <w:rFonts w:cs="Arial"/>
        </w:rPr>
      </w:pPr>
      <w:r w:rsidRPr="00100C31">
        <w:rPr>
          <w:rFonts w:cs="Arial"/>
        </w:rPr>
        <w:t>As noted by Horovitz (2024), the life course includes the stages and changes people experience throughout their lives. Social, economic, and cultural factors influence these stages, which include early childhood, adolescence, emerging adulthood, parenting, marriage, relationships, and ageing.</w:t>
      </w:r>
    </w:p>
    <w:p w14:paraId="1FEB35D2" w14:textId="2C9EEC5F" w:rsidR="00100C31" w:rsidRPr="00100C31" w:rsidRDefault="00100C31" w:rsidP="00100C31">
      <w:pPr>
        <w:spacing w:line="360" w:lineRule="auto"/>
        <w:rPr>
          <w:rFonts w:cs="Arial"/>
        </w:rPr>
      </w:pPr>
      <w:r w:rsidRPr="00100C31">
        <w:rPr>
          <w:rFonts w:cs="Arial"/>
        </w:rPr>
        <w:t xml:space="preserve">Major life events, such as parenting and marriage, bring new responsibilities that shape personal identities. Relationships are crucial for well-being and social support. </w:t>
      </w:r>
    </w:p>
    <w:p w14:paraId="26D3CF2D" w14:textId="49EF66AB" w:rsidR="00197DEF" w:rsidRDefault="00100C31" w:rsidP="00100C31">
      <w:pPr>
        <w:spacing w:line="360" w:lineRule="auto"/>
      </w:pPr>
      <w:r w:rsidRPr="00100C31">
        <w:rPr>
          <w:rFonts w:cs="Arial"/>
        </w:rPr>
        <w:t>As people age, they face transitions like retirement and health changes. The interactions between families and institutions, like schools and healthcare, significantly impact outcomes related to social disadvantage and well-being (Lawless et al, 2024).</w:t>
      </w:r>
    </w:p>
    <w:p w14:paraId="26D3CF2E" w14:textId="77777777" w:rsidR="00197DEF" w:rsidRDefault="00197DEF">
      <w:pPr>
        <w:spacing w:line="360" w:lineRule="auto"/>
        <w:rPr>
          <w:lang w:val="en"/>
        </w:rPr>
      </w:pPr>
    </w:p>
    <w:p w14:paraId="26D3CF34" w14:textId="67E38673" w:rsidR="00197DEF" w:rsidRPr="00173BF5" w:rsidRDefault="00E03700" w:rsidP="00173BF5">
      <w:pPr>
        <w:pStyle w:val="Heading1"/>
        <w:spacing w:line="360" w:lineRule="auto"/>
        <w:ind w:left="720"/>
        <w:rPr>
          <w:color w:val="auto"/>
        </w:rPr>
      </w:pPr>
      <w:r>
        <w:rPr>
          <w:color w:val="auto"/>
        </w:rPr>
        <w:lastRenderedPageBreak/>
        <w:t>2.</w:t>
      </w:r>
      <w:bookmarkStart w:id="6" w:name="_Toc373392871"/>
      <w:bookmarkStart w:id="7" w:name="_Toc511903637"/>
      <w:r>
        <w:rPr>
          <w:color w:val="auto"/>
        </w:rPr>
        <w:t xml:space="preserve"> Main Findings</w:t>
      </w:r>
      <w:bookmarkEnd w:id="6"/>
      <w:bookmarkEnd w:id="7"/>
      <w:r>
        <w:rPr>
          <w:color w:val="auto"/>
        </w:rPr>
        <w:t xml:space="preserve">/Discussion </w:t>
      </w:r>
      <w:bookmarkStart w:id="8" w:name="_Toc346793418"/>
      <w:bookmarkStart w:id="9" w:name="_Toc357771640"/>
    </w:p>
    <w:p w14:paraId="26D3CF35" w14:textId="77777777" w:rsidR="00197DEF" w:rsidRDefault="00197DEF">
      <w:pPr>
        <w:spacing w:line="360" w:lineRule="auto"/>
      </w:pPr>
    </w:p>
    <w:p w14:paraId="26D3CF36" w14:textId="77777777" w:rsidR="00197DEF" w:rsidRDefault="00E03700">
      <w:pPr>
        <w:suppressAutoHyphens w:val="0"/>
        <w:spacing w:before="100" w:after="100" w:line="360" w:lineRule="auto"/>
        <w:textAlignment w:val="auto"/>
      </w:pPr>
      <w:r>
        <w:rPr>
          <w:rFonts w:ascii="Times New Roman" w:hAnsi="Times New Roman"/>
          <w:b/>
          <w:bCs/>
          <w:lang w:val="en"/>
        </w:rPr>
        <w:t>Main body of report</w:t>
      </w:r>
      <w:r>
        <w:rPr>
          <w:rFonts w:ascii="Times New Roman" w:hAnsi="Times New Roman"/>
          <w:lang w:val="en"/>
        </w:rPr>
        <w:t xml:space="preserve"> </w:t>
      </w:r>
    </w:p>
    <w:p w14:paraId="26D3CF37" w14:textId="4CE79593" w:rsidR="00197DEF" w:rsidRDefault="00E03700">
      <w:pPr>
        <w:spacing w:line="360" w:lineRule="auto"/>
        <w:rPr>
          <w:rFonts w:cs="Arial"/>
        </w:rPr>
      </w:pPr>
      <w:r>
        <w:rPr>
          <w:rFonts w:cs="Arial"/>
        </w:rPr>
        <w:t xml:space="preserve">Mishra, Hardy, and Kuh (2023) noted that high subjective well-being is increasingly essential to human experience and societal health. Factors such as life transitions, including retirement, can impact life satisfaction differently depending on an individual's work history. Research suggests that </w:t>
      </w:r>
      <w:r w:rsidR="00173BF5">
        <w:rPr>
          <w:rFonts w:cs="Arial"/>
        </w:rPr>
        <w:t>specific</w:t>
      </w:r>
      <w:r>
        <w:rPr>
          <w:rFonts w:cs="Arial"/>
        </w:rPr>
        <w:t xml:space="preserve"> career paths may enhance life satisfaction during retirement, while others may not exhibit significant changes.</w:t>
      </w:r>
    </w:p>
    <w:p w14:paraId="26D3CF38" w14:textId="2526E2E6" w:rsidR="00197DEF" w:rsidRDefault="00E03700">
      <w:pPr>
        <w:spacing w:line="360" w:lineRule="auto"/>
        <w:rPr>
          <w:rFonts w:cs="Arial"/>
        </w:rPr>
      </w:pPr>
      <w:r>
        <w:rPr>
          <w:rFonts w:cs="Arial"/>
        </w:rPr>
        <w:t>Bornstein et al. (2023) argue that well-being is not solely an individual concern but is intricately linked to broader societal structures and environmental contexts. The concept of well-being extends beyond personal happiness</w:t>
      </w:r>
      <w:r w:rsidR="0071758D">
        <w:rPr>
          <w:rFonts w:cs="Arial"/>
        </w:rPr>
        <w:t>;</w:t>
      </w:r>
      <w:r>
        <w:rPr>
          <w:rFonts w:cs="Arial"/>
        </w:rPr>
        <w:t xml:space="preserve"> it encompasses collective flourishing, emphasising the importance of social and ecological systems in contributing to health and quality of life. This perspective highlights the importance of implementing policies that address systemic inequalities and promote the well-being of diverse populations, thereby providing a broader context for our efforts.</w:t>
      </w:r>
    </w:p>
    <w:p w14:paraId="55770AB7" w14:textId="77777777" w:rsidR="00100C31" w:rsidRDefault="00E03700">
      <w:pPr>
        <w:spacing w:line="360" w:lineRule="auto"/>
        <w:rPr>
          <w:rFonts w:cs="Arial"/>
        </w:rPr>
      </w:pPr>
      <w:r>
        <w:rPr>
          <w:rFonts w:cs="Arial"/>
        </w:rPr>
        <w:t xml:space="preserve">The life course approach emphasises the significance of lifestyle choices made at various stages of life and their lasting impact on health and well-being. Research indicates that health outcomes for </w:t>
      </w:r>
      <w:r>
        <w:rPr>
          <w:rFonts w:cs="Arial"/>
        </w:rPr>
        <w:t>m</w:t>
      </w:r>
      <w:r>
        <w:rPr>
          <w:rFonts w:cs="Arial"/>
        </w:rPr>
        <w:t>iddle-aged and older women are influenced by biological, social, and psychological factors that emerge during prenatal development and persist through childhood, adolescence, and early adulthood. These early life experiences can accumulate and interact, influencing health risks in midlife and beyond, particularly concerning reproductive outcomes, cardiovascular disease, and mental health issues such as depression (Luque et al., 2024).</w:t>
      </w:r>
    </w:p>
    <w:p w14:paraId="26D3CF3A" w14:textId="732E621E" w:rsidR="00197DEF" w:rsidRDefault="00E03700">
      <w:pPr>
        <w:spacing w:line="360" w:lineRule="auto"/>
        <w:rPr>
          <w:rFonts w:cs="Arial"/>
        </w:rPr>
      </w:pPr>
      <w:r>
        <w:rPr>
          <w:rFonts w:cs="Arial"/>
        </w:rPr>
        <w:t xml:space="preserve"> </w:t>
      </w:r>
      <w:r w:rsidR="000B1313" w:rsidRPr="000B1313">
        <w:rPr>
          <w:rFonts w:cs="Arial"/>
          <w:lang w:val="en-US"/>
        </w:rPr>
        <w:t>Rauer</w:t>
      </w:r>
      <w:r w:rsidR="000B1313">
        <w:rPr>
          <w:rFonts w:cs="Arial"/>
          <w:lang w:val="en-US"/>
        </w:rPr>
        <w:t xml:space="preserve"> </w:t>
      </w:r>
      <w:r w:rsidR="000B1313" w:rsidRPr="000B1313">
        <w:rPr>
          <w:rFonts w:cs="Arial"/>
          <w:lang w:val="en-US"/>
        </w:rPr>
        <w:t xml:space="preserve">and Proulx (2020) </w:t>
      </w:r>
      <w:r w:rsidR="000B1313">
        <w:rPr>
          <w:rFonts w:cs="Arial"/>
          <w:lang w:val="en-US"/>
        </w:rPr>
        <w:t xml:space="preserve">state that </w:t>
      </w:r>
      <w:r w:rsidR="000B1313">
        <w:rPr>
          <w:rFonts w:cs="Arial"/>
        </w:rPr>
        <w:t>o</w:t>
      </w:r>
      <w:r>
        <w:rPr>
          <w:rFonts w:cs="Arial"/>
        </w:rPr>
        <w:t>ptimal function and well-being in older age are closely tied to earlier lifestyle choices. Interventions to enhance health behaviours, particularly physical activity and a healthy weight, are most effective when initiated during childhood and adolescence. These measures can significantly impact health trajectories and reduce risks in an ageing population.</w:t>
      </w:r>
    </w:p>
    <w:p w14:paraId="26D3CF3B" w14:textId="55148F6C" w:rsidR="00197DEF" w:rsidRDefault="00E03700">
      <w:pPr>
        <w:spacing w:line="360" w:lineRule="auto"/>
        <w:rPr>
          <w:rFonts w:cs="Arial"/>
        </w:rPr>
      </w:pPr>
      <w:r>
        <w:rPr>
          <w:rFonts w:cs="Arial"/>
        </w:rPr>
        <w:lastRenderedPageBreak/>
        <w:t>Fiorilli et al. (2022) demonstrate that dietary behaviours in early life frequently persist throughout one's life course, contributing to the development of adverse health outcomes such as obesity and cardiovascular disease. This study examined the relationship between preschool children's dietary patterns (DP) and those of their mothers</w:t>
      </w:r>
      <w:r w:rsidR="00173BF5">
        <w:rPr>
          <w:rFonts w:cs="Arial"/>
        </w:rPr>
        <w:t xml:space="preserve"> and</w:t>
      </w:r>
      <w:r>
        <w:rPr>
          <w:rFonts w:cs="Arial"/>
        </w:rPr>
        <w:t xml:space="preserve"> overall family eating habits. We performed a secondary analysis of 488 mother-child pairs from the UK Pregnancy Better Eating and Activity Trial (UPBEAT) at a three-year follow-up. Previously published dietary patterns from mothers and children were derived from food-frequency questionnaires and exploratory factor analysis. Mothers exhibited dietary patterns categorised as "Fruits-Vegetables," "African-Caribbean," and "Processed and Snacks," while children displayed patterns identified as "Prudent," "Proce</w:t>
      </w:r>
      <w:r>
        <w:rPr>
          <w:rFonts w:cs="Arial"/>
        </w:rPr>
        <w:t xml:space="preserve">ssed-Snacking," and "African-Caribbean." The family meal environments were assessed using a 5-point Likert scale. </w:t>
      </w:r>
    </w:p>
    <w:p w14:paraId="26D3CF3C" w14:textId="4E00C211" w:rsidR="00197DEF" w:rsidRDefault="00E03700">
      <w:pPr>
        <w:spacing w:line="360" w:lineRule="auto"/>
        <w:rPr>
          <w:rFonts w:cs="Arial"/>
        </w:rPr>
      </w:pPr>
      <w:r>
        <w:rPr>
          <w:rFonts w:cs="Arial"/>
        </w:rPr>
        <w:t>The impact of maternal dietary habits and family eating environments on children's dietary patterns is well-documented. Research indicates a positive association between children's nutrition and their mothers' healthy eating habits, particularly regarding fruit and vegetable intake. At the same time, unhealthy practices, such as watching TV during meals, are negatively correlated. This suggests that early dietary habits, shaped by family dynamics, can significantly impact children's long-term health</w:t>
      </w:r>
      <w:r w:rsidR="00C3490E">
        <w:rPr>
          <w:rFonts w:cs="Arial"/>
        </w:rPr>
        <w:t xml:space="preserve"> (</w:t>
      </w:r>
      <w:r w:rsidR="00C3490E" w:rsidRPr="00C3490E">
        <w:rPr>
          <w:rFonts w:cs="Arial"/>
          <w:lang w:val="en-US"/>
        </w:rPr>
        <w:t>Rauvola,2020)</w:t>
      </w:r>
      <w:r w:rsidR="00C3490E">
        <w:rPr>
          <w:rFonts w:cs="Arial"/>
          <w:i/>
          <w:iCs/>
          <w:lang w:val="en-US"/>
        </w:rPr>
        <w:t xml:space="preserve">. </w:t>
      </w:r>
    </w:p>
    <w:p w14:paraId="26D3CF3E" w14:textId="77777777" w:rsidR="00197DEF" w:rsidRDefault="00E03700">
      <w:pPr>
        <w:spacing w:line="360" w:lineRule="auto"/>
        <w:rPr>
          <w:rFonts w:cs="Arial"/>
        </w:rPr>
      </w:pPr>
      <w:r>
        <w:rPr>
          <w:rFonts w:cs="Arial"/>
        </w:rPr>
        <w:t>Chong and Foong (2022) highlight that early food experiences influence adult food preferences, suggesting that childhood dietary habits can have lasting health effects. Studies reveal a link between childhood nutrition and the risk of chronic diseases in adulthood, noting that inadequate nutrition during these formative years is associated with worse health outcomes.</w:t>
      </w:r>
    </w:p>
    <w:p w14:paraId="26D3CF40" w14:textId="6A8FA605" w:rsidR="00197DEF" w:rsidRDefault="00C3490E">
      <w:pPr>
        <w:spacing w:line="360" w:lineRule="auto"/>
        <w:rPr>
          <w:rFonts w:cs="Arial"/>
        </w:rPr>
      </w:pPr>
      <w:r>
        <w:rPr>
          <w:rFonts w:cs="Arial"/>
        </w:rPr>
        <w:t>School food environments play a crucial role in shaping dietary habits. Policies promoting the consumption of fresh fruits and vegetables while restricting sugary drinks can improve children's nutrition and lower obesity rates, emphasising the need for such initiatives to prevent future health issues.</w:t>
      </w:r>
      <w:r>
        <w:rPr>
          <w:rFonts w:cs="Arial"/>
        </w:rPr>
        <w:t xml:space="preserve"> </w:t>
      </w:r>
      <w:r w:rsidR="00E03700">
        <w:rPr>
          <w:rFonts w:cs="Arial"/>
        </w:rPr>
        <w:t>Exposure to nutritional deprivation during childhood, such as famine, is connected to adverse dietary patterns and chronic disease prevalence later in life. When combined with unhealthy adult nutritional habits, this exposure significantly raises the risk of conditions like diabetes and high cholesterol</w:t>
      </w:r>
      <w:r>
        <w:rPr>
          <w:rFonts w:cs="Arial"/>
        </w:rPr>
        <w:t xml:space="preserve"> (</w:t>
      </w:r>
      <w:r w:rsidRPr="00C3490E">
        <w:rPr>
          <w:rFonts w:cs="Arial"/>
          <w:lang w:val="en-US"/>
        </w:rPr>
        <w:t>Bornstein</w:t>
      </w:r>
      <w:r>
        <w:rPr>
          <w:rFonts w:cs="Arial"/>
          <w:lang w:val="en-US"/>
        </w:rPr>
        <w:t xml:space="preserve"> et al, 2020).</w:t>
      </w:r>
    </w:p>
    <w:p w14:paraId="330EFB72" w14:textId="77777777" w:rsidR="00D60C9E" w:rsidRDefault="001F3A58">
      <w:pPr>
        <w:spacing w:line="360" w:lineRule="auto"/>
        <w:rPr>
          <w:rFonts w:cs="Arial"/>
        </w:rPr>
      </w:pPr>
      <w:r w:rsidRPr="001F3A58">
        <w:rPr>
          <w:rFonts w:cs="Arial"/>
          <w:lang w:val="en-US"/>
        </w:rPr>
        <w:lastRenderedPageBreak/>
        <w:t xml:space="preserve">Lopes, D.G. </w:t>
      </w:r>
      <w:r>
        <w:rPr>
          <w:rFonts w:cs="Arial"/>
          <w:lang w:val="en-US"/>
        </w:rPr>
        <w:t xml:space="preserve">et al (2023) demonstrate that </w:t>
      </w:r>
      <w:r>
        <w:rPr>
          <w:rFonts w:cs="Arial"/>
        </w:rPr>
        <w:t>l</w:t>
      </w:r>
      <w:r w:rsidR="00E03700">
        <w:rPr>
          <w:rFonts w:cs="Arial"/>
        </w:rPr>
        <w:t>ong-term physical activity has been linked to improved quality of life perception, nutritional status, and daily life management for older adults. A randomised controlled trial demonstrated that older adults who engaged in moderate-to-high intensity aerobic and strengthening training maintained a better quality of life over time than those who participated in low-impact physical activities. Additionally, physical activity interventions can slow the decline in health-related quality of life among sedentary o</w:t>
      </w:r>
      <w:r w:rsidR="00E03700">
        <w:rPr>
          <w:rFonts w:cs="Arial"/>
        </w:rPr>
        <w:t>lder adults at risk for mobility disability, indicating that sustained physical activity benefits this demographic.</w:t>
      </w:r>
    </w:p>
    <w:p w14:paraId="26D3CF42" w14:textId="5459D0C7" w:rsidR="00197DEF" w:rsidRDefault="00D60C9E">
      <w:pPr>
        <w:spacing w:line="360" w:lineRule="auto"/>
        <w:rPr>
          <w:rFonts w:cs="Arial"/>
        </w:rPr>
      </w:pPr>
      <w:r w:rsidRPr="001F3A58">
        <w:rPr>
          <w:rFonts w:cs="Arial"/>
          <w:lang w:val="en-US"/>
        </w:rPr>
        <w:t xml:space="preserve">Gasana </w:t>
      </w:r>
      <w:r w:rsidRPr="001F3A58">
        <w:rPr>
          <w:rFonts w:cs="Arial"/>
          <w:i/>
          <w:iCs/>
          <w:lang w:val="en-US"/>
        </w:rPr>
        <w:t>et al.</w:t>
      </w:r>
      <w:r>
        <w:rPr>
          <w:rFonts w:cs="Arial"/>
          <w:lang w:val="en-US"/>
        </w:rPr>
        <w:t xml:space="preserve"> (</w:t>
      </w:r>
      <w:r w:rsidRPr="001F3A58">
        <w:rPr>
          <w:rFonts w:cs="Arial"/>
          <w:lang w:val="en-US"/>
        </w:rPr>
        <w:t>2023</w:t>
      </w:r>
      <w:r w:rsidRPr="001F3A58">
        <w:rPr>
          <w:rFonts w:cs="Arial"/>
          <w:lang w:val="en-US"/>
        </w:rPr>
        <w:t>)</w:t>
      </w:r>
      <w:r>
        <w:rPr>
          <w:rFonts w:cs="Arial"/>
        </w:rPr>
        <w:t xml:space="preserve"> demonstrated that people</w:t>
      </w:r>
      <w:r w:rsidR="00E03700">
        <w:rPr>
          <w:rFonts w:cs="Arial"/>
        </w:rPr>
        <w:t xml:space="preserve"> with psychosis often experience cardiometabolic comorbidities such as metabolic syndrome, coronary heart disease, and diabetes, linked to poor diet, physical inactivity, and the effects of the illness, including negative symptoms. In the Impact trial, we examined the dietary intake, physical activity (PA), and sedentary behaviours of patients with established psychosis. Most had a low nutritional quality, characterised by a high intake of discretionary foods and low consumption of fruits and vegetables. On</w:t>
      </w:r>
      <w:r w:rsidR="00E03700">
        <w:rPr>
          <w:rFonts w:cs="Arial"/>
        </w:rPr>
        <w:t>ly 29.3% met the recommended 150 minutes of moderate to vigorous activity weekly, and 72.2% spent over six hours sitting daily. Negative symptoms and global functioning were associated with PA and sedentary behaviour. Notably, patients with more negative symptoms showed less improvement in PA over 12 months. These findings underscore the need for multidisciplinary interventions targeting lifestyle factors, particularly in adapting them for individuals based on their mental state</w:t>
      </w:r>
      <w:r>
        <w:rPr>
          <w:rFonts w:cs="Arial"/>
        </w:rPr>
        <w:t xml:space="preserve">. Please see the graft from the </w:t>
      </w:r>
      <w:r w:rsidR="0071758D">
        <w:rPr>
          <w:rFonts w:cs="Arial"/>
        </w:rPr>
        <w:t>appendices for more information.</w:t>
      </w:r>
    </w:p>
    <w:p w14:paraId="26D3CF43" w14:textId="77777777" w:rsidR="00197DEF" w:rsidRDefault="00E03700">
      <w:pPr>
        <w:spacing w:line="360" w:lineRule="auto"/>
        <w:rPr>
          <w:rFonts w:cs="Arial"/>
        </w:rPr>
      </w:pPr>
      <w:r>
        <w:rPr>
          <w:rFonts w:cs="Arial"/>
        </w:rPr>
        <w:t>Yuan et al. (2023) emphasise that lifestyle factors like smoking and alcohol consumption significantly affect the age of first diagnosis for chronic diseases. Heavy smoking is strongly linked to an increased risk of developing chronic conditions, highlighting it as a critical modifiable risk factor. A Mendelian randomisation analysis revealed that a genetic predisposition to smoking is associated with a higher risk of various gastrointestinal diseases. At the same time, alcohol consumption impacts a more li</w:t>
      </w:r>
      <w:r>
        <w:rPr>
          <w:rFonts w:cs="Arial"/>
        </w:rPr>
        <w:t>mited range of conditions. This study underscores smoking as a significant risk factor for chronic diseases, whereas alcohol's effects are more confined to specific gastrointestinal issues.</w:t>
      </w:r>
    </w:p>
    <w:p w14:paraId="26D3CF44" w14:textId="77777777" w:rsidR="00197DEF" w:rsidRDefault="00E03700">
      <w:pPr>
        <w:spacing w:line="360" w:lineRule="auto"/>
        <w:rPr>
          <w:rFonts w:cs="Arial"/>
          <w:lang w:val="en-US"/>
        </w:rPr>
      </w:pPr>
      <w:r>
        <w:rPr>
          <w:rFonts w:cs="Arial"/>
          <w:lang w:val="en-US"/>
        </w:rPr>
        <w:t xml:space="preserve">According to Nyembezi (2023), there is a growing emphasis on health research and promotion that </w:t>
      </w:r>
      <w:proofErr w:type="spellStart"/>
      <w:r>
        <w:rPr>
          <w:rFonts w:cs="Arial"/>
          <w:lang w:val="en-US"/>
        </w:rPr>
        <w:t>utilises</w:t>
      </w:r>
      <w:proofErr w:type="spellEnd"/>
      <w:r>
        <w:rPr>
          <w:rFonts w:cs="Arial"/>
          <w:lang w:val="en-US"/>
        </w:rPr>
        <w:t xml:space="preserve"> life course approaches. The World </w:t>
      </w:r>
      <w:r>
        <w:rPr>
          <w:rFonts w:cs="Arial"/>
          <w:lang w:val="en-US"/>
        </w:rPr>
        <w:t xml:space="preserve">Health </w:t>
      </w:r>
      <w:proofErr w:type="spellStart"/>
      <w:r>
        <w:rPr>
          <w:rFonts w:cs="Arial"/>
          <w:lang w:val="en-US"/>
        </w:rPr>
        <w:t>Organisation</w:t>
      </w:r>
      <w:proofErr w:type="spellEnd"/>
      <w:r>
        <w:rPr>
          <w:rFonts w:cs="Arial"/>
          <w:lang w:val="en-US"/>
        </w:rPr>
        <w:t xml:space="preserve"> (WHO) aims to "build health throughout life," and the United Nations (UN) Sustainable </w:t>
      </w:r>
      <w:r>
        <w:rPr>
          <w:rFonts w:cs="Arial"/>
          <w:lang w:val="en-US"/>
        </w:rPr>
        <w:lastRenderedPageBreak/>
        <w:t>Development Goals (SDGS) for 2030 seek to "ensure healthy lives and promote well-being for all at all ages." Life course approaches consider a person’s development from conception to old age, seeking opportunities to make positive changes. This helps create policies and health programs that respond to changing needs and various factors affecting health, including inequalities.</w:t>
      </w:r>
    </w:p>
    <w:p w14:paraId="26D3CF45" w14:textId="77777777" w:rsidR="00197DEF" w:rsidRDefault="00E03700">
      <w:pPr>
        <w:spacing w:line="360" w:lineRule="auto"/>
        <w:rPr>
          <w:rFonts w:cs="Arial"/>
          <w:lang w:val="en-US"/>
        </w:rPr>
      </w:pPr>
      <w:r>
        <w:rPr>
          <w:rFonts w:cs="Arial"/>
          <w:lang w:val="en-US"/>
        </w:rPr>
        <w:t>Neal Halfon (2018) agrees that health outcomes for boys and men are often worse than for girls and women. Factors beyond biology contribute to this difference. How boys and men view themselves can explain some reasons for early death. Health systems may miss opportunities to help boys and men by not providing specific and comprehensive services. Therefore, health promotion programs should use a life course approach to support their well-being.</w:t>
      </w:r>
    </w:p>
    <w:p w14:paraId="26D3CF46" w14:textId="4D386536" w:rsidR="00197DEF" w:rsidRPr="006E02A9" w:rsidRDefault="00E03700">
      <w:pPr>
        <w:spacing w:line="360" w:lineRule="auto"/>
        <w:rPr>
          <w:rFonts w:cs="Arial"/>
        </w:rPr>
      </w:pPr>
      <w:r>
        <w:rPr>
          <w:rFonts w:cs="Arial"/>
          <w:lang w:val="en-US"/>
        </w:rPr>
        <w:t xml:space="preserve">The Geneva Charter for Wellbeing, adopted on December 21, 2021, </w:t>
      </w:r>
      <w:proofErr w:type="spellStart"/>
      <w:r>
        <w:rPr>
          <w:rFonts w:cs="Arial"/>
          <w:lang w:val="en-US"/>
        </w:rPr>
        <w:t>emphasises</w:t>
      </w:r>
      <w:proofErr w:type="spellEnd"/>
      <w:r>
        <w:rPr>
          <w:rFonts w:cs="Arial"/>
          <w:lang w:val="en-US"/>
        </w:rPr>
        <w:t xml:space="preserve"> the need for sustainable "well-being societies" that achieve fair health for everyone while respecting ecological limits. A life course approach can help fulfil the vision of SDG 3 and promote health for males of all ages</w:t>
      </w:r>
      <w:r w:rsidR="006E02A9">
        <w:rPr>
          <w:rFonts w:cs="Arial"/>
          <w:lang w:val="en-US"/>
        </w:rPr>
        <w:t xml:space="preserve">. </w:t>
      </w:r>
      <w:r w:rsidR="006E02A9">
        <w:rPr>
          <w:rFonts w:cs="Arial"/>
        </w:rPr>
        <w:t>Evidence</w:t>
      </w:r>
      <w:r w:rsidR="006E02A9">
        <w:rPr>
          <w:rFonts w:cs="Arial"/>
        </w:rPr>
        <w:t xml:space="preserve"> indicates that both smoking and alcohol consumption patterns throughout life are crucial determinants of chronic disease risk, with heavy and consistent use being particularly detrimental. Modifying these lifestyle factors may </w:t>
      </w:r>
      <w:r w:rsidR="006E02A9">
        <w:rPr>
          <w:rFonts w:cs="Arial"/>
        </w:rPr>
        <w:t>prevent disease and improve</w:t>
      </w:r>
      <w:r w:rsidR="006E02A9">
        <w:rPr>
          <w:rFonts w:cs="Arial"/>
        </w:rPr>
        <w:t xml:space="preserve"> health </w:t>
      </w:r>
      <w:r w:rsidR="006E02A9">
        <w:rPr>
          <w:rFonts w:cs="Arial"/>
        </w:rPr>
        <w:t>outcomes</w:t>
      </w:r>
      <w:r w:rsidR="006E02A9">
        <w:rPr>
          <w:rFonts w:cs="Arial"/>
          <w:lang w:val="en-US"/>
        </w:rPr>
        <w:t xml:space="preserve"> (</w:t>
      </w:r>
      <w:r>
        <w:rPr>
          <w:rFonts w:cs="Arial"/>
          <w:lang w:val="en-US"/>
        </w:rPr>
        <w:t xml:space="preserve">Ben Abdelaziz </w:t>
      </w:r>
      <w:r>
        <w:rPr>
          <w:rFonts w:cs="Arial"/>
          <w:i/>
          <w:iCs/>
          <w:lang w:val="en-US"/>
        </w:rPr>
        <w:t xml:space="preserve">et al., </w:t>
      </w:r>
      <w:r>
        <w:rPr>
          <w:rFonts w:cs="Arial"/>
          <w:lang w:val="en-US"/>
        </w:rPr>
        <w:t>2023).</w:t>
      </w:r>
    </w:p>
    <w:p w14:paraId="26D3CF49" w14:textId="454E42B0" w:rsidR="00197DEF" w:rsidRDefault="00E03700" w:rsidP="006E02A9">
      <w:pPr>
        <w:spacing w:line="360" w:lineRule="auto"/>
        <w:rPr>
          <w:rFonts w:cs="Arial"/>
        </w:rPr>
      </w:pPr>
      <w:r>
        <w:rPr>
          <w:rFonts w:cs="Arial"/>
        </w:rPr>
        <w:t xml:space="preserve"> </w:t>
      </w:r>
    </w:p>
    <w:p w14:paraId="26D3CF4A" w14:textId="77777777" w:rsidR="00197DEF" w:rsidRDefault="00197DEF">
      <w:pPr>
        <w:rPr>
          <w:rFonts w:cs="Arial"/>
        </w:rPr>
      </w:pPr>
    </w:p>
    <w:p w14:paraId="6C21BA52" w14:textId="77777777" w:rsidR="006E02A9" w:rsidRDefault="006E02A9">
      <w:pPr>
        <w:rPr>
          <w:rFonts w:cs="Arial"/>
        </w:rPr>
      </w:pPr>
    </w:p>
    <w:p w14:paraId="44705A4E" w14:textId="77777777" w:rsidR="006E02A9" w:rsidRDefault="006E02A9">
      <w:pPr>
        <w:rPr>
          <w:rFonts w:cs="Arial"/>
        </w:rPr>
      </w:pPr>
    </w:p>
    <w:p w14:paraId="6B4505FA" w14:textId="77777777" w:rsidR="006E02A9" w:rsidRDefault="006E02A9">
      <w:pPr>
        <w:rPr>
          <w:rFonts w:cs="Arial"/>
        </w:rPr>
      </w:pPr>
    </w:p>
    <w:p w14:paraId="5EAD70DD" w14:textId="77777777" w:rsidR="006E02A9" w:rsidRDefault="006E02A9">
      <w:pPr>
        <w:rPr>
          <w:rFonts w:cs="Arial"/>
        </w:rPr>
      </w:pPr>
    </w:p>
    <w:p w14:paraId="26D3CF4B" w14:textId="77777777" w:rsidR="00197DEF" w:rsidRDefault="00197DEF">
      <w:pPr>
        <w:suppressAutoHyphens w:val="0"/>
        <w:spacing w:before="100" w:after="100" w:line="240" w:lineRule="auto"/>
        <w:textAlignment w:val="auto"/>
        <w:rPr>
          <w:lang w:val="en"/>
        </w:rPr>
      </w:pPr>
    </w:p>
    <w:p w14:paraId="26D3CF4C" w14:textId="77777777" w:rsidR="00197DEF" w:rsidRDefault="00197DEF"/>
    <w:p w14:paraId="26D3CF4D" w14:textId="77777777" w:rsidR="00197DEF" w:rsidRDefault="00197DEF"/>
    <w:p w14:paraId="2BF7C1C9" w14:textId="77777777" w:rsidR="006E02A9" w:rsidRDefault="006E02A9"/>
    <w:p w14:paraId="26D3CF58" w14:textId="77777777" w:rsidR="00197DEF" w:rsidRDefault="00197DEF"/>
    <w:p w14:paraId="26D3CF59" w14:textId="77777777" w:rsidR="00197DEF" w:rsidRDefault="00E03700">
      <w:pPr>
        <w:pStyle w:val="ListParagraph"/>
        <w:numPr>
          <w:ilvl w:val="0"/>
          <w:numId w:val="22"/>
        </w:numPr>
        <w:rPr>
          <w:b/>
          <w:bCs/>
          <w:sz w:val="36"/>
          <w:szCs w:val="36"/>
          <w:lang w:val="fr-FR"/>
        </w:rPr>
      </w:pPr>
      <w:proofErr w:type="spellStart"/>
      <w:r>
        <w:rPr>
          <w:b/>
          <w:bCs/>
          <w:sz w:val="36"/>
          <w:szCs w:val="36"/>
          <w:lang w:val="fr-FR"/>
        </w:rPr>
        <w:t>Recommendations</w:t>
      </w:r>
      <w:proofErr w:type="spellEnd"/>
      <w:r>
        <w:rPr>
          <w:b/>
          <w:bCs/>
          <w:sz w:val="36"/>
          <w:szCs w:val="36"/>
          <w:lang w:val="fr-FR"/>
        </w:rPr>
        <w:t xml:space="preserve">  </w:t>
      </w:r>
    </w:p>
    <w:p w14:paraId="26D3CF5A" w14:textId="77777777" w:rsidR="00197DEF" w:rsidRDefault="00197DEF">
      <w:pPr>
        <w:rPr>
          <w:lang w:val="fr-FR"/>
        </w:rPr>
      </w:pPr>
    </w:p>
    <w:p w14:paraId="4632EC56" w14:textId="720340E3" w:rsidR="001B4226" w:rsidRPr="001B4226" w:rsidRDefault="001B4226" w:rsidP="001B4226">
      <w:pPr>
        <w:rPr>
          <w:lang w:val="en-US"/>
        </w:rPr>
      </w:pPr>
      <w:r w:rsidRPr="001B4226">
        <w:rPr>
          <w:lang w:val="en-US"/>
        </w:rPr>
        <w:t xml:space="preserve">The relationship between lifespan and living well is multifaceted, encompassing physical, mental, and social dimensions. A study focusing on middle-aged adults in </w:t>
      </w:r>
      <w:proofErr w:type="spellStart"/>
      <w:r w:rsidRPr="001B4226">
        <w:rPr>
          <w:lang w:val="en-US"/>
        </w:rPr>
        <w:t>Baixo</w:t>
      </w:r>
      <w:proofErr w:type="spellEnd"/>
      <w:r w:rsidRPr="001B4226">
        <w:rPr>
          <w:lang w:val="en-US"/>
        </w:rPr>
        <w:t xml:space="preserve"> Alentejo, Portugal, highlights the importance of these dimensions in promoting active and healthy </w:t>
      </w:r>
      <w:r>
        <w:rPr>
          <w:lang w:val="en-US"/>
        </w:rPr>
        <w:t>ageing</w:t>
      </w:r>
      <w:r w:rsidRPr="001B4226">
        <w:rPr>
          <w:lang w:val="en-US"/>
        </w:rPr>
        <w:t>. It found that sociodemographic factors significantly influence physical and mental well-being, with economic stability positively associated with mental health and life satisfaction. This underscores the necessity of tailored interventions to enhance quality of life in later years, particularly for those facing socioeconomic challenges</w:t>
      </w:r>
      <w:r>
        <w:rPr>
          <w:lang w:val="en-US"/>
        </w:rPr>
        <w:t xml:space="preserve"> (</w:t>
      </w:r>
      <w:r w:rsidRPr="001B4226">
        <w:rPr>
          <w:rFonts w:cs="Arial"/>
          <w:lang w:val="en-US"/>
        </w:rPr>
        <w:t>Santos</w:t>
      </w:r>
      <w:r>
        <w:rPr>
          <w:rFonts w:cs="Arial"/>
          <w:lang w:val="en-US"/>
        </w:rPr>
        <w:t xml:space="preserve"> et al, 2025).</w:t>
      </w:r>
    </w:p>
    <w:p w14:paraId="2AA1776F" w14:textId="14C362C2" w:rsidR="001B4226" w:rsidRPr="001B4226" w:rsidRDefault="001B4226" w:rsidP="001B4226">
      <w:pPr>
        <w:numPr>
          <w:ilvl w:val="0"/>
          <w:numId w:val="1"/>
        </w:numPr>
        <w:rPr>
          <w:lang w:val="en"/>
        </w:rPr>
      </w:pPr>
      <w:r w:rsidRPr="001B4226">
        <w:rPr>
          <w:lang w:val="en"/>
        </w:rPr>
        <w:t xml:space="preserve">Moreover, lifestyle choices play a critical role in both the quantity and quality of life. A </w:t>
      </w:r>
      <w:r>
        <w:rPr>
          <w:lang w:val="en"/>
        </w:rPr>
        <w:t>literature review</w:t>
      </w:r>
      <w:r w:rsidRPr="001B4226">
        <w:rPr>
          <w:lang w:val="en"/>
        </w:rPr>
        <w:t xml:space="preserve"> </w:t>
      </w:r>
      <w:proofErr w:type="spellStart"/>
      <w:r w:rsidRPr="001B4226">
        <w:rPr>
          <w:lang w:val="en"/>
        </w:rPr>
        <w:t>emphasi</w:t>
      </w:r>
      <w:r>
        <w:rPr>
          <w:lang w:val="en"/>
        </w:rPr>
        <w:t>s</w:t>
      </w:r>
      <w:r w:rsidRPr="001B4226">
        <w:rPr>
          <w:lang w:val="en"/>
        </w:rPr>
        <w:t>es</w:t>
      </w:r>
      <w:proofErr w:type="spellEnd"/>
      <w:r w:rsidRPr="001B4226">
        <w:rPr>
          <w:lang w:val="en"/>
        </w:rPr>
        <w:t xml:space="preserve"> that regular physical activity, proper nutrition, and healthy body weight contribute to longevity. Conversely, negative factors such as smoking, excessive alcohol consumption, and poor stress management can adversely affect life expectancy. The review also discusses the significance of social relationships as protective elements for longevity</w:t>
      </w:r>
      <w:r w:rsidR="00580D27">
        <w:rPr>
          <w:lang w:val="en"/>
        </w:rPr>
        <w:t xml:space="preserve"> (</w:t>
      </w:r>
      <w:r w:rsidR="00580D27" w:rsidRPr="00580D27">
        <w:rPr>
          <w:rFonts w:cs="Arial"/>
          <w:lang w:val="en-US"/>
        </w:rPr>
        <w:t>Piotrowicz</w:t>
      </w:r>
      <w:r w:rsidR="00580D27">
        <w:rPr>
          <w:rFonts w:cs="Arial"/>
          <w:lang w:val="en-US"/>
        </w:rPr>
        <w:t xml:space="preserve"> et al.,</w:t>
      </w:r>
      <w:r w:rsidR="00580D27" w:rsidRPr="00580D27">
        <w:rPr>
          <w:rFonts w:cs="Arial"/>
          <w:lang w:val="en-US"/>
        </w:rPr>
        <w:t xml:space="preserve"> 2025)</w:t>
      </w:r>
      <w:r w:rsidR="00580D27">
        <w:rPr>
          <w:rFonts w:cs="Arial"/>
          <w:lang w:val="en-US"/>
        </w:rPr>
        <w:t>.</w:t>
      </w:r>
      <w:r w:rsidR="00580D27" w:rsidRPr="00580D27">
        <w:rPr>
          <w:rFonts w:cs="Arial"/>
          <w:lang w:val="en-US"/>
        </w:rPr>
        <w:t xml:space="preserve"> </w:t>
      </w:r>
    </w:p>
    <w:p w14:paraId="0F6FAF26" w14:textId="42B4A790" w:rsidR="001B4226" w:rsidRPr="001B4226" w:rsidRDefault="00580D27" w:rsidP="001B4226">
      <w:pPr>
        <w:numPr>
          <w:ilvl w:val="0"/>
          <w:numId w:val="1"/>
        </w:numPr>
        <w:rPr>
          <w:lang w:val="en"/>
        </w:rPr>
      </w:pPr>
      <w:r w:rsidRPr="00580D27">
        <w:rPr>
          <w:rFonts w:cs="Arial"/>
          <w:lang w:val="en-US"/>
        </w:rPr>
        <w:t xml:space="preserve">Liu, Y. </w:t>
      </w:r>
      <w:r w:rsidRPr="00580D27">
        <w:rPr>
          <w:rFonts w:cs="Arial"/>
          <w:i/>
          <w:iCs/>
          <w:lang w:val="en-US"/>
        </w:rPr>
        <w:t>et al.</w:t>
      </w:r>
      <w:r w:rsidRPr="00580D27">
        <w:rPr>
          <w:rFonts w:cs="Arial"/>
          <w:lang w:val="en-US"/>
        </w:rPr>
        <w:t xml:space="preserve"> (2025) </w:t>
      </w:r>
      <w:r>
        <w:rPr>
          <w:rFonts w:cs="Arial"/>
          <w:lang w:val="en-US"/>
        </w:rPr>
        <w:t xml:space="preserve">suggest that </w:t>
      </w:r>
      <w:r>
        <w:rPr>
          <w:lang w:val="en"/>
        </w:rPr>
        <w:t>s</w:t>
      </w:r>
      <w:r w:rsidR="001B4226" w:rsidRPr="001B4226">
        <w:rPr>
          <w:lang w:val="en"/>
        </w:rPr>
        <w:t xml:space="preserve">ubjective well-being (SWB) is another crucial aspect </w:t>
      </w:r>
      <w:r w:rsidR="001B4226">
        <w:rPr>
          <w:lang w:val="en"/>
        </w:rPr>
        <w:t>of</w:t>
      </w:r>
      <w:r w:rsidR="001B4226" w:rsidRPr="001B4226">
        <w:rPr>
          <w:lang w:val="en"/>
        </w:rPr>
        <w:t xml:space="preserve"> healthy </w:t>
      </w:r>
      <w:r w:rsidR="001B4226">
        <w:rPr>
          <w:lang w:val="en"/>
        </w:rPr>
        <w:t>ageing</w:t>
      </w:r>
      <w:r w:rsidR="001B4226" w:rsidRPr="001B4226">
        <w:rPr>
          <w:lang w:val="en"/>
        </w:rPr>
        <w:t xml:space="preserve">. Research indicates that higher levels of life satisfaction correlate with lower frailty and reduced risk of frailty progression or mortality among older adults. This suggests that psychological well-being is integral to maintaining physical health and overall quality of life as one ages. </w:t>
      </w:r>
    </w:p>
    <w:p w14:paraId="26D3CF5F" w14:textId="73742464" w:rsidR="00197DEF" w:rsidRPr="001B4226" w:rsidRDefault="001B4226" w:rsidP="001B4226">
      <w:pPr>
        <w:numPr>
          <w:ilvl w:val="0"/>
          <w:numId w:val="1"/>
        </w:numPr>
        <w:rPr>
          <w:lang w:val="en"/>
        </w:rPr>
      </w:pPr>
      <w:r w:rsidRPr="001B4226">
        <w:rPr>
          <w:lang w:val="en"/>
        </w:rPr>
        <w:t xml:space="preserve">Additionally, the SONIC study in Japan explores various factors influencing healthy longevity, including psychological well-being, which is essential for fostering a positive </w:t>
      </w:r>
      <w:r>
        <w:rPr>
          <w:lang w:val="en"/>
        </w:rPr>
        <w:t>ageing</w:t>
      </w:r>
      <w:r w:rsidRPr="001B4226">
        <w:rPr>
          <w:lang w:val="en"/>
        </w:rPr>
        <w:t xml:space="preserve"> experience. The findings from this longitudinal study provide insights into the dynamics of </w:t>
      </w:r>
      <w:r>
        <w:rPr>
          <w:lang w:val="en"/>
        </w:rPr>
        <w:t>ageing</w:t>
      </w:r>
      <w:r w:rsidRPr="001B4226">
        <w:rPr>
          <w:lang w:val="en"/>
        </w:rPr>
        <w:t xml:space="preserve"> and the importance of addressing multiple domains of functioning to enhance life quality</w:t>
      </w:r>
      <w:r w:rsidR="00B57E42">
        <w:rPr>
          <w:lang w:val="en"/>
        </w:rPr>
        <w:t xml:space="preserve"> (</w:t>
      </w:r>
      <w:proofErr w:type="spellStart"/>
      <w:r w:rsidR="00B57E42" w:rsidRPr="00B57E42">
        <w:rPr>
          <w:rFonts w:cs="Arial"/>
          <w:lang w:val="en-US"/>
        </w:rPr>
        <w:t>Kamide</w:t>
      </w:r>
      <w:proofErr w:type="spellEnd"/>
      <w:r w:rsidR="00B57E42" w:rsidRPr="00B57E42">
        <w:rPr>
          <w:rFonts w:cs="Arial"/>
          <w:lang w:val="en-US"/>
        </w:rPr>
        <w:t xml:space="preserve"> </w:t>
      </w:r>
      <w:r w:rsidR="00B57E42" w:rsidRPr="00B57E42">
        <w:rPr>
          <w:rFonts w:cs="Arial"/>
          <w:i/>
          <w:iCs/>
          <w:lang w:val="en-US"/>
        </w:rPr>
        <w:t>et al.</w:t>
      </w:r>
      <w:r w:rsidR="00B57E42">
        <w:rPr>
          <w:rFonts w:cs="Arial"/>
          <w:i/>
          <w:iCs/>
          <w:lang w:val="en-US"/>
        </w:rPr>
        <w:t>,</w:t>
      </w:r>
      <w:r w:rsidR="00B57E42" w:rsidRPr="00B57E42">
        <w:rPr>
          <w:rFonts w:cs="Arial"/>
          <w:lang w:val="en-US"/>
        </w:rPr>
        <w:t xml:space="preserve"> 2025)</w:t>
      </w:r>
      <w:r w:rsidR="00B57E42">
        <w:rPr>
          <w:rFonts w:cs="Arial"/>
          <w:lang w:val="en-US"/>
        </w:rPr>
        <w:t>.</w:t>
      </w:r>
      <w:r w:rsidR="00B57E42" w:rsidRPr="00B57E42">
        <w:rPr>
          <w:rFonts w:cs="Arial"/>
          <w:lang w:val="en-US"/>
        </w:rPr>
        <w:t xml:space="preserve"> </w:t>
      </w:r>
    </w:p>
    <w:p w14:paraId="26D3CF60" w14:textId="77777777" w:rsidR="00197DEF" w:rsidRDefault="00197DEF"/>
    <w:p w14:paraId="26D3CF61" w14:textId="77777777" w:rsidR="00197DEF" w:rsidRDefault="00197DEF"/>
    <w:p w14:paraId="26D3CF62" w14:textId="77777777" w:rsidR="00197DEF" w:rsidRDefault="00197DEF"/>
    <w:p w14:paraId="26D3CF63" w14:textId="77777777" w:rsidR="00197DEF" w:rsidRDefault="00197DEF"/>
    <w:p w14:paraId="26D3CF64" w14:textId="77777777" w:rsidR="00197DEF" w:rsidRDefault="00197DEF"/>
    <w:p w14:paraId="26D3CF65" w14:textId="77777777" w:rsidR="00197DEF" w:rsidRDefault="00197DEF"/>
    <w:p w14:paraId="26D3CF66" w14:textId="77777777" w:rsidR="00197DEF" w:rsidRDefault="00197DEF"/>
    <w:p w14:paraId="26D3CF6E" w14:textId="77777777" w:rsidR="00197DEF" w:rsidRDefault="00197DEF"/>
    <w:p w14:paraId="26D3CF6F" w14:textId="77777777" w:rsidR="00197DEF" w:rsidRDefault="00E03700">
      <w:pPr>
        <w:pStyle w:val="ListParagraph"/>
        <w:numPr>
          <w:ilvl w:val="0"/>
          <w:numId w:val="22"/>
        </w:numPr>
        <w:rPr>
          <w:b/>
          <w:bCs/>
          <w:sz w:val="36"/>
          <w:szCs w:val="36"/>
          <w:lang w:val="fr-FR"/>
        </w:rPr>
      </w:pPr>
      <w:r>
        <w:rPr>
          <w:b/>
          <w:bCs/>
          <w:sz w:val="36"/>
          <w:szCs w:val="36"/>
          <w:lang w:val="fr-FR"/>
        </w:rPr>
        <w:t xml:space="preserve">Conclusion  </w:t>
      </w:r>
    </w:p>
    <w:p w14:paraId="26D3CF70" w14:textId="134A773B" w:rsidR="00197DEF" w:rsidRDefault="009A152B" w:rsidP="009A152B">
      <w:pPr>
        <w:pStyle w:val="ListParagraph"/>
        <w:numPr>
          <w:ilvl w:val="0"/>
          <w:numId w:val="0"/>
        </w:numPr>
        <w:spacing w:line="360" w:lineRule="auto"/>
        <w:ind w:left="360"/>
        <w:rPr>
          <w:rFonts w:cs="Arial"/>
        </w:rPr>
      </w:pPr>
      <w:r w:rsidRPr="009A152B">
        <w:rPr>
          <w:rFonts w:cs="Arial"/>
        </w:rPr>
        <w:t>The</w:t>
      </w:r>
      <w:r w:rsidR="00E03700" w:rsidRPr="009A152B">
        <w:rPr>
          <w:rFonts w:cs="Arial"/>
        </w:rPr>
        <w:t xml:space="preserve"> life course perspective emphasises that lifestyle choices made </w:t>
      </w:r>
      <w:r w:rsidRPr="009A152B">
        <w:rPr>
          <w:rFonts w:cs="Arial"/>
        </w:rPr>
        <w:t>throughout various</w:t>
      </w:r>
      <w:r w:rsidR="00E03700" w:rsidRPr="009A152B">
        <w:rPr>
          <w:rFonts w:cs="Arial"/>
        </w:rPr>
        <w:t xml:space="preserve"> stages of life, from prenatal development to adulthood, significantly </w:t>
      </w:r>
      <w:r w:rsidR="00E03700" w:rsidRPr="009A152B">
        <w:rPr>
          <w:rFonts w:cs="Arial"/>
        </w:rPr>
        <w:t xml:space="preserve">influence </w:t>
      </w:r>
      <w:r w:rsidRPr="009A152B">
        <w:rPr>
          <w:rFonts w:cs="Arial"/>
        </w:rPr>
        <w:t>long-term health and well-being development</w:t>
      </w:r>
      <w:r w:rsidR="00E03700" w:rsidRPr="009A152B">
        <w:rPr>
          <w:rFonts w:cs="Arial"/>
        </w:rPr>
        <w:t>. Understanding these connections can inform public health strategies promoting healthier lifestyles across the lifespan.  Childhood dietary habits are intricately linked to adult health outcomes, with implications for cardiovascular health, nutritional preferences, and the importance of family and school environments in shaping these habits</w:t>
      </w:r>
      <w:r w:rsidR="00E03700">
        <w:rPr>
          <w:rFonts w:cs="Arial"/>
        </w:rPr>
        <w:t>.</w:t>
      </w:r>
    </w:p>
    <w:p w14:paraId="26D3CF71" w14:textId="77777777" w:rsidR="00197DEF" w:rsidRDefault="00197DEF">
      <w:pPr>
        <w:suppressAutoHyphens w:val="0"/>
        <w:spacing w:before="100" w:after="100" w:line="360" w:lineRule="auto"/>
        <w:textAlignment w:val="auto"/>
        <w:rPr>
          <w:rFonts w:ascii="Times New Roman" w:hAnsi="Times New Roman"/>
          <w:lang w:val="en"/>
        </w:rPr>
      </w:pPr>
    </w:p>
    <w:p w14:paraId="26D3CF72" w14:textId="77777777" w:rsidR="00197DEF" w:rsidRDefault="00197DEF">
      <w:pPr>
        <w:suppressAutoHyphens w:val="0"/>
        <w:spacing w:before="100" w:after="100" w:line="240" w:lineRule="auto"/>
        <w:textAlignment w:val="auto"/>
      </w:pPr>
    </w:p>
    <w:p w14:paraId="26D3CF73" w14:textId="77777777" w:rsidR="00197DEF" w:rsidRDefault="00197DEF"/>
    <w:p w14:paraId="26D3CF74" w14:textId="77777777" w:rsidR="00197DEF" w:rsidRDefault="00197DEF"/>
    <w:p w14:paraId="26D3CF75" w14:textId="77777777" w:rsidR="00197DEF" w:rsidRDefault="00197DEF"/>
    <w:p w14:paraId="26D3CF76" w14:textId="77777777" w:rsidR="00197DEF" w:rsidRDefault="00197DEF"/>
    <w:p w14:paraId="26D3CF77" w14:textId="77777777" w:rsidR="00197DEF" w:rsidRDefault="00197DEF"/>
    <w:p w14:paraId="26D3CF78" w14:textId="77777777" w:rsidR="00197DEF" w:rsidRDefault="00197DEF"/>
    <w:p w14:paraId="26D3CF79" w14:textId="77777777" w:rsidR="00197DEF" w:rsidRDefault="00197DEF"/>
    <w:p w14:paraId="26D3CF7A" w14:textId="77777777" w:rsidR="00197DEF" w:rsidRDefault="00197DEF"/>
    <w:p w14:paraId="26D3CF7B" w14:textId="77777777" w:rsidR="00197DEF" w:rsidRDefault="00197DEF"/>
    <w:p w14:paraId="26D3CF7C" w14:textId="77777777" w:rsidR="00197DEF" w:rsidRDefault="00197DEF"/>
    <w:p w14:paraId="26D3CF7D" w14:textId="77777777" w:rsidR="00197DEF" w:rsidRDefault="00197DEF"/>
    <w:p w14:paraId="26D3CF7E" w14:textId="77777777" w:rsidR="00197DEF" w:rsidRDefault="00197DEF"/>
    <w:p w14:paraId="26D3CF82" w14:textId="77777777" w:rsidR="00197DEF" w:rsidRDefault="00197DEF"/>
    <w:p w14:paraId="644A2D12" w14:textId="77777777" w:rsidR="001B4226" w:rsidRDefault="001B4226"/>
    <w:p w14:paraId="577D582E" w14:textId="77777777" w:rsidR="001B4226" w:rsidRDefault="001B4226"/>
    <w:p w14:paraId="1D5D3252" w14:textId="77777777" w:rsidR="009A152B" w:rsidRDefault="009A152B"/>
    <w:p w14:paraId="26D3CF83" w14:textId="77777777" w:rsidR="00197DEF" w:rsidRDefault="00E03700">
      <w:pPr>
        <w:pStyle w:val="ListParagraph"/>
        <w:numPr>
          <w:ilvl w:val="0"/>
          <w:numId w:val="22"/>
        </w:numPr>
        <w:rPr>
          <w:b/>
          <w:bCs/>
          <w:color w:val="auto"/>
          <w:sz w:val="36"/>
          <w:szCs w:val="36"/>
          <w:lang w:val="fr-FR"/>
        </w:rPr>
      </w:pPr>
      <w:r>
        <w:rPr>
          <w:b/>
          <w:bCs/>
          <w:color w:val="auto"/>
          <w:sz w:val="36"/>
          <w:szCs w:val="36"/>
          <w:lang w:val="fr-FR"/>
        </w:rPr>
        <w:t>Appendices</w:t>
      </w:r>
    </w:p>
    <w:p w14:paraId="26D3CF84" w14:textId="77777777" w:rsidR="00197DEF" w:rsidRDefault="00197DEF">
      <w:pPr>
        <w:rPr>
          <w:b/>
          <w:bCs/>
          <w:sz w:val="36"/>
          <w:szCs w:val="36"/>
          <w:lang w:val="fr-FR"/>
        </w:rPr>
      </w:pPr>
    </w:p>
    <w:p w14:paraId="26D3CF86" w14:textId="3775F92E" w:rsidR="00197DEF" w:rsidRDefault="00D60C9E">
      <w:pPr>
        <w:rPr>
          <w:b/>
          <w:bCs/>
          <w:sz w:val="36"/>
          <w:szCs w:val="36"/>
          <w:lang w:val="en"/>
        </w:rPr>
      </w:pPr>
      <w:r w:rsidRPr="00D60C9E">
        <w:rPr>
          <w:b/>
          <w:bCs/>
          <w:sz w:val="36"/>
          <w:szCs w:val="36"/>
          <w:lang w:val="en"/>
        </w:rPr>
        <w:drawing>
          <wp:inline distT="0" distB="0" distL="0" distR="0" wp14:anchorId="43E52A55" wp14:editId="20F7E41B">
            <wp:extent cx="6029960" cy="4531360"/>
            <wp:effectExtent l="0" t="0" r="8890" b="2540"/>
            <wp:docPr id="1462316278"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16278" name="Picture 1" descr="A graph of a number of people&#10;&#10;AI-generated content may be incorrect."/>
                    <pic:cNvPicPr/>
                  </pic:nvPicPr>
                  <pic:blipFill>
                    <a:blip r:embed="rId11"/>
                    <a:stretch>
                      <a:fillRect/>
                    </a:stretch>
                  </pic:blipFill>
                  <pic:spPr>
                    <a:xfrm>
                      <a:off x="0" y="0"/>
                      <a:ext cx="6029960" cy="4531360"/>
                    </a:xfrm>
                    <a:prstGeom prst="rect">
                      <a:avLst/>
                    </a:prstGeom>
                  </pic:spPr>
                </pic:pic>
              </a:graphicData>
            </a:graphic>
          </wp:inline>
        </w:drawing>
      </w:r>
    </w:p>
    <w:p w14:paraId="26D3CF87" w14:textId="77777777" w:rsidR="00197DEF" w:rsidRDefault="00197DEF">
      <w:pPr>
        <w:rPr>
          <w:b/>
          <w:bCs/>
          <w:sz w:val="36"/>
          <w:szCs w:val="36"/>
        </w:rPr>
      </w:pPr>
    </w:p>
    <w:p w14:paraId="26D3CF88" w14:textId="77777777" w:rsidR="00197DEF" w:rsidRDefault="00197DEF">
      <w:pPr>
        <w:rPr>
          <w:b/>
          <w:bCs/>
          <w:sz w:val="36"/>
          <w:szCs w:val="36"/>
        </w:rPr>
      </w:pPr>
    </w:p>
    <w:p w14:paraId="26D3CF89" w14:textId="77777777" w:rsidR="00197DEF" w:rsidRDefault="00197DEF">
      <w:pPr>
        <w:rPr>
          <w:b/>
          <w:bCs/>
          <w:sz w:val="36"/>
          <w:szCs w:val="36"/>
        </w:rPr>
      </w:pPr>
    </w:p>
    <w:p w14:paraId="26D3CF8A" w14:textId="77777777" w:rsidR="00197DEF" w:rsidRDefault="00197DEF">
      <w:pPr>
        <w:rPr>
          <w:b/>
          <w:bCs/>
          <w:sz w:val="36"/>
          <w:szCs w:val="36"/>
          <w:lang w:val="en"/>
        </w:rPr>
      </w:pPr>
    </w:p>
    <w:p w14:paraId="26D3CF95" w14:textId="77777777" w:rsidR="00197DEF" w:rsidRDefault="00197DEF">
      <w:pPr>
        <w:rPr>
          <w:b/>
          <w:bCs/>
          <w:sz w:val="36"/>
          <w:szCs w:val="36"/>
        </w:rPr>
      </w:pPr>
    </w:p>
    <w:p w14:paraId="737134BC" w14:textId="38542CE2" w:rsidR="00B57E42" w:rsidRPr="00B57E42" w:rsidRDefault="00E03700" w:rsidP="00B57E42">
      <w:pPr>
        <w:pStyle w:val="ListParagraph"/>
        <w:numPr>
          <w:ilvl w:val="0"/>
          <w:numId w:val="22"/>
        </w:numPr>
        <w:rPr>
          <w:b/>
          <w:bCs/>
          <w:sz w:val="36"/>
          <w:szCs w:val="36"/>
          <w:lang w:val="fr-FR"/>
        </w:rPr>
      </w:pPr>
      <w:proofErr w:type="spellStart"/>
      <w:r>
        <w:rPr>
          <w:b/>
          <w:bCs/>
          <w:sz w:val="36"/>
          <w:szCs w:val="36"/>
          <w:lang w:val="fr-FR"/>
        </w:rPr>
        <w:lastRenderedPageBreak/>
        <w:t>References</w:t>
      </w:r>
      <w:proofErr w:type="spellEnd"/>
      <w:r>
        <w:rPr>
          <w:b/>
          <w:bCs/>
          <w:sz w:val="36"/>
          <w:szCs w:val="36"/>
          <w:lang w:val="fr-FR"/>
        </w:rPr>
        <w:t xml:space="preserve"> </w:t>
      </w:r>
      <w:bookmarkEnd w:id="8"/>
      <w:bookmarkEnd w:id="9"/>
    </w:p>
    <w:p w14:paraId="5900F766" w14:textId="77777777" w:rsidR="00B57E42" w:rsidRDefault="00B57E42" w:rsidP="001B4226">
      <w:pPr>
        <w:spacing w:line="240" w:lineRule="auto"/>
        <w:rPr>
          <w:rFonts w:cs="Arial"/>
          <w:lang w:val="en-US"/>
        </w:rPr>
      </w:pPr>
    </w:p>
    <w:p w14:paraId="151FDB80" w14:textId="77777777" w:rsidR="00B57E42" w:rsidRPr="009A152B" w:rsidRDefault="00B57E42" w:rsidP="009A152B">
      <w:pPr>
        <w:rPr>
          <w:b/>
          <w:bCs/>
          <w:sz w:val="36"/>
          <w:szCs w:val="36"/>
          <w:lang w:val="fr-FR"/>
        </w:rPr>
      </w:pPr>
      <w:r w:rsidRPr="009A152B">
        <w:rPr>
          <w:rFonts w:cs="Arial"/>
          <w:lang w:val="en-US"/>
        </w:rPr>
        <w:t xml:space="preserve">Baxter, J., </w:t>
      </w:r>
      <w:r w:rsidRPr="009A152B">
        <w:rPr>
          <w:rFonts w:cs="Arial"/>
        </w:rPr>
        <w:t>Lam, J., Povey, J., Lee, R., Zubrick, S. R. (2022).</w:t>
      </w:r>
      <w:r w:rsidRPr="009A152B">
        <w:rPr>
          <w:rFonts w:cs="Arial"/>
          <w:lang w:val="en-US"/>
        </w:rPr>
        <w:t xml:space="preserve"> </w:t>
      </w:r>
      <w:r w:rsidRPr="009A152B">
        <w:rPr>
          <w:rFonts w:cs="Arial"/>
          <w:i/>
          <w:iCs/>
          <w:lang w:val="en-US"/>
        </w:rPr>
        <w:t>Family Dynamics over</w:t>
      </w:r>
      <w:r>
        <w:rPr>
          <w:b/>
          <w:bCs/>
          <w:sz w:val="36"/>
          <w:szCs w:val="36"/>
          <w:lang w:val="fr-FR"/>
        </w:rPr>
        <w:t xml:space="preserve"> </w:t>
      </w:r>
      <w:r w:rsidRPr="00F02BD1">
        <w:rPr>
          <w:rFonts w:cs="Arial"/>
          <w:i/>
          <w:iCs/>
          <w:lang w:val="en-US"/>
        </w:rPr>
        <w:t>The Life Course: Foundations, Turning Points and Outcomes</w:t>
      </w:r>
      <w:r w:rsidRPr="00F02BD1">
        <w:rPr>
          <w:rFonts w:cs="Arial"/>
          <w:lang w:val="en-US"/>
        </w:rPr>
        <w:t xml:space="preserve">. 1st ed. Cham: Springer Nature. Available at: </w:t>
      </w:r>
      <w:hyperlink r:id="rId12" w:history="1">
        <w:r w:rsidRPr="00F02BD1">
          <w:rPr>
            <w:rStyle w:val="Hyperlink"/>
            <w:rFonts w:cs="Arial"/>
            <w:lang w:val="en-US"/>
          </w:rPr>
          <w:t>https://doi.org/10.1007/978-3-031-12224-8</w:t>
        </w:r>
      </w:hyperlink>
      <w:r w:rsidRPr="00F02BD1">
        <w:rPr>
          <w:rFonts w:cs="Arial"/>
          <w:lang w:val="en-US"/>
        </w:rPr>
        <w:t>.</w:t>
      </w:r>
    </w:p>
    <w:p w14:paraId="02347001" w14:textId="77777777" w:rsidR="00B57E42" w:rsidRDefault="00B57E42" w:rsidP="009A152B">
      <w:pPr>
        <w:spacing w:line="240" w:lineRule="auto"/>
        <w:rPr>
          <w:rFonts w:cs="Arial"/>
          <w:lang w:val="en-US"/>
        </w:rPr>
      </w:pPr>
      <w:r w:rsidRPr="00C3490E">
        <w:rPr>
          <w:rFonts w:cs="Arial"/>
          <w:lang w:val="en-US"/>
        </w:rPr>
        <w:t xml:space="preserve">Bornstein, M.H. </w:t>
      </w:r>
      <w:r w:rsidRPr="00C3490E">
        <w:rPr>
          <w:rFonts w:cs="Arial"/>
        </w:rPr>
        <w:t>Ed D</w:t>
      </w:r>
      <w:r>
        <w:rPr>
          <w:rFonts w:cs="Arial"/>
        </w:rPr>
        <w:t>.</w:t>
      </w:r>
      <w:r w:rsidRPr="00C3490E">
        <w:rPr>
          <w:rFonts w:cs="Arial"/>
        </w:rPr>
        <w:t>, Lucy, E</w:t>
      </w:r>
      <w:r>
        <w:rPr>
          <w:rFonts w:cs="Arial"/>
        </w:rPr>
        <w:t xml:space="preserve">., K, </w:t>
      </w:r>
      <w:r w:rsidRPr="00C3490E">
        <w:rPr>
          <w:rFonts w:cs="Arial"/>
        </w:rPr>
        <w:t>Corey L. M., Ed</w:t>
      </w:r>
      <w:r>
        <w:rPr>
          <w:rFonts w:cs="Arial"/>
        </w:rPr>
        <w:t xml:space="preserve">., </w:t>
      </w:r>
      <w:r w:rsidRPr="00C3490E">
        <w:rPr>
          <w:rFonts w:cs="Arial"/>
        </w:rPr>
        <w:t>M</w:t>
      </w:r>
      <w:r>
        <w:rPr>
          <w:rFonts w:cs="Arial"/>
        </w:rPr>
        <w:t>.,</w:t>
      </w:r>
      <w:r w:rsidRPr="00C3490E">
        <w:rPr>
          <w:rFonts w:cs="Arial"/>
        </w:rPr>
        <w:t xml:space="preserve"> Kristin A., Ed</w:t>
      </w:r>
      <w:r w:rsidRPr="00C3490E">
        <w:rPr>
          <w:rFonts w:cs="Arial"/>
          <w:lang w:val="en-US"/>
        </w:rPr>
        <w:t xml:space="preserve"> (2003) </w:t>
      </w:r>
      <w:r w:rsidRPr="00C3490E">
        <w:rPr>
          <w:rFonts w:cs="Arial"/>
          <w:i/>
          <w:iCs/>
          <w:lang w:val="en-US"/>
        </w:rPr>
        <w:t>Well-Being: Positive Development across the Life Course</w:t>
      </w:r>
      <w:r w:rsidRPr="00C3490E">
        <w:rPr>
          <w:rFonts w:cs="Arial"/>
          <w:lang w:val="en-US"/>
        </w:rPr>
        <w:t xml:space="preserve">. Lawrence Erlbaum Associates, Inc. Available at: </w:t>
      </w:r>
      <w:hyperlink r:id="rId13" w:history="1">
        <w:r w:rsidRPr="00C3490E">
          <w:rPr>
            <w:rStyle w:val="Hyperlink"/>
            <w:rFonts w:cs="Arial"/>
            <w:lang w:val="en-US"/>
          </w:rPr>
          <w:t>https://doi.org/10.4324/9781410607171</w:t>
        </w:r>
      </w:hyperlink>
      <w:r w:rsidRPr="00C3490E">
        <w:rPr>
          <w:rFonts w:cs="Arial"/>
          <w:lang w:val="en-US"/>
        </w:rPr>
        <w:t>.</w:t>
      </w:r>
    </w:p>
    <w:p w14:paraId="30B99A2D" w14:textId="77777777" w:rsidR="00B57E42" w:rsidRPr="00F02BD1" w:rsidRDefault="00B57E42" w:rsidP="009A152B">
      <w:pPr>
        <w:spacing w:line="240" w:lineRule="auto"/>
        <w:rPr>
          <w:rFonts w:cs="Arial"/>
        </w:rPr>
      </w:pPr>
      <w:r w:rsidRPr="00F02BD1">
        <w:rPr>
          <w:rFonts w:cs="Arial"/>
        </w:rPr>
        <w:t xml:space="preserve">Chong, M and Foong, F (2022). ‘Dietary trajectories through the life course: opportunities and challenges’, </w:t>
      </w:r>
      <w:r w:rsidRPr="00F02BD1">
        <w:rPr>
          <w:rFonts w:cs="Arial"/>
          <w:i/>
          <w:iCs/>
        </w:rPr>
        <w:t>British Journal of Nutrition</w:t>
      </w:r>
      <w:r w:rsidRPr="00F02BD1">
        <w:rPr>
          <w:rFonts w:cs="Arial"/>
        </w:rPr>
        <w:t xml:space="preserve">, 128(1), pp. 154–159. Available at: </w:t>
      </w:r>
      <w:hyperlink r:id="rId14" w:history="1">
        <w:r w:rsidRPr="00F02BD1">
          <w:rPr>
            <w:rStyle w:val="Hyperlink"/>
            <w:rFonts w:cs="Arial"/>
          </w:rPr>
          <w:t>https://doi.org/10.1017/S0007114522001295</w:t>
        </w:r>
      </w:hyperlink>
      <w:r w:rsidRPr="00F02BD1">
        <w:rPr>
          <w:rFonts w:cs="Arial"/>
        </w:rPr>
        <w:t>.</w:t>
      </w:r>
    </w:p>
    <w:p w14:paraId="5B5C7296" w14:textId="77777777" w:rsidR="00B57E42" w:rsidRPr="00F02BD1" w:rsidRDefault="00B57E42" w:rsidP="009A152B">
      <w:pPr>
        <w:spacing w:line="240" w:lineRule="auto"/>
        <w:rPr>
          <w:rFonts w:cs="Arial"/>
        </w:rPr>
      </w:pPr>
      <w:r w:rsidRPr="00F02BD1">
        <w:rPr>
          <w:rFonts w:cs="Arial"/>
          <w:lang w:val="en-US"/>
        </w:rPr>
        <w:t xml:space="preserve">Fabian, M. (2022). </w:t>
      </w:r>
      <w:r w:rsidRPr="00F02BD1">
        <w:rPr>
          <w:rFonts w:cs="Arial"/>
          <w:i/>
          <w:iCs/>
          <w:lang w:val="en-US"/>
        </w:rPr>
        <w:t>A Theory of Subjective Wellbeing</w:t>
      </w:r>
      <w:r w:rsidRPr="00F02BD1">
        <w:rPr>
          <w:rFonts w:cs="Arial"/>
          <w:lang w:val="en-US"/>
        </w:rPr>
        <w:t>. 1st ed. New York: Oxford</w:t>
      </w:r>
      <w:r>
        <w:rPr>
          <w:rFonts w:cs="Arial"/>
        </w:rPr>
        <w:t xml:space="preserve"> </w:t>
      </w:r>
      <w:r w:rsidRPr="00F02BD1">
        <w:rPr>
          <w:rFonts w:cs="Arial"/>
          <w:lang w:val="en-US"/>
        </w:rPr>
        <w:t xml:space="preserve">University Press. Available at: </w:t>
      </w:r>
      <w:hyperlink r:id="rId15" w:history="1">
        <w:r w:rsidRPr="00F02BD1">
          <w:rPr>
            <w:rStyle w:val="Hyperlink"/>
            <w:rFonts w:cs="Arial"/>
            <w:lang w:val="en-US"/>
          </w:rPr>
          <w:t>https://doi.org/10.1093/oso/9780197635261.001.0001</w:t>
        </w:r>
      </w:hyperlink>
      <w:r w:rsidRPr="00F02BD1">
        <w:rPr>
          <w:rFonts w:cs="Arial"/>
          <w:lang w:val="en-US"/>
        </w:rPr>
        <w:t>.</w:t>
      </w:r>
    </w:p>
    <w:p w14:paraId="04A4C4DB" w14:textId="77777777" w:rsidR="00B57E42" w:rsidRPr="009A152B" w:rsidRDefault="00B57E42" w:rsidP="009A152B">
      <w:pPr>
        <w:spacing w:line="240" w:lineRule="auto"/>
        <w:rPr>
          <w:rFonts w:cs="Arial"/>
        </w:rPr>
      </w:pPr>
      <w:r w:rsidRPr="009A152B">
        <w:rPr>
          <w:rFonts w:cs="Arial"/>
        </w:rPr>
        <w:t xml:space="preserve">Fiorilli, G., </w:t>
      </w:r>
      <w:proofErr w:type="spellStart"/>
      <w:r w:rsidRPr="009A152B">
        <w:rPr>
          <w:rFonts w:cs="Arial"/>
        </w:rPr>
        <w:t>Buonsenso</w:t>
      </w:r>
      <w:proofErr w:type="spellEnd"/>
      <w:r w:rsidRPr="009A152B">
        <w:rPr>
          <w:rFonts w:cs="Arial"/>
        </w:rPr>
        <w:t xml:space="preserve">, A., </w:t>
      </w:r>
      <w:proofErr w:type="spellStart"/>
      <w:r w:rsidRPr="009A152B">
        <w:rPr>
          <w:rFonts w:cs="Arial"/>
        </w:rPr>
        <w:t>Centorbi</w:t>
      </w:r>
      <w:proofErr w:type="spellEnd"/>
      <w:r w:rsidRPr="009A152B">
        <w:rPr>
          <w:rFonts w:cs="Arial"/>
        </w:rPr>
        <w:t xml:space="preserve">, M., Calcagno, G., Iuliano, E., Angiolillo, A., Ciccotelli, S., di Cagno, A., Di Costanzo, A. (2022). ‘Long Term Physical Activity Improves Quality of Life Perception, Healthy Nutrition, and Daily Life Management in Elderly: A Randomised Controlled Trial’, </w:t>
      </w:r>
      <w:r w:rsidRPr="009A152B">
        <w:rPr>
          <w:rFonts w:cs="Arial"/>
          <w:i/>
          <w:iCs/>
        </w:rPr>
        <w:t>Nutrients</w:t>
      </w:r>
      <w:r w:rsidRPr="009A152B">
        <w:rPr>
          <w:rFonts w:cs="Arial"/>
        </w:rPr>
        <w:t xml:space="preserve">, 14(12), pp. 2527-. Available at: </w:t>
      </w:r>
      <w:hyperlink r:id="rId16" w:history="1">
        <w:r w:rsidRPr="009A152B">
          <w:rPr>
            <w:rStyle w:val="Hyperlink"/>
            <w:rFonts w:cs="Arial"/>
          </w:rPr>
          <w:t>https://doi.org/10.3390/nu14122527</w:t>
        </w:r>
      </w:hyperlink>
      <w:r w:rsidRPr="009A152B">
        <w:rPr>
          <w:rFonts w:cs="Arial"/>
        </w:rPr>
        <w:t>.</w:t>
      </w:r>
    </w:p>
    <w:p w14:paraId="4020A94D" w14:textId="77777777" w:rsidR="00B57E42" w:rsidRDefault="00B57E42" w:rsidP="009A152B">
      <w:pPr>
        <w:spacing w:line="240" w:lineRule="auto"/>
        <w:rPr>
          <w:rFonts w:cs="Arial"/>
          <w:lang w:val="en-US"/>
        </w:rPr>
      </w:pPr>
      <w:r w:rsidRPr="001F3A58">
        <w:rPr>
          <w:rFonts w:cs="Arial"/>
          <w:lang w:val="en-US"/>
        </w:rPr>
        <w:t xml:space="preserve">Gasana, J. </w:t>
      </w:r>
      <w:r w:rsidRPr="001F3A58">
        <w:rPr>
          <w:rFonts w:cs="Arial"/>
        </w:rPr>
        <w:t>O’Keeffe, T.</w:t>
      </w:r>
      <w:r>
        <w:rPr>
          <w:rFonts w:cs="Arial"/>
        </w:rPr>
        <w:t>,</w:t>
      </w:r>
      <w:r w:rsidRPr="001F3A58">
        <w:rPr>
          <w:rFonts w:cs="Arial"/>
        </w:rPr>
        <w:t xml:space="preserve"> Withers, T. M</w:t>
      </w:r>
      <w:r>
        <w:rPr>
          <w:rFonts w:cs="Arial"/>
        </w:rPr>
        <w:t xml:space="preserve">, </w:t>
      </w:r>
      <w:r w:rsidRPr="001F3A58">
        <w:rPr>
          <w:rFonts w:cs="Arial"/>
        </w:rPr>
        <w:t xml:space="preserve">Greaves, C. </w:t>
      </w:r>
      <w:r>
        <w:rPr>
          <w:rFonts w:cs="Arial"/>
        </w:rPr>
        <w:t>J.</w:t>
      </w:r>
      <w:r w:rsidRPr="001F3A58">
        <w:rPr>
          <w:rFonts w:cs="Arial"/>
          <w:lang w:val="en-US"/>
        </w:rPr>
        <w:t xml:space="preserve"> (2023)</w:t>
      </w:r>
      <w:r>
        <w:rPr>
          <w:rFonts w:cs="Arial"/>
          <w:lang w:val="en-US"/>
        </w:rPr>
        <w:t>.</w:t>
      </w:r>
      <w:r w:rsidRPr="001F3A58">
        <w:rPr>
          <w:rFonts w:cs="Arial"/>
          <w:lang w:val="en-US"/>
        </w:rPr>
        <w:t xml:space="preserve"> ‘A systematic review and meta-analysis of the long-term effects of physical activity interventions on objectively measured outcomes’, </w:t>
      </w:r>
      <w:r w:rsidRPr="001F3A58">
        <w:rPr>
          <w:rFonts w:cs="Arial"/>
          <w:i/>
          <w:iCs/>
          <w:lang w:val="en-US"/>
        </w:rPr>
        <w:t xml:space="preserve">BMC </w:t>
      </w:r>
      <w:r>
        <w:rPr>
          <w:rFonts w:cs="Arial"/>
          <w:i/>
          <w:iCs/>
          <w:lang w:val="en-US"/>
        </w:rPr>
        <w:t>Public Health</w:t>
      </w:r>
      <w:r w:rsidRPr="001F3A58">
        <w:rPr>
          <w:rFonts w:cs="Arial"/>
          <w:lang w:val="en-US"/>
        </w:rPr>
        <w:t xml:space="preserve">, 23(1), pp. 1–1697. Available at: </w:t>
      </w:r>
      <w:hyperlink r:id="rId17" w:history="1">
        <w:r w:rsidRPr="001F3A58">
          <w:rPr>
            <w:rStyle w:val="Hyperlink"/>
            <w:rFonts w:cs="Arial"/>
            <w:lang w:val="en-US"/>
          </w:rPr>
          <w:t>https://doi.org/10.1186/s12889-023-16541-7</w:t>
        </w:r>
      </w:hyperlink>
      <w:r w:rsidRPr="001F3A58">
        <w:rPr>
          <w:rFonts w:cs="Arial"/>
          <w:lang w:val="en-US"/>
        </w:rPr>
        <w:t>.</w:t>
      </w:r>
    </w:p>
    <w:p w14:paraId="400BBB1A" w14:textId="77777777" w:rsidR="00B57E42" w:rsidRPr="00F02BD1" w:rsidRDefault="00B57E42" w:rsidP="009A152B">
      <w:pPr>
        <w:spacing w:line="240" w:lineRule="auto"/>
        <w:rPr>
          <w:rFonts w:cs="Arial"/>
        </w:rPr>
      </w:pPr>
      <w:r w:rsidRPr="00F02BD1">
        <w:rPr>
          <w:rFonts w:cs="Arial"/>
          <w:lang w:val="en-US"/>
        </w:rPr>
        <w:t xml:space="preserve">Gerrand, V. and Rose, M.C. (2023). ‘Wellbeing: From Languishing to Flourishing’, </w:t>
      </w:r>
      <w:r w:rsidRPr="00F02BD1">
        <w:rPr>
          <w:rFonts w:cs="Arial"/>
          <w:i/>
          <w:iCs/>
          <w:lang w:val="en-US"/>
        </w:rPr>
        <w:t>M/C Journal</w:t>
      </w:r>
      <w:r w:rsidRPr="00F02BD1">
        <w:rPr>
          <w:rFonts w:cs="Arial"/>
          <w:lang w:val="en-US"/>
        </w:rPr>
        <w:t xml:space="preserve">, 26(4). Available at: </w:t>
      </w:r>
      <w:hyperlink r:id="rId18" w:history="1">
        <w:r w:rsidRPr="00F02BD1">
          <w:rPr>
            <w:rStyle w:val="Hyperlink"/>
            <w:rFonts w:cs="Arial"/>
            <w:lang w:val="en-US"/>
          </w:rPr>
          <w:t>https://doi.org/10.5204/mcj.3010</w:t>
        </w:r>
      </w:hyperlink>
      <w:r w:rsidRPr="00F02BD1">
        <w:rPr>
          <w:rFonts w:cs="Arial"/>
          <w:lang w:val="en-US"/>
        </w:rPr>
        <w:t>.</w:t>
      </w:r>
    </w:p>
    <w:p w14:paraId="1D159CE7" w14:textId="77777777" w:rsidR="00B57E42" w:rsidRPr="00F02BD1" w:rsidRDefault="00B57E42" w:rsidP="009A152B">
      <w:pPr>
        <w:spacing w:line="240" w:lineRule="auto"/>
        <w:rPr>
          <w:rFonts w:cs="Arial"/>
        </w:rPr>
      </w:pPr>
      <w:r w:rsidRPr="00F02BD1">
        <w:rPr>
          <w:rFonts w:cs="Arial"/>
        </w:rPr>
        <w:t xml:space="preserve">Horovitz, O. (2024). ‘Theory of Food: Unravelling the Lifelong Impact of Childhood Dietary Habits on Adult Food Preferences across Different Diet Groups’, </w:t>
      </w:r>
      <w:r w:rsidRPr="00F02BD1">
        <w:rPr>
          <w:rFonts w:cs="Arial"/>
          <w:i/>
          <w:iCs/>
        </w:rPr>
        <w:t>Nutrients</w:t>
      </w:r>
      <w:r w:rsidRPr="00F02BD1">
        <w:rPr>
          <w:rFonts w:cs="Arial"/>
        </w:rPr>
        <w:t xml:space="preserve">, 16(3), pp. 428-. Available at: </w:t>
      </w:r>
      <w:hyperlink r:id="rId19" w:history="1">
        <w:r w:rsidRPr="00F02BD1">
          <w:rPr>
            <w:rStyle w:val="Hyperlink"/>
            <w:rFonts w:cs="Arial"/>
          </w:rPr>
          <w:t>https://doi.org/10.3390/nu16030428</w:t>
        </w:r>
      </w:hyperlink>
      <w:r w:rsidRPr="00F02BD1">
        <w:rPr>
          <w:rFonts w:cs="Arial"/>
        </w:rPr>
        <w:t>.</w:t>
      </w:r>
    </w:p>
    <w:p w14:paraId="61311631" w14:textId="77777777" w:rsidR="00B57E42" w:rsidRDefault="00B57E42" w:rsidP="00B57E42">
      <w:pPr>
        <w:spacing w:line="240" w:lineRule="auto"/>
        <w:rPr>
          <w:rFonts w:cs="Arial"/>
          <w:lang w:val="en-US"/>
        </w:rPr>
      </w:pPr>
      <w:proofErr w:type="spellStart"/>
      <w:r w:rsidRPr="00B57E42">
        <w:rPr>
          <w:rFonts w:cs="Arial"/>
          <w:lang w:val="en-US"/>
        </w:rPr>
        <w:t>Kamide</w:t>
      </w:r>
      <w:proofErr w:type="spellEnd"/>
      <w:r w:rsidRPr="00B57E42">
        <w:rPr>
          <w:rFonts w:cs="Arial"/>
          <w:lang w:val="en-US"/>
        </w:rPr>
        <w:t xml:space="preserve">, </w:t>
      </w:r>
      <w:proofErr w:type="gramStart"/>
      <w:r w:rsidRPr="00B57E42">
        <w:rPr>
          <w:rFonts w:cs="Arial"/>
          <w:lang w:val="en-US"/>
        </w:rPr>
        <w:t>K.</w:t>
      </w:r>
      <w:proofErr w:type="spellStart"/>
      <w:r w:rsidRPr="00B57E42">
        <w:rPr>
          <w:rFonts w:cs="Arial"/>
        </w:rPr>
        <w:t>Ikebe</w:t>
      </w:r>
      <w:proofErr w:type="spellEnd"/>
      <w:proofErr w:type="gramEnd"/>
      <w:r w:rsidRPr="00B57E42">
        <w:rPr>
          <w:rFonts w:cs="Arial"/>
        </w:rPr>
        <w:t>, K</w:t>
      </w:r>
      <w:r>
        <w:rPr>
          <w:rFonts w:cs="Arial"/>
        </w:rPr>
        <w:t xml:space="preserve">., </w:t>
      </w:r>
      <w:r w:rsidRPr="00B57E42">
        <w:rPr>
          <w:rFonts w:cs="Arial"/>
        </w:rPr>
        <w:t>Masui, Y</w:t>
      </w:r>
      <w:r>
        <w:rPr>
          <w:rFonts w:cs="Arial"/>
        </w:rPr>
        <w:t>.,</w:t>
      </w:r>
      <w:r w:rsidRPr="00B57E42">
        <w:rPr>
          <w:rFonts w:cs="Arial"/>
        </w:rPr>
        <w:t xml:space="preserve"> </w:t>
      </w:r>
      <w:proofErr w:type="spellStart"/>
      <w:r w:rsidRPr="00B57E42">
        <w:rPr>
          <w:rFonts w:cs="Arial"/>
        </w:rPr>
        <w:t>Mameno</w:t>
      </w:r>
      <w:proofErr w:type="spellEnd"/>
      <w:r w:rsidRPr="00B57E42">
        <w:rPr>
          <w:rFonts w:cs="Arial"/>
        </w:rPr>
        <w:t>, T</w:t>
      </w:r>
      <w:r>
        <w:rPr>
          <w:rFonts w:cs="Arial"/>
        </w:rPr>
        <w:t xml:space="preserve">., </w:t>
      </w:r>
      <w:proofErr w:type="spellStart"/>
      <w:r w:rsidRPr="00B57E42">
        <w:rPr>
          <w:rFonts w:cs="Arial"/>
        </w:rPr>
        <w:t>Murotani</w:t>
      </w:r>
      <w:proofErr w:type="spellEnd"/>
      <w:r w:rsidRPr="00B57E42">
        <w:rPr>
          <w:rFonts w:cs="Arial"/>
        </w:rPr>
        <w:t>, Y</w:t>
      </w:r>
      <w:r>
        <w:rPr>
          <w:rFonts w:cs="Arial"/>
        </w:rPr>
        <w:t xml:space="preserve">., </w:t>
      </w:r>
      <w:r w:rsidRPr="00B57E42">
        <w:rPr>
          <w:rFonts w:cs="Arial"/>
        </w:rPr>
        <w:t>Yasumoto, S</w:t>
      </w:r>
      <w:r>
        <w:rPr>
          <w:rFonts w:cs="Arial"/>
        </w:rPr>
        <w:t>.,</w:t>
      </w:r>
      <w:r w:rsidRPr="00B57E42">
        <w:rPr>
          <w:rFonts w:cs="Arial"/>
        </w:rPr>
        <w:t xml:space="preserve"> Yamamoto, </w:t>
      </w:r>
      <w:proofErr w:type="spellStart"/>
      <w:proofErr w:type="gramStart"/>
      <w:r w:rsidRPr="00B57E42">
        <w:rPr>
          <w:rFonts w:cs="Arial"/>
        </w:rPr>
        <w:t>K</w:t>
      </w:r>
      <w:r>
        <w:rPr>
          <w:rFonts w:cs="Arial"/>
        </w:rPr>
        <w:t>.,</w:t>
      </w:r>
      <w:r w:rsidRPr="00B57E42">
        <w:rPr>
          <w:rFonts w:cs="Arial"/>
        </w:rPr>
        <w:t>Hirata</w:t>
      </w:r>
      <w:proofErr w:type="spellEnd"/>
      <w:proofErr w:type="gramEnd"/>
      <w:r w:rsidRPr="00B57E42">
        <w:rPr>
          <w:rFonts w:cs="Arial"/>
        </w:rPr>
        <w:t xml:space="preserve">, </w:t>
      </w:r>
      <w:proofErr w:type="gramStart"/>
      <w:r w:rsidRPr="00B57E42">
        <w:rPr>
          <w:rFonts w:cs="Arial"/>
        </w:rPr>
        <w:t>T</w:t>
      </w:r>
      <w:r>
        <w:rPr>
          <w:rFonts w:cs="Arial"/>
        </w:rPr>
        <w:t>,.</w:t>
      </w:r>
      <w:proofErr w:type="gramEnd"/>
      <w:r w:rsidRPr="00B57E42">
        <w:rPr>
          <w:rFonts w:cs="Arial"/>
          <w:lang w:val="en-US"/>
        </w:rPr>
        <w:t xml:space="preserve"> (2025)</w:t>
      </w:r>
      <w:r>
        <w:rPr>
          <w:rFonts w:cs="Arial"/>
          <w:lang w:val="en-US"/>
        </w:rPr>
        <w:t>.</w:t>
      </w:r>
      <w:r w:rsidRPr="00B57E42">
        <w:rPr>
          <w:rFonts w:cs="Arial"/>
          <w:lang w:val="en-US"/>
        </w:rPr>
        <w:t xml:space="preserve"> ‘Multidimensional insights about healthy </w:t>
      </w:r>
      <w:r>
        <w:rPr>
          <w:rFonts w:cs="Arial"/>
          <w:lang w:val="en-US"/>
        </w:rPr>
        <w:t>ageing</w:t>
      </w:r>
      <w:r w:rsidRPr="00B57E42">
        <w:rPr>
          <w:rFonts w:cs="Arial"/>
          <w:lang w:val="en-US"/>
        </w:rPr>
        <w:t xml:space="preserve"> from the cohort study for community</w:t>
      </w:r>
      <w:r w:rsidRPr="00B57E42">
        <w:rPr>
          <w:rFonts w:ascii="Cambria Math" w:hAnsi="Cambria Math" w:cs="Cambria Math"/>
          <w:lang w:val="en-US"/>
        </w:rPr>
        <w:t>‐</w:t>
      </w:r>
      <w:r w:rsidRPr="00B57E42">
        <w:rPr>
          <w:rFonts w:cs="Arial"/>
          <w:lang w:val="en-US"/>
        </w:rPr>
        <w:t xml:space="preserve">dwelling older adults: The SONIC study’, </w:t>
      </w:r>
      <w:r w:rsidRPr="00B57E42">
        <w:rPr>
          <w:rFonts w:cs="Arial"/>
          <w:i/>
          <w:iCs/>
          <w:lang w:val="en-US"/>
        </w:rPr>
        <w:t>Geriatrics &amp; gerontology international</w:t>
      </w:r>
      <w:r w:rsidRPr="00B57E42">
        <w:rPr>
          <w:rFonts w:cs="Arial"/>
          <w:lang w:val="en-US"/>
        </w:rPr>
        <w:t xml:space="preserve">, 25(3), pp. 346–355. Available at: </w:t>
      </w:r>
      <w:hyperlink r:id="rId20" w:history="1">
        <w:r w:rsidRPr="00B57E42">
          <w:rPr>
            <w:rStyle w:val="Hyperlink"/>
            <w:rFonts w:cs="Arial"/>
            <w:lang w:val="en-US"/>
          </w:rPr>
          <w:t>https://doi.org/10.1111/ggi.70003</w:t>
        </w:r>
      </w:hyperlink>
      <w:r w:rsidRPr="00B57E42">
        <w:rPr>
          <w:rFonts w:cs="Arial"/>
          <w:lang w:val="en-US"/>
        </w:rPr>
        <w:t>.</w:t>
      </w:r>
    </w:p>
    <w:p w14:paraId="332D528F" w14:textId="77777777" w:rsidR="00B57E42" w:rsidRDefault="00B57E42" w:rsidP="009A152B">
      <w:pPr>
        <w:spacing w:line="240" w:lineRule="auto"/>
        <w:rPr>
          <w:rFonts w:cs="Arial"/>
          <w:lang w:val="en-US"/>
        </w:rPr>
      </w:pPr>
      <w:r w:rsidRPr="00F02BD1">
        <w:rPr>
          <w:rFonts w:cs="Arial"/>
          <w:lang w:val="en-US"/>
        </w:rPr>
        <w:t>Lawless, M.T.</w:t>
      </w:r>
      <w:r>
        <w:rPr>
          <w:rFonts w:cs="Arial"/>
        </w:rPr>
        <w:t>,</w:t>
      </w:r>
      <w:r w:rsidRPr="000B1313">
        <w:rPr>
          <w:rFonts w:cs="Arial"/>
        </w:rPr>
        <w:t xml:space="preserve"> Tieu, M</w:t>
      </w:r>
      <w:r>
        <w:rPr>
          <w:rFonts w:cs="Arial"/>
        </w:rPr>
        <w:t xml:space="preserve">., </w:t>
      </w:r>
      <w:r w:rsidRPr="000B1313">
        <w:rPr>
          <w:rFonts w:cs="Arial"/>
        </w:rPr>
        <w:t>Golley, R</w:t>
      </w:r>
      <w:r>
        <w:rPr>
          <w:rFonts w:cs="Arial"/>
        </w:rPr>
        <w:t>.,</w:t>
      </w:r>
      <w:r w:rsidRPr="000B1313">
        <w:rPr>
          <w:rFonts w:cs="Arial"/>
        </w:rPr>
        <w:t xml:space="preserve"> Kitson, A</w:t>
      </w:r>
      <w:r>
        <w:rPr>
          <w:rFonts w:cs="Arial"/>
        </w:rPr>
        <w:t>.</w:t>
      </w:r>
      <w:r w:rsidRPr="00F02BD1">
        <w:rPr>
          <w:rFonts w:cs="Arial"/>
          <w:lang w:val="en-US"/>
        </w:rPr>
        <w:t xml:space="preserve"> (2024)</w:t>
      </w:r>
      <w:r>
        <w:rPr>
          <w:rFonts w:cs="Arial"/>
          <w:lang w:val="en-US"/>
        </w:rPr>
        <w:t>.</w:t>
      </w:r>
      <w:r w:rsidRPr="00F02BD1">
        <w:rPr>
          <w:rFonts w:cs="Arial"/>
          <w:lang w:val="en-US"/>
        </w:rPr>
        <w:t xml:space="preserve"> </w:t>
      </w:r>
      <w:r w:rsidRPr="00F02BD1">
        <w:rPr>
          <w:rFonts w:cs="Arial"/>
          <w:i/>
          <w:iCs/>
          <w:lang w:val="en-US"/>
        </w:rPr>
        <w:t>‘How and where does “care” fit within seminal life</w:t>
      </w:r>
      <w:r w:rsidRPr="00F02BD1">
        <w:rPr>
          <w:rFonts w:ascii="Cambria Math" w:hAnsi="Cambria Math" w:cs="Cambria Math"/>
          <w:i/>
          <w:iCs/>
          <w:lang w:val="en-US"/>
        </w:rPr>
        <w:t>‐</w:t>
      </w:r>
      <w:r w:rsidRPr="00F02BD1">
        <w:rPr>
          <w:rFonts w:cs="Arial"/>
          <w:i/>
          <w:iCs/>
          <w:lang w:val="en-US"/>
        </w:rPr>
        <w:t>course approaches? A narrative review and critical analysis</w:t>
      </w:r>
      <w:r w:rsidRPr="006E02A9">
        <w:rPr>
          <w:rFonts w:cs="Arial"/>
          <w:i/>
          <w:iCs/>
          <w:lang w:val="en-US"/>
        </w:rPr>
        <w:t>, Journal of Advanced Nursing</w:t>
      </w:r>
      <w:r w:rsidRPr="00F02BD1">
        <w:rPr>
          <w:rFonts w:cs="Arial"/>
          <w:lang w:val="en-US"/>
        </w:rPr>
        <w:t xml:space="preserve">, 80(3), pp. 871–883. Available at: </w:t>
      </w:r>
      <w:hyperlink r:id="rId21" w:history="1">
        <w:r w:rsidRPr="00F02BD1">
          <w:rPr>
            <w:rStyle w:val="Hyperlink"/>
            <w:rFonts w:cs="Arial"/>
            <w:lang w:val="en-US"/>
          </w:rPr>
          <w:t>https://doi.org/10.1111/jan.15852</w:t>
        </w:r>
      </w:hyperlink>
      <w:r w:rsidRPr="00F02BD1">
        <w:rPr>
          <w:rFonts w:cs="Arial"/>
          <w:lang w:val="en-US"/>
        </w:rPr>
        <w:t>.</w:t>
      </w:r>
    </w:p>
    <w:p w14:paraId="6CC4FBFB" w14:textId="77777777" w:rsidR="00B57E42" w:rsidRDefault="00B57E42" w:rsidP="00580D27">
      <w:pPr>
        <w:spacing w:line="240" w:lineRule="auto"/>
        <w:rPr>
          <w:rFonts w:cs="Arial"/>
          <w:lang w:val="en-US"/>
        </w:rPr>
      </w:pPr>
      <w:r w:rsidRPr="00580D27">
        <w:rPr>
          <w:rFonts w:cs="Arial"/>
          <w:lang w:val="en-US"/>
        </w:rPr>
        <w:t xml:space="preserve">Liu, </w:t>
      </w:r>
      <w:r w:rsidRPr="00580D27">
        <w:rPr>
          <w:rFonts w:cs="Arial"/>
          <w:lang w:val="en-US"/>
        </w:rPr>
        <w:t>Y.</w:t>
      </w:r>
      <w:r>
        <w:rPr>
          <w:rFonts w:cs="Arial"/>
          <w:lang w:val="en-US"/>
        </w:rPr>
        <w:t>,</w:t>
      </w:r>
      <w:r w:rsidRPr="00580D27">
        <w:rPr>
          <w:rFonts w:cs="Arial"/>
        </w:rPr>
        <w:t xml:space="preserve"> Cai</w:t>
      </w:r>
      <w:r w:rsidRPr="00580D27">
        <w:rPr>
          <w:rFonts w:cs="Arial"/>
        </w:rPr>
        <w:t>, W</w:t>
      </w:r>
      <w:r>
        <w:rPr>
          <w:rFonts w:cs="Arial"/>
        </w:rPr>
        <w:t>.,</w:t>
      </w:r>
      <w:r w:rsidRPr="00580D27">
        <w:rPr>
          <w:rFonts w:cs="Arial"/>
        </w:rPr>
        <w:t xml:space="preserve"> Wittenberg, E</w:t>
      </w:r>
      <w:r>
        <w:rPr>
          <w:rFonts w:cs="Arial"/>
        </w:rPr>
        <w:t>.,</w:t>
      </w:r>
      <w:r w:rsidRPr="00580D27">
        <w:rPr>
          <w:rFonts w:cs="Arial"/>
        </w:rPr>
        <w:t xml:space="preserve"> Kim, D</w:t>
      </w:r>
      <w:r>
        <w:rPr>
          <w:rFonts w:cs="Arial"/>
        </w:rPr>
        <w:t>.</w:t>
      </w:r>
      <w:r w:rsidRPr="00580D27">
        <w:rPr>
          <w:rFonts w:cs="Arial"/>
        </w:rPr>
        <w:t>H</w:t>
      </w:r>
      <w:r>
        <w:rPr>
          <w:rFonts w:cs="Arial"/>
        </w:rPr>
        <w:t>.,</w:t>
      </w:r>
      <w:r w:rsidRPr="00580D27">
        <w:rPr>
          <w:rFonts w:cs="Arial"/>
        </w:rPr>
        <w:t xml:space="preserve"> Bloom, </w:t>
      </w:r>
      <w:proofErr w:type="spellStart"/>
      <w:proofErr w:type="gramStart"/>
      <w:r w:rsidRPr="00580D27">
        <w:rPr>
          <w:rFonts w:cs="Arial"/>
        </w:rPr>
        <w:t>D</w:t>
      </w:r>
      <w:r>
        <w:rPr>
          <w:rFonts w:cs="Arial"/>
        </w:rPr>
        <w:t>.</w:t>
      </w:r>
      <w:r w:rsidRPr="00580D27">
        <w:rPr>
          <w:rFonts w:cs="Arial"/>
        </w:rPr>
        <w:t>E</w:t>
      </w:r>
      <w:r>
        <w:rPr>
          <w:rFonts w:cs="Arial"/>
        </w:rPr>
        <w:t>.,</w:t>
      </w:r>
      <w:r w:rsidRPr="00580D27">
        <w:rPr>
          <w:rFonts w:cs="Arial"/>
        </w:rPr>
        <w:t>Kuczenski</w:t>
      </w:r>
      <w:proofErr w:type="spellEnd"/>
      <w:proofErr w:type="gramEnd"/>
      <w:r w:rsidRPr="00580D27">
        <w:rPr>
          <w:rFonts w:cs="Arial"/>
        </w:rPr>
        <w:t>, L</w:t>
      </w:r>
      <w:r>
        <w:rPr>
          <w:rFonts w:cs="Arial"/>
        </w:rPr>
        <w:t>.</w:t>
      </w:r>
      <w:r w:rsidRPr="00580D27">
        <w:rPr>
          <w:rFonts w:cs="Arial"/>
        </w:rPr>
        <w:t xml:space="preserve"> D</w:t>
      </w:r>
      <w:r>
        <w:rPr>
          <w:rFonts w:cs="Arial"/>
        </w:rPr>
        <w:t>.,</w:t>
      </w:r>
      <w:r w:rsidRPr="00580D27">
        <w:rPr>
          <w:rFonts w:cs="Arial"/>
        </w:rPr>
        <w:t xml:space="preserve"> Seligman, B</w:t>
      </w:r>
      <w:r>
        <w:rPr>
          <w:rFonts w:cs="Arial"/>
        </w:rPr>
        <w:t>.</w:t>
      </w:r>
      <w:r w:rsidRPr="00580D27">
        <w:rPr>
          <w:rFonts w:cs="Arial"/>
        </w:rPr>
        <w:t>J</w:t>
      </w:r>
      <w:r w:rsidRPr="00580D27">
        <w:rPr>
          <w:rFonts w:cs="Arial"/>
          <w:lang w:val="en-US"/>
        </w:rPr>
        <w:t xml:space="preserve"> (2025)</w:t>
      </w:r>
      <w:r>
        <w:rPr>
          <w:rFonts w:cs="Arial"/>
          <w:lang w:val="en-US"/>
        </w:rPr>
        <w:t>.</w:t>
      </w:r>
      <w:r w:rsidRPr="00580D27">
        <w:rPr>
          <w:rFonts w:cs="Arial"/>
          <w:lang w:val="en-US"/>
        </w:rPr>
        <w:t xml:space="preserve"> ‘The Relationships Between Subjective Well-Being and Frailty: Staying </w:t>
      </w:r>
      <w:proofErr w:type="gramStart"/>
      <w:r w:rsidRPr="00580D27">
        <w:rPr>
          <w:rFonts w:cs="Arial"/>
          <w:lang w:val="en-US"/>
        </w:rPr>
        <w:t>With</w:t>
      </w:r>
      <w:proofErr w:type="gramEnd"/>
      <w:r w:rsidRPr="00580D27">
        <w:rPr>
          <w:rFonts w:cs="Arial"/>
          <w:lang w:val="en-US"/>
        </w:rPr>
        <w:t xml:space="preserve"> a Positive Mind, Stepping Away </w:t>
      </w:r>
      <w:r w:rsidRPr="00580D27">
        <w:rPr>
          <w:rFonts w:cs="Arial"/>
          <w:lang w:val="en-US"/>
        </w:rPr>
        <w:t>from</w:t>
      </w:r>
      <w:r w:rsidRPr="00580D27">
        <w:rPr>
          <w:rFonts w:cs="Arial"/>
          <w:lang w:val="en-US"/>
        </w:rPr>
        <w:t xml:space="preserve"> Accelerated </w:t>
      </w:r>
      <w:r>
        <w:rPr>
          <w:rFonts w:cs="Arial"/>
          <w:lang w:val="en-US"/>
        </w:rPr>
        <w:t>Ageing</w:t>
      </w:r>
      <w:r w:rsidRPr="00580D27">
        <w:rPr>
          <w:rFonts w:cs="Arial"/>
          <w:lang w:val="en-US"/>
        </w:rPr>
        <w:t xml:space="preserve">’, </w:t>
      </w:r>
      <w:r w:rsidRPr="00580D27">
        <w:rPr>
          <w:rFonts w:cs="Arial"/>
          <w:i/>
          <w:iCs/>
          <w:lang w:val="en-US"/>
        </w:rPr>
        <w:t xml:space="preserve">The </w:t>
      </w:r>
      <w:r w:rsidRPr="00580D27">
        <w:rPr>
          <w:rFonts w:cs="Arial"/>
          <w:i/>
          <w:iCs/>
          <w:lang w:val="en-US"/>
        </w:rPr>
        <w:t>Journal of Gerontology</w:t>
      </w:r>
      <w:r w:rsidRPr="00580D27">
        <w:rPr>
          <w:rFonts w:cs="Arial"/>
          <w:i/>
          <w:iCs/>
          <w:lang w:val="en-US"/>
        </w:rPr>
        <w:t xml:space="preserve">. </w:t>
      </w:r>
      <w:r w:rsidRPr="00580D27">
        <w:rPr>
          <w:rFonts w:cs="Arial"/>
          <w:i/>
          <w:iCs/>
          <w:lang w:val="en-US"/>
        </w:rPr>
        <w:lastRenderedPageBreak/>
        <w:t>Series A, Biological sciences and medical sciences, 80(4). Available</w:t>
      </w:r>
      <w:r w:rsidRPr="00580D27">
        <w:rPr>
          <w:rFonts w:cs="Arial"/>
          <w:lang w:val="en-US"/>
        </w:rPr>
        <w:t xml:space="preserve"> at: </w:t>
      </w:r>
      <w:hyperlink r:id="rId22" w:history="1">
        <w:r w:rsidRPr="00580D27">
          <w:rPr>
            <w:rStyle w:val="Hyperlink"/>
            <w:rFonts w:cs="Arial"/>
            <w:lang w:val="en-US"/>
          </w:rPr>
          <w:t>https://doi.org/10.1093/gerona/glaf001</w:t>
        </w:r>
      </w:hyperlink>
      <w:r w:rsidRPr="00580D27">
        <w:rPr>
          <w:rFonts w:cs="Arial"/>
          <w:lang w:val="en-US"/>
        </w:rPr>
        <w:t>.</w:t>
      </w:r>
    </w:p>
    <w:p w14:paraId="5C03C9B0" w14:textId="77777777" w:rsidR="00B57E42" w:rsidRDefault="00B57E42" w:rsidP="009A152B">
      <w:pPr>
        <w:spacing w:line="240" w:lineRule="auto"/>
        <w:rPr>
          <w:rFonts w:cs="Arial"/>
          <w:lang w:val="en-US"/>
        </w:rPr>
      </w:pPr>
      <w:r w:rsidRPr="001F3A58">
        <w:rPr>
          <w:rFonts w:cs="Arial"/>
          <w:lang w:val="en-US"/>
        </w:rPr>
        <w:t xml:space="preserve">Lopes, D.G. </w:t>
      </w:r>
      <w:r w:rsidRPr="001F3A58">
        <w:rPr>
          <w:rFonts w:cs="Arial"/>
        </w:rPr>
        <w:t>Costa, D</w:t>
      </w:r>
      <w:r>
        <w:rPr>
          <w:rFonts w:cs="Arial"/>
        </w:rPr>
        <w:t xml:space="preserve">., </w:t>
      </w:r>
      <w:r w:rsidRPr="001F3A58">
        <w:rPr>
          <w:rFonts w:cs="Arial"/>
        </w:rPr>
        <w:t>Cruz, E B.</w:t>
      </w:r>
      <w:r>
        <w:rPr>
          <w:rFonts w:cs="Arial"/>
        </w:rPr>
        <w:t xml:space="preserve">, </w:t>
      </w:r>
      <w:r w:rsidRPr="001F3A58">
        <w:rPr>
          <w:rFonts w:cs="Arial"/>
        </w:rPr>
        <w:t>Mendonça, N</w:t>
      </w:r>
      <w:r>
        <w:rPr>
          <w:rFonts w:cs="Arial"/>
        </w:rPr>
        <w:t>.,</w:t>
      </w:r>
      <w:r w:rsidRPr="001F3A58">
        <w:rPr>
          <w:rFonts w:cs="Arial"/>
        </w:rPr>
        <w:t xml:space="preserve"> Henriques, A R</w:t>
      </w:r>
      <w:r>
        <w:rPr>
          <w:rFonts w:cs="Arial"/>
        </w:rPr>
        <w:t xml:space="preserve">., </w:t>
      </w:r>
      <w:r w:rsidRPr="001F3A58">
        <w:rPr>
          <w:rFonts w:cs="Arial"/>
        </w:rPr>
        <w:t>Branco, J</w:t>
      </w:r>
      <w:r>
        <w:rPr>
          <w:rFonts w:cs="Arial"/>
        </w:rPr>
        <w:t>.,</w:t>
      </w:r>
      <w:r w:rsidRPr="001F3A58">
        <w:rPr>
          <w:rFonts w:cs="Arial"/>
        </w:rPr>
        <w:t xml:space="preserve"> Canhão, Helen</w:t>
      </w:r>
      <w:r>
        <w:rPr>
          <w:rFonts w:cs="Arial"/>
        </w:rPr>
        <w:t>a.,</w:t>
      </w:r>
      <w:r w:rsidRPr="001F3A58">
        <w:rPr>
          <w:rFonts w:cs="Arial"/>
        </w:rPr>
        <w:t xml:space="preserve"> Rodrigues, A M.</w:t>
      </w:r>
      <w:r w:rsidRPr="001F3A58">
        <w:rPr>
          <w:rFonts w:cs="Arial"/>
          <w:lang w:val="en-US"/>
        </w:rPr>
        <w:t xml:space="preserve"> (2023) ‘Association of physical activity with physical function and quality of life in people with hip and knee osteoarthritis: longitudinal analysis of a population-based cohort’, </w:t>
      </w:r>
      <w:r w:rsidRPr="001F3A58">
        <w:rPr>
          <w:rFonts w:cs="Arial"/>
          <w:i/>
          <w:iCs/>
          <w:lang w:val="en-US"/>
        </w:rPr>
        <w:t>Arthritis research &amp; therapy</w:t>
      </w:r>
      <w:r w:rsidRPr="001F3A58">
        <w:rPr>
          <w:rFonts w:cs="Arial"/>
          <w:lang w:val="en-US"/>
        </w:rPr>
        <w:t xml:space="preserve">, 25(1), pp. 14–14. Available at: </w:t>
      </w:r>
      <w:hyperlink r:id="rId23" w:history="1">
        <w:r w:rsidRPr="001F3A58">
          <w:rPr>
            <w:rStyle w:val="Hyperlink"/>
            <w:rFonts w:cs="Arial"/>
            <w:lang w:val="en-US"/>
          </w:rPr>
          <w:t>https://doi.org/10.1186/s13075-023-02996-x</w:t>
        </w:r>
      </w:hyperlink>
      <w:r w:rsidRPr="001F3A58">
        <w:rPr>
          <w:rFonts w:cs="Arial"/>
          <w:lang w:val="en-US"/>
        </w:rPr>
        <w:t>.</w:t>
      </w:r>
    </w:p>
    <w:p w14:paraId="185D485F" w14:textId="77777777" w:rsidR="00B57E42" w:rsidRPr="00F02BD1" w:rsidRDefault="00B57E42" w:rsidP="009A152B">
      <w:pPr>
        <w:spacing w:line="240" w:lineRule="auto"/>
        <w:rPr>
          <w:rFonts w:cs="Arial"/>
        </w:rPr>
      </w:pPr>
      <w:r w:rsidRPr="00F02BD1">
        <w:rPr>
          <w:rFonts w:cs="Arial"/>
        </w:rPr>
        <w:t xml:space="preserve">Luque, V., </w:t>
      </w:r>
      <w:proofErr w:type="spellStart"/>
      <w:r w:rsidRPr="00F02BD1">
        <w:rPr>
          <w:rFonts w:cs="Arial"/>
        </w:rPr>
        <w:t>Mucarzel</w:t>
      </w:r>
      <w:proofErr w:type="spellEnd"/>
      <w:r w:rsidRPr="00F02BD1">
        <w:rPr>
          <w:rFonts w:cs="Arial"/>
        </w:rPr>
        <w:t xml:space="preserve">, F., </w:t>
      </w:r>
      <w:proofErr w:type="spellStart"/>
      <w:r w:rsidRPr="00F02BD1">
        <w:rPr>
          <w:rFonts w:cs="Arial"/>
        </w:rPr>
        <w:t>Hertogs</w:t>
      </w:r>
      <w:proofErr w:type="spellEnd"/>
      <w:r w:rsidRPr="00F02BD1">
        <w:rPr>
          <w:rFonts w:cs="Arial"/>
        </w:rPr>
        <w:t>, A., Seed, P. T., Flynn, A. C., Poston, L., Dalrymple, K. V</w:t>
      </w:r>
      <w:r w:rsidRPr="00F02BD1">
        <w:rPr>
          <w:rFonts w:cs="Arial"/>
          <w:i/>
          <w:iCs/>
        </w:rPr>
        <w:t>.</w:t>
      </w:r>
      <w:r w:rsidRPr="00F02BD1">
        <w:rPr>
          <w:rFonts w:cs="Arial"/>
        </w:rPr>
        <w:t xml:space="preserve"> (2024). ‘Associations between maternal diet, family eating habits and preschool children’s dietary patterns: insights from the UPBEAT trial’, </w:t>
      </w:r>
      <w:r w:rsidRPr="00F02BD1">
        <w:rPr>
          <w:rFonts w:cs="Arial"/>
          <w:i/>
          <w:iCs/>
        </w:rPr>
        <w:t>Nutrition journal</w:t>
      </w:r>
      <w:r w:rsidRPr="00F02BD1">
        <w:rPr>
          <w:rFonts w:cs="Arial"/>
        </w:rPr>
        <w:t xml:space="preserve">, 23(1), pp. 115–115. Available at: </w:t>
      </w:r>
      <w:hyperlink r:id="rId24" w:history="1">
        <w:r w:rsidRPr="00F02BD1">
          <w:rPr>
            <w:rStyle w:val="Hyperlink"/>
            <w:rFonts w:cs="Arial"/>
          </w:rPr>
          <w:t>https://doi.org/10.1186/s12937-024-01023-2</w:t>
        </w:r>
      </w:hyperlink>
      <w:r w:rsidRPr="00F02BD1">
        <w:rPr>
          <w:rFonts w:cs="Arial"/>
        </w:rPr>
        <w:t>.</w:t>
      </w:r>
    </w:p>
    <w:p w14:paraId="4DAE1969" w14:textId="77777777" w:rsidR="00B57E42" w:rsidRPr="00F02BD1" w:rsidRDefault="00B57E42" w:rsidP="009A152B">
      <w:pPr>
        <w:spacing w:line="240" w:lineRule="auto"/>
        <w:rPr>
          <w:rFonts w:cs="Arial"/>
        </w:rPr>
      </w:pPr>
      <w:r w:rsidRPr="00F02BD1">
        <w:rPr>
          <w:rFonts w:cs="Arial"/>
        </w:rPr>
        <w:t xml:space="preserve">Mishra, G., Hardy, R. &amp; Kuh, D. (2023). </w:t>
      </w:r>
      <w:r w:rsidRPr="00F02BD1">
        <w:rPr>
          <w:rFonts w:cs="Arial"/>
          <w:i/>
          <w:iCs/>
        </w:rPr>
        <w:t>A Life Course Approach to Women’s Health</w:t>
      </w:r>
      <w:r>
        <w:rPr>
          <w:rFonts w:cs="Arial"/>
        </w:rPr>
        <w:t>, Second Edition</w:t>
      </w:r>
      <w:r w:rsidRPr="00F02BD1">
        <w:rPr>
          <w:rFonts w:cs="Arial"/>
        </w:rPr>
        <w:t xml:space="preserve">. Oxford: Oxford University Press, Incorporated. Available at: </w:t>
      </w:r>
      <w:hyperlink r:id="rId25" w:history="1">
        <w:r w:rsidRPr="00F02BD1">
          <w:rPr>
            <w:rStyle w:val="Hyperlink"/>
            <w:rFonts w:cs="Arial"/>
          </w:rPr>
          <w:t>https://doi.org/10.1093/oso/9780192864642.001.0001</w:t>
        </w:r>
      </w:hyperlink>
      <w:r w:rsidRPr="00F02BD1">
        <w:rPr>
          <w:rFonts w:cs="Arial"/>
        </w:rPr>
        <w:t>.</w:t>
      </w:r>
    </w:p>
    <w:p w14:paraId="2B11B420" w14:textId="77777777" w:rsidR="00B57E42" w:rsidRDefault="00B57E42" w:rsidP="00580D27">
      <w:pPr>
        <w:spacing w:line="240" w:lineRule="auto"/>
        <w:rPr>
          <w:rFonts w:cs="Arial"/>
          <w:lang w:val="en-US"/>
        </w:rPr>
      </w:pPr>
      <w:r w:rsidRPr="00580D27">
        <w:rPr>
          <w:rFonts w:cs="Arial"/>
          <w:lang w:val="en-US"/>
        </w:rPr>
        <w:t xml:space="preserve">Piotrowicz, K. </w:t>
      </w:r>
      <w:r w:rsidRPr="00580D27">
        <w:rPr>
          <w:rFonts w:cs="Arial"/>
        </w:rPr>
        <w:t xml:space="preserve">Piotrowicz, </w:t>
      </w:r>
      <w:proofErr w:type="spellStart"/>
      <w:proofErr w:type="gramStart"/>
      <w:r w:rsidRPr="00580D27">
        <w:rPr>
          <w:rFonts w:cs="Arial"/>
        </w:rPr>
        <w:t>H</w:t>
      </w:r>
      <w:r>
        <w:rPr>
          <w:rFonts w:cs="Arial"/>
        </w:rPr>
        <w:t>.,</w:t>
      </w:r>
      <w:r w:rsidRPr="00580D27">
        <w:rPr>
          <w:rFonts w:cs="Arial"/>
        </w:rPr>
        <w:t>Kurzeja</w:t>
      </w:r>
      <w:proofErr w:type="spellEnd"/>
      <w:proofErr w:type="gramEnd"/>
      <w:r w:rsidRPr="00580D27">
        <w:rPr>
          <w:rFonts w:cs="Arial"/>
        </w:rPr>
        <w:t xml:space="preserve">, </w:t>
      </w:r>
      <w:r w:rsidRPr="00580D27">
        <w:rPr>
          <w:rFonts w:cs="Arial"/>
        </w:rPr>
        <w:t>J</w:t>
      </w:r>
      <w:r>
        <w:rPr>
          <w:rFonts w:cs="Arial"/>
        </w:rPr>
        <w:t>.,</w:t>
      </w:r>
      <w:r w:rsidRPr="00580D27">
        <w:rPr>
          <w:rFonts w:cs="Arial"/>
        </w:rPr>
        <w:t xml:space="preserve"> </w:t>
      </w:r>
      <w:proofErr w:type="spellStart"/>
      <w:r w:rsidRPr="00580D27">
        <w:rPr>
          <w:rFonts w:cs="Arial"/>
        </w:rPr>
        <w:t>Bajkacz</w:t>
      </w:r>
      <w:proofErr w:type="spellEnd"/>
      <w:r w:rsidRPr="00580D27">
        <w:rPr>
          <w:rFonts w:cs="Arial"/>
        </w:rPr>
        <w:t>, A</w:t>
      </w:r>
      <w:r>
        <w:rPr>
          <w:rFonts w:cs="Arial"/>
        </w:rPr>
        <w:t>.,</w:t>
      </w:r>
      <w:r w:rsidRPr="00580D27">
        <w:rPr>
          <w:rFonts w:cs="Arial"/>
        </w:rPr>
        <w:t xml:space="preserve"> </w:t>
      </w:r>
      <w:proofErr w:type="spellStart"/>
      <w:r w:rsidRPr="00580D27">
        <w:rPr>
          <w:rFonts w:cs="Arial"/>
        </w:rPr>
        <w:t>Kraśnik</w:t>
      </w:r>
      <w:proofErr w:type="spellEnd"/>
      <w:r w:rsidRPr="00580D27">
        <w:rPr>
          <w:rFonts w:cs="Arial"/>
        </w:rPr>
        <w:t xml:space="preserve">, </w:t>
      </w:r>
      <w:proofErr w:type="spellStart"/>
      <w:proofErr w:type="gramStart"/>
      <w:r w:rsidRPr="00580D27">
        <w:rPr>
          <w:rFonts w:cs="Arial"/>
        </w:rPr>
        <w:t>W</w:t>
      </w:r>
      <w:r>
        <w:rPr>
          <w:rFonts w:cs="Arial"/>
        </w:rPr>
        <w:t>.,</w:t>
      </w:r>
      <w:r w:rsidRPr="00580D27">
        <w:rPr>
          <w:rFonts w:cs="Arial"/>
        </w:rPr>
        <w:t>Jankowska</w:t>
      </w:r>
      <w:proofErr w:type="spellEnd"/>
      <w:proofErr w:type="gramEnd"/>
      <w:r w:rsidRPr="00580D27">
        <w:rPr>
          <w:rFonts w:cs="Arial"/>
        </w:rPr>
        <w:t xml:space="preserve">, </w:t>
      </w:r>
      <w:r w:rsidRPr="00580D27">
        <w:rPr>
          <w:rFonts w:cs="Arial"/>
        </w:rPr>
        <w:t>O</w:t>
      </w:r>
      <w:r>
        <w:rPr>
          <w:rFonts w:cs="Arial"/>
        </w:rPr>
        <w:t>.,</w:t>
      </w:r>
      <w:r w:rsidRPr="00580D27">
        <w:rPr>
          <w:rFonts w:cs="Arial"/>
        </w:rPr>
        <w:t xml:space="preserve"> Rogala</w:t>
      </w:r>
      <w:r w:rsidRPr="00580D27">
        <w:rPr>
          <w:rFonts w:cs="Arial"/>
        </w:rPr>
        <w:t xml:space="preserve">, </w:t>
      </w:r>
      <w:r w:rsidRPr="00580D27">
        <w:rPr>
          <w:rFonts w:cs="Arial"/>
        </w:rPr>
        <w:t>A</w:t>
      </w:r>
      <w:r>
        <w:rPr>
          <w:rFonts w:cs="Arial"/>
        </w:rPr>
        <w:t>.,</w:t>
      </w:r>
      <w:r w:rsidRPr="00580D27">
        <w:rPr>
          <w:rFonts w:cs="Arial"/>
        </w:rPr>
        <w:t xml:space="preserve"> </w:t>
      </w:r>
      <w:proofErr w:type="spellStart"/>
      <w:r w:rsidRPr="00580D27">
        <w:rPr>
          <w:rFonts w:cs="Arial"/>
        </w:rPr>
        <w:t>Osmólska</w:t>
      </w:r>
      <w:proofErr w:type="spellEnd"/>
      <w:r w:rsidRPr="00580D27">
        <w:rPr>
          <w:rFonts w:cs="Arial"/>
        </w:rPr>
        <w:t xml:space="preserve">, </w:t>
      </w:r>
      <w:r w:rsidRPr="00580D27">
        <w:rPr>
          <w:rFonts w:cs="Arial"/>
        </w:rPr>
        <w:t>J</w:t>
      </w:r>
      <w:r>
        <w:rPr>
          <w:rFonts w:cs="Arial"/>
        </w:rPr>
        <w:t>.,</w:t>
      </w:r>
      <w:r w:rsidRPr="00580D27">
        <w:rPr>
          <w:rFonts w:cs="Arial"/>
          <w:lang w:val="en-US"/>
        </w:rPr>
        <w:t xml:space="preserve"> (</w:t>
      </w:r>
      <w:r w:rsidRPr="00580D27">
        <w:rPr>
          <w:rFonts w:cs="Arial"/>
          <w:lang w:val="en-US"/>
        </w:rPr>
        <w:t>2025)</w:t>
      </w:r>
      <w:r>
        <w:rPr>
          <w:rFonts w:cs="Arial"/>
          <w:lang w:val="en-US"/>
        </w:rPr>
        <w:t>.</w:t>
      </w:r>
      <w:r w:rsidRPr="00580D27">
        <w:rPr>
          <w:rFonts w:cs="Arial"/>
          <w:lang w:val="en-US"/>
        </w:rPr>
        <w:t xml:space="preserve"> ‘</w:t>
      </w:r>
      <w:r w:rsidRPr="00580D27">
        <w:rPr>
          <w:rFonts w:cs="Arial"/>
          <w:i/>
          <w:iCs/>
          <w:lang w:val="en-US"/>
        </w:rPr>
        <w:t xml:space="preserve">Longevity Recipe - Lifestyle Influences on the Quantity and Quality of Life’, Journal of </w:t>
      </w:r>
      <w:r w:rsidRPr="00580D27">
        <w:rPr>
          <w:rFonts w:cs="Arial"/>
          <w:i/>
          <w:iCs/>
          <w:lang w:val="en-US"/>
        </w:rPr>
        <w:t>Education, Health and Sport</w:t>
      </w:r>
      <w:r w:rsidRPr="00580D27">
        <w:rPr>
          <w:rFonts w:cs="Arial"/>
          <w:lang w:val="en-US"/>
        </w:rPr>
        <w:t xml:space="preserve">, 77, pp. 56972-. Available at: </w:t>
      </w:r>
      <w:hyperlink r:id="rId26" w:history="1">
        <w:r w:rsidRPr="00580D27">
          <w:rPr>
            <w:rStyle w:val="Hyperlink"/>
            <w:rFonts w:cs="Arial"/>
            <w:lang w:val="en-US"/>
          </w:rPr>
          <w:t>https://doi.org/10.12775/JEHS.2025.77.56972</w:t>
        </w:r>
      </w:hyperlink>
      <w:r w:rsidRPr="00580D27">
        <w:rPr>
          <w:rFonts w:cs="Arial"/>
          <w:lang w:val="en-US"/>
        </w:rPr>
        <w:t>.</w:t>
      </w:r>
    </w:p>
    <w:p w14:paraId="61380770" w14:textId="77777777" w:rsidR="00B57E42" w:rsidRDefault="00B57E42" w:rsidP="009A152B">
      <w:pPr>
        <w:spacing w:line="240" w:lineRule="auto"/>
        <w:rPr>
          <w:rFonts w:cs="Arial"/>
          <w:lang w:val="en-US"/>
        </w:rPr>
      </w:pPr>
      <w:r w:rsidRPr="000B1313">
        <w:rPr>
          <w:rFonts w:cs="Arial"/>
          <w:lang w:val="en-US"/>
        </w:rPr>
        <w:t xml:space="preserve">Rauer, A. and Proulx, C.M. (2020) ‘A Social Perspective on Couples Across the Lifespan: Challenges and Opportunities’, </w:t>
      </w:r>
      <w:r w:rsidRPr="000B1313">
        <w:rPr>
          <w:rFonts w:cs="Arial"/>
          <w:i/>
          <w:iCs/>
          <w:lang w:val="en-US"/>
        </w:rPr>
        <w:t>Research in human development</w:t>
      </w:r>
      <w:r w:rsidRPr="000B1313">
        <w:rPr>
          <w:rFonts w:cs="Arial"/>
          <w:lang w:val="en-US"/>
        </w:rPr>
        <w:t xml:space="preserve">, 17(4), pp. 191–194. Available at: </w:t>
      </w:r>
      <w:hyperlink r:id="rId27" w:history="1">
        <w:r w:rsidRPr="000B1313">
          <w:rPr>
            <w:rStyle w:val="Hyperlink"/>
            <w:rFonts w:cs="Arial"/>
            <w:lang w:val="en-US"/>
          </w:rPr>
          <w:t>https://doi.org/10.1080/15427609.2021.1878000</w:t>
        </w:r>
      </w:hyperlink>
      <w:r w:rsidRPr="000B1313">
        <w:rPr>
          <w:rFonts w:cs="Arial"/>
          <w:lang w:val="en-US"/>
        </w:rPr>
        <w:t>.</w:t>
      </w:r>
    </w:p>
    <w:p w14:paraId="3D824F65" w14:textId="77777777" w:rsidR="00B57E42" w:rsidRDefault="00B57E42" w:rsidP="009A152B">
      <w:pPr>
        <w:spacing w:line="240" w:lineRule="auto"/>
        <w:rPr>
          <w:rFonts w:cs="Arial"/>
          <w:lang w:val="en-US"/>
        </w:rPr>
      </w:pPr>
      <w:proofErr w:type="spellStart"/>
      <w:r w:rsidRPr="00C3490E">
        <w:rPr>
          <w:rFonts w:cs="Arial"/>
          <w:lang w:val="en-US"/>
        </w:rPr>
        <w:t>Rauvola</w:t>
      </w:r>
      <w:proofErr w:type="spellEnd"/>
      <w:r w:rsidRPr="00C3490E">
        <w:rPr>
          <w:rFonts w:cs="Arial"/>
          <w:lang w:val="en-US"/>
        </w:rPr>
        <w:t>, R.S. (2020)</w:t>
      </w:r>
      <w:r>
        <w:rPr>
          <w:rFonts w:cs="Arial"/>
          <w:i/>
          <w:iCs/>
          <w:lang w:val="en-US"/>
        </w:rPr>
        <w:t>. Ageing</w:t>
      </w:r>
      <w:r w:rsidRPr="00C3490E">
        <w:rPr>
          <w:rFonts w:cs="Arial"/>
          <w:i/>
          <w:iCs/>
          <w:lang w:val="en-US"/>
        </w:rPr>
        <w:t>, Control, &amp; Well-Being: A Longitudinal Investigation of Actual, Perceived, and Enacted Control across Contexts</w:t>
      </w:r>
      <w:r w:rsidRPr="00C3490E">
        <w:rPr>
          <w:rFonts w:cs="Arial"/>
          <w:lang w:val="en-US"/>
        </w:rPr>
        <w:t>. ProQuest Dissertations &amp; Theses.</w:t>
      </w:r>
    </w:p>
    <w:p w14:paraId="4B2CAB42" w14:textId="77777777" w:rsidR="00B57E42" w:rsidRDefault="00B57E42" w:rsidP="001B4226">
      <w:pPr>
        <w:spacing w:line="240" w:lineRule="auto"/>
        <w:rPr>
          <w:rFonts w:cs="Arial"/>
          <w:lang w:val="en-US"/>
        </w:rPr>
      </w:pPr>
      <w:r w:rsidRPr="001B4226">
        <w:rPr>
          <w:rFonts w:cs="Arial"/>
          <w:lang w:val="en-US"/>
        </w:rPr>
        <w:t xml:space="preserve">Santos, E. </w:t>
      </w:r>
      <w:r w:rsidRPr="001B4226">
        <w:rPr>
          <w:rFonts w:cs="Arial"/>
        </w:rPr>
        <w:t>Guedes P</w:t>
      </w:r>
      <w:r>
        <w:rPr>
          <w:rFonts w:cs="Arial"/>
        </w:rPr>
        <w:t>.</w:t>
      </w:r>
      <w:r w:rsidRPr="001B4226">
        <w:rPr>
          <w:rFonts w:cs="Arial"/>
        </w:rPr>
        <w:t xml:space="preserve"> L</w:t>
      </w:r>
      <w:r>
        <w:rPr>
          <w:rFonts w:cs="Arial"/>
        </w:rPr>
        <w:t>.,</w:t>
      </w:r>
      <w:r w:rsidRPr="001B4226">
        <w:rPr>
          <w:rFonts w:cs="Arial"/>
        </w:rPr>
        <w:t xml:space="preserve"> Proença, A</w:t>
      </w:r>
      <w:r>
        <w:rPr>
          <w:rFonts w:cs="Arial"/>
        </w:rPr>
        <w:t xml:space="preserve">. and </w:t>
      </w:r>
      <w:r w:rsidRPr="001B4226">
        <w:rPr>
          <w:rFonts w:cs="Arial"/>
        </w:rPr>
        <w:t>Arco, H</w:t>
      </w:r>
      <w:r>
        <w:rPr>
          <w:rFonts w:cs="Arial"/>
        </w:rPr>
        <w:t>.</w:t>
      </w:r>
      <w:r w:rsidRPr="001B4226">
        <w:rPr>
          <w:rFonts w:cs="Arial"/>
          <w:lang w:val="en-US"/>
        </w:rPr>
        <w:t xml:space="preserve"> (2025)</w:t>
      </w:r>
      <w:r>
        <w:rPr>
          <w:rFonts w:cs="Arial"/>
          <w:lang w:val="en-US"/>
        </w:rPr>
        <w:t>.</w:t>
      </w:r>
      <w:r w:rsidRPr="001B4226">
        <w:rPr>
          <w:rFonts w:cs="Arial"/>
          <w:lang w:val="en-US"/>
        </w:rPr>
        <w:t xml:space="preserve"> ‘Exploring the physical, mental, and social dimensions of middle-aged adults for active and healthy </w:t>
      </w:r>
      <w:r>
        <w:rPr>
          <w:rFonts w:cs="Arial"/>
          <w:lang w:val="en-US"/>
        </w:rPr>
        <w:t xml:space="preserve">ageing: A cross-sectional study’, </w:t>
      </w:r>
      <w:proofErr w:type="spellStart"/>
      <w:r>
        <w:rPr>
          <w:rFonts w:cs="Arial"/>
          <w:lang w:val="en-US"/>
        </w:rPr>
        <w:t>Plos</w:t>
      </w:r>
      <w:proofErr w:type="spellEnd"/>
      <w:r w:rsidRPr="001B4226">
        <w:rPr>
          <w:rFonts w:cs="Arial"/>
          <w:i/>
          <w:iCs/>
          <w:lang w:val="en-US"/>
        </w:rPr>
        <w:t xml:space="preserve"> one</w:t>
      </w:r>
      <w:r w:rsidRPr="001B4226">
        <w:rPr>
          <w:rFonts w:cs="Arial"/>
          <w:lang w:val="en-US"/>
        </w:rPr>
        <w:t xml:space="preserve">, 20(4), pp. e0320309-. Available at: </w:t>
      </w:r>
      <w:hyperlink r:id="rId28" w:history="1">
        <w:r w:rsidRPr="001B4226">
          <w:rPr>
            <w:rStyle w:val="Hyperlink"/>
            <w:rFonts w:cs="Arial"/>
            <w:lang w:val="en-US"/>
          </w:rPr>
          <w:t>https://doi.org/10.1371/journal.pone.0320309</w:t>
        </w:r>
      </w:hyperlink>
      <w:r w:rsidRPr="001B4226">
        <w:rPr>
          <w:rFonts w:cs="Arial"/>
          <w:lang w:val="en-US"/>
        </w:rPr>
        <w:t>.</w:t>
      </w:r>
    </w:p>
    <w:p w14:paraId="0BB2ED74" w14:textId="77777777" w:rsidR="00B57E42" w:rsidRPr="00F02BD1" w:rsidRDefault="00B57E42" w:rsidP="009A152B">
      <w:pPr>
        <w:spacing w:line="240" w:lineRule="auto"/>
        <w:rPr>
          <w:rFonts w:cs="Arial"/>
        </w:rPr>
      </w:pPr>
      <w:r w:rsidRPr="00F02BD1">
        <w:rPr>
          <w:rFonts w:cs="Arial"/>
          <w:lang w:val="en-US"/>
        </w:rPr>
        <w:t xml:space="preserve">Tambellini, E. (2023). ‘Exploring the relationship between working history, retirement transition and women’s life satisfaction’, </w:t>
      </w:r>
      <w:r w:rsidRPr="00F02BD1">
        <w:rPr>
          <w:rFonts w:cs="Arial"/>
          <w:i/>
          <w:iCs/>
          <w:lang w:val="en-US"/>
        </w:rPr>
        <w:t>Ageing and Society</w:t>
      </w:r>
      <w:r w:rsidRPr="00F02BD1">
        <w:rPr>
          <w:rFonts w:cs="Arial"/>
          <w:lang w:val="en-US"/>
        </w:rPr>
        <w:t xml:space="preserve">, 43(8), pp. 1754–1783. Available at: </w:t>
      </w:r>
      <w:hyperlink r:id="rId29" w:history="1">
        <w:r w:rsidRPr="00F02BD1">
          <w:rPr>
            <w:rStyle w:val="Hyperlink"/>
            <w:rFonts w:cs="Arial"/>
            <w:lang w:val="en-US"/>
          </w:rPr>
          <w:t>https://doi.org/10.1017/S0144686X2100132X</w:t>
        </w:r>
      </w:hyperlink>
      <w:r w:rsidRPr="00F02BD1">
        <w:rPr>
          <w:rFonts w:cs="Arial"/>
          <w:lang w:val="en-US"/>
        </w:rPr>
        <w:t>.</w:t>
      </w:r>
    </w:p>
    <w:p w14:paraId="6A4C32E3" w14:textId="77777777" w:rsidR="00B57E42" w:rsidRDefault="00B57E42" w:rsidP="009A152B">
      <w:pPr>
        <w:spacing w:line="240" w:lineRule="auto"/>
        <w:rPr>
          <w:rFonts w:cs="Arial"/>
        </w:rPr>
      </w:pPr>
      <w:r w:rsidRPr="00F02BD1">
        <w:rPr>
          <w:rFonts w:cs="Arial"/>
        </w:rPr>
        <w:t xml:space="preserve">Yuan, S., Chen, J., Ruan, X., Sun, Y., Zhang, K., Wang, X., Li, X., Gill, D., Burgess, S., Giovannucci, E., L., Susanna C. (2023). ‘Smoking, alcohol consumption, and 24 gastrointestinal diseases: Mendelian randomisation analysis’, </w:t>
      </w:r>
      <w:r w:rsidRPr="00F02BD1">
        <w:rPr>
          <w:rFonts w:cs="Arial"/>
          <w:i/>
          <w:iCs/>
        </w:rPr>
        <w:t>Life</w:t>
      </w:r>
      <w:r w:rsidRPr="00F02BD1">
        <w:rPr>
          <w:rFonts w:cs="Arial"/>
        </w:rPr>
        <w:t xml:space="preserve">, 12. Available at: </w:t>
      </w:r>
      <w:hyperlink r:id="rId30" w:history="1">
        <w:r w:rsidRPr="00F02BD1">
          <w:rPr>
            <w:rStyle w:val="Hyperlink"/>
            <w:rFonts w:cs="Arial"/>
          </w:rPr>
          <w:t>https://doi.org/10.7554/eLife.84051</w:t>
        </w:r>
      </w:hyperlink>
      <w:r w:rsidRPr="00F02BD1">
        <w:rPr>
          <w:rFonts w:cs="Arial"/>
        </w:rPr>
        <w:t>.</w:t>
      </w:r>
    </w:p>
    <w:p w14:paraId="492D5D5D" w14:textId="77777777" w:rsidR="001B4226" w:rsidRPr="001B4226" w:rsidRDefault="001B4226" w:rsidP="001B4226">
      <w:pPr>
        <w:spacing w:line="240" w:lineRule="auto"/>
        <w:rPr>
          <w:rFonts w:cs="Arial"/>
          <w:lang w:val="en-US"/>
        </w:rPr>
      </w:pPr>
    </w:p>
    <w:p w14:paraId="4300CF9A" w14:textId="77777777" w:rsidR="001B4226" w:rsidRPr="00F02BD1" w:rsidRDefault="001B4226" w:rsidP="009A152B">
      <w:pPr>
        <w:spacing w:line="240" w:lineRule="auto"/>
        <w:rPr>
          <w:rFonts w:cs="Arial"/>
        </w:rPr>
      </w:pPr>
    </w:p>
    <w:p w14:paraId="77E6531C" w14:textId="77777777" w:rsidR="001F3A58" w:rsidRPr="001F3A58" w:rsidRDefault="001F3A58" w:rsidP="001F3A58">
      <w:pPr>
        <w:spacing w:line="240" w:lineRule="auto"/>
        <w:ind w:left="360"/>
        <w:rPr>
          <w:rFonts w:cs="Arial"/>
          <w:lang w:val="en-US"/>
        </w:rPr>
      </w:pPr>
    </w:p>
    <w:p w14:paraId="21DFA805" w14:textId="77777777" w:rsidR="001F3A58" w:rsidRDefault="001F3A58" w:rsidP="00C3490E">
      <w:pPr>
        <w:spacing w:line="240" w:lineRule="auto"/>
        <w:ind w:left="360"/>
        <w:rPr>
          <w:rFonts w:cs="Arial"/>
          <w:lang w:val="en-US"/>
        </w:rPr>
      </w:pPr>
    </w:p>
    <w:p w14:paraId="7E809E8F" w14:textId="77777777" w:rsidR="00C3490E" w:rsidRPr="00C3490E" w:rsidRDefault="00C3490E" w:rsidP="00C3490E">
      <w:pPr>
        <w:spacing w:line="240" w:lineRule="auto"/>
        <w:ind w:left="360"/>
        <w:rPr>
          <w:rFonts w:cs="Arial"/>
          <w:lang w:val="en-US"/>
        </w:rPr>
      </w:pPr>
    </w:p>
    <w:p w14:paraId="1E8D887E" w14:textId="77777777" w:rsidR="00C3490E" w:rsidRPr="000B1313" w:rsidRDefault="00C3490E" w:rsidP="00C3490E">
      <w:pPr>
        <w:spacing w:line="240" w:lineRule="auto"/>
        <w:ind w:left="360"/>
        <w:rPr>
          <w:rFonts w:cs="Arial"/>
          <w:lang w:val="en-US"/>
        </w:rPr>
      </w:pPr>
    </w:p>
    <w:p w14:paraId="70833E34" w14:textId="77777777" w:rsidR="000B1313" w:rsidRPr="00F02BD1" w:rsidRDefault="000B1313" w:rsidP="00F02BD1">
      <w:pPr>
        <w:spacing w:line="240" w:lineRule="auto"/>
        <w:ind w:left="360"/>
        <w:rPr>
          <w:rFonts w:cs="Arial"/>
          <w:lang w:val="en-US"/>
        </w:rPr>
      </w:pPr>
    </w:p>
    <w:p w14:paraId="43717A79" w14:textId="77777777" w:rsidR="00F02BD1" w:rsidRPr="00F02BD1" w:rsidRDefault="00F02BD1" w:rsidP="00F02BD1">
      <w:pPr>
        <w:spacing w:line="240" w:lineRule="auto"/>
        <w:ind w:left="360"/>
        <w:rPr>
          <w:rFonts w:cs="Arial"/>
          <w:lang w:val="en-US"/>
        </w:rPr>
      </w:pPr>
    </w:p>
    <w:p w14:paraId="123DEE2D" w14:textId="77777777" w:rsidR="00F02BD1" w:rsidRPr="00F02BD1" w:rsidRDefault="00F02BD1" w:rsidP="00F02BD1">
      <w:pPr>
        <w:spacing w:line="240" w:lineRule="auto"/>
        <w:ind w:left="360"/>
        <w:rPr>
          <w:rFonts w:cs="Arial"/>
        </w:rPr>
      </w:pPr>
    </w:p>
    <w:sectPr w:rsidR="00F02BD1" w:rsidRPr="00F02BD1">
      <w:footerReference w:type="default" r:id="rId31"/>
      <w:pgSz w:w="11906" w:h="16838"/>
      <w:pgMar w:top="1134" w:right="1276" w:bottom="1134" w:left="1134" w:header="709" w:footer="709"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ontent Team" w:date="2018-04-19T16:51:00Z" w:initials="Content T">
    <w:p w14:paraId="26D3CF08" w14:textId="77777777" w:rsidR="00197DEF" w:rsidRDefault="00E03700">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6D3CF0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6D3CF08" w16cid:durableId="4015001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3CF0C" w14:textId="77777777" w:rsidR="00E03700" w:rsidRDefault="00E03700">
      <w:pPr>
        <w:spacing w:after="0" w:line="240" w:lineRule="auto"/>
      </w:pPr>
      <w:r>
        <w:separator/>
      </w:r>
    </w:p>
  </w:endnote>
  <w:endnote w:type="continuationSeparator" w:id="0">
    <w:p w14:paraId="26D3CF0E" w14:textId="77777777" w:rsidR="00E03700" w:rsidRDefault="00E03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rlett">
    <w:panose1 w:val="00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3CF10" w14:textId="77777777" w:rsidR="00E03700" w:rsidRDefault="00E03700">
    <w:pPr>
      <w:pStyle w:val="Footer"/>
      <w:spacing w:before="240"/>
      <w:jc w:val="center"/>
    </w:pPr>
    <w:r>
      <w:fldChar w:fldCharType="begin"/>
    </w:r>
    <w:r>
      <w:instrText xml:space="preserve"> PAGE </w:instrText>
    </w:r>
    <w:r>
      <w:fldChar w:fldCharType="separate"/>
    </w:r>
    <w:r>
      <w:t>7</w:t>
    </w:r>
    <w:r>
      <w:fldChar w:fldCharType="end"/>
    </w:r>
  </w:p>
  <w:p w14:paraId="26D3CF11" w14:textId="77777777" w:rsidR="00E03700" w:rsidRDefault="00E037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3CF08" w14:textId="77777777" w:rsidR="00E03700" w:rsidRDefault="00E03700">
      <w:pPr>
        <w:spacing w:after="0" w:line="240" w:lineRule="auto"/>
      </w:pPr>
      <w:r>
        <w:rPr>
          <w:color w:val="000000"/>
        </w:rPr>
        <w:separator/>
      </w:r>
    </w:p>
  </w:footnote>
  <w:footnote w:type="continuationSeparator" w:id="0">
    <w:p w14:paraId="26D3CF0A" w14:textId="77777777" w:rsidR="00E03700" w:rsidRDefault="00E037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1ED0"/>
    <w:multiLevelType w:val="multilevel"/>
    <w:tmpl w:val="AC92F84E"/>
    <w:styleLink w:val="LFO45"/>
    <w:lvl w:ilvl="0">
      <w:numFmt w:val="bullet"/>
      <w:pStyle w:val="ListBullet"/>
      <w:lvlText w:val=""/>
      <w:lvlJc w:val="left"/>
      <w:pPr>
        <w:ind w:left="720" w:hanging="360"/>
      </w:pPr>
      <w:rPr>
        <w:rFonts w:ascii="Symbol" w:hAnsi="Symbol"/>
        <w:color w:val="0D0D0D"/>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AB56BDE"/>
    <w:multiLevelType w:val="multilevel"/>
    <w:tmpl w:val="C2D27DCA"/>
    <w:styleLink w:val="WWOutlineListStyle2"/>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F073921"/>
    <w:multiLevelType w:val="multilevel"/>
    <w:tmpl w:val="B63C955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3" w15:restartNumberingAfterBreak="0">
    <w:nsid w:val="127D78C7"/>
    <w:multiLevelType w:val="multilevel"/>
    <w:tmpl w:val="838880DC"/>
    <w:styleLink w:val="LFO33"/>
    <w:lvl w:ilvl="0">
      <w:numFmt w:val="bullet"/>
      <w:pStyle w:val="DeptBullets"/>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Marlett" w:hAnsi="Marlett"/>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Marlett" w:hAnsi="Marlett"/>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Marlett" w:hAnsi="Marlett"/>
      </w:rPr>
    </w:lvl>
  </w:abstractNum>
  <w:abstractNum w:abstractNumId="4" w15:restartNumberingAfterBreak="0">
    <w:nsid w:val="206C77EF"/>
    <w:multiLevelType w:val="multilevel"/>
    <w:tmpl w:val="A3CC5950"/>
    <w:styleLink w:val="LFO19"/>
    <w:lvl w:ilvl="0">
      <w:start w:val="1"/>
      <w:numFmt w:val="decimal"/>
      <w:pStyle w:val="ListNumber3"/>
      <w:lvlText w:val="%1."/>
      <w:lvlJc w:val="left"/>
      <w:pPr>
        <w:ind w:left="926"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23FE6E86"/>
    <w:multiLevelType w:val="multilevel"/>
    <w:tmpl w:val="9C2E1E2A"/>
    <w:lvl w:ilvl="0">
      <w:start w:val="1"/>
      <w:numFmt w:val="decimal"/>
      <w:lvlText w:val="%1."/>
      <w:lvlJc w:val="left"/>
      <w:pPr>
        <w:ind w:left="763" w:hanging="403"/>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6" w15:restartNumberingAfterBreak="0">
    <w:nsid w:val="26B95137"/>
    <w:multiLevelType w:val="multilevel"/>
    <w:tmpl w:val="D87EFF66"/>
    <w:styleLink w:val="WWOutlineListStyle6"/>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A6E7CC0"/>
    <w:multiLevelType w:val="multilevel"/>
    <w:tmpl w:val="58E24ED2"/>
    <w:styleLink w:val="WWOutlineListStyle5"/>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E6A4992"/>
    <w:multiLevelType w:val="multilevel"/>
    <w:tmpl w:val="48241426"/>
    <w:styleLink w:val="LFO14"/>
    <w:lvl w:ilvl="0">
      <w:numFmt w:val="bullet"/>
      <w:pStyle w:val="ListBullet3"/>
      <w:lvlText w:val=""/>
      <w:lvlJc w:val="left"/>
      <w:pPr>
        <w:ind w:left="926"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9" w15:restartNumberingAfterBreak="0">
    <w:nsid w:val="3B223CC0"/>
    <w:multiLevelType w:val="multilevel"/>
    <w:tmpl w:val="C2282558"/>
    <w:styleLink w:val="WWOutlineListStyle"/>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B2C4395"/>
    <w:multiLevelType w:val="multilevel"/>
    <w:tmpl w:val="CE76136C"/>
    <w:styleLink w:val="LFO18"/>
    <w:lvl w:ilvl="0">
      <w:start w:val="1"/>
      <w:numFmt w:val="decimal"/>
      <w:pStyle w:val="ListNumber2"/>
      <w:lvlText w:val="%1."/>
      <w:lvlJc w:val="left"/>
      <w:pPr>
        <w:ind w:left="643"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1" w15:restartNumberingAfterBreak="0">
    <w:nsid w:val="3D0E0FAB"/>
    <w:multiLevelType w:val="multilevel"/>
    <w:tmpl w:val="7C1A8188"/>
    <w:styleLink w:val="LFO13"/>
    <w:lvl w:ilvl="0">
      <w:numFmt w:val="bullet"/>
      <w:pStyle w:val="ListBullet2"/>
      <w:lvlText w:val=""/>
      <w:lvlJc w:val="left"/>
      <w:pPr>
        <w:ind w:left="643"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2" w15:restartNumberingAfterBreak="0">
    <w:nsid w:val="3DAF10CC"/>
    <w:multiLevelType w:val="multilevel"/>
    <w:tmpl w:val="18E8D7F4"/>
    <w:styleLink w:val="LFO21"/>
    <w:lvl w:ilvl="0">
      <w:start w:val="1"/>
      <w:numFmt w:val="decimal"/>
      <w:pStyle w:val="ListNumber5"/>
      <w:lvlText w:val="%1."/>
      <w:lvlJc w:val="left"/>
      <w:pPr>
        <w:ind w:left="1492"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3" w15:restartNumberingAfterBreak="0">
    <w:nsid w:val="3EDE0430"/>
    <w:multiLevelType w:val="multilevel"/>
    <w:tmpl w:val="8462149A"/>
    <w:styleLink w:val="LFO17"/>
    <w:lvl w:ilvl="0">
      <w:start w:val="1"/>
      <w:numFmt w:val="decimal"/>
      <w:pStyle w:val="ListNumber"/>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4" w15:restartNumberingAfterBreak="0">
    <w:nsid w:val="45237F90"/>
    <w:multiLevelType w:val="multilevel"/>
    <w:tmpl w:val="2E920B80"/>
    <w:styleLink w:val="LFO27"/>
    <w:lvl w:ilvl="0">
      <w:start w:val="1"/>
      <w:numFmt w:val="decimal"/>
      <w:pStyle w:val="DfESOutNumbered"/>
      <w:lvlText w:val="%1."/>
      <w:lvlJc w:val="left"/>
    </w:lvl>
    <w:lvl w:ilvl="1">
      <w:start w:val="1"/>
      <w:numFmt w:val="lowerLetter"/>
      <w:lvlText w:val="."/>
      <w:lvlJc w:val="left"/>
      <w:pPr>
        <w:ind w:left="1440" w:hanging="720"/>
      </w:pPr>
    </w:lvl>
    <w:lvl w:ilvl="2">
      <w:start w:val="1"/>
      <w:numFmt w:val="lowerRoman"/>
      <w:lvlText w:val=")"/>
      <w:lvlJc w:val="left"/>
      <w:pPr>
        <w:ind w:left="2160" w:hanging="720"/>
      </w:pPr>
    </w:lvl>
    <w:lvl w:ilvl="3">
      <w:start w:val="1"/>
      <w:numFmt w:val="lowerLetter"/>
      <w:lvlText w:val=")"/>
      <w:lvlJc w:val="left"/>
      <w:pPr>
        <w:ind w:left="2880" w:hanging="720"/>
      </w:pPr>
    </w:lvl>
    <w:lvl w:ilvl="4">
      <w:start w:val="1"/>
      <w:numFmt w:val="decimal"/>
      <w:lvlText w:val="()"/>
      <w:lvlJc w:val="left"/>
      <w:pPr>
        <w:ind w:left="3600" w:hanging="720"/>
      </w:pPr>
    </w:lvl>
    <w:lvl w:ilvl="5">
      <w:start w:val="1"/>
      <w:numFmt w:val="lowerRoman"/>
      <w:lvlText w:val="()"/>
      <w:lvlJc w:val="left"/>
      <w:pPr>
        <w:ind w:left="4320" w:hanging="720"/>
      </w:pPr>
    </w:lvl>
    <w:lvl w:ilvl="6">
      <w:start w:val="1"/>
      <w:numFmt w:val="decimal"/>
      <w:lvlText w:val="."/>
      <w:lvlJc w:val="left"/>
      <w:pPr>
        <w:ind w:left="5040" w:hanging="720"/>
      </w:pPr>
    </w:lvl>
    <w:lvl w:ilvl="7">
      <w:start w:val="1"/>
      <w:numFmt w:val="lowerLetter"/>
      <w:lvlText w:val="."/>
      <w:lvlJc w:val="left"/>
      <w:pPr>
        <w:ind w:left="5760" w:hanging="720"/>
      </w:pPr>
    </w:lvl>
    <w:lvl w:ilvl="8">
      <w:start w:val="1"/>
      <w:numFmt w:val="lowerRoman"/>
      <w:lvlText w:val="."/>
      <w:lvlJc w:val="left"/>
      <w:pPr>
        <w:ind w:left="6480" w:hanging="720"/>
      </w:pPr>
    </w:lvl>
  </w:abstractNum>
  <w:abstractNum w:abstractNumId="15" w15:restartNumberingAfterBreak="0">
    <w:nsid w:val="455F0994"/>
    <w:multiLevelType w:val="multilevel"/>
    <w:tmpl w:val="49E67C46"/>
    <w:styleLink w:val="WWOutlineListStyle1"/>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49AF1203"/>
    <w:multiLevelType w:val="multilevel"/>
    <w:tmpl w:val="54CED636"/>
    <w:styleLink w:val="WWOutlineListStyle3"/>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551E353D"/>
    <w:multiLevelType w:val="multilevel"/>
    <w:tmpl w:val="4A146FE0"/>
    <w:styleLink w:val="WWOutlineListStyle4"/>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6AC95CDC"/>
    <w:multiLevelType w:val="multilevel"/>
    <w:tmpl w:val="5C78D5DA"/>
    <w:styleLink w:val="LFO20"/>
    <w:lvl w:ilvl="0">
      <w:start w:val="1"/>
      <w:numFmt w:val="decimal"/>
      <w:pStyle w:val="ListNumber4"/>
      <w:lvlText w:val="%1."/>
      <w:lvlJc w:val="left"/>
      <w:pPr>
        <w:ind w:left="1209"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9" w15:restartNumberingAfterBreak="0">
    <w:nsid w:val="6DFD4E87"/>
    <w:multiLevelType w:val="multilevel"/>
    <w:tmpl w:val="B17A42B2"/>
    <w:styleLink w:val="LFO15"/>
    <w:lvl w:ilvl="0">
      <w:numFmt w:val="bullet"/>
      <w:pStyle w:val="ListBullet4"/>
      <w:lvlText w:val=""/>
      <w:lvlJc w:val="left"/>
      <w:pPr>
        <w:ind w:left="1209"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0" w15:restartNumberingAfterBreak="0">
    <w:nsid w:val="6FFD7E65"/>
    <w:multiLevelType w:val="multilevel"/>
    <w:tmpl w:val="6708FBFA"/>
    <w:styleLink w:val="LFO6"/>
    <w:lvl w:ilvl="0">
      <w:start w:val="1"/>
      <w:numFmt w:val="decimal"/>
      <w:pStyle w:val="Numbered"/>
      <w:lvlText w:val="%1."/>
      <w:lvlJc w:val="left"/>
    </w:lvl>
    <w:lvl w:ilvl="1">
      <w:start w:val="1"/>
      <w:numFmt w:val="decimal"/>
      <w:lvlText w:val="%1.%2."/>
      <w:lvlJc w:val="left"/>
      <w:pPr>
        <w:ind w:left="1440" w:hanging="720"/>
      </w:pPr>
    </w:lvl>
    <w:lvl w:ilvl="2">
      <w:start w:val="1"/>
      <w:numFmt w:val="decimal"/>
      <w:lvlText w:val="2.1."/>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4968" w:hanging="1368"/>
      </w:pPr>
    </w:lvl>
    <w:lvl w:ilvl="6">
      <w:start w:val="1"/>
      <w:numFmt w:val="decimal"/>
      <w:lvlText w:val="%1.%2.%3.%4.%5.%6.%7."/>
      <w:lvlJc w:val="left"/>
      <w:pPr>
        <w:ind w:left="5976" w:hanging="1656"/>
      </w:pPr>
    </w:lvl>
    <w:lvl w:ilvl="7">
      <w:start w:val="1"/>
      <w:numFmt w:val="decimal"/>
      <w:lvlText w:val="%1.%2.%3.%4.%5.%6.%7.%8."/>
      <w:lvlJc w:val="left"/>
      <w:pPr>
        <w:ind w:left="6696" w:hanging="1656"/>
      </w:pPr>
    </w:lvl>
    <w:lvl w:ilvl="8">
      <w:start w:val="1"/>
      <w:numFmt w:val="decimal"/>
      <w:lvlText w:val="%1.%2.%3.%4.%5.%6.%7.%8.%9."/>
      <w:lvlJc w:val="left"/>
      <w:pPr>
        <w:ind w:left="7560" w:hanging="1800"/>
      </w:pPr>
    </w:lvl>
  </w:abstractNum>
  <w:abstractNum w:abstractNumId="21" w15:restartNumberingAfterBreak="0">
    <w:nsid w:val="728A65AE"/>
    <w:multiLevelType w:val="multilevel"/>
    <w:tmpl w:val="3814B884"/>
    <w:styleLink w:val="LFO16"/>
    <w:lvl w:ilvl="0">
      <w:numFmt w:val="bullet"/>
      <w:pStyle w:val="ListBullet5"/>
      <w:lvlText w:val=""/>
      <w:lvlJc w:val="left"/>
      <w:pPr>
        <w:ind w:left="1492"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2" w15:restartNumberingAfterBreak="0">
    <w:nsid w:val="7D7B2C53"/>
    <w:multiLevelType w:val="multilevel"/>
    <w:tmpl w:val="3014F296"/>
    <w:styleLink w:val="LFO38"/>
    <w:lvl w:ilvl="0">
      <w:numFmt w:val="bullet"/>
      <w:pStyle w:val="ListParagraph"/>
      <w:lvlText w:val=""/>
      <w:lvlJc w:val="left"/>
      <w:pPr>
        <w:ind w:left="720" w:hanging="360"/>
      </w:pPr>
      <w:rPr>
        <w:rFonts w:ascii="Symbol" w:hAnsi="Symbol"/>
      </w:rPr>
    </w:lvl>
    <w:lvl w:ilvl="1">
      <w:numFmt w:val="bullet"/>
      <w:lvlText w:val=""/>
      <w:lvlJc w:val="left"/>
      <w:pPr>
        <w:ind w:left="1440" w:hanging="360"/>
      </w:pPr>
      <w:rPr>
        <w:rFonts w:ascii="Symbol" w:hAnsi="Symbol"/>
        <w:color w:val="0D0D0D"/>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973096825">
    <w:abstractNumId w:val="6"/>
  </w:num>
  <w:num w:numId="2" w16cid:durableId="727655558">
    <w:abstractNumId w:val="7"/>
  </w:num>
  <w:num w:numId="3" w16cid:durableId="906114269">
    <w:abstractNumId w:val="17"/>
  </w:num>
  <w:num w:numId="4" w16cid:durableId="1115909233">
    <w:abstractNumId w:val="16"/>
  </w:num>
  <w:num w:numId="5" w16cid:durableId="170071542">
    <w:abstractNumId w:val="1"/>
  </w:num>
  <w:num w:numId="6" w16cid:durableId="2081248436">
    <w:abstractNumId w:val="15"/>
  </w:num>
  <w:num w:numId="7" w16cid:durableId="1930892201">
    <w:abstractNumId w:val="9"/>
  </w:num>
  <w:num w:numId="8" w16cid:durableId="850068734">
    <w:abstractNumId w:val="20"/>
  </w:num>
  <w:num w:numId="9" w16cid:durableId="1487428638">
    <w:abstractNumId w:val="11"/>
  </w:num>
  <w:num w:numId="10" w16cid:durableId="450904561">
    <w:abstractNumId w:val="8"/>
  </w:num>
  <w:num w:numId="11" w16cid:durableId="2031568122">
    <w:abstractNumId w:val="19"/>
  </w:num>
  <w:num w:numId="12" w16cid:durableId="536892729">
    <w:abstractNumId w:val="21"/>
  </w:num>
  <w:num w:numId="13" w16cid:durableId="1515874802">
    <w:abstractNumId w:val="13"/>
  </w:num>
  <w:num w:numId="14" w16cid:durableId="1268849282">
    <w:abstractNumId w:val="10"/>
  </w:num>
  <w:num w:numId="15" w16cid:durableId="1608002284">
    <w:abstractNumId w:val="4"/>
  </w:num>
  <w:num w:numId="16" w16cid:durableId="1381248571">
    <w:abstractNumId w:val="18"/>
  </w:num>
  <w:num w:numId="17" w16cid:durableId="306739876">
    <w:abstractNumId w:val="12"/>
  </w:num>
  <w:num w:numId="18" w16cid:durableId="1398091091">
    <w:abstractNumId w:val="14"/>
  </w:num>
  <w:num w:numId="19" w16cid:durableId="78335864">
    <w:abstractNumId w:val="3"/>
  </w:num>
  <w:num w:numId="20" w16cid:durableId="330834335">
    <w:abstractNumId w:val="22"/>
  </w:num>
  <w:num w:numId="21" w16cid:durableId="687681235">
    <w:abstractNumId w:val="0"/>
  </w:num>
  <w:num w:numId="22" w16cid:durableId="1345858843">
    <w:abstractNumId w:val="2"/>
  </w:num>
  <w:num w:numId="23" w16cid:durableId="11337887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97DEF"/>
    <w:rsid w:val="000B1313"/>
    <w:rsid w:val="00100C31"/>
    <w:rsid w:val="00173BF5"/>
    <w:rsid w:val="00197DEF"/>
    <w:rsid w:val="001B4226"/>
    <w:rsid w:val="001F3A58"/>
    <w:rsid w:val="00580D27"/>
    <w:rsid w:val="006E02A9"/>
    <w:rsid w:val="0071758D"/>
    <w:rsid w:val="009A152B"/>
    <w:rsid w:val="00B57E42"/>
    <w:rsid w:val="00C3490E"/>
    <w:rsid w:val="00D60C9E"/>
    <w:rsid w:val="00E03700"/>
    <w:rsid w:val="00F02BD1"/>
    <w:rsid w:val="00FB70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3CF08"/>
  <w15:docId w15:val="{790EFC61-1274-45CC-8EA8-EE6AEF2C3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imes New Roman" w:hAnsi="Arial" w:cs="Times New Roman"/>
        <w:lang w:val="en-GB" w:eastAsia="en-GB"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40" w:line="288" w:lineRule="auto"/>
    </w:pPr>
    <w:rPr>
      <w:sz w:val="24"/>
      <w:szCs w:val="24"/>
    </w:rPr>
  </w:style>
  <w:style w:type="paragraph" w:styleId="Heading1">
    <w:name w:val="heading 1"/>
    <w:basedOn w:val="Normal"/>
    <w:next w:val="Normal"/>
    <w:uiPriority w:val="9"/>
    <w:qFormat/>
    <w:pPr>
      <w:pageBreakBefore/>
      <w:spacing w:line="240" w:lineRule="auto"/>
      <w:outlineLvl w:val="0"/>
    </w:pPr>
    <w:rPr>
      <w:b/>
      <w:color w:val="104F75"/>
      <w:sz w:val="36"/>
    </w:rPr>
  </w:style>
  <w:style w:type="paragraph" w:styleId="Heading2">
    <w:name w:val="heading 2"/>
    <w:basedOn w:val="Normal"/>
    <w:next w:val="Normal"/>
    <w:uiPriority w:val="9"/>
    <w:unhideWhenUsed/>
    <w:qFormat/>
    <w:pPr>
      <w:keepNext/>
      <w:spacing w:before="480" w:line="240" w:lineRule="auto"/>
      <w:outlineLvl w:val="1"/>
    </w:pPr>
    <w:rPr>
      <w:b/>
      <w:color w:val="104F75"/>
      <w:sz w:val="32"/>
      <w:szCs w:val="32"/>
    </w:rPr>
  </w:style>
  <w:style w:type="paragraph" w:styleId="Heading3">
    <w:name w:val="heading 3"/>
    <w:basedOn w:val="Normal"/>
    <w:next w:val="Normal"/>
    <w:uiPriority w:val="9"/>
    <w:unhideWhenUsed/>
    <w:qFormat/>
    <w:pPr>
      <w:keepNext/>
      <w:spacing w:before="360" w:line="240" w:lineRule="auto"/>
      <w:outlineLvl w:val="2"/>
    </w:pPr>
    <w:rPr>
      <w:b/>
      <w:bCs/>
      <w:color w:val="104F75"/>
      <w:sz w:val="28"/>
      <w:szCs w:val="28"/>
    </w:rPr>
  </w:style>
  <w:style w:type="paragraph" w:styleId="Heading4">
    <w:name w:val="heading 4"/>
    <w:basedOn w:val="Heading2"/>
    <w:next w:val="Normal"/>
    <w:uiPriority w:val="9"/>
    <w:unhideWhenUsed/>
    <w:qFormat/>
    <w:pPr>
      <w:spacing w:before="240"/>
      <w:outlineLvl w:val="3"/>
    </w:pPr>
    <w:rPr>
      <w:bCs/>
      <w:sz w:val="24"/>
      <w:szCs w:val="28"/>
    </w:rPr>
  </w:style>
  <w:style w:type="paragraph" w:styleId="Heading5">
    <w:name w:val="heading 5"/>
    <w:basedOn w:val="Normal"/>
    <w:next w:val="Normal"/>
    <w:uiPriority w:val="9"/>
    <w:semiHidden/>
    <w:unhideWhenUsed/>
    <w:qFormat/>
    <w:pPr>
      <w:numPr>
        <w:ilvl w:val="4"/>
        <w:numId w:val="1"/>
      </w:numPr>
      <w:spacing w:before="240" w:after="60"/>
      <w:outlineLvl w:val="4"/>
    </w:pPr>
    <w:rPr>
      <w:rFonts w:ascii="Calibri" w:hAnsi="Calibri"/>
      <w:b/>
      <w:bCs/>
      <w:i/>
      <w:iCs/>
      <w:sz w:val="26"/>
      <w:szCs w:val="26"/>
    </w:rPr>
  </w:style>
  <w:style w:type="paragraph" w:styleId="Heading6">
    <w:name w:val="heading 6"/>
    <w:basedOn w:val="Normal"/>
    <w:next w:val="Normal"/>
    <w:uiPriority w:val="9"/>
    <w:semiHidden/>
    <w:unhideWhenUsed/>
    <w:qFormat/>
    <w:pPr>
      <w:numPr>
        <w:ilvl w:val="5"/>
        <w:numId w:val="1"/>
      </w:numPr>
      <w:spacing w:before="240" w:after="60"/>
      <w:outlineLvl w:val="5"/>
    </w:pPr>
    <w:rPr>
      <w:rFonts w:ascii="Calibri" w:hAnsi="Calibri"/>
      <w:b/>
      <w:bCs/>
      <w:sz w:val="22"/>
      <w:szCs w:val="22"/>
    </w:rPr>
  </w:style>
  <w:style w:type="paragraph" w:styleId="Heading7">
    <w:name w:val="heading 7"/>
    <w:basedOn w:val="Normal"/>
    <w:next w:val="Normal"/>
    <w:pPr>
      <w:numPr>
        <w:ilvl w:val="6"/>
        <w:numId w:val="1"/>
      </w:numPr>
      <w:spacing w:before="240" w:after="60"/>
      <w:outlineLvl w:val="6"/>
    </w:pPr>
    <w:rPr>
      <w:rFonts w:ascii="Calibri" w:hAnsi="Calibri"/>
    </w:rPr>
  </w:style>
  <w:style w:type="paragraph" w:styleId="Heading8">
    <w:name w:val="heading 8"/>
    <w:basedOn w:val="Normal"/>
    <w:next w:val="Normal"/>
    <w:pPr>
      <w:numPr>
        <w:ilvl w:val="7"/>
        <w:numId w:val="1"/>
      </w:numPr>
      <w:spacing w:before="240" w:after="60"/>
      <w:outlineLvl w:val="7"/>
    </w:pPr>
    <w:rPr>
      <w:rFonts w:ascii="Calibri" w:hAnsi="Calibri"/>
      <w:i/>
      <w:iCs/>
    </w:rPr>
  </w:style>
  <w:style w:type="paragraph" w:styleId="Heading9">
    <w:name w:val="heading 9"/>
    <w:basedOn w:val="Normal"/>
    <w:next w:val="Normal"/>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6">
    <w:name w:val="WW_OutlineListStyle_6"/>
    <w:basedOn w:val="NoList"/>
    <w:pPr>
      <w:numPr>
        <w:numId w:val="1"/>
      </w:numPr>
    </w:pPr>
  </w:style>
  <w:style w:type="character" w:customStyle="1" w:styleId="Heading1Char">
    <w:name w:val="Heading 1 Char"/>
    <w:rPr>
      <w:rFonts w:ascii="Arial" w:hAnsi="Arial" w:cs="Arial"/>
      <w:b/>
      <w:color w:val="104F75"/>
      <w:sz w:val="36"/>
      <w:szCs w:val="24"/>
      <w:lang w:eastAsia="en-US"/>
    </w:rPr>
  </w:style>
  <w:style w:type="character" w:customStyle="1" w:styleId="Heading2Char">
    <w:name w:val="Heading 2 Char"/>
    <w:rPr>
      <w:b/>
      <w:color w:val="104F75"/>
      <w:sz w:val="32"/>
      <w:szCs w:val="32"/>
    </w:rPr>
  </w:style>
  <w:style w:type="character" w:customStyle="1" w:styleId="Heading3Char">
    <w:name w:val="Heading 3 Char"/>
    <w:rPr>
      <w:b/>
      <w:bCs/>
      <w:color w:val="104F75"/>
      <w:sz w:val="28"/>
      <w:szCs w:val="28"/>
    </w:rPr>
  </w:style>
  <w:style w:type="character" w:styleId="Hyperlink">
    <w:name w:val="Hyperlink"/>
    <w:uiPriority w:val="99"/>
    <w:rPr>
      <w:color w:val="0000FF"/>
      <w:u w:val="single"/>
    </w:rPr>
  </w:style>
  <w:style w:type="paragraph" w:styleId="TOCHeading">
    <w:name w:val="TOC Heading"/>
    <w:basedOn w:val="TOCHeader"/>
    <w:next w:val="Normal"/>
    <w:pPr>
      <w:pageBreakBefore/>
      <w:spacing w:after="360" w:line="240" w:lineRule="auto"/>
    </w:pPr>
    <w:rPr>
      <w:szCs w:val="24"/>
    </w:rPr>
  </w:style>
  <w:style w:type="paragraph" w:customStyle="1" w:styleId="TitleText">
    <w:name w:val="TitleText"/>
    <w:basedOn w:val="Title"/>
    <w:pPr>
      <w:spacing w:after="240"/>
    </w:pPr>
  </w:style>
  <w:style w:type="character" w:customStyle="1" w:styleId="TitleTextChar">
    <w:name w:val="TitleText Char"/>
    <w:rPr>
      <w:b/>
      <w:color w:val="104F75"/>
      <w:sz w:val="92"/>
      <w:szCs w:val="92"/>
    </w:rPr>
  </w:style>
  <w:style w:type="paragraph" w:customStyle="1" w:styleId="SubtitleText">
    <w:name w:val="SubtitleText"/>
    <w:basedOn w:val="Normal"/>
    <w:pPr>
      <w:spacing w:after="1520" w:line="240" w:lineRule="auto"/>
    </w:pPr>
    <w:rPr>
      <w:rFonts w:cs="Arial"/>
      <w:b/>
      <w:color w:val="104F75"/>
      <w:sz w:val="48"/>
      <w:szCs w:val="48"/>
    </w:rPr>
  </w:style>
  <w:style w:type="character" w:customStyle="1" w:styleId="SubtitleTextChar">
    <w:name w:val="SubtitleText Char"/>
    <w:rPr>
      <w:rFonts w:cs="Arial"/>
      <w:b/>
      <w:color w:val="104F75"/>
      <w:sz w:val="48"/>
      <w:szCs w:val="48"/>
    </w:rPr>
  </w:style>
  <w:style w:type="paragraph" w:customStyle="1" w:styleId="Numbered">
    <w:name w:val="Numbered"/>
    <w:pPr>
      <w:numPr>
        <w:numId w:val="8"/>
      </w:numPr>
      <w:suppressAutoHyphens/>
      <w:spacing w:after="120" w:line="288" w:lineRule="auto"/>
    </w:pPr>
    <w:rPr>
      <w:sz w:val="24"/>
      <w:szCs w:val="24"/>
    </w:rPr>
  </w:style>
  <w:style w:type="paragraph" w:styleId="TOC1">
    <w:name w:val="toc 1"/>
    <w:basedOn w:val="Normal"/>
    <w:next w:val="Normal"/>
    <w:autoRedefine/>
    <w:uiPriority w:val="39"/>
    <w:pPr>
      <w:tabs>
        <w:tab w:val="right" w:pos="9498"/>
      </w:tabs>
      <w:spacing w:after="120"/>
    </w:pPr>
  </w:style>
  <w:style w:type="paragraph" w:styleId="TOC2">
    <w:name w:val="toc 2"/>
    <w:basedOn w:val="Normal"/>
    <w:next w:val="Normal"/>
    <w:autoRedefine/>
    <w:uiPriority w:val="39"/>
    <w:pPr>
      <w:tabs>
        <w:tab w:val="right" w:pos="9498"/>
      </w:tabs>
      <w:spacing w:after="120"/>
      <w:ind w:left="238"/>
    </w:pPr>
  </w:style>
  <w:style w:type="paragraph" w:styleId="TOC3">
    <w:name w:val="toc 3"/>
    <w:basedOn w:val="Normal"/>
    <w:next w:val="Normal"/>
    <w:autoRedefine/>
    <w:pPr>
      <w:tabs>
        <w:tab w:val="right" w:pos="9498"/>
      </w:tabs>
      <w:spacing w:after="120"/>
      <w:ind w:left="482"/>
    </w:pPr>
  </w:style>
  <w:style w:type="paragraph" w:customStyle="1" w:styleId="CopyrightBox">
    <w:name w:val="CopyrightBox"/>
    <w:basedOn w:val="Normal"/>
  </w:style>
  <w:style w:type="character" w:customStyle="1" w:styleId="CopyrightBoxChar">
    <w:name w:val="CopyrightBox Char"/>
    <w:rPr>
      <w:sz w:val="24"/>
      <w:szCs w:val="24"/>
    </w:rPr>
  </w:style>
  <w:style w:type="paragraph" w:customStyle="1" w:styleId="CopyrightSpacing">
    <w:name w:val="CopyrightSpacing"/>
    <w:basedOn w:val="Normal"/>
    <w:pPr>
      <w:spacing w:before="6000" w:after="120"/>
    </w:pPr>
  </w:style>
  <w:style w:type="character" w:customStyle="1" w:styleId="CopyrightSpacingChar">
    <w:name w:val="CopyrightSpacing Char"/>
    <w:rPr>
      <w:sz w:val="24"/>
      <w:szCs w:val="24"/>
    </w:rPr>
  </w:style>
  <w:style w:type="paragraph" w:styleId="Bibliography">
    <w:name w:val="Bibliography"/>
    <w:basedOn w:val="Normal"/>
    <w:next w:val="Normal"/>
  </w:style>
  <w:style w:type="paragraph" w:styleId="BlockText">
    <w:name w:val="Block Text"/>
    <w:basedOn w:val="Normal"/>
    <w:pPr>
      <w:pBdr>
        <w:top w:val="single" w:sz="2" w:space="10" w:color="104F75"/>
        <w:left w:val="single" w:sz="2" w:space="10" w:color="104F75"/>
        <w:bottom w:val="single" w:sz="2" w:space="10" w:color="104F75"/>
        <w:right w:val="single" w:sz="2" w:space="10" w:color="104F75"/>
      </w:pBdr>
      <w:ind w:left="1152" w:right="1152"/>
    </w:pPr>
    <w:rPr>
      <w:i/>
      <w:iCs/>
      <w:color w:val="104F75"/>
    </w:rPr>
  </w:style>
  <w:style w:type="paragraph" w:styleId="Title">
    <w:name w:val="Title"/>
    <w:basedOn w:val="Normal"/>
    <w:next w:val="Normal"/>
    <w:uiPriority w:val="10"/>
    <w:qFormat/>
    <w:pPr>
      <w:spacing w:before="3600" w:after="0" w:line="240" w:lineRule="auto"/>
    </w:pPr>
    <w:rPr>
      <w:b/>
      <w:color w:val="104F75"/>
      <w:sz w:val="92"/>
      <w:szCs w:val="92"/>
    </w:rPr>
  </w:style>
  <w:style w:type="character" w:customStyle="1" w:styleId="TitleChar">
    <w:name w:val="Title Char"/>
    <w:rPr>
      <w:b/>
      <w:color w:val="104F75"/>
      <w:sz w:val="92"/>
      <w:szCs w:val="92"/>
    </w:rPr>
  </w:style>
  <w:style w:type="paragraph" w:styleId="TableofFigures">
    <w:name w:val="table of figures"/>
    <w:basedOn w:val="Normal"/>
    <w:next w:val="Normal"/>
  </w:style>
  <w:style w:type="paragraph" w:customStyle="1" w:styleId="TOCHeader">
    <w:name w:val="TOC Header"/>
    <w:basedOn w:val="Normal"/>
    <w:rPr>
      <w:b/>
      <w:color w:val="104F75"/>
      <w:sz w:val="36"/>
      <w:szCs w:val="36"/>
    </w:rPr>
  </w:style>
  <w:style w:type="character" w:customStyle="1" w:styleId="TOCHeaderChar">
    <w:name w:val="TOC Header Char"/>
    <w:rPr>
      <w:b/>
      <w:color w:val="104F75"/>
      <w:sz w:val="36"/>
      <w:szCs w:val="36"/>
    </w:rPr>
  </w:style>
  <w:style w:type="paragraph" w:styleId="BodyText2">
    <w:name w:val="Body Text 2"/>
    <w:basedOn w:val="Normal"/>
    <w:pPr>
      <w:spacing w:after="120" w:line="480" w:lineRule="auto"/>
    </w:pPr>
  </w:style>
  <w:style w:type="character" w:customStyle="1" w:styleId="NumberedChar">
    <w:name w:val="Numbered Char"/>
    <w:rPr>
      <w:sz w:val="24"/>
      <w:szCs w:val="24"/>
    </w:rPr>
  </w:style>
  <w:style w:type="paragraph" w:styleId="ListParagraph">
    <w:name w:val="List Paragraph"/>
    <w:basedOn w:val="Normal"/>
    <w:pPr>
      <w:numPr>
        <w:numId w:val="20"/>
      </w:numPr>
      <w:spacing w:after="120"/>
    </w:pPr>
    <w:rPr>
      <w:color w:val="000000"/>
    </w:rPr>
  </w:style>
  <w:style w:type="paragraph" w:styleId="Caption">
    <w:name w:val="caption"/>
    <w:basedOn w:val="Normal"/>
    <w:next w:val="Normal"/>
    <w:pPr>
      <w:spacing w:before="120"/>
      <w:jc w:val="center"/>
    </w:pPr>
    <w:rPr>
      <w:b/>
      <w:bCs/>
      <w:color w:val="000000"/>
    </w:rPr>
  </w:style>
  <w:style w:type="character" w:customStyle="1" w:styleId="Heading4Char">
    <w:name w:val="Heading 4 Char"/>
    <w:rPr>
      <w:b/>
      <w:bCs/>
      <w:color w:val="104F75"/>
      <w:sz w:val="24"/>
      <w:szCs w:val="28"/>
    </w:rPr>
  </w:style>
  <w:style w:type="paragraph" w:styleId="ListBullet">
    <w:name w:val="List Bullet"/>
    <w:basedOn w:val="ListParagraph"/>
    <w:pPr>
      <w:numPr>
        <w:numId w:val="21"/>
      </w:numPr>
    </w:pPr>
  </w:style>
  <w:style w:type="character" w:customStyle="1" w:styleId="Heading5Char">
    <w:name w:val="Heading 5 Char"/>
    <w:rPr>
      <w:rFonts w:ascii="Calibri" w:hAnsi="Calibri"/>
      <w:b/>
      <w:bCs/>
      <w:i/>
      <w:iCs/>
      <w:sz w:val="26"/>
      <w:szCs w:val="26"/>
    </w:rPr>
  </w:style>
  <w:style w:type="character" w:customStyle="1" w:styleId="Heading6Char">
    <w:name w:val="Heading 6 Char"/>
    <w:rPr>
      <w:rFonts w:ascii="Calibri" w:hAnsi="Calibri"/>
      <w:b/>
      <w:bCs/>
      <w:sz w:val="22"/>
      <w:szCs w:val="22"/>
    </w:rPr>
  </w:style>
  <w:style w:type="character" w:customStyle="1" w:styleId="Heading7Char">
    <w:name w:val="Heading 7 Char"/>
    <w:rPr>
      <w:rFonts w:ascii="Calibri" w:hAnsi="Calibri"/>
      <w:sz w:val="24"/>
      <w:szCs w:val="24"/>
    </w:rPr>
  </w:style>
  <w:style w:type="character" w:customStyle="1" w:styleId="Heading8Char">
    <w:name w:val="Heading 8 Char"/>
    <w:rPr>
      <w:rFonts w:ascii="Calibri" w:hAnsi="Calibri"/>
      <w:i/>
      <w:iCs/>
      <w:sz w:val="24"/>
      <w:szCs w:val="24"/>
    </w:rPr>
  </w:style>
  <w:style w:type="character" w:customStyle="1" w:styleId="Heading9Char">
    <w:name w:val="Heading 9 Char"/>
    <w:rPr>
      <w:rFonts w:ascii="Cambria" w:hAnsi="Cambria"/>
      <w:sz w:val="22"/>
      <w:szCs w:val="22"/>
    </w:rPr>
  </w:style>
  <w:style w:type="paragraph" w:styleId="BodyText">
    <w:name w:val="Body Text"/>
    <w:basedOn w:val="Normal"/>
    <w:pPr>
      <w:spacing w:after="120"/>
    </w:pPr>
  </w:style>
  <w:style w:type="character" w:customStyle="1" w:styleId="BodyTextChar">
    <w:name w:val="Body Text Char"/>
    <w:basedOn w:val="DefaultParagraphFont"/>
  </w:style>
  <w:style w:type="character" w:customStyle="1" w:styleId="BodyText2Char">
    <w:name w:val="Body Text 2 Char"/>
    <w:basedOn w:val="DefaultParagraphFont"/>
    <w:rPr>
      <w:sz w:val="24"/>
      <w:szCs w:val="24"/>
    </w:rPr>
  </w:style>
  <w:style w:type="paragraph" w:styleId="BodyText3">
    <w:name w:val="Body Text 3"/>
    <w:basedOn w:val="Normal"/>
    <w:pPr>
      <w:spacing w:after="120"/>
    </w:pPr>
    <w:rPr>
      <w:sz w:val="16"/>
      <w:szCs w:val="16"/>
    </w:rPr>
  </w:style>
  <w:style w:type="paragraph" w:customStyle="1" w:styleId="TableHeader">
    <w:name w:val="TableHeader"/>
    <w:basedOn w:val="Normal"/>
    <w:pPr>
      <w:spacing w:before="100" w:after="100"/>
      <w:jc w:val="center"/>
    </w:pPr>
    <w:rPr>
      <w:b/>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rPr>
      <w:rFonts w:ascii="Tahoma" w:hAnsi="Tahoma" w:cs="Tahoma"/>
      <w:sz w:val="16"/>
      <w:szCs w:val="16"/>
    </w:rPr>
  </w:style>
  <w:style w:type="character" w:customStyle="1" w:styleId="BodyText3Char">
    <w:name w:val="Body Text 3 Char"/>
    <w:basedOn w:val="DefaultParagraphFont"/>
    <w:rPr>
      <w:sz w:val="16"/>
      <w:szCs w:val="16"/>
    </w:rPr>
  </w:style>
  <w:style w:type="paragraph" w:customStyle="1" w:styleId="TableRow">
    <w:name w:val="TableRow"/>
    <w:basedOn w:val="Normal"/>
    <w:pPr>
      <w:spacing w:before="40" w:after="40"/>
    </w:pPr>
  </w:style>
  <w:style w:type="paragraph" w:styleId="BodyTextFirstIndent">
    <w:name w:val="Body Text First Indent"/>
    <w:basedOn w:val="BodyText"/>
    <w:pPr>
      <w:spacing w:after="240"/>
      <w:ind w:firstLine="360"/>
    </w:pPr>
  </w:style>
  <w:style w:type="character" w:customStyle="1" w:styleId="TableRowChar">
    <w:name w:val="TableRow Char"/>
    <w:rPr>
      <w:sz w:val="24"/>
      <w:szCs w:val="24"/>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sz w:val="24"/>
      <w:szCs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sz w:val="24"/>
      <w:szCs w:val="24"/>
    </w:rPr>
  </w:style>
  <w:style w:type="character" w:customStyle="1" w:styleId="BodyTextFirstIndentChar">
    <w:name w:val="Body Text First Indent Char"/>
    <w:basedOn w:val="BodyTextChar"/>
    <w:rPr>
      <w:sz w:val="24"/>
      <w:szCs w:val="24"/>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rPr>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style>
  <w:style w:type="character" w:styleId="EndnoteReference">
    <w:name w:val="endnote reference"/>
    <w:basedOn w:val="DefaultParagraphFont"/>
    <w:rPr>
      <w:position w:val="0"/>
      <w:vertAlign w:val="superscript"/>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style>
  <w:style w:type="character" w:styleId="FootnoteReference">
    <w:name w:val="footnote reference"/>
    <w:basedOn w:val="DefaultParagraphFont"/>
    <w:rPr>
      <w:position w:val="0"/>
      <w:vertAlign w:val="superscript"/>
    </w:rPr>
  </w:style>
  <w:style w:type="paragraph" w:customStyle="1" w:styleId="ColouredBoxHeadline">
    <w:name w:val="Coloured Box Headline"/>
    <w:basedOn w:val="Normal"/>
    <w:pPr>
      <w:spacing w:before="120"/>
    </w:pPr>
    <w:rPr>
      <w:b/>
      <w:bCs/>
      <w:sz w:val="28"/>
      <w:szCs w:val="20"/>
    </w:rPr>
  </w:style>
  <w:style w:type="paragraph" w:styleId="BodyTextIndent">
    <w:name w:val="Body Text Indent"/>
    <w:basedOn w:val="Normal"/>
    <w:pPr>
      <w:spacing w:after="120"/>
      <w:ind w:left="283"/>
    </w:pPr>
  </w:style>
  <w:style w:type="character" w:customStyle="1" w:styleId="BodyTextIndentChar">
    <w:name w:val="Body Text Indent Char"/>
    <w:basedOn w:val="DefaultParagraphFont"/>
    <w:rPr>
      <w:sz w:val="24"/>
      <w:szCs w:val="24"/>
    </w:rPr>
  </w:style>
  <w:style w:type="paragraph" w:styleId="BodyTextFirstIndent2">
    <w:name w:val="Body Text First Indent 2"/>
    <w:basedOn w:val="BodyTextIndent"/>
    <w:pPr>
      <w:spacing w:after="240"/>
      <w:ind w:left="360" w:firstLine="360"/>
    </w:pPr>
  </w:style>
  <w:style w:type="character" w:customStyle="1" w:styleId="BodyTextFirstIndent2Char">
    <w:name w:val="Body Text First Indent 2 Char"/>
    <w:basedOn w:val="BodyTextIndentChar"/>
    <w:rPr>
      <w:sz w:val="24"/>
      <w:szCs w:val="24"/>
    </w:rPr>
  </w:style>
  <w:style w:type="paragraph" w:styleId="Date">
    <w:name w:val="Date"/>
    <w:basedOn w:val="Normal"/>
    <w:next w:val="Normal"/>
    <w:rPr>
      <w:b/>
      <w:color w:val="1F497D"/>
      <w:sz w:val="44"/>
      <w:szCs w:val="44"/>
    </w:rPr>
  </w:style>
  <w:style w:type="character" w:customStyle="1" w:styleId="DateChar">
    <w:name w:val="Date Char"/>
    <w:basedOn w:val="DefaultParagraphFont"/>
    <w:rPr>
      <w:b/>
      <w:color w:val="1F497D"/>
      <w:sz w:val="44"/>
      <w:szCs w:val="44"/>
    </w:rPr>
  </w:style>
  <w:style w:type="character" w:customStyle="1" w:styleId="SourceChar">
    <w:name w:val="Source Char"/>
    <w:basedOn w:val="DefaultParagraphFont"/>
    <w:rPr>
      <w:sz w:val="22"/>
      <w:szCs w:val="22"/>
    </w:rPr>
  </w:style>
  <w:style w:type="paragraph" w:customStyle="1" w:styleId="Source">
    <w:name w:val="Source"/>
    <w:basedOn w:val="Normal"/>
    <w:pPr>
      <w:spacing w:before="120"/>
      <w:jc w:val="right"/>
    </w:pPr>
    <w:rPr>
      <w:sz w:val="22"/>
      <w:szCs w:val="22"/>
    </w:rPr>
  </w:style>
  <w:style w:type="paragraph" w:customStyle="1" w:styleId="SocialMedia">
    <w:name w:val="SocialMedia"/>
    <w:basedOn w:val="Normal"/>
    <w:pPr>
      <w:tabs>
        <w:tab w:val="left" w:pos="4253"/>
        <w:tab w:val="left" w:pos="4820"/>
      </w:tabs>
      <w:spacing w:after="0" w:line="240" w:lineRule="auto"/>
      <w:ind w:firstLine="34"/>
    </w:pPr>
  </w:style>
  <w:style w:type="paragraph" w:customStyle="1" w:styleId="Reference">
    <w:name w:val="Reference"/>
    <w:basedOn w:val="Normal"/>
    <w:pPr>
      <w:tabs>
        <w:tab w:val="left" w:pos="1701"/>
      </w:tabs>
      <w:spacing w:before="240"/>
    </w:pPr>
  </w:style>
  <w:style w:type="character" w:customStyle="1" w:styleId="SocialMediaChar">
    <w:name w:val="SocialMedia Char"/>
    <w:basedOn w:val="DefaultParagraphFont"/>
    <w:rPr>
      <w:sz w:val="24"/>
      <w:szCs w:val="24"/>
    </w:rPr>
  </w:style>
  <w:style w:type="paragraph" w:customStyle="1" w:styleId="Licence">
    <w:name w:val="Licence"/>
    <w:basedOn w:val="Normal"/>
    <w:pPr>
      <w:tabs>
        <w:tab w:val="left" w:pos="1418"/>
      </w:tabs>
      <w:ind w:left="284"/>
    </w:pPr>
  </w:style>
  <w:style w:type="character" w:customStyle="1" w:styleId="ReferenceChar">
    <w:name w:val="Reference Char"/>
    <w:basedOn w:val="DefaultParagraphFont"/>
    <w:rPr>
      <w:sz w:val="24"/>
      <w:szCs w:val="24"/>
    </w:rPr>
  </w:style>
  <w:style w:type="paragraph" w:customStyle="1" w:styleId="LicenceIntro">
    <w:name w:val="LicenceIntro"/>
    <w:basedOn w:val="Licence"/>
    <w:pPr>
      <w:spacing w:after="0"/>
      <w:ind w:left="0"/>
    </w:pPr>
    <w:rPr>
      <w:szCs w:val="20"/>
    </w:rPr>
  </w:style>
  <w:style w:type="character" w:customStyle="1" w:styleId="LicenceChar">
    <w:name w:val="Licence Char"/>
    <w:basedOn w:val="DefaultParagraphFont"/>
    <w:rPr>
      <w:sz w:val="24"/>
      <w:szCs w:val="24"/>
    </w:rPr>
  </w:style>
  <w:style w:type="paragraph" w:customStyle="1" w:styleId="TableRowRight">
    <w:name w:val="TableRowRight"/>
    <w:basedOn w:val="TableRow"/>
    <w:pPr>
      <w:jc w:val="right"/>
    </w:pPr>
    <w:rPr>
      <w:szCs w:val="20"/>
    </w:rPr>
  </w:style>
  <w:style w:type="paragraph" w:styleId="BodyTextIndent2">
    <w:name w:val="Body Text Indent 2"/>
    <w:basedOn w:val="Normal"/>
    <w:pPr>
      <w:spacing w:after="120" w:line="480" w:lineRule="auto"/>
      <w:ind w:left="283"/>
    </w:pPr>
  </w:style>
  <w:style w:type="character" w:customStyle="1" w:styleId="BodyTextIndent2Char">
    <w:name w:val="Body Text Indent 2 Char"/>
    <w:basedOn w:val="DefaultParagraphFont"/>
    <w:rPr>
      <w:sz w:val="24"/>
      <w:szCs w:val="24"/>
    </w:rPr>
  </w:style>
  <w:style w:type="paragraph" w:styleId="BodyTextIndent3">
    <w:name w:val="Body Text Indent 3"/>
    <w:basedOn w:val="Normal"/>
    <w:pPr>
      <w:spacing w:after="120"/>
      <w:ind w:left="283"/>
    </w:pPr>
    <w:rPr>
      <w:sz w:val="16"/>
      <w:szCs w:val="16"/>
    </w:rPr>
  </w:style>
  <w:style w:type="character" w:customStyle="1" w:styleId="BodyTextIndent3Char">
    <w:name w:val="Body Text Indent 3 Char"/>
    <w:basedOn w:val="DefaultParagraphFont"/>
    <w:rPr>
      <w:sz w:val="16"/>
      <w:szCs w:val="16"/>
    </w:rPr>
  </w:style>
  <w:style w:type="character" w:styleId="BookTitle">
    <w:name w:val="Book Title"/>
    <w:basedOn w:val="DefaultParagraphFont"/>
    <w:rPr>
      <w:b/>
      <w:bCs/>
      <w:smallCaps/>
      <w:spacing w:val="5"/>
    </w:rPr>
  </w:style>
  <w:style w:type="paragraph" w:styleId="Closing">
    <w:name w:val="Closing"/>
    <w:basedOn w:val="Normal"/>
    <w:pPr>
      <w:spacing w:after="0" w:line="240" w:lineRule="auto"/>
      <w:ind w:left="4252"/>
    </w:pPr>
  </w:style>
  <w:style w:type="character" w:customStyle="1" w:styleId="ClosingChar">
    <w:name w:val="Closing Char"/>
    <w:basedOn w:val="DefaultParagraphFont"/>
    <w:rPr>
      <w:sz w:val="24"/>
      <w:szCs w:val="24"/>
    </w:rPr>
  </w:style>
  <w:style w:type="paragraph" w:styleId="DocumentMap">
    <w:name w:val="Document Map"/>
    <w:basedOn w:val="Normal"/>
    <w:pPr>
      <w:spacing w:after="0" w:line="240" w:lineRule="auto"/>
    </w:pPr>
    <w:rPr>
      <w:rFonts w:ascii="Tahoma" w:hAnsi="Tahoma" w:cs="Tahoma"/>
      <w:sz w:val="16"/>
      <w:szCs w:val="16"/>
    </w:rPr>
  </w:style>
  <w:style w:type="character" w:customStyle="1" w:styleId="DocumentMapChar">
    <w:name w:val="Document Map Char"/>
    <w:basedOn w:val="DefaultParagraphFont"/>
    <w:rPr>
      <w:rFonts w:ascii="Tahoma" w:hAnsi="Tahoma" w:cs="Tahoma"/>
      <w:sz w:val="16"/>
      <w:szCs w:val="16"/>
    </w:rPr>
  </w:style>
  <w:style w:type="paragraph" w:styleId="E-mailSignature">
    <w:name w:val="E-mail Signature"/>
    <w:basedOn w:val="Normal"/>
    <w:pPr>
      <w:spacing w:after="0" w:line="240" w:lineRule="auto"/>
    </w:pPr>
  </w:style>
  <w:style w:type="character" w:customStyle="1" w:styleId="E-mailSignatureChar">
    <w:name w:val="E-mail Signature Char"/>
    <w:basedOn w:val="DefaultParagraphFont"/>
    <w:rPr>
      <w:sz w:val="24"/>
      <w:szCs w:val="24"/>
    </w:rPr>
  </w:style>
  <w:style w:type="character" w:styleId="Emphasis">
    <w:name w:val="Emphasis"/>
    <w:basedOn w:val="DefaultParagraphFont"/>
    <w:rPr>
      <w:i/>
      <w:iCs/>
    </w:rPr>
  </w:style>
  <w:style w:type="paragraph" w:styleId="EnvelopeAddress">
    <w:name w:val="envelope address"/>
    <w:basedOn w:val="Normal"/>
    <w:pPr>
      <w:spacing w:after="0" w:line="240" w:lineRule="auto"/>
      <w:ind w:left="2880"/>
    </w:pPr>
  </w:style>
  <w:style w:type="paragraph" w:styleId="EnvelopeReturn">
    <w:name w:val="envelope return"/>
    <w:basedOn w:val="Normal"/>
    <w:pPr>
      <w:spacing w:after="0" w:line="240" w:lineRule="auto"/>
    </w:pPr>
    <w:rPr>
      <w:sz w:val="20"/>
      <w:szCs w:val="20"/>
    </w:rPr>
  </w:style>
  <w:style w:type="character" w:styleId="FollowedHyperlink">
    <w:name w:val="FollowedHyperlink"/>
    <w:basedOn w:val="DefaultParagraphFont"/>
    <w:rPr>
      <w:color w:val="0000FF"/>
      <w:u w:val="single"/>
    </w:rPr>
  </w:style>
  <w:style w:type="character" w:styleId="HTMLAcronym">
    <w:name w:val="HTML Acronym"/>
    <w:basedOn w:val="DefaultParagraphFont"/>
  </w:style>
  <w:style w:type="paragraph" w:styleId="HTMLAddress">
    <w:name w:val="HTML Address"/>
    <w:basedOn w:val="Normal"/>
    <w:pPr>
      <w:spacing w:after="0" w:line="240" w:lineRule="auto"/>
    </w:pPr>
    <w:rPr>
      <w:i/>
      <w:iCs/>
    </w:rPr>
  </w:style>
  <w:style w:type="character" w:customStyle="1" w:styleId="HTMLAddressChar">
    <w:name w:val="HTML Address Char"/>
    <w:basedOn w:val="DefaultParagraphFont"/>
    <w:rPr>
      <w:i/>
      <w:iCs/>
      <w:sz w:val="24"/>
      <w:szCs w:val="24"/>
    </w:rPr>
  </w:style>
  <w:style w:type="character" w:styleId="HTMLCite">
    <w:name w:val="HTML Cite"/>
    <w:basedOn w:val="DefaultParagraphFont"/>
    <w:rPr>
      <w:i/>
      <w:iCs/>
    </w:rPr>
  </w:style>
  <w:style w:type="character" w:styleId="HTMLCode">
    <w:name w:val="HTML Code"/>
    <w:basedOn w:val="DefaultParagraphFont"/>
    <w:rPr>
      <w:rFonts w:ascii="Consolas" w:hAnsi="Consolas"/>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nsolas" w:hAnsi="Consolas"/>
      <w:sz w:val="20"/>
      <w:szCs w:val="20"/>
    </w:rPr>
  </w:style>
  <w:style w:type="paragraph" w:styleId="HTMLPreformatted">
    <w:name w:val="HTML Preformatted"/>
    <w:basedOn w:val="Normal"/>
    <w:pPr>
      <w:spacing w:after="0" w:line="240" w:lineRule="auto"/>
    </w:pPr>
    <w:rPr>
      <w:rFonts w:ascii="Consolas" w:hAnsi="Consolas"/>
      <w:sz w:val="20"/>
      <w:szCs w:val="20"/>
    </w:rPr>
  </w:style>
  <w:style w:type="character" w:customStyle="1" w:styleId="HTMLPreformattedChar">
    <w:name w:val="HTML Preformatted Char"/>
    <w:basedOn w:val="DefaultParagraphFont"/>
    <w:rPr>
      <w:rFonts w:ascii="Consolas" w:hAnsi="Consolas"/>
    </w:rPr>
  </w:style>
  <w:style w:type="character" w:styleId="HTMLSample">
    <w:name w:val="HTML Sample"/>
    <w:basedOn w:val="DefaultParagraphFont"/>
    <w:rPr>
      <w:rFonts w:ascii="Consolas" w:hAnsi="Consolas"/>
      <w:sz w:val="24"/>
      <w:szCs w:val="24"/>
    </w:rPr>
  </w:style>
  <w:style w:type="character" w:styleId="HTMLTypewriter">
    <w:name w:val="HTML Typewriter"/>
    <w:basedOn w:val="DefaultParagraphFont"/>
    <w:rPr>
      <w:rFonts w:ascii="Consolas" w:hAnsi="Consolas"/>
      <w:sz w:val="20"/>
      <w:szCs w:val="20"/>
    </w:rPr>
  </w:style>
  <w:style w:type="character" w:styleId="HTMLVariable">
    <w:name w:val="HTML Variable"/>
    <w:basedOn w:val="DefaultParagraphFont"/>
    <w:rPr>
      <w:i/>
      <w:iCs/>
    </w:rPr>
  </w:style>
  <w:style w:type="paragraph" w:styleId="Index1">
    <w:name w:val="index 1"/>
    <w:basedOn w:val="Normal"/>
    <w:next w:val="Normal"/>
    <w:autoRedefine/>
    <w:pPr>
      <w:spacing w:after="0" w:line="240" w:lineRule="auto"/>
      <w:ind w:left="240" w:hanging="240"/>
    </w:pPr>
  </w:style>
  <w:style w:type="paragraph" w:styleId="Index2">
    <w:name w:val="index 2"/>
    <w:basedOn w:val="Normal"/>
    <w:next w:val="Normal"/>
    <w:autoRedefine/>
    <w:pPr>
      <w:spacing w:after="0" w:line="240" w:lineRule="auto"/>
      <w:ind w:left="480" w:hanging="240"/>
    </w:pPr>
  </w:style>
  <w:style w:type="paragraph" w:styleId="Index3">
    <w:name w:val="index 3"/>
    <w:basedOn w:val="Normal"/>
    <w:next w:val="Normal"/>
    <w:autoRedefine/>
    <w:pPr>
      <w:spacing w:after="0" w:line="240" w:lineRule="auto"/>
      <w:ind w:left="720" w:hanging="240"/>
    </w:pPr>
  </w:style>
  <w:style w:type="paragraph" w:styleId="Index4">
    <w:name w:val="index 4"/>
    <w:basedOn w:val="Normal"/>
    <w:next w:val="Normal"/>
    <w:autoRedefine/>
    <w:pPr>
      <w:spacing w:after="0" w:line="240" w:lineRule="auto"/>
      <w:ind w:left="960" w:hanging="240"/>
    </w:pPr>
  </w:style>
  <w:style w:type="paragraph" w:styleId="Index5">
    <w:name w:val="index 5"/>
    <w:basedOn w:val="Normal"/>
    <w:next w:val="Normal"/>
    <w:autoRedefine/>
    <w:pPr>
      <w:spacing w:after="0" w:line="240" w:lineRule="auto"/>
      <w:ind w:left="1200" w:hanging="240"/>
    </w:pPr>
  </w:style>
  <w:style w:type="paragraph" w:styleId="Index6">
    <w:name w:val="index 6"/>
    <w:basedOn w:val="Normal"/>
    <w:next w:val="Normal"/>
    <w:autoRedefine/>
    <w:pPr>
      <w:spacing w:after="0" w:line="240" w:lineRule="auto"/>
      <w:ind w:left="1440" w:hanging="240"/>
    </w:pPr>
  </w:style>
  <w:style w:type="paragraph" w:styleId="Index7">
    <w:name w:val="index 7"/>
    <w:basedOn w:val="Normal"/>
    <w:next w:val="Normal"/>
    <w:autoRedefine/>
    <w:pPr>
      <w:spacing w:after="0" w:line="240" w:lineRule="auto"/>
      <w:ind w:left="1680" w:hanging="240"/>
    </w:pPr>
  </w:style>
  <w:style w:type="paragraph" w:styleId="Index8">
    <w:name w:val="index 8"/>
    <w:basedOn w:val="Normal"/>
    <w:next w:val="Normal"/>
    <w:autoRedefine/>
    <w:pPr>
      <w:spacing w:after="0" w:line="240" w:lineRule="auto"/>
      <w:ind w:left="1920" w:hanging="240"/>
    </w:pPr>
  </w:style>
  <w:style w:type="paragraph" w:styleId="Index9">
    <w:name w:val="index 9"/>
    <w:basedOn w:val="Normal"/>
    <w:next w:val="Normal"/>
    <w:autoRedefine/>
    <w:pPr>
      <w:spacing w:after="0" w:line="240" w:lineRule="auto"/>
      <w:ind w:left="2160" w:hanging="240"/>
    </w:pPr>
  </w:style>
  <w:style w:type="paragraph" w:styleId="IndexHeading">
    <w:name w:val="index heading"/>
    <w:basedOn w:val="Normal"/>
    <w:next w:val="Index1"/>
    <w:rPr>
      <w:b/>
      <w:bCs/>
    </w:rPr>
  </w:style>
  <w:style w:type="character" w:styleId="IntenseEmphasis">
    <w:name w:val="Intense Emphasis"/>
    <w:basedOn w:val="DefaultParagraphFont"/>
    <w:rPr>
      <w:b/>
      <w:bCs/>
      <w:i/>
      <w:iCs/>
      <w:color w:val="104F75"/>
    </w:rPr>
  </w:style>
  <w:style w:type="paragraph" w:styleId="IntenseQuote">
    <w:name w:val="Intense Quote"/>
    <w:basedOn w:val="Normal"/>
    <w:next w:val="Normal"/>
    <w:pPr>
      <w:pBdr>
        <w:bottom w:val="single" w:sz="4" w:space="4" w:color="104F75"/>
      </w:pBdr>
      <w:spacing w:before="200" w:after="280"/>
      <w:ind w:left="936" w:right="936"/>
    </w:pPr>
    <w:rPr>
      <w:b/>
      <w:bCs/>
      <w:i/>
      <w:iCs/>
      <w:color w:val="104F75"/>
    </w:rPr>
  </w:style>
  <w:style w:type="character" w:customStyle="1" w:styleId="IntenseQuoteChar">
    <w:name w:val="Intense Quote Char"/>
    <w:basedOn w:val="DefaultParagraphFont"/>
    <w:rPr>
      <w:b/>
      <w:bCs/>
      <w:i/>
      <w:iCs/>
      <w:color w:val="104F75"/>
      <w:sz w:val="24"/>
      <w:szCs w:val="24"/>
    </w:rPr>
  </w:style>
  <w:style w:type="character" w:styleId="IntenseReference">
    <w:name w:val="Intense Reference"/>
    <w:basedOn w:val="DefaultParagraphFont"/>
    <w:rPr>
      <w:b/>
      <w:bCs/>
      <w:smallCaps/>
      <w:color w:val="8A2529"/>
      <w:spacing w:val="5"/>
      <w:u w:val="single"/>
    </w:rPr>
  </w:style>
  <w:style w:type="character" w:styleId="LineNumber">
    <w:name w:val="line number"/>
    <w:basedOn w:val="DefaultParagraphFont"/>
  </w:style>
  <w:style w:type="paragraph" w:styleId="List">
    <w:name w:val="List"/>
    <w:basedOn w:val="Normal"/>
    <w:pPr>
      <w:ind w:left="283" w:hanging="283"/>
    </w:pPr>
  </w:style>
  <w:style w:type="paragraph" w:styleId="List2">
    <w:name w:val="List 2"/>
    <w:basedOn w:val="Normal"/>
    <w:pPr>
      <w:ind w:left="566" w:hanging="283"/>
    </w:pPr>
  </w:style>
  <w:style w:type="paragraph" w:styleId="List3">
    <w:name w:val="List 3"/>
    <w:basedOn w:val="Normal"/>
    <w:pPr>
      <w:ind w:left="849" w:hanging="283"/>
    </w:pPr>
  </w:style>
  <w:style w:type="paragraph" w:styleId="List4">
    <w:name w:val="List 4"/>
    <w:basedOn w:val="Normal"/>
    <w:pPr>
      <w:ind w:left="1132" w:hanging="283"/>
    </w:pPr>
  </w:style>
  <w:style w:type="paragraph" w:styleId="List5">
    <w:name w:val="List 5"/>
    <w:basedOn w:val="Normal"/>
    <w:pPr>
      <w:ind w:left="1415" w:hanging="283"/>
    </w:pPr>
  </w:style>
  <w:style w:type="paragraph" w:styleId="ListBullet2">
    <w:name w:val="List Bullet 2"/>
    <w:basedOn w:val="Normal"/>
    <w:pPr>
      <w:numPr>
        <w:numId w:val="9"/>
      </w:numPr>
    </w:pPr>
  </w:style>
  <w:style w:type="paragraph" w:styleId="ListBullet3">
    <w:name w:val="List Bullet 3"/>
    <w:basedOn w:val="Normal"/>
    <w:pPr>
      <w:numPr>
        <w:numId w:val="10"/>
      </w:numPr>
    </w:pPr>
  </w:style>
  <w:style w:type="paragraph" w:styleId="ListBullet4">
    <w:name w:val="List Bullet 4"/>
    <w:basedOn w:val="Normal"/>
    <w:pPr>
      <w:numPr>
        <w:numId w:val="11"/>
      </w:numPr>
    </w:pPr>
  </w:style>
  <w:style w:type="paragraph" w:styleId="ListBullet5">
    <w:name w:val="List Bullet 5"/>
    <w:basedOn w:val="Normal"/>
    <w:pPr>
      <w:numPr>
        <w:numId w:val="12"/>
      </w:numPr>
    </w:pPr>
  </w:style>
  <w:style w:type="paragraph" w:styleId="ListContinue">
    <w:name w:val="List Continue"/>
    <w:basedOn w:val="Normal"/>
    <w:pPr>
      <w:spacing w:after="120"/>
      <w:ind w:left="283"/>
    </w:pPr>
  </w:style>
  <w:style w:type="paragraph" w:styleId="ListContinue2">
    <w:name w:val="List Continue 2"/>
    <w:basedOn w:val="Normal"/>
    <w:pPr>
      <w:spacing w:after="120"/>
      <w:ind w:left="566"/>
    </w:pPr>
  </w:style>
  <w:style w:type="paragraph" w:styleId="ListContinue3">
    <w:name w:val="List Continue 3"/>
    <w:basedOn w:val="Normal"/>
    <w:pPr>
      <w:spacing w:after="120"/>
      <w:ind w:left="849"/>
    </w:pPr>
  </w:style>
  <w:style w:type="paragraph" w:styleId="ListContinue4">
    <w:name w:val="List Continue 4"/>
    <w:basedOn w:val="Normal"/>
    <w:pPr>
      <w:spacing w:after="120"/>
      <w:ind w:left="1132"/>
    </w:pPr>
  </w:style>
  <w:style w:type="paragraph" w:styleId="ListContinue5">
    <w:name w:val="List Continue 5"/>
    <w:basedOn w:val="Normal"/>
    <w:pPr>
      <w:spacing w:after="120"/>
      <w:ind w:left="1415"/>
    </w:pPr>
  </w:style>
  <w:style w:type="paragraph" w:styleId="ListNumber">
    <w:name w:val="List Number"/>
    <w:basedOn w:val="Normal"/>
    <w:pPr>
      <w:numPr>
        <w:numId w:val="13"/>
      </w:numPr>
    </w:pPr>
  </w:style>
  <w:style w:type="paragraph" w:styleId="ListNumber2">
    <w:name w:val="List Number 2"/>
    <w:basedOn w:val="Normal"/>
    <w:pPr>
      <w:numPr>
        <w:numId w:val="14"/>
      </w:numPr>
    </w:pPr>
  </w:style>
  <w:style w:type="paragraph" w:styleId="ListNumber3">
    <w:name w:val="List Number 3"/>
    <w:basedOn w:val="Normal"/>
    <w:pPr>
      <w:numPr>
        <w:numId w:val="15"/>
      </w:numPr>
    </w:pPr>
  </w:style>
  <w:style w:type="paragraph" w:styleId="ListNumber4">
    <w:name w:val="List Number 4"/>
    <w:basedOn w:val="Normal"/>
    <w:pPr>
      <w:numPr>
        <w:numId w:val="16"/>
      </w:numPr>
    </w:pPr>
  </w:style>
  <w:style w:type="paragraph" w:styleId="ListNumber5">
    <w:name w:val="List Number 5"/>
    <w:basedOn w:val="Normal"/>
    <w:pPr>
      <w:numPr>
        <w:numId w:val="17"/>
      </w:numPr>
    </w:p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line="288" w:lineRule="auto"/>
    </w:pPr>
    <w:rPr>
      <w:rFonts w:ascii="Consolas" w:hAnsi="Consolas"/>
    </w:rPr>
  </w:style>
  <w:style w:type="character" w:customStyle="1" w:styleId="MacroTextChar">
    <w:name w:val="Macro Text Char"/>
    <w:basedOn w:val="DefaultParagraphFont"/>
    <w:rPr>
      <w:rFonts w:ascii="Consolas" w:hAnsi="Consolas"/>
    </w:rPr>
  </w:style>
  <w:style w:type="paragraph" w:styleId="MessageHeader">
    <w:name w:val="Message Header"/>
    <w:basedOn w:val="Normal"/>
    <w:pPr>
      <w:pBdr>
        <w:top w:val="single" w:sz="6" w:space="1" w:color="000000"/>
        <w:left w:val="single" w:sz="6" w:space="1" w:color="000000"/>
        <w:bottom w:val="single" w:sz="6" w:space="1" w:color="000000"/>
        <w:right w:val="single" w:sz="6" w:space="1" w:color="000000"/>
      </w:pBdr>
      <w:spacing w:after="0" w:line="240" w:lineRule="auto"/>
      <w:ind w:left="1134" w:hanging="1134"/>
    </w:pPr>
  </w:style>
  <w:style w:type="character" w:customStyle="1" w:styleId="MessageHeaderChar">
    <w:name w:val="Message Header Char"/>
    <w:basedOn w:val="DefaultParagraphFont"/>
    <w:rPr>
      <w:rFonts w:ascii="Arial" w:eastAsia="Times New Roman" w:hAnsi="Arial" w:cs="Times New Roman"/>
      <w:sz w:val="24"/>
      <w:szCs w:val="24"/>
      <w:shd w:val="clear" w:color="auto" w:fill="auto"/>
    </w:rPr>
  </w:style>
  <w:style w:type="paragraph" w:styleId="NoSpacing">
    <w:name w:val="No Spacing"/>
    <w:pPr>
      <w:suppressAutoHyphens/>
    </w:pPr>
    <w:rPr>
      <w:sz w:val="24"/>
      <w:szCs w:val="24"/>
    </w:rPr>
  </w:style>
  <w:style w:type="paragraph" w:styleId="NormalWeb">
    <w:name w:val="Normal (Web)"/>
    <w:basedOn w:val="Normal"/>
    <w:rPr>
      <w:rFonts w:ascii="Times New Roman" w:hAnsi="Times New Roman"/>
    </w:rPr>
  </w:style>
  <w:style w:type="paragraph" w:styleId="NormalIndent">
    <w:name w:val="Normal Indent"/>
    <w:basedOn w:val="Normal"/>
    <w:pPr>
      <w:ind w:left="720"/>
    </w:pPr>
  </w:style>
  <w:style w:type="paragraph" w:styleId="NoteHeading">
    <w:name w:val="Note Heading"/>
    <w:basedOn w:val="Normal"/>
    <w:next w:val="Normal"/>
    <w:pPr>
      <w:spacing w:after="0" w:line="240" w:lineRule="auto"/>
    </w:pPr>
  </w:style>
  <w:style w:type="character" w:customStyle="1" w:styleId="NoteHeadingChar">
    <w:name w:val="Note Heading Char"/>
    <w:basedOn w:val="DefaultParagraphFont"/>
    <w:rPr>
      <w:sz w:val="24"/>
      <w:szCs w:val="24"/>
    </w:rPr>
  </w:style>
  <w:style w:type="character" w:styleId="PageNumber">
    <w:name w:val="page number"/>
    <w:basedOn w:val="DefaultParagraphFont"/>
  </w:style>
  <w:style w:type="character" w:styleId="PlaceholderText">
    <w:name w:val="Placeholder Text"/>
    <w:basedOn w:val="DefaultParagraphFont"/>
    <w:rPr>
      <w:color w:val="808080"/>
    </w:rPr>
  </w:style>
  <w:style w:type="paragraph" w:styleId="PlainText">
    <w:name w:val="Plain Text"/>
    <w:basedOn w:val="Normal"/>
    <w:pPr>
      <w:spacing w:after="0" w:line="240" w:lineRule="auto"/>
    </w:pPr>
    <w:rPr>
      <w:rFonts w:ascii="Consolas" w:hAnsi="Consolas"/>
      <w:sz w:val="21"/>
      <w:szCs w:val="21"/>
    </w:rPr>
  </w:style>
  <w:style w:type="character" w:customStyle="1" w:styleId="PlainTextChar">
    <w:name w:val="Plain Text Char"/>
    <w:basedOn w:val="DefaultParagraphFont"/>
    <w:rPr>
      <w:rFonts w:ascii="Consolas" w:hAnsi="Consolas"/>
      <w:sz w:val="21"/>
      <w:szCs w:val="21"/>
    </w:rPr>
  </w:style>
  <w:style w:type="paragraph" w:styleId="Quote">
    <w:name w:val="Quote"/>
    <w:basedOn w:val="Normal"/>
    <w:next w:val="Normal"/>
    <w:rPr>
      <w:i/>
      <w:iCs/>
      <w:color w:val="000000"/>
    </w:rPr>
  </w:style>
  <w:style w:type="character" w:customStyle="1" w:styleId="QuoteChar">
    <w:name w:val="Quote Char"/>
    <w:basedOn w:val="DefaultParagraphFont"/>
    <w:rPr>
      <w:i/>
      <w:iCs/>
      <w:color w:val="000000"/>
      <w:sz w:val="24"/>
      <w:szCs w:val="24"/>
    </w:rPr>
  </w:style>
  <w:style w:type="paragraph" w:styleId="Salutation">
    <w:name w:val="Salutation"/>
    <w:basedOn w:val="Normal"/>
    <w:next w:val="Normal"/>
  </w:style>
  <w:style w:type="character" w:customStyle="1" w:styleId="SalutationChar">
    <w:name w:val="Salutation Char"/>
    <w:basedOn w:val="DefaultParagraphFont"/>
    <w:rPr>
      <w:sz w:val="24"/>
      <w:szCs w:val="24"/>
    </w:rPr>
  </w:style>
  <w:style w:type="paragraph" w:styleId="Signature">
    <w:name w:val="Signature"/>
    <w:basedOn w:val="Normal"/>
    <w:pPr>
      <w:spacing w:after="0" w:line="240" w:lineRule="auto"/>
      <w:ind w:left="4252"/>
    </w:pPr>
  </w:style>
  <w:style w:type="character" w:customStyle="1" w:styleId="SignatureChar">
    <w:name w:val="Signature Char"/>
    <w:basedOn w:val="DefaultParagraphFont"/>
    <w:rPr>
      <w:sz w:val="24"/>
      <w:szCs w:val="24"/>
    </w:rPr>
  </w:style>
  <w:style w:type="character" w:styleId="Strong">
    <w:name w:val="Strong"/>
    <w:basedOn w:val="DefaultParagraphFont"/>
    <w:rPr>
      <w:b/>
      <w:bCs/>
    </w:rPr>
  </w:style>
  <w:style w:type="paragraph" w:styleId="Subtitle">
    <w:name w:val="Subtitle"/>
    <w:basedOn w:val="Normal"/>
    <w:next w:val="Normal"/>
    <w:uiPriority w:val="11"/>
    <w:qFormat/>
    <w:rPr>
      <w:i/>
      <w:iCs/>
      <w:color w:val="104F75"/>
      <w:spacing w:val="15"/>
    </w:rPr>
  </w:style>
  <w:style w:type="character" w:customStyle="1" w:styleId="SubtitleChar">
    <w:name w:val="Subtitle Char"/>
    <w:basedOn w:val="DefaultParagraphFont"/>
    <w:rPr>
      <w:rFonts w:ascii="Arial" w:eastAsia="Times New Roman" w:hAnsi="Arial" w:cs="Times New Roman"/>
      <w:i/>
      <w:iCs/>
      <w:color w:val="104F75"/>
      <w:spacing w:val="15"/>
      <w:sz w:val="24"/>
      <w:szCs w:val="24"/>
    </w:rPr>
  </w:style>
  <w:style w:type="character" w:styleId="SubtleEmphasis">
    <w:name w:val="Subtle Emphasis"/>
    <w:basedOn w:val="DefaultParagraphFont"/>
    <w:rPr>
      <w:i/>
      <w:iCs/>
      <w:color w:val="808080"/>
    </w:rPr>
  </w:style>
  <w:style w:type="character" w:styleId="SubtleReference">
    <w:name w:val="Subtle Reference"/>
    <w:basedOn w:val="DefaultParagraphFont"/>
    <w:rPr>
      <w:smallCaps/>
      <w:color w:val="8A2529"/>
      <w:u w:val="single"/>
    </w:rPr>
  </w:style>
  <w:style w:type="paragraph" w:styleId="TableofAuthorities">
    <w:name w:val="table of authorities"/>
    <w:basedOn w:val="Normal"/>
    <w:next w:val="Normal"/>
    <w:pPr>
      <w:spacing w:after="0"/>
      <w:ind w:left="240" w:hanging="240"/>
    </w:pPr>
  </w:style>
  <w:style w:type="paragraph" w:styleId="TOAHeading">
    <w:name w:val="toa heading"/>
    <w:basedOn w:val="Normal"/>
    <w:next w:val="Normal"/>
    <w:pPr>
      <w:spacing w:before="120"/>
    </w:pPr>
    <w:rPr>
      <w:b/>
      <w:bCs/>
    </w:rPr>
  </w:style>
  <w:style w:type="paragraph" w:styleId="TOC4">
    <w:name w:val="toc 4"/>
    <w:basedOn w:val="Normal"/>
    <w:next w:val="Normal"/>
    <w:autoRedefine/>
    <w:pPr>
      <w:spacing w:after="100"/>
      <w:ind w:left="720"/>
    </w:pPr>
  </w:style>
  <w:style w:type="paragraph" w:styleId="TOC5">
    <w:name w:val="toc 5"/>
    <w:basedOn w:val="Normal"/>
    <w:next w:val="Normal"/>
    <w:autoRedefine/>
    <w:pPr>
      <w:spacing w:after="100"/>
      <w:ind w:left="960"/>
    </w:pPr>
  </w:style>
  <w:style w:type="paragraph" w:styleId="TOC6">
    <w:name w:val="toc 6"/>
    <w:basedOn w:val="Normal"/>
    <w:next w:val="Normal"/>
    <w:autoRedefine/>
    <w:pPr>
      <w:spacing w:after="100"/>
      <w:ind w:left="1200"/>
    </w:pPr>
  </w:style>
  <w:style w:type="paragraph" w:styleId="TOC7">
    <w:name w:val="toc 7"/>
    <w:basedOn w:val="Normal"/>
    <w:next w:val="Normal"/>
    <w:autoRedefine/>
    <w:pPr>
      <w:spacing w:after="100"/>
      <w:ind w:left="1440"/>
    </w:pPr>
  </w:style>
  <w:style w:type="paragraph" w:styleId="TOC8">
    <w:name w:val="toc 8"/>
    <w:basedOn w:val="Normal"/>
    <w:next w:val="Normal"/>
    <w:autoRedefine/>
    <w:pPr>
      <w:spacing w:after="100"/>
      <w:ind w:left="1680"/>
    </w:pPr>
  </w:style>
  <w:style w:type="paragraph" w:styleId="TOC9">
    <w:name w:val="toc 9"/>
    <w:basedOn w:val="Normal"/>
    <w:next w:val="Normal"/>
    <w:autoRedefine/>
    <w:pPr>
      <w:spacing w:after="100"/>
      <w:ind w:left="1920"/>
    </w:pPr>
  </w:style>
  <w:style w:type="paragraph" w:customStyle="1" w:styleId="DfESOutNumbered">
    <w:name w:val="DfESOutNumbered"/>
    <w:basedOn w:val="Normal"/>
    <w:pPr>
      <w:widowControl w:val="0"/>
      <w:numPr>
        <w:numId w:val="18"/>
      </w:numPr>
      <w:overflowPunct w:val="0"/>
      <w:autoSpaceDE w:val="0"/>
      <w:spacing w:line="240" w:lineRule="auto"/>
    </w:pPr>
    <w:rPr>
      <w:rFonts w:cs="Arial"/>
      <w:sz w:val="22"/>
      <w:szCs w:val="20"/>
      <w:lang w:eastAsia="en-US"/>
    </w:rPr>
  </w:style>
  <w:style w:type="character" w:customStyle="1" w:styleId="DfESOutNumberedChar">
    <w:name w:val="DfESOutNumbered Char"/>
    <w:basedOn w:val="DefaultParagraphFont"/>
    <w:rPr>
      <w:rFonts w:cs="Arial"/>
      <w:sz w:val="22"/>
      <w:lang w:eastAsia="en-US"/>
    </w:rPr>
  </w:style>
  <w:style w:type="paragraph" w:customStyle="1" w:styleId="TableRowCentered">
    <w:name w:val="TableRowCentered"/>
    <w:basedOn w:val="TableRow"/>
    <w:pPr>
      <w:jc w:val="center"/>
    </w:pPr>
    <w:rPr>
      <w:szCs w:val="20"/>
    </w:rPr>
  </w:style>
  <w:style w:type="paragraph" w:customStyle="1" w:styleId="DeptBullets">
    <w:name w:val="DeptBullets"/>
    <w:basedOn w:val="Normal"/>
    <w:pPr>
      <w:widowControl w:val="0"/>
      <w:numPr>
        <w:numId w:val="19"/>
      </w:numPr>
      <w:overflowPunct w:val="0"/>
      <w:autoSpaceDE w:val="0"/>
      <w:spacing w:line="240" w:lineRule="auto"/>
    </w:pPr>
    <w:rPr>
      <w:szCs w:val="20"/>
      <w:lang w:eastAsia="en-US"/>
    </w:rPr>
  </w:style>
  <w:style w:type="character" w:customStyle="1" w:styleId="DeptBulletsChar">
    <w:name w:val="DeptBullets Char"/>
    <w:basedOn w:val="DefaultParagraphFont"/>
    <w:rPr>
      <w:sz w:val="24"/>
      <w:lang w:eastAsia="en-US"/>
    </w:rPr>
  </w:style>
  <w:style w:type="character" w:customStyle="1" w:styleId="LogosChar">
    <w:name w:val="Logos Char"/>
    <w:basedOn w:val="DefaultParagraphFont"/>
    <w:rPr>
      <w:color w:val="0D0D0D"/>
      <w:sz w:val="24"/>
      <w:szCs w:val="24"/>
    </w:rPr>
  </w:style>
  <w:style w:type="paragraph" w:customStyle="1" w:styleId="Logos">
    <w:name w:val="Logos"/>
    <w:basedOn w:val="Normal"/>
    <w:pPr>
      <w:pageBreakBefore/>
      <w:widowControl w:val="0"/>
    </w:pPr>
    <w:rPr>
      <w:color w:val="0D0D0D"/>
    </w:rPr>
  </w:style>
  <w:style w:type="character" w:customStyle="1" w:styleId="RGB">
    <w:name w:val="RGB"/>
    <w:basedOn w:val="DefaultParagraphFont"/>
    <w:rPr>
      <w:b/>
      <w:bCs/>
      <w:sz w:val="20"/>
    </w:rPr>
  </w:style>
  <w:style w:type="character" w:customStyle="1" w:styleId="RGBValues">
    <w:name w:val="RGB Values"/>
    <w:basedOn w:val="DefaultParagraphFont"/>
    <w:rPr>
      <w:sz w:val="20"/>
    </w:rPr>
  </w:style>
  <w:style w:type="paragraph" w:customStyle="1" w:styleId="Centredembed">
    <w:name w:val="Centred embed"/>
    <w:basedOn w:val="Normal"/>
    <w:pPr>
      <w:spacing w:after="0"/>
      <w:jc w:val="center"/>
    </w:pPr>
    <w:rPr>
      <w:szCs w:val="20"/>
    </w:rPr>
  </w:style>
  <w:style w:type="paragraph" w:customStyle="1" w:styleId="Researchreport">
    <w:name w:val="Research report"/>
    <w:basedOn w:val="SubtitleText"/>
    <w:pPr>
      <w:spacing w:after="360"/>
    </w:pPr>
    <w:rPr>
      <w:sz w:val="52"/>
      <w:szCs w:val="52"/>
    </w:rPr>
  </w:style>
  <w:style w:type="character" w:customStyle="1" w:styleId="ResearchreportChar">
    <w:name w:val="Research report Char"/>
    <w:basedOn w:val="SubtitleTextChar"/>
    <w:rPr>
      <w:rFonts w:cs="Arial"/>
      <w:b/>
      <w:color w:val="104F75"/>
      <w:sz w:val="52"/>
      <w:szCs w:val="52"/>
    </w:rPr>
  </w:style>
  <w:style w:type="paragraph" w:customStyle="1" w:styleId="Quote-DfE">
    <w:name w:val="Quote-DfE"/>
    <w:basedOn w:val="Normal"/>
    <w:pPr>
      <w:spacing w:after="360"/>
      <w:ind w:left="1080" w:right="1036"/>
    </w:pPr>
  </w:style>
  <w:style w:type="character" w:customStyle="1" w:styleId="Quote-DfEChar">
    <w:name w:val="Quote-DfE Char"/>
    <w:basedOn w:val="DefaultParagraphFont"/>
    <w:rPr>
      <w:sz w:val="24"/>
      <w:szCs w:val="24"/>
    </w:rPr>
  </w:style>
  <w:style w:type="character" w:styleId="UnresolvedMention">
    <w:name w:val="Unresolved Mention"/>
    <w:basedOn w:val="DefaultParagraphFont"/>
    <w:uiPriority w:val="99"/>
    <w:semiHidden/>
    <w:unhideWhenUsed/>
    <w:rsid w:val="00F02BD1"/>
    <w:rPr>
      <w:color w:val="605E5C"/>
      <w:shd w:val="clear" w:color="auto" w:fill="E1DFDD"/>
    </w:rPr>
  </w:style>
  <w:style w:type="numbering" w:customStyle="1" w:styleId="WWOutlineListStyle5">
    <w:name w:val="WW_OutlineListStyle_5"/>
    <w:basedOn w:val="NoList"/>
    <w:pPr>
      <w:numPr>
        <w:numId w:val="2"/>
      </w:numPr>
    </w:pPr>
  </w:style>
  <w:style w:type="numbering" w:customStyle="1" w:styleId="WWOutlineListStyle4">
    <w:name w:val="WW_OutlineListStyle_4"/>
    <w:basedOn w:val="NoList"/>
    <w:pPr>
      <w:numPr>
        <w:numId w:val="3"/>
      </w:numPr>
    </w:pPr>
  </w:style>
  <w:style w:type="numbering" w:customStyle="1" w:styleId="WWOutlineListStyle3">
    <w:name w:val="WW_OutlineListStyle_3"/>
    <w:basedOn w:val="NoList"/>
    <w:pPr>
      <w:numPr>
        <w:numId w:val="4"/>
      </w:numPr>
    </w:pPr>
  </w:style>
  <w:style w:type="numbering" w:customStyle="1" w:styleId="WWOutlineListStyle2">
    <w:name w:val="WW_OutlineListStyle_2"/>
    <w:basedOn w:val="NoList"/>
    <w:pPr>
      <w:numPr>
        <w:numId w:val="5"/>
      </w:numPr>
    </w:pPr>
  </w:style>
  <w:style w:type="numbering" w:customStyle="1" w:styleId="WWOutlineListStyle1">
    <w:name w:val="WW_OutlineListStyle_1"/>
    <w:basedOn w:val="NoList"/>
    <w:pPr>
      <w:numPr>
        <w:numId w:val="6"/>
      </w:numPr>
    </w:pPr>
  </w:style>
  <w:style w:type="numbering" w:customStyle="1" w:styleId="WWOutlineListStyle">
    <w:name w:val="WW_OutlineListStyle"/>
    <w:basedOn w:val="NoList"/>
    <w:pPr>
      <w:numPr>
        <w:numId w:val="7"/>
      </w:numPr>
    </w:pPr>
  </w:style>
  <w:style w:type="numbering" w:customStyle="1" w:styleId="LFO6">
    <w:name w:val="LFO6"/>
    <w:basedOn w:val="NoList"/>
    <w:pPr>
      <w:numPr>
        <w:numId w:val="8"/>
      </w:numPr>
    </w:pPr>
  </w:style>
  <w:style w:type="numbering" w:customStyle="1" w:styleId="LFO13">
    <w:name w:val="LFO13"/>
    <w:basedOn w:val="NoList"/>
    <w:pPr>
      <w:numPr>
        <w:numId w:val="9"/>
      </w:numPr>
    </w:pPr>
  </w:style>
  <w:style w:type="numbering" w:customStyle="1" w:styleId="LFO14">
    <w:name w:val="LFO14"/>
    <w:basedOn w:val="NoList"/>
    <w:pPr>
      <w:numPr>
        <w:numId w:val="10"/>
      </w:numPr>
    </w:pPr>
  </w:style>
  <w:style w:type="numbering" w:customStyle="1" w:styleId="LFO15">
    <w:name w:val="LFO15"/>
    <w:basedOn w:val="NoList"/>
    <w:pPr>
      <w:numPr>
        <w:numId w:val="11"/>
      </w:numPr>
    </w:pPr>
  </w:style>
  <w:style w:type="numbering" w:customStyle="1" w:styleId="LFO16">
    <w:name w:val="LFO16"/>
    <w:basedOn w:val="NoList"/>
    <w:pPr>
      <w:numPr>
        <w:numId w:val="12"/>
      </w:numPr>
    </w:pPr>
  </w:style>
  <w:style w:type="numbering" w:customStyle="1" w:styleId="LFO17">
    <w:name w:val="LFO17"/>
    <w:basedOn w:val="NoList"/>
    <w:pPr>
      <w:numPr>
        <w:numId w:val="13"/>
      </w:numPr>
    </w:pPr>
  </w:style>
  <w:style w:type="numbering" w:customStyle="1" w:styleId="LFO18">
    <w:name w:val="LFO18"/>
    <w:basedOn w:val="NoList"/>
    <w:pPr>
      <w:numPr>
        <w:numId w:val="14"/>
      </w:numPr>
    </w:pPr>
  </w:style>
  <w:style w:type="numbering" w:customStyle="1" w:styleId="LFO19">
    <w:name w:val="LFO19"/>
    <w:basedOn w:val="NoList"/>
    <w:pPr>
      <w:numPr>
        <w:numId w:val="15"/>
      </w:numPr>
    </w:pPr>
  </w:style>
  <w:style w:type="numbering" w:customStyle="1" w:styleId="LFO20">
    <w:name w:val="LFO20"/>
    <w:basedOn w:val="NoList"/>
    <w:pPr>
      <w:numPr>
        <w:numId w:val="16"/>
      </w:numPr>
    </w:pPr>
  </w:style>
  <w:style w:type="numbering" w:customStyle="1" w:styleId="LFO21">
    <w:name w:val="LFO21"/>
    <w:basedOn w:val="NoList"/>
    <w:pPr>
      <w:numPr>
        <w:numId w:val="17"/>
      </w:numPr>
    </w:pPr>
  </w:style>
  <w:style w:type="numbering" w:customStyle="1" w:styleId="LFO27">
    <w:name w:val="LFO27"/>
    <w:basedOn w:val="NoList"/>
    <w:pPr>
      <w:numPr>
        <w:numId w:val="18"/>
      </w:numPr>
    </w:pPr>
  </w:style>
  <w:style w:type="numbering" w:customStyle="1" w:styleId="LFO33">
    <w:name w:val="LFO33"/>
    <w:basedOn w:val="NoList"/>
    <w:pPr>
      <w:numPr>
        <w:numId w:val="19"/>
      </w:numPr>
    </w:pPr>
  </w:style>
  <w:style w:type="numbering" w:customStyle="1" w:styleId="LFO38">
    <w:name w:val="LFO38"/>
    <w:basedOn w:val="NoList"/>
    <w:pPr>
      <w:numPr>
        <w:numId w:val="20"/>
      </w:numPr>
    </w:pPr>
  </w:style>
  <w:style w:type="numbering" w:customStyle="1" w:styleId="LFO45">
    <w:name w:val="LFO45"/>
    <w:basedOn w:val="NoList"/>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1639">
      <w:bodyDiv w:val="1"/>
      <w:marLeft w:val="0"/>
      <w:marRight w:val="0"/>
      <w:marTop w:val="0"/>
      <w:marBottom w:val="0"/>
      <w:divBdr>
        <w:top w:val="none" w:sz="0" w:space="0" w:color="auto"/>
        <w:left w:val="none" w:sz="0" w:space="0" w:color="auto"/>
        <w:bottom w:val="none" w:sz="0" w:space="0" w:color="auto"/>
        <w:right w:val="none" w:sz="0" w:space="0" w:color="auto"/>
      </w:divBdr>
      <w:divsChild>
        <w:div w:id="48188571">
          <w:marLeft w:val="0"/>
          <w:marRight w:val="0"/>
          <w:marTop w:val="0"/>
          <w:marBottom w:val="0"/>
          <w:divBdr>
            <w:top w:val="none" w:sz="0" w:space="0" w:color="auto"/>
            <w:left w:val="none" w:sz="0" w:space="0" w:color="auto"/>
            <w:bottom w:val="none" w:sz="0" w:space="0" w:color="auto"/>
            <w:right w:val="none" w:sz="0" w:space="0" w:color="auto"/>
          </w:divBdr>
          <w:divsChild>
            <w:div w:id="17598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061547">
      <w:bodyDiv w:val="1"/>
      <w:marLeft w:val="0"/>
      <w:marRight w:val="0"/>
      <w:marTop w:val="0"/>
      <w:marBottom w:val="0"/>
      <w:divBdr>
        <w:top w:val="none" w:sz="0" w:space="0" w:color="auto"/>
        <w:left w:val="none" w:sz="0" w:space="0" w:color="auto"/>
        <w:bottom w:val="none" w:sz="0" w:space="0" w:color="auto"/>
        <w:right w:val="none" w:sz="0" w:space="0" w:color="auto"/>
      </w:divBdr>
      <w:divsChild>
        <w:div w:id="495147585">
          <w:marLeft w:val="0"/>
          <w:marRight w:val="0"/>
          <w:marTop w:val="0"/>
          <w:marBottom w:val="0"/>
          <w:divBdr>
            <w:top w:val="none" w:sz="0" w:space="0" w:color="auto"/>
            <w:left w:val="none" w:sz="0" w:space="0" w:color="auto"/>
            <w:bottom w:val="none" w:sz="0" w:space="0" w:color="auto"/>
            <w:right w:val="none" w:sz="0" w:space="0" w:color="auto"/>
          </w:divBdr>
          <w:divsChild>
            <w:div w:id="143583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074491">
      <w:bodyDiv w:val="1"/>
      <w:marLeft w:val="0"/>
      <w:marRight w:val="0"/>
      <w:marTop w:val="0"/>
      <w:marBottom w:val="0"/>
      <w:divBdr>
        <w:top w:val="none" w:sz="0" w:space="0" w:color="auto"/>
        <w:left w:val="none" w:sz="0" w:space="0" w:color="auto"/>
        <w:bottom w:val="none" w:sz="0" w:space="0" w:color="auto"/>
        <w:right w:val="none" w:sz="0" w:space="0" w:color="auto"/>
      </w:divBdr>
    </w:div>
    <w:div w:id="445078173">
      <w:bodyDiv w:val="1"/>
      <w:marLeft w:val="0"/>
      <w:marRight w:val="0"/>
      <w:marTop w:val="0"/>
      <w:marBottom w:val="0"/>
      <w:divBdr>
        <w:top w:val="none" w:sz="0" w:space="0" w:color="auto"/>
        <w:left w:val="none" w:sz="0" w:space="0" w:color="auto"/>
        <w:bottom w:val="none" w:sz="0" w:space="0" w:color="auto"/>
        <w:right w:val="none" w:sz="0" w:space="0" w:color="auto"/>
      </w:divBdr>
      <w:divsChild>
        <w:div w:id="908612501">
          <w:marLeft w:val="0"/>
          <w:marRight w:val="0"/>
          <w:marTop w:val="0"/>
          <w:marBottom w:val="0"/>
          <w:divBdr>
            <w:top w:val="none" w:sz="0" w:space="0" w:color="auto"/>
            <w:left w:val="none" w:sz="0" w:space="0" w:color="auto"/>
            <w:bottom w:val="none" w:sz="0" w:space="0" w:color="auto"/>
            <w:right w:val="none" w:sz="0" w:space="0" w:color="auto"/>
          </w:divBdr>
          <w:divsChild>
            <w:div w:id="11660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679823">
      <w:bodyDiv w:val="1"/>
      <w:marLeft w:val="0"/>
      <w:marRight w:val="0"/>
      <w:marTop w:val="0"/>
      <w:marBottom w:val="0"/>
      <w:divBdr>
        <w:top w:val="none" w:sz="0" w:space="0" w:color="auto"/>
        <w:left w:val="none" w:sz="0" w:space="0" w:color="auto"/>
        <w:bottom w:val="none" w:sz="0" w:space="0" w:color="auto"/>
        <w:right w:val="none" w:sz="0" w:space="0" w:color="auto"/>
      </w:divBdr>
      <w:divsChild>
        <w:div w:id="214858217">
          <w:marLeft w:val="0"/>
          <w:marRight w:val="0"/>
          <w:marTop w:val="0"/>
          <w:marBottom w:val="0"/>
          <w:divBdr>
            <w:top w:val="none" w:sz="0" w:space="0" w:color="auto"/>
            <w:left w:val="none" w:sz="0" w:space="0" w:color="auto"/>
            <w:bottom w:val="none" w:sz="0" w:space="0" w:color="auto"/>
            <w:right w:val="none" w:sz="0" w:space="0" w:color="auto"/>
          </w:divBdr>
          <w:divsChild>
            <w:div w:id="12138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215882">
      <w:bodyDiv w:val="1"/>
      <w:marLeft w:val="0"/>
      <w:marRight w:val="0"/>
      <w:marTop w:val="0"/>
      <w:marBottom w:val="0"/>
      <w:divBdr>
        <w:top w:val="none" w:sz="0" w:space="0" w:color="auto"/>
        <w:left w:val="none" w:sz="0" w:space="0" w:color="auto"/>
        <w:bottom w:val="none" w:sz="0" w:space="0" w:color="auto"/>
        <w:right w:val="none" w:sz="0" w:space="0" w:color="auto"/>
      </w:divBdr>
      <w:divsChild>
        <w:div w:id="1406144404">
          <w:marLeft w:val="0"/>
          <w:marRight w:val="0"/>
          <w:marTop w:val="0"/>
          <w:marBottom w:val="0"/>
          <w:divBdr>
            <w:top w:val="none" w:sz="0" w:space="0" w:color="auto"/>
            <w:left w:val="none" w:sz="0" w:space="0" w:color="auto"/>
            <w:bottom w:val="none" w:sz="0" w:space="0" w:color="auto"/>
            <w:right w:val="none" w:sz="0" w:space="0" w:color="auto"/>
          </w:divBdr>
          <w:divsChild>
            <w:div w:id="119040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370245">
      <w:bodyDiv w:val="1"/>
      <w:marLeft w:val="0"/>
      <w:marRight w:val="0"/>
      <w:marTop w:val="0"/>
      <w:marBottom w:val="0"/>
      <w:divBdr>
        <w:top w:val="none" w:sz="0" w:space="0" w:color="auto"/>
        <w:left w:val="none" w:sz="0" w:space="0" w:color="auto"/>
        <w:bottom w:val="none" w:sz="0" w:space="0" w:color="auto"/>
        <w:right w:val="none" w:sz="0" w:space="0" w:color="auto"/>
      </w:divBdr>
      <w:divsChild>
        <w:div w:id="893350828">
          <w:marLeft w:val="0"/>
          <w:marRight w:val="0"/>
          <w:marTop w:val="0"/>
          <w:marBottom w:val="0"/>
          <w:divBdr>
            <w:top w:val="none" w:sz="0" w:space="0" w:color="auto"/>
            <w:left w:val="none" w:sz="0" w:space="0" w:color="auto"/>
            <w:bottom w:val="none" w:sz="0" w:space="0" w:color="auto"/>
            <w:right w:val="none" w:sz="0" w:space="0" w:color="auto"/>
          </w:divBdr>
          <w:divsChild>
            <w:div w:id="45104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21052">
      <w:bodyDiv w:val="1"/>
      <w:marLeft w:val="0"/>
      <w:marRight w:val="0"/>
      <w:marTop w:val="0"/>
      <w:marBottom w:val="0"/>
      <w:divBdr>
        <w:top w:val="none" w:sz="0" w:space="0" w:color="auto"/>
        <w:left w:val="none" w:sz="0" w:space="0" w:color="auto"/>
        <w:bottom w:val="none" w:sz="0" w:space="0" w:color="auto"/>
        <w:right w:val="none" w:sz="0" w:space="0" w:color="auto"/>
      </w:divBdr>
      <w:divsChild>
        <w:div w:id="2056421076">
          <w:marLeft w:val="0"/>
          <w:marRight w:val="0"/>
          <w:marTop w:val="0"/>
          <w:marBottom w:val="0"/>
          <w:divBdr>
            <w:top w:val="none" w:sz="0" w:space="0" w:color="auto"/>
            <w:left w:val="none" w:sz="0" w:space="0" w:color="auto"/>
            <w:bottom w:val="none" w:sz="0" w:space="0" w:color="auto"/>
            <w:right w:val="none" w:sz="0" w:space="0" w:color="auto"/>
          </w:divBdr>
          <w:divsChild>
            <w:div w:id="63159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365621">
      <w:bodyDiv w:val="1"/>
      <w:marLeft w:val="0"/>
      <w:marRight w:val="0"/>
      <w:marTop w:val="0"/>
      <w:marBottom w:val="0"/>
      <w:divBdr>
        <w:top w:val="none" w:sz="0" w:space="0" w:color="auto"/>
        <w:left w:val="none" w:sz="0" w:space="0" w:color="auto"/>
        <w:bottom w:val="none" w:sz="0" w:space="0" w:color="auto"/>
        <w:right w:val="none" w:sz="0" w:space="0" w:color="auto"/>
      </w:divBdr>
      <w:divsChild>
        <w:div w:id="238708645">
          <w:marLeft w:val="0"/>
          <w:marRight w:val="0"/>
          <w:marTop w:val="0"/>
          <w:marBottom w:val="0"/>
          <w:divBdr>
            <w:top w:val="none" w:sz="0" w:space="0" w:color="auto"/>
            <w:left w:val="none" w:sz="0" w:space="0" w:color="auto"/>
            <w:bottom w:val="none" w:sz="0" w:space="0" w:color="auto"/>
            <w:right w:val="none" w:sz="0" w:space="0" w:color="auto"/>
          </w:divBdr>
          <w:divsChild>
            <w:div w:id="38772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70618">
      <w:bodyDiv w:val="1"/>
      <w:marLeft w:val="0"/>
      <w:marRight w:val="0"/>
      <w:marTop w:val="0"/>
      <w:marBottom w:val="0"/>
      <w:divBdr>
        <w:top w:val="none" w:sz="0" w:space="0" w:color="auto"/>
        <w:left w:val="none" w:sz="0" w:space="0" w:color="auto"/>
        <w:bottom w:val="none" w:sz="0" w:space="0" w:color="auto"/>
        <w:right w:val="none" w:sz="0" w:space="0" w:color="auto"/>
      </w:divBdr>
    </w:div>
    <w:div w:id="1062559336">
      <w:bodyDiv w:val="1"/>
      <w:marLeft w:val="0"/>
      <w:marRight w:val="0"/>
      <w:marTop w:val="0"/>
      <w:marBottom w:val="0"/>
      <w:divBdr>
        <w:top w:val="none" w:sz="0" w:space="0" w:color="auto"/>
        <w:left w:val="none" w:sz="0" w:space="0" w:color="auto"/>
        <w:bottom w:val="none" w:sz="0" w:space="0" w:color="auto"/>
        <w:right w:val="none" w:sz="0" w:space="0" w:color="auto"/>
      </w:divBdr>
      <w:divsChild>
        <w:div w:id="144322605">
          <w:marLeft w:val="0"/>
          <w:marRight w:val="0"/>
          <w:marTop w:val="0"/>
          <w:marBottom w:val="0"/>
          <w:divBdr>
            <w:top w:val="none" w:sz="0" w:space="0" w:color="auto"/>
            <w:left w:val="none" w:sz="0" w:space="0" w:color="auto"/>
            <w:bottom w:val="none" w:sz="0" w:space="0" w:color="auto"/>
            <w:right w:val="none" w:sz="0" w:space="0" w:color="auto"/>
          </w:divBdr>
          <w:divsChild>
            <w:div w:id="212823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475929">
      <w:bodyDiv w:val="1"/>
      <w:marLeft w:val="0"/>
      <w:marRight w:val="0"/>
      <w:marTop w:val="0"/>
      <w:marBottom w:val="0"/>
      <w:divBdr>
        <w:top w:val="none" w:sz="0" w:space="0" w:color="auto"/>
        <w:left w:val="none" w:sz="0" w:space="0" w:color="auto"/>
        <w:bottom w:val="none" w:sz="0" w:space="0" w:color="auto"/>
        <w:right w:val="none" w:sz="0" w:space="0" w:color="auto"/>
      </w:divBdr>
      <w:divsChild>
        <w:div w:id="936864627">
          <w:marLeft w:val="0"/>
          <w:marRight w:val="0"/>
          <w:marTop w:val="0"/>
          <w:marBottom w:val="0"/>
          <w:divBdr>
            <w:top w:val="none" w:sz="0" w:space="0" w:color="auto"/>
            <w:left w:val="none" w:sz="0" w:space="0" w:color="auto"/>
            <w:bottom w:val="none" w:sz="0" w:space="0" w:color="auto"/>
            <w:right w:val="none" w:sz="0" w:space="0" w:color="auto"/>
          </w:divBdr>
          <w:divsChild>
            <w:div w:id="102578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889834">
      <w:bodyDiv w:val="1"/>
      <w:marLeft w:val="0"/>
      <w:marRight w:val="0"/>
      <w:marTop w:val="0"/>
      <w:marBottom w:val="0"/>
      <w:divBdr>
        <w:top w:val="none" w:sz="0" w:space="0" w:color="auto"/>
        <w:left w:val="none" w:sz="0" w:space="0" w:color="auto"/>
        <w:bottom w:val="none" w:sz="0" w:space="0" w:color="auto"/>
        <w:right w:val="none" w:sz="0" w:space="0" w:color="auto"/>
      </w:divBdr>
      <w:divsChild>
        <w:div w:id="1572079144">
          <w:marLeft w:val="0"/>
          <w:marRight w:val="0"/>
          <w:marTop w:val="0"/>
          <w:marBottom w:val="0"/>
          <w:divBdr>
            <w:top w:val="none" w:sz="0" w:space="0" w:color="auto"/>
            <w:left w:val="none" w:sz="0" w:space="0" w:color="auto"/>
            <w:bottom w:val="none" w:sz="0" w:space="0" w:color="auto"/>
            <w:right w:val="none" w:sz="0" w:space="0" w:color="auto"/>
          </w:divBdr>
          <w:divsChild>
            <w:div w:id="56460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558802">
      <w:bodyDiv w:val="1"/>
      <w:marLeft w:val="0"/>
      <w:marRight w:val="0"/>
      <w:marTop w:val="0"/>
      <w:marBottom w:val="0"/>
      <w:divBdr>
        <w:top w:val="none" w:sz="0" w:space="0" w:color="auto"/>
        <w:left w:val="none" w:sz="0" w:space="0" w:color="auto"/>
        <w:bottom w:val="none" w:sz="0" w:space="0" w:color="auto"/>
        <w:right w:val="none" w:sz="0" w:space="0" w:color="auto"/>
      </w:divBdr>
      <w:divsChild>
        <w:div w:id="50738692">
          <w:marLeft w:val="0"/>
          <w:marRight w:val="0"/>
          <w:marTop w:val="0"/>
          <w:marBottom w:val="0"/>
          <w:divBdr>
            <w:top w:val="none" w:sz="0" w:space="0" w:color="auto"/>
            <w:left w:val="none" w:sz="0" w:space="0" w:color="auto"/>
            <w:bottom w:val="none" w:sz="0" w:space="0" w:color="auto"/>
            <w:right w:val="none" w:sz="0" w:space="0" w:color="auto"/>
          </w:divBdr>
          <w:divsChild>
            <w:div w:id="182832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12685">
      <w:bodyDiv w:val="1"/>
      <w:marLeft w:val="0"/>
      <w:marRight w:val="0"/>
      <w:marTop w:val="0"/>
      <w:marBottom w:val="0"/>
      <w:divBdr>
        <w:top w:val="none" w:sz="0" w:space="0" w:color="auto"/>
        <w:left w:val="none" w:sz="0" w:space="0" w:color="auto"/>
        <w:bottom w:val="none" w:sz="0" w:space="0" w:color="auto"/>
        <w:right w:val="none" w:sz="0" w:space="0" w:color="auto"/>
      </w:divBdr>
      <w:divsChild>
        <w:div w:id="587423662">
          <w:marLeft w:val="0"/>
          <w:marRight w:val="0"/>
          <w:marTop w:val="0"/>
          <w:marBottom w:val="0"/>
          <w:divBdr>
            <w:top w:val="none" w:sz="0" w:space="0" w:color="auto"/>
            <w:left w:val="none" w:sz="0" w:space="0" w:color="auto"/>
            <w:bottom w:val="none" w:sz="0" w:space="0" w:color="auto"/>
            <w:right w:val="none" w:sz="0" w:space="0" w:color="auto"/>
          </w:divBdr>
          <w:divsChild>
            <w:div w:id="126553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136221">
      <w:bodyDiv w:val="1"/>
      <w:marLeft w:val="0"/>
      <w:marRight w:val="0"/>
      <w:marTop w:val="0"/>
      <w:marBottom w:val="0"/>
      <w:divBdr>
        <w:top w:val="none" w:sz="0" w:space="0" w:color="auto"/>
        <w:left w:val="none" w:sz="0" w:space="0" w:color="auto"/>
        <w:bottom w:val="none" w:sz="0" w:space="0" w:color="auto"/>
        <w:right w:val="none" w:sz="0" w:space="0" w:color="auto"/>
      </w:divBdr>
      <w:divsChild>
        <w:div w:id="1628848852">
          <w:marLeft w:val="0"/>
          <w:marRight w:val="0"/>
          <w:marTop w:val="0"/>
          <w:marBottom w:val="0"/>
          <w:divBdr>
            <w:top w:val="none" w:sz="0" w:space="0" w:color="auto"/>
            <w:left w:val="none" w:sz="0" w:space="0" w:color="auto"/>
            <w:bottom w:val="none" w:sz="0" w:space="0" w:color="auto"/>
            <w:right w:val="none" w:sz="0" w:space="0" w:color="auto"/>
          </w:divBdr>
          <w:divsChild>
            <w:div w:id="45614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127842">
      <w:bodyDiv w:val="1"/>
      <w:marLeft w:val="0"/>
      <w:marRight w:val="0"/>
      <w:marTop w:val="0"/>
      <w:marBottom w:val="0"/>
      <w:divBdr>
        <w:top w:val="none" w:sz="0" w:space="0" w:color="auto"/>
        <w:left w:val="none" w:sz="0" w:space="0" w:color="auto"/>
        <w:bottom w:val="none" w:sz="0" w:space="0" w:color="auto"/>
        <w:right w:val="none" w:sz="0" w:space="0" w:color="auto"/>
      </w:divBdr>
      <w:divsChild>
        <w:div w:id="987780608">
          <w:marLeft w:val="0"/>
          <w:marRight w:val="0"/>
          <w:marTop w:val="0"/>
          <w:marBottom w:val="0"/>
          <w:divBdr>
            <w:top w:val="none" w:sz="0" w:space="0" w:color="auto"/>
            <w:left w:val="none" w:sz="0" w:space="0" w:color="auto"/>
            <w:bottom w:val="none" w:sz="0" w:space="0" w:color="auto"/>
            <w:right w:val="none" w:sz="0" w:space="0" w:color="auto"/>
          </w:divBdr>
          <w:divsChild>
            <w:div w:id="143262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363170">
      <w:bodyDiv w:val="1"/>
      <w:marLeft w:val="0"/>
      <w:marRight w:val="0"/>
      <w:marTop w:val="0"/>
      <w:marBottom w:val="0"/>
      <w:divBdr>
        <w:top w:val="none" w:sz="0" w:space="0" w:color="auto"/>
        <w:left w:val="none" w:sz="0" w:space="0" w:color="auto"/>
        <w:bottom w:val="none" w:sz="0" w:space="0" w:color="auto"/>
        <w:right w:val="none" w:sz="0" w:space="0" w:color="auto"/>
      </w:divBdr>
      <w:divsChild>
        <w:div w:id="1052390913">
          <w:marLeft w:val="0"/>
          <w:marRight w:val="0"/>
          <w:marTop w:val="0"/>
          <w:marBottom w:val="0"/>
          <w:divBdr>
            <w:top w:val="none" w:sz="0" w:space="0" w:color="auto"/>
            <w:left w:val="none" w:sz="0" w:space="0" w:color="auto"/>
            <w:bottom w:val="none" w:sz="0" w:space="0" w:color="auto"/>
            <w:right w:val="none" w:sz="0" w:space="0" w:color="auto"/>
          </w:divBdr>
          <w:divsChild>
            <w:div w:id="21065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638596">
      <w:bodyDiv w:val="1"/>
      <w:marLeft w:val="0"/>
      <w:marRight w:val="0"/>
      <w:marTop w:val="0"/>
      <w:marBottom w:val="0"/>
      <w:divBdr>
        <w:top w:val="none" w:sz="0" w:space="0" w:color="auto"/>
        <w:left w:val="none" w:sz="0" w:space="0" w:color="auto"/>
        <w:bottom w:val="none" w:sz="0" w:space="0" w:color="auto"/>
        <w:right w:val="none" w:sz="0" w:space="0" w:color="auto"/>
      </w:divBdr>
      <w:divsChild>
        <w:div w:id="237712403">
          <w:marLeft w:val="0"/>
          <w:marRight w:val="0"/>
          <w:marTop w:val="0"/>
          <w:marBottom w:val="0"/>
          <w:divBdr>
            <w:top w:val="none" w:sz="0" w:space="0" w:color="auto"/>
            <w:left w:val="none" w:sz="0" w:space="0" w:color="auto"/>
            <w:bottom w:val="none" w:sz="0" w:space="0" w:color="auto"/>
            <w:right w:val="none" w:sz="0" w:space="0" w:color="auto"/>
          </w:divBdr>
          <w:divsChild>
            <w:div w:id="24538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76281">
      <w:bodyDiv w:val="1"/>
      <w:marLeft w:val="0"/>
      <w:marRight w:val="0"/>
      <w:marTop w:val="0"/>
      <w:marBottom w:val="0"/>
      <w:divBdr>
        <w:top w:val="none" w:sz="0" w:space="0" w:color="auto"/>
        <w:left w:val="none" w:sz="0" w:space="0" w:color="auto"/>
        <w:bottom w:val="none" w:sz="0" w:space="0" w:color="auto"/>
        <w:right w:val="none" w:sz="0" w:space="0" w:color="auto"/>
      </w:divBdr>
      <w:divsChild>
        <w:div w:id="1698657761">
          <w:marLeft w:val="0"/>
          <w:marRight w:val="0"/>
          <w:marTop w:val="0"/>
          <w:marBottom w:val="0"/>
          <w:divBdr>
            <w:top w:val="none" w:sz="0" w:space="0" w:color="auto"/>
            <w:left w:val="none" w:sz="0" w:space="0" w:color="auto"/>
            <w:bottom w:val="none" w:sz="0" w:space="0" w:color="auto"/>
            <w:right w:val="none" w:sz="0" w:space="0" w:color="auto"/>
          </w:divBdr>
          <w:divsChild>
            <w:div w:id="24977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342529">
      <w:bodyDiv w:val="1"/>
      <w:marLeft w:val="0"/>
      <w:marRight w:val="0"/>
      <w:marTop w:val="0"/>
      <w:marBottom w:val="0"/>
      <w:divBdr>
        <w:top w:val="none" w:sz="0" w:space="0" w:color="auto"/>
        <w:left w:val="none" w:sz="0" w:space="0" w:color="auto"/>
        <w:bottom w:val="none" w:sz="0" w:space="0" w:color="auto"/>
        <w:right w:val="none" w:sz="0" w:space="0" w:color="auto"/>
      </w:divBdr>
      <w:divsChild>
        <w:div w:id="1373573871">
          <w:marLeft w:val="0"/>
          <w:marRight w:val="0"/>
          <w:marTop w:val="0"/>
          <w:marBottom w:val="0"/>
          <w:divBdr>
            <w:top w:val="none" w:sz="0" w:space="0" w:color="auto"/>
            <w:left w:val="none" w:sz="0" w:space="0" w:color="auto"/>
            <w:bottom w:val="none" w:sz="0" w:space="0" w:color="auto"/>
            <w:right w:val="none" w:sz="0" w:space="0" w:color="auto"/>
          </w:divBdr>
          <w:divsChild>
            <w:div w:id="19019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719489">
      <w:bodyDiv w:val="1"/>
      <w:marLeft w:val="0"/>
      <w:marRight w:val="0"/>
      <w:marTop w:val="0"/>
      <w:marBottom w:val="0"/>
      <w:divBdr>
        <w:top w:val="none" w:sz="0" w:space="0" w:color="auto"/>
        <w:left w:val="none" w:sz="0" w:space="0" w:color="auto"/>
        <w:bottom w:val="none" w:sz="0" w:space="0" w:color="auto"/>
        <w:right w:val="none" w:sz="0" w:space="0" w:color="auto"/>
      </w:divBdr>
      <w:divsChild>
        <w:div w:id="915700601">
          <w:marLeft w:val="0"/>
          <w:marRight w:val="0"/>
          <w:marTop w:val="0"/>
          <w:marBottom w:val="0"/>
          <w:divBdr>
            <w:top w:val="none" w:sz="0" w:space="0" w:color="auto"/>
            <w:left w:val="none" w:sz="0" w:space="0" w:color="auto"/>
            <w:bottom w:val="none" w:sz="0" w:space="0" w:color="auto"/>
            <w:right w:val="none" w:sz="0" w:space="0" w:color="auto"/>
          </w:divBdr>
          <w:divsChild>
            <w:div w:id="39180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79546">
      <w:bodyDiv w:val="1"/>
      <w:marLeft w:val="0"/>
      <w:marRight w:val="0"/>
      <w:marTop w:val="0"/>
      <w:marBottom w:val="0"/>
      <w:divBdr>
        <w:top w:val="none" w:sz="0" w:space="0" w:color="auto"/>
        <w:left w:val="none" w:sz="0" w:space="0" w:color="auto"/>
        <w:bottom w:val="none" w:sz="0" w:space="0" w:color="auto"/>
        <w:right w:val="none" w:sz="0" w:space="0" w:color="auto"/>
      </w:divBdr>
      <w:divsChild>
        <w:div w:id="1159231046">
          <w:marLeft w:val="0"/>
          <w:marRight w:val="0"/>
          <w:marTop w:val="0"/>
          <w:marBottom w:val="0"/>
          <w:divBdr>
            <w:top w:val="none" w:sz="0" w:space="0" w:color="auto"/>
            <w:left w:val="none" w:sz="0" w:space="0" w:color="auto"/>
            <w:bottom w:val="none" w:sz="0" w:space="0" w:color="auto"/>
            <w:right w:val="none" w:sz="0" w:space="0" w:color="auto"/>
          </w:divBdr>
          <w:divsChild>
            <w:div w:id="152675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757105">
      <w:bodyDiv w:val="1"/>
      <w:marLeft w:val="0"/>
      <w:marRight w:val="0"/>
      <w:marTop w:val="0"/>
      <w:marBottom w:val="0"/>
      <w:divBdr>
        <w:top w:val="none" w:sz="0" w:space="0" w:color="auto"/>
        <w:left w:val="none" w:sz="0" w:space="0" w:color="auto"/>
        <w:bottom w:val="none" w:sz="0" w:space="0" w:color="auto"/>
        <w:right w:val="none" w:sz="0" w:space="0" w:color="auto"/>
      </w:divBdr>
      <w:divsChild>
        <w:div w:id="1975407048">
          <w:marLeft w:val="0"/>
          <w:marRight w:val="0"/>
          <w:marTop w:val="0"/>
          <w:marBottom w:val="0"/>
          <w:divBdr>
            <w:top w:val="none" w:sz="0" w:space="0" w:color="auto"/>
            <w:left w:val="none" w:sz="0" w:space="0" w:color="auto"/>
            <w:bottom w:val="none" w:sz="0" w:space="0" w:color="auto"/>
            <w:right w:val="none" w:sz="0" w:space="0" w:color="auto"/>
          </w:divBdr>
          <w:divsChild>
            <w:div w:id="174575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doi.org/10.4324/9781410607171" TargetMode="External"/><Relationship Id="rId18" Type="http://schemas.openxmlformats.org/officeDocument/2006/relationships/hyperlink" Target="https://doi.org/10.5204/mcj.3010" TargetMode="External"/><Relationship Id="rId26" Type="http://schemas.openxmlformats.org/officeDocument/2006/relationships/hyperlink" Target="https://doi.org/10.12775/JEHS.2025.77.56972" TargetMode="External"/><Relationship Id="rId3" Type="http://schemas.openxmlformats.org/officeDocument/2006/relationships/styles" Target="styles.xml"/><Relationship Id="rId21" Type="http://schemas.openxmlformats.org/officeDocument/2006/relationships/hyperlink" Target="https://doi.org/10.1111/jan.15852" TargetMode="External"/><Relationship Id="rId7" Type="http://schemas.openxmlformats.org/officeDocument/2006/relationships/endnotes" Target="endnotes.xml"/><Relationship Id="rId12" Type="http://schemas.openxmlformats.org/officeDocument/2006/relationships/hyperlink" Target="https://doi.org/10.1007/978-3-031-12224-8" TargetMode="External"/><Relationship Id="rId17" Type="http://schemas.openxmlformats.org/officeDocument/2006/relationships/hyperlink" Target="https://doi.org/10.1186/s12889-023-16541-7" TargetMode="External"/><Relationship Id="rId25" Type="http://schemas.openxmlformats.org/officeDocument/2006/relationships/hyperlink" Target="https://doi.org/10.1093/oso/9780192864642.001.000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390/nu14122527" TargetMode="External"/><Relationship Id="rId20" Type="http://schemas.openxmlformats.org/officeDocument/2006/relationships/hyperlink" Target="https://doi.org/10.1111/ggi.70003" TargetMode="External"/><Relationship Id="rId29" Type="http://schemas.openxmlformats.org/officeDocument/2006/relationships/hyperlink" Target="https://doi.org/10.1017/S0144686X210013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doi.org/10.1186/s12937-024-01023-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93/oso/9780197635261.001.0001" TargetMode="External"/><Relationship Id="rId23" Type="http://schemas.openxmlformats.org/officeDocument/2006/relationships/hyperlink" Target="https://doi.org/10.1186/s13075-023-02996-x" TargetMode="External"/><Relationship Id="rId28" Type="http://schemas.openxmlformats.org/officeDocument/2006/relationships/hyperlink" Target="https://doi.org/10.1371/journal.pone.0320309" TargetMode="External"/><Relationship Id="rId10" Type="http://schemas.microsoft.com/office/2016/09/relationships/commentsIds" Target="commentsIds.xml"/><Relationship Id="rId19" Type="http://schemas.openxmlformats.org/officeDocument/2006/relationships/hyperlink" Target="https://doi.org/10.3390/nu16030428" TargetMode="External"/><Relationship Id="rId31"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doi.org/10.1017/S0007114522001295" TargetMode="External"/><Relationship Id="rId22" Type="http://schemas.openxmlformats.org/officeDocument/2006/relationships/hyperlink" Target="https://doi.org/10.1093/gerona/glaf001" TargetMode="External"/><Relationship Id="rId27" Type="http://schemas.openxmlformats.org/officeDocument/2006/relationships/hyperlink" Target="https://doi.org/10.1080/15427609.2021.1878000" TargetMode="External"/><Relationship Id="rId30" Type="http://schemas.openxmlformats.org/officeDocument/2006/relationships/hyperlink" Target="https://doi.org/10.7554/eLife.8405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Updated%20research%20template%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BF518-AACC-450E-9E8A-321EBA9B5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Updated%20research%20template%20(1)</Template>
  <TotalTime>2</TotalTime>
  <Pages>15</Pages>
  <Words>2626</Words>
  <Characters>18129</Characters>
  <Application>Microsoft Office Word</Application>
  <DocSecurity>0</DocSecurity>
  <Lines>369</Lines>
  <Paragraphs>79</Paragraphs>
  <ScaleCrop>false</ScaleCrop>
  <HeadingPairs>
    <vt:vector size="2" baseType="variant">
      <vt:variant>
        <vt:lpstr>Title</vt:lpstr>
      </vt:variant>
      <vt:variant>
        <vt:i4>1</vt:i4>
      </vt:variant>
    </vt:vector>
  </HeadingPairs>
  <TitlesOfParts>
    <vt:vector size="1" baseType="lpstr">
      <vt:lpstr>Research report template</vt:lpstr>
    </vt:vector>
  </TitlesOfParts>
  <Company/>
  <LinksUpToDate>false</LinksUpToDate>
  <CharactersWithSpaces>20676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template</dc:title>
  <dc:creator>SMITH, Jason</dc:creator>
  <dc:description>DfE-RR-Master-v8</dc:description>
  <cp:lastModifiedBy>Culcea Adriana</cp:lastModifiedBy>
  <cp:revision>2</cp:revision>
  <cp:lastPrinted>2015-08-11T10:54:00Z</cp:lastPrinted>
  <dcterms:created xsi:type="dcterms:W3CDTF">2025-05-04T12:26:00Z</dcterms:created>
  <dcterms:modified xsi:type="dcterms:W3CDTF">2025-05-04T12:26:00Z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IWP Document</vt:lpwstr>
  </property>
  <property fmtid="{D5CDD505-2E9C-101B-9397-08002B2CF9AE}" pid="3" name="ContentTypeId">
    <vt:lpwstr>0x010100900C57292655E54ABDFEC515F60173E9</vt:lpwstr>
  </property>
  <property fmtid="{D5CDD505-2E9C-101B-9397-08002B2CF9AE}" pid="4" name="_dlc_DocIdItemGuid">
    <vt:lpwstr>453ced71-93fc-46de-989b-09d563bcdfe0</vt:lpwstr>
  </property>
  <property fmtid="{D5CDD505-2E9C-101B-9397-08002B2CF9AE}" pid="5" name="IWPOrganisationalUnit">
    <vt:lpwstr>3;#DfE|cc08a6d4-dfde-4d0f-bd85-069ebcef80d5</vt:lpwstr>
  </property>
  <property fmtid="{D5CDD505-2E9C-101B-9397-08002B2CF9AE}" pid="6" name="IWPOwner">
    <vt:lpwstr>1;#DfE|a484111e-5b24-4ad9-9778-c536c8c88985</vt:lpwstr>
  </property>
  <property fmtid="{D5CDD505-2E9C-101B-9397-08002B2CF9AE}" pid="7" name="IWPSubject">
    <vt:lpwstr/>
  </property>
  <property fmtid="{D5CDD505-2E9C-101B-9397-08002B2CF9AE}" pid="8" name="IWPFunction">
    <vt:lpwstr/>
  </property>
  <property fmtid="{D5CDD505-2E9C-101B-9397-08002B2CF9AE}" pid="9" name="IWPSiteType">
    <vt:lpwstr/>
  </property>
  <property fmtid="{D5CDD505-2E9C-101B-9397-08002B2CF9AE}" pid="10" name="IWPRightsProtectiveMarking">
    <vt:lpwstr>2;#Official|0884c477-2e62-47ea-b19c-5af6e91124c5</vt:lpwstr>
  </property>
  <property fmtid="{D5CDD505-2E9C-101B-9397-08002B2CF9AE}" pid="11" name="GrammarlyDocumentId">
    <vt:lpwstr>c64798d3699c65093a16b223d858214d5b38a268dd1ac50a4d46759305bb504c</vt:lpwstr>
  </property>
</Properties>
</file>