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87D72EA" w14:textId="7C8672EA" w:rsidR="00582D61" w:rsidRPr="00D42A33" w:rsidRDefault="00EC6742" w:rsidP="00582D61">
      <w:pPr>
        <w:pStyle w:val="Heading2"/>
        <w:rPr>
          <w:rFonts w:cs="Times New Roman"/>
          <w:b/>
          <w:bCs w:val="0"/>
          <w:sz w:val="28"/>
          <w:szCs w:val="28"/>
        </w:rPr>
      </w:pPr>
      <w:bookmarkStart w:id="0" w:name="_Toc134339567"/>
      <w:r w:rsidRPr="00D42A33">
        <w:rPr>
          <w:rFonts w:cs="Times New Roman"/>
          <w:b/>
          <w:bCs w:val="0"/>
          <w:sz w:val="28"/>
          <w:szCs w:val="28"/>
        </w:rPr>
        <w:t>‘</w:t>
      </w:r>
      <w:r w:rsidR="00582D61" w:rsidRPr="00D42A33">
        <w:rPr>
          <w:rFonts w:cs="Times New Roman"/>
          <w:b/>
          <w:bCs w:val="0"/>
          <w:sz w:val="28"/>
          <w:szCs w:val="28"/>
        </w:rPr>
        <w:t>Revolutionary</w:t>
      </w:r>
      <w:r w:rsidRPr="00D42A33">
        <w:rPr>
          <w:rFonts w:cs="Times New Roman"/>
          <w:b/>
          <w:bCs w:val="0"/>
          <w:sz w:val="28"/>
          <w:szCs w:val="28"/>
        </w:rPr>
        <w:t>’</w:t>
      </w:r>
      <w:r w:rsidR="00582D61" w:rsidRPr="00D42A33">
        <w:rPr>
          <w:rFonts w:cs="Times New Roman"/>
          <w:b/>
          <w:bCs w:val="0"/>
          <w:sz w:val="28"/>
          <w:szCs w:val="28"/>
        </w:rPr>
        <w:t xml:space="preserve"> poetry</w:t>
      </w:r>
      <w:bookmarkEnd w:id="0"/>
      <w:r w:rsidRPr="00D42A33">
        <w:rPr>
          <w:rFonts w:cs="Times New Roman"/>
          <w:b/>
          <w:bCs w:val="0"/>
          <w:sz w:val="28"/>
          <w:szCs w:val="28"/>
        </w:rPr>
        <w:t xml:space="preserve"> in 1970s Brittany</w:t>
      </w:r>
    </w:p>
    <w:p w14:paraId="3FAE5C31" w14:textId="7E107454" w:rsidR="00582D61" w:rsidRPr="00EC6742" w:rsidRDefault="00EC6742" w:rsidP="00582D61">
      <w:pPr>
        <w:pStyle w:val="NormalIndent"/>
        <w:rPr>
          <w:sz w:val="24"/>
        </w:rPr>
      </w:pPr>
      <w:r>
        <w:rPr>
          <w:sz w:val="24"/>
        </w:rPr>
        <w:t>A</w:t>
      </w:r>
      <w:r w:rsidR="00582D61" w:rsidRPr="00EC6742">
        <w:rPr>
          <w:sz w:val="24"/>
        </w:rPr>
        <w:t xml:space="preserve"> ‘revolution’ or movement of ‘reclamation’ is seen in the way in which hybridity is embraced in postcolonial literature. The linguistic hybridity of Brittany is the result of cultural genocide:</w:t>
      </w:r>
    </w:p>
    <w:p w14:paraId="1F13A4D6" w14:textId="77777777" w:rsidR="00582D61" w:rsidRPr="00EC6742" w:rsidRDefault="00582D61" w:rsidP="00582D61">
      <w:pPr>
        <w:pStyle w:val="DisplayQuote"/>
        <w:rPr>
          <w:sz w:val="24"/>
          <w:lang w:val="fr-FR"/>
        </w:rPr>
      </w:pPr>
      <w:r w:rsidRPr="00EC6742">
        <w:rPr>
          <w:sz w:val="24"/>
          <w:lang w:val="fr-FR"/>
        </w:rPr>
        <w:t>Dans la société colonisée, le bilinguisme lui-même, ailleurs source de richesses culturelles n’est qu’une phase de la guerre d’usure que la langue du pouvoir colonisateur livre à celle du colonisé, progressivement écrasée, étouffée, éliminée. Munis de leur seule langue, les colonisés sont des étrangers dans leur propre pays.</w:t>
      </w:r>
      <w:r w:rsidRPr="00EC6742">
        <w:rPr>
          <w:rStyle w:val="FootnoteReference"/>
          <w:sz w:val="24"/>
        </w:rPr>
        <w:footnoteReference w:id="1"/>
      </w:r>
      <w:r w:rsidRPr="00EC6742">
        <w:rPr>
          <w:sz w:val="24"/>
          <w:lang w:val="fr-FR"/>
        </w:rPr>
        <w:t xml:space="preserve"> </w:t>
      </w:r>
    </w:p>
    <w:p w14:paraId="330A00F4" w14:textId="05A759FA" w:rsidR="00EC6742" w:rsidRDefault="00B154E3" w:rsidP="00B154E3">
      <w:pPr>
        <w:ind w:left="454"/>
        <w:rPr>
          <w:rFonts w:ascii="Times New Roman" w:hAnsi="Times New Roman" w:cs="Times New Roman"/>
          <w:sz w:val="24"/>
          <w:szCs w:val="24"/>
        </w:rPr>
      </w:pPr>
      <w:r>
        <w:rPr>
          <w:rFonts w:ascii="Times New Roman" w:hAnsi="Times New Roman" w:cs="Times New Roman"/>
          <w:sz w:val="24"/>
          <w:szCs w:val="24"/>
        </w:rPr>
        <w:t>[</w:t>
      </w:r>
      <w:r w:rsidR="009178C6">
        <w:rPr>
          <w:rFonts w:ascii="Times New Roman" w:hAnsi="Times New Roman" w:cs="Times New Roman"/>
          <w:sz w:val="24"/>
          <w:szCs w:val="24"/>
        </w:rPr>
        <w:t xml:space="preserve">In a colonized society, bilingualism itself, elsewhere a source of cultural enrichment is nothing but an episode in the war of </w:t>
      </w:r>
      <w:r w:rsidR="00D107A2">
        <w:rPr>
          <w:rFonts w:ascii="Times New Roman" w:hAnsi="Times New Roman" w:cs="Times New Roman"/>
          <w:sz w:val="24"/>
          <w:szCs w:val="24"/>
        </w:rPr>
        <w:t xml:space="preserve">attrition </w:t>
      </w:r>
      <w:r w:rsidR="00A86B38">
        <w:rPr>
          <w:rFonts w:ascii="Times New Roman" w:hAnsi="Times New Roman" w:cs="Times New Roman"/>
          <w:sz w:val="24"/>
          <w:szCs w:val="24"/>
        </w:rPr>
        <w:t>that the language of the colonizing power wages on that of the colonized, gradually squashed, suffocated, eliminated.</w:t>
      </w:r>
      <w:r>
        <w:rPr>
          <w:rFonts w:ascii="Times New Roman" w:hAnsi="Times New Roman" w:cs="Times New Roman"/>
          <w:sz w:val="24"/>
          <w:szCs w:val="24"/>
        </w:rPr>
        <w:t xml:space="preserve"> Armed with their only</w:t>
      </w:r>
      <w:r w:rsidR="00A86B38">
        <w:rPr>
          <w:rFonts w:ascii="Times New Roman" w:hAnsi="Times New Roman" w:cs="Times New Roman"/>
          <w:sz w:val="24"/>
          <w:szCs w:val="24"/>
        </w:rPr>
        <w:t xml:space="preserve"> language</w:t>
      </w:r>
      <w:r>
        <w:rPr>
          <w:rFonts w:ascii="Times New Roman" w:hAnsi="Times New Roman" w:cs="Times New Roman"/>
          <w:sz w:val="24"/>
          <w:szCs w:val="24"/>
        </w:rPr>
        <w:t>, the colonized as foreighers in their own coutry.]</w:t>
      </w:r>
    </w:p>
    <w:p w14:paraId="4FA761D6" w14:textId="049A5320" w:rsidR="00582D61" w:rsidRPr="00EC6742" w:rsidRDefault="00582D61" w:rsidP="00582D61">
      <w:pPr>
        <w:rPr>
          <w:rFonts w:ascii="Times New Roman" w:hAnsi="Times New Roman" w:cs="Times New Roman"/>
          <w:sz w:val="24"/>
          <w:szCs w:val="24"/>
        </w:rPr>
      </w:pPr>
      <w:r w:rsidRPr="00EC6742">
        <w:rPr>
          <w:rFonts w:ascii="Times New Roman" w:hAnsi="Times New Roman" w:cs="Times New Roman"/>
          <w:sz w:val="24"/>
          <w:szCs w:val="24"/>
        </w:rPr>
        <w:t xml:space="preserve">Embracing this hybridity can thus </w:t>
      </w:r>
      <w:proofErr w:type="gramStart"/>
      <w:r w:rsidRPr="00EC6742">
        <w:rPr>
          <w:rFonts w:ascii="Times New Roman" w:hAnsi="Times New Roman" w:cs="Times New Roman"/>
          <w:sz w:val="24"/>
          <w:szCs w:val="24"/>
        </w:rPr>
        <w:t>be seen as</w:t>
      </w:r>
      <w:proofErr w:type="gramEnd"/>
      <w:r w:rsidRPr="00EC6742">
        <w:rPr>
          <w:rFonts w:ascii="Times New Roman" w:hAnsi="Times New Roman" w:cs="Times New Roman"/>
          <w:sz w:val="24"/>
          <w:szCs w:val="24"/>
        </w:rPr>
        <w:t xml:space="preserve"> the ultimate act of reclamation. The importance of the French language for France’s sense of identity is beyond doubt, and </w:t>
      </w:r>
      <w:proofErr w:type="gramStart"/>
      <w:r w:rsidRPr="00EC6742">
        <w:rPr>
          <w:rFonts w:ascii="Times New Roman" w:hAnsi="Times New Roman" w:cs="Times New Roman"/>
          <w:sz w:val="24"/>
          <w:szCs w:val="24"/>
        </w:rPr>
        <w:t>it is clear that the</w:t>
      </w:r>
      <w:proofErr w:type="gramEnd"/>
      <w:r w:rsidRPr="00EC6742">
        <w:rPr>
          <w:rFonts w:ascii="Times New Roman" w:hAnsi="Times New Roman" w:cs="Times New Roman"/>
          <w:sz w:val="24"/>
          <w:szCs w:val="24"/>
        </w:rPr>
        <w:t xml:space="preserve"> symbolic value of a language is more acutely felt in a colonial context. Given that colonial-style repression is the explanation and justification for why these modern poets write in French rather than in Breton, this political issue is inseparable from French-language Breton literature, whether the author likes it or not. This political aspect was stressed in the journal </w:t>
      </w:r>
      <w:r w:rsidRPr="00EC6742">
        <w:rPr>
          <w:rFonts w:ascii="Times New Roman" w:hAnsi="Times New Roman" w:cs="Times New Roman"/>
          <w:i/>
          <w:iCs/>
          <w:sz w:val="24"/>
          <w:szCs w:val="24"/>
        </w:rPr>
        <w:t>Bretagnes</w:t>
      </w:r>
      <w:r w:rsidRPr="00EC6742">
        <w:rPr>
          <w:rFonts w:ascii="Times New Roman" w:hAnsi="Times New Roman" w:cs="Times New Roman"/>
          <w:sz w:val="24"/>
          <w:szCs w:val="24"/>
        </w:rPr>
        <w:t xml:space="preserve">, which represents the first concerted attempt to define Francophone Breton literature. </w:t>
      </w:r>
      <w:r w:rsidRPr="00C525BB">
        <w:rPr>
          <w:rFonts w:ascii="Times New Roman" w:hAnsi="Times New Roman" w:cs="Times New Roman"/>
          <w:sz w:val="24"/>
          <w:szCs w:val="24"/>
        </w:rPr>
        <w:t>In their first editorial (1975) Keineg and Keginer claim that: ‘</w:t>
      </w:r>
      <w:r w:rsidRPr="00C525BB">
        <w:rPr>
          <w:rFonts w:ascii="Times New Roman" w:hAnsi="Times New Roman" w:cs="Times New Roman"/>
          <w:i/>
          <w:iCs/>
          <w:sz w:val="24"/>
          <w:szCs w:val="24"/>
        </w:rPr>
        <w:t>Bretagnes</w:t>
      </w:r>
      <w:r w:rsidRPr="00C525BB">
        <w:rPr>
          <w:rFonts w:ascii="Times New Roman" w:hAnsi="Times New Roman" w:cs="Times New Roman"/>
          <w:sz w:val="24"/>
          <w:szCs w:val="24"/>
        </w:rPr>
        <w:t xml:space="preserve"> existe pour rompre la colonisation de la littérature’</w:t>
      </w:r>
      <w:r w:rsidR="00C525BB" w:rsidRPr="00C525BB">
        <w:rPr>
          <w:rFonts w:ascii="Times New Roman" w:hAnsi="Times New Roman" w:cs="Times New Roman"/>
          <w:sz w:val="24"/>
          <w:szCs w:val="24"/>
        </w:rPr>
        <w:t xml:space="preserve"> [</w:t>
      </w:r>
      <w:r w:rsidR="00C525BB" w:rsidRPr="00C525BB">
        <w:rPr>
          <w:rFonts w:ascii="Times New Roman" w:hAnsi="Times New Roman" w:cs="Times New Roman"/>
          <w:i/>
          <w:iCs/>
          <w:sz w:val="24"/>
          <w:szCs w:val="24"/>
        </w:rPr>
        <w:t>Bretagnes</w:t>
      </w:r>
      <w:r w:rsidR="00C525BB" w:rsidRPr="00C525BB">
        <w:rPr>
          <w:rFonts w:ascii="Times New Roman" w:hAnsi="Times New Roman" w:cs="Times New Roman"/>
          <w:sz w:val="24"/>
          <w:szCs w:val="24"/>
        </w:rPr>
        <w:t xml:space="preserve"> exists to</w:t>
      </w:r>
      <w:r w:rsidR="00C525BB">
        <w:rPr>
          <w:rFonts w:ascii="Times New Roman" w:hAnsi="Times New Roman" w:cs="Times New Roman"/>
          <w:sz w:val="24"/>
          <w:szCs w:val="24"/>
        </w:rPr>
        <w:t xml:space="preserve"> break the colonization of literature]</w:t>
      </w:r>
      <w:r w:rsidRPr="00C525BB">
        <w:rPr>
          <w:rFonts w:ascii="Times New Roman" w:hAnsi="Times New Roman" w:cs="Times New Roman"/>
          <w:sz w:val="24"/>
          <w:szCs w:val="24"/>
        </w:rPr>
        <w:t>, and in the second the connection between questions literary and political becomes even clearer: ‘</w:t>
      </w:r>
      <w:r w:rsidRPr="00C525BB">
        <w:rPr>
          <w:rFonts w:ascii="Times New Roman" w:hAnsi="Times New Roman" w:cs="Times New Roman"/>
          <w:i/>
          <w:iCs/>
          <w:sz w:val="24"/>
          <w:szCs w:val="24"/>
        </w:rPr>
        <w:t>Bretagnes</w:t>
      </w:r>
      <w:r w:rsidRPr="00C525BB">
        <w:rPr>
          <w:rFonts w:ascii="Times New Roman" w:hAnsi="Times New Roman" w:cs="Times New Roman"/>
          <w:sz w:val="24"/>
          <w:szCs w:val="24"/>
        </w:rPr>
        <w:t xml:space="preserve"> se doit de gagner sa place dans l’entreprise de décolonisation de notre peuple’</w:t>
      </w:r>
      <w:r w:rsidR="00C525BB">
        <w:rPr>
          <w:rFonts w:ascii="Times New Roman" w:hAnsi="Times New Roman" w:cs="Times New Roman"/>
          <w:sz w:val="24"/>
          <w:szCs w:val="24"/>
        </w:rPr>
        <w:t xml:space="preserve"> [</w:t>
      </w:r>
      <w:r w:rsidR="00C525BB">
        <w:rPr>
          <w:rFonts w:ascii="Times New Roman" w:hAnsi="Times New Roman" w:cs="Times New Roman"/>
          <w:i/>
          <w:iCs/>
          <w:sz w:val="24"/>
          <w:szCs w:val="24"/>
        </w:rPr>
        <w:t>Bretagnes</w:t>
      </w:r>
      <w:r w:rsidR="00C525BB">
        <w:rPr>
          <w:rFonts w:ascii="Times New Roman" w:hAnsi="Times New Roman" w:cs="Times New Roman"/>
          <w:sz w:val="24"/>
          <w:szCs w:val="24"/>
        </w:rPr>
        <w:t xml:space="preserve"> must earn its place in the work of decolonizing our people]</w:t>
      </w:r>
      <w:r w:rsidRPr="00C525BB">
        <w:rPr>
          <w:rFonts w:ascii="Times New Roman" w:hAnsi="Times New Roman" w:cs="Times New Roman"/>
          <w:sz w:val="24"/>
          <w:szCs w:val="24"/>
        </w:rPr>
        <w:t xml:space="preserve">. </w:t>
      </w:r>
      <w:r w:rsidRPr="00EC6742">
        <w:rPr>
          <w:rFonts w:ascii="Times New Roman" w:hAnsi="Times New Roman" w:cs="Times New Roman"/>
          <w:sz w:val="24"/>
          <w:szCs w:val="24"/>
        </w:rPr>
        <w:t xml:space="preserve">The journal was relatively short-lived, but this debate raged on elsewhere, and material from the columns of journals such as </w:t>
      </w:r>
      <w:r w:rsidRPr="00EC6742">
        <w:rPr>
          <w:rFonts w:ascii="Times New Roman" w:hAnsi="Times New Roman" w:cs="Times New Roman"/>
          <w:i/>
          <w:iCs/>
          <w:sz w:val="24"/>
          <w:szCs w:val="24"/>
        </w:rPr>
        <w:t>Le Peuple Breton</w:t>
      </w:r>
      <w:r w:rsidRPr="00EC6742">
        <w:rPr>
          <w:rFonts w:ascii="Times New Roman" w:hAnsi="Times New Roman" w:cs="Times New Roman"/>
          <w:sz w:val="24"/>
          <w:szCs w:val="24"/>
        </w:rPr>
        <w:t>, together with prefaces and ‘arts poétiques’ from the period, form a coherent theory of ‘revolutionary poetry’.</w:t>
      </w:r>
    </w:p>
    <w:p w14:paraId="63611C24" w14:textId="77777777" w:rsidR="00582D61" w:rsidRPr="00EC6742" w:rsidRDefault="00582D61" w:rsidP="00582D61">
      <w:pPr>
        <w:pStyle w:val="NormalIndent"/>
        <w:rPr>
          <w:sz w:val="24"/>
        </w:rPr>
      </w:pPr>
      <w:r w:rsidRPr="00EC6742">
        <w:rPr>
          <w:sz w:val="24"/>
        </w:rPr>
        <w:t>Keginer explains in a short essay ‘Point de départ: une poésie révolutionnaire bretonne existe’, how Breton literature of French expression is necessarily revolutionary, and that this has nothing to do with the subject-matter itself. Rather it is the nature of the relationship between the two languages that makes the literature inescapably political:</w:t>
      </w:r>
    </w:p>
    <w:p w14:paraId="1F818345" w14:textId="2F739F35" w:rsidR="00582D61" w:rsidRDefault="00582D61" w:rsidP="00582D61">
      <w:pPr>
        <w:pStyle w:val="DisplayQuote"/>
        <w:rPr>
          <w:sz w:val="24"/>
          <w:lang w:val="fr-FR"/>
        </w:rPr>
      </w:pPr>
      <w:r w:rsidRPr="00EC6742">
        <w:rPr>
          <w:sz w:val="24"/>
          <w:lang w:val="fr-FR"/>
        </w:rPr>
        <w:t xml:space="preserve">On conçoit qu’il puisse y avoir une poésie de langue bretonne. Phénomène plus </w:t>
      </w:r>
      <w:proofErr w:type="gramStart"/>
      <w:r w:rsidRPr="00EC6742">
        <w:rPr>
          <w:sz w:val="24"/>
          <w:lang w:val="fr-FR"/>
        </w:rPr>
        <w:t>étrange:</w:t>
      </w:r>
      <w:proofErr w:type="gramEnd"/>
      <w:r w:rsidRPr="00EC6742">
        <w:rPr>
          <w:sz w:val="24"/>
          <w:lang w:val="fr-FR"/>
        </w:rPr>
        <w:t xml:space="preserve"> comment se fait-il qu’il existe une poésie bretonne de langue française? Il ne suffit pas pour cela qu’il y ait en Bretagne des poètes s’exprimant en français. Il faut encore que ces poètes aient conscience de </w:t>
      </w:r>
      <w:r w:rsidRPr="00EC6742">
        <w:rPr>
          <w:i/>
          <w:iCs/>
          <w:sz w:val="24"/>
          <w:lang w:val="fr-FR"/>
        </w:rPr>
        <w:t>parler breton</w:t>
      </w:r>
      <w:r w:rsidRPr="00EC6742">
        <w:rPr>
          <w:sz w:val="24"/>
          <w:lang w:val="fr-FR"/>
        </w:rPr>
        <w:t xml:space="preserve">, même dans une langue étrangère imposée ou non comme, par exemple, le </w:t>
      </w:r>
      <w:proofErr w:type="gramStart"/>
      <w:r w:rsidRPr="00EC6742">
        <w:rPr>
          <w:sz w:val="24"/>
          <w:lang w:val="fr-FR"/>
        </w:rPr>
        <w:t>français;</w:t>
      </w:r>
      <w:proofErr w:type="gramEnd"/>
      <w:r w:rsidRPr="00EC6742">
        <w:rPr>
          <w:sz w:val="24"/>
          <w:lang w:val="fr-FR"/>
        </w:rPr>
        <w:t xml:space="preserve"> pour cela, une </w:t>
      </w:r>
      <w:r w:rsidRPr="00EC6742">
        <w:rPr>
          <w:i/>
          <w:iCs/>
          <w:sz w:val="24"/>
          <w:lang w:val="fr-FR"/>
        </w:rPr>
        <w:t>saisie</w:t>
      </w:r>
      <w:r w:rsidRPr="00EC6742">
        <w:rPr>
          <w:sz w:val="24"/>
          <w:lang w:val="fr-FR"/>
        </w:rPr>
        <w:t xml:space="preserve"> politique de l’existence d’un peuple breton est nécessaire, tout comme, dans la même situation, le poète noir qui écrit en français doit </w:t>
      </w:r>
      <w:r w:rsidRPr="00EC6742">
        <w:rPr>
          <w:i/>
          <w:iCs/>
          <w:sz w:val="24"/>
          <w:lang w:val="fr-FR"/>
        </w:rPr>
        <w:t>saisir</w:t>
      </w:r>
      <w:r w:rsidRPr="00EC6742">
        <w:rPr>
          <w:sz w:val="24"/>
          <w:lang w:val="fr-FR"/>
        </w:rPr>
        <w:t xml:space="preserve"> qu’il est Noir pour cesser d’écrire dans la langue française, et parler enfin dans la </w:t>
      </w:r>
      <w:r w:rsidRPr="00EC6742">
        <w:rPr>
          <w:i/>
          <w:iCs/>
          <w:sz w:val="24"/>
          <w:lang w:val="fr-FR"/>
        </w:rPr>
        <w:t>langue noire</w:t>
      </w:r>
      <w:r w:rsidRPr="00EC6742">
        <w:rPr>
          <w:sz w:val="24"/>
          <w:lang w:val="fr-FR"/>
        </w:rPr>
        <w:t xml:space="preserve">, même si c’est avec des mots français. Ce changement est véritablement une révolution. Il s’accompagne forcément, et c’est la même démarche, d’une analyse radicale da la situation coloniale du pays, l’un et l’autre ne naissant que l’un par l’autre, pour finir par ne faire qu’une seule attitude combattante. On comprend donc </w:t>
      </w:r>
      <w:r w:rsidRPr="00EC6742">
        <w:rPr>
          <w:sz w:val="24"/>
          <w:lang w:val="fr-FR"/>
        </w:rPr>
        <w:lastRenderedPageBreak/>
        <w:t xml:space="preserve">qu’il est inutile d’ajouter le mot </w:t>
      </w:r>
      <w:r w:rsidRPr="00EC6742">
        <w:rPr>
          <w:i/>
          <w:iCs/>
          <w:sz w:val="24"/>
          <w:lang w:val="fr-FR"/>
        </w:rPr>
        <w:t>révolutionnaire</w:t>
      </w:r>
      <w:r w:rsidRPr="00EC6742">
        <w:rPr>
          <w:sz w:val="24"/>
          <w:lang w:val="fr-FR"/>
        </w:rPr>
        <w:t xml:space="preserve"> à l’expression </w:t>
      </w:r>
      <w:r w:rsidRPr="00EC6742">
        <w:rPr>
          <w:i/>
          <w:iCs/>
          <w:sz w:val="24"/>
          <w:lang w:val="fr-FR"/>
        </w:rPr>
        <w:t xml:space="preserve">poésie bretonne de langue français </w:t>
      </w:r>
      <w:r w:rsidRPr="00EC6742">
        <w:rPr>
          <w:sz w:val="24"/>
          <w:lang w:val="fr-FR"/>
        </w:rPr>
        <w:t xml:space="preserve">qui signifie, par le caractère subversif de sa seule </w:t>
      </w:r>
      <w:proofErr w:type="gramStart"/>
      <w:r w:rsidRPr="00EC6742">
        <w:rPr>
          <w:sz w:val="24"/>
          <w:lang w:val="fr-FR"/>
        </w:rPr>
        <w:t>existence:</w:t>
      </w:r>
      <w:proofErr w:type="gramEnd"/>
      <w:r w:rsidRPr="00EC6742">
        <w:rPr>
          <w:sz w:val="24"/>
          <w:lang w:val="fr-FR"/>
        </w:rPr>
        <w:t xml:space="preserve"> poésie révolutionnaire’.</w:t>
      </w:r>
      <w:r w:rsidRPr="00EC6742">
        <w:rPr>
          <w:rStyle w:val="FootnoteReference"/>
          <w:sz w:val="24"/>
        </w:rPr>
        <w:footnoteReference w:id="2"/>
      </w:r>
    </w:p>
    <w:p w14:paraId="2B6552A5" w14:textId="7F58937E" w:rsidR="00157804" w:rsidRDefault="008911ED" w:rsidP="00925C4E">
      <w:pPr>
        <w:pStyle w:val="BodyText"/>
        <w:ind w:left="454"/>
      </w:pPr>
      <w:r w:rsidRPr="008911ED">
        <w:t>We</w:t>
      </w:r>
      <w:r>
        <w:t xml:space="preserve"> accept</w:t>
      </w:r>
      <w:r w:rsidRPr="008911ED">
        <w:t xml:space="preserve"> that Breton-l</w:t>
      </w:r>
      <w:r>
        <w:t xml:space="preserve">anguage poetry can exist. There is a stranger phenomenon: how can </w:t>
      </w:r>
      <w:r w:rsidR="00C12812">
        <w:t>French-language</w:t>
      </w:r>
      <w:r>
        <w:t xml:space="preserve"> Breton poetry</w:t>
      </w:r>
      <w:r w:rsidR="00C12812">
        <w:t xml:space="preserve"> exist? That there be in Brittany po</w:t>
      </w:r>
      <w:r w:rsidR="00157804">
        <w:t xml:space="preserve">ets who express themselves in French is not sufficient. These poets must also be conscious of </w:t>
      </w:r>
      <w:r w:rsidR="00157804" w:rsidRPr="00157804">
        <w:rPr>
          <w:i/>
          <w:iCs/>
        </w:rPr>
        <w:t>speaking Breton</w:t>
      </w:r>
      <w:r w:rsidR="00157804">
        <w:t>, even in a foreig</w:t>
      </w:r>
      <w:r w:rsidR="00D51ED8">
        <w:t>n</w:t>
      </w:r>
      <w:r w:rsidR="00157804">
        <w:t xml:space="preserve"> language that has been imopsed or not, for example: French. For this to happen</w:t>
      </w:r>
      <w:r w:rsidR="00D246E4">
        <w:t xml:space="preserve"> a political awakening to the existence of a Breton people is necessary, just as, in the same situation, the Black poet who writes in French must </w:t>
      </w:r>
      <w:r w:rsidR="00993B85">
        <w:t xml:space="preserve">take possession of the fact he is Black in order to stop writing in the French language, and to speak at last in </w:t>
      </w:r>
      <w:r w:rsidR="001C27BC" w:rsidRPr="001C27BC">
        <w:rPr>
          <w:i/>
          <w:iCs/>
        </w:rPr>
        <w:t>Black language</w:t>
      </w:r>
      <w:r w:rsidR="001C27BC">
        <w:t xml:space="preserve">, even if with French words. This change is really a revolution. It must be accompanied, </w:t>
      </w:r>
      <w:r w:rsidR="00875634">
        <w:t>as part of the same thing</w:t>
      </w:r>
      <w:r w:rsidR="00C92D0F">
        <w:t>, by a radical analysis of the colonial situation of the country</w:t>
      </w:r>
      <w:r w:rsidR="00875634">
        <w:t xml:space="preserve">, each </w:t>
      </w:r>
      <w:r w:rsidR="006E09DF">
        <w:t xml:space="preserve">being </w:t>
      </w:r>
      <w:r w:rsidR="000D2D39">
        <w:t xml:space="preserve">borne only of the other, </w:t>
      </w:r>
      <w:r w:rsidR="00790342">
        <w:t xml:space="preserve">and resulting in </w:t>
      </w:r>
      <w:r w:rsidR="00AC0854">
        <w:t xml:space="preserve">a single combative attitude. We understand, then, that there is no point in adding the word </w:t>
      </w:r>
      <w:r w:rsidR="00AC0854" w:rsidRPr="004B3414">
        <w:rPr>
          <w:i/>
          <w:iCs/>
        </w:rPr>
        <w:t>revolutionary</w:t>
      </w:r>
      <w:r w:rsidR="00AC0854">
        <w:t xml:space="preserve"> to the expression </w:t>
      </w:r>
      <w:r w:rsidR="004B3414">
        <w:t xml:space="preserve">Breton poetry of French expression that means, by the subversive character of its very existence: revolutionary poetry. </w:t>
      </w:r>
      <w:r w:rsidR="000D2D39">
        <w:t xml:space="preserve"> </w:t>
      </w:r>
      <w:r w:rsidR="001C27BC">
        <w:t xml:space="preserve"> </w:t>
      </w:r>
    </w:p>
    <w:p w14:paraId="01AF9105" w14:textId="20B719CB" w:rsidR="00C525BB" w:rsidRPr="008911ED" w:rsidRDefault="008911ED" w:rsidP="00C525BB">
      <w:pPr>
        <w:pStyle w:val="BodyText"/>
      </w:pPr>
      <w:r>
        <w:t xml:space="preserve"> </w:t>
      </w:r>
    </w:p>
    <w:p w14:paraId="4695C103" w14:textId="4F50B7EB" w:rsidR="00582D61" w:rsidRPr="00EC6742" w:rsidRDefault="00582D61" w:rsidP="00582D61">
      <w:pPr>
        <w:rPr>
          <w:rFonts w:ascii="Times New Roman" w:hAnsi="Times New Roman" w:cs="Times New Roman"/>
          <w:sz w:val="24"/>
          <w:szCs w:val="24"/>
        </w:rPr>
      </w:pPr>
      <w:r w:rsidRPr="00EC6742">
        <w:rPr>
          <w:rFonts w:ascii="Times New Roman" w:hAnsi="Times New Roman" w:cs="Times New Roman"/>
          <w:sz w:val="24"/>
          <w:szCs w:val="24"/>
        </w:rPr>
        <w:t xml:space="preserve">Francophone Breton writing was therefore inescapably political in the same way that black writing was, and for the same reason, as Keginer points out here. </w:t>
      </w:r>
      <w:r w:rsidRPr="00EC6742">
        <w:rPr>
          <w:rFonts w:ascii="Times New Roman" w:hAnsi="Times New Roman" w:cs="Times New Roman"/>
          <w:sz w:val="24"/>
          <w:szCs w:val="24"/>
          <w:lang w:val="fr-FR"/>
        </w:rPr>
        <w:t>In similar vein in 1948 Sartre had sought to explain: ‘pourquoi la poésie noire de langue française est, de nos jours, la seule grande poésie révolutionnaire’</w:t>
      </w:r>
      <w:r w:rsidR="000D0726">
        <w:rPr>
          <w:rFonts w:ascii="Times New Roman" w:hAnsi="Times New Roman" w:cs="Times New Roman"/>
          <w:sz w:val="24"/>
          <w:szCs w:val="24"/>
          <w:lang w:val="fr-FR"/>
        </w:rPr>
        <w:t xml:space="preserve"> [whey Black poetry in French is, today, the only great revolutionary poetry]</w:t>
      </w:r>
      <w:r w:rsidRPr="00EC6742">
        <w:rPr>
          <w:rFonts w:ascii="Times New Roman" w:hAnsi="Times New Roman" w:cs="Times New Roman"/>
          <w:sz w:val="24"/>
          <w:szCs w:val="24"/>
          <w:lang w:val="fr-FR"/>
        </w:rPr>
        <w:t xml:space="preserve">, in </w:t>
      </w:r>
      <w:r w:rsidRPr="00EC6742">
        <w:rPr>
          <w:rFonts w:ascii="Times New Roman" w:hAnsi="Times New Roman" w:cs="Times New Roman"/>
          <w:i/>
          <w:iCs/>
          <w:sz w:val="24"/>
          <w:szCs w:val="24"/>
          <w:lang w:val="fr-FR"/>
        </w:rPr>
        <w:t>Orphée noir</w:t>
      </w:r>
      <w:r w:rsidRPr="00EC6742">
        <w:rPr>
          <w:rFonts w:ascii="Times New Roman" w:hAnsi="Times New Roman" w:cs="Times New Roman"/>
          <w:sz w:val="24"/>
          <w:szCs w:val="24"/>
          <w:lang w:val="fr-FR"/>
        </w:rPr>
        <w:t xml:space="preserve">, reprinted as a preface to Senghor’s </w:t>
      </w:r>
      <w:r w:rsidRPr="00EC6742">
        <w:rPr>
          <w:rFonts w:ascii="Times New Roman" w:hAnsi="Times New Roman" w:cs="Times New Roman"/>
          <w:i/>
          <w:iCs/>
          <w:sz w:val="24"/>
          <w:szCs w:val="24"/>
          <w:lang w:val="fr-FR"/>
        </w:rPr>
        <w:t>Anthologie de la nouvelle poésie nègre et malgache de langue française</w:t>
      </w:r>
      <w:r w:rsidRPr="00EC6742">
        <w:rPr>
          <w:rFonts w:ascii="Times New Roman" w:hAnsi="Times New Roman" w:cs="Times New Roman"/>
          <w:sz w:val="24"/>
          <w:szCs w:val="24"/>
          <w:lang w:val="fr-FR"/>
        </w:rPr>
        <w:t>.</w:t>
      </w:r>
      <w:r w:rsidRPr="00EC6742">
        <w:rPr>
          <w:rStyle w:val="FootnoteReference"/>
          <w:rFonts w:ascii="Times New Roman" w:hAnsi="Times New Roman" w:cs="Times New Roman"/>
          <w:sz w:val="24"/>
          <w:szCs w:val="24"/>
        </w:rPr>
        <w:footnoteReference w:id="3"/>
      </w:r>
      <w:r w:rsidRPr="00EC6742">
        <w:rPr>
          <w:rFonts w:ascii="Times New Roman" w:hAnsi="Times New Roman" w:cs="Times New Roman"/>
          <w:sz w:val="24"/>
          <w:szCs w:val="24"/>
          <w:lang w:val="fr-FR"/>
        </w:rPr>
        <w:t xml:space="preserve"> </w:t>
      </w:r>
      <w:r w:rsidRPr="00EC6742">
        <w:rPr>
          <w:rFonts w:ascii="Times New Roman" w:hAnsi="Times New Roman" w:cs="Times New Roman"/>
          <w:sz w:val="24"/>
          <w:szCs w:val="24"/>
        </w:rPr>
        <w:t>These Breton poets felt that they had more in common with writers from overseas countries that had been colonized by France than with mainstream Parisian writers, and they draw inspiration from this earlier writing. However the restrained descriptions of the state of biculturality found in Senghor’s anthology, such as the expression of a desire to: ‘apprivoiser, avec des mots de France,/ Ce cœur qui m’est venu du Sénégal’</w:t>
      </w:r>
      <w:r w:rsidR="00B403A3">
        <w:rPr>
          <w:rFonts w:ascii="Times New Roman" w:hAnsi="Times New Roman" w:cs="Times New Roman"/>
          <w:sz w:val="24"/>
          <w:szCs w:val="24"/>
        </w:rPr>
        <w:t xml:space="preserve"> [tame, with words from France,/ This heart that I got from Senegal]</w:t>
      </w:r>
      <w:r w:rsidRPr="00EC6742">
        <w:rPr>
          <w:rFonts w:ascii="Times New Roman" w:hAnsi="Times New Roman" w:cs="Times New Roman"/>
          <w:sz w:val="24"/>
          <w:szCs w:val="24"/>
        </w:rPr>
        <w:t>,</w:t>
      </w:r>
      <w:r w:rsidRPr="00EC6742">
        <w:rPr>
          <w:rStyle w:val="FootnoteReference"/>
          <w:rFonts w:ascii="Times New Roman" w:hAnsi="Times New Roman" w:cs="Times New Roman"/>
          <w:sz w:val="24"/>
          <w:szCs w:val="24"/>
        </w:rPr>
        <w:footnoteReference w:id="4"/>
      </w:r>
      <w:r w:rsidRPr="00EC6742">
        <w:rPr>
          <w:rFonts w:ascii="Times New Roman" w:hAnsi="Times New Roman" w:cs="Times New Roman"/>
          <w:sz w:val="24"/>
          <w:szCs w:val="24"/>
        </w:rPr>
        <w:t xml:space="preserve"> does nothing to prepare us for the violent language found in Breton work of the 1970s. Even when directly describing oppression, Sartre uses polite, quiet language in comparison to Keginer:</w:t>
      </w:r>
    </w:p>
    <w:p w14:paraId="7A1A6CD9" w14:textId="0B2C7536" w:rsidR="00582D61" w:rsidRDefault="00582D61" w:rsidP="00582D61">
      <w:pPr>
        <w:pStyle w:val="DisplayQuote"/>
        <w:rPr>
          <w:sz w:val="24"/>
          <w:lang w:val="fr-FR"/>
        </w:rPr>
      </w:pPr>
      <w:r w:rsidRPr="00EC6742">
        <w:rPr>
          <w:sz w:val="24"/>
          <w:lang w:val="fr-FR"/>
        </w:rPr>
        <w:t xml:space="preserve">Le héraut de l’âme noire a passé par les écoles blanches, selon la loi d’airain qui refuse à l’opprimé toutes les armes qu’il n’aura pas volées lui-même à </w:t>
      </w:r>
      <w:proofErr w:type="gramStart"/>
      <w:r w:rsidRPr="00EC6742">
        <w:rPr>
          <w:sz w:val="24"/>
          <w:lang w:val="fr-FR"/>
        </w:rPr>
        <w:t>l’oppresseur;</w:t>
      </w:r>
      <w:proofErr w:type="gramEnd"/>
      <w:r w:rsidRPr="00EC6742">
        <w:rPr>
          <w:sz w:val="24"/>
          <w:lang w:val="fr-FR"/>
        </w:rPr>
        <w:t xml:space="preserve"> c’est au choc de la culture blanche que sa négritude est passée de l’existence immédiate à l’état réfléchi (</w:t>
      </w:r>
      <w:r w:rsidRPr="00EC6742">
        <w:rPr>
          <w:i/>
          <w:iCs/>
          <w:sz w:val="24"/>
          <w:lang w:val="fr-FR"/>
        </w:rPr>
        <w:t>Anthologie de la nouvelle poésie</w:t>
      </w:r>
      <w:r w:rsidRPr="00EC6742">
        <w:rPr>
          <w:sz w:val="24"/>
          <w:lang w:val="fr-FR"/>
        </w:rPr>
        <w:t>, p.xv).</w:t>
      </w:r>
    </w:p>
    <w:p w14:paraId="10B31588" w14:textId="5106BE30" w:rsidR="007D22D5" w:rsidRPr="00293362" w:rsidRDefault="00D4598D" w:rsidP="00CB565A">
      <w:pPr>
        <w:pStyle w:val="BodyText"/>
        <w:ind w:left="454"/>
      </w:pPr>
      <w:r w:rsidRPr="00293362">
        <w:t xml:space="preserve">The harbinger </w:t>
      </w:r>
      <w:r w:rsidR="00293362" w:rsidRPr="00293362">
        <w:t>of the b</w:t>
      </w:r>
      <w:r w:rsidR="00293362">
        <w:t xml:space="preserve">lack soul </w:t>
      </w:r>
      <w:r w:rsidR="0011417E">
        <w:t>has passed through the white schools, according to the laws</w:t>
      </w:r>
      <w:r w:rsidR="00C24412">
        <w:t xml:space="preserve"> that refuses </w:t>
      </w:r>
      <w:r w:rsidR="002A3BC1">
        <w:t xml:space="preserve">the oppressed all arms bar those he has himself stolen from the oppressor; </w:t>
      </w:r>
      <w:r w:rsidR="001730DE">
        <w:t xml:space="preserve">it is through the </w:t>
      </w:r>
      <w:r w:rsidR="00770596">
        <w:t>collision</w:t>
      </w:r>
      <w:r w:rsidR="001730DE">
        <w:t xml:space="preserve"> </w:t>
      </w:r>
      <w:r w:rsidR="00923802">
        <w:t xml:space="preserve">with white culture that his negritude has </w:t>
      </w:r>
      <w:r w:rsidR="00770596">
        <w:t>evolved</w:t>
      </w:r>
      <w:r w:rsidR="00923802">
        <w:t xml:space="preserve"> from existence to </w:t>
      </w:r>
      <w:r w:rsidR="00770596">
        <w:t xml:space="preserve">a </w:t>
      </w:r>
      <w:r w:rsidR="00923802">
        <w:t>mature</w:t>
      </w:r>
      <w:r w:rsidR="00CB565A">
        <w:t xml:space="preserve"> state </w:t>
      </w:r>
    </w:p>
    <w:p w14:paraId="0418CA77" w14:textId="77777777" w:rsidR="00B403A3" w:rsidRPr="00293362" w:rsidRDefault="00B403A3" w:rsidP="00B403A3">
      <w:pPr>
        <w:pStyle w:val="BodyText"/>
      </w:pPr>
    </w:p>
    <w:p w14:paraId="62CEBC16" w14:textId="77777777" w:rsidR="00582D61" w:rsidRPr="00EC6742" w:rsidRDefault="00582D61" w:rsidP="00582D61">
      <w:pPr>
        <w:pStyle w:val="BodyText"/>
        <w:spacing w:line="240" w:lineRule="auto"/>
        <w:rPr>
          <w:rFonts w:cs="Times New Roman"/>
          <w:sz w:val="24"/>
        </w:rPr>
      </w:pPr>
      <w:r w:rsidRPr="00EC6742">
        <w:rPr>
          <w:rFonts w:cs="Times New Roman"/>
          <w:sz w:val="24"/>
        </w:rPr>
        <w:t>Keginer writes with a violence reminiscent of, but also surpassing, the rhetoric of the Revolution, most notoriously used by the Abbé Grégoire in his report on France’s regional languages:</w:t>
      </w:r>
    </w:p>
    <w:p w14:paraId="3012908E" w14:textId="47A09EFB" w:rsidR="00582D61" w:rsidRDefault="00582D61" w:rsidP="00582D61">
      <w:pPr>
        <w:pStyle w:val="DisplayQuote"/>
        <w:rPr>
          <w:sz w:val="24"/>
          <w:lang w:val="fr-FR"/>
        </w:rPr>
      </w:pPr>
      <w:r w:rsidRPr="00EC6742">
        <w:rPr>
          <w:sz w:val="24"/>
          <w:lang w:val="fr-FR"/>
        </w:rPr>
        <w:t xml:space="preserve">Le peuple breton est bilingue, mais sa poésie est une, puisque sa source est unique. Lorsque les mots bretons la révèlent, même si elle crie de douleur et de révolte, elle est fondamentalement sereine, et </w:t>
      </w:r>
      <w:proofErr w:type="gramStart"/>
      <w:r w:rsidRPr="00EC6742">
        <w:rPr>
          <w:sz w:val="24"/>
          <w:lang w:val="fr-FR"/>
        </w:rPr>
        <w:t>souveraine:</w:t>
      </w:r>
      <w:proofErr w:type="gramEnd"/>
      <w:r w:rsidRPr="00EC6742">
        <w:rPr>
          <w:sz w:val="24"/>
          <w:lang w:val="fr-FR"/>
        </w:rPr>
        <w:t xml:space="preserve"> elle parle sa vraie langue. Mais les mots français </w:t>
      </w:r>
      <w:r w:rsidRPr="00EC6742">
        <w:rPr>
          <w:sz w:val="24"/>
          <w:lang w:val="fr-FR"/>
        </w:rPr>
        <w:lastRenderedPageBreak/>
        <w:t xml:space="preserve">la retournent comme un gant, lui jettent la tête en bas. La poésie bretonne de langue française – c’est par cette </w:t>
      </w:r>
      <w:r w:rsidRPr="00EC6742">
        <w:rPr>
          <w:i/>
          <w:iCs/>
          <w:sz w:val="24"/>
          <w:lang w:val="fr-FR"/>
        </w:rPr>
        <w:t>contra-diction</w:t>
      </w:r>
      <w:r w:rsidRPr="00EC6742">
        <w:rPr>
          <w:sz w:val="24"/>
          <w:lang w:val="fr-FR"/>
        </w:rPr>
        <w:t xml:space="preserve"> qu’elle est politiquement révolutionnaire – entretient avec la langue française des rapports incestueux et </w:t>
      </w:r>
      <w:proofErr w:type="gramStart"/>
      <w:r w:rsidRPr="00EC6742">
        <w:rPr>
          <w:sz w:val="24"/>
          <w:lang w:val="fr-FR"/>
        </w:rPr>
        <w:t>meurtiers:</w:t>
      </w:r>
      <w:proofErr w:type="gramEnd"/>
      <w:r w:rsidRPr="00EC6742">
        <w:rPr>
          <w:sz w:val="24"/>
          <w:lang w:val="fr-FR"/>
        </w:rPr>
        <w:t xml:space="preserve"> née de cette langue étrangère, quoique sa source soit ailleurs, elle s’y marie afin de la mieux détruire, et pourtant son exigence propre la lui fait aimer et servir.</w:t>
      </w:r>
      <w:r w:rsidRPr="00EC6742">
        <w:rPr>
          <w:rStyle w:val="FootnoteReference"/>
          <w:sz w:val="24"/>
        </w:rPr>
        <w:footnoteReference w:id="5"/>
      </w:r>
      <w:r w:rsidRPr="00EC6742">
        <w:rPr>
          <w:sz w:val="24"/>
          <w:lang w:val="fr-FR"/>
        </w:rPr>
        <w:t xml:space="preserve"> </w:t>
      </w:r>
    </w:p>
    <w:p w14:paraId="77FFD8D3" w14:textId="2B45F418" w:rsidR="00F772ED" w:rsidRDefault="00D00633" w:rsidP="00487479">
      <w:pPr>
        <w:pStyle w:val="BodyText"/>
        <w:ind w:left="454"/>
      </w:pPr>
      <w:r w:rsidRPr="00D00633">
        <w:t>The Breton people are b</w:t>
      </w:r>
      <w:r>
        <w:t>ilingual, but its poetry is one, because it has a single source. When it is Breton words that reveal this source</w:t>
      </w:r>
      <w:r w:rsidR="004457E4">
        <w:t xml:space="preserve">, even if the poetry cries in pain and revolt, it is fundementally </w:t>
      </w:r>
      <w:r w:rsidR="00870DEC">
        <w:t>impartial</w:t>
      </w:r>
      <w:r w:rsidR="00BE660F">
        <w:t xml:space="preserve"> and </w:t>
      </w:r>
      <w:r w:rsidR="0052292D">
        <w:t xml:space="preserve">sovereign; it speaks its true language. But French words turn it insideout like a glove, </w:t>
      </w:r>
      <w:r w:rsidR="00EE6837">
        <w:t xml:space="preserve">turn it upside down. Breton poetry in French – it is by this contra-diction that it is politically revolutionnary </w:t>
      </w:r>
      <w:r w:rsidR="00C24288">
        <w:t>–</w:t>
      </w:r>
      <w:r w:rsidR="00EE6837">
        <w:t xml:space="preserve"> </w:t>
      </w:r>
      <w:r w:rsidR="00C24288">
        <w:t>has incestuous and murdersous relations with the French language; born from this foreign language, although its source is elsewhere, it</w:t>
      </w:r>
      <w:r w:rsidR="002D37A0">
        <w:t xml:space="preserve"> aligns i</w:t>
      </w:r>
      <w:r w:rsidR="0020536A">
        <w:t>t</w:t>
      </w:r>
      <w:r w:rsidR="002D37A0">
        <w:t>se</w:t>
      </w:r>
      <w:r w:rsidR="0020536A">
        <w:t>l</w:t>
      </w:r>
      <w:r w:rsidR="002D37A0">
        <w:t xml:space="preserve">f with it in order to better destroy it, and </w:t>
      </w:r>
      <w:r w:rsidR="00AB6E57">
        <w:t xml:space="preserve">yet its </w:t>
      </w:r>
      <w:r w:rsidR="00274027">
        <w:t>o</w:t>
      </w:r>
      <w:r w:rsidR="00707389">
        <w:t>w</w:t>
      </w:r>
      <w:r w:rsidR="00274027">
        <w:t xml:space="preserve">n </w:t>
      </w:r>
      <w:r w:rsidR="00707389">
        <w:t>particularity makes it love this language and serve it.</w:t>
      </w:r>
    </w:p>
    <w:p w14:paraId="44B8CEE6" w14:textId="77777777" w:rsidR="00D00633" w:rsidRPr="00D00633" w:rsidRDefault="00D00633" w:rsidP="00F772ED">
      <w:pPr>
        <w:pStyle w:val="BodyText"/>
      </w:pPr>
    </w:p>
    <w:p w14:paraId="53405507" w14:textId="77777777" w:rsidR="00582D61" w:rsidRPr="00EC6742" w:rsidRDefault="00582D61" w:rsidP="00582D61">
      <w:pPr>
        <w:pStyle w:val="NormalIndent"/>
        <w:rPr>
          <w:sz w:val="24"/>
          <w:lang w:val="fr-FR"/>
        </w:rPr>
      </w:pPr>
      <w:r w:rsidRPr="00EC6742">
        <w:rPr>
          <w:sz w:val="24"/>
        </w:rPr>
        <w:t xml:space="preserve">This work came into its own in the 1990s, when the definitional and theoretical questions were taken up and refined by postcolonial critics, notably at the Centre d’Études des Littératures et Civilisations Francophones at the University of Rennes, with Pascal Rannou, Marc Gontard and Thierry Glon among the most prolific contributors to the debate. Much important work has been disseminated in the centre’s journal </w:t>
      </w:r>
      <w:r w:rsidRPr="00EC6742">
        <w:rPr>
          <w:i/>
          <w:iCs/>
          <w:sz w:val="24"/>
        </w:rPr>
        <w:t>Plurial</w:t>
      </w:r>
      <w:r w:rsidRPr="00EC6742">
        <w:rPr>
          <w:sz w:val="24"/>
        </w:rPr>
        <w:t xml:space="preserve">. The idea of ‘métissage’, or hybridity, is key to the pioneering analyses of Francophone Breton works that have appeared in </w:t>
      </w:r>
      <w:r w:rsidRPr="00EC6742">
        <w:rPr>
          <w:i/>
          <w:iCs/>
          <w:sz w:val="24"/>
        </w:rPr>
        <w:t>Plurial</w:t>
      </w:r>
      <w:r w:rsidRPr="00EC6742">
        <w:rPr>
          <w:sz w:val="24"/>
        </w:rPr>
        <w:t xml:space="preserve"> and also in book-length studies by its editors, in particular work concentrating on Corbière, Hélias and the poetry of the 1960s and 1970s. In an important issue of </w:t>
      </w:r>
      <w:r w:rsidRPr="00EC6742">
        <w:rPr>
          <w:i/>
          <w:iCs/>
          <w:sz w:val="24"/>
        </w:rPr>
        <w:t>Plurial</w:t>
      </w:r>
      <w:r w:rsidRPr="00EC6742">
        <w:rPr>
          <w:sz w:val="24"/>
        </w:rPr>
        <w:t xml:space="preserve"> entitled </w:t>
      </w:r>
      <w:r w:rsidRPr="00EC6742">
        <w:rPr>
          <w:i/>
          <w:iCs/>
          <w:sz w:val="24"/>
        </w:rPr>
        <w:t>Écrire la Bretagne</w:t>
      </w:r>
      <w:r w:rsidRPr="00EC6742">
        <w:rPr>
          <w:sz w:val="24"/>
        </w:rPr>
        <w:t>, Bernard Hue argues that modern Francophone Breton literature shows us the change that has come about in Brittany and in Breton identity, concluding that: ‘bretonnité = altérité’.</w:t>
      </w:r>
      <w:r w:rsidRPr="00EC6742">
        <w:rPr>
          <w:rStyle w:val="FootnoteReference"/>
          <w:sz w:val="24"/>
        </w:rPr>
        <w:footnoteReference w:id="6"/>
      </w:r>
      <w:r w:rsidRPr="00EC6742">
        <w:rPr>
          <w:sz w:val="24"/>
        </w:rPr>
        <w:t xml:space="preserve"> Another issue comparing Brittany, the Maghreb, and Québec takes its conceptual frame from Tahar Ben Jelloun, presenting the idea of ‘métissage’ as a positive, forward-looking value: ‘l’avenir est au métissage’.</w:t>
      </w:r>
      <w:r w:rsidRPr="00EC6742">
        <w:rPr>
          <w:rStyle w:val="FootnoteReference"/>
          <w:sz w:val="24"/>
        </w:rPr>
        <w:footnoteReference w:id="7"/>
      </w:r>
      <w:r w:rsidRPr="00EC6742">
        <w:rPr>
          <w:sz w:val="24"/>
        </w:rPr>
        <w:t xml:space="preserve"> </w:t>
      </w:r>
      <w:r w:rsidRPr="00EC6742">
        <w:rPr>
          <w:sz w:val="24"/>
          <w:lang w:val="fr-FR"/>
        </w:rPr>
        <w:t>Marc Gontard takes as guide the statement by Jean-Loup Amselle: ‘qu’il n’y a pas de culture en dehors de l’interculturalité’.</w:t>
      </w:r>
      <w:r w:rsidRPr="00EC6742">
        <w:rPr>
          <w:rStyle w:val="FootnoteReference"/>
          <w:sz w:val="24"/>
        </w:rPr>
        <w:footnoteReference w:id="8"/>
      </w:r>
      <w:r w:rsidRPr="00EC6742">
        <w:rPr>
          <w:sz w:val="24"/>
          <w:lang w:val="fr-FR"/>
        </w:rPr>
        <w:t xml:space="preserve"> </w:t>
      </w:r>
    </w:p>
    <w:p w14:paraId="660AC548" w14:textId="77777777" w:rsidR="00582D61" w:rsidRPr="00EC6742" w:rsidRDefault="00582D61" w:rsidP="00582D61">
      <w:pPr>
        <w:pStyle w:val="NormalIndent"/>
        <w:rPr>
          <w:sz w:val="24"/>
        </w:rPr>
      </w:pPr>
      <w:r w:rsidRPr="00EC6742">
        <w:rPr>
          <w:sz w:val="24"/>
        </w:rPr>
        <w:t>On the simplest level hybridity can be the result of cross-fertilization. For instance Gontard calls Grall’s form ‘la sône’ a ‘forme métisse’, as it is the result of a meeting between French poetry and the native Breton poetic form know as the ‘son’.</w:t>
      </w:r>
      <w:r w:rsidRPr="00EC6742">
        <w:rPr>
          <w:rStyle w:val="FootnoteReference"/>
          <w:sz w:val="24"/>
        </w:rPr>
        <w:footnoteReference w:id="9"/>
      </w:r>
      <w:r w:rsidRPr="00EC6742">
        <w:rPr>
          <w:sz w:val="24"/>
        </w:rPr>
        <w:t xml:space="preserve"> The main focus of the critical energy is on the language, and the relation between the two languages of Brittany, as manifested in the detail of the French. Again, language can be ‘hybrid’ on a superficial level; for </w:t>
      </w:r>
      <w:proofErr w:type="gramStart"/>
      <w:r w:rsidRPr="00EC6742">
        <w:rPr>
          <w:sz w:val="24"/>
        </w:rPr>
        <w:t>instance</w:t>
      </w:r>
      <w:proofErr w:type="gramEnd"/>
      <w:r w:rsidRPr="00EC6742">
        <w:rPr>
          <w:sz w:val="24"/>
        </w:rPr>
        <w:t xml:space="preserve"> Gontard claims that the Breton language is present in Grall’s </w:t>
      </w:r>
      <w:r w:rsidRPr="00EC6742">
        <w:rPr>
          <w:i/>
          <w:iCs/>
          <w:sz w:val="24"/>
        </w:rPr>
        <w:t>Les Vents m’ont dit</w:t>
      </w:r>
      <w:r w:rsidRPr="00EC6742">
        <w:rPr>
          <w:sz w:val="24"/>
        </w:rPr>
        <w:t xml:space="preserve">, despite Grall talking of a sense of loss dominating his feelings for the language: </w:t>
      </w:r>
    </w:p>
    <w:p w14:paraId="463F4FE5" w14:textId="24926A23" w:rsidR="00582D61" w:rsidRPr="00EC6742" w:rsidRDefault="00582D61" w:rsidP="00582D61">
      <w:pPr>
        <w:pStyle w:val="DisplayQuote"/>
        <w:rPr>
          <w:sz w:val="24"/>
          <w:lang w:val="fr-FR"/>
        </w:rPr>
      </w:pPr>
      <w:r w:rsidRPr="00EC6742">
        <w:rPr>
          <w:sz w:val="24"/>
          <w:lang w:val="fr-FR"/>
        </w:rPr>
        <w:t>Même pour l’écrivain non-celtisant, la langue n’est donc pas morte et fonctionne comme palimpseste, marquant pa</w:t>
      </w:r>
      <w:r w:rsidR="00832D69">
        <w:rPr>
          <w:sz w:val="24"/>
          <w:lang w:val="fr-FR"/>
        </w:rPr>
        <w:t>r</w:t>
      </w:r>
      <w:r w:rsidRPr="00EC6742">
        <w:rPr>
          <w:sz w:val="24"/>
          <w:lang w:val="fr-FR"/>
        </w:rPr>
        <w:t xml:space="preserve"> ses ‘ker’, ses ‘tre’, ses ‘pen’, ses ‘arc’h’, une identité sonore par rapport au français dans lequel résonne la langue oubliée.</w:t>
      </w:r>
      <w:r w:rsidRPr="00EC6742">
        <w:rPr>
          <w:rStyle w:val="FootnoteReference"/>
          <w:sz w:val="24"/>
        </w:rPr>
        <w:footnoteReference w:id="10"/>
      </w:r>
      <w:r w:rsidRPr="00EC6742">
        <w:rPr>
          <w:sz w:val="24"/>
          <w:lang w:val="fr-FR"/>
        </w:rPr>
        <w:t xml:space="preserve"> </w:t>
      </w:r>
    </w:p>
    <w:p w14:paraId="0E081EF1" w14:textId="061EC92A" w:rsidR="00510D89" w:rsidRDefault="00B24F2D" w:rsidP="00B24F2D">
      <w:pPr>
        <w:pStyle w:val="BodyText"/>
        <w:spacing w:line="240" w:lineRule="auto"/>
        <w:ind w:left="454"/>
        <w:rPr>
          <w:rFonts w:cs="Times New Roman"/>
          <w:sz w:val="24"/>
        </w:rPr>
      </w:pPr>
      <w:r>
        <w:rPr>
          <w:rFonts w:cs="Times New Roman"/>
          <w:sz w:val="24"/>
        </w:rPr>
        <w:t>[</w:t>
      </w:r>
      <w:r w:rsidR="00510D89">
        <w:rPr>
          <w:rFonts w:cs="Times New Roman"/>
          <w:sz w:val="24"/>
        </w:rPr>
        <w:t>Even for the non Celtic-speaking writer the langu</w:t>
      </w:r>
      <w:r>
        <w:rPr>
          <w:rFonts w:cs="Times New Roman"/>
          <w:sz w:val="24"/>
        </w:rPr>
        <w:t>age</w:t>
      </w:r>
      <w:r w:rsidR="00510D89">
        <w:rPr>
          <w:rFonts w:cs="Times New Roman"/>
          <w:sz w:val="24"/>
        </w:rPr>
        <w:t xml:space="preserve"> is not dead and functions as a palimpseste, </w:t>
      </w:r>
      <w:r w:rsidR="00323EFF">
        <w:rPr>
          <w:rFonts w:cs="Times New Roman"/>
          <w:sz w:val="24"/>
        </w:rPr>
        <w:t>marking out</w:t>
      </w:r>
      <w:r w:rsidR="00510D89">
        <w:rPr>
          <w:rFonts w:cs="Times New Roman"/>
          <w:sz w:val="24"/>
        </w:rPr>
        <w:t xml:space="preserve"> with its ‘ker’, ‘tre’, ‘pen’ and ‘arc’h’s </w:t>
      </w:r>
      <w:r w:rsidR="00B73942">
        <w:rPr>
          <w:rFonts w:cs="Times New Roman"/>
          <w:sz w:val="24"/>
        </w:rPr>
        <w:t>a</w:t>
      </w:r>
      <w:r>
        <w:rPr>
          <w:rFonts w:cs="Times New Roman"/>
          <w:sz w:val="24"/>
        </w:rPr>
        <w:t>n aural</w:t>
      </w:r>
      <w:r w:rsidR="00B73942">
        <w:rPr>
          <w:rFonts w:cs="Times New Roman"/>
          <w:sz w:val="24"/>
        </w:rPr>
        <w:t xml:space="preserve"> identity </w:t>
      </w:r>
      <w:r w:rsidR="00572E6C">
        <w:rPr>
          <w:rFonts w:cs="Times New Roman"/>
          <w:sz w:val="24"/>
        </w:rPr>
        <w:t>relation to</w:t>
      </w:r>
      <w:r w:rsidR="00B73942">
        <w:rPr>
          <w:rFonts w:cs="Times New Roman"/>
          <w:sz w:val="24"/>
        </w:rPr>
        <w:t xml:space="preserve"> French</w:t>
      </w:r>
      <w:r>
        <w:rPr>
          <w:rFonts w:cs="Times New Roman"/>
          <w:sz w:val="24"/>
        </w:rPr>
        <w:t>, within which the forgotten langua</w:t>
      </w:r>
      <w:r w:rsidR="00832D69">
        <w:rPr>
          <w:rFonts w:cs="Times New Roman"/>
          <w:sz w:val="24"/>
        </w:rPr>
        <w:t>ge</w:t>
      </w:r>
      <w:r>
        <w:rPr>
          <w:rFonts w:cs="Times New Roman"/>
          <w:sz w:val="24"/>
        </w:rPr>
        <w:t xml:space="preserve"> resoundes.]</w:t>
      </w:r>
      <w:r w:rsidR="00B73942">
        <w:rPr>
          <w:rFonts w:cs="Times New Roman"/>
          <w:sz w:val="24"/>
        </w:rPr>
        <w:t xml:space="preserve"> </w:t>
      </w:r>
    </w:p>
    <w:p w14:paraId="20BF88EC" w14:textId="77777777" w:rsidR="00510D89" w:rsidRDefault="00510D89" w:rsidP="00582D61">
      <w:pPr>
        <w:pStyle w:val="BodyText"/>
        <w:spacing w:line="240" w:lineRule="auto"/>
        <w:rPr>
          <w:rFonts w:cs="Times New Roman"/>
          <w:sz w:val="24"/>
        </w:rPr>
      </w:pPr>
    </w:p>
    <w:p w14:paraId="05E8DDE2" w14:textId="6897C077" w:rsidR="00582D61" w:rsidRPr="00EC6742" w:rsidRDefault="00582D61" w:rsidP="00582D61">
      <w:pPr>
        <w:pStyle w:val="BodyText"/>
        <w:spacing w:line="240" w:lineRule="auto"/>
        <w:rPr>
          <w:rFonts w:cs="Times New Roman"/>
          <w:sz w:val="24"/>
        </w:rPr>
      </w:pPr>
      <w:r w:rsidRPr="00EC6742">
        <w:rPr>
          <w:rFonts w:cs="Times New Roman"/>
          <w:sz w:val="24"/>
        </w:rPr>
        <w:t xml:space="preserve">Pascal Rannou’s work on the language of Hélias’s </w:t>
      </w:r>
      <w:r w:rsidRPr="00EC6742">
        <w:rPr>
          <w:rFonts w:cs="Times New Roman"/>
          <w:i/>
          <w:iCs/>
          <w:sz w:val="24"/>
        </w:rPr>
        <w:t>Cheval</w:t>
      </w:r>
      <w:r w:rsidRPr="00EC6742">
        <w:rPr>
          <w:rFonts w:cs="Times New Roman"/>
          <w:sz w:val="24"/>
        </w:rPr>
        <w:t xml:space="preserve"> has sought to show that the inclusion of Breton words in the main French text can go beyond the level of lexical exoticism, and his focus on more subtle, textual evidence of Hélias being ‘caught between’ cultures gets beyond </w:t>
      </w:r>
      <w:r w:rsidRPr="00EC6742">
        <w:rPr>
          <w:rFonts w:cs="Times New Roman"/>
          <w:sz w:val="24"/>
        </w:rPr>
        <w:lastRenderedPageBreak/>
        <w:t xml:space="preserve">the polarization in the press into blanket praise for this great man, and extreme condemnation by the likes of Grall. Rannou uses Hélias as a test-case in his larger project of defining Francophone Breton literature. His reading is not only the first to be based on the detail of Hélias’s language, but it is also one of the first to explore the connection between close textual analysis and the defining of Francophone Breton literature, in proposing: </w:t>
      </w:r>
    </w:p>
    <w:p w14:paraId="5194EAD6" w14:textId="6617F379" w:rsidR="00582D61" w:rsidRDefault="00582D61" w:rsidP="00582D61">
      <w:pPr>
        <w:pStyle w:val="DisplayQuote"/>
        <w:rPr>
          <w:sz w:val="24"/>
          <w:lang w:val="fr-FR"/>
        </w:rPr>
      </w:pPr>
      <w:proofErr w:type="gramStart"/>
      <w:r w:rsidRPr="00EC6742">
        <w:rPr>
          <w:sz w:val="24"/>
          <w:lang w:val="fr-FR"/>
        </w:rPr>
        <w:t>une</w:t>
      </w:r>
      <w:proofErr w:type="gramEnd"/>
      <w:r w:rsidRPr="00EC6742">
        <w:rPr>
          <w:sz w:val="24"/>
          <w:lang w:val="fr-FR"/>
        </w:rPr>
        <w:t xml:space="preserve"> interrogation sur la notion de littérature bretonne francophone et la possibilité qu’elle puisse véhiculer une ‘bretonnité’ lisible non seulement dans les thèmes abordés mais aussi dans la saveur même de la langue.</w:t>
      </w:r>
      <w:r w:rsidRPr="00EC6742">
        <w:rPr>
          <w:rStyle w:val="FootnoteReference"/>
          <w:sz w:val="24"/>
        </w:rPr>
        <w:footnoteReference w:id="11"/>
      </w:r>
      <w:r w:rsidRPr="00EC6742">
        <w:rPr>
          <w:sz w:val="24"/>
          <w:lang w:val="fr-FR"/>
        </w:rPr>
        <w:t xml:space="preserve"> </w:t>
      </w:r>
    </w:p>
    <w:p w14:paraId="3FE45108" w14:textId="207746BF" w:rsidR="00572E6C" w:rsidRDefault="00F91F99" w:rsidP="00572E6C">
      <w:pPr>
        <w:pStyle w:val="BodyText"/>
      </w:pPr>
      <w:r>
        <w:t>[a</w:t>
      </w:r>
      <w:r w:rsidR="00572E6C" w:rsidRPr="00572E6C">
        <w:t>n interrogati</w:t>
      </w:r>
      <w:r>
        <w:t>on</w:t>
      </w:r>
      <w:r w:rsidR="00572E6C" w:rsidRPr="00572E6C">
        <w:t xml:space="preserve"> on the n</w:t>
      </w:r>
      <w:r w:rsidR="00572E6C">
        <w:t xml:space="preserve">otion of francophone Breton literautre and the possibility that it can </w:t>
      </w:r>
      <w:r w:rsidR="005A7243">
        <w:t xml:space="preserve">carry </w:t>
      </w:r>
      <w:proofErr w:type="gramStart"/>
      <w:r w:rsidR="005A7243">
        <w:t>a</w:t>
      </w:r>
      <w:r>
        <w:t xml:space="preserve"> </w:t>
      </w:r>
      <w:r w:rsidR="005A7243">
        <w:t xml:space="preserve"> ‘</w:t>
      </w:r>
      <w:proofErr w:type="gramEnd"/>
      <w:r w:rsidR="005A7243">
        <w:t>Bretonness’, readable not only in the themes treated but also in the very flavous of the language</w:t>
      </w:r>
      <w:r>
        <w:t>].</w:t>
      </w:r>
    </w:p>
    <w:p w14:paraId="4E919814" w14:textId="77777777" w:rsidR="00572E6C" w:rsidRPr="00572E6C" w:rsidRDefault="00572E6C" w:rsidP="00572E6C">
      <w:pPr>
        <w:pStyle w:val="BodyText"/>
      </w:pPr>
    </w:p>
    <w:p w14:paraId="5901F55F" w14:textId="77777777" w:rsidR="00582D61" w:rsidRPr="00EC6742" w:rsidRDefault="00582D61" w:rsidP="00582D61">
      <w:pPr>
        <w:ind w:firstLine="454"/>
        <w:rPr>
          <w:rFonts w:ascii="Times New Roman" w:hAnsi="Times New Roman" w:cs="Times New Roman"/>
          <w:sz w:val="24"/>
          <w:szCs w:val="24"/>
        </w:rPr>
      </w:pPr>
      <w:r w:rsidRPr="00EC6742">
        <w:rPr>
          <w:rFonts w:ascii="Times New Roman" w:hAnsi="Times New Roman" w:cs="Times New Roman"/>
          <w:sz w:val="24"/>
          <w:szCs w:val="24"/>
        </w:rPr>
        <w:t>The key to characterizing this French lies in asking what sort of translation is taking place in this text. The way in which Hélias translates literally from the Breton is condemned by Grall as a ‘tentative de folklorisation’, because, for example, translating ‘ifern yen’ as ‘enfer froid’, when ‘enfer cruel’ would be more appropriate, or using ‘mignon’ to translate the Breton word for friend, when it would be more accurate to translate as ‘ami’, makes Breton life seem quaint and curious. Grall goes as far as to argue that this makes Hélias’s text ‘colonializing’:</w:t>
      </w:r>
    </w:p>
    <w:p w14:paraId="3B2F315A" w14:textId="77777777" w:rsidR="00582D61" w:rsidRPr="00EC6742" w:rsidRDefault="00582D61" w:rsidP="00582D61">
      <w:pPr>
        <w:pStyle w:val="DisplayQuote"/>
        <w:rPr>
          <w:sz w:val="24"/>
          <w:lang w:val="fr-FR"/>
        </w:rPr>
      </w:pPr>
      <w:proofErr w:type="gramStart"/>
      <w:r w:rsidRPr="00EC6742">
        <w:rPr>
          <w:sz w:val="24"/>
          <w:lang w:val="fr-FR"/>
        </w:rPr>
        <w:t>la</w:t>
      </w:r>
      <w:proofErr w:type="gramEnd"/>
      <w:r w:rsidRPr="00EC6742">
        <w:rPr>
          <w:sz w:val="24"/>
          <w:lang w:val="fr-FR"/>
        </w:rPr>
        <w:t xml:space="preserve"> conséquence d’une tentative de folklorisation, de dépècement colonial de la langue bretonne, et de gommage de celle-ci pour la plus ‘grande gloire’ du français – langue dans laquelle fut conçu </w:t>
      </w:r>
      <w:r w:rsidRPr="00EC6742">
        <w:rPr>
          <w:i/>
          <w:iCs/>
          <w:sz w:val="24"/>
          <w:lang w:val="fr-FR"/>
        </w:rPr>
        <w:t>Le Cheval d’orgueil</w:t>
      </w:r>
      <w:r w:rsidRPr="00EC6742">
        <w:rPr>
          <w:sz w:val="24"/>
          <w:lang w:val="fr-FR"/>
        </w:rPr>
        <w:t>.</w:t>
      </w:r>
      <w:r w:rsidRPr="00EC6742">
        <w:rPr>
          <w:rStyle w:val="FootnoteReference"/>
          <w:sz w:val="24"/>
        </w:rPr>
        <w:footnoteReference w:id="12"/>
      </w:r>
    </w:p>
    <w:p w14:paraId="635A1CD1" w14:textId="6495C599" w:rsidR="00F91F99" w:rsidRPr="006D3417" w:rsidRDefault="006D3417" w:rsidP="006D3417">
      <w:pPr>
        <w:ind w:left="454"/>
        <w:rPr>
          <w:rFonts w:ascii="Times New Roman" w:hAnsi="Times New Roman" w:cs="Times New Roman"/>
          <w:sz w:val="24"/>
          <w:szCs w:val="24"/>
        </w:rPr>
      </w:pPr>
      <w:r>
        <w:rPr>
          <w:rFonts w:ascii="Times New Roman" w:hAnsi="Times New Roman" w:cs="Times New Roman"/>
          <w:sz w:val="24"/>
          <w:szCs w:val="24"/>
        </w:rPr>
        <w:t>[</w:t>
      </w:r>
      <w:r w:rsidR="00F91F99">
        <w:rPr>
          <w:rFonts w:ascii="Times New Roman" w:hAnsi="Times New Roman" w:cs="Times New Roman"/>
          <w:sz w:val="24"/>
          <w:szCs w:val="24"/>
        </w:rPr>
        <w:t xml:space="preserve">The consequence of an attempt at folklorization, and </w:t>
      </w:r>
      <w:r w:rsidR="00C00050">
        <w:rPr>
          <w:rFonts w:ascii="Times New Roman" w:hAnsi="Times New Roman" w:cs="Times New Roman"/>
          <w:sz w:val="24"/>
          <w:szCs w:val="24"/>
        </w:rPr>
        <w:t xml:space="preserve">the colonial </w:t>
      </w:r>
      <w:r w:rsidR="00EC0901">
        <w:rPr>
          <w:rFonts w:ascii="Times New Roman" w:hAnsi="Times New Roman" w:cs="Times New Roman"/>
          <w:sz w:val="24"/>
          <w:szCs w:val="24"/>
        </w:rPr>
        <w:t xml:space="preserve">cutting up of the </w:t>
      </w:r>
      <w:r>
        <w:rPr>
          <w:rFonts w:ascii="Times New Roman" w:hAnsi="Times New Roman" w:cs="Times New Roman"/>
          <w:sz w:val="24"/>
          <w:szCs w:val="24"/>
        </w:rPr>
        <w:t xml:space="preserve">Breton language, and its erasure by the ‘greater glory’ of French – the language in which </w:t>
      </w:r>
      <w:r>
        <w:rPr>
          <w:rFonts w:ascii="Times New Roman" w:hAnsi="Times New Roman" w:cs="Times New Roman"/>
          <w:i/>
          <w:iCs/>
          <w:sz w:val="24"/>
          <w:szCs w:val="24"/>
        </w:rPr>
        <w:t>The Horse of Pride</w:t>
      </w:r>
      <w:r>
        <w:rPr>
          <w:rFonts w:ascii="Times New Roman" w:hAnsi="Times New Roman" w:cs="Times New Roman"/>
          <w:sz w:val="24"/>
          <w:szCs w:val="24"/>
        </w:rPr>
        <w:t xml:space="preserve"> was conceived.]</w:t>
      </w:r>
    </w:p>
    <w:p w14:paraId="1C851C7E" w14:textId="1AE1CBF4" w:rsidR="00582D61" w:rsidRPr="00EC6742" w:rsidRDefault="00582D61" w:rsidP="00582D61">
      <w:pPr>
        <w:rPr>
          <w:rFonts w:ascii="Times New Roman" w:hAnsi="Times New Roman" w:cs="Times New Roman"/>
          <w:sz w:val="24"/>
          <w:szCs w:val="24"/>
        </w:rPr>
      </w:pPr>
      <w:r w:rsidRPr="00EC6742">
        <w:rPr>
          <w:rFonts w:ascii="Times New Roman" w:hAnsi="Times New Roman" w:cs="Times New Roman"/>
          <w:sz w:val="24"/>
          <w:szCs w:val="24"/>
        </w:rPr>
        <w:t xml:space="preserve">Rannou also argues that Hélias’s manipulation of French is more than ludic, and that the author is playing not just with the two languages, but with the competence of his readers in each language, thereby setting up a barrier, or making ‘insiders’ and ‘outsiders’. </w:t>
      </w:r>
      <w:r w:rsidRPr="00EC6742">
        <w:rPr>
          <w:rFonts w:ascii="Times New Roman" w:hAnsi="Times New Roman" w:cs="Times New Roman"/>
          <w:sz w:val="24"/>
          <w:szCs w:val="24"/>
          <w:lang w:val="fr-FR"/>
        </w:rPr>
        <w:t>He concludes that: ‘ce texte s’inscrit dans le droit fil d’une littérature métissée’.</w:t>
      </w:r>
      <w:r w:rsidRPr="00EC6742">
        <w:rPr>
          <w:rStyle w:val="FootnoteReference"/>
          <w:rFonts w:ascii="Times New Roman" w:hAnsi="Times New Roman" w:cs="Times New Roman"/>
          <w:sz w:val="24"/>
          <w:szCs w:val="24"/>
        </w:rPr>
        <w:footnoteReference w:id="13"/>
      </w:r>
      <w:r w:rsidRPr="00EC6742">
        <w:rPr>
          <w:rFonts w:ascii="Times New Roman" w:hAnsi="Times New Roman" w:cs="Times New Roman"/>
          <w:sz w:val="24"/>
          <w:szCs w:val="24"/>
          <w:lang w:val="fr-FR"/>
        </w:rPr>
        <w:t xml:space="preserve"> </w:t>
      </w:r>
      <w:r w:rsidRPr="00EC6742">
        <w:rPr>
          <w:rFonts w:ascii="Times New Roman" w:hAnsi="Times New Roman" w:cs="Times New Roman"/>
          <w:sz w:val="24"/>
          <w:szCs w:val="24"/>
        </w:rPr>
        <w:t xml:space="preserve">So Hélias is criticized here not only, or not so much, for his choice of one language over the other, but for what he does with the French langauge at the micro-level of the text. Instead of providing a smooth, ‘neutral’, translation, he produces slightly odd-sounding French, in a careful attempt to offer the French reader a safe degree of alienation, or the charm of exoticism. </w:t>
      </w:r>
    </w:p>
    <w:sectPr w:rsidR="00582D61" w:rsidRPr="00EC674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E1275E6" w14:textId="77777777" w:rsidR="00DD412F" w:rsidRDefault="00DD412F" w:rsidP="00582D61">
      <w:pPr>
        <w:spacing w:after="0" w:line="240" w:lineRule="auto"/>
      </w:pPr>
      <w:r>
        <w:separator/>
      </w:r>
    </w:p>
  </w:endnote>
  <w:endnote w:type="continuationSeparator" w:id="0">
    <w:p w14:paraId="168ADCE3" w14:textId="77777777" w:rsidR="00DD412F" w:rsidRDefault="00DD412F" w:rsidP="00582D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6CBCF2C" w14:textId="77777777" w:rsidR="00DD412F" w:rsidRDefault="00DD412F" w:rsidP="00582D61">
      <w:pPr>
        <w:spacing w:after="0" w:line="240" w:lineRule="auto"/>
      </w:pPr>
      <w:r>
        <w:separator/>
      </w:r>
    </w:p>
  </w:footnote>
  <w:footnote w:type="continuationSeparator" w:id="0">
    <w:p w14:paraId="6530E96C" w14:textId="77777777" w:rsidR="00DD412F" w:rsidRDefault="00DD412F" w:rsidP="00582D61">
      <w:pPr>
        <w:spacing w:after="0" w:line="240" w:lineRule="auto"/>
      </w:pPr>
      <w:r>
        <w:continuationSeparator/>
      </w:r>
    </w:p>
  </w:footnote>
  <w:footnote w:id="1">
    <w:p w14:paraId="3CE5D74A" w14:textId="77777777" w:rsidR="00582D61" w:rsidRPr="00997270" w:rsidRDefault="00582D61" w:rsidP="00582D61">
      <w:pPr>
        <w:pStyle w:val="FootnoteText"/>
        <w:rPr>
          <w:lang w:val="fr-FR"/>
        </w:rPr>
      </w:pPr>
      <w:r>
        <w:rPr>
          <w:rStyle w:val="FootnoteReference"/>
        </w:rPr>
        <w:footnoteRef/>
      </w:r>
      <w:r w:rsidRPr="00997270">
        <w:rPr>
          <w:lang w:val="fr-FR"/>
        </w:rPr>
        <w:t xml:space="preserve"> </w:t>
      </w:r>
      <w:r w:rsidRPr="00997270">
        <w:rPr>
          <w:lang w:val="fr-FR"/>
        </w:rPr>
        <w:tab/>
      </w:r>
      <w:r w:rsidRPr="00997270">
        <w:rPr>
          <w:i/>
          <w:iCs/>
          <w:lang w:val="fr-FR"/>
        </w:rPr>
        <w:t>Bretagne=colonie</w:t>
      </w:r>
      <w:r w:rsidRPr="00997270">
        <w:rPr>
          <w:lang w:val="fr-FR"/>
        </w:rPr>
        <w:t>, p.33.</w:t>
      </w:r>
    </w:p>
  </w:footnote>
  <w:footnote w:id="2">
    <w:p w14:paraId="588109B3" w14:textId="77777777" w:rsidR="00582D61" w:rsidRPr="00997270" w:rsidRDefault="00582D61" w:rsidP="00582D61">
      <w:pPr>
        <w:pStyle w:val="FootnoteText"/>
        <w:rPr>
          <w:lang w:val="fr-FR"/>
        </w:rPr>
      </w:pPr>
      <w:r>
        <w:rPr>
          <w:rStyle w:val="FootnoteReference"/>
        </w:rPr>
        <w:footnoteRef/>
      </w:r>
      <w:r w:rsidRPr="00997270">
        <w:rPr>
          <w:lang w:val="fr-FR"/>
        </w:rPr>
        <w:t xml:space="preserve"> </w:t>
      </w:r>
      <w:r w:rsidRPr="00997270">
        <w:rPr>
          <w:lang w:val="fr-FR"/>
        </w:rPr>
        <w:tab/>
        <w:t xml:space="preserve">Kristian Keginer, </w:t>
      </w:r>
      <w:r w:rsidRPr="00997270">
        <w:rPr>
          <w:i/>
          <w:iCs/>
          <w:lang w:val="fr-FR"/>
        </w:rPr>
        <w:t>Un dépaysement, précédé d’une Mise au point et suivi d’un Point de départ (Une poésie révolutionnaire bretonne existe),</w:t>
      </w:r>
      <w:r w:rsidRPr="00997270">
        <w:rPr>
          <w:lang w:val="fr-FR"/>
        </w:rPr>
        <w:t xml:space="preserve"> préface de Paol Keineg (</w:t>
      </w:r>
      <w:proofErr w:type="gramStart"/>
      <w:r w:rsidRPr="00997270">
        <w:rPr>
          <w:lang w:val="fr-FR"/>
        </w:rPr>
        <w:t>Paris:</w:t>
      </w:r>
      <w:proofErr w:type="gramEnd"/>
      <w:r w:rsidRPr="00997270">
        <w:rPr>
          <w:lang w:val="fr-FR"/>
        </w:rPr>
        <w:t xml:space="preserve"> Oswald, 1972), pp.69–72 (p.69).</w:t>
      </w:r>
    </w:p>
  </w:footnote>
  <w:footnote w:id="3">
    <w:p w14:paraId="695DED5E" w14:textId="77777777" w:rsidR="00582D61" w:rsidRPr="00997270" w:rsidRDefault="00582D61" w:rsidP="00582D61">
      <w:pPr>
        <w:pStyle w:val="FootnoteText"/>
        <w:rPr>
          <w:lang w:val="fr-FR"/>
        </w:rPr>
      </w:pPr>
      <w:r>
        <w:rPr>
          <w:rStyle w:val="FootnoteReference"/>
        </w:rPr>
        <w:footnoteRef/>
      </w:r>
      <w:r w:rsidRPr="00997270">
        <w:rPr>
          <w:lang w:val="fr-FR"/>
        </w:rPr>
        <w:t xml:space="preserve"> </w:t>
      </w:r>
      <w:r w:rsidRPr="00997270">
        <w:rPr>
          <w:lang w:val="fr-FR"/>
        </w:rPr>
        <w:tab/>
        <w:t xml:space="preserve">Sédar L. Senghor, </w:t>
      </w:r>
      <w:r w:rsidRPr="00997270">
        <w:rPr>
          <w:i/>
          <w:iCs/>
          <w:lang w:val="fr-FR"/>
        </w:rPr>
        <w:t>Anthologie de la nouvelle poésie nègre et malgache de langue française</w:t>
      </w:r>
      <w:r w:rsidRPr="00997270">
        <w:rPr>
          <w:lang w:val="fr-FR"/>
        </w:rPr>
        <w:t xml:space="preserve">, prédédée de </w:t>
      </w:r>
      <w:r w:rsidRPr="00997270">
        <w:rPr>
          <w:i/>
          <w:iCs/>
          <w:lang w:val="fr-FR"/>
        </w:rPr>
        <w:t>Orphée noir</w:t>
      </w:r>
      <w:r w:rsidRPr="00997270">
        <w:rPr>
          <w:lang w:val="fr-FR"/>
        </w:rPr>
        <w:t xml:space="preserve"> par Jean Paul Sartre (</w:t>
      </w:r>
      <w:proofErr w:type="gramStart"/>
      <w:r w:rsidRPr="00997270">
        <w:rPr>
          <w:lang w:val="fr-FR"/>
        </w:rPr>
        <w:t>Paris:</w:t>
      </w:r>
      <w:proofErr w:type="gramEnd"/>
      <w:r w:rsidRPr="00997270">
        <w:rPr>
          <w:lang w:val="fr-FR"/>
        </w:rPr>
        <w:t xml:space="preserve"> Presses universitaires de France, 1972), first published 1948, xii.</w:t>
      </w:r>
    </w:p>
  </w:footnote>
  <w:footnote w:id="4">
    <w:p w14:paraId="53682B14" w14:textId="77777777" w:rsidR="00582D61" w:rsidRPr="00997270" w:rsidRDefault="00582D61" w:rsidP="00582D61">
      <w:pPr>
        <w:pStyle w:val="FootnoteText"/>
        <w:rPr>
          <w:lang w:val="fr-FR"/>
        </w:rPr>
      </w:pPr>
      <w:r>
        <w:rPr>
          <w:rStyle w:val="FootnoteReference"/>
        </w:rPr>
        <w:footnoteRef/>
      </w:r>
      <w:r w:rsidRPr="00997270">
        <w:rPr>
          <w:lang w:val="fr-FR"/>
        </w:rPr>
        <w:t xml:space="preserve"> </w:t>
      </w:r>
      <w:r w:rsidRPr="00997270">
        <w:rPr>
          <w:lang w:val="fr-FR"/>
        </w:rPr>
        <w:tab/>
        <w:t>Léon Laleau,</w:t>
      </w:r>
      <w:r w:rsidRPr="00997270">
        <w:rPr>
          <w:i/>
          <w:iCs/>
          <w:lang w:val="fr-FR"/>
        </w:rPr>
        <w:t xml:space="preserve"> Anthologie de la nouvelle poésie</w:t>
      </w:r>
      <w:r w:rsidRPr="00997270">
        <w:rPr>
          <w:lang w:val="fr-FR"/>
        </w:rPr>
        <w:t>, p.108.</w:t>
      </w:r>
    </w:p>
  </w:footnote>
  <w:footnote w:id="5">
    <w:p w14:paraId="5E4988BD" w14:textId="77777777" w:rsidR="00582D61" w:rsidRPr="00997270" w:rsidRDefault="00582D61" w:rsidP="00582D61">
      <w:pPr>
        <w:pStyle w:val="FootnoteText"/>
        <w:rPr>
          <w:lang w:val="fr-FR"/>
        </w:rPr>
      </w:pPr>
      <w:r>
        <w:rPr>
          <w:rStyle w:val="FootnoteReference"/>
        </w:rPr>
        <w:footnoteRef/>
      </w:r>
      <w:r w:rsidRPr="00997270">
        <w:rPr>
          <w:lang w:val="fr-FR"/>
        </w:rPr>
        <w:t xml:space="preserve"> </w:t>
      </w:r>
      <w:r w:rsidRPr="00997270">
        <w:rPr>
          <w:lang w:val="fr-FR"/>
        </w:rPr>
        <w:tab/>
        <w:t xml:space="preserve">Keginer, Kristian, </w:t>
      </w:r>
      <w:r w:rsidRPr="00997270">
        <w:rPr>
          <w:i/>
          <w:iCs/>
          <w:lang w:val="fr-FR"/>
        </w:rPr>
        <w:t>Un dépaysement</w:t>
      </w:r>
      <w:r w:rsidRPr="00997270">
        <w:rPr>
          <w:lang w:val="fr-FR"/>
        </w:rPr>
        <w:t>, p.69.</w:t>
      </w:r>
    </w:p>
  </w:footnote>
  <w:footnote w:id="6">
    <w:p w14:paraId="460F98C5" w14:textId="77777777" w:rsidR="00582D61" w:rsidRPr="00997270" w:rsidRDefault="00582D61" w:rsidP="00582D61">
      <w:pPr>
        <w:pStyle w:val="FootnoteText"/>
        <w:rPr>
          <w:lang w:val="fr-FR"/>
        </w:rPr>
      </w:pPr>
      <w:r>
        <w:rPr>
          <w:rStyle w:val="FootnoteReference"/>
        </w:rPr>
        <w:footnoteRef/>
      </w:r>
      <w:r w:rsidRPr="00997270">
        <w:rPr>
          <w:szCs w:val="24"/>
          <w:lang w:val="fr-FR"/>
        </w:rPr>
        <w:tab/>
        <w:t xml:space="preserve">Bernard Hue, ‘Le temps des évidences’, </w:t>
      </w:r>
      <w:r w:rsidRPr="00997270">
        <w:rPr>
          <w:i/>
          <w:iCs/>
          <w:szCs w:val="24"/>
          <w:lang w:val="fr-FR"/>
        </w:rPr>
        <w:t>Écrire la Bretagne 1960–1995</w:t>
      </w:r>
      <w:r w:rsidRPr="00997270">
        <w:rPr>
          <w:szCs w:val="24"/>
          <w:lang w:val="fr-FR"/>
        </w:rPr>
        <w:t xml:space="preserve">, ed. </w:t>
      </w:r>
      <w:proofErr w:type="gramStart"/>
      <w:r w:rsidRPr="00997270">
        <w:rPr>
          <w:szCs w:val="24"/>
          <w:lang w:val="fr-FR"/>
        </w:rPr>
        <w:t>by</w:t>
      </w:r>
      <w:proofErr w:type="gramEnd"/>
      <w:r w:rsidRPr="00997270">
        <w:rPr>
          <w:szCs w:val="24"/>
          <w:lang w:val="fr-FR"/>
        </w:rPr>
        <w:t xml:space="preserve"> Bernard Hue and Marc Gontard, </w:t>
      </w:r>
      <w:r w:rsidRPr="00997270">
        <w:rPr>
          <w:i/>
          <w:iCs/>
          <w:szCs w:val="24"/>
          <w:lang w:val="fr-FR"/>
        </w:rPr>
        <w:t>Plurial</w:t>
      </w:r>
      <w:r w:rsidRPr="00997270">
        <w:rPr>
          <w:szCs w:val="24"/>
          <w:lang w:val="fr-FR"/>
        </w:rPr>
        <w:t xml:space="preserve">, 5 (Rennes: Presses universitaires de Rennes, 1995), 11–3 (12). </w:t>
      </w:r>
    </w:p>
  </w:footnote>
  <w:footnote w:id="7">
    <w:p w14:paraId="5F649CCC" w14:textId="77777777" w:rsidR="00582D61" w:rsidRPr="00997270" w:rsidRDefault="00582D61" w:rsidP="00582D61">
      <w:pPr>
        <w:pStyle w:val="FootnoteText"/>
        <w:rPr>
          <w:lang w:val="fr-FR"/>
        </w:rPr>
      </w:pPr>
      <w:r>
        <w:rPr>
          <w:rStyle w:val="FootnoteReference"/>
        </w:rPr>
        <w:footnoteRef/>
      </w:r>
      <w:r w:rsidRPr="00997270">
        <w:rPr>
          <w:lang w:val="fr-FR"/>
        </w:rPr>
        <w:tab/>
      </w:r>
      <w:r w:rsidRPr="00997270">
        <w:rPr>
          <w:szCs w:val="24"/>
          <w:lang w:val="fr-FR"/>
        </w:rPr>
        <w:t xml:space="preserve">Bernard Hue, ‘Du mythe à la réalité’, </w:t>
      </w:r>
      <w:r w:rsidRPr="00997270">
        <w:rPr>
          <w:i/>
          <w:iCs/>
          <w:szCs w:val="24"/>
          <w:lang w:val="fr-FR"/>
        </w:rPr>
        <w:t xml:space="preserve">Métissage du </w:t>
      </w:r>
      <w:proofErr w:type="gramStart"/>
      <w:r w:rsidRPr="00997270">
        <w:rPr>
          <w:i/>
          <w:iCs/>
          <w:szCs w:val="24"/>
          <w:lang w:val="fr-FR"/>
        </w:rPr>
        <w:t>texte:</w:t>
      </w:r>
      <w:proofErr w:type="gramEnd"/>
      <w:r w:rsidRPr="00997270">
        <w:rPr>
          <w:i/>
          <w:iCs/>
          <w:szCs w:val="24"/>
          <w:lang w:val="fr-FR"/>
        </w:rPr>
        <w:t xml:space="preserve"> Bretagne, Maghreb, Québec</w:t>
      </w:r>
      <w:r w:rsidRPr="00997270">
        <w:rPr>
          <w:szCs w:val="24"/>
          <w:lang w:val="fr-FR"/>
        </w:rPr>
        <w:t xml:space="preserve">, ed. </w:t>
      </w:r>
      <w:proofErr w:type="gramStart"/>
      <w:r w:rsidRPr="00997270">
        <w:rPr>
          <w:szCs w:val="24"/>
          <w:lang w:val="fr-FR"/>
        </w:rPr>
        <w:t>by</w:t>
      </w:r>
      <w:proofErr w:type="gramEnd"/>
      <w:r w:rsidRPr="00997270">
        <w:rPr>
          <w:szCs w:val="24"/>
          <w:lang w:val="fr-FR"/>
        </w:rPr>
        <w:t xml:space="preserve"> Bernard Hue, </w:t>
      </w:r>
      <w:r w:rsidRPr="00997270">
        <w:rPr>
          <w:i/>
          <w:iCs/>
          <w:szCs w:val="24"/>
          <w:lang w:val="fr-FR"/>
        </w:rPr>
        <w:t>Plurial</w:t>
      </w:r>
      <w:r w:rsidRPr="00997270">
        <w:rPr>
          <w:szCs w:val="24"/>
          <w:lang w:val="fr-FR"/>
        </w:rPr>
        <w:t>, 4 (1994), 5–6 (5).</w:t>
      </w:r>
    </w:p>
  </w:footnote>
  <w:footnote w:id="8">
    <w:p w14:paraId="31E03925" w14:textId="77777777" w:rsidR="00582D61" w:rsidRPr="00997270" w:rsidRDefault="00582D61" w:rsidP="00582D61">
      <w:pPr>
        <w:pStyle w:val="FootnoteText"/>
        <w:rPr>
          <w:lang w:val="fr-FR"/>
        </w:rPr>
      </w:pPr>
      <w:r>
        <w:rPr>
          <w:rStyle w:val="FootnoteReference"/>
        </w:rPr>
        <w:footnoteRef/>
      </w:r>
      <w:r w:rsidRPr="00997270">
        <w:rPr>
          <w:lang w:val="fr-FR"/>
        </w:rPr>
        <w:t xml:space="preserve"> </w:t>
      </w:r>
      <w:r w:rsidRPr="00997270">
        <w:rPr>
          <w:lang w:val="fr-FR"/>
        </w:rPr>
        <w:tab/>
        <w:t xml:space="preserve">Marc Gontard, ‘Effets de métissage dans la littérature bretonne’, 27–39. </w:t>
      </w:r>
    </w:p>
  </w:footnote>
  <w:footnote w:id="9">
    <w:p w14:paraId="01FCFDA9" w14:textId="77777777" w:rsidR="00582D61" w:rsidRPr="00997270" w:rsidRDefault="00582D61" w:rsidP="00582D61">
      <w:pPr>
        <w:pStyle w:val="FootnoteText"/>
        <w:rPr>
          <w:lang w:val="fr-FR"/>
        </w:rPr>
      </w:pPr>
      <w:r>
        <w:rPr>
          <w:rStyle w:val="FootnoteReference"/>
        </w:rPr>
        <w:footnoteRef/>
      </w:r>
      <w:r w:rsidRPr="00997270">
        <w:rPr>
          <w:lang w:val="fr-FR"/>
        </w:rPr>
        <w:t xml:space="preserve"> </w:t>
      </w:r>
      <w:r w:rsidRPr="00997270">
        <w:rPr>
          <w:lang w:val="fr-FR"/>
        </w:rPr>
        <w:tab/>
        <w:t>Ibid., p.35.</w:t>
      </w:r>
    </w:p>
  </w:footnote>
  <w:footnote w:id="10">
    <w:p w14:paraId="619BFF3B" w14:textId="77777777" w:rsidR="00582D61" w:rsidRPr="00997270" w:rsidRDefault="00582D61" w:rsidP="00582D61">
      <w:pPr>
        <w:pStyle w:val="FootnoteText"/>
        <w:rPr>
          <w:lang w:val="fr-FR"/>
        </w:rPr>
      </w:pPr>
      <w:r>
        <w:rPr>
          <w:rStyle w:val="FootnoteReference"/>
        </w:rPr>
        <w:footnoteRef/>
      </w:r>
      <w:r w:rsidRPr="00997270">
        <w:rPr>
          <w:lang w:val="fr-FR"/>
        </w:rPr>
        <w:t xml:space="preserve"> </w:t>
      </w:r>
      <w:r w:rsidRPr="00997270">
        <w:rPr>
          <w:lang w:val="fr-FR"/>
        </w:rPr>
        <w:tab/>
        <w:t>Ibid., p.37.</w:t>
      </w:r>
    </w:p>
  </w:footnote>
  <w:footnote w:id="11">
    <w:p w14:paraId="389B552D" w14:textId="77777777" w:rsidR="00582D61" w:rsidRPr="00997270" w:rsidRDefault="00582D61" w:rsidP="00582D61">
      <w:pPr>
        <w:pStyle w:val="FootnoteText"/>
        <w:rPr>
          <w:lang w:val="fr-FR"/>
        </w:rPr>
      </w:pPr>
      <w:r>
        <w:rPr>
          <w:rStyle w:val="FootnoteReference"/>
        </w:rPr>
        <w:footnoteRef/>
      </w:r>
      <w:r w:rsidRPr="00997270">
        <w:rPr>
          <w:lang w:val="fr-FR"/>
        </w:rPr>
        <w:tab/>
      </w:r>
      <w:r w:rsidRPr="00997270">
        <w:rPr>
          <w:i/>
          <w:lang w:val="fr-FR"/>
        </w:rPr>
        <w:t xml:space="preserve">Inventaire d’un </w:t>
      </w:r>
      <w:proofErr w:type="gramStart"/>
      <w:r w:rsidRPr="00997270">
        <w:rPr>
          <w:i/>
          <w:lang w:val="fr-FR"/>
        </w:rPr>
        <w:t>héritage:</w:t>
      </w:r>
      <w:proofErr w:type="gramEnd"/>
      <w:r w:rsidRPr="00997270">
        <w:rPr>
          <w:i/>
          <w:lang w:val="fr-FR"/>
        </w:rPr>
        <w:t xml:space="preserve"> essai sur l’œuvre littéraire de Pierre-Jakez Hélias</w:t>
      </w:r>
      <w:r w:rsidRPr="00997270">
        <w:rPr>
          <w:lang w:val="fr-FR"/>
        </w:rPr>
        <w:t xml:space="preserve"> (Relecq-Kerhuon: An Here, 1997), p.14. He concludes </w:t>
      </w:r>
      <w:proofErr w:type="gramStart"/>
      <w:r w:rsidRPr="00997270">
        <w:rPr>
          <w:lang w:val="fr-FR"/>
        </w:rPr>
        <w:t>that:</w:t>
      </w:r>
      <w:proofErr w:type="gramEnd"/>
      <w:r w:rsidRPr="00997270">
        <w:rPr>
          <w:lang w:val="fr-FR"/>
        </w:rPr>
        <w:t xml:space="preserve"> ‘Criblés d’emprunts et de calques, ce texte s’inscrit dans le droit fil d’une littérature métissée’, p.101.</w:t>
      </w:r>
    </w:p>
  </w:footnote>
  <w:footnote w:id="12">
    <w:p w14:paraId="3A1F688E" w14:textId="77777777" w:rsidR="00582D61" w:rsidRPr="00997270" w:rsidRDefault="00582D61" w:rsidP="00582D61">
      <w:pPr>
        <w:pStyle w:val="FootnoteText"/>
        <w:ind w:left="0" w:firstLine="0"/>
        <w:rPr>
          <w:lang w:val="fr-FR"/>
        </w:rPr>
      </w:pPr>
      <w:r>
        <w:rPr>
          <w:rStyle w:val="FootnoteReference"/>
        </w:rPr>
        <w:footnoteRef/>
      </w:r>
      <w:r w:rsidRPr="00997270">
        <w:rPr>
          <w:lang w:val="fr-FR"/>
        </w:rPr>
        <w:t xml:space="preserve"> </w:t>
      </w:r>
      <w:r w:rsidRPr="00997270">
        <w:rPr>
          <w:lang w:val="fr-FR"/>
        </w:rPr>
        <w:tab/>
      </w:r>
      <w:r w:rsidRPr="00997270">
        <w:rPr>
          <w:i/>
          <w:iCs/>
          <w:lang w:val="fr-FR"/>
        </w:rPr>
        <w:t>Le Cheval couché</w:t>
      </w:r>
      <w:r w:rsidRPr="00997270">
        <w:rPr>
          <w:lang w:val="fr-FR"/>
        </w:rPr>
        <w:t>, p 99.</w:t>
      </w:r>
    </w:p>
  </w:footnote>
  <w:footnote w:id="13">
    <w:p w14:paraId="61FAD4D1" w14:textId="77777777" w:rsidR="00582D61" w:rsidRPr="00997270" w:rsidRDefault="00582D61" w:rsidP="00582D61">
      <w:pPr>
        <w:pStyle w:val="FootnoteText"/>
        <w:rPr>
          <w:lang w:val="fr-FR"/>
        </w:rPr>
      </w:pPr>
      <w:r>
        <w:rPr>
          <w:rStyle w:val="FootnoteReference"/>
        </w:rPr>
        <w:footnoteRef/>
      </w:r>
      <w:r w:rsidRPr="00997270">
        <w:rPr>
          <w:lang w:val="fr-FR"/>
        </w:rPr>
        <w:tab/>
      </w:r>
      <w:r w:rsidRPr="00997270">
        <w:rPr>
          <w:i/>
          <w:lang w:val="fr-FR"/>
        </w:rPr>
        <w:t>Inventaire d’un héritage</w:t>
      </w:r>
      <w:r w:rsidRPr="00997270">
        <w:rPr>
          <w:lang w:val="fr-FR"/>
        </w:rPr>
        <w:t xml:space="preserve">, p.101. His full argument </w:t>
      </w:r>
      <w:proofErr w:type="gramStart"/>
      <w:r w:rsidRPr="00997270">
        <w:rPr>
          <w:lang w:val="fr-FR"/>
        </w:rPr>
        <w:t>reads:</w:t>
      </w:r>
      <w:proofErr w:type="gramEnd"/>
      <w:r w:rsidRPr="00997270">
        <w:rPr>
          <w:lang w:val="fr-FR"/>
        </w:rPr>
        <w:t xml:space="preserve"> ‘Le métissage textuel du </w:t>
      </w:r>
      <w:r w:rsidRPr="00997270">
        <w:rPr>
          <w:i/>
          <w:lang w:val="fr-FR"/>
        </w:rPr>
        <w:t>Cheval</w:t>
      </w:r>
      <w:r w:rsidRPr="00997270">
        <w:rPr>
          <w:lang w:val="fr-FR"/>
        </w:rPr>
        <w:t xml:space="preserve"> n’a pas qu’une origine ludique. C’est une manière de psychodrame lingistique où l’auteur jongle avec ses langues et distingue ses lecteurs selon leur degré de compétence, qui en fait des élus ou des exclus’, p.106. </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2D61"/>
    <w:rsid w:val="000D0726"/>
    <w:rsid w:val="000D2D39"/>
    <w:rsid w:val="0011417E"/>
    <w:rsid w:val="00157804"/>
    <w:rsid w:val="001730DE"/>
    <w:rsid w:val="001C27BC"/>
    <w:rsid w:val="0020536A"/>
    <w:rsid w:val="00210BE3"/>
    <w:rsid w:val="00274027"/>
    <w:rsid w:val="00293362"/>
    <w:rsid w:val="002A3BC1"/>
    <w:rsid w:val="002D37A0"/>
    <w:rsid w:val="00323EFF"/>
    <w:rsid w:val="003665F7"/>
    <w:rsid w:val="003E63BC"/>
    <w:rsid w:val="004457E4"/>
    <w:rsid w:val="00487479"/>
    <w:rsid w:val="004B3414"/>
    <w:rsid w:val="00510D89"/>
    <w:rsid w:val="0052292D"/>
    <w:rsid w:val="00572E6C"/>
    <w:rsid w:val="00582D61"/>
    <w:rsid w:val="005A7243"/>
    <w:rsid w:val="006847F3"/>
    <w:rsid w:val="006D3417"/>
    <w:rsid w:val="006E09DF"/>
    <w:rsid w:val="00707389"/>
    <w:rsid w:val="00770596"/>
    <w:rsid w:val="00790342"/>
    <w:rsid w:val="007973ED"/>
    <w:rsid w:val="007D22D5"/>
    <w:rsid w:val="00832D69"/>
    <w:rsid w:val="00870DEC"/>
    <w:rsid w:val="00875634"/>
    <w:rsid w:val="008911ED"/>
    <w:rsid w:val="008B5825"/>
    <w:rsid w:val="009178C6"/>
    <w:rsid w:val="00923802"/>
    <w:rsid w:val="00925C4E"/>
    <w:rsid w:val="00993B85"/>
    <w:rsid w:val="00A86B38"/>
    <w:rsid w:val="00AB6E57"/>
    <w:rsid w:val="00AC0854"/>
    <w:rsid w:val="00B154E3"/>
    <w:rsid w:val="00B24F2D"/>
    <w:rsid w:val="00B403A3"/>
    <w:rsid w:val="00B73942"/>
    <w:rsid w:val="00BE660F"/>
    <w:rsid w:val="00C00050"/>
    <w:rsid w:val="00C12812"/>
    <w:rsid w:val="00C24288"/>
    <w:rsid w:val="00C24412"/>
    <w:rsid w:val="00C525BB"/>
    <w:rsid w:val="00C92D0F"/>
    <w:rsid w:val="00CB565A"/>
    <w:rsid w:val="00D00633"/>
    <w:rsid w:val="00D107A2"/>
    <w:rsid w:val="00D246E4"/>
    <w:rsid w:val="00D42A33"/>
    <w:rsid w:val="00D4598D"/>
    <w:rsid w:val="00D51ED8"/>
    <w:rsid w:val="00DD412F"/>
    <w:rsid w:val="00E200E1"/>
    <w:rsid w:val="00EC0901"/>
    <w:rsid w:val="00EC6742"/>
    <w:rsid w:val="00EE6837"/>
    <w:rsid w:val="00F772ED"/>
    <w:rsid w:val="00F80023"/>
    <w:rsid w:val="00F91F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B05CAB"/>
  <w15:chartTrackingRefBased/>
  <w15:docId w15:val="{69AE7A59-E3E4-43C5-BDEF-729F9B4B47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iPriority="0" w:unhideWhenUsed="1"/>
    <w:lsdException w:name="footnote text" w:semiHidden="1" w:uiPriority="0"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iPriority="0"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qFormat/>
    <w:rsid w:val="00582D61"/>
    <w:pPr>
      <w:keepNext/>
      <w:pageBreakBefore/>
      <w:spacing w:after="1040" w:line="340" w:lineRule="exact"/>
      <w:jc w:val="both"/>
      <w:outlineLvl w:val="0"/>
    </w:pPr>
    <w:rPr>
      <w:rFonts w:ascii="Times New Roman" w:eastAsia="Times New Roman" w:hAnsi="Times New Roman" w:cs="Times New Roman"/>
      <w:bCs/>
      <w:color w:val="000000"/>
      <w:sz w:val="30"/>
      <w:szCs w:val="24"/>
    </w:rPr>
  </w:style>
  <w:style w:type="paragraph" w:styleId="Heading2">
    <w:name w:val="heading 2"/>
    <w:basedOn w:val="Normal"/>
    <w:next w:val="Normal"/>
    <w:link w:val="Heading2Char"/>
    <w:qFormat/>
    <w:rsid w:val="00582D61"/>
    <w:pPr>
      <w:keepNext/>
      <w:spacing w:before="780" w:after="520" w:line="300" w:lineRule="exact"/>
      <w:jc w:val="both"/>
      <w:outlineLvl w:val="1"/>
    </w:pPr>
    <w:rPr>
      <w:rFonts w:ascii="Times New Roman" w:eastAsia="Times New Roman" w:hAnsi="Times New Roman" w:cs="Arial"/>
      <w:bCs/>
      <w:sz w:val="26"/>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582D61"/>
    <w:rPr>
      <w:rFonts w:ascii="Times New Roman" w:eastAsia="Times New Roman" w:hAnsi="Times New Roman" w:cs="Times New Roman"/>
      <w:bCs/>
      <w:color w:val="000000"/>
      <w:sz w:val="30"/>
      <w:szCs w:val="24"/>
    </w:rPr>
  </w:style>
  <w:style w:type="character" w:customStyle="1" w:styleId="Heading2Char">
    <w:name w:val="Heading 2 Char"/>
    <w:basedOn w:val="DefaultParagraphFont"/>
    <w:link w:val="Heading2"/>
    <w:rsid w:val="00582D61"/>
    <w:rPr>
      <w:rFonts w:ascii="Times New Roman" w:eastAsia="Times New Roman" w:hAnsi="Times New Roman" w:cs="Arial"/>
      <w:bCs/>
      <w:sz w:val="26"/>
      <w:szCs w:val="24"/>
    </w:rPr>
  </w:style>
  <w:style w:type="character" w:styleId="FootnoteReference">
    <w:name w:val="footnote reference"/>
    <w:basedOn w:val="DefaultParagraphFont"/>
    <w:semiHidden/>
    <w:rsid w:val="00582D61"/>
    <w:rPr>
      <w:vertAlign w:val="superscript"/>
    </w:rPr>
  </w:style>
  <w:style w:type="paragraph" w:styleId="BodyText">
    <w:name w:val="Body Text"/>
    <w:basedOn w:val="Normal"/>
    <w:link w:val="BodyTextChar"/>
    <w:semiHidden/>
    <w:rsid w:val="00582D61"/>
    <w:pPr>
      <w:spacing w:after="0" w:line="260" w:lineRule="exact"/>
      <w:jc w:val="both"/>
    </w:pPr>
    <w:rPr>
      <w:rFonts w:ascii="Times New Roman" w:eastAsia="Times New Roman" w:hAnsi="Times New Roman" w:cs="Arial"/>
      <w:szCs w:val="24"/>
    </w:rPr>
  </w:style>
  <w:style w:type="character" w:customStyle="1" w:styleId="BodyTextChar">
    <w:name w:val="Body Text Char"/>
    <w:basedOn w:val="DefaultParagraphFont"/>
    <w:link w:val="BodyText"/>
    <w:semiHidden/>
    <w:rsid w:val="00582D61"/>
    <w:rPr>
      <w:rFonts w:ascii="Times New Roman" w:eastAsia="Times New Roman" w:hAnsi="Times New Roman" w:cs="Arial"/>
      <w:szCs w:val="24"/>
    </w:rPr>
  </w:style>
  <w:style w:type="paragraph" w:styleId="FootnoteText">
    <w:name w:val="footnote text"/>
    <w:basedOn w:val="Normal"/>
    <w:link w:val="FootnoteTextChar"/>
    <w:semiHidden/>
    <w:rsid w:val="00582D61"/>
    <w:pPr>
      <w:tabs>
        <w:tab w:val="left" w:pos="454"/>
      </w:tabs>
      <w:overflowPunct w:val="0"/>
      <w:autoSpaceDE w:val="0"/>
      <w:autoSpaceDN w:val="0"/>
      <w:adjustRightInd w:val="0"/>
      <w:spacing w:after="0" w:line="220" w:lineRule="exact"/>
      <w:ind w:left="454" w:hanging="454"/>
      <w:jc w:val="both"/>
      <w:textAlignment w:val="baseline"/>
    </w:pPr>
    <w:rPr>
      <w:rFonts w:ascii="Times New Roman" w:eastAsia="Times New Roman" w:hAnsi="Times New Roman" w:cs="Times New Roman"/>
      <w:sz w:val="18"/>
      <w:szCs w:val="20"/>
    </w:rPr>
  </w:style>
  <w:style w:type="character" w:customStyle="1" w:styleId="FootnoteTextChar">
    <w:name w:val="Footnote Text Char"/>
    <w:basedOn w:val="DefaultParagraphFont"/>
    <w:link w:val="FootnoteText"/>
    <w:semiHidden/>
    <w:rsid w:val="00582D61"/>
    <w:rPr>
      <w:rFonts w:ascii="Times New Roman" w:eastAsia="Times New Roman" w:hAnsi="Times New Roman" w:cs="Times New Roman"/>
      <w:sz w:val="18"/>
      <w:szCs w:val="20"/>
    </w:rPr>
  </w:style>
  <w:style w:type="paragraph" w:styleId="NormalIndent">
    <w:name w:val="Normal Indent"/>
    <w:basedOn w:val="Normal"/>
    <w:semiHidden/>
    <w:rsid w:val="00582D61"/>
    <w:pPr>
      <w:spacing w:after="0" w:line="260" w:lineRule="exact"/>
      <w:ind w:firstLine="454"/>
      <w:jc w:val="both"/>
    </w:pPr>
    <w:rPr>
      <w:rFonts w:ascii="Times New Roman" w:eastAsia="Times New Roman" w:hAnsi="Times New Roman" w:cs="Times New Roman"/>
      <w:szCs w:val="24"/>
    </w:rPr>
  </w:style>
  <w:style w:type="paragraph" w:customStyle="1" w:styleId="DisplayQuote">
    <w:name w:val="Display Quote"/>
    <w:basedOn w:val="BodyTextIndent"/>
    <w:next w:val="BodyText"/>
    <w:rsid w:val="00582D61"/>
    <w:pPr>
      <w:spacing w:before="220" w:after="220" w:line="220" w:lineRule="exact"/>
      <w:ind w:left="454"/>
      <w:jc w:val="both"/>
    </w:pPr>
    <w:rPr>
      <w:rFonts w:ascii="Times New Roman" w:eastAsia="Times New Roman" w:hAnsi="Times New Roman" w:cs="Times New Roman"/>
      <w:sz w:val="18"/>
      <w:szCs w:val="24"/>
    </w:rPr>
  </w:style>
  <w:style w:type="paragraph" w:styleId="BodyTextIndent">
    <w:name w:val="Body Text Indent"/>
    <w:basedOn w:val="Normal"/>
    <w:link w:val="BodyTextIndentChar"/>
    <w:uiPriority w:val="99"/>
    <w:semiHidden/>
    <w:unhideWhenUsed/>
    <w:rsid w:val="00582D61"/>
    <w:pPr>
      <w:spacing w:after="120"/>
      <w:ind w:left="283"/>
    </w:pPr>
  </w:style>
  <w:style w:type="character" w:customStyle="1" w:styleId="BodyTextIndentChar">
    <w:name w:val="Body Text Indent Char"/>
    <w:basedOn w:val="DefaultParagraphFont"/>
    <w:link w:val="BodyTextIndent"/>
    <w:uiPriority w:val="99"/>
    <w:semiHidden/>
    <w:rsid w:val="00582D6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52</TotalTime>
  <Pages>4</Pages>
  <Words>2027</Words>
  <Characters>11554</Characters>
  <Application>Microsoft Office Word</Application>
  <DocSecurity>0</DocSecurity>
  <Lines>96</Lines>
  <Paragraphs>27</Paragraphs>
  <ScaleCrop>false</ScaleCrop>
  <Company/>
  <LinksUpToDate>false</LinksUpToDate>
  <CharactersWithSpaces>13554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Nicholas Shilton</dc:creator>
  <cp:keywords/>
  <dc:description/>
  <cp:lastModifiedBy>Nicholas Shilton</cp:lastModifiedBy>
  <cp:revision>68</cp:revision>
  <dcterms:created xsi:type="dcterms:W3CDTF">2020-09-28T12:48:00Z</dcterms:created>
  <dcterms:modified xsi:type="dcterms:W3CDTF">2020-09-28T13:42:00Z</dcterms:modified>
</cp:coreProperties>
</file>