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E76970" w14:textId="55107C37" w:rsidR="00E10D6C" w:rsidRDefault="00E10D6C" w:rsidP="005D42AA">
      <w:pPr>
        <w:rPr>
          <w:b/>
          <w:bCs/>
          <w:u w:val="single"/>
        </w:rPr>
      </w:pPr>
    </w:p>
    <w:p w14:paraId="7E13389E" w14:textId="0CABA3D4" w:rsidR="00E10D6C" w:rsidRDefault="00E10D6C" w:rsidP="005D42AA">
      <w:pPr>
        <w:rPr>
          <w:b/>
          <w:bCs/>
          <w:u w:val="single"/>
        </w:rPr>
      </w:pPr>
      <w:r w:rsidRPr="00E10D6C">
        <w:rPr>
          <w:b/>
          <w:bCs/>
          <w:u w:val="single"/>
        </w:rPr>
        <w:drawing>
          <wp:inline distT="0" distB="0" distL="0" distR="0" wp14:anchorId="2FB8B5F0" wp14:editId="5C287B52">
            <wp:extent cx="3271520" cy="1172307"/>
            <wp:effectExtent l="0" t="0" r="5080" b="0"/>
            <wp:docPr id="1026" name="Picture 2" descr="UWTSD logo | Discover Dylan Thomas">
              <a:extLst xmlns:a="http://schemas.openxmlformats.org/drawingml/2006/main">
                <a:ext uri="{FF2B5EF4-FFF2-40B4-BE49-F238E27FC236}">
                  <a16:creationId xmlns:a16="http://schemas.microsoft.com/office/drawing/2014/main" id="{DB4E5486-661A-3A58-C6BA-CF20E456C3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 Discover Dylan Thomas">
                      <a:extLst>
                        <a:ext uri="{FF2B5EF4-FFF2-40B4-BE49-F238E27FC236}">
                          <a16:creationId xmlns:a16="http://schemas.microsoft.com/office/drawing/2014/main" id="{DB4E5486-661A-3A58-C6BA-CF20E456C34A}"/>
                        </a:ext>
                      </a:extLst>
                    </pic:cNvPr>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306883" cy="1184979"/>
                    </a:xfrm>
                    <a:prstGeom prst="rect">
                      <a:avLst/>
                    </a:prstGeom>
                    <a:noFill/>
                  </pic:spPr>
                </pic:pic>
              </a:graphicData>
            </a:graphic>
          </wp:inline>
        </w:drawing>
      </w:r>
    </w:p>
    <w:p w14:paraId="5D1567D1" w14:textId="4D5F4DD0" w:rsidR="00E10D6C" w:rsidRDefault="00E10D6C" w:rsidP="005D42AA">
      <w:pPr>
        <w:rPr>
          <w:b/>
          <w:bCs/>
          <w:u w:val="single"/>
        </w:rPr>
      </w:pPr>
      <w:r w:rsidRPr="00E10D6C">
        <w:rPr>
          <w:b/>
          <w:bCs/>
          <w:u w:val="single"/>
        </w:rPr>
        <mc:AlternateContent>
          <mc:Choice Requires="wps">
            <w:drawing>
              <wp:anchor distT="0" distB="0" distL="114300" distR="114300" simplePos="0" relativeHeight="251663360" behindDoc="0" locked="0" layoutInCell="1" allowOverlap="1" wp14:anchorId="3AEB9312" wp14:editId="38E4522D">
                <wp:simplePos x="0" y="0"/>
                <wp:positionH relativeFrom="column">
                  <wp:posOffset>-245745</wp:posOffset>
                </wp:positionH>
                <wp:positionV relativeFrom="paragraph">
                  <wp:posOffset>226353</wp:posOffset>
                </wp:positionV>
                <wp:extent cx="6049210" cy="707886"/>
                <wp:effectExtent l="0" t="0" r="0" b="0"/>
                <wp:wrapNone/>
                <wp:docPr id="4" name="TextBox 3">
                  <a:extLst xmlns:a="http://schemas.openxmlformats.org/drawingml/2006/main">
                    <a:ext uri="{FF2B5EF4-FFF2-40B4-BE49-F238E27FC236}">
                      <a16:creationId xmlns:a16="http://schemas.microsoft.com/office/drawing/2014/main" id="{0DB5D689-0DBF-6610-F166-1771F1505D35}"/>
                    </a:ext>
                  </a:extLst>
                </wp:docPr>
                <wp:cNvGraphicFramePr/>
                <a:graphic xmlns:a="http://schemas.openxmlformats.org/drawingml/2006/main">
                  <a:graphicData uri="http://schemas.microsoft.com/office/word/2010/wordprocessingShape">
                    <wps:wsp>
                      <wps:cNvSpPr txBox="1"/>
                      <wps:spPr>
                        <a:xfrm>
                          <a:off x="0" y="0"/>
                          <a:ext cx="6049210" cy="707886"/>
                        </a:xfrm>
                        <a:prstGeom prst="rect">
                          <a:avLst/>
                        </a:prstGeom>
                        <a:noFill/>
                      </wps:spPr>
                      <wps:txbx>
                        <w:txbxContent>
                          <w:p w14:paraId="591566F2" w14:textId="77777777" w:rsidR="00E10D6C" w:rsidRDefault="00E10D6C" w:rsidP="00E10D6C">
                            <w:pPr>
                              <w:jc w:val="center"/>
                              <w:rPr>
                                <w:rFonts w:ascii="Arial" w:hAnsi="Arial" w:cs="Arial"/>
                                <w:b/>
                                <w:bCs/>
                                <w:color w:val="000000" w:themeColor="text1"/>
                                <w:kern w:val="24"/>
                                <w:sz w:val="40"/>
                                <w:szCs w:val="40"/>
                              </w:rPr>
                            </w:pPr>
                            <w:r>
                              <w:rPr>
                                <w:rFonts w:ascii="Arial" w:hAnsi="Arial" w:cs="Arial"/>
                                <w:b/>
                                <w:bCs/>
                                <w:color w:val="000000" w:themeColor="text1"/>
                                <w:kern w:val="24"/>
                                <w:sz w:val="40"/>
                                <w:szCs w:val="40"/>
                              </w:rPr>
                              <w:t>LCHS4010</w:t>
                            </w:r>
                          </w:p>
                          <w:p w14:paraId="251B3951" w14:textId="77777777" w:rsidR="00E10D6C" w:rsidRDefault="00E10D6C" w:rsidP="00E10D6C">
                            <w:pPr>
                              <w:jc w:val="center"/>
                              <w:rPr>
                                <w:rFonts w:ascii="Arial" w:hAnsi="Arial" w:cs="Arial"/>
                                <w:b/>
                                <w:bCs/>
                                <w:color w:val="000000" w:themeColor="text1"/>
                                <w:kern w:val="24"/>
                                <w:sz w:val="40"/>
                                <w:szCs w:val="40"/>
                              </w:rPr>
                            </w:pPr>
                            <w:r>
                              <w:rPr>
                                <w:rFonts w:ascii="Arial" w:hAnsi="Arial" w:cs="Arial"/>
                                <w:b/>
                                <w:bCs/>
                                <w:color w:val="000000" w:themeColor="text1"/>
                                <w:kern w:val="24"/>
                                <w:sz w:val="40"/>
                                <w:szCs w:val="40"/>
                              </w:rPr>
                              <w:t>Psychology in Health and Social Care</w:t>
                            </w:r>
                          </w:p>
                        </w:txbxContent>
                      </wps:txbx>
                      <wps:bodyPr wrap="square" rtlCol="0">
                        <a:spAutoFit/>
                      </wps:bodyPr>
                    </wps:wsp>
                  </a:graphicData>
                </a:graphic>
              </wp:anchor>
            </w:drawing>
          </mc:Choice>
          <mc:Fallback>
            <w:pict>
              <v:shapetype w14:anchorId="3AEB9312" id="_x0000_t202" coordsize="21600,21600" o:spt="202" path="m,l,21600r21600,l21600,xe">
                <v:stroke joinstyle="miter"/>
                <v:path gradientshapeok="t" o:connecttype="rect"/>
              </v:shapetype>
              <v:shape id="TextBox 3" o:spid="_x0000_s1026" type="#_x0000_t202" style="position:absolute;margin-left:-19.35pt;margin-top:17.8pt;width:476.3pt;height:55.7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" filled="f" stroked="f">
                <v:textbox style="mso-fit-shape-to-text:t">
                  <w:txbxContent>
                    <w:p w14:paraId="591566F2" w14:textId="77777777" w:rsidR="00E10D6C" w:rsidRDefault="00E10D6C" w:rsidP="00E10D6C">
                      <w:pPr>
                        <w:jc w:val="center"/>
                        <w:rPr>
                          <w:rFonts w:ascii="Arial" w:hAnsi="Arial" w:cs="Arial"/>
                          <w:b/>
                          <w:bCs/>
                          <w:color w:val="000000" w:themeColor="text1"/>
                          <w:kern w:val="24"/>
                          <w:sz w:val="40"/>
                          <w:szCs w:val="40"/>
                        </w:rPr>
                      </w:pPr>
                      <w:r>
                        <w:rPr>
                          <w:rFonts w:ascii="Arial" w:hAnsi="Arial" w:cs="Arial"/>
                          <w:b/>
                          <w:bCs/>
                          <w:color w:val="000000" w:themeColor="text1"/>
                          <w:kern w:val="24"/>
                          <w:sz w:val="40"/>
                          <w:szCs w:val="40"/>
                        </w:rPr>
                        <w:t>LCHS4010</w:t>
                      </w:r>
                    </w:p>
                    <w:p w14:paraId="251B3951" w14:textId="77777777" w:rsidR="00E10D6C" w:rsidRDefault="00E10D6C" w:rsidP="00E10D6C">
                      <w:pPr>
                        <w:jc w:val="center"/>
                        <w:rPr>
                          <w:rFonts w:ascii="Arial" w:hAnsi="Arial" w:cs="Arial"/>
                          <w:b/>
                          <w:bCs/>
                          <w:color w:val="000000" w:themeColor="text1"/>
                          <w:kern w:val="24"/>
                          <w:sz w:val="40"/>
                          <w:szCs w:val="40"/>
                        </w:rPr>
                      </w:pPr>
                      <w:r>
                        <w:rPr>
                          <w:rFonts w:ascii="Arial" w:hAnsi="Arial" w:cs="Arial"/>
                          <w:b/>
                          <w:bCs/>
                          <w:color w:val="000000" w:themeColor="text1"/>
                          <w:kern w:val="24"/>
                          <w:sz w:val="40"/>
                          <w:szCs w:val="40"/>
                        </w:rPr>
                        <w:t>Psychology in Health and Social Care</w:t>
                      </w:r>
                    </w:p>
                  </w:txbxContent>
                </v:textbox>
              </v:shape>
            </w:pict>
          </mc:Fallback>
        </mc:AlternateContent>
      </w:r>
    </w:p>
    <w:p w14:paraId="4605FCA4" w14:textId="3561D4D3" w:rsidR="00E10D6C" w:rsidRDefault="00E10D6C" w:rsidP="005D42AA">
      <w:pPr>
        <w:rPr>
          <w:b/>
          <w:bCs/>
          <w:u w:val="single"/>
        </w:rPr>
      </w:pPr>
    </w:p>
    <w:p w14:paraId="6EB97A04" w14:textId="47E1DF79" w:rsidR="00E10D6C" w:rsidRDefault="00E10D6C" w:rsidP="005D42AA">
      <w:pPr>
        <w:rPr>
          <w:b/>
          <w:bCs/>
          <w:u w:val="single"/>
        </w:rPr>
      </w:pPr>
    </w:p>
    <w:p w14:paraId="56B93236" w14:textId="23CAF1C0" w:rsidR="00E10D6C" w:rsidRDefault="00E10D6C" w:rsidP="005D42AA">
      <w:pPr>
        <w:rPr>
          <w:b/>
          <w:bCs/>
          <w:u w:val="single"/>
        </w:rPr>
      </w:pPr>
    </w:p>
    <w:p w14:paraId="2DA3FFBD" w14:textId="7682B655" w:rsidR="00E10D6C" w:rsidRDefault="00E10D6C" w:rsidP="005D42AA">
      <w:pPr>
        <w:rPr>
          <w:b/>
          <w:bCs/>
          <w:u w:val="single"/>
        </w:rPr>
      </w:pPr>
    </w:p>
    <w:p w14:paraId="3ABB0BB0" w14:textId="55C5C712" w:rsidR="00E10D6C" w:rsidRDefault="00E10D6C" w:rsidP="005D42AA">
      <w:pPr>
        <w:rPr>
          <w:b/>
          <w:bCs/>
          <w:u w:val="single"/>
        </w:rPr>
      </w:pPr>
      <w:r w:rsidRPr="00E10D6C">
        <w:rPr>
          <w:b/>
          <w:bCs/>
          <w:u w:val="single"/>
        </w:rPr>
        <mc:AlternateContent>
          <mc:Choice Requires="wps">
            <w:drawing>
              <wp:anchor distT="0" distB="0" distL="114300" distR="114300" simplePos="0" relativeHeight="251661312" behindDoc="0" locked="0" layoutInCell="1" allowOverlap="1" wp14:anchorId="12209344" wp14:editId="6D259EDD">
                <wp:simplePos x="0" y="0"/>
                <wp:positionH relativeFrom="column">
                  <wp:posOffset>-644769</wp:posOffset>
                </wp:positionH>
                <wp:positionV relativeFrom="paragraph">
                  <wp:posOffset>122995</wp:posOffset>
                </wp:positionV>
                <wp:extent cx="6846277" cy="926123"/>
                <wp:effectExtent l="0" t="0" r="0" b="0"/>
                <wp:wrapNone/>
                <wp:docPr id="2" name="Title 1">
                  <a:extLst xmlns:a="http://schemas.openxmlformats.org/drawingml/2006/main">
                    <a:ext uri="{FF2B5EF4-FFF2-40B4-BE49-F238E27FC236}">
                      <a16:creationId xmlns:a16="http://schemas.microsoft.com/office/drawing/2014/main" id="{DA2D9CAF-62E4-A56C-BC72-03583E71A03A}"/>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6846277" cy="926123"/>
                        </a:xfrm>
                        <a:prstGeom prst="rect">
                          <a:avLst/>
                        </a:prstGeom>
                      </wps:spPr>
                      <wps:txbx>
                        <w:txbxContent>
                          <w:p w14:paraId="0945AED8" w14:textId="155FAB9A" w:rsidR="00E10D6C" w:rsidRDefault="00E10D6C" w:rsidP="00E10D6C">
                            <w:pPr>
                              <w:spacing w:line="216" w:lineRule="auto"/>
                              <w:rPr>
                                <w:rFonts w:asciiTheme="majorHAnsi" w:eastAsia="Aptos" w:hAnsi="Aptos Display" w:cstheme="majorBidi"/>
                                <w:b/>
                                <w:bCs/>
                                <w:color w:val="000000" w:themeColor="text1"/>
                                <w:kern w:val="24"/>
                                <w:sz w:val="13"/>
                                <w:szCs w:val="13"/>
                              </w:rPr>
                            </w:pPr>
                            <w:r>
                              <w:rPr>
                                <w:rFonts w:ascii="Arial" w:eastAsiaTheme="majorEastAsia" w:hAnsi="Arial" w:cs="Arial"/>
                                <w:b/>
                                <w:bCs/>
                                <w:color w:val="000000" w:themeColor="text1"/>
                                <w:kern w:val="24"/>
                                <w:sz w:val="44"/>
                                <w:szCs w:val="44"/>
                              </w:rPr>
                              <w:t xml:space="preserve">Student </w:t>
                            </w:r>
                            <w:r w:rsidR="00440A0A">
                              <w:rPr>
                                <w:rFonts w:ascii="Arial" w:eastAsiaTheme="majorEastAsia" w:hAnsi="Arial" w:cs="Arial"/>
                                <w:b/>
                                <w:bCs/>
                                <w:color w:val="000000" w:themeColor="text1"/>
                                <w:kern w:val="24"/>
                                <w:sz w:val="44"/>
                                <w:szCs w:val="44"/>
                              </w:rPr>
                              <w:t>name: Crisanta Rodrigues Sousa</w:t>
                            </w:r>
                            <w:r>
                              <w:rPr>
                                <w:rFonts w:ascii="Arial" w:eastAsiaTheme="majorEastAsia" w:hAnsi="Arial" w:cs="Arial"/>
                                <w:b/>
                                <w:bCs/>
                                <w:color w:val="000000" w:themeColor="text1"/>
                                <w:kern w:val="24"/>
                                <w:sz w:val="44"/>
                                <w:szCs w:val="44"/>
                              </w:rPr>
                              <w:br/>
                              <w:t>Student number</w:t>
                            </w:r>
                            <w:r>
                              <w:rPr>
                                <w:rFonts w:ascii="Arial" w:eastAsiaTheme="majorEastAsia" w:hAnsi="Arial" w:cs="Arial"/>
                                <w:b/>
                                <w:bCs/>
                                <w:color w:val="000000" w:themeColor="text1"/>
                                <w:kern w:val="24"/>
                                <w:sz w:val="44"/>
                                <w:szCs w:val="44"/>
                              </w:rPr>
                              <w:t>:</w:t>
                            </w:r>
                            <w:r w:rsidR="00440A0A">
                              <w:rPr>
                                <w:rFonts w:ascii="Arial" w:eastAsiaTheme="majorEastAsia" w:hAnsi="Arial" w:cs="Arial"/>
                                <w:b/>
                                <w:bCs/>
                                <w:color w:val="000000" w:themeColor="text1"/>
                                <w:kern w:val="24"/>
                                <w:sz w:val="44"/>
                                <w:szCs w:val="44"/>
                              </w:rPr>
                              <w:t>2437846</w:t>
                            </w:r>
                            <w:r>
                              <w:rPr>
                                <w:rFonts w:ascii="Arial" w:eastAsiaTheme="majorEastAsia" w:hAnsi="Arial" w:cs="Arial"/>
                                <w:b/>
                                <w:bCs/>
                                <w:color w:val="000000" w:themeColor="text1"/>
                                <w:kern w:val="24"/>
                                <w:sz w:val="44"/>
                                <w:szCs w:val="44"/>
                              </w:rPr>
                              <w:br/>
                              <w:t xml:space="preserve">Lecturer’s </w:t>
                            </w:r>
                            <w:proofErr w:type="gramStart"/>
                            <w:r>
                              <w:rPr>
                                <w:rFonts w:ascii="Arial" w:eastAsiaTheme="majorEastAsia" w:hAnsi="Arial" w:cs="Arial"/>
                                <w:b/>
                                <w:bCs/>
                                <w:color w:val="000000" w:themeColor="text1"/>
                                <w:kern w:val="24"/>
                                <w:sz w:val="44"/>
                                <w:szCs w:val="44"/>
                              </w:rPr>
                              <w:t xml:space="preserve">name </w:t>
                            </w:r>
                            <w:r>
                              <w:rPr>
                                <w:rFonts w:ascii="Arial" w:eastAsiaTheme="majorEastAsia" w:hAnsi="Arial" w:cs="Arial"/>
                                <w:b/>
                                <w:bCs/>
                                <w:color w:val="000000" w:themeColor="text1"/>
                                <w:kern w:val="24"/>
                                <w:sz w:val="44"/>
                                <w:szCs w:val="44"/>
                              </w:rPr>
                              <w:t>:</w:t>
                            </w:r>
                            <w:r w:rsidR="00440A0A">
                              <w:rPr>
                                <w:rFonts w:ascii="Arial" w:eastAsiaTheme="majorEastAsia" w:hAnsi="Arial" w:cs="Arial"/>
                                <w:b/>
                                <w:bCs/>
                                <w:color w:val="000000" w:themeColor="text1"/>
                                <w:kern w:val="24"/>
                                <w:sz w:val="44"/>
                                <w:szCs w:val="44"/>
                              </w:rPr>
                              <w:t>Shepherd</w:t>
                            </w:r>
                            <w:proofErr w:type="gramEnd"/>
                            <w:r w:rsidR="00440A0A">
                              <w:rPr>
                                <w:rFonts w:ascii="Arial" w:eastAsiaTheme="majorEastAsia" w:hAnsi="Arial" w:cs="Arial"/>
                                <w:b/>
                                <w:bCs/>
                                <w:color w:val="000000" w:themeColor="text1"/>
                                <w:kern w:val="24"/>
                                <w:sz w:val="44"/>
                                <w:szCs w:val="44"/>
                              </w:rPr>
                              <w:t xml:space="preserve"> Zico</w:t>
                            </w:r>
                          </w:p>
                        </w:txbxContent>
                      </wps:txbx>
                      <wps:bodyPr vert="horz" wrap="square" lIns="91440" tIns="45720" rIns="91440" bIns="45720" rtlCol="0" anchor="b">
                        <a:noAutofit/>
                      </wps:bodyPr>
                    </wps:wsp>
                  </a:graphicData>
                </a:graphic>
                <wp14:sizeRelH relativeFrom="margin">
                  <wp14:pctWidth>0</wp14:pctWidth>
                </wp14:sizeRelH>
                <wp14:sizeRelV relativeFrom="margin">
                  <wp14:pctHeight>0</wp14:pctHeight>
                </wp14:sizeRelV>
              </wp:anchor>
            </w:drawing>
          </mc:Choice>
          <mc:Fallback>
            <w:pict>
              <v:rect w14:anchorId="12209344" id="Title 1" o:spid="_x0000_s1027" style="position:absolute;margin-left:-50.75pt;margin-top:9.7pt;width:539.1pt;height:72.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" filled="f" stroked="f">
                <o:lock v:ext="edit" grouping="t"/>
                <v:textbox>
                  <w:txbxContent>
                    <w:p w14:paraId="0945AED8" w14:textId="155FAB9A" w:rsidR="00E10D6C" w:rsidRDefault="00E10D6C" w:rsidP="00E10D6C">
                      <w:pPr>
                        <w:spacing w:line="216" w:lineRule="auto"/>
                        <w:rPr>
                          <w:rFonts w:asciiTheme="majorHAnsi" w:eastAsia="Aptos" w:hAnsi="Aptos Display" w:cstheme="majorBidi"/>
                          <w:b/>
                          <w:bCs/>
                          <w:color w:val="000000" w:themeColor="text1"/>
                          <w:kern w:val="24"/>
                          <w:sz w:val="13"/>
                          <w:szCs w:val="13"/>
                        </w:rPr>
                      </w:pPr>
                      <w:r>
                        <w:rPr>
                          <w:rFonts w:ascii="Arial" w:eastAsiaTheme="majorEastAsia" w:hAnsi="Arial" w:cs="Arial"/>
                          <w:b/>
                          <w:bCs/>
                          <w:color w:val="000000" w:themeColor="text1"/>
                          <w:kern w:val="24"/>
                          <w:sz w:val="44"/>
                          <w:szCs w:val="44"/>
                        </w:rPr>
                        <w:t xml:space="preserve">Student </w:t>
                      </w:r>
                      <w:r w:rsidR="00440A0A">
                        <w:rPr>
                          <w:rFonts w:ascii="Arial" w:eastAsiaTheme="majorEastAsia" w:hAnsi="Arial" w:cs="Arial"/>
                          <w:b/>
                          <w:bCs/>
                          <w:color w:val="000000" w:themeColor="text1"/>
                          <w:kern w:val="24"/>
                          <w:sz w:val="44"/>
                          <w:szCs w:val="44"/>
                        </w:rPr>
                        <w:t>name: Crisanta Rodrigues Sousa</w:t>
                      </w:r>
                      <w:r>
                        <w:rPr>
                          <w:rFonts w:ascii="Arial" w:eastAsiaTheme="majorEastAsia" w:hAnsi="Arial" w:cs="Arial"/>
                          <w:b/>
                          <w:bCs/>
                          <w:color w:val="000000" w:themeColor="text1"/>
                          <w:kern w:val="24"/>
                          <w:sz w:val="44"/>
                          <w:szCs w:val="44"/>
                        </w:rPr>
                        <w:br/>
                        <w:t>Student number</w:t>
                      </w:r>
                      <w:r>
                        <w:rPr>
                          <w:rFonts w:ascii="Arial" w:eastAsiaTheme="majorEastAsia" w:hAnsi="Arial" w:cs="Arial"/>
                          <w:b/>
                          <w:bCs/>
                          <w:color w:val="000000" w:themeColor="text1"/>
                          <w:kern w:val="24"/>
                          <w:sz w:val="44"/>
                          <w:szCs w:val="44"/>
                        </w:rPr>
                        <w:t>:</w:t>
                      </w:r>
                      <w:r w:rsidR="00440A0A">
                        <w:rPr>
                          <w:rFonts w:ascii="Arial" w:eastAsiaTheme="majorEastAsia" w:hAnsi="Arial" w:cs="Arial"/>
                          <w:b/>
                          <w:bCs/>
                          <w:color w:val="000000" w:themeColor="text1"/>
                          <w:kern w:val="24"/>
                          <w:sz w:val="44"/>
                          <w:szCs w:val="44"/>
                        </w:rPr>
                        <w:t>2437846</w:t>
                      </w:r>
                      <w:r>
                        <w:rPr>
                          <w:rFonts w:ascii="Arial" w:eastAsiaTheme="majorEastAsia" w:hAnsi="Arial" w:cs="Arial"/>
                          <w:b/>
                          <w:bCs/>
                          <w:color w:val="000000" w:themeColor="text1"/>
                          <w:kern w:val="24"/>
                          <w:sz w:val="44"/>
                          <w:szCs w:val="44"/>
                        </w:rPr>
                        <w:br/>
                        <w:t xml:space="preserve">Lecturer’s </w:t>
                      </w:r>
                      <w:proofErr w:type="gramStart"/>
                      <w:r>
                        <w:rPr>
                          <w:rFonts w:ascii="Arial" w:eastAsiaTheme="majorEastAsia" w:hAnsi="Arial" w:cs="Arial"/>
                          <w:b/>
                          <w:bCs/>
                          <w:color w:val="000000" w:themeColor="text1"/>
                          <w:kern w:val="24"/>
                          <w:sz w:val="44"/>
                          <w:szCs w:val="44"/>
                        </w:rPr>
                        <w:t xml:space="preserve">name </w:t>
                      </w:r>
                      <w:r>
                        <w:rPr>
                          <w:rFonts w:ascii="Arial" w:eastAsiaTheme="majorEastAsia" w:hAnsi="Arial" w:cs="Arial"/>
                          <w:b/>
                          <w:bCs/>
                          <w:color w:val="000000" w:themeColor="text1"/>
                          <w:kern w:val="24"/>
                          <w:sz w:val="44"/>
                          <w:szCs w:val="44"/>
                        </w:rPr>
                        <w:t>:</w:t>
                      </w:r>
                      <w:r w:rsidR="00440A0A">
                        <w:rPr>
                          <w:rFonts w:ascii="Arial" w:eastAsiaTheme="majorEastAsia" w:hAnsi="Arial" w:cs="Arial"/>
                          <w:b/>
                          <w:bCs/>
                          <w:color w:val="000000" w:themeColor="text1"/>
                          <w:kern w:val="24"/>
                          <w:sz w:val="44"/>
                          <w:szCs w:val="44"/>
                        </w:rPr>
                        <w:t>Shepherd</w:t>
                      </w:r>
                      <w:proofErr w:type="gramEnd"/>
                      <w:r w:rsidR="00440A0A">
                        <w:rPr>
                          <w:rFonts w:ascii="Arial" w:eastAsiaTheme="majorEastAsia" w:hAnsi="Arial" w:cs="Arial"/>
                          <w:b/>
                          <w:bCs/>
                          <w:color w:val="000000" w:themeColor="text1"/>
                          <w:kern w:val="24"/>
                          <w:sz w:val="44"/>
                          <w:szCs w:val="44"/>
                        </w:rPr>
                        <w:t xml:space="preserve"> Zico</w:t>
                      </w:r>
                    </w:p>
                  </w:txbxContent>
                </v:textbox>
              </v:rect>
            </w:pict>
          </mc:Fallback>
        </mc:AlternateContent>
      </w:r>
    </w:p>
    <w:p w14:paraId="3376607E" w14:textId="5336BAF1" w:rsidR="00E10D6C" w:rsidRDefault="00E10D6C" w:rsidP="005D42AA">
      <w:pPr>
        <w:rPr>
          <w:b/>
          <w:bCs/>
          <w:u w:val="single"/>
        </w:rPr>
      </w:pPr>
    </w:p>
    <w:p w14:paraId="16CBD865" w14:textId="2F8CCF1C" w:rsidR="00E10D6C" w:rsidRDefault="00E10D6C" w:rsidP="005D42AA">
      <w:pPr>
        <w:rPr>
          <w:b/>
          <w:bCs/>
          <w:u w:val="single"/>
        </w:rPr>
      </w:pPr>
    </w:p>
    <w:p w14:paraId="21958383" w14:textId="7D1D7005" w:rsidR="00E10D6C" w:rsidRDefault="00E10D6C" w:rsidP="005D42AA">
      <w:pPr>
        <w:rPr>
          <w:b/>
          <w:bCs/>
          <w:u w:val="single"/>
        </w:rPr>
      </w:pPr>
    </w:p>
    <w:p w14:paraId="42419A6C" w14:textId="147D3858" w:rsidR="00E10D6C" w:rsidRDefault="00E10D6C" w:rsidP="005D42AA">
      <w:pPr>
        <w:rPr>
          <w:b/>
          <w:bCs/>
          <w:u w:val="single"/>
        </w:rPr>
      </w:pPr>
    </w:p>
    <w:p w14:paraId="1D7F2114" w14:textId="3946BA3E" w:rsidR="00E10D6C" w:rsidRDefault="00E10D6C" w:rsidP="005D42AA">
      <w:pPr>
        <w:rPr>
          <w:b/>
          <w:bCs/>
          <w:u w:val="single"/>
        </w:rPr>
      </w:pPr>
    </w:p>
    <w:p w14:paraId="68B8CF35" w14:textId="57DB0F10" w:rsidR="00E10D6C" w:rsidRDefault="00E10D6C" w:rsidP="005D42AA">
      <w:pPr>
        <w:rPr>
          <w:b/>
          <w:bCs/>
          <w:u w:val="single"/>
        </w:rPr>
      </w:pPr>
      <w:r w:rsidRPr="00E10D6C">
        <w:rPr>
          <w:b/>
          <w:bCs/>
          <w:u w:val="single"/>
        </w:rPr>
        <mc:AlternateContent>
          <mc:Choice Requires="wps">
            <w:drawing>
              <wp:anchor distT="0" distB="0" distL="114300" distR="114300" simplePos="0" relativeHeight="251659264" behindDoc="0" locked="0" layoutInCell="1" allowOverlap="1" wp14:anchorId="2FEA102A" wp14:editId="5EE684E3">
                <wp:simplePos x="0" y="0"/>
                <wp:positionH relativeFrom="column">
                  <wp:posOffset>-866775</wp:posOffset>
                </wp:positionH>
                <wp:positionV relativeFrom="paragraph">
                  <wp:posOffset>311150</wp:posOffset>
                </wp:positionV>
                <wp:extent cx="6858000" cy="3098165"/>
                <wp:effectExtent l="0" t="0" r="0" b="0"/>
                <wp:wrapNone/>
                <wp:docPr id="3" name="Subtitle 2">
                  <a:extLst xmlns:a="http://schemas.openxmlformats.org/drawingml/2006/main">
                    <a:ext uri="{FF2B5EF4-FFF2-40B4-BE49-F238E27FC236}">
                      <a16:creationId xmlns:a16="http://schemas.microsoft.com/office/drawing/2014/main" id="{8FC115E9-2559-9124-E2DA-727C7D7E63C8}"/>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6858000" cy="3098165"/>
                        </a:xfrm>
                        <a:prstGeom prst="rect">
                          <a:avLst/>
                        </a:prstGeom>
                      </wps:spPr>
                      <wps:txbx>
                        <w:txbxContent>
                          <w:p w14:paraId="3E996407" w14:textId="77777777" w:rsidR="00E10D6C" w:rsidRDefault="00E10D6C" w:rsidP="00E10D6C">
                            <w:pPr>
                              <w:spacing w:before="200" w:line="216" w:lineRule="auto"/>
                              <w:rPr>
                                <w:rFonts w:ascii="Arial" w:hAnsi="Arial" w:cs="Arial"/>
                                <w:b/>
                                <w:bCs/>
                                <w:color w:val="000000" w:themeColor="text1"/>
                                <w:kern w:val="24"/>
                                <w:sz w:val="36"/>
                                <w:szCs w:val="36"/>
                              </w:rPr>
                            </w:pPr>
                            <w:r>
                              <w:rPr>
                                <w:rFonts w:ascii="Arial" w:hAnsi="Arial" w:cs="Arial"/>
                                <w:b/>
                                <w:bCs/>
                                <w:color w:val="000000" w:themeColor="text1"/>
                                <w:kern w:val="24"/>
                                <w:sz w:val="36"/>
                                <w:szCs w:val="36"/>
                              </w:rPr>
                              <w:t>Acknowledgement of the use of AI tools (</w:t>
                            </w:r>
                            <w:r>
                              <w:rPr>
                                <w:rFonts w:ascii="Arial" w:hAnsi="Arial" w:cs="Arial"/>
                                <w:b/>
                                <w:bCs/>
                                <w:color w:val="FF0000"/>
                                <w:kern w:val="24"/>
                                <w:sz w:val="36"/>
                                <w:szCs w:val="36"/>
                              </w:rPr>
                              <w:t>read the statements below and delete/amend as appropriate</w:t>
                            </w:r>
                            <w:r>
                              <w:rPr>
                                <w:rFonts w:ascii="Arial" w:hAnsi="Arial" w:cs="Arial"/>
                                <w:b/>
                                <w:bCs/>
                                <w:color w:val="000000" w:themeColor="text1"/>
                                <w:kern w:val="24"/>
                                <w:sz w:val="36"/>
                                <w:szCs w:val="36"/>
                              </w:rPr>
                              <w:t>)</w:t>
                            </w:r>
                          </w:p>
                          <w:p w14:paraId="1D9F37C3" w14:textId="77777777" w:rsidR="00E10D6C" w:rsidRDefault="00E10D6C" w:rsidP="00E10D6C">
                            <w:pPr>
                              <w:spacing w:before="200" w:line="216" w:lineRule="auto"/>
                              <w:rPr>
                                <w:rFonts w:ascii="Arial" w:hAnsi="Arial" w:cs="Arial"/>
                                <w:color w:val="000000" w:themeColor="text1"/>
                                <w:kern w:val="24"/>
                                <w:sz w:val="36"/>
                                <w:szCs w:val="36"/>
                              </w:rPr>
                            </w:pPr>
                            <w:r>
                              <w:rPr>
                                <w:rFonts w:ascii="Arial" w:hAnsi="Arial" w:cs="Arial"/>
                                <w:color w:val="000000" w:themeColor="text1"/>
                                <w:kern w:val="24"/>
                                <w:sz w:val="36"/>
                                <w:szCs w:val="36"/>
                              </w:rPr>
                              <w:t xml:space="preserve">I confirm that I have </w:t>
                            </w:r>
                            <w:r>
                              <w:rPr>
                                <w:rFonts w:ascii="Arial" w:hAnsi="Arial" w:cs="Arial"/>
                                <w:b/>
                                <w:bCs/>
                                <w:color w:val="000000" w:themeColor="text1"/>
                                <w:kern w:val="24"/>
                                <w:sz w:val="36"/>
                                <w:szCs w:val="36"/>
                              </w:rPr>
                              <w:t xml:space="preserve">not </w:t>
                            </w:r>
                            <w:r>
                              <w:rPr>
                                <w:rFonts w:ascii="Arial" w:hAnsi="Arial" w:cs="Arial"/>
                                <w:color w:val="000000" w:themeColor="text1"/>
                                <w:kern w:val="24"/>
                                <w:sz w:val="36"/>
                                <w:szCs w:val="36"/>
                              </w:rPr>
                              <w:t xml:space="preserve">used any AI tools in the research and creation of this assignment. I confirm that I have not presented any AI generated materials as my own work. </w:t>
                            </w:r>
                          </w:p>
                          <w:p w14:paraId="133CF86C" w14:textId="77777777" w:rsidR="00E10D6C" w:rsidRDefault="00E10D6C" w:rsidP="00E10D6C">
                            <w:pPr>
                              <w:spacing w:before="200" w:line="216" w:lineRule="auto"/>
                              <w:rPr>
                                <w:rFonts w:ascii="Arial" w:hAnsi="Arial" w:cs="Arial"/>
                                <w:color w:val="000000" w:themeColor="text1"/>
                                <w:kern w:val="24"/>
                                <w:sz w:val="36"/>
                                <w:szCs w:val="36"/>
                              </w:rPr>
                            </w:pPr>
                            <w:r>
                              <w:rPr>
                                <w:rFonts w:ascii="Arial" w:hAnsi="Arial" w:cs="Arial"/>
                                <w:color w:val="000000" w:themeColor="text1"/>
                                <w:kern w:val="24"/>
                                <w:sz w:val="36"/>
                                <w:szCs w:val="36"/>
                              </w:rPr>
                              <w:t>I confirm I have copies of my drafts, notes, and other resources I used, which I may be asked to provide in evidence</w:t>
                            </w:r>
                          </w:p>
                        </w:txbxContent>
                      </wps:txbx>
                      <wps:bodyPr vert="horz" wrap="square" lIns="91440" tIns="45720" rIns="91440" bIns="45720" rtlCol="0">
                        <a:noAutofit/>
                      </wps:bodyPr>
                    </wps:wsp>
                  </a:graphicData>
                </a:graphic>
                <wp14:sizeRelH relativeFrom="margin">
                  <wp14:pctWidth>0</wp14:pctWidth>
                </wp14:sizeRelH>
              </wp:anchor>
            </w:drawing>
          </mc:Choice>
          <mc:Fallback>
            <w:pict>
              <v:rect w14:anchorId="2FEA102A" id="Subtitle 2" o:spid="_x0000_s1028" style="position:absolute;margin-left:-68.25pt;margin-top:24.5pt;width:540pt;height:243.9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" filled="f" stroked="f">
                <o:lock v:ext="edit" grouping="t"/>
                <v:textbox>
                  <w:txbxContent>
                    <w:p w14:paraId="3E996407" w14:textId="77777777" w:rsidR="00E10D6C" w:rsidRDefault="00E10D6C" w:rsidP="00E10D6C">
                      <w:pPr>
                        <w:spacing w:before="200" w:line="216" w:lineRule="auto"/>
                        <w:rPr>
                          <w:rFonts w:ascii="Arial" w:hAnsi="Arial" w:cs="Arial"/>
                          <w:b/>
                          <w:bCs/>
                          <w:color w:val="000000" w:themeColor="text1"/>
                          <w:kern w:val="24"/>
                          <w:sz w:val="36"/>
                          <w:szCs w:val="36"/>
                        </w:rPr>
                      </w:pPr>
                      <w:r>
                        <w:rPr>
                          <w:rFonts w:ascii="Arial" w:hAnsi="Arial" w:cs="Arial"/>
                          <w:b/>
                          <w:bCs/>
                          <w:color w:val="000000" w:themeColor="text1"/>
                          <w:kern w:val="24"/>
                          <w:sz w:val="36"/>
                          <w:szCs w:val="36"/>
                        </w:rPr>
                        <w:t>Acknowledgement of the use of AI tools (</w:t>
                      </w:r>
                      <w:r>
                        <w:rPr>
                          <w:rFonts w:ascii="Arial" w:hAnsi="Arial" w:cs="Arial"/>
                          <w:b/>
                          <w:bCs/>
                          <w:color w:val="FF0000"/>
                          <w:kern w:val="24"/>
                          <w:sz w:val="36"/>
                          <w:szCs w:val="36"/>
                        </w:rPr>
                        <w:t>read the statements below and delete/amend as appropriate</w:t>
                      </w:r>
                      <w:r>
                        <w:rPr>
                          <w:rFonts w:ascii="Arial" w:hAnsi="Arial" w:cs="Arial"/>
                          <w:b/>
                          <w:bCs/>
                          <w:color w:val="000000" w:themeColor="text1"/>
                          <w:kern w:val="24"/>
                          <w:sz w:val="36"/>
                          <w:szCs w:val="36"/>
                        </w:rPr>
                        <w:t>)</w:t>
                      </w:r>
                    </w:p>
                    <w:p w14:paraId="1D9F37C3" w14:textId="77777777" w:rsidR="00E10D6C" w:rsidRDefault="00E10D6C" w:rsidP="00E10D6C">
                      <w:pPr>
                        <w:spacing w:before="200" w:line="216" w:lineRule="auto"/>
                        <w:rPr>
                          <w:rFonts w:ascii="Arial" w:hAnsi="Arial" w:cs="Arial"/>
                          <w:color w:val="000000" w:themeColor="text1"/>
                          <w:kern w:val="24"/>
                          <w:sz w:val="36"/>
                          <w:szCs w:val="36"/>
                        </w:rPr>
                      </w:pPr>
                      <w:r>
                        <w:rPr>
                          <w:rFonts w:ascii="Arial" w:hAnsi="Arial" w:cs="Arial"/>
                          <w:color w:val="000000" w:themeColor="text1"/>
                          <w:kern w:val="24"/>
                          <w:sz w:val="36"/>
                          <w:szCs w:val="36"/>
                        </w:rPr>
                        <w:t xml:space="preserve">I confirm that I have </w:t>
                      </w:r>
                      <w:r>
                        <w:rPr>
                          <w:rFonts w:ascii="Arial" w:hAnsi="Arial" w:cs="Arial"/>
                          <w:b/>
                          <w:bCs/>
                          <w:color w:val="000000" w:themeColor="text1"/>
                          <w:kern w:val="24"/>
                          <w:sz w:val="36"/>
                          <w:szCs w:val="36"/>
                        </w:rPr>
                        <w:t xml:space="preserve">not </w:t>
                      </w:r>
                      <w:r>
                        <w:rPr>
                          <w:rFonts w:ascii="Arial" w:hAnsi="Arial" w:cs="Arial"/>
                          <w:color w:val="000000" w:themeColor="text1"/>
                          <w:kern w:val="24"/>
                          <w:sz w:val="36"/>
                          <w:szCs w:val="36"/>
                        </w:rPr>
                        <w:t xml:space="preserve">used any AI tools in the research and creation of this assignment. I confirm that I have not presented any AI generated materials as my own work. </w:t>
                      </w:r>
                    </w:p>
                    <w:p w14:paraId="133CF86C" w14:textId="77777777" w:rsidR="00E10D6C" w:rsidRDefault="00E10D6C" w:rsidP="00E10D6C">
                      <w:pPr>
                        <w:spacing w:before="200" w:line="216" w:lineRule="auto"/>
                        <w:rPr>
                          <w:rFonts w:ascii="Arial" w:hAnsi="Arial" w:cs="Arial"/>
                          <w:color w:val="000000" w:themeColor="text1"/>
                          <w:kern w:val="24"/>
                          <w:sz w:val="36"/>
                          <w:szCs w:val="36"/>
                        </w:rPr>
                      </w:pPr>
                      <w:r>
                        <w:rPr>
                          <w:rFonts w:ascii="Arial" w:hAnsi="Arial" w:cs="Arial"/>
                          <w:color w:val="000000" w:themeColor="text1"/>
                          <w:kern w:val="24"/>
                          <w:sz w:val="36"/>
                          <w:szCs w:val="36"/>
                        </w:rPr>
                        <w:t>I confirm I have copies of my drafts, notes, and other resources I used, which I may be asked to provide in evidence</w:t>
                      </w:r>
                    </w:p>
                  </w:txbxContent>
                </v:textbox>
              </v:rect>
            </w:pict>
          </mc:Fallback>
        </mc:AlternateContent>
      </w:r>
    </w:p>
    <w:p w14:paraId="282E3106" w14:textId="00F4A0F5" w:rsidR="00E10D6C" w:rsidRDefault="00E10D6C" w:rsidP="005D42AA">
      <w:pPr>
        <w:rPr>
          <w:b/>
          <w:bCs/>
          <w:u w:val="single"/>
        </w:rPr>
      </w:pPr>
    </w:p>
    <w:p w14:paraId="2B43756D" w14:textId="79FDC025" w:rsidR="00E10D6C" w:rsidRDefault="00E10D6C" w:rsidP="005D42AA">
      <w:pPr>
        <w:rPr>
          <w:b/>
          <w:bCs/>
          <w:u w:val="single"/>
        </w:rPr>
      </w:pPr>
    </w:p>
    <w:p w14:paraId="5809E161" w14:textId="68FEB5C9" w:rsidR="00E10D6C" w:rsidRDefault="00E10D6C" w:rsidP="005D42AA">
      <w:pPr>
        <w:rPr>
          <w:b/>
          <w:bCs/>
          <w:u w:val="single"/>
        </w:rPr>
      </w:pPr>
    </w:p>
    <w:p w14:paraId="4F3469B2" w14:textId="59811AB8" w:rsidR="00E10D6C" w:rsidRDefault="00E10D6C" w:rsidP="005D42AA">
      <w:pPr>
        <w:rPr>
          <w:b/>
          <w:bCs/>
          <w:u w:val="single"/>
        </w:rPr>
      </w:pPr>
    </w:p>
    <w:p w14:paraId="0EE30759" w14:textId="014463D8" w:rsidR="00E10D6C" w:rsidRDefault="00E10D6C" w:rsidP="005D42AA">
      <w:pPr>
        <w:rPr>
          <w:b/>
          <w:bCs/>
          <w:u w:val="single"/>
        </w:rPr>
      </w:pPr>
    </w:p>
    <w:p w14:paraId="5936FA48" w14:textId="34B38A73" w:rsidR="00E10D6C" w:rsidRDefault="00E10D6C" w:rsidP="005D42AA">
      <w:pPr>
        <w:rPr>
          <w:b/>
          <w:bCs/>
          <w:u w:val="single"/>
        </w:rPr>
      </w:pPr>
    </w:p>
    <w:p w14:paraId="1D3ECEBE" w14:textId="70FD8D24" w:rsidR="00E10D6C" w:rsidRDefault="00E10D6C" w:rsidP="005D42AA">
      <w:pPr>
        <w:rPr>
          <w:b/>
          <w:bCs/>
          <w:u w:val="single"/>
        </w:rPr>
      </w:pPr>
    </w:p>
    <w:p w14:paraId="1EE29911" w14:textId="448FC9F2" w:rsidR="00E10D6C" w:rsidRDefault="00E10D6C" w:rsidP="005D42AA">
      <w:pPr>
        <w:rPr>
          <w:b/>
          <w:bCs/>
          <w:u w:val="single"/>
        </w:rPr>
      </w:pPr>
    </w:p>
    <w:p w14:paraId="67B77C02" w14:textId="1CE6A881" w:rsidR="00E10D6C" w:rsidRDefault="00E10D6C" w:rsidP="005D42AA">
      <w:pPr>
        <w:rPr>
          <w:b/>
          <w:bCs/>
          <w:u w:val="single"/>
        </w:rPr>
      </w:pPr>
    </w:p>
    <w:p w14:paraId="4CED2D8E" w14:textId="77777777" w:rsidR="00E10D6C" w:rsidRDefault="00E10D6C" w:rsidP="005D42AA">
      <w:pPr>
        <w:rPr>
          <w:b/>
          <w:bCs/>
          <w:u w:val="single"/>
        </w:rPr>
      </w:pPr>
    </w:p>
    <w:p w14:paraId="1908CE39" w14:textId="77777777" w:rsidR="00E10D6C" w:rsidRDefault="00E10D6C" w:rsidP="005D42AA">
      <w:pPr>
        <w:rPr>
          <w:b/>
          <w:bCs/>
          <w:u w:val="single"/>
        </w:rPr>
      </w:pPr>
    </w:p>
    <w:p w14:paraId="753E06E1" w14:textId="77777777" w:rsidR="00E10D6C" w:rsidRDefault="00E10D6C" w:rsidP="005D42AA">
      <w:pPr>
        <w:rPr>
          <w:b/>
          <w:bCs/>
          <w:u w:val="single"/>
        </w:rPr>
      </w:pPr>
    </w:p>
    <w:p w14:paraId="399A1813" w14:textId="77777777" w:rsidR="00E10D6C" w:rsidRDefault="00E10D6C" w:rsidP="005D42AA">
      <w:pPr>
        <w:rPr>
          <w:b/>
          <w:bCs/>
          <w:u w:val="single"/>
        </w:rPr>
      </w:pPr>
    </w:p>
    <w:p w14:paraId="2A346A3D" w14:textId="77777777" w:rsidR="00E10D6C" w:rsidRDefault="00E10D6C" w:rsidP="005D42AA">
      <w:pPr>
        <w:rPr>
          <w:b/>
          <w:bCs/>
          <w:u w:val="single"/>
        </w:rPr>
      </w:pPr>
    </w:p>
    <w:p w14:paraId="20D9B52A" w14:textId="77777777" w:rsidR="00E10D6C" w:rsidRDefault="00E10D6C" w:rsidP="005D42AA">
      <w:pPr>
        <w:rPr>
          <w:b/>
          <w:bCs/>
          <w:u w:val="single"/>
        </w:rPr>
      </w:pPr>
    </w:p>
    <w:p w14:paraId="586F4620" w14:textId="77777777" w:rsidR="00E10D6C" w:rsidRDefault="00E10D6C" w:rsidP="005D42AA">
      <w:pPr>
        <w:rPr>
          <w:b/>
          <w:bCs/>
          <w:u w:val="single"/>
        </w:rPr>
      </w:pPr>
    </w:p>
    <w:p w14:paraId="5FB56687" w14:textId="77777777" w:rsidR="00E10D6C" w:rsidRDefault="00E10D6C" w:rsidP="005D42AA">
      <w:pPr>
        <w:rPr>
          <w:b/>
          <w:bCs/>
          <w:u w:val="single"/>
        </w:rPr>
      </w:pPr>
    </w:p>
    <w:p w14:paraId="0FDF707C" w14:textId="77777777" w:rsidR="00E10D6C" w:rsidRDefault="00E10D6C" w:rsidP="005D42AA">
      <w:pPr>
        <w:rPr>
          <w:b/>
          <w:bCs/>
          <w:u w:val="single"/>
        </w:rPr>
      </w:pPr>
    </w:p>
    <w:p w14:paraId="189A43D8" w14:textId="77777777" w:rsidR="00E10D6C" w:rsidRDefault="00E10D6C" w:rsidP="005D42AA">
      <w:pPr>
        <w:rPr>
          <w:b/>
          <w:bCs/>
          <w:u w:val="single"/>
        </w:rPr>
      </w:pPr>
    </w:p>
    <w:p w14:paraId="5C7AFFC8" w14:textId="77777777" w:rsidR="00E10D6C" w:rsidRDefault="00E10D6C" w:rsidP="005D42AA">
      <w:pPr>
        <w:rPr>
          <w:b/>
          <w:bCs/>
          <w:u w:val="single"/>
        </w:rPr>
      </w:pPr>
    </w:p>
    <w:p w14:paraId="0560E4C1" w14:textId="77777777" w:rsidR="00E10D6C" w:rsidRDefault="00E10D6C" w:rsidP="005D42AA">
      <w:pPr>
        <w:rPr>
          <w:b/>
          <w:bCs/>
          <w:u w:val="single"/>
        </w:rPr>
      </w:pPr>
    </w:p>
    <w:p w14:paraId="04C1B3D7" w14:textId="77777777" w:rsidR="00E10D6C" w:rsidRDefault="00E10D6C" w:rsidP="005D42AA">
      <w:pPr>
        <w:rPr>
          <w:b/>
          <w:bCs/>
          <w:u w:val="single"/>
        </w:rPr>
      </w:pPr>
    </w:p>
    <w:p w14:paraId="71143E78" w14:textId="77777777" w:rsidR="00E10D6C" w:rsidRDefault="00E10D6C" w:rsidP="005D42AA">
      <w:pPr>
        <w:rPr>
          <w:b/>
          <w:bCs/>
          <w:u w:val="single"/>
        </w:rPr>
      </w:pPr>
    </w:p>
    <w:p w14:paraId="09035BC2" w14:textId="77777777" w:rsidR="00E10D6C" w:rsidRDefault="00E10D6C" w:rsidP="005D42AA">
      <w:pPr>
        <w:rPr>
          <w:b/>
          <w:bCs/>
          <w:u w:val="single"/>
        </w:rPr>
      </w:pPr>
    </w:p>
    <w:p w14:paraId="2261644D" w14:textId="77777777" w:rsidR="00E10D6C" w:rsidRDefault="00E10D6C" w:rsidP="005D42AA">
      <w:pPr>
        <w:rPr>
          <w:b/>
          <w:bCs/>
          <w:u w:val="single"/>
        </w:rPr>
      </w:pPr>
    </w:p>
    <w:p w14:paraId="118169B2" w14:textId="77777777" w:rsidR="00E10D6C" w:rsidRDefault="00E10D6C" w:rsidP="005D42AA">
      <w:pPr>
        <w:rPr>
          <w:b/>
          <w:bCs/>
          <w:u w:val="single"/>
        </w:rPr>
      </w:pPr>
    </w:p>
    <w:p w14:paraId="73920749" w14:textId="77777777" w:rsidR="00E10D6C" w:rsidRDefault="00E10D6C" w:rsidP="005D42AA">
      <w:pPr>
        <w:rPr>
          <w:b/>
          <w:bCs/>
          <w:u w:val="single"/>
        </w:rPr>
      </w:pPr>
    </w:p>
    <w:p w14:paraId="46729833" w14:textId="77777777" w:rsidR="00E10D6C" w:rsidRDefault="00E10D6C" w:rsidP="005D42AA">
      <w:pPr>
        <w:rPr>
          <w:b/>
          <w:bCs/>
          <w:u w:val="single"/>
        </w:rPr>
      </w:pPr>
    </w:p>
    <w:p w14:paraId="4C1940D9" w14:textId="77777777" w:rsidR="00E10D6C" w:rsidRDefault="00E10D6C" w:rsidP="005D42AA">
      <w:pPr>
        <w:rPr>
          <w:b/>
          <w:bCs/>
          <w:u w:val="single"/>
        </w:rPr>
      </w:pPr>
    </w:p>
    <w:p w14:paraId="1BDE2B00" w14:textId="77777777" w:rsidR="00440A0A" w:rsidRDefault="00440A0A" w:rsidP="005D42AA">
      <w:pPr>
        <w:rPr>
          <w:b/>
          <w:bCs/>
          <w:u w:val="single"/>
        </w:rPr>
      </w:pPr>
    </w:p>
    <w:p w14:paraId="758F5199" w14:textId="0D980400" w:rsidR="005D42AA" w:rsidRDefault="00610970" w:rsidP="005D42AA">
      <w:pPr>
        <w:rPr>
          <w:b/>
          <w:bCs/>
          <w:u w:val="single"/>
        </w:rPr>
      </w:pPr>
      <w:r>
        <w:rPr>
          <w:b/>
          <w:bCs/>
          <w:u w:val="single"/>
        </w:rPr>
        <w:lastRenderedPageBreak/>
        <w:t>Introduction in Bibliography</w:t>
      </w:r>
    </w:p>
    <w:p w14:paraId="6C501A6B" w14:textId="01086AF5" w:rsidR="00610970" w:rsidRDefault="00A83780" w:rsidP="005D42AA">
      <w:pPr>
        <w:rPr>
          <w:b/>
          <w:bCs/>
          <w:u w:val="single"/>
        </w:rPr>
      </w:pPr>
      <w:r>
        <w:rPr>
          <w:b/>
          <w:bCs/>
          <w:u w:val="single"/>
        </w:rPr>
        <w:t xml:space="preserve">I </w:t>
      </w:r>
      <w:r w:rsidR="00C02A2B">
        <w:rPr>
          <w:b/>
          <w:bCs/>
          <w:u w:val="single"/>
        </w:rPr>
        <w:t xml:space="preserve">have </w:t>
      </w:r>
      <w:proofErr w:type="gramStart"/>
      <w:r w:rsidR="00C02A2B">
        <w:rPr>
          <w:b/>
          <w:bCs/>
          <w:u w:val="single"/>
        </w:rPr>
        <w:t>use</w:t>
      </w:r>
      <w:proofErr w:type="gramEnd"/>
      <w:r>
        <w:rPr>
          <w:b/>
          <w:bCs/>
          <w:u w:val="single"/>
        </w:rPr>
        <w:t xml:space="preserve"> the University library online   Resources </w:t>
      </w:r>
      <w:r w:rsidR="00154E1A">
        <w:rPr>
          <w:b/>
          <w:bCs/>
          <w:u w:val="single"/>
        </w:rPr>
        <w:t xml:space="preserve">evidence </w:t>
      </w:r>
      <w:r w:rsidR="00440A0A">
        <w:rPr>
          <w:b/>
          <w:bCs/>
          <w:u w:val="single"/>
        </w:rPr>
        <w:t xml:space="preserve">to </w:t>
      </w:r>
      <w:proofErr w:type="gramStart"/>
      <w:r w:rsidR="00440A0A">
        <w:rPr>
          <w:b/>
          <w:bCs/>
          <w:u w:val="single"/>
        </w:rPr>
        <w:t>do</w:t>
      </w:r>
      <w:r>
        <w:rPr>
          <w:b/>
          <w:bCs/>
          <w:u w:val="single"/>
        </w:rPr>
        <w:t xml:space="preserve">  my</w:t>
      </w:r>
      <w:proofErr w:type="gramEnd"/>
      <w:r>
        <w:rPr>
          <w:b/>
          <w:bCs/>
          <w:u w:val="single"/>
        </w:rPr>
        <w:t xml:space="preserve"> on research in </w:t>
      </w:r>
      <w:r w:rsidR="001A25F5">
        <w:rPr>
          <w:b/>
          <w:bCs/>
          <w:u w:val="single"/>
        </w:rPr>
        <w:t xml:space="preserve">Theory Piaget week 1-5 and Theory Psychodynamic week 7-9 in </w:t>
      </w:r>
      <w:r>
        <w:rPr>
          <w:b/>
          <w:bCs/>
          <w:u w:val="single"/>
        </w:rPr>
        <w:t xml:space="preserve">Bibliography in Health and Social </w:t>
      </w:r>
      <w:proofErr w:type="gramStart"/>
      <w:r>
        <w:rPr>
          <w:b/>
          <w:bCs/>
          <w:u w:val="single"/>
        </w:rPr>
        <w:t xml:space="preserve">Care </w:t>
      </w:r>
      <w:r w:rsidR="001A25F5">
        <w:rPr>
          <w:b/>
          <w:bCs/>
          <w:u w:val="single"/>
        </w:rPr>
        <w:t>.</w:t>
      </w:r>
      <w:proofErr w:type="gramEnd"/>
    </w:p>
    <w:tbl>
      <w:tblPr>
        <w:tblStyle w:val="TableGrid"/>
        <w:tblpPr w:leftFromText="180" w:rightFromText="180" w:vertAnchor="text" w:horzAnchor="page" w:tblpX="168" w:tblpY="122"/>
        <w:tblW w:w="10706" w:type="dxa"/>
        <w:tblLook w:val="04A0" w:firstRow="1" w:lastRow="0" w:firstColumn="1" w:lastColumn="0" w:noHBand="0" w:noVBand="1"/>
      </w:tblPr>
      <w:tblGrid>
        <w:gridCol w:w="4885"/>
        <w:gridCol w:w="5821"/>
      </w:tblGrid>
      <w:tr w:rsidR="00440A0A" w14:paraId="2403D33E" w14:textId="77777777" w:rsidTr="00440A0A">
        <w:trPr>
          <w:trHeight w:val="640"/>
        </w:trPr>
        <w:tc>
          <w:tcPr>
            <w:tcW w:w="4885" w:type="dxa"/>
          </w:tcPr>
          <w:p w14:paraId="470DCF81" w14:textId="77777777" w:rsidR="00440A0A" w:rsidRDefault="00440A0A" w:rsidP="00440A0A">
            <w:pPr>
              <w:rPr>
                <w:rFonts w:ascii="Arial" w:hAnsi="Arial" w:cs="Arial"/>
                <w:sz w:val="22"/>
                <w:szCs w:val="22"/>
              </w:rPr>
            </w:pPr>
            <w:r>
              <w:rPr>
                <w:rFonts w:ascii="Arial" w:hAnsi="Arial" w:cs="Arial"/>
                <w:sz w:val="22"/>
                <w:szCs w:val="22"/>
              </w:rPr>
              <w:t>Theory</w:t>
            </w:r>
          </w:p>
          <w:p w14:paraId="77DE5603" w14:textId="77777777" w:rsidR="00440A0A" w:rsidRDefault="00440A0A" w:rsidP="00440A0A">
            <w:pPr>
              <w:rPr>
                <w:rFonts w:ascii="Arial" w:hAnsi="Arial" w:cs="Arial"/>
                <w:sz w:val="22"/>
                <w:szCs w:val="22"/>
              </w:rPr>
            </w:pPr>
            <w:r>
              <w:rPr>
                <w:rFonts w:ascii="Arial" w:hAnsi="Arial" w:cs="Arial"/>
                <w:sz w:val="22"/>
                <w:szCs w:val="22"/>
              </w:rPr>
              <w:t>Piaget</w:t>
            </w:r>
          </w:p>
          <w:p w14:paraId="27969C3D" w14:textId="77777777" w:rsidR="00440A0A" w:rsidRDefault="00440A0A" w:rsidP="00440A0A">
            <w:pPr>
              <w:rPr>
                <w:rFonts w:ascii="Arial" w:hAnsi="Arial" w:cs="Arial"/>
                <w:sz w:val="22"/>
                <w:szCs w:val="22"/>
              </w:rPr>
            </w:pPr>
            <w:r>
              <w:rPr>
                <w:rFonts w:ascii="Arial" w:hAnsi="Arial" w:cs="Arial"/>
                <w:sz w:val="22"/>
                <w:szCs w:val="22"/>
              </w:rPr>
              <w:t xml:space="preserve">Week </w:t>
            </w:r>
          </w:p>
          <w:p w14:paraId="57F4A042" w14:textId="77777777" w:rsidR="00440A0A" w:rsidRDefault="00440A0A" w:rsidP="00440A0A">
            <w:pPr>
              <w:rPr>
                <w:rFonts w:ascii="Arial" w:hAnsi="Arial" w:cs="Arial"/>
                <w:sz w:val="22"/>
                <w:szCs w:val="22"/>
              </w:rPr>
            </w:pPr>
            <w:r>
              <w:rPr>
                <w:rFonts w:ascii="Arial" w:hAnsi="Arial" w:cs="Arial"/>
                <w:sz w:val="22"/>
                <w:szCs w:val="22"/>
              </w:rPr>
              <w:t>1-5</w:t>
            </w:r>
          </w:p>
        </w:tc>
        <w:tc>
          <w:tcPr>
            <w:tcW w:w="5821" w:type="dxa"/>
          </w:tcPr>
          <w:p w14:paraId="19FAE79D" w14:textId="77777777" w:rsidR="00173C8E" w:rsidRDefault="00173C8E" w:rsidP="00173C8E">
            <w:pPr>
              <w:rPr>
                <w:rFonts w:ascii="Arial" w:hAnsi="Arial" w:cs="Arial"/>
                <w:b/>
                <w:bCs/>
                <w:sz w:val="22"/>
                <w:szCs w:val="22"/>
                <w:u w:val="single"/>
              </w:rPr>
            </w:pPr>
            <w:r>
              <w:rPr>
                <w:rFonts w:ascii="Arial" w:hAnsi="Arial" w:cs="Arial"/>
                <w:color w:val="333333"/>
                <w:sz w:val="21"/>
                <w:szCs w:val="21"/>
                <w:shd w:val="clear" w:color="auto" w:fill="FFFFFF"/>
              </w:rPr>
              <w:t>Piaget, J. (1952).</w:t>
            </w:r>
            <w:r>
              <w:rPr>
                <w:rStyle w:val="apple-converted-space"/>
                <w:rFonts w:ascii="Arial" w:eastAsiaTheme="majorEastAsia" w:hAnsi="Arial" w:cs="Arial"/>
                <w:color w:val="333333"/>
                <w:sz w:val="21"/>
                <w:szCs w:val="21"/>
                <w:shd w:val="clear" w:color="auto" w:fill="FFFFFF"/>
              </w:rPr>
              <w:t> </w:t>
            </w:r>
            <w:r>
              <w:rPr>
                <w:rStyle w:val="Emphasis"/>
                <w:rFonts w:ascii="Arial" w:eastAsiaTheme="majorEastAsia" w:hAnsi="Arial" w:cs="Arial"/>
                <w:color w:val="333333"/>
                <w:sz w:val="21"/>
                <w:szCs w:val="21"/>
              </w:rPr>
              <w:t>The origins of intelligence in children.</w:t>
            </w:r>
            <w:r>
              <w:rPr>
                <w:rStyle w:val="apple-converted-space"/>
                <w:rFonts w:ascii="Arial" w:eastAsiaTheme="majorEastAsia" w:hAnsi="Arial" w:cs="Arial"/>
                <w:color w:val="333333"/>
                <w:sz w:val="21"/>
                <w:szCs w:val="21"/>
                <w:shd w:val="clear" w:color="auto" w:fill="FFFFFF"/>
              </w:rPr>
              <w:t> </w:t>
            </w:r>
            <w:r>
              <w:rPr>
                <w:rFonts w:ascii="Arial" w:hAnsi="Arial" w:cs="Arial"/>
                <w:color w:val="333333"/>
                <w:sz w:val="21"/>
                <w:szCs w:val="21"/>
                <w:shd w:val="clear" w:color="auto" w:fill="FFFFFF"/>
              </w:rPr>
              <w:t>(M. Cook, Trans.). W. W. Norton &amp; Company.</w:t>
            </w:r>
            <w:r>
              <w:rPr>
                <w:rStyle w:val="apple-converted-space"/>
                <w:rFonts w:ascii="Arial" w:eastAsiaTheme="majorEastAsia" w:hAnsi="Arial" w:cs="Arial"/>
                <w:color w:val="333333"/>
                <w:sz w:val="21"/>
                <w:szCs w:val="21"/>
                <w:shd w:val="clear" w:color="auto" w:fill="FFFFFF"/>
              </w:rPr>
              <w:t> </w:t>
            </w:r>
            <w:hyperlink r:id="rId5" w:tgtFrame="_blank" w:history="1">
              <w:r>
                <w:rPr>
                  <w:rStyle w:val="Hyperlink"/>
                  <w:rFonts w:ascii="Arial" w:eastAsiaTheme="majorEastAsia" w:hAnsi="Arial" w:cs="Arial"/>
                  <w:color w:val="2C72B7"/>
                  <w:sz w:val="21"/>
                  <w:szCs w:val="21"/>
                </w:rPr>
                <w:t>https://doi.org/10.1037/11494-000</w:t>
              </w:r>
            </w:hyperlink>
          </w:p>
          <w:p w14:paraId="499443C8" w14:textId="77777777" w:rsidR="00173C8E" w:rsidRDefault="00173C8E" w:rsidP="00173C8E">
            <w:pPr>
              <w:rPr>
                <w:rFonts w:ascii="Arial" w:hAnsi="Arial" w:cs="Arial"/>
                <w:b/>
                <w:bCs/>
                <w:sz w:val="22"/>
                <w:szCs w:val="22"/>
                <w:u w:val="single"/>
              </w:rPr>
            </w:pPr>
            <w:r>
              <w:rPr>
                <w:rFonts w:ascii="Arial" w:hAnsi="Arial" w:cs="Arial"/>
                <w:color w:val="333333"/>
                <w:sz w:val="21"/>
                <w:szCs w:val="21"/>
                <w:shd w:val="clear" w:color="auto" w:fill="FFFFFF"/>
              </w:rPr>
              <w:t xml:space="preserve">Lourenço, O., &amp; Machado, A. (1996). In </w:t>
            </w:r>
            <w:proofErr w:type="spellStart"/>
            <w:r>
              <w:rPr>
                <w:rFonts w:ascii="Arial" w:hAnsi="Arial" w:cs="Arial"/>
                <w:color w:val="333333"/>
                <w:sz w:val="21"/>
                <w:szCs w:val="21"/>
                <w:shd w:val="clear" w:color="auto" w:fill="FFFFFF"/>
              </w:rPr>
              <w:t>defense</w:t>
            </w:r>
            <w:proofErr w:type="spellEnd"/>
            <w:r>
              <w:rPr>
                <w:rFonts w:ascii="Arial" w:hAnsi="Arial" w:cs="Arial"/>
                <w:color w:val="333333"/>
                <w:sz w:val="21"/>
                <w:szCs w:val="21"/>
                <w:shd w:val="clear" w:color="auto" w:fill="FFFFFF"/>
              </w:rPr>
              <w:t xml:space="preserve"> of Piaget's theory: A reply to 10 common criticisms.</w:t>
            </w:r>
            <w:r>
              <w:rPr>
                <w:rStyle w:val="apple-converted-space"/>
                <w:rFonts w:ascii="Arial" w:eastAsiaTheme="majorEastAsia" w:hAnsi="Arial" w:cs="Arial"/>
                <w:color w:val="333333"/>
                <w:sz w:val="21"/>
                <w:szCs w:val="21"/>
                <w:shd w:val="clear" w:color="auto" w:fill="FFFFFF"/>
              </w:rPr>
              <w:t> </w:t>
            </w:r>
            <w:r>
              <w:rPr>
                <w:rStyle w:val="Emphasis"/>
                <w:rFonts w:ascii="Arial" w:eastAsiaTheme="majorEastAsia" w:hAnsi="Arial" w:cs="Arial"/>
                <w:color w:val="333333"/>
                <w:sz w:val="21"/>
                <w:szCs w:val="21"/>
              </w:rPr>
              <w:t>Psychological Review, 103</w:t>
            </w:r>
            <w:r>
              <w:rPr>
                <w:rFonts w:ascii="Arial" w:hAnsi="Arial" w:cs="Arial"/>
                <w:color w:val="333333"/>
                <w:sz w:val="21"/>
                <w:szCs w:val="21"/>
                <w:shd w:val="clear" w:color="auto" w:fill="FFFFFF"/>
              </w:rPr>
              <w:t>(1), 143–164.</w:t>
            </w:r>
            <w:r>
              <w:rPr>
                <w:rStyle w:val="apple-converted-space"/>
                <w:rFonts w:ascii="Arial" w:eastAsiaTheme="majorEastAsia" w:hAnsi="Arial" w:cs="Arial"/>
                <w:color w:val="333333"/>
                <w:sz w:val="21"/>
                <w:szCs w:val="21"/>
                <w:shd w:val="clear" w:color="auto" w:fill="FFFFFF"/>
              </w:rPr>
              <w:t> </w:t>
            </w:r>
            <w:hyperlink r:id="rId6" w:tgtFrame="_blank" w:history="1">
              <w:r>
                <w:rPr>
                  <w:rStyle w:val="Hyperlink"/>
                  <w:rFonts w:ascii="Arial" w:eastAsiaTheme="majorEastAsia" w:hAnsi="Arial" w:cs="Arial"/>
                  <w:color w:val="2C72B7"/>
                  <w:sz w:val="21"/>
                  <w:szCs w:val="21"/>
                </w:rPr>
                <w:t>https://doi.org/10.1037/0033-295X.103.1.143</w:t>
              </w:r>
            </w:hyperlink>
          </w:p>
          <w:p w14:paraId="5CAE4116" w14:textId="6BE70D6C" w:rsidR="00440A0A" w:rsidRPr="00406324" w:rsidRDefault="00440A0A" w:rsidP="00440A0A">
            <w:pPr>
              <w:rPr>
                <w:rFonts w:ascii="Arial" w:hAnsi="Arial" w:cs="Arial"/>
                <w:sz w:val="22"/>
                <w:szCs w:val="22"/>
              </w:rPr>
            </w:pPr>
          </w:p>
        </w:tc>
      </w:tr>
      <w:tr w:rsidR="00440A0A" w14:paraId="354AB1E9" w14:textId="77777777" w:rsidTr="00440A0A">
        <w:trPr>
          <w:trHeight w:val="106"/>
        </w:trPr>
        <w:tc>
          <w:tcPr>
            <w:tcW w:w="4885" w:type="dxa"/>
          </w:tcPr>
          <w:p w14:paraId="41CBBABB" w14:textId="77777777" w:rsidR="00440A0A" w:rsidRDefault="00440A0A" w:rsidP="00440A0A">
            <w:pPr>
              <w:rPr>
                <w:rFonts w:ascii="Arial" w:hAnsi="Arial" w:cs="Arial"/>
                <w:sz w:val="22"/>
                <w:szCs w:val="22"/>
              </w:rPr>
            </w:pPr>
            <w:r>
              <w:rPr>
                <w:rFonts w:ascii="Arial" w:hAnsi="Arial" w:cs="Arial"/>
                <w:sz w:val="22"/>
                <w:szCs w:val="22"/>
              </w:rPr>
              <w:t>Theory</w:t>
            </w:r>
          </w:p>
          <w:p w14:paraId="3FC75D2B" w14:textId="77777777" w:rsidR="00440A0A" w:rsidRDefault="00440A0A" w:rsidP="00440A0A">
            <w:pPr>
              <w:rPr>
                <w:rFonts w:ascii="Arial" w:hAnsi="Arial" w:cs="Arial"/>
                <w:sz w:val="22"/>
                <w:szCs w:val="22"/>
              </w:rPr>
            </w:pPr>
            <w:r>
              <w:rPr>
                <w:rFonts w:ascii="Arial" w:hAnsi="Arial" w:cs="Arial"/>
                <w:sz w:val="22"/>
                <w:szCs w:val="22"/>
              </w:rPr>
              <w:t>Psychodynamic</w:t>
            </w:r>
          </w:p>
          <w:p w14:paraId="5E4E0E2A" w14:textId="77777777" w:rsidR="00440A0A" w:rsidRDefault="00440A0A" w:rsidP="00440A0A">
            <w:pPr>
              <w:rPr>
                <w:rFonts w:ascii="Arial" w:hAnsi="Arial" w:cs="Arial"/>
                <w:sz w:val="22"/>
                <w:szCs w:val="22"/>
              </w:rPr>
            </w:pPr>
            <w:r>
              <w:rPr>
                <w:rFonts w:ascii="Arial" w:hAnsi="Arial" w:cs="Arial"/>
                <w:sz w:val="22"/>
                <w:szCs w:val="22"/>
              </w:rPr>
              <w:t xml:space="preserve">Week </w:t>
            </w:r>
          </w:p>
          <w:p w14:paraId="73824F66" w14:textId="77777777" w:rsidR="00440A0A" w:rsidRDefault="00440A0A" w:rsidP="00440A0A">
            <w:pPr>
              <w:rPr>
                <w:rFonts w:ascii="Arial" w:hAnsi="Arial" w:cs="Arial"/>
                <w:sz w:val="22"/>
                <w:szCs w:val="22"/>
              </w:rPr>
            </w:pPr>
            <w:r>
              <w:rPr>
                <w:rFonts w:ascii="Arial" w:hAnsi="Arial" w:cs="Arial"/>
                <w:sz w:val="22"/>
                <w:szCs w:val="22"/>
              </w:rPr>
              <w:t>7-9</w:t>
            </w:r>
          </w:p>
        </w:tc>
        <w:tc>
          <w:tcPr>
            <w:tcW w:w="5821" w:type="dxa"/>
          </w:tcPr>
          <w:p w14:paraId="103AF375" w14:textId="77777777" w:rsidR="003D6FAC" w:rsidRPr="00173C8E" w:rsidRDefault="003D6FAC" w:rsidP="003D6FAC">
            <w:pPr>
              <w:rPr>
                <w:rFonts w:ascii="Arial" w:hAnsi="Arial" w:cs="Arial"/>
                <w:b/>
                <w:bCs/>
                <w:sz w:val="21"/>
                <w:szCs w:val="21"/>
                <w:u w:val="single"/>
              </w:rPr>
            </w:pPr>
            <w:r w:rsidRPr="00173C8E">
              <w:rPr>
                <w:rFonts w:ascii="Arial" w:hAnsi="Arial" w:cs="Arial"/>
                <w:color w:val="333333"/>
                <w:sz w:val="22"/>
                <w:szCs w:val="22"/>
                <w:shd w:val="clear" w:color="auto" w:fill="FFFFFF"/>
              </w:rPr>
              <w:t xml:space="preserve">Freud, S. (1989). The Ego </w:t>
            </w:r>
            <w:proofErr w:type="gramStart"/>
            <w:r w:rsidRPr="00173C8E">
              <w:rPr>
                <w:rFonts w:ascii="Arial" w:hAnsi="Arial" w:cs="Arial"/>
                <w:color w:val="333333"/>
                <w:sz w:val="22"/>
                <w:szCs w:val="22"/>
                <w:shd w:val="clear" w:color="auto" w:fill="FFFFFF"/>
              </w:rPr>
              <w:t>And</w:t>
            </w:r>
            <w:proofErr w:type="gramEnd"/>
            <w:r w:rsidRPr="00173C8E">
              <w:rPr>
                <w:rFonts w:ascii="Arial" w:hAnsi="Arial" w:cs="Arial"/>
                <w:color w:val="333333"/>
                <w:sz w:val="22"/>
                <w:szCs w:val="22"/>
                <w:shd w:val="clear" w:color="auto" w:fill="FFFFFF"/>
              </w:rPr>
              <w:t xml:space="preserve"> </w:t>
            </w:r>
            <w:proofErr w:type="gramStart"/>
            <w:r w:rsidRPr="00173C8E">
              <w:rPr>
                <w:rFonts w:ascii="Arial" w:hAnsi="Arial" w:cs="Arial"/>
                <w:color w:val="333333"/>
                <w:sz w:val="22"/>
                <w:szCs w:val="22"/>
                <w:shd w:val="clear" w:color="auto" w:fill="FFFFFF"/>
              </w:rPr>
              <w:t>The</w:t>
            </w:r>
            <w:proofErr w:type="gramEnd"/>
            <w:r w:rsidRPr="00173C8E">
              <w:rPr>
                <w:rFonts w:ascii="Arial" w:hAnsi="Arial" w:cs="Arial"/>
                <w:color w:val="333333"/>
                <w:sz w:val="22"/>
                <w:szCs w:val="22"/>
                <w:shd w:val="clear" w:color="auto" w:fill="FFFFFF"/>
              </w:rPr>
              <w:t xml:space="preserve"> Id (1923).</w:t>
            </w:r>
            <w:r w:rsidRPr="00173C8E">
              <w:rPr>
                <w:rStyle w:val="apple-converted-space"/>
                <w:rFonts w:ascii="Arial" w:eastAsiaTheme="majorEastAsia" w:hAnsi="Arial" w:cs="Arial"/>
                <w:color w:val="333333"/>
                <w:sz w:val="22"/>
                <w:szCs w:val="22"/>
                <w:shd w:val="clear" w:color="auto" w:fill="FFFFFF"/>
              </w:rPr>
              <w:t> </w:t>
            </w:r>
            <w:r w:rsidRPr="00173C8E">
              <w:rPr>
                <w:rFonts w:ascii="Arial" w:hAnsi="Arial" w:cs="Arial"/>
                <w:i/>
                <w:iCs/>
                <w:color w:val="333333"/>
                <w:sz w:val="22"/>
                <w:szCs w:val="22"/>
              </w:rPr>
              <w:t>TACD Journal</w:t>
            </w:r>
            <w:r w:rsidRPr="00173C8E">
              <w:rPr>
                <w:rFonts w:ascii="Arial" w:hAnsi="Arial" w:cs="Arial"/>
                <w:color w:val="333333"/>
                <w:sz w:val="22"/>
                <w:szCs w:val="22"/>
                <w:shd w:val="clear" w:color="auto" w:fill="FFFFFF"/>
              </w:rPr>
              <w:t>,</w:t>
            </w:r>
            <w:r w:rsidRPr="00173C8E">
              <w:rPr>
                <w:rStyle w:val="apple-converted-space"/>
                <w:rFonts w:ascii="Arial" w:eastAsiaTheme="majorEastAsia" w:hAnsi="Arial" w:cs="Arial"/>
                <w:color w:val="333333"/>
                <w:sz w:val="22"/>
                <w:szCs w:val="22"/>
                <w:shd w:val="clear" w:color="auto" w:fill="FFFFFF"/>
              </w:rPr>
              <w:t> </w:t>
            </w:r>
            <w:r w:rsidRPr="00173C8E">
              <w:rPr>
                <w:rFonts w:ascii="Arial" w:hAnsi="Arial" w:cs="Arial"/>
                <w:i/>
                <w:iCs/>
                <w:color w:val="333333"/>
                <w:sz w:val="22"/>
                <w:szCs w:val="22"/>
              </w:rPr>
              <w:t>17</w:t>
            </w:r>
            <w:r w:rsidRPr="00173C8E">
              <w:rPr>
                <w:rFonts w:ascii="Arial" w:hAnsi="Arial" w:cs="Arial"/>
                <w:color w:val="333333"/>
                <w:sz w:val="22"/>
                <w:szCs w:val="22"/>
                <w:shd w:val="clear" w:color="auto" w:fill="FFFFFF"/>
              </w:rPr>
              <w:t>(1), 5–22. https://doi.org/10.1080/1046171X.1989.12034344</w:t>
            </w:r>
          </w:p>
          <w:p w14:paraId="409A8F6B" w14:textId="77777777" w:rsidR="003D6FAC" w:rsidRDefault="003D6FAC" w:rsidP="003D6FAC">
            <w:pPr>
              <w:rPr>
                <w:rFonts w:ascii="Arial" w:hAnsi="Arial" w:cs="Arial"/>
                <w:b/>
                <w:bCs/>
                <w:sz w:val="22"/>
                <w:szCs w:val="22"/>
                <w:u w:val="single"/>
              </w:rPr>
            </w:pPr>
            <w:r>
              <w:rPr>
                <w:rFonts w:ascii="Arial" w:hAnsi="Arial" w:cs="Arial"/>
                <w:color w:val="333333"/>
                <w:sz w:val="21"/>
                <w:szCs w:val="21"/>
                <w:shd w:val="clear" w:color="auto" w:fill="FFFFFF"/>
              </w:rPr>
              <w:t>Bowlby, J. (1982). Attachment and loss: Retrospect and prospect.</w:t>
            </w:r>
            <w:r>
              <w:rPr>
                <w:rStyle w:val="apple-converted-space"/>
                <w:rFonts w:ascii="Arial" w:eastAsiaTheme="majorEastAsia" w:hAnsi="Arial" w:cs="Arial"/>
                <w:color w:val="333333"/>
                <w:sz w:val="21"/>
                <w:szCs w:val="21"/>
                <w:shd w:val="clear" w:color="auto" w:fill="FFFFFF"/>
              </w:rPr>
              <w:t> </w:t>
            </w:r>
            <w:r>
              <w:rPr>
                <w:rStyle w:val="Emphasis"/>
                <w:rFonts w:ascii="Arial" w:eastAsiaTheme="majorEastAsia" w:hAnsi="Arial" w:cs="Arial"/>
                <w:color w:val="333333"/>
                <w:sz w:val="21"/>
                <w:szCs w:val="21"/>
              </w:rPr>
              <w:t>American Journal of Orthopsychiatry, 52</w:t>
            </w:r>
            <w:r>
              <w:rPr>
                <w:rFonts w:ascii="Arial" w:hAnsi="Arial" w:cs="Arial"/>
                <w:color w:val="333333"/>
                <w:sz w:val="21"/>
                <w:szCs w:val="21"/>
                <w:shd w:val="clear" w:color="auto" w:fill="FFFFFF"/>
              </w:rPr>
              <w:t>(4), 664–678.</w:t>
            </w:r>
            <w:r>
              <w:rPr>
                <w:rStyle w:val="apple-converted-space"/>
                <w:rFonts w:ascii="Arial" w:eastAsiaTheme="majorEastAsia" w:hAnsi="Arial" w:cs="Arial"/>
                <w:color w:val="333333"/>
                <w:sz w:val="21"/>
                <w:szCs w:val="21"/>
                <w:shd w:val="clear" w:color="auto" w:fill="FFFFFF"/>
              </w:rPr>
              <w:t> </w:t>
            </w:r>
            <w:hyperlink r:id="rId7" w:tgtFrame="_blank" w:history="1">
              <w:r>
                <w:rPr>
                  <w:rStyle w:val="Hyperlink"/>
                  <w:rFonts w:ascii="Arial" w:eastAsiaTheme="majorEastAsia" w:hAnsi="Arial" w:cs="Arial"/>
                  <w:color w:val="2C72B7"/>
                  <w:sz w:val="21"/>
                  <w:szCs w:val="21"/>
                </w:rPr>
                <w:t>https://doi.org/10.1111/j.1939-0025.1982.tb01456.x</w:t>
              </w:r>
            </w:hyperlink>
          </w:p>
          <w:p w14:paraId="047CD364" w14:textId="77777777" w:rsidR="003D6FAC" w:rsidRDefault="003D6FAC" w:rsidP="003D6FAC">
            <w:pPr>
              <w:rPr>
                <w:rFonts w:ascii="Arial" w:hAnsi="Arial" w:cs="Arial"/>
                <w:b/>
                <w:bCs/>
                <w:sz w:val="22"/>
                <w:szCs w:val="22"/>
                <w:u w:val="single"/>
              </w:rPr>
            </w:pPr>
          </w:p>
          <w:p w14:paraId="7DE780F2" w14:textId="77777777" w:rsidR="00440A0A" w:rsidRPr="00406324" w:rsidRDefault="00440A0A" w:rsidP="00440A0A">
            <w:pPr>
              <w:ind w:firstLine="720"/>
              <w:rPr>
                <w:rFonts w:ascii="Arial" w:hAnsi="Arial" w:cs="Arial"/>
                <w:sz w:val="22"/>
                <w:szCs w:val="22"/>
              </w:rPr>
            </w:pPr>
          </w:p>
        </w:tc>
      </w:tr>
    </w:tbl>
    <w:p w14:paraId="489785A7" w14:textId="77777777" w:rsidR="00440A0A" w:rsidRDefault="00440A0A" w:rsidP="005D42AA">
      <w:pPr>
        <w:rPr>
          <w:b/>
          <w:bCs/>
          <w:u w:val="single"/>
        </w:rPr>
      </w:pPr>
    </w:p>
    <w:p w14:paraId="567D7996" w14:textId="283AEEB9" w:rsidR="00406324" w:rsidRPr="003D6FAC" w:rsidRDefault="00406324" w:rsidP="00406324">
      <w:pPr>
        <w:rPr>
          <w:rFonts w:ascii="Arial" w:hAnsi="Arial" w:cs="Arial"/>
          <w:sz w:val="22"/>
          <w:szCs w:val="22"/>
        </w:rPr>
      </w:pPr>
      <w:r w:rsidRPr="000D5C5E">
        <w:rPr>
          <w:b/>
          <w:bCs/>
          <w:u w:val="single"/>
        </w:rPr>
        <w:t>Bibliography</w:t>
      </w:r>
    </w:p>
    <w:p w14:paraId="2EA715F7" w14:textId="77777777" w:rsidR="005D42AA" w:rsidRPr="005B2062" w:rsidRDefault="005D42AA" w:rsidP="005D42AA">
      <w:pPr>
        <w:rPr>
          <w:rFonts w:ascii="Arial" w:hAnsi="Arial" w:cs="Arial"/>
          <w:sz w:val="22"/>
          <w:szCs w:val="22"/>
        </w:rPr>
      </w:pPr>
    </w:p>
    <w:p w14:paraId="5B027221" w14:textId="1B6040C7" w:rsidR="005D42AA" w:rsidRPr="005B2062" w:rsidRDefault="005D42AA" w:rsidP="005D42AA">
      <w:pPr>
        <w:rPr>
          <w:rFonts w:ascii="Arial" w:hAnsi="Arial" w:cs="Arial"/>
          <w:color w:val="000000"/>
          <w:sz w:val="22"/>
          <w:szCs w:val="22"/>
        </w:rPr>
      </w:pPr>
      <w:r w:rsidRPr="005B2062">
        <w:rPr>
          <w:rFonts w:ascii="Arial" w:hAnsi="Arial" w:cs="Arial"/>
          <w:sz w:val="22"/>
          <w:szCs w:val="22"/>
        </w:rPr>
        <w:t xml:space="preserve">Now on to the </w:t>
      </w:r>
      <w:r w:rsidR="00302395">
        <w:rPr>
          <w:rFonts w:ascii="Arial" w:hAnsi="Arial" w:cs="Arial"/>
          <w:sz w:val="22"/>
          <w:szCs w:val="22"/>
        </w:rPr>
        <w:t>first</w:t>
      </w:r>
      <w:r w:rsidRPr="005B2062">
        <w:rPr>
          <w:rFonts w:ascii="Arial" w:hAnsi="Arial" w:cs="Arial"/>
          <w:sz w:val="22"/>
          <w:szCs w:val="22"/>
        </w:rPr>
        <w:t xml:space="preserve"> theory Which is Jean </w:t>
      </w:r>
      <w:r w:rsidR="00610970" w:rsidRPr="005B2062">
        <w:rPr>
          <w:rFonts w:ascii="Arial" w:hAnsi="Arial" w:cs="Arial"/>
          <w:sz w:val="22"/>
          <w:szCs w:val="22"/>
        </w:rPr>
        <w:t>Piaget</w:t>
      </w:r>
      <w:r w:rsidRPr="005B2062">
        <w:rPr>
          <w:rFonts w:ascii="Arial" w:hAnsi="Arial" w:cs="Arial"/>
          <w:sz w:val="22"/>
          <w:szCs w:val="22"/>
        </w:rPr>
        <w:t xml:space="preserve"> cognitive perspectives The two that go over this theory are </w:t>
      </w:r>
      <w:r w:rsidRPr="005B2062">
        <w:rPr>
          <w:rFonts w:ascii="Arial" w:hAnsi="Arial" w:cs="Arial"/>
          <w:color w:val="000000"/>
          <w:sz w:val="22"/>
          <w:szCs w:val="22"/>
        </w:rPr>
        <w:t>Piaget, J. (1952) and Lourenço, O. &amp; Machado, A. (1996) For the first source the origins of intelligence in children it outlines the author's central argument that cognitive development occurs through our child development through a sequence of universal stages which all the sensorimotor</w:t>
      </w:r>
      <w:r w:rsidRPr="005B2062">
        <w:rPr>
          <w:rFonts w:ascii="-webkit-standard" w:hAnsi="-webkit-standard"/>
          <w:color w:val="000000"/>
          <w:sz w:val="22"/>
          <w:szCs w:val="22"/>
        </w:rPr>
        <w:t xml:space="preserve"> </w:t>
      </w:r>
      <w:r w:rsidRPr="005B2062">
        <w:rPr>
          <w:rFonts w:ascii="Arial" w:hAnsi="Arial" w:cs="Arial"/>
          <w:color w:val="000000"/>
          <w:sz w:val="22"/>
          <w:szCs w:val="22"/>
        </w:rPr>
        <w:t xml:space="preserve">preoperational concrete operational and formal operational The offer proposals that individuals actively construct knowledge throughout their adolescence by actively interacting with their environment full post list of assimilation and accommodation this development is driven by the need for cognitive equilibrium where the child seek to balance between their understanding of the world and new experiences this work emphasises that thinking becomes more logical and abstract and flexible as one grows up. </w:t>
      </w:r>
    </w:p>
    <w:p w14:paraId="07E14E2F" w14:textId="77777777" w:rsidR="005D42AA" w:rsidRPr="005B2062" w:rsidRDefault="005D42AA" w:rsidP="005D42AA">
      <w:pPr>
        <w:rPr>
          <w:rFonts w:ascii="Arial" w:hAnsi="Arial" w:cs="Arial"/>
          <w:color w:val="000000"/>
          <w:sz w:val="22"/>
          <w:szCs w:val="22"/>
        </w:rPr>
      </w:pPr>
      <w:r w:rsidRPr="005B2062">
        <w:rPr>
          <w:rFonts w:ascii="Arial" w:hAnsi="Arial" w:cs="Arial"/>
          <w:color w:val="000000"/>
          <w:sz w:val="22"/>
          <w:szCs w:val="22"/>
        </w:rPr>
        <w:t xml:space="preserve">The second source defends the first by revisiting Piaget’s fairy and defends it against criticisms particularly the major claim that he underestimates children's abilities the office of this source argues that despite its reservations the theory framework remains valuable for understanding how reasoning developed quantitatively and not just qualitatively as the highlight that as one grows development involve structural changes in thinking patterns rather than gaining more knowledge and that the furious developmental stages provide a youthful though sometimes festival guide understanding the stages of cognition. </w:t>
      </w:r>
    </w:p>
    <w:p w14:paraId="69810DA8" w14:textId="77777777" w:rsidR="005D42AA" w:rsidRPr="005B2062" w:rsidRDefault="005D42AA" w:rsidP="005D42AA">
      <w:pPr>
        <w:rPr>
          <w:rFonts w:ascii="Arial" w:hAnsi="Arial" w:cs="Arial"/>
          <w:color w:val="000000"/>
          <w:sz w:val="22"/>
          <w:szCs w:val="22"/>
        </w:rPr>
      </w:pPr>
      <w:r w:rsidRPr="005B2062">
        <w:rPr>
          <w:rFonts w:ascii="Arial" w:hAnsi="Arial" w:cs="Arial"/>
          <w:color w:val="000000"/>
          <w:sz w:val="22"/>
          <w:szCs w:val="22"/>
        </w:rPr>
        <w:t>Now on to the critical comment and relevant to older adults although the theory does mainly focus on childhood it still has quite a few points of relevantly in older adults as the idea that individuals actively construct understandings can inform approaches to patient education and rehabilitation as well as promoting more independence for example a healthcare professional can adapt communication to match an individual's level of cognitive functioning sadly for older adults with conditions such as dementia as not to overwhelm them ensuring that the information if meaningful and manageable. However the theory does have clear limitations in this context the food did not account for cognitive decline or ageing as it focuses instead on development towards adult reasoning his stages models assumes that there will always be a progression rather than a regression which does not line up with the realities of ageing populations therefore while aspects of the theory are useful is less comprehensive for older adults in care and should be combined with another theory that does tackle these aspects.</w:t>
      </w:r>
    </w:p>
    <w:p w14:paraId="16F5C2CC" w14:textId="17727E88" w:rsidR="005D42AA" w:rsidRDefault="00173C8E" w:rsidP="005D42AA">
      <w:pPr>
        <w:rPr>
          <w:rFonts w:ascii="Arial" w:hAnsi="Arial" w:cs="Arial"/>
          <w:b/>
          <w:bCs/>
          <w:sz w:val="22"/>
          <w:szCs w:val="22"/>
          <w:u w:val="single"/>
        </w:rPr>
      </w:pPr>
      <w:r>
        <w:rPr>
          <w:rFonts w:ascii="Arial" w:hAnsi="Arial" w:cs="Arial"/>
          <w:color w:val="333333"/>
          <w:sz w:val="21"/>
          <w:szCs w:val="21"/>
          <w:shd w:val="clear" w:color="auto" w:fill="FFFFFF"/>
        </w:rPr>
        <w:lastRenderedPageBreak/>
        <w:t>Piaget, J. (1952).</w:t>
      </w:r>
      <w:r>
        <w:rPr>
          <w:rStyle w:val="apple-converted-space"/>
          <w:rFonts w:ascii="Arial" w:eastAsiaTheme="majorEastAsia" w:hAnsi="Arial" w:cs="Arial"/>
          <w:color w:val="333333"/>
          <w:sz w:val="21"/>
          <w:szCs w:val="21"/>
          <w:shd w:val="clear" w:color="auto" w:fill="FFFFFF"/>
        </w:rPr>
        <w:t> </w:t>
      </w:r>
      <w:r>
        <w:rPr>
          <w:rStyle w:val="Emphasis"/>
          <w:rFonts w:ascii="Arial" w:eastAsiaTheme="majorEastAsia" w:hAnsi="Arial" w:cs="Arial"/>
          <w:color w:val="333333"/>
          <w:sz w:val="21"/>
          <w:szCs w:val="21"/>
        </w:rPr>
        <w:t>The origins of intelligence in children.</w:t>
      </w:r>
      <w:r>
        <w:rPr>
          <w:rStyle w:val="apple-converted-space"/>
          <w:rFonts w:ascii="Arial" w:eastAsiaTheme="majorEastAsia" w:hAnsi="Arial" w:cs="Arial"/>
          <w:color w:val="333333"/>
          <w:sz w:val="21"/>
          <w:szCs w:val="21"/>
          <w:shd w:val="clear" w:color="auto" w:fill="FFFFFF"/>
        </w:rPr>
        <w:t> </w:t>
      </w:r>
      <w:r>
        <w:rPr>
          <w:rFonts w:ascii="Arial" w:hAnsi="Arial" w:cs="Arial"/>
          <w:color w:val="333333"/>
          <w:sz w:val="21"/>
          <w:szCs w:val="21"/>
          <w:shd w:val="clear" w:color="auto" w:fill="FFFFFF"/>
        </w:rPr>
        <w:t>(M. Cook, Trans.). W. W. Norton &amp; Company.</w:t>
      </w:r>
      <w:r>
        <w:rPr>
          <w:rStyle w:val="apple-converted-space"/>
          <w:rFonts w:ascii="Arial" w:eastAsiaTheme="majorEastAsia" w:hAnsi="Arial" w:cs="Arial"/>
          <w:color w:val="333333"/>
          <w:sz w:val="21"/>
          <w:szCs w:val="21"/>
          <w:shd w:val="clear" w:color="auto" w:fill="FFFFFF"/>
        </w:rPr>
        <w:t> </w:t>
      </w:r>
      <w:hyperlink r:id="rId8" w:tgtFrame="_blank" w:history="1">
        <w:r>
          <w:rPr>
            <w:rStyle w:val="Hyperlink"/>
            <w:rFonts w:ascii="Arial" w:eastAsiaTheme="majorEastAsia" w:hAnsi="Arial" w:cs="Arial"/>
            <w:color w:val="2C72B7"/>
            <w:sz w:val="21"/>
            <w:szCs w:val="21"/>
          </w:rPr>
          <w:t>https://do</w:t>
        </w:r>
        <w:r>
          <w:rPr>
            <w:rStyle w:val="Hyperlink"/>
            <w:rFonts w:ascii="Arial" w:eastAsiaTheme="majorEastAsia" w:hAnsi="Arial" w:cs="Arial"/>
            <w:color w:val="2C72B7"/>
            <w:sz w:val="21"/>
            <w:szCs w:val="21"/>
          </w:rPr>
          <w:t>i</w:t>
        </w:r>
        <w:r>
          <w:rPr>
            <w:rStyle w:val="Hyperlink"/>
            <w:rFonts w:ascii="Arial" w:eastAsiaTheme="majorEastAsia" w:hAnsi="Arial" w:cs="Arial"/>
            <w:color w:val="2C72B7"/>
            <w:sz w:val="21"/>
            <w:szCs w:val="21"/>
          </w:rPr>
          <w:t>.org/10.1037/11494-000</w:t>
        </w:r>
      </w:hyperlink>
    </w:p>
    <w:p w14:paraId="40632EF8" w14:textId="5F116985" w:rsidR="00302395" w:rsidRDefault="00173C8E" w:rsidP="005D42AA">
      <w:pPr>
        <w:rPr>
          <w:rFonts w:ascii="Arial" w:hAnsi="Arial" w:cs="Arial"/>
          <w:b/>
          <w:bCs/>
          <w:sz w:val="22"/>
          <w:szCs w:val="22"/>
          <w:u w:val="single"/>
        </w:rPr>
      </w:pPr>
      <w:r>
        <w:rPr>
          <w:rFonts w:ascii="Arial" w:hAnsi="Arial" w:cs="Arial"/>
          <w:color w:val="333333"/>
          <w:sz w:val="21"/>
          <w:szCs w:val="21"/>
          <w:shd w:val="clear" w:color="auto" w:fill="FFFFFF"/>
        </w:rPr>
        <w:t xml:space="preserve">Lourenço, O., &amp; Machado, A. (1996). In </w:t>
      </w:r>
      <w:proofErr w:type="spellStart"/>
      <w:r>
        <w:rPr>
          <w:rFonts w:ascii="Arial" w:hAnsi="Arial" w:cs="Arial"/>
          <w:color w:val="333333"/>
          <w:sz w:val="21"/>
          <w:szCs w:val="21"/>
          <w:shd w:val="clear" w:color="auto" w:fill="FFFFFF"/>
        </w:rPr>
        <w:t>defense</w:t>
      </w:r>
      <w:proofErr w:type="spellEnd"/>
      <w:r>
        <w:rPr>
          <w:rFonts w:ascii="Arial" w:hAnsi="Arial" w:cs="Arial"/>
          <w:color w:val="333333"/>
          <w:sz w:val="21"/>
          <w:szCs w:val="21"/>
          <w:shd w:val="clear" w:color="auto" w:fill="FFFFFF"/>
        </w:rPr>
        <w:t xml:space="preserve"> of Piaget's theory: A reply to 10 common criticisms.</w:t>
      </w:r>
      <w:r>
        <w:rPr>
          <w:rStyle w:val="apple-converted-space"/>
          <w:rFonts w:ascii="Arial" w:eastAsiaTheme="majorEastAsia" w:hAnsi="Arial" w:cs="Arial"/>
          <w:color w:val="333333"/>
          <w:sz w:val="21"/>
          <w:szCs w:val="21"/>
          <w:shd w:val="clear" w:color="auto" w:fill="FFFFFF"/>
        </w:rPr>
        <w:t> </w:t>
      </w:r>
      <w:r>
        <w:rPr>
          <w:rStyle w:val="Emphasis"/>
          <w:rFonts w:ascii="Arial" w:eastAsiaTheme="majorEastAsia" w:hAnsi="Arial" w:cs="Arial"/>
          <w:color w:val="333333"/>
          <w:sz w:val="21"/>
          <w:szCs w:val="21"/>
        </w:rPr>
        <w:t>Psychological Review, 103</w:t>
      </w:r>
      <w:r>
        <w:rPr>
          <w:rFonts w:ascii="Arial" w:hAnsi="Arial" w:cs="Arial"/>
          <w:color w:val="333333"/>
          <w:sz w:val="21"/>
          <w:szCs w:val="21"/>
          <w:shd w:val="clear" w:color="auto" w:fill="FFFFFF"/>
        </w:rPr>
        <w:t>(1), 143–164.</w:t>
      </w:r>
      <w:r>
        <w:rPr>
          <w:rStyle w:val="apple-converted-space"/>
          <w:rFonts w:ascii="Arial" w:eastAsiaTheme="majorEastAsia" w:hAnsi="Arial" w:cs="Arial"/>
          <w:color w:val="333333"/>
          <w:sz w:val="21"/>
          <w:szCs w:val="21"/>
          <w:shd w:val="clear" w:color="auto" w:fill="FFFFFF"/>
        </w:rPr>
        <w:t> </w:t>
      </w:r>
      <w:hyperlink r:id="rId9" w:tgtFrame="_blank" w:history="1">
        <w:r>
          <w:rPr>
            <w:rStyle w:val="Hyperlink"/>
            <w:rFonts w:ascii="Arial" w:eastAsiaTheme="majorEastAsia" w:hAnsi="Arial" w:cs="Arial"/>
            <w:color w:val="2C72B7"/>
            <w:sz w:val="21"/>
            <w:szCs w:val="21"/>
          </w:rPr>
          <w:t>https://doi.org/10.1037/0033-295X.103.1.143</w:t>
        </w:r>
      </w:hyperlink>
    </w:p>
    <w:p w14:paraId="02101296" w14:textId="77777777" w:rsidR="00302395" w:rsidRDefault="00302395" w:rsidP="005D42AA">
      <w:pPr>
        <w:rPr>
          <w:rFonts w:ascii="Arial" w:hAnsi="Arial" w:cs="Arial"/>
          <w:b/>
          <w:bCs/>
          <w:sz w:val="22"/>
          <w:szCs w:val="22"/>
          <w:u w:val="single"/>
        </w:rPr>
      </w:pPr>
    </w:p>
    <w:p w14:paraId="5F51D457" w14:textId="77777777" w:rsidR="00C273A9" w:rsidRDefault="00C273A9" w:rsidP="005D42AA">
      <w:pPr>
        <w:rPr>
          <w:rFonts w:ascii="Arial" w:hAnsi="Arial" w:cs="Arial"/>
          <w:sz w:val="22"/>
          <w:szCs w:val="22"/>
        </w:rPr>
      </w:pPr>
    </w:p>
    <w:p w14:paraId="3C7E5E19" w14:textId="77777777" w:rsidR="00C273A9" w:rsidRDefault="00C273A9" w:rsidP="005D42AA">
      <w:pPr>
        <w:rPr>
          <w:rFonts w:ascii="Arial" w:hAnsi="Arial" w:cs="Arial"/>
          <w:sz w:val="22"/>
          <w:szCs w:val="22"/>
        </w:rPr>
      </w:pPr>
    </w:p>
    <w:p w14:paraId="5245C257" w14:textId="77777777" w:rsidR="00C273A9" w:rsidRDefault="00C273A9" w:rsidP="005D42AA">
      <w:pPr>
        <w:rPr>
          <w:rFonts w:ascii="Arial" w:hAnsi="Arial" w:cs="Arial"/>
          <w:sz w:val="22"/>
          <w:szCs w:val="22"/>
        </w:rPr>
      </w:pPr>
    </w:p>
    <w:p w14:paraId="7A271E74" w14:textId="77777777" w:rsidR="00C273A9" w:rsidRDefault="00C273A9" w:rsidP="005D42AA">
      <w:pPr>
        <w:rPr>
          <w:rFonts w:ascii="Arial" w:hAnsi="Arial" w:cs="Arial"/>
          <w:sz w:val="22"/>
          <w:szCs w:val="22"/>
        </w:rPr>
      </w:pPr>
    </w:p>
    <w:p w14:paraId="19057CFA" w14:textId="127A1DB6" w:rsidR="00302395" w:rsidRPr="009D54C6" w:rsidRDefault="00302395" w:rsidP="005D42AA">
      <w:pPr>
        <w:rPr>
          <w:rFonts w:ascii="Arial" w:hAnsi="Arial" w:cs="Arial"/>
          <w:sz w:val="22"/>
          <w:szCs w:val="22"/>
        </w:rPr>
      </w:pPr>
      <w:r w:rsidRPr="009D54C6">
        <w:rPr>
          <w:rFonts w:ascii="Arial" w:hAnsi="Arial" w:cs="Arial"/>
          <w:sz w:val="22"/>
          <w:szCs w:val="22"/>
        </w:rPr>
        <w:t>Now on to the second</w:t>
      </w:r>
      <w:r w:rsidR="00C273A9" w:rsidRPr="009D54C6">
        <w:rPr>
          <w:rFonts w:ascii="Arial" w:hAnsi="Arial" w:cs="Arial"/>
          <w:sz w:val="22"/>
          <w:szCs w:val="22"/>
        </w:rPr>
        <w:t xml:space="preserve"> which is the psychodynamic theory which explains that behaviour is created through unconscious processes, internal conflict and the lasting impact of early relationships such </w:t>
      </w:r>
      <w:r w:rsidR="00610970" w:rsidRPr="009D54C6">
        <w:rPr>
          <w:rFonts w:ascii="Arial" w:hAnsi="Arial" w:cs="Arial"/>
          <w:sz w:val="22"/>
          <w:szCs w:val="22"/>
        </w:rPr>
        <w:t>one’s</w:t>
      </w:r>
      <w:r w:rsidR="00C273A9" w:rsidRPr="009D54C6">
        <w:rPr>
          <w:rFonts w:ascii="Arial" w:hAnsi="Arial" w:cs="Arial"/>
          <w:sz w:val="22"/>
          <w:szCs w:val="22"/>
        </w:rPr>
        <w:t xml:space="preserve"> parents. One key source for this is Sigmund Freud book the ego and id(192</w:t>
      </w:r>
      <w:r w:rsidR="00173C8E">
        <w:rPr>
          <w:rFonts w:ascii="Arial" w:hAnsi="Arial" w:cs="Arial"/>
          <w:sz w:val="22"/>
          <w:szCs w:val="22"/>
        </w:rPr>
        <w:t>8</w:t>
      </w:r>
      <w:r w:rsidR="00C273A9" w:rsidRPr="009D54C6">
        <w:rPr>
          <w:rFonts w:ascii="Arial" w:hAnsi="Arial" w:cs="Arial"/>
          <w:sz w:val="22"/>
          <w:szCs w:val="22"/>
        </w:rPr>
        <w:t xml:space="preserve">) where in the author Freud proposes that the structural model of the mind is divided into intellectual drives the ego and the super ego or internal moral standards he argues that much of human behaviour is driven by unconscious conflict particularly between one more primitive desires and societies wide expectations and so defence mechanisms such as repression and denial are used by the ego to manage the anxiety that arises from the conflict. The next source is John Bowlby attachment and loss(1969) whereas the author build on the cycle diamond ideas by placing greater emphasis on real life relationship rather than purely internal drive the offer argues the early interacting with caregivers form the basis that shapes in individuals expectations for relationship throughout life secure more stable attachment lead to healthier emotional development and more stable relationships and emotional development while insecure in judgement can result in difficulties with trust intimacy and emotion no regulation together these two sources highlight the key psychodynamic themes of enduring influences of early childhood and the importance of the unconscious or internal life positive as both authors focused on different aspects of the same question we thought more focused on the internal psychic conflict while </w:t>
      </w:r>
      <w:r w:rsidR="00610970" w:rsidRPr="009D54C6">
        <w:rPr>
          <w:rFonts w:ascii="Arial" w:hAnsi="Arial" w:cs="Arial"/>
          <w:sz w:val="22"/>
          <w:szCs w:val="22"/>
        </w:rPr>
        <w:t>Bowlby</w:t>
      </w:r>
      <w:r w:rsidR="00C273A9" w:rsidRPr="009D54C6">
        <w:rPr>
          <w:rFonts w:ascii="Arial" w:hAnsi="Arial" w:cs="Arial"/>
          <w:sz w:val="22"/>
          <w:szCs w:val="22"/>
        </w:rPr>
        <w:t xml:space="preserve"> integrate one environment and relational factors. A critical evaluation of Freud theory </w:t>
      </w:r>
      <w:r w:rsidR="009D54C6" w:rsidRPr="009D54C6">
        <w:rPr>
          <w:rFonts w:ascii="Arial" w:hAnsi="Arial" w:cs="Arial"/>
          <w:sz w:val="22"/>
          <w:szCs w:val="22"/>
        </w:rPr>
        <w:t>In relation to supporting older adults in care is that while it provides valuable insights into behaviours such as why someone would be resistant to care or have higher amount of anxiety or while they are more withdrawn which may stem from unconscious fears or unresolved conflicts Freuds theory has its limitations as it lacks strong empirical evidence and it overly life experiences or traumas social context and physical health conditions that may occur in older adult additionally the more abstract concepts of Freud theory can be difficult to apply directly in a fast case care setting despite this it core idea the past event and unconscious processes shape present behaviour remains relevant for promoting more person centred psychological informed care.</w:t>
      </w:r>
    </w:p>
    <w:p w14:paraId="3E709927" w14:textId="3875BDA9" w:rsidR="00302395" w:rsidRPr="00173C8E" w:rsidRDefault="00173C8E" w:rsidP="005D42AA">
      <w:pPr>
        <w:rPr>
          <w:rFonts w:ascii="Arial" w:hAnsi="Arial" w:cs="Arial"/>
          <w:b/>
          <w:bCs/>
          <w:sz w:val="21"/>
          <w:szCs w:val="21"/>
          <w:u w:val="single"/>
        </w:rPr>
      </w:pPr>
      <w:r w:rsidRPr="00173C8E">
        <w:rPr>
          <w:rFonts w:ascii="Arial" w:hAnsi="Arial" w:cs="Arial"/>
          <w:color w:val="333333"/>
          <w:sz w:val="22"/>
          <w:szCs w:val="22"/>
          <w:shd w:val="clear" w:color="auto" w:fill="FFFFFF"/>
        </w:rPr>
        <w:t xml:space="preserve">Freud, S. (1989). The Ego </w:t>
      </w:r>
      <w:proofErr w:type="gramStart"/>
      <w:r w:rsidRPr="00173C8E">
        <w:rPr>
          <w:rFonts w:ascii="Arial" w:hAnsi="Arial" w:cs="Arial"/>
          <w:color w:val="333333"/>
          <w:sz w:val="22"/>
          <w:szCs w:val="22"/>
          <w:shd w:val="clear" w:color="auto" w:fill="FFFFFF"/>
        </w:rPr>
        <w:t>And</w:t>
      </w:r>
      <w:proofErr w:type="gramEnd"/>
      <w:r w:rsidRPr="00173C8E">
        <w:rPr>
          <w:rFonts w:ascii="Arial" w:hAnsi="Arial" w:cs="Arial"/>
          <w:color w:val="333333"/>
          <w:sz w:val="22"/>
          <w:szCs w:val="22"/>
          <w:shd w:val="clear" w:color="auto" w:fill="FFFFFF"/>
        </w:rPr>
        <w:t xml:space="preserve"> </w:t>
      </w:r>
      <w:proofErr w:type="gramStart"/>
      <w:r w:rsidRPr="00173C8E">
        <w:rPr>
          <w:rFonts w:ascii="Arial" w:hAnsi="Arial" w:cs="Arial"/>
          <w:color w:val="333333"/>
          <w:sz w:val="22"/>
          <w:szCs w:val="22"/>
          <w:shd w:val="clear" w:color="auto" w:fill="FFFFFF"/>
        </w:rPr>
        <w:t>The</w:t>
      </w:r>
      <w:proofErr w:type="gramEnd"/>
      <w:r w:rsidRPr="00173C8E">
        <w:rPr>
          <w:rFonts w:ascii="Arial" w:hAnsi="Arial" w:cs="Arial"/>
          <w:color w:val="333333"/>
          <w:sz w:val="22"/>
          <w:szCs w:val="22"/>
          <w:shd w:val="clear" w:color="auto" w:fill="FFFFFF"/>
        </w:rPr>
        <w:t xml:space="preserve"> Id (1923).</w:t>
      </w:r>
      <w:r w:rsidRPr="00173C8E">
        <w:rPr>
          <w:rStyle w:val="apple-converted-space"/>
          <w:rFonts w:ascii="Arial" w:eastAsiaTheme="majorEastAsia" w:hAnsi="Arial" w:cs="Arial"/>
          <w:color w:val="333333"/>
          <w:sz w:val="22"/>
          <w:szCs w:val="22"/>
          <w:shd w:val="clear" w:color="auto" w:fill="FFFFFF"/>
        </w:rPr>
        <w:t> </w:t>
      </w:r>
      <w:r w:rsidRPr="00173C8E">
        <w:rPr>
          <w:rFonts w:ascii="Arial" w:hAnsi="Arial" w:cs="Arial"/>
          <w:i/>
          <w:iCs/>
          <w:color w:val="333333"/>
          <w:sz w:val="22"/>
          <w:szCs w:val="22"/>
        </w:rPr>
        <w:t>TACD Journal</w:t>
      </w:r>
      <w:r w:rsidRPr="00173C8E">
        <w:rPr>
          <w:rFonts w:ascii="Arial" w:hAnsi="Arial" w:cs="Arial"/>
          <w:color w:val="333333"/>
          <w:sz w:val="22"/>
          <w:szCs w:val="22"/>
          <w:shd w:val="clear" w:color="auto" w:fill="FFFFFF"/>
        </w:rPr>
        <w:t>,</w:t>
      </w:r>
      <w:r w:rsidRPr="00173C8E">
        <w:rPr>
          <w:rStyle w:val="apple-converted-space"/>
          <w:rFonts w:ascii="Arial" w:eastAsiaTheme="majorEastAsia" w:hAnsi="Arial" w:cs="Arial"/>
          <w:color w:val="333333"/>
          <w:sz w:val="22"/>
          <w:szCs w:val="22"/>
          <w:shd w:val="clear" w:color="auto" w:fill="FFFFFF"/>
        </w:rPr>
        <w:t> </w:t>
      </w:r>
      <w:r w:rsidRPr="00173C8E">
        <w:rPr>
          <w:rFonts w:ascii="Arial" w:hAnsi="Arial" w:cs="Arial"/>
          <w:i/>
          <w:iCs/>
          <w:color w:val="333333"/>
          <w:sz w:val="22"/>
          <w:szCs w:val="22"/>
        </w:rPr>
        <w:t>17</w:t>
      </w:r>
      <w:r w:rsidRPr="00173C8E">
        <w:rPr>
          <w:rFonts w:ascii="Arial" w:hAnsi="Arial" w:cs="Arial"/>
          <w:color w:val="333333"/>
          <w:sz w:val="22"/>
          <w:szCs w:val="22"/>
          <w:shd w:val="clear" w:color="auto" w:fill="FFFFFF"/>
        </w:rPr>
        <w:t>(1), 5–22. https://doi.org/10.1080/1046171X.1989.12034344</w:t>
      </w:r>
    </w:p>
    <w:p w14:paraId="44F3C3D6" w14:textId="3D29E5FB" w:rsidR="00302395" w:rsidRDefault="003D6FAC" w:rsidP="005D42AA">
      <w:pPr>
        <w:rPr>
          <w:rFonts w:ascii="Arial" w:hAnsi="Arial" w:cs="Arial"/>
          <w:b/>
          <w:bCs/>
          <w:sz w:val="22"/>
          <w:szCs w:val="22"/>
          <w:u w:val="single"/>
        </w:rPr>
      </w:pPr>
      <w:r>
        <w:rPr>
          <w:rFonts w:ascii="Arial" w:hAnsi="Arial" w:cs="Arial"/>
          <w:color w:val="333333"/>
          <w:sz w:val="21"/>
          <w:szCs w:val="21"/>
          <w:shd w:val="clear" w:color="auto" w:fill="FFFFFF"/>
        </w:rPr>
        <w:t>Bowlby, J. (1982). Attachment and loss: Retrospect and prospect.</w:t>
      </w:r>
      <w:r>
        <w:rPr>
          <w:rStyle w:val="apple-converted-space"/>
          <w:rFonts w:ascii="Arial" w:eastAsiaTheme="majorEastAsia" w:hAnsi="Arial" w:cs="Arial"/>
          <w:color w:val="333333"/>
          <w:sz w:val="21"/>
          <w:szCs w:val="21"/>
          <w:shd w:val="clear" w:color="auto" w:fill="FFFFFF"/>
        </w:rPr>
        <w:t> </w:t>
      </w:r>
      <w:r>
        <w:rPr>
          <w:rStyle w:val="Emphasis"/>
          <w:rFonts w:ascii="Arial" w:eastAsiaTheme="majorEastAsia" w:hAnsi="Arial" w:cs="Arial"/>
          <w:color w:val="333333"/>
          <w:sz w:val="21"/>
          <w:szCs w:val="21"/>
        </w:rPr>
        <w:t>American Journal of Orthopsychiatry, 52</w:t>
      </w:r>
      <w:r>
        <w:rPr>
          <w:rFonts w:ascii="Arial" w:hAnsi="Arial" w:cs="Arial"/>
          <w:color w:val="333333"/>
          <w:sz w:val="21"/>
          <w:szCs w:val="21"/>
          <w:shd w:val="clear" w:color="auto" w:fill="FFFFFF"/>
        </w:rPr>
        <w:t>(4), 664–678.</w:t>
      </w:r>
      <w:r>
        <w:rPr>
          <w:rStyle w:val="apple-converted-space"/>
          <w:rFonts w:ascii="Arial" w:eastAsiaTheme="majorEastAsia" w:hAnsi="Arial" w:cs="Arial"/>
          <w:color w:val="333333"/>
          <w:sz w:val="21"/>
          <w:szCs w:val="21"/>
          <w:shd w:val="clear" w:color="auto" w:fill="FFFFFF"/>
        </w:rPr>
        <w:t> </w:t>
      </w:r>
      <w:hyperlink r:id="rId10" w:tgtFrame="_blank" w:history="1">
        <w:r>
          <w:rPr>
            <w:rStyle w:val="Hyperlink"/>
            <w:rFonts w:ascii="Arial" w:eastAsiaTheme="majorEastAsia" w:hAnsi="Arial" w:cs="Arial"/>
            <w:color w:val="2C72B7"/>
            <w:sz w:val="21"/>
            <w:szCs w:val="21"/>
          </w:rPr>
          <w:t>https://doi.org/10.1111/j.1939-0025.1982.tb01456.x</w:t>
        </w:r>
      </w:hyperlink>
    </w:p>
    <w:p w14:paraId="3D56E867" w14:textId="77777777" w:rsidR="00302395" w:rsidRDefault="00302395" w:rsidP="005D42AA">
      <w:pPr>
        <w:rPr>
          <w:rFonts w:ascii="Arial" w:hAnsi="Arial" w:cs="Arial"/>
          <w:b/>
          <w:bCs/>
          <w:sz w:val="22"/>
          <w:szCs w:val="22"/>
          <w:u w:val="single"/>
        </w:rPr>
      </w:pPr>
    </w:p>
    <w:p w14:paraId="6D3EBAA3" w14:textId="56ACC6E3" w:rsidR="005D42AA" w:rsidRDefault="005D42AA" w:rsidP="005D42AA">
      <w:pPr>
        <w:rPr>
          <w:rFonts w:ascii="Arial" w:hAnsi="Arial" w:cs="Arial"/>
          <w:b/>
          <w:bCs/>
          <w:sz w:val="22"/>
          <w:szCs w:val="22"/>
          <w:u w:val="single"/>
        </w:rPr>
      </w:pPr>
      <w:r w:rsidRPr="00034898">
        <w:rPr>
          <w:rFonts w:ascii="Arial" w:hAnsi="Arial" w:cs="Arial"/>
          <w:b/>
          <w:bCs/>
          <w:sz w:val="22"/>
          <w:szCs w:val="22"/>
          <w:u w:val="single"/>
        </w:rPr>
        <w:t>Report</w:t>
      </w:r>
      <w:r>
        <w:rPr>
          <w:rFonts w:ascii="Arial" w:hAnsi="Arial" w:cs="Arial"/>
          <w:b/>
          <w:bCs/>
          <w:sz w:val="22"/>
          <w:szCs w:val="22"/>
          <w:u w:val="single"/>
        </w:rPr>
        <w:t xml:space="preserve"> </w:t>
      </w:r>
    </w:p>
    <w:p w14:paraId="66042E66" w14:textId="27BE0BC4" w:rsidR="008633C8" w:rsidRPr="005E0726" w:rsidRDefault="005E0726" w:rsidP="005D42AA">
      <w:pPr>
        <w:rPr>
          <w:rFonts w:ascii="Arial" w:hAnsi="Arial" w:cs="Arial"/>
          <w:color w:val="000000"/>
          <w:sz w:val="22"/>
          <w:szCs w:val="22"/>
        </w:rPr>
      </w:pPr>
      <w:r w:rsidRPr="005E0726">
        <w:rPr>
          <w:rFonts w:ascii="Arial" w:hAnsi="Arial" w:cs="Arial"/>
          <w:color w:val="000000"/>
          <w:sz w:val="22"/>
          <w:szCs w:val="22"/>
        </w:rPr>
        <w:t xml:space="preserve">psychodynamic theory mainly focuses on how unconscious fault is shaped through early life experiences and early internal conflicts and how these experiences shape behaviour across the lifespan of an individual the works that originated this theory Sigmund Freud and was later expanded upon by theorists Joan </w:t>
      </w:r>
      <w:r w:rsidR="00610970" w:rsidRPr="005E0726">
        <w:rPr>
          <w:rFonts w:ascii="Arial" w:hAnsi="Arial" w:cs="Arial"/>
          <w:color w:val="000000"/>
          <w:sz w:val="22"/>
          <w:szCs w:val="22"/>
        </w:rPr>
        <w:t>Bowlby</w:t>
      </w:r>
      <w:r w:rsidRPr="005E0726">
        <w:rPr>
          <w:rFonts w:ascii="Arial" w:hAnsi="Arial" w:cs="Arial"/>
          <w:color w:val="000000"/>
          <w:sz w:val="22"/>
          <w:szCs w:val="22"/>
        </w:rPr>
        <w:t xml:space="preserve"> The theory suggests that when one has unresolved emotional experiences which mostly come from childhood it continues to influence how they think feel and relate to others in older adulthood these unconscious processes may resurface especially during traditional. Periods such as moving into a residential care home where issues of loss of independent and identity become more prominent</w:t>
      </w:r>
      <w:r>
        <w:rPr>
          <w:rFonts w:ascii="Arial" w:hAnsi="Arial" w:cs="Arial"/>
          <w:color w:val="000000"/>
          <w:sz w:val="22"/>
          <w:szCs w:val="22"/>
        </w:rPr>
        <w:t>.</w:t>
      </w:r>
      <w:r w:rsidRPr="005E0726">
        <w:rPr>
          <w:rFonts w:ascii="Arial" w:hAnsi="Arial" w:cs="Arial"/>
          <w:color w:val="000000"/>
          <w:sz w:val="22"/>
          <w:szCs w:val="22"/>
        </w:rPr>
        <w:t xml:space="preserve"> In a care home environment this theory can be used to improve well-being by helping staff understand that there may be a emotional reason behind a resident behaviour for a example behaviour such as the individual is more aggressive or they actively refused care may not be </w:t>
      </w:r>
      <w:r>
        <w:rPr>
          <w:rFonts w:ascii="Arial" w:hAnsi="Arial" w:cs="Arial"/>
          <w:color w:val="000000"/>
          <w:sz w:val="22"/>
          <w:szCs w:val="22"/>
        </w:rPr>
        <w:t xml:space="preserve">out of </w:t>
      </w:r>
      <w:r w:rsidRPr="005E0726">
        <w:rPr>
          <w:rFonts w:ascii="Arial" w:hAnsi="Arial" w:cs="Arial"/>
          <w:color w:val="000000"/>
          <w:sz w:val="22"/>
          <w:szCs w:val="22"/>
        </w:rPr>
        <w:t>being difficult just because they feel like it but is a further extension of</w:t>
      </w:r>
      <w:r w:rsidR="0089752A" w:rsidRPr="0089752A">
        <w:rPr>
          <w:rFonts w:ascii="Arial" w:hAnsi="Arial" w:cs="Arial"/>
          <w:color w:val="000000"/>
          <w:sz w:val="22"/>
          <w:szCs w:val="22"/>
        </w:rPr>
        <w:t xml:space="preserve"> </w:t>
      </w:r>
      <w:r w:rsidR="0089752A" w:rsidRPr="0089752A">
        <w:rPr>
          <w:rFonts w:ascii="Arial" w:hAnsi="Arial" w:cs="Arial"/>
          <w:color w:val="000000"/>
          <w:sz w:val="22"/>
          <w:szCs w:val="22"/>
        </w:rPr>
        <w:lastRenderedPageBreak/>
        <w:t>emotions of anxiety fear or unresolved traumas by recognising the defence mechanisms care staff can respond with a more empathetic response to help ease the patient into working with them rather than being frustrated at the individual who is performing actions that they would believe would keep them safe this also supports a more person centred approach where care is Taylor towards individual psychologies as well as physical needs additionally building consent and trusting relationships with caregivers can mirror secure attachment patterns which may help reduce the distress and increase their trust and emotional security an example scenario that illustrates this application is an older resident</w:t>
      </w:r>
      <w:r w:rsidR="0089752A">
        <w:rPr>
          <w:rFonts w:ascii="Arial" w:hAnsi="Arial" w:cs="Arial"/>
          <w:color w:val="000000"/>
          <w:sz w:val="22"/>
          <w:szCs w:val="22"/>
        </w:rPr>
        <w:t xml:space="preserve"> Mrs Walker </w:t>
      </w:r>
      <w:r w:rsidR="0089752A" w:rsidRPr="0089752A">
        <w:rPr>
          <w:rFonts w:ascii="Arial" w:hAnsi="Arial" w:cs="Arial"/>
          <w:color w:val="000000"/>
          <w:sz w:val="22"/>
          <w:szCs w:val="22"/>
        </w:rPr>
        <w:t>Who had an abusive childhood in which they would beat frequently</w:t>
      </w:r>
      <w:r w:rsidR="0089752A">
        <w:rPr>
          <w:rFonts w:ascii="Arial" w:hAnsi="Arial" w:cs="Arial"/>
          <w:color w:val="000000"/>
          <w:sz w:val="22"/>
          <w:szCs w:val="22"/>
        </w:rPr>
        <w:t xml:space="preserve"> </w:t>
      </w:r>
      <w:r w:rsidR="0089752A" w:rsidRPr="0089752A">
        <w:rPr>
          <w:rFonts w:ascii="Arial" w:hAnsi="Arial" w:cs="Arial"/>
          <w:color w:val="000000"/>
          <w:sz w:val="22"/>
          <w:szCs w:val="22"/>
        </w:rPr>
        <w:t xml:space="preserve">As she grew into old age she built countless walls around herself because that's how she believes she can keep herself safe show when interacting with care staff she refuses assistance with personal care and become more agitated when staff approach now from a </w:t>
      </w:r>
      <w:r w:rsidR="00610970" w:rsidRPr="0089752A">
        <w:rPr>
          <w:rFonts w:ascii="Arial" w:hAnsi="Arial" w:cs="Arial"/>
          <w:color w:val="000000"/>
          <w:sz w:val="22"/>
          <w:szCs w:val="22"/>
        </w:rPr>
        <w:t>non-psychological</w:t>
      </w:r>
      <w:r w:rsidR="0089752A" w:rsidRPr="0089752A">
        <w:rPr>
          <w:rFonts w:ascii="Arial" w:hAnsi="Arial" w:cs="Arial"/>
          <w:color w:val="000000"/>
          <w:sz w:val="22"/>
          <w:szCs w:val="22"/>
        </w:rPr>
        <w:t xml:space="preserve"> perspective it may just seem that miss Walker just simply doesn't want anyone near her but from psychodynamic perspective this behaviour can be seen as a defence mechanism so that she can keep her dignity and control the care worker that understands this might be able to approach miss Walker and calmly explain each</w:t>
      </w:r>
      <w:r w:rsidR="005472F7" w:rsidRPr="005472F7">
        <w:rPr>
          <w:rFonts w:ascii="Arial" w:hAnsi="Arial" w:cs="Arial"/>
          <w:color w:val="000000"/>
          <w:sz w:val="22"/>
          <w:szCs w:val="22"/>
        </w:rPr>
        <w:t xml:space="preserve"> step they need to do to help her an offer choices on how she can receive that help restoring her sense of autonomy and hopefully over time as trust develops miss Walker may become less resistant to help and more cooperative improving both our well-being and quality of care</w:t>
      </w:r>
      <w:r w:rsidR="005472F7">
        <w:rPr>
          <w:rFonts w:ascii="Arial" w:hAnsi="Arial" w:cs="Arial"/>
          <w:color w:val="000000"/>
          <w:sz w:val="22"/>
          <w:szCs w:val="22"/>
        </w:rPr>
        <w:t>.</w:t>
      </w:r>
      <w:r w:rsidR="005472F7" w:rsidRPr="005472F7">
        <w:rPr>
          <w:rFonts w:ascii="Arial" w:hAnsi="Arial" w:cs="Arial"/>
          <w:color w:val="000000"/>
          <w:sz w:val="22"/>
          <w:szCs w:val="22"/>
        </w:rPr>
        <w:t xml:space="preserve"> But one major possible challenge in applying a psychodynamic understanding in a residential care home is that it's more abstract in nature so isn't as quickly to grasp as just being you need to tick a few boxes you genuinely have to go and understand the person slowly breakdown the walls so you can give them the help that they need compound this with the limited psychological training of care staff concepts such as unconscious conflicts or defence mechanisms can be difficult to identify and due to the fact that care homes also tend to be fast-paced environment where again the staff can have to primarily focus on physical task it will most likely lead to oversimplifications of behaviours or inconsistent applications of the theory can lead to much more problems</w:t>
      </w:r>
      <w:r w:rsidR="005472F7">
        <w:rPr>
          <w:rFonts w:ascii="Arial" w:hAnsi="Arial" w:cs="Arial"/>
          <w:color w:val="000000"/>
          <w:sz w:val="22"/>
          <w:szCs w:val="22"/>
        </w:rPr>
        <w:t xml:space="preserve">. </w:t>
      </w:r>
      <w:r w:rsidR="005472F7" w:rsidRPr="005472F7">
        <w:rPr>
          <w:rFonts w:ascii="Arial" w:hAnsi="Arial" w:cs="Arial"/>
          <w:color w:val="000000"/>
          <w:sz w:val="22"/>
          <w:szCs w:val="22"/>
        </w:rPr>
        <w:t>But there isn't evidence based solution to this and that is the implementation of structured staff training programmes grounded in psychological</w:t>
      </w:r>
      <w:r w:rsidR="005472F7">
        <w:rPr>
          <w:rFonts w:ascii="Arial" w:hAnsi="Arial" w:cs="Arial"/>
          <w:color w:val="000000"/>
          <w:sz w:val="22"/>
          <w:szCs w:val="22"/>
        </w:rPr>
        <w:t xml:space="preserve"> </w:t>
      </w:r>
      <w:r w:rsidR="005472F7" w:rsidRPr="005472F7">
        <w:rPr>
          <w:rFonts w:ascii="Arial" w:hAnsi="Arial" w:cs="Arial"/>
          <w:color w:val="000000"/>
          <w:sz w:val="22"/>
          <w:szCs w:val="22"/>
        </w:rPr>
        <w:t xml:space="preserve">informed care such as those that influenced by the attachment theory and person centred approaches we search by Tom </w:t>
      </w:r>
      <w:proofErr w:type="spellStart"/>
      <w:r w:rsidR="005472F7" w:rsidRPr="005472F7">
        <w:rPr>
          <w:rFonts w:ascii="Arial" w:hAnsi="Arial" w:cs="Arial"/>
          <w:color w:val="000000"/>
          <w:sz w:val="22"/>
          <w:szCs w:val="22"/>
        </w:rPr>
        <w:t>kitwood</w:t>
      </w:r>
      <w:proofErr w:type="spellEnd"/>
      <w:r w:rsidR="005472F7" w:rsidRPr="005472F7">
        <w:rPr>
          <w:rFonts w:ascii="Arial" w:hAnsi="Arial" w:cs="Arial"/>
          <w:color w:val="000000"/>
          <w:sz w:val="22"/>
          <w:szCs w:val="22"/>
        </w:rPr>
        <w:t xml:space="preserve"> in d</w:t>
      </w:r>
      <w:r w:rsidR="005472F7">
        <w:rPr>
          <w:rFonts w:ascii="Arial" w:hAnsi="Arial" w:cs="Arial"/>
          <w:color w:val="000000"/>
          <w:sz w:val="22"/>
          <w:szCs w:val="22"/>
        </w:rPr>
        <w:t>ementia Reconsidered (1997)</w:t>
      </w:r>
      <w:r w:rsidR="005472F7" w:rsidRPr="005472F7">
        <w:rPr>
          <w:rFonts w:ascii="Arial" w:hAnsi="Arial" w:cs="Arial"/>
          <w:color w:val="000000"/>
          <w:sz w:val="22"/>
          <w:szCs w:val="22"/>
        </w:rPr>
        <w:t xml:space="preserve"> Which demonstrated to the training staff that understanding the emotional and psychological needs of residents significantly improve their well-being and greatly reduces stress behaviours in care settings keywords approach emphasised empathy validation and being more relationship planted which aligns with the psychodynamic principles while making them into practical strategies providing regular training reflective practise sessions and super vision it can help staff recognise underlying emotional needs and respond appropriately in conclusion the cyclic dynamic fearing offers valuable insight into the emotional lives of older adults in residential care but while it may be complex and can present many challenges adapting to its principle through evidence based training and person centred approaches can excel staffed understanding and improve resident well-being and quality of care</w:t>
      </w:r>
      <w:r w:rsidR="005472F7">
        <w:rPr>
          <w:rFonts w:ascii="Arial" w:hAnsi="Arial" w:cs="Arial"/>
          <w:color w:val="000000"/>
          <w:sz w:val="22"/>
          <w:szCs w:val="22"/>
        </w:rPr>
        <w:t>.</w:t>
      </w:r>
    </w:p>
    <w:p w14:paraId="24B143D8" w14:textId="77777777" w:rsidR="008633C8" w:rsidRDefault="008633C8" w:rsidP="005D42AA">
      <w:pPr>
        <w:rPr>
          <w:rFonts w:ascii="Arial" w:hAnsi="Arial" w:cs="Arial"/>
          <w:b/>
          <w:bCs/>
          <w:color w:val="000000"/>
          <w:sz w:val="22"/>
          <w:szCs w:val="22"/>
          <w:u w:val="single"/>
        </w:rPr>
      </w:pPr>
    </w:p>
    <w:p w14:paraId="5ACA398A" w14:textId="24F078BE" w:rsidR="005D42AA" w:rsidRDefault="00610970" w:rsidP="005D42AA">
      <w:pPr>
        <w:rPr>
          <w:rFonts w:ascii="Arial" w:hAnsi="Arial" w:cs="Arial"/>
          <w:b/>
          <w:bCs/>
          <w:color w:val="000000"/>
          <w:sz w:val="22"/>
          <w:szCs w:val="22"/>
          <w:u w:val="single"/>
        </w:rPr>
      </w:pPr>
      <w:r w:rsidRPr="00C43729">
        <w:rPr>
          <w:rFonts w:ascii="Arial" w:hAnsi="Arial" w:cs="Arial"/>
          <w:b/>
          <w:bCs/>
          <w:color w:val="000000"/>
          <w:sz w:val="22"/>
          <w:szCs w:val="22"/>
          <w:u w:val="single"/>
        </w:rPr>
        <w:t>References</w:t>
      </w:r>
      <w:r w:rsidR="005D42AA">
        <w:rPr>
          <w:rFonts w:ascii="Arial" w:hAnsi="Arial" w:cs="Arial"/>
          <w:b/>
          <w:bCs/>
          <w:color w:val="000000"/>
          <w:sz w:val="22"/>
          <w:szCs w:val="22"/>
          <w:u w:val="single"/>
        </w:rPr>
        <w:t xml:space="preserve"> </w:t>
      </w:r>
    </w:p>
    <w:p w14:paraId="427EA0EB" w14:textId="77777777" w:rsidR="00406324" w:rsidRPr="00406324" w:rsidRDefault="00406324" w:rsidP="00406324">
      <w:pPr>
        <w:pStyle w:val="NormalWeb"/>
        <w:rPr>
          <w:rFonts w:ascii="Arial" w:hAnsi="Arial" w:cs="Arial"/>
          <w:b/>
          <w:bCs/>
          <w:color w:val="000000"/>
          <w:u w:val="single"/>
        </w:rPr>
      </w:pPr>
      <w:r w:rsidRPr="00406324">
        <w:rPr>
          <w:rFonts w:ascii="Arial" w:hAnsi="Arial" w:cs="Arial"/>
          <w:b/>
          <w:bCs/>
          <w:color w:val="000000"/>
          <w:u w:val="single"/>
        </w:rPr>
        <w:t>Bowlby, J. (1969)</w:t>
      </w:r>
      <w:r w:rsidRPr="00406324">
        <w:rPr>
          <w:rStyle w:val="apple-converted-space"/>
          <w:rFonts w:ascii="Arial" w:eastAsiaTheme="majorEastAsia" w:hAnsi="Arial" w:cs="Arial"/>
          <w:b/>
          <w:bCs/>
          <w:color w:val="000000"/>
          <w:u w:val="single"/>
        </w:rPr>
        <w:t> </w:t>
      </w:r>
      <w:r w:rsidRPr="00406324">
        <w:rPr>
          <w:rStyle w:val="Emphasis"/>
          <w:rFonts w:ascii="Arial" w:eastAsiaTheme="majorEastAsia" w:hAnsi="Arial" w:cs="Arial"/>
          <w:b/>
          <w:bCs/>
          <w:color w:val="000000"/>
          <w:u w:val="single"/>
        </w:rPr>
        <w:t>Attachment and loss: Vol. 1 Attachment</w:t>
      </w:r>
      <w:r w:rsidRPr="00406324">
        <w:rPr>
          <w:rFonts w:ascii="Arial" w:hAnsi="Arial" w:cs="Arial"/>
          <w:b/>
          <w:bCs/>
          <w:color w:val="000000"/>
          <w:u w:val="single"/>
        </w:rPr>
        <w:t>. New York: Basic Books.</w:t>
      </w:r>
    </w:p>
    <w:p w14:paraId="0EF033C3" w14:textId="77777777" w:rsidR="00406324" w:rsidRPr="00406324" w:rsidRDefault="00406324" w:rsidP="00406324">
      <w:pPr>
        <w:pStyle w:val="NormalWeb"/>
        <w:rPr>
          <w:rFonts w:ascii="Arial" w:hAnsi="Arial" w:cs="Arial"/>
          <w:b/>
          <w:bCs/>
          <w:color w:val="000000"/>
          <w:u w:val="single"/>
        </w:rPr>
      </w:pPr>
      <w:r w:rsidRPr="00406324">
        <w:rPr>
          <w:rFonts w:ascii="Arial" w:hAnsi="Arial" w:cs="Arial"/>
          <w:b/>
          <w:bCs/>
          <w:color w:val="000000"/>
          <w:u w:val="single"/>
        </w:rPr>
        <w:t>Freud, S. (1923)</w:t>
      </w:r>
      <w:r w:rsidRPr="00406324">
        <w:rPr>
          <w:rStyle w:val="apple-converted-space"/>
          <w:rFonts w:ascii="Arial" w:eastAsiaTheme="majorEastAsia" w:hAnsi="Arial" w:cs="Arial"/>
          <w:b/>
          <w:bCs/>
          <w:color w:val="000000"/>
          <w:u w:val="single"/>
        </w:rPr>
        <w:t> </w:t>
      </w:r>
      <w:r w:rsidRPr="00406324">
        <w:rPr>
          <w:rStyle w:val="Emphasis"/>
          <w:rFonts w:ascii="Arial" w:eastAsiaTheme="majorEastAsia" w:hAnsi="Arial" w:cs="Arial"/>
          <w:b/>
          <w:bCs/>
          <w:color w:val="000000"/>
          <w:u w:val="single"/>
        </w:rPr>
        <w:t>The ego and the id</w:t>
      </w:r>
      <w:r w:rsidRPr="00406324">
        <w:rPr>
          <w:rFonts w:ascii="Arial" w:hAnsi="Arial" w:cs="Arial"/>
          <w:b/>
          <w:bCs/>
          <w:color w:val="000000"/>
          <w:u w:val="single"/>
        </w:rPr>
        <w:t>. London: Hogarth Press.</w:t>
      </w:r>
    </w:p>
    <w:p w14:paraId="2FFE71E5" w14:textId="77777777" w:rsidR="00406324" w:rsidRPr="00406324" w:rsidRDefault="00406324" w:rsidP="00406324">
      <w:pPr>
        <w:pStyle w:val="NormalWeb"/>
        <w:rPr>
          <w:rFonts w:ascii="Arial" w:hAnsi="Arial" w:cs="Arial"/>
          <w:b/>
          <w:bCs/>
          <w:color w:val="000000"/>
          <w:u w:val="single"/>
        </w:rPr>
      </w:pPr>
      <w:proofErr w:type="spellStart"/>
      <w:r w:rsidRPr="00406324">
        <w:rPr>
          <w:rFonts w:ascii="Arial" w:hAnsi="Arial" w:cs="Arial"/>
          <w:b/>
          <w:bCs/>
          <w:color w:val="000000"/>
          <w:u w:val="single"/>
        </w:rPr>
        <w:t>Kitwood</w:t>
      </w:r>
      <w:proofErr w:type="spellEnd"/>
      <w:r w:rsidRPr="00406324">
        <w:rPr>
          <w:rFonts w:ascii="Arial" w:hAnsi="Arial" w:cs="Arial"/>
          <w:b/>
          <w:bCs/>
          <w:color w:val="000000"/>
          <w:u w:val="single"/>
        </w:rPr>
        <w:t>, T. (1997)</w:t>
      </w:r>
      <w:r w:rsidRPr="00406324">
        <w:rPr>
          <w:rStyle w:val="apple-converted-space"/>
          <w:rFonts w:ascii="Arial" w:eastAsiaTheme="majorEastAsia" w:hAnsi="Arial" w:cs="Arial"/>
          <w:b/>
          <w:bCs/>
          <w:color w:val="000000"/>
          <w:u w:val="single"/>
        </w:rPr>
        <w:t> </w:t>
      </w:r>
      <w:r w:rsidRPr="00406324">
        <w:rPr>
          <w:rStyle w:val="Emphasis"/>
          <w:rFonts w:ascii="Arial" w:eastAsiaTheme="majorEastAsia" w:hAnsi="Arial" w:cs="Arial"/>
          <w:b/>
          <w:bCs/>
          <w:color w:val="000000"/>
          <w:u w:val="single"/>
        </w:rPr>
        <w:t>Dementia reconsidered: The person comes first</w:t>
      </w:r>
      <w:r w:rsidRPr="00406324">
        <w:rPr>
          <w:rFonts w:ascii="Arial" w:hAnsi="Arial" w:cs="Arial"/>
          <w:b/>
          <w:bCs/>
          <w:color w:val="000000"/>
          <w:u w:val="single"/>
        </w:rPr>
        <w:t>. Buckingham: Open University Press.</w:t>
      </w:r>
    </w:p>
    <w:p w14:paraId="4F641E8E" w14:textId="77777777" w:rsidR="00406324" w:rsidRPr="00406324" w:rsidRDefault="00406324" w:rsidP="00406324">
      <w:pPr>
        <w:pStyle w:val="NormalWeb"/>
        <w:rPr>
          <w:rFonts w:ascii="Arial" w:hAnsi="Arial" w:cs="Arial"/>
          <w:b/>
          <w:bCs/>
          <w:color w:val="000000"/>
          <w:u w:val="single"/>
        </w:rPr>
      </w:pPr>
      <w:r w:rsidRPr="00406324">
        <w:rPr>
          <w:rFonts w:ascii="Arial" w:hAnsi="Arial" w:cs="Arial"/>
          <w:b/>
          <w:bCs/>
          <w:color w:val="000000"/>
          <w:u w:val="single"/>
        </w:rPr>
        <w:t xml:space="preserve">Lourenço, O. and Machado, A. (1996) ‘In </w:t>
      </w:r>
      <w:proofErr w:type="spellStart"/>
      <w:r w:rsidRPr="00406324">
        <w:rPr>
          <w:rFonts w:ascii="Arial" w:hAnsi="Arial" w:cs="Arial"/>
          <w:b/>
          <w:bCs/>
          <w:color w:val="000000"/>
          <w:u w:val="single"/>
        </w:rPr>
        <w:t>defense</w:t>
      </w:r>
      <w:proofErr w:type="spellEnd"/>
      <w:r w:rsidRPr="00406324">
        <w:rPr>
          <w:rFonts w:ascii="Arial" w:hAnsi="Arial" w:cs="Arial"/>
          <w:b/>
          <w:bCs/>
          <w:color w:val="000000"/>
          <w:u w:val="single"/>
        </w:rPr>
        <w:t xml:space="preserve"> of Piaget’s theory: A reply to 10 common criticisms’,</w:t>
      </w:r>
      <w:r w:rsidRPr="00406324">
        <w:rPr>
          <w:rStyle w:val="apple-converted-space"/>
          <w:rFonts w:ascii="Arial" w:eastAsiaTheme="majorEastAsia" w:hAnsi="Arial" w:cs="Arial"/>
          <w:b/>
          <w:bCs/>
          <w:color w:val="000000"/>
          <w:u w:val="single"/>
        </w:rPr>
        <w:t> </w:t>
      </w:r>
      <w:r w:rsidRPr="00406324">
        <w:rPr>
          <w:rStyle w:val="Emphasis"/>
          <w:rFonts w:ascii="Arial" w:eastAsiaTheme="majorEastAsia" w:hAnsi="Arial" w:cs="Arial"/>
          <w:b/>
          <w:bCs/>
          <w:color w:val="000000"/>
          <w:u w:val="single"/>
        </w:rPr>
        <w:t>Psychological Review</w:t>
      </w:r>
      <w:r w:rsidRPr="00406324">
        <w:rPr>
          <w:rFonts w:ascii="Arial" w:hAnsi="Arial" w:cs="Arial"/>
          <w:b/>
          <w:bCs/>
          <w:color w:val="000000"/>
          <w:u w:val="single"/>
        </w:rPr>
        <w:t>, 103(1), pp. 143–164.</w:t>
      </w:r>
    </w:p>
    <w:p w14:paraId="4EF5088C" w14:textId="77777777" w:rsidR="00406324" w:rsidRPr="00406324" w:rsidRDefault="00406324" w:rsidP="00406324">
      <w:pPr>
        <w:pStyle w:val="NormalWeb"/>
        <w:rPr>
          <w:rFonts w:ascii="Arial" w:hAnsi="Arial" w:cs="Arial"/>
          <w:b/>
          <w:bCs/>
          <w:color w:val="000000"/>
          <w:u w:val="single"/>
        </w:rPr>
      </w:pPr>
      <w:r w:rsidRPr="00406324">
        <w:rPr>
          <w:rFonts w:ascii="Arial" w:hAnsi="Arial" w:cs="Arial"/>
          <w:b/>
          <w:bCs/>
          <w:color w:val="000000"/>
          <w:u w:val="single"/>
        </w:rPr>
        <w:lastRenderedPageBreak/>
        <w:t>Piaget, J. (1952)</w:t>
      </w:r>
      <w:r w:rsidRPr="00406324">
        <w:rPr>
          <w:rStyle w:val="apple-converted-space"/>
          <w:rFonts w:ascii="Arial" w:eastAsiaTheme="majorEastAsia" w:hAnsi="Arial" w:cs="Arial"/>
          <w:b/>
          <w:bCs/>
          <w:color w:val="000000"/>
          <w:u w:val="single"/>
        </w:rPr>
        <w:t> </w:t>
      </w:r>
      <w:r w:rsidRPr="00406324">
        <w:rPr>
          <w:rStyle w:val="Emphasis"/>
          <w:rFonts w:ascii="Arial" w:eastAsiaTheme="majorEastAsia" w:hAnsi="Arial" w:cs="Arial"/>
          <w:b/>
          <w:bCs/>
          <w:color w:val="000000"/>
          <w:u w:val="single"/>
        </w:rPr>
        <w:t>The origins of intelligence in children</w:t>
      </w:r>
      <w:r w:rsidRPr="00406324">
        <w:rPr>
          <w:rFonts w:ascii="Arial" w:hAnsi="Arial" w:cs="Arial"/>
          <w:b/>
          <w:bCs/>
          <w:color w:val="000000"/>
          <w:u w:val="single"/>
        </w:rPr>
        <w:t>. New York: International Universities Press.</w:t>
      </w:r>
    </w:p>
    <w:p w14:paraId="65E25375" w14:textId="77777777" w:rsidR="00BC2FA3" w:rsidRPr="00406324" w:rsidRDefault="00BC2FA3">
      <w:pPr>
        <w:rPr>
          <w:rFonts w:ascii="Arial" w:hAnsi="Arial" w:cs="Arial"/>
          <w:b/>
          <w:bCs/>
          <w:u w:val="single"/>
        </w:rPr>
      </w:pPr>
    </w:p>
    <w:sectPr w:rsidR="00BC2FA3" w:rsidRPr="004063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2AA"/>
    <w:rsid w:val="00006FC0"/>
    <w:rsid w:val="0006542E"/>
    <w:rsid w:val="00154E1A"/>
    <w:rsid w:val="00173C8E"/>
    <w:rsid w:val="001A25F5"/>
    <w:rsid w:val="001D630E"/>
    <w:rsid w:val="00302395"/>
    <w:rsid w:val="003C5366"/>
    <w:rsid w:val="003D6FAC"/>
    <w:rsid w:val="00406324"/>
    <w:rsid w:val="00440A0A"/>
    <w:rsid w:val="005472F7"/>
    <w:rsid w:val="005D42AA"/>
    <w:rsid w:val="005E0726"/>
    <w:rsid w:val="00610970"/>
    <w:rsid w:val="00660A79"/>
    <w:rsid w:val="007A5E41"/>
    <w:rsid w:val="00805397"/>
    <w:rsid w:val="008633C8"/>
    <w:rsid w:val="008903DC"/>
    <w:rsid w:val="0089752A"/>
    <w:rsid w:val="009D54C6"/>
    <w:rsid w:val="00A83780"/>
    <w:rsid w:val="00BC2FA3"/>
    <w:rsid w:val="00C02A2B"/>
    <w:rsid w:val="00C273A9"/>
    <w:rsid w:val="00E10D6C"/>
    <w:rsid w:val="00F274BE"/>
    <w:rsid w:val="00F309C8"/>
    <w:rsid w:val="00F57F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C5BC7"/>
  <w15:chartTrackingRefBased/>
  <w15:docId w15:val="{991A2E4B-7508-6648-982A-99F522989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3C8E"/>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D42AA"/>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5D42AA"/>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5D42AA"/>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5D42AA"/>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5D42AA"/>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5D42AA"/>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5D42AA"/>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5D42AA"/>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5D42AA"/>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42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42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42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42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42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42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42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42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42AA"/>
    <w:rPr>
      <w:rFonts w:eastAsiaTheme="majorEastAsia" w:cstheme="majorBidi"/>
      <w:color w:val="272727" w:themeColor="text1" w:themeTint="D8"/>
    </w:rPr>
  </w:style>
  <w:style w:type="paragraph" w:styleId="Title">
    <w:name w:val="Title"/>
    <w:basedOn w:val="Normal"/>
    <w:next w:val="Normal"/>
    <w:link w:val="TitleChar"/>
    <w:uiPriority w:val="10"/>
    <w:qFormat/>
    <w:rsid w:val="005D42AA"/>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5D42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42AA"/>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5D42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42AA"/>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5D42AA"/>
    <w:rPr>
      <w:i/>
      <w:iCs/>
      <w:color w:val="404040" w:themeColor="text1" w:themeTint="BF"/>
    </w:rPr>
  </w:style>
  <w:style w:type="paragraph" w:styleId="ListParagraph">
    <w:name w:val="List Paragraph"/>
    <w:basedOn w:val="Normal"/>
    <w:uiPriority w:val="34"/>
    <w:qFormat/>
    <w:rsid w:val="005D42AA"/>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5D42AA"/>
    <w:rPr>
      <w:i/>
      <w:iCs/>
      <w:color w:val="0F4761" w:themeColor="accent1" w:themeShade="BF"/>
    </w:rPr>
  </w:style>
  <w:style w:type="paragraph" w:styleId="IntenseQuote">
    <w:name w:val="Intense Quote"/>
    <w:basedOn w:val="Normal"/>
    <w:next w:val="Normal"/>
    <w:link w:val="IntenseQuoteChar"/>
    <w:uiPriority w:val="30"/>
    <w:qFormat/>
    <w:rsid w:val="005D42AA"/>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5D42AA"/>
    <w:rPr>
      <w:i/>
      <w:iCs/>
      <w:color w:val="0F4761" w:themeColor="accent1" w:themeShade="BF"/>
    </w:rPr>
  </w:style>
  <w:style w:type="character" w:styleId="IntenseReference">
    <w:name w:val="Intense Reference"/>
    <w:basedOn w:val="DefaultParagraphFont"/>
    <w:uiPriority w:val="32"/>
    <w:qFormat/>
    <w:rsid w:val="005D42AA"/>
    <w:rPr>
      <w:b/>
      <w:bCs/>
      <w:smallCaps/>
      <w:color w:val="0F4761" w:themeColor="accent1" w:themeShade="BF"/>
      <w:spacing w:val="5"/>
    </w:rPr>
  </w:style>
  <w:style w:type="character" w:customStyle="1" w:styleId="whitespace-normal">
    <w:name w:val="whitespace-normal"/>
    <w:basedOn w:val="DefaultParagraphFont"/>
    <w:rsid w:val="005D42AA"/>
  </w:style>
  <w:style w:type="paragraph" w:styleId="NormalWeb">
    <w:name w:val="Normal (Web)"/>
    <w:basedOn w:val="Normal"/>
    <w:uiPriority w:val="99"/>
    <w:semiHidden/>
    <w:unhideWhenUsed/>
    <w:rsid w:val="005D42AA"/>
    <w:pPr>
      <w:spacing w:before="100" w:beforeAutospacing="1" w:after="100" w:afterAutospacing="1"/>
    </w:pPr>
  </w:style>
  <w:style w:type="character" w:customStyle="1" w:styleId="apple-converted-space">
    <w:name w:val="apple-converted-space"/>
    <w:basedOn w:val="DefaultParagraphFont"/>
    <w:rsid w:val="005D42AA"/>
  </w:style>
  <w:style w:type="character" w:styleId="Emphasis">
    <w:name w:val="Emphasis"/>
    <w:basedOn w:val="DefaultParagraphFont"/>
    <w:uiPriority w:val="20"/>
    <w:qFormat/>
    <w:rsid w:val="005D42AA"/>
    <w:rPr>
      <w:i/>
      <w:iCs/>
    </w:rPr>
  </w:style>
  <w:style w:type="table" w:styleId="TableGrid">
    <w:name w:val="Table Grid"/>
    <w:basedOn w:val="TableNormal"/>
    <w:uiPriority w:val="39"/>
    <w:rsid w:val="008633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660A7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semiHidden/>
    <w:unhideWhenUsed/>
    <w:rsid w:val="00173C8E"/>
    <w:rPr>
      <w:color w:val="0000FF"/>
      <w:u w:val="single"/>
    </w:rPr>
  </w:style>
  <w:style w:type="character" w:styleId="FollowedHyperlink">
    <w:name w:val="FollowedHyperlink"/>
    <w:basedOn w:val="DefaultParagraphFont"/>
    <w:uiPriority w:val="99"/>
    <w:semiHidden/>
    <w:unhideWhenUsed/>
    <w:rsid w:val="00173C8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doi/10.1037/11494-000" TargetMode="External"/><Relationship Id="rId3" Type="http://schemas.openxmlformats.org/officeDocument/2006/relationships/webSettings" Target="webSettings.xml"/><Relationship Id="rId7" Type="http://schemas.openxmlformats.org/officeDocument/2006/relationships/hyperlink" Target="https://psycnet.apa.org/doi/10.1111/j.1939-0025.1982.tb01456.x"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sycnet.apa.org/doi/10.1037/0033-295X.103.1.143" TargetMode="External"/><Relationship Id="rId11" Type="http://schemas.openxmlformats.org/officeDocument/2006/relationships/fontTable" Target="fontTable.xml"/><Relationship Id="rId5" Type="http://schemas.openxmlformats.org/officeDocument/2006/relationships/hyperlink" Target="https://psycnet.apa.org/doi/10.1037/11494-000" TargetMode="External"/><Relationship Id="rId10" Type="http://schemas.openxmlformats.org/officeDocument/2006/relationships/hyperlink" Target="https://psycnet.apa.org/doi/10.1111/j.1939-0025.1982.tb01456.x" TargetMode="External"/><Relationship Id="rId4" Type="http://schemas.openxmlformats.org/officeDocument/2006/relationships/image" Target="media/image1.jpeg"/><Relationship Id="rId9" Type="http://schemas.openxmlformats.org/officeDocument/2006/relationships/hyperlink" Target="https://psycnet.apa.org/doi/10.1037/0033-295X.103.1.1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143</TotalTime>
  <Pages>5</Pages>
  <Words>1838</Words>
  <Characters>10478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Kassia Rodrigues Semedo</dc:creator>
  <cp:keywords/>
  <dc:description/>
  <cp:lastModifiedBy>Kassia Rodrigues Semedo</cp:lastModifiedBy>
  <cp:revision>6</cp:revision>
  <dcterms:created xsi:type="dcterms:W3CDTF">2026-04-17T03:25:00Z</dcterms:created>
  <dcterms:modified xsi:type="dcterms:W3CDTF">2026-04-20T23:09:00Z</dcterms:modified>
</cp:coreProperties>
</file>