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2F3A3" w14:textId="77777777" w:rsidR="003E18B5" w:rsidRDefault="00EF07DC" w:rsidP="004F2BF8">
      <w:pPr>
        <w:pStyle w:val="Title"/>
        <w:spacing w:line="360" w:lineRule="auto"/>
      </w:pPr>
      <w:r w:rsidRPr="00EF07DC">
        <w:t>Discuss the criminal courts in England and Wales and the extent to which they are in need of reform. In particular the Magistrates and Crown court</w:t>
      </w:r>
    </w:p>
    <w:p w14:paraId="3A0AB241" w14:textId="2549AEF1" w:rsidR="00DF3436" w:rsidRDefault="00DF3436" w:rsidP="00DF3436">
      <w:pPr>
        <w:spacing w:after="0" w:line="360" w:lineRule="auto"/>
        <w:jc w:val="center"/>
      </w:pPr>
      <w:r>
        <w:t xml:space="preserve">Maryam </w:t>
      </w:r>
      <w:proofErr w:type="spellStart"/>
      <w:r>
        <w:t>rahouf</w:t>
      </w:r>
      <w:proofErr w:type="spellEnd"/>
    </w:p>
    <w:p w14:paraId="60452080" w14:textId="47F14B0C" w:rsidR="00DF3436" w:rsidRDefault="00DF3436" w:rsidP="004F2BF8">
      <w:pPr>
        <w:spacing w:after="0" w:line="360" w:lineRule="auto"/>
        <w:jc w:val="center"/>
      </w:pPr>
      <w:r>
        <w:t>Zita draper</w:t>
      </w:r>
    </w:p>
    <w:p w14:paraId="09245A78" w14:textId="40532C87" w:rsidR="00A364C7" w:rsidRDefault="00DF3436" w:rsidP="004F2BF8">
      <w:pPr>
        <w:spacing w:after="0" w:line="360" w:lineRule="auto"/>
        <w:jc w:val="center"/>
      </w:pPr>
      <w:r>
        <w:t>6/08/23</w:t>
      </w:r>
    </w:p>
    <w:p w14:paraId="52AF7440" w14:textId="77777777" w:rsidR="00EC6156" w:rsidRPr="00155184" w:rsidRDefault="00A364C7" w:rsidP="004F2BF8">
      <w:pPr>
        <w:spacing w:after="0" w:line="360" w:lineRule="auto"/>
        <w:rPr>
          <w:b/>
        </w:rPr>
      </w:pPr>
      <w:r w:rsidRPr="00155184">
        <w:rPr>
          <w:b/>
        </w:rPr>
        <w:t>Word Court</w:t>
      </w:r>
      <w:r w:rsidR="00155184" w:rsidRPr="00155184">
        <w:rPr>
          <w:b/>
        </w:rPr>
        <w:t>:</w:t>
      </w:r>
      <w:r w:rsidR="00EC6156" w:rsidRPr="00155184">
        <w:rPr>
          <w:b/>
        </w:rPr>
        <w:t xml:space="preserve"> </w:t>
      </w:r>
      <w:r w:rsidR="00155184" w:rsidRPr="00155184">
        <w:rPr>
          <w:b/>
        </w:rPr>
        <w:t>1742</w:t>
      </w:r>
      <w:r w:rsidR="00EC6156" w:rsidRPr="00155184">
        <w:rPr>
          <w:b/>
        </w:rPr>
        <w:br w:type="page"/>
      </w:r>
    </w:p>
    <w:p w14:paraId="300BA01B" w14:textId="77777777" w:rsidR="00210A5F" w:rsidRDefault="00760E34" w:rsidP="004F2BF8">
      <w:pPr>
        <w:spacing w:after="0" w:line="360" w:lineRule="auto"/>
      </w:pPr>
      <w:r w:rsidRPr="00760E34">
        <w:lastRenderedPageBreak/>
        <w:t>In England and Wales, there exists a reform programme with a budget of £1 billion, which seeks to establish a contemporary justice system wherein a growing number of cases will be processed through online platforms. Physical and remote hearings will be exclusively allocated to specific domains within the justice system, such as divorce and civil money claims, and will be limited to cases that are incapable of being resolved through alternative means.</w:t>
      </w:r>
      <w:r w:rsidR="005D5541">
        <w:rPr>
          <w:rStyle w:val="FootnoteReference"/>
        </w:rPr>
        <w:footnoteReference w:id="1"/>
      </w:r>
      <w:r w:rsidRPr="00760E34">
        <w:t xml:space="preserve"> The reforms aim to establish a courts and tribunal system that is equitable, balanced, and readily available to all individuals.</w:t>
      </w:r>
      <w:r w:rsidR="003E5B9A">
        <w:rPr>
          <w:rStyle w:val="FootnoteReference"/>
        </w:rPr>
        <w:footnoteReference w:id="2"/>
      </w:r>
      <w:r w:rsidRPr="00760E34">
        <w:t xml:space="preserve"> By March 2023, it is anticipated that Her Majesty's Courts and Tribunal Service will decrease its workforce by 5,000 full-time equivalent employees, diminish the volume of cases conducted in physical courtrooms by 2.4 million annually, and achieve an annual expenditure reduction of £265 million.</w:t>
      </w:r>
      <w:r w:rsidR="007A7AC5">
        <w:rPr>
          <w:rStyle w:val="FootnoteReference"/>
        </w:rPr>
        <w:footnoteReference w:id="3"/>
      </w:r>
      <w:r w:rsidR="004060FD" w:rsidRPr="004060FD">
        <w:t xml:space="preserve"> </w:t>
      </w:r>
    </w:p>
    <w:p w14:paraId="4909F204" w14:textId="77777777" w:rsidR="00EF07DC" w:rsidRDefault="0078347E" w:rsidP="004F2BF8">
      <w:pPr>
        <w:spacing w:after="0" w:line="360" w:lineRule="auto"/>
      </w:pPr>
      <w:r w:rsidRPr="0078347E">
        <w:t>Cost savings wil</w:t>
      </w:r>
      <w:r w:rsidR="00D14F0B">
        <w:t>l be realis</w:t>
      </w:r>
      <w:r w:rsidRPr="0078347E">
        <w:t>ed by reducing administrative and judicial staff expenses, minimizing the number o</w:t>
      </w:r>
      <w:r w:rsidR="00FB7DCD">
        <w:t xml:space="preserve">f physical hearings, and </w:t>
      </w:r>
      <w:proofErr w:type="spellStart"/>
      <w:r w:rsidR="00FB7DCD">
        <w:t>downsis</w:t>
      </w:r>
      <w:r w:rsidRPr="0078347E">
        <w:t>ing</w:t>
      </w:r>
      <w:proofErr w:type="spellEnd"/>
      <w:r w:rsidRPr="0078347E">
        <w:t xml:space="preserve"> the estate. Additionally, court buildings will be replaced by new hearing </w:t>
      </w:r>
      <w:r w:rsidR="00D14F0B" w:rsidRPr="0078347E">
        <w:t>centres</w:t>
      </w:r>
      <w:r w:rsidRPr="0078347E">
        <w:t>. The reform program is currently being implemented by Her Majesty's Courts and Tribunals Service, with the budget and business case having been approved by the Executive.</w:t>
      </w:r>
      <w:r w:rsidR="001D0D71">
        <w:rPr>
          <w:rStyle w:val="FootnoteReference"/>
        </w:rPr>
        <w:footnoteReference w:id="4"/>
      </w:r>
      <w:r w:rsidRPr="0078347E">
        <w:t xml:space="preserve"> However, it is important to note that the enactment of the </w:t>
      </w:r>
      <w:r w:rsidR="004C2FBF">
        <w:t>“</w:t>
      </w:r>
      <w:r w:rsidRPr="0078347E">
        <w:t>Constitutional Reform Act 2005</w:t>
      </w:r>
      <w:r w:rsidR="004C2FBF">
        <w:t>”</w:t>
      </w:r>
      <w:r w:rsidRPr="0078347E">
        <w:t xml:space="preserve"> has led to the judiciary assuming a significant leadership role in overseeing these reforms.</w:t>
      </w:r>
      <w:r w:rsidR="004060FD" w:rsidRPr="004060FD">
        <w:t xml:space="preserve"> </w:t>
      </w:r>
      <w:r w:rsidR="008B3B40" w:rsidRPr="008B3B40">
        <w:t>In 2015, Lord Thomas, the former Lord Chief Justice, expressed that the reformation of the judicial system, which was about to be implemented, would not have been possible without the judiciary's adoption of its newfound leadership role.</w:t>
      </w:r>
      <w:r w:rsidR="00200116">
        <w:rPr>
          <w:rStyle w:val="FootnoteReference"/>
        </w:rPr>
        <w:footnoteReference w:id="5"/>
      </w:r>
      <w:r w:rsidR="008B3B40" w:rsidRPr="008B3B40">
        <w:t xml:space="preserve"> The senior judiciary, who have played a significant role in initiating and supervising the reform program, have put forward six criteria for evaluating and potentially implementing the developed projects.</w:t>
      </w:r>
      <w:r w:rsidR="00303ED0">
        <w:rPr>
          <w:rStyle w:val="FootnoteReference"/>
        </w:rPr>
        <w:footnoteReference w:id="6"/>
      </w:r>
      <w:r w:rsidR="008B3B40" w:rsidRPr="008B3B40">
        <w:t xml:space="preserve"> The initial criterion is to guarantee the accessibility of justice to individuals in need, with the aim of enhancing or preserving the availability of justice.</w:t>
      </w:r>
    </w:p>
    <w:p w14:paraId="1D9664DD" w14:textId="77777777" w:rsidR="00EF07DC" w:rsidRPr="00EF07DC" w:rsidRDefault="00F133B5" w:rsidP="004F2BF8">
      <w:pPr>
        <w:spacing w:after="0" w:line="360" w:lineRule="auto"/>
      </w:pPr>
      <w:r w:rsidRPr="00F133B5">
        <w:lastRenderedPageBreak/>
        <w:t xml:space="preserve">Furthermore, during the summer of 2018, the </w:t>
      </w:r>
      <w:r w:rsidR="004F2438">
        <w:t>“</w:t>
      </w:r>
      <w:r w:rsidRPr="00F133B5">
        <w:t>Public Accounts Committee,</w:t>
      </w:r>
      <w:r w:rsidR="004F2438">
        <w:t>”</w:t>
      </w:r>
      <w:r w:rsidRPr="00F133B5">
        <w:t xml:space="preserve"> an entity responsible for overseeing the government and its civil servants' performance in delivering public services, undertook an evaluation of the advancements achieved in relation to the reform initiative. One of the recommendations put forth by HMCTS, which has been accepted by them, is to submit a written report to the Committee by January 2019.</w:t>
      </w:r>
      <w:r w:rsidR="00AC18FD">
        <w:rPr>
          <w:rStyle w:val="FootnoteReference"/>
        </w:rPr>
        <w:footnoteReference w:id="7"/>
      </w:r>
      <w:r w:rsidRPr="00F133B5">
        <w:t xml:space="preserve"> This report should outline the methods that will be employed to identify and assess the effects of modifications on individuals' ability to access and the equitable nature of the justice system. Special attention should be given to those who are vulnerable.</w:t>
      </w:r>
      <w:r w:rsidR="002B6F4B">
        <w:t xml:space="preserve"> </w:t>
      </w:r>
      <w:r w:rsidRPr="00F133B5">
        <w:t>Ac</w:t>
      </w:r>
      <w:r w:rsidR="008C4638">
        <w:t>cording to the HM Treasury</w:t>
      </w:r>
      <w:r w:rsidRPr="00F133B5">
        <w:t>, The publications released by HMCTS have made mention of an internal dedication to collecting data that will facilitate the ability of HMCTS to continually enhance and modify its services in the future.</w:t>
      </w:r>
      <w:r w:rsidR="00F61625">
        <w:rPr>
          <w:rStyle w:val="FootnoteReference"/>
        </w:rPr>
        <w:footnoteReference w:id="8"/>
      </w:r>
      <w:r w:rsidRPr="00F133B5">
        <w:t xml:space="preserve"> This commitment aims to ensure that any changes made are designed in a way that allows for further improvements to be made.</w:t>
      </w:r>
      <w:r w:rsidR="004C72A4">
        <w:rPr>
          <w:rStyle w:val="FootnoteReference"/>
        </w:rPr>
        <w:footnoteReference w:id="9"/>
      </w:r>
    </w:p>
    <w:p w14:paraId="2DA82ADC" w14:textId="77777777" w:rsidR="00EF07DC" w:rsidRDefault="00C76F8D" w:rsidP="004F2BF8">
      <w:pPr>
        <w:spacing w:after="0" w:line="360" w:lineRule="auto"/>
      </w:pPr>
      <w:r w:rsidRPr="00C76F8D">
        <w:t>Taking into consideration these obligations, The Legal Education Foundation carried out an examination of the current indicators employed to assess the effectiveness of online dispute resolution initiatives within the public justice system in terms of enhancing access to justice.</w:t>
      </w:r>
      <w:r w:rsidR="00B607E8">
        <w:rPr>
          <w:rStyle w:val="FootnoteReference"/>
        </w:rPr>
        <w:footnoteReference w:id="10"/>
      </w:r>
      <w:r w:rsidRPr="00C76F8D">
        <w:t xml:space="preserve"> The objective was to gain insights from global best practices in this field. The analysis unveiled a focus on various indicators, including: (</w:t>
      </w:r>
      <w:proofErr w:type="spellStart"/>
      <w:r w:rsidRPr="00C76F8D">
        <w:t>i</w:t>
      </w:r>
      <w:proofErr w:type="spellEnd"/>
      <w:r w:rsidRPr="00C76F8D">
        <w:t>) cost reductions, encompassing both the court system and individual litigants; (ii) decreased time required for resolution; and (iii) diminished necessity for hearings, as they are linked to higher costs and p</w:t>
      </w:r>
      <w:r w:rsidR="001F7A4E">
        <w:t>rolonged resolution time. (iv) t</w:t>
      </w:r>
      <w:r w:rsidRPr="00C76F8D">
        <w:t>he rates of settlement have experienced an increase.</w:t>
      </w:r>
      <w:r w:rsidR="00FC2A55">
        <w:rPr>
          <w:rStyle w:val="FootnoteReference"/>
        </w:rPr>
        <w:footnoteReference w:id="11"/>
      </w:r>
      <w:r w:rsidRPr="00C76F8D">
        <w:t xml:space="preserve"> (v) There has been an increase in both the volume of cases and the level of e</w:t>
      </w:r>
      <w:r w:rsidR="001F7A4E">
        <w:t>ngagement from litigants. (vi) s</w:t>
      </w:r>
      <w:r w:rsidRPr="00C76F8D">
        <w:t>ubjective measures of procedural justice and user satisfaction have also shown an increase.</w:t>
      </w:r>
      <w:r w:rsidR="00DF6DE9">
        <w:rPr>
          <w:rStyle w:val="FootnoteReference"/>
        </w:rPr>
        <w:footnoteReference w:id="12"/>
      </w:r>
      <w:r w:rsidRPr="00C76F8D">
        <w:t xml:space="preserve"> Although these measures hold significance, they lack a clear alignment with the established legal definitions of "access to justice" as outlined in case law, or the metrics employed in empirical research to evaluate access to justice in physical contexts.</w:t>
      </w:r>
    </w:p>
    <w:p w14:paraId="2780F2B8" w14:textId="77777777" w:rsidR="007B77AC" w:rsidRDefault="00DD493D" w:rsidP="004F2BF8">
      <w:pPr>
        <w:spacing w:after="0" w:line="360" w:lineRule="auto"/>
      </w:pPr>
      <w:r w:rsidRPr="00DD493D">
        <w:lastRenderedPageBreak/>
        <w:t xml:space="preserve">To rectify the deficiencies in current measurement methods, The Legal Education Foundation collaborated with </w:t>
      </w:r>
      <w:r w:rsidR="008017B7">
        <w:t>“</w:t>
      </w:r>
      <w:r w:rsidRPr="00DD493D">
        <w:t xml:space="preserve">Professor Dame Hazel </w:t>
      </w:r>
      <w:proofErr w:type="spellStart"/>
      <w:r w:rsidRPr="00DD493D">
        <w:t>Genn</w:t>
      </w:r>
      <w:proofErr w:type="spellEnd"/>
      <w:r w:rsidR="008017B7">
        <w:t>”</w:t>
      </w:r>
      <w:r w:rsidRPr="00DD493D">
        <w:t xml:space="preserve"> from </w:t>
      </w:r>
      <w:r w:rsidR="008017B7">
        <w:t>“</w:t>
      </w:r>
      <w:r w:rsidRPr="00DD493D">
        <w:t>University College London,</w:t>
      </w:r>
      <w:r w:rsidR="008017B7">
        <w:t>”</w:t>
      </w:r>
      <w:r w:rsidRPr="00DD493D">
        <w:t xml:space="preserve"> as well as </w:t>
      </w:r>
      <w:r w:rsidR="008017B7">
        <w:t>“</w:t>
      </w:r>
      <w:r w:rsidRPr="00DD493D">
        <w:t>Professor Abigail Adams</w:t>
      </w:r>
      <w:r w:rsidR="008017B7">
        <w:t>”</w:t>
      </w:r>
      <w:r w:rsidRPr="00DD493D">
        <w:t xml:space="preserve"> and </w:t>
      </w:r>
      <w:r w:rsidR="008017B7">
        <w:t>“</w:t>
      </w:r>
      <w:r w:rsidRPr="00DD493D">
        <w:t xml:space="preserve">Professor Jeremias </w:t>
      </w:r>
      <w:proofErr w:type="spellStart"/>
      <w:r w:rsidRPr="00DD493D">
        <w:t>Prassl</w:t>
      </w:r>
      <w:proofErr w:type="spellEnd"/>
      <w:r w:rsidR="008017B7">
        <w:t>”</w:t>
      </w:r>
      <w:r w:rsidRPr="00DD493D">
        <w:t xml:space="preserve"> from Oxford.</w:t>
      </w:r>
      <w:r w:rsidR="0021660A">
        <w:rPr>
          <w:rStyle w:val="FootnoteReference"/>
        </w:rPr>
        <w:footnoteReference w:id="13"/>
      </w:r>
      <w:r w:rsidRPr="00DD493D">
        <w:t xml:space="preserve"> Together, they organized workshops involving knowledgeable stakeholders, including representatives from HMCTS and the Ministry of Justice. The objective of these workshops was to propose recommendations.</w:t>
      </w:r>
    </w:p>
    <w:p w14:paraId="18EC4A8C" w14:textId="77777777" w:rsidR="007B77AC" w:rsidRDefault="00972508" w:rsidP="004F2BF8">
      <w:pPr>
        <w:pStyle w:val="ListParagraph"/>
        <w:numPr>
          <w:ilvl w:val="0"/>
          <w:numId w:val="2"/>
        </w:numPr>
        <w:spacing w:after="0" w:line="360" w:lineRule="auto"/>
      </w:pPr>
      <w:r w:rsidRPr="00972508">
        <w:t>The appropriate approach to conducting an evaluation that comprehensively measures the effects of the reform program on both the accessibility and fairness of the justice system, with a specific focus on individuals who are vulnerable.</w:t>
      </w:r>
    </w:p>
    <w:p w14:paraId="3BF49E33" w14:textId="77777777" w:rsidR="008E05D3" w:rsidRDefault="00B444E6" w:rsidP="004F2BF8">
      <w:pPr>
        <w:pStyle w:val="ListParagraph"/>
        <w:numPr>
          <w:ilvl w:val="0"/>
          <w:numId w:val="2"/>
        </w:numPr>
        <w:spacing w:after="0" w:line="360" w:lineRule="auto"/>
      </w:pPr>
      <w:r w:rsidRPr="00B444E6">
        <w:t>The collection of data that ought to be documented as part of a reformation effort to foster ongoing enhancement in the pursuit of upholding or enhancing the availability of justice.</w:t>
      </w:r>
      <w:r w:rsidR="00ED1B1F">
        <w:rPr>
          <w:rStyle w:val="FootnoteReference"/>
        </w:rPr>
        <w:footnoteReference w:id="14"/>
      </w:r>
    </w:p>
    <w:p w14:paraId="3265CCFD" w14:textId="77777777" w:rsidR="00EF07DC" w:rsidRDefault="00737684" w:rsidP="004F2BF8">
      <w:pPr>
        <w:spacing w:after="0" w:line="360" w:lineRule="auto"/>
      </w:pPr>
      <w:r w:rsidRPr="00737684">
        <w:t>The implementation of the reform program is taking place within the framework of a justice environment that has undergone notable transformations in recent times. There is a consensus that the accessibility of the justice system is influenced by various factors that extend beyond the realm of reform. These factors encompass the implementation of court fees, reductions in public funding for legal advice and assistance, and a limited public comprehension of law and legal rights.</w:t>
      </w:r>
      <w:r w:rsidR="004F3C46" w:rsidRPr="004F3C46">
        <w:t xml:space="preserve"> </w:t>
      </w:r>
      <w:r w:rsidR="00AF0047" w:rsidRPr="00AF0047">
        <w:t>Nevertheless, the ongoing reform initiative is fundamentally transforming the mechanisms by which justice is dispensed. Consequently, it is the responsibility of leaders spearheading these reforms to substantiate (or generate the necessary data for others to substantiate) that the newly implemented systems do not hinder the accessibility of justice. This entails ensuring that these systems do not establish obstacles to initiating a legal action or devise procedures that subject users to an unacceptable likelihood of experiencing unfair tre</w:t>
      </w:r>
      <w:r w:rsidR="00E803BD">
        <w:t>atment.</w:t>
      </w:r>
      <w:r w:rsidR="00E803BD">
        <w:rPr>
          <w:rStyle w:val="FootnoteReference"/>
        </w:rPr>
        <w:footnoteReference w:id="15"/>
      </w:r>
      <w:r w:rsidR="00AF0047" w:rsidRPr="00AF0047">
        <w:t xml:space="preserve"> The task of disaggregating the impact of the reform programme, or its individual projects, from other external factors is both complex and necessary. This analysis aims to elucidate the multifaceted ecosystem of factors that influence access to justice, extending beyond the confines of the reform programme. To illustrate this, the </w:t>
      </w:r>
      <w:r w:rsidR="003F1623">
        <w:t>“</w:t>
      </w:r>
      <w:r w:rsidR="00AF0047" w:rsidRPr="00AF0047">
        <w:t>Social Se</w:t>
      </w:r>
      <w:r w:rsidR="003F1623">
        <w:t>curity Claims Tribunal Appeals”</w:t>
      </w:r>
      <w:r w:rsidR="00AF0047" w:rsidRPr="00AF0047">
        <w:t xml:space="preserve"> project will be utilized as an exemplar. This paper primarily addresses the recommendations pe</w:t>
      </w:r>
      <w:r w:rsidR="00051DBA">
        <w:t xml:space="preserve">rtaining to the </w:t>
      </w:r>
      <w:r w:rsidR="00051DBA">
        <w:lastRenderedPageBreak/>
        <w:t>segment of the “</w:t>
      </w:r>
      <w:r w:rsidR="00AF0047" w:rsidRPr="00AF0047">
        <w:t>Ju</w:t>
      </w:r>
      <w:r w:rsidR="00051DBA">
        <w:t>stice Ecosystem”</w:t>
      </w:r>
      <w:r w:rsidR="00AF0047" w:rsidRPr="00AF0047">
        <w:t xml:space="preserve"> that falls under the jurisdiction of the HMCTS reform programme.</w:t>
      </w:r>
      <w:r w:rsidR="003F1623">
        <w:rPr>
          <w:rStyle w:val="FootnoteReference"/>
        </w:rPr>
        <w:footnoteReference w:id="16"/>
      </w:r>
    </w:p>
    <w:p w14:paraId="0675E42C" w14:textId="77777777" w:rsidR="00EF07DC" w:rsidRDefault="006275D2" w:rsidP="004F2BF8">
      <w:pPr>
        <w:spacing w:after="0" w:line="360" w:lineRule="auto"/>
      </w:pPr>
      <w:r w:rsidRPr="006275D2">
        <w:t>The lack of logic models and intended outcomes for individual service projects, such as the Civil Money Claims Online service, has hindered external engagement in the development of a comprehensive evaluation plan for both the reform programme as a whole and its constituent projects. According to HMCTS (as stated in their response to the Public Accounts Committee in November 2018), the organization acknowledges the importance of incorporating external research and academic perspectives to both validate and critically evaluate their approach.</w:t>
      </w:r>
      <w:r w:rsidR="005B4FFC">
        <w:rPr>
          <w:rStyle w:val="FootnoteReference"/>
        </w:rPr>
        <w:footnoteReference w:id="17"/>
      </w:r>
      <w:r w:rsidRPr="006275D2">
        <w:t xml:space="preserve"> </w:t>
      </w:r>
      <w:r w:rsidR="00283254" w:rsidRPr="00283254">
        <w:t>Nevertheless, the absence of precise and reliable information pertaining to the characteristics of service projects poses a challenge for external researchers and scholars in fulfilling their responsibilities. Additionally, it hinders their ability to aid in the identification of the requisite data and methodologies essential for conducting a comprehensive evaluation. The workshop participants expressed a strong recommendation that HMCTS should publish the underlying logic models and intended outcomes for individuals at each stage of the process, such as the Civil Money Claims Online service.</w:t>
      </w:r>
      <w:r w:rsidR="005E2966">
        <w:rPr>
          <w:rStyle w:val="FootnoteReference"/>
        </w:rPr>
        <w:footnoteReference w:id="18"/>
      </w:r>
      <w:r w:rsidR="00283254" w:rsidRPr="00283254">
        <w:t xml:space="preserve"> According to HMCTS, it is recommended that the logic models be provided during the second step of th</w:t>
      </w:r>
      <w:r w:rsidR="004A3B24">
        <w:t>e seven-step project cycle.</w:t>
      </w:r>
      <w:r w:rsidR="004A3B24">
        <w:rPr>
          <w:rStyle w:val="FootnoteReference"/>
        </w:rPr>
        <w:footnoteReference w:id="19"/>
      </w:r>
      <w:r w:rsidR="00283254" w:rsidRPr="00283254">
        <w:t xml:space="preserve"> The stakeholders have been informed by HMCTS that certain initiatives, such as court closures (referred to as "estates") and the implementation of fully video hearings, will have an impact on various service projects. However, the stakeholders have not been provided with specific estimates regarding the proportion of individuals or cases within each service that are expected to be affected by these cross-cutting changes.</w:t>
      </w:r>
      <w:r w:rsidR="00807089" w:rsidRPr="00807089">
        <w:t xml:space="preserve"> </w:t>
      </w:r>
      <w:r w:rsidR="00AA2F57" w:rsidRPr="00AA2F57">
        <w:t>The participants of the workshop suggested that it would be beneficial for HMCTS to promptly provide these estimates in order to: (</w:t>
      </w:r>
      <w:proofErr w:type="spellStart"/>
      <w:r w:rsidR="00AA2F57" w:rsidRPr="00AA2F57">
        <w:t>i</w:t>
      </w:r>
      <w:proofErr w:type="spellEnd"/>
      <w:r w:rsidR="00AA2F57" w:rsidRPr="00AA2F57">
        <w:t>.) inform the development of the evaluation process and (ii.) aid the legal advice and legal services sector in preparing for the consequences of the reform.</w:t>
      </w:r>
      <w:r w:rsidR="00B505D8">
        <w:rPr>
          <w:rStyle w:val="FootnoteReference"/>
        </w:rPr>
        <w:footnoteReference w:id="20"/>
      </w:r>
    </w:p>
    <w:p w14:paraId="73BF32CA" w14:textId="77777777" w:rsidR="004E37C3" w:rsidRDefault="0091128A" w:rsidP="004F2BF8">
      <w:pPr>
        <w:spacing w:after="0" w:line="360" w:lineRule="auto"/>
      </w:pPr>
      <w:r w:rsidRPr="0091128A">
        <w:t xml:space="preserve">The participants of the workshop made a recommendation that the definition of "vulnerability" used in the comprehensive evaluation of the reform program should be derived from the factors </w:t>
      </w:r>
      <w:r w:rsidRPr="0091128A">
        <w:lastRenderedPageBreak/>
        <w:t>outlined in current substantive and procedural law. The workshop participants suggested that in order to assess the effects of reform on the accessibility of justice for vulnerable individuals and the equity of the justice system, it is advisable for HMCTS to prioritize the integration of data collection pertaining to thirteen specific points of vulnerability into every service offered, as early as feasible in the user's journey.</w:t>
      </w:r>
      <w:r w:rsidR="00D719DF">
        <w:rPr>
          <w:rStyle w:val="FootnoteReference"/>
        </w:rPr>
        <w:footnoteReference w:id="21"/>
      </w:r>
      <w:r w:rsidRPr="0091128A">
        <w:t xml:space="preserve"> It is imperative to observe and </w:t>
      </w:r>
      <w:r w:rsidR="00D14F0B" w:rsidRPr="0091128A">
        <w:t>analyse</w:t>
      </w:r>
      <w:r w:rsidRPr="0091128A">
        <w:t xml:space="preserve"> attrition patterns at various stages, as well as examine the correlation between vulnerability and different outcomes such as settlement or withdrawal from the system.</w:t>
      </w:r>
    </w:p>
    <w:p w14:paraId="090C622D" w14:textId="77777777" w:rsidR="003657FC" w:rsidRPr="003657FC" w:rsidRDefault="00837123" w:rsidP="004F2BF8">
      <w:pPr>
        <w:spacing w:after="0" w:line="360" w:lineRule="auto"/>
      </w:pPr>
      <w:r w:rsidRPr="00837123">
        <w:t xml:space="preserve">Participants at the workshop stressed the importance of assessing how the reforms improved access to and the fairness of the justice system, especially for those with protected characteristics under the </w:t>
      </w:r>
      <w:r w:rsidR="005A267A">
        <w:t>“</w:t>
      </w:r>
      <w:r w:rsidRPr="00837123">
        <w:t>Equality Act of 2010.</w:t>
      </w:r>
      <w:r w:rsidR="005A267A">
        <w:t>”</w:t>
      </w:r>
      <w:r w:rsidR="00063289">
        <w:rPr>
          <w:rStyle w:val="FootnoteReference"/>
        </w:rPr>
        <w:footnoteReference w:id="22"/>
      </w:r>
      <w:r w:rsidRPr="00837123">
        <w:t xml:space="preserve"> Participants at the workshop urged HMCTS to evaluate the pros and downsides of mandating personal identification for everyone who interacts with the legal system.</w:t>
      </w:r>
      <w:r w:rsidR="004E37C3" w:rsidRPr="004E37C3">
        <w:t xml:space="preserve"> </w:t>
      </w:r>
      <w:r w:rsidR="006362C9" w:rsidRPr="006362C9">
        <w:t xml:space="preserve">To better identify how court users move through the procedure, where they exit the structure, and what results they secure when they do so, it would be helpful to assign unique identifiers at the person level rather than the case level. As a result, HMCTS would be able to serve the users of the revamped systems even better. Researchers and other interested parties (such as policymakers) may also benefit from this information if it is properly </w:t>
      </w:r>
      <w:r w:rsidR="00D14F0B" w:rsidRPr="006362C9">
        <w:t>anonymised</w:t>
      </w:r>
      <w:r w:rsidR="006362C9" w:rsidRPr="006362C9">
        <w:t>.</w:t>
      </w:r>
      <w:r w:rsidR="00211E64">
        <w:rPr>
          <w:rStyle w:val="FootnoteReference"/>
        </w:rPr>
        <w:footnoteReference w:id="23"/>
      </w:r>
      <w:r w:rsidR="004E37C3" w:rsidRPr="004E37C3">
        <w:t xml:space="preserve"> </w:t>
      </w:r>
      <w:r w:rsidR="00D067E5" w:rsidRPr="00D067E5">
        <w:t>To weigh the pros and cons of this strategy and guarantee that this data is collected, held, and used in accordance with the Rule of legislation, it is important to seek the advice of experts in privacy legislation and data ethics.</w:t>
      </w:r>
      <w:r w:rsidR="003657FC">
        <w:rPr>
          <w:b/>
        </w:rPr>
        <w:br w:type="page"/>
      </w:r>
    </w:p>
    <w:p w14:paraId="3B1F1650" w14:textId="77777777" w:rsidR="002E25C2" w:rsidRPr="003657FC" w:rsidRDefault="003657FC" w:rsidP="004F2BF8">
      <w:pPr>
        <w:spacing w:after="0" w:line="360" w:lineRule="auto"/>
        <w:rPr>
          <w:b/>
        </w:rPr>
      </w:pPr>
      <w:r w:rsidRPr="003657FC">
        <w:rPr>
          <w:b/>
        </w:rPr>
        <w:lastRenderedPageBreak/>
        <w:t>Bibliography</w:t>
      </w:r>
    </w:p>
    <w:p w14:paraId="32A7DD38" w14:textId="77777777" w:rsidR="000E4277" w:rsidRPr="00A43A16" w:rsidRDefault="000E4277" w:rsidP="004F2BF8">
      <w:pPr>
        <w:spacing w:after="0" w:line="360" w:lineRule="auto"/>
        <w:rPr>
          <w:lang w:val="en-US"/>
        </w:rPr>
      </w:pPr>
      <w:proofErr w:type="spellStart"/>
      <w:r w:rsidRPr="00462749">
        <w:t>Bunjevac</w:t>
      </w:r>
      <w:proofErr w:type="spellEnd"/>
      <w:r w:rsidRPr="00462749">
        <w:t xml:space="preserve">, Tim, and Tim </w:t>
      </w:r>
      <w:proofErr w:type="spellStart"/>
      <w:r w:rsidRPr="00462749">
        <w:t>Bunjevac</w:t>
      </w:r>
      <w:proofErr w:type="spellEnd"/>
      <w:r w:rsidRPr="00462749">
        <w:t>. "Models of Court Governance." </w:t>
      </w:r>
      <w:r w:rsidRPr="00A43A16">
        <w:rPr>
          <w:i/>
          <w:iCs/>
        </w:rPr>
        <w:t>Judicial Self-Governance in the New Millennium: An Institutional and Policy Framework</w:t>
      </w:r>
      <w:r w:rsidRPr="00462749">
        <w:t> (2020): 27-54.</w:t>
      </w:r>
    </w:p>
    <w:p w14:paraId="6CDE853B" w14:textId="77777777" w:rsidR="000E4277" w:rsidRPr="00A43A16" w:rsidRDefault="000E4277" w:rsidP="004F2BF8">
      <w:pPr>
        <w:spacing w:after="0" w:line="360" w:lineRule="auto"/>
        <w:rPr>
          <w:lang w:val="en-US"/>
        </w:rPr>
      </w:pPr>
      <w:proofErr w:type="spellStart"/>
      <w:r w:rsidRPr="00462749">
        <w:t>Byrom</w:t>
      </w:r>
      <w:proofErr w:type="spellEnd"/>
      <w:r w:rsidRPr="00462749">
        <w:t xml:space="preserve">, Natalie. "Developing the detail: evaluating the impact of court reform in </w:t>
      </w:r>
      <w:proofErr w:type="spellStart"/>
      <w:r w:rsidRPr="00462749">
        <w:t>england</w:t>
      </w:r>
      <w:proofErr w:type="spellEnd"/>
      <w:r w:rsidRPr="00462749">
        <w:t xml:space="preserve"> and </w:t>
      </w:r>
      <w:proofErr w:type="spellStart"/>
      <w:r w:rsidRPr="00462749">
        <w:t>wales</w:t>
      </w:r>
      <w:proofErr w:type="spellEnd"/>
      <w:r w:rsidRPr="00462749">
        <w:t xml:space="preserve"> on access to justice." </w:t>
      </w:r>
      <w:r w:rsidRPr="00A43A16">
        <w:rPr>
          <w:i/>
          <w:iCs/>
        </w:rPr>
        <w:t>London: Legal Education Foundation</w:t>
      </w:r>
      <w:r w:rsidRPr="00462749">
        <w:t> (2019).</w:t>
      </w:r>
    </w:p>
    <w:p w14:paraId="2FAA2B1C" w14:textId="77777777" w:rsidR="000E4277" w:rsidRPr="00A43A16" w:rsidRDefault="000E4277" w:rsidP="004F2BF8">
      <w:pPr>
        <w:spacing w:after="0" w:line="360" w:lineRule="auto"/>
        <w:rPr>
          <w:lang w:val="en-US"/>
        </w:rPr>
      </w:pPr>
      <w:r w:rsidRPr="00462749">
        <w:t>Digital Justice: HMCTS data strategy and delivering access. Retrieved from: https://assets.publishing.service.gov.uk/government/uploads/system/uploads/attachment_data/file/835778/DigitalJusticeFINAL.PDF</w:t>
      </w:r>
    </w:p>
    <w:p w14:paraId="2E44A29F" w14:textId="77777777" w:rsidR="000E4277" w:rsidRPr="00A43A16" w:rsidRDefault="000E4277" w:rsidP="004F2BF8">
      <w:pPr>
        <w:spacing w:after="0" w:line="360" w:lineRule="auto"/>
        <w:rPr>
          <w:lang w:val="en-US"/>
        </w:rPr>
      </w:pPr>
      <w:r w:rsidRPr="00462749">
        <w:t>Early progress in transforming courts and tribunals. (2023). Retrieved from: https://www.nao.org.uk/reports/early-progress-in-transforming-courts-and-tribunals/</w:t>
      </w:r>
    </w:p>
    <w:p w14:paraId="1A1F7240" w14:textId="77777777" w:rsidR="000E4277" w:rsidRPr="000E4277" w:rsidRDefault="000E4277" w:rsidP="004F2BF8">
      <w:pPr>
        <w:spacing w:after="0" w:line="360" w:lineRule="auto"/>
        <w:rPr>
          <w:lang w:val="en-US"/>
        </w:rPr>
      </w:pPr>
      <w:r w:rsidRPr="00462749">
        <w:t>Irwin-Rogers, Keir, and Julian V. Roberts. "Swimming against the Tide: The Suspended Sentence Order in England and Wales, 2000-2017." </w:t>
      </w:r>
      <w:r w:rsidRPr="00A43A16">
        <w:rPr>
          <w:i/>
          <w:iCs/>
        </w:rPr>
        <w:t>Law &amp; Contemp. Probs.</w:t>
      </w:r>
      <w:r w:rsidRPr="00462749">
        <w:t> 82 (2019): 137.</w:t>
      </w:r>
    </w:p>
    <w:sectPr w:rsidR="000E4277" w:rsidRPr="000E4277">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363A8" w14:textId="77777777" w:rsidR="00A8040F" w:rsidRDefault="00A8040F" w:rsidP="005D5541">
      <w:pPr>
        <w:spacing w:after="0" w:line="240" w:lineRule="auto"/>
      </w:pPr>
      <w:r>
        <w:separator/>
      </w:r>
    </w:p>
  </w:endnote>
  <w:endnote w:type="continuationSeparator" w:id="0">
    <w:p w14:paraId="536F8C47" w14:textId="77777777" w:rsidR="00A8040F" w:rsidRDefault="00A8040F" w:rsidP="005D55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38446" w14:textId="77777777" w:rsidR="00A8040F" w:rsidRDefault="00A8040F" w:rsidP="005D5541">
      <w:pPr>
        <w:spacing w:after="0" w:line="240" w:lineRule="auto"/>
      </w:pPr>
      <w:r>
        <w:separator/>
      </w:r>
    </w:p>
  </w:footnote>
  <w:footnote w:type="continuationSeparator" w:id="0">
    <w:p w14:paraId="68455C90" w14:textId="77777777" w:rsidR="00A8040F" w:rsidRDefault="00A8040F" w:rsidP="005D5541">
      <w:pPr>
        <w:spacing w:after="0" w:line="240" w:lineRule="auto"/>
      </w:pPr>
      <w:r>
        <w:continuationSeparator/>
      </w:r>
    </w:p>
  </w:footnote>
  <w:footnote w:id="1">
    <w:p w14:paraId="62A894CB" w14:textId="77777777" w:rsidR="005D5541" w:rsidRPr="005D5541" w:rsidRDefault="005D5541">
      <w:pPr>
        <w:pStyle w:val="FootnoteText"/>
        <w:rPr>
          <w:lang w:val="en-US"/>
        </w:rPr>
      </w:pPr>
      <w:r>
        <w:rPr>
          <w:rStyle w:val="FootnoteReference"/>
        </w:rPr>
        <w:footnoteRef/>
      </w:r>
      <w:r>
        <w:t xml:space="preserve"> </w:t>
      </w:r>
      <w:proofErr w:type="spellStart"/>
      <w:r w:rsidRPr="005D5541">
        <w:t>Byrom</w:t>
      </w:r>
      <w:proofErr w:type="spellEnd"/>
      <w:r w:rsidRPr="005D5541">
        <w:t xml:space="preserve">, Natalie. "Developing the detail: evaluating the impact of court reform in </w:t>
      </w:r>
      <w:proofErr w:type="spellStart"/>
      <w:r w:rsidRPr="005D5541">
        <w:t>england</w:t>
      </w:r>
      <w:proofErr w:type="spellEnd"/>
      <w:r w:rsidRPr="005D5541">
        <w:t xml:space="preserve"> and </w:t>
      </w:r>
      <w:proofErr w:type="spellStart"/>
      <w:r w:rsidRPr="005D5541">
        <w:t>wales</w:t>
      </w:r>
      <w:proofErr w:type="spellEnd"/>
      <w:r w:rsidRPr="005D5541">
        <w:t xml:space="preserve"> on access to justice." </w:t>
      </w:r>
      <w:r w:rsidRPr="005D5541">
        <w:rPr>
          <w:i/>
          <w:iCs/>
        </w:rPr>
        <w:t>London: Legal Education Foundation</w:t>
      </w:r>
      <w:r w:rsidRPr="005D5541">
        <w:t> (2019).</w:t>
      </w:r>
    </w:p>
  </w:footnote>
  <w:footnote w:id="2">
    <w:p w14:paraId="786114AC" w14:textId="77777777" w:rsidR="003E5B9A" w:rsidRPr="003E5B9A" w:rsidRDefault="003E5B9A">
      <w:pPr>
        <w:pStyle w:val="FootnoteText"/>
        <w:rPr>
          <w:lang w:val="en-US"/>
        </w:rPr>
      </w:pPr>
      <w:r>
        <w:rPr>
          <w:rStyle w:val="FootnoteReference"/>
        </w:rPr>
        <w:footnoteRef/>
      </w:r>
      <w:r>
        <w:t xml:space="preserve"> </w:t>
      </w:r>
      <w:r>
        <w:rPr>
          <w:lang w:val="en-US"/>
        </w:rPr>
        <w:t>Ibid.</w:t>
      </w:r>
    </w:p>
  </w:footnote>
  <w:footnote w:id="3">
    <w:p w14:paraId="3F62FE06" w14:textId="77777777" w:rsidR="007A7AC5" w:rsidRPr="007A7AC5" w:rsidRDefault="007A7AC5">
      <w:pPr>
        <w:pStyle w:val="FootnoteText"/>
        <w:rPr>
          <w:lang w:val="en-US"/>
        </w:rPr>
      </w:pPr>
      <w:r>
        <w:rPr>
          <w:rStyle w:val="FootnoteReference"/>
        </w:rPr>
        <w:footnoteRef/>
      </w:r>
      <w:r>
        <w:t xml:space="preserve"> </w:t>
      </w:r>
      <w:r w:rsidR="00DE13D8" w:rsidRPr="00DE13D8">
        <w:t>Early progress in transforming courts and tribunals</w:t>
      </w:r>
      <w:r w:rsidR="00DE13D8">
        <w:t xml:space="preserve">. (2023). Retrieved from: </w:t>
      </w:r>
      <w:r w:rsidR="00805DBE" w:rsidRPr="00805DBE">
        <w:t>https://www.nao.org.uk/reports/early-progress-in-transforming-courts-and-tribunals/</w:t>
      </w:r>
    </w:p>
  </w:footnote>
  <w:footnote w:id="4">
    <w:p w14:paraId="53B8099D" w14:textId="77777777" w:rsidR="001D0D71" w:rsidRPr="001D0D71" w:rsidRDefault="001D0D71">
      <w:pPr>
        <w:pStyle w:val="FootnoteText"/>
        <w:rPr>
          <w:lang w:val="en-US"/>
        </w:rPr>
      </w:pPr>
      <w:r>
        <w:rPr>
          <w:rStyle w:val="FootnoteReference"/>
        </w:rPr>
        <w:footnoteRef/>
      </w:r>
      <w:r>
        <w:t xml:space="preserve"> </w:t>
      </w:r>
      <w:proofErr w:type="spellStart"/>
      <w:r w:rsidR="008038AD" w:rsidRPr="005D5541">
        <w:t>Byrom</w:t>
      </w:r>
      <w:proofErr w:type="spellEnd"/>
      <w:r w:rsidR="008038AD" w:rsidRPr="005D5541">
        <w:t xml:space="preserve">, Natalie. "Developing the detail: evaluating the impact of court reform in </w:t>
      </w:r>
      <w:proofErr w:type="spellStart"/>
      <w:r w:rsidR="008038AD" w:rsidRPr="005D5541">
        <w:t>england</w:t>
      </w:r>
      <w:proofErr w:type="spellEnd"/>
      <w:r w:rsidR="008038AD" w:rsidRPr="005D5541">
        <w:t xml:space="preserve"> and </w:t>
      </w:r>
      <w:proofErr w:type="spellStart"/>
      <w:r w:rsidR="008038AD" w:rsidRPr="005D5541">
        <w:t>wales</w:t>
      </w:r>
      <w:proofErr w:type="spellEnd"/>
      <w:r w:rsidR="008038AD" w:rsidRPr="005D5541">
        <w:t xml:space="preserve"> on access to justice." </w:t>
      </w:r>
      <w:r w:rsidR="008038AD" w:rsidRPr="005D5541">
        <w:rPr>
          <w:i/>
          <w:iCs/>
        </w:rPr>
        <w:t>London: Legal Education Foundation</w:t>
      </w:r>
      <w:r w:rsidR="008038AD" w:rsidRPr="005D5541">
        <w:t> (2019).</w:t>
      </w:r>
    </w:p>
  </w:footnote>
  <w:footnote w:id="5">
    <w:p w14:paraId="5655B948" w14:textId="77777777" w:rsidR="00200116" w:rsidRPr="00200116" w:rsidRDefault="00200116">
      <w:pPr>
        <w:pStyle w:val="FootnoteText"/>
        <w:rPr>
          <w:lang w:val="en-US"/>
        </w:rPr>
      </w:pPr>
      <w:r>
        <w:rPr>
          <w:rStyle w:val="FootnoteReference"/>
        </w:rPr>
        <w:footnoteRef/>
      </w:r>
      <w:r>
        <w:t xml:space="preserve"> </w:t>
      </w:r>
      <w:r>
        <w:rPr>
          <w:lang w:val="en-US"/>
        </w:rPr>
        <w:t>Ibid.</w:t>
      </w:r>
    </w:p>
  </w:footnote>
  <w:footnote w:id="6">
    <w:p w14:paraId="31B1D28D" w14:textId="77777777" w:rsidR="00303ED0" w:rsidRPr="00303ED0" w:rsidRDefault="00303ED0">
      <w:pPr>
        <w:pStyle w:val="FootnoteText"/>
        <w:rPr>
          <w:lang w:val="en-US"/>
        </w:rPr>
      </w:pPr>
      <w:r>
        <w:rPr>
          <w:rStyle w:val="FootnoteReference"/>
        </w:rPr>
        <w:footnoteRef/>
      </w:r>
      <w:r>
        <w:t xml:space="preserve"> </w:t>
      </w:r>
      <w:r w:rsidR="003A7DFA" w:rsidRPr="003A7DFA">
        <w:t>Digital Justice: HMCTS data strategy and delivering access</w:t>
      </w:r>
      <w:r w:rsidR="003A7DFA">
        <w:t xml:space="preserve">. Retrieved from: </w:t>
      </w:r>
      <w:r w:rsidR="00783BB3" w:rsidRPr="00783BB3">
        <w:t>https://assets.publishing.service.gov.uk/government/uploads/system/uploads/attachment_data/file/835778/DigitalJusticeFINAL.PDF</w:t>
      </w:r>
    </w:p>
  </w:footnote>
  <w:footnote w:id="7">
    <w:p w14:paraId="0DE74B6F" w14:textId="77777777" w:rsidR="00AC18FD" w:rsidRPr="00AC18FD" w:rsidRDefault="00AC18FD">
      <w:pPr>
        <w:pStyle w:val="FootnoteText"/>
        <w:rPr>
          <w:lang w:val="en-US"/>
        </w:rPr>
      </w:pPr>
      <w:r>
        <w:rPr>
          <w:rStyle w:val="FootnoteReference"/>
        </w:rPr>
        <w:footnoteRef/>
      </w:r>
      <w:r>
        <w:t xml:space="preserve"> </w:t>
      </w:r>
      <w:proofErr w:type="spellStart"/>
      <w:r w:rsidRPr="00AC18FD">
        <w:t>Byrom</w:t>
      </w:r>
      <w:proofErr w:type="spellEnd"/>
      <w:r w:rsidRPr="00AC18FD">
        <w:t xml:space="preserve">, Natalie. "Developing the detail: evaluating the impact of court reform in </w:t>
      </w:r>
      <w:proofErr w:type="spellStart"/>
      <w:r w:rsidRPr="00AC18FD">
        <w:t>england</w:t>
      </w:r>
      <w:proofErr w:type="spellEnd"/>
      <w:r w:rsidRPr="00AC18FD">
        <w:t xml:space="preserve"> and </w:t>
      </w:r>
      <w:proofErr w:type="spellStart"/>
      <w:r w:rsidRPr="00AC18FD">
        <w:t>wales</w:t>
      </w:r>
      <w:proofErr w:type="spellEnd"/>
      <w:r w:rsidRPr="00AC18FD">
        <w:t xml:space="preserve"> on access to justice." </w:t>
      </w:r>
      <w:r w:rsidRPr="00AC18FD">
        <w:rPr>
          <w:i/>
          <w:iCs/>
        </w:rPr>
        <w:t>London: Legal Education Foundation</w:t>
      </w:r>
      <w:r w:rsidRPr="00AC18FD">
        <w:t> (2019).</w:t>
      </w:r>
    </w:p>
  </w:footnote>
  <w:footnote w:id="8">
    <w:p w14:paraId="7D459D7D" w14:textId="77777777" w:rsidR="00F61625" w:rsidRPr="00F61625" w:rsidRDefault="00F61625">
      <w:pPr>
        <w:pStyle w:val="FootnoteText"/>
        <w:rPr>
          <w:lang w:val="en-US"/>
        </w:rPr>
      </w:pPr>
      <w:r>
        <w:rPr>
          <w:rStyle w:val="FootnoteReference"/>
        </w:rPr>
        <w:footnoteRef/>
      </w:r>
      <w:r>
        <w:t xml:space="preserve"> </w:t>
      </w:r>
      <w:proofErr w:type="spellStart"/>
      <w:r w:rsidRPr="00F61625">
        <w:t>Byrom</w:t>
      </w:r>
      <w:proofErr w:type="spellEnd"/>
      <w:r w:rsidRPr="00F61625">
        <w:t xml:space="preserve">, Natalie. "Developing the detail: evaluating the impact of court reform in </w:t>
      </w:r>
      <w:proofErr w:type="spellStart"/>
      <w:r w:rsidRPr="00F61625">
        <w:t>england</w:t>
      </w:r>
      <w:proofErr w:type="spellEnd"/>
      <w:r w:rsidRPr="00F61625">
        <w:t xml:space="preserve"> and </w:t>
      </w:r>
      <w:proofErr w:type="spellStart"/>
      <w:r w:rsidRPr="00F61625">
        <w:t>wales</w:t>
      </w:r>
      <w:proofErr w:type="spellEnd"/>
      <w:r w:rsidRPr="00F61625">
        <w:t xml:space="preserve"> on access to justice." </w:t>
      </w:r>
      <w:r w:rsidRPr="00F61625">
        <w:rPr>
          <w:i/>
          <w:iCs/>
        </w:rPr>
        <w:t>London: Legal Education Foundation</w:t>
      </w:r>
      <w:r w:rsidRPr="00F61625">
        <w:t> (2019).</w:t>
      </w:r>
    </w:p>
  </w:footnote>
  <w:footnote w:id="9">
    <w:p w14:paraId="72B7BF24" w14:textId="77777777" w:rsidR="004C72A4" w:rsidRPr="004C72A4" w:rsidRDefault="004C72A4">
      <w:pPr>
        <w:pStyle w:val="FootnoteText"/>
        <w:rPr>
          <w:lang w:val="en-US"/>
        </w:rPr>
      </w:pPr>
      <w:r>
        <w:rPr>
          <w:rStyle w:val="FootnoteReference"/>
        </w:rPr>
        <w:footnoteRef/>
      </w:r>
      <w:r>
        <w:t xml:space="preserve"> </w:t>
      </w:r>
      <w:proofErr w:type="spellStart"/>
      <w:r w:rsidRPr="004C72A4">
        <w:t>Bunjevac</w:t>
      </w:r>
      <w:proofErr w:type="spellEnd"/>
      <w:r w:rsidRPr="004C72A4">
        <w:t xml:space="preserve">, Tim, and Tim </w:t>
      </w:r>
      <w:proofErr w:type="spellStart"/>
      <w:r w:rsidRPr="004C72A4">
        <w:t>Bunjevac</w:t>
      </w:r>
      <w:proofErr w:type="spellEnd"/>
      <w:r w:rsidRPr="004C72A4">
        <w:t>. "Models of Court Governance." </w:t>
      </w:r>
      <w:r w:rsidRPr="004C72A4">
        <w:rPr>
          <w:i/>
          <w:iCs/>
        </w:rPr>
        <w:t>Judicial Self-Governance in the New Millennium: An Institutional and Policy Framework</w:t>
      </w:r>
      <w:r w:rsidRPr="004C72A4">
        <w:t> (2020): 27-54.</w:t>
      </w:r>
    </w:p>
  </w:footnote>
  <w:footnote w:id="10">
    <w:p w14:paraId="0E2CB64D" w14:textId="77777777" w:rsidR="00B607E8" w:rsidRPr="00B607E8" w:rsidRDefault="00B607E8">
      <w:pPr>
        <w:pStyle w:val="FootnoteText"/>
        <w:rPr>
          <w:lang w:val="en-US"/>
        </w:rPr>
      </w:pPr>
      <w:r>
        <w:rPr>
          <w:rStyle w:val="FootnoteReference"/>
        </w:rPr>
        <w:footnoteRef/>
      </w:r>
      <w:r>
        <w:t xml:space="preserve"> </w:t>
      </w:r>
      <w:proofErr w:type="spellStart"/>
      <w:r w:rsidRPr="00B607E8">
        <w:t>Byrom</w:t>
      </w:r>
      <w:proofErr w:type="spellEnd"/>
      <w:r w:rsidRPr="00B607E8">
        <w:t xml:space="preserve">, Natalie. "Developing the detail: evaluating the impact of court reform in </w:t>
      </w:r>
      <w:proofErr w:type="spellStart"/>
      <w:r w:rsidRPr="00B607E8">
        <w:t>england</w:t>
      </w:r>
      <w:proofErr w:type="spellEnd"/>
      <w:r w:rsidRPr="00B607E8">
        <w:t xml:space="preserve"> and </w:t>
      </w:r>
      <w:proofErr w:type="spellStart"/>
      <w:r w:rsidRPr="00B607E8">
        <w:t>wales</w:t>
      </w:r>
      <w:proofErr w:type="spellEnd"/>
      <w:r w:rsidRPr="00B607E8">
        <w:t xml:space="preserve"> on access to justice." </w:t>
      </w:r>
      <w:r w:rsidRPr="00B607E8">
        <w:rPr>
          <w:i/>
          <w:iCs/>
        </w:rPr>
        <w:t>London: Legal Education Foundation</w:t>
      </w:r>
      <w:r w:rsidRPr="00B607E8">
        <w:t> (2019).</w:t>
      </w:r>
    </w:p>
  </w:footnote>
  <w:footnote w:id="11">
    <w:p w14:paraId="645A62F0" w14:textId="77777777" w:rsidR="00FC2A55" w:rsidRPr="00FC2A55" w:rsidRDefault="00FC2A55">
      <w:pPr>
        <w:pStyle w:val="FootnoteText"/>
        <w:rPr>
          <w:lang w:val="en-US"/>
        </w:rPr>
      </w:pPr>
      <w:r>
        <w:rPr>
          <w:rStyle w:val="FootnoteReference"/>
        </w:rPr>
        <w:footnoteRef/>
      </w:r>
      <w:r>
        <w:t xml:space="preserve"> </w:t>
      </w:r>
      <w:r>
        <w:rPr>
          <w:lang w:val="en-US"/>
        </w:rPr>
        <w:t>Ibid.</w:t>
      </w:r>
    </w:p>
  </w:footnote>
  <w:footnote w:id="12">
    <w:p w14:paraId="7A928F83" w14:textId="77777777" w:rsidR="00DF6DE9" w:rsidRPr="00DF6DE9" w:rsidRDefault="00DF6DE9">
      <w:pPr>
        <w:pStyle w:val="FootnoteText"/>
        <w:rPr>
          <w:lang w:val="en-US"/>
        </w:rPr>
      </w:pPr>
      <w:r>
        <w:rPr>
          <w:rStyle w:val="FootnoteReference"/>
        </w:rPr>
        <w:footnoteRef/>
      </w:r>
      <w:r>
        <w:t xml:space="preserve"> </w:t>
      </w:r>
      <w:r>
        <w:rPr>
          <w:lang w:val="en-US"/>
        </w:rPr>
        <w:t>Ibid.</w:t>
      </w:r>
    </w:p>
  </w:footnote>
  <w:footnote w:id="13">
    <w:p w14:paraId="63989E3B" w14:textId="77777777" w:rsidR="0021660A" w:rsidRPr="0021660A" w:rsidRDefault="0021660A">
      <w:pPr>
        <w:pStyle w:val="FootnoteText"/>
        <w:rPr>
          <w:lang w:val="en-US"/>
        </w:rPr>
      </w:pPr>
      <w:r>
        <w:rPr>
          <w:rStyle w:val="FootnoteReference"/>
        </w:rPr>
        <w:footnoteRef/>
      </w:r>
      <w:r>
        <w:t xml:space="preserve"> </w:t>
      </w:r>
      <w:r>
        <w:rPr>
          <w:lang w:val="en-US"/>
        </w:rPr>
        <w:t>Ibid.</w:t>
      </w:r>
    </w:p>
  </w:footnote>
  <w:footnote w:id="14">
    <w:p w14:paraId="70FB3132" w14:textId="77777777" w:rsidR="00ED1B1F" w:rsidRPr="00ED1B1F" w:rsidRDefault="00ED1B1F">
      <w:pPr>
        <w:pStyle w:val="FootnoteText"/>
        <w:rPr>
          <w:lang w:val="en-US"/>
        </w:rPr>
      </w:pPr>
      <w:r>
        <w:rPr>
          <w:rStyle w:val="FootnoteReference"/>
        </w:rPr>
        <w:footnoteRef/>
      </w:r>
      <w:r>
        <w:t xml:space="preserve"> </w:t>
      </w:r>
      <w:r>
        <w:rPr>
          <w:lang w:val="en-US"/>
        </w:rPr>
        <w:t>Ibid.</w:t>
      </w:r>
    </w:p>
  </w:footnote>
  <w:footnote w:id="15">
    <w:p w14:paraId="6F9B3D5A" w14:textId="77777777" w:rsidR="00E803BD" w:rsidRPr="00E803BD" w:rsidRDefault="00E803BD">
      <w:pPr>
        <w:pStyle w:val="FootnoteText"/>
        <w:rPr>
          <w:lang w:val="en-US"/>
        </w:rPr>
      </w:pPr>
      <w:r>
        <w:rPr>
          <w:rStyle w:val="FootnoteReference"/>
        </w:rPr>
        <w:footnoteRef/>
      </w:r>
      <w:r>
        <w:t xml:space="preserve"> </w:t>
      </w:r>
      <w:r w:rsidRPr="00E803BD">
        <w:t>Irwin-Rogers, Keir, and Julian V. Roberts. "Swimming against the Tide: The Suspended Sentence Order in England and Wales, 2000-2017." </w:t>
      </w:r>
      <w:r w:rsidRPr="00E803BD">
        <w:rPr>
          <w:i/>
          <w:iCs/>
        </w:rPr>
        <w:t>Law &amp; Contemp. Probs.</w:t>
      </w:r>
      <w:r w:rsidRPr="00E803BD">
        <w:t> 82 (2019): 137.</w:t>
      </w:r>
    </w:p>
  </w:footnote>
  <w:footnote w:id="16">
    <w:p w14:paraId="318D9F01" w14:textId="77777777" w:rsidR="003F1623" w:rsidRPr="003F1623" w:rsidRDefault="003F1623">
      <w:pPr>
        <w:pStyle w:val="FootnoteText"/>
        <w:rPr>
          <w:lang w:val="en-US"/>
        </w:rPr>
      </w:pPr>
      <w:r>
        <w:rPr>
          <w:rStyle w:val="FootnoteReference"/>
        </w:rPr>
        <w:footnoteRef/>
      </w:r>
      <w:r>
        <w:t xml:space="preserve"> </w:t>
      </w:r>
      <w:r>
        <w:rPr>
          <w:lang w:val="en-US"/>
        </w:rPr>
        <w:t>Ibid.</w:t>
      </w:r>
    </w:p>
  </w:footnote>
  <w:footnote w:id="17">
    <w:p w14:paraId="2119C634" w14:textId="77777777" w:rsidR="005B4FFC" w:rsidRPr="005B4FFC" w:rsidRDefault="005B4FFC">
      <w:pPr>
        <w:pStyle w:val="FootnoteText"/>
        <w:rPr>
          <w:lang w:val="en-US"/>
        </w:rPr>
      </w:pPr>
      <w:r>
        <w:rPr>
          <w:rStyle w:val="FootnoteReference"/>
        </w:rPr>
        <w:footnoteRef/>
      </w:r>
      <w:r>
        <w:t xml:space="preserve"> </w:t>
      </w:r>
      <w:r>
        <w:rPr>
          <w:lang w:val="en-US"/>
        </w:rPr>
        <w:t>Ibid.</w:t>
      </w:r>
    </w:p>
  </w:footnote>
  <w:footnote w:id="18">
    <w:p w14:paraId="74D56E63" w14:textId="77777777" w:rsidR="005E2966" w:rsidRPr="005E2966" w:rsidRDefault="005E2966">
      <w:pPr>
        <w:pStyle w:val="FootnoteText"/>
        <w:rPr>
          <w:lang w:val="en-US"/>
        </w:rPr>
      </w:pPr>
      <w:r>
        <w:rPr>
          <w:rStyle w:val="FootnoteReference"/>
        </w:rPr>
        <w:footnoteRef/>
      </w:r>
      <w:r>
        <w:t xml:space="preserve"> </w:t>
      </w:r>
      <w:proofErr w:type="spellStart"/>
      <w:r w:rsidR="00C65A24" w:rsidRPr="00C65A24">
        <w:t>Byrom</w:t>
      </w:r>
      <w:proofErr w:type="spellEnd"/>
      <w:r w:rsidR="00C65A24" w:rsidRPr="00C65A24">
        <w:t xml:space="preserve">, Natalie. "Developing the detail: evaluating the impact of court reform in </w:t>
      </w:r>
      <w:proofErr w:type="spellStart"/>
      <w:r w:rsidR="00C65A24" w:rsidRPr="00C65A24">
        <w:t>england</w:t>
      </w:r>
      <w:proofErr w:type="spellEnd"/>
      <w:r w:rsidR="00C65A24" w:rsidRPr="00C65A24">
        <w:t xml:space="preserve"> and </w:t>
      </w:r>
      <w:proofErr w:type="spellStart"/>
      <w:r w:rsidR="00C65A24" w:rsidRPr="00C65A24">
        <w:t>wales</w:t>
      </w:r>
      <w:proofErr w:type="spellEnd"/>
      <w:r w:rsidR="00C65A24" w:rsidRPr="00C65A24">
        <w:t xml:space="preserve"> on access to justice." </w:t>
      </w:r>
      <w:r w:rsidR="00C65A24" w:rsidRPr="00C65A24">
        <w:rPr>
          <w:i/>
          <w:iCs/>
        </w:rPr>
        <w:t>London: Legal Education Foundation</w:t>
      </w:r>
      <w:r w:rsidR="00C65A24" w:rsidRPr="00C65A24">
        <w:t> (2019).</w:t>
      </w:r>
    </w:p>
  </w:footnote>
  <w:footnote w:id="19">
    <w:p w14:paraId="3AF8C054" w14:textId="77777777" w:rsidR="004A3B24" w:rsidRPr="004A3B24" w:rsidRDefault="004A3B24">
      <w:pPr>
        <w:pStyle w:val="FootnoteText"/>
        <w:rPr>
          <w:lang w:val="en-US"/>
        </w:rPr>
      </w:pPr>
      <w:r>
        <w:rPr>
          <w:rStyle w:val="FootnoteReference"/>
        </w:rPr>
        <w:footnoteRef/>
      </w:r>
      <w:r>
        <w:t xml:space="preserve"> </w:t>
      </w:r>
      <w:r>
        <w:rPr>
          <w:lang w:val="en-US"/>
        </w:rPr>
        <w:t>Ibid.</w:t>
      </w:r>
    </w:p>
  </w:footnote>
  <w:footnote w:id="20">
    <w:p w14:paraId="73F733CC" w14:textId="77777777" w:rsidR="00B505D8" w:rsidRPr="00B505D8" w:rsidRDefault="00B505D8">
      <w:pPr>
        <w:pStyle w:val="FootnoteText"/>
        <w:rPr>
          <w:lang w:val="en-US"/>
        </w:rPr>
      </w:pPr>
      <w:r>
        <w:rPr>
          <w:rStyle w:val="FootnoteReference"/>
        </w:rPr>
        <w:footnoteRef/>
      </w:r>
      <w:r>
        <w:t xml:space="preserve"> </w:t>
      </w:r>
      <w:proofErr w:type="spellStart"/>
      <w:r w:rsidRPr="00B505D8">
        <w:t>Byrom</w:t>
      </w:r>
      <w:proofErr w:type="spellEnd"/>
      <w:r w:rsidRPr="00B505D8">
        <w:t xml:space="preserve">, Natalie. "Developing the detail: evaluating the impact of court reform in </w:t>
      </w:r>
      <w:proofErr w:type="spellStart"/>
      <w:r w:rsidRPr="00B505D8">
        <w:t>england</w:t>
      </w:r>
      <w:proofErr w:type="spellEnd"/>
      <w:r w:rsidRPr="00B505D8">
        <w:t xml:space="preserve"> and </w:t>
      </w:r>
      <w:proofErr w:type="spellStart"/>
      <w:r w:rsidRPr="00B505D8">
        <w:t>wales</w:t>
      </w:r>
      <w:proofErr w:type="spellEnd"/>
      <w:r w:rsidRPr="00B505D8">
        <w:t xml:space="preserve"> on access to justice." </w:t>
      </w:r>
      <w:r w:rsidRPr="00B505D8">
        <w:rPr>
          <w:i/>
          <w:iCs/>
        </w:rPr>
        <w:t>London: Legal Education Foundation</w:t>
      </w:r>
      <w:r w:rsidRPr="00B505D8">
        <w:t> (2019).</w:t>
      </w:r>
    </w:p>
  </w:footnote>
  <w:footnote w:id="21">
    <w:p w14:paraId="6D8B1EC7" w14:textId="77777777" w:rsidR="00D719DF" w:rsidRPr="00D719DF" w:rsidRDefault="00D719DF">
      <w:pPr>
        <w:pStyle w:val="FootnoteText"/>
        <w:rPr>
          <w:lang w:val="en-US"/>
        </w:rPr>
      </w:pPr>
      <w:r>
        <w:rPr>
          <w:rStyle w:val="FootnoteReference"/>
        </w:rPr>
        <w:footnoteRef/>
      </w:r>
      <w:r>
        <w:t xml:space="preserve"> </w:t>
      </w:r>
      <w:r>
        <w:rPr>
          <w:lang w:val="en-US"/>
        </w:rPr>
        <w:t>Ibid.</w:t>
      </w:r>
    </w:p>
  </w:footnote>
  <w:footnote w:id="22">
    <w:p w14:paraId="0D28BA4C" w14:textId="77777777" w:rsidR="00063289" w:rsidRPr="00063289" w:rsidRDefault="00063289">
      <w:pPr>
        <w:pStyle w:val="FootnoteText"/>
        <w:rPr>
          <w:lang w:val="en-US"/>
        </w:rPr>
      </w:pPr>
      <w:r>
        <w:rPr>
          <w:rStyle w:val="FootnoteReference"/>
        </w:rPr>
        <w:footnoteRef/>
      </w:r>
      <w:r>
        <w:t xml:space="preserve"> </w:t>
      </w:r>
      <w:r>
        <w:rPr>
          <w:lang w:val="en-US"/>
        </w:rPr>
        <w:t>Ibid.</w:t>
      </w:r>
    </w:p>
  </w:footnote>
  <w:footnote w:id="23">
    <w:p w14:paraId="6E7FAEC7" w14:textId="77777777" w:rsidR="00211E64" w:rsidRPr="00211E64" w:rsidRDefault="00211E64">
      <w:pPr>
        <w:pStyle w:val="FootnoteText"/>
        <w:rPr>
          <w:lang w:val="en-US"/>
        </w:rPr>
      </w:pPr>
      <w:r>
        <w:rPr>
          <w:rStyle w:val="FootnoteReference"/>
        </w:rPr>
        <w:footnoteRef/>
      </w:r>
      <w:r>
        <w:t xml:space="preserve"> </w:t>
      </w:r>
      <w:r>
        <w:rPr>
          <w:lang w:val="en-US"/>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3410220"/>
      <w:docPartObj>
        <w:docPartGallery w:val="Page Numbers (Top of Page)"/>
        <w:docPartUnique/>
      </w:docPartObj>
    </w:sdtPr>
    <w:sdtEndPr>
      <w:rPr>
        <w:noProof/>
      </w:rPr>
    </w:sdtEndPr>
    <w:sdtContent>
      <w:p w14:paraId="10BEA796" w14:textId="77777777" w:rsidR="00E57A78" w:rsidRDefault="00E57A78">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7D2FD79E" w14:textId="77777777" w:rsidR="00E57A78" w:rsidRDefault="00E57A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F3E08"/>
    <w:multiLevelType w:val="hybridMultilevel"/>
    <w:tmpl w:val="8AF20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85000C"/>
    <w:multiLevelType w:val="hybridMultilevel"/>
    <w:tmpl w:val="56FEA346"/>
    <w:lvl w:ilvl="0" w:tplc="086A3E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8435A7"/>
    <w:multiLevelType w:val="hybridMultilevel"/>
    <w:tmpl w:val="01DE0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7777043">
    <w:abstractNumId w:val="0"/>
  </w:num>
  <w:num w:numId="2" w16cid:durableId="1675302953">
    <w:abstractNumId w:val="1"/>
  </w:num>
  <w:num w:numId="3" w16cid:durableId="797839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5C2"/>
    <w:rsid w:val="00015623"/>
    <w:rsid w:val="00051DBA"/>
    <w:rsid w:val="00063289"/>
    <w:rsid w:val="000877CA"/>
    <w:rsid w:val="000A4B3B"/>
    <w:rsid w:val="000E4277"/>
    <w:rsid w:val="00103FFA"/>
    <w:rsid w:val="00125DB2"/>
    <w:rsid w:val="00155184"/>
    <w:rsid w:val="00161859"/>
    <w:rsid w:val="001D0D71"/>
    <w:rsid w:val="001F7947"/>
    <w:rsid w:val="001F7A4E"/>
    <w:rsid w:val="00200116"/>
    <w:rsid w:val="00210A5F"/>
    <w:rsid w:val="00211E64"/>
    <w:rsid w:val="0021660A"/>
    <w:rsid w:val="00220A2E"/>
    <w:rsid w:val="002436BE"/>
    <w:rsid w:val="00283254"/>
    <w:rsid w:val="00285CC4"/>
    <w:rsid w:val="002B6F4B"/>
    <w:rsid w:val="002E25C2"/>
    <w:rsid w:val="00303ED0"/>
    <w:rsid w:val="0030550C"/>
    <w:rsid w:val="00336A03"/>
    <w:rsid w:val="003657FC"/>
    <w:rsid w:val="003A226D"/>
    <w:rsid w:val="003A7DFA"/>
    <w:rsid w:val="003B0F9F"/>
    <w:rsid w:val="003C7AFA"/>
    <w:rsid w:val="003E18B5"/>
    <w:rsid w:val="003E5B9A"/>
    <w:rsid w:val="003F1623"/>
    <w:rsid w:val="004060FD"/>
    <w:rsid w:val="00444454"/>
    <w:rsid w:val="00462749"/>
    <w:rsid w:val="004A1E8C"/>
    <w:rsid w:val="004A3B24"/>
    <w:rsid w:val="004C2FBF"/>
    <w:rsid w:val="004C72A4"/>
    <w:rsid w:val="004E37C3"/>
    <w:rsid w:val="004F133B"/>
    <w:rsid w:val="004F2438"/>
    <w:rsid w:val="004F2BF8"/>
    <w:rsid w:val="004F3C46"/>
    <w:rsid w:val="005062A9"/>
    <w:rsid w:val="00597C58"/>
    <w:rsid w:val="005A267A"/>
    <w:rsid w:val="005A4931"/>
    <w:rsid w:val="005A6D19"/>
    <w:rsid w:val="005B1ED3"/>
    <w:rsid w:val="005B2A81"/>
    <w:rsid w:val="005B4210"/>
    <w:rsid w:val="005B4FFC"/>
    <w:rsid w:val="005D5541"/>
    <w:rsid w:val="005E2966"/>
    <w:rsid w:val="006275D2"/>
    <w:rsid w:val="006362C9"/>
    <w:rsid w:val="006A21F9"/>
    <w:rsid w:val="00702E40"/>
    <w:rsid w:val="007351B6"/>
    <w:rsid w:val="00737684"/>
    <w:rsid w:val="00742A86"/>
    <w:rsid w:val="00760E34"/>
    <w:rsid w:val="0078347E"/>
    <w:rsid w:val="00783BB3"/>
    <w:rsid w:val="007900C4"/>
    <w:rsid w:val="00794363"/>
    <w:rsid w:val="007A7AC5"/>
    <w:rsid w:val="007B77AC"/>
    <w:rsid w:val="007C44A3"/>
    <w:rsid w:val="007E6510"/>
    <w:rsid w:val="008017B7"/>
    <w:rsid w:val="008038AD"/>
    <w:rsid w:val="00805DBE"/>
    <w:rsid w:val="00807089"/>
    <w:rsid w:val="00837123"/>
    <w:rsid w:val="00853178"/>
    <w:rsid w:val="00875FC9"/>
    <w:rsid w:val="008937BC"/>
    <w:rsid w:val="008B3B40"/>
    <w:rsid w:val="008C4638"/>
    <w:rsid w:val="008E05D3"/>
    <w:rsid w:val="00903308"/>
    <w:rsid w:val="0091128A"/>
    <w:rsid w:val="00917DB9"/>
    <w:rsid w:val="00923ABA"/>
    <w:rsid w:val="00972508"/>
    <w:rsid w:val="009974F7"/>
    <w:rsid w:val="009B2AEC"/>
    <w:rsid w:val="009B456B"/>
    <w:rsid w:val="009E787A"/>
    <w:rsid w:val="009F58BF"/>
    <w:rsid w:val="00A06144"/>
    <w:rsid w:val="00A3097E"/>
    <w:rsid w:val="00A364C7"/>
    <w:rsid w:val="00A43A16"/>
    <w:rsid w:val="00A468D0"/>
    <w:rsid w:val="00A8040F"/>
    <w:rsid w:val="00A862A7"/>
    <w:rsid w:val="00AA2F57"/>
    <w:rsid w:val="00AC18FD"/>
    <w:rsid w:val="00AD064C"/>
    <w:rsid w:val="00AF0047"/>
    <w:rsid w:val="00B0139B"/>
    <w:rsid w:val="00B101BF"/>
    <w:rsid w:val="00B444E6"/>
    <w:rsid w:val="00B505D8"/>
    <w:rsid w:val="00B607E8"/>
    <w:rsid w:val="00B7685A"/>
    <w:rsid w:val="00BA30A3"/>
    <w:rsid w:val="00BA342C"/>
    <w:rsid w:val="00BA4882"/>
    <w:rsid w:val="00C06608"/>
    <w:rsid w:val="00C130B6"/>
    <w:rsid w:val="00C43B3E"/>
    <w:rsid w:val="00C65A24"/>
    <w:rsid w:val="00C76F8D"/>
    <w:rsid w:val="00C923B6"/>
    <w:rsid w:val="00C96CF9"/>
    <w:rsid w:val="00CB6DDE"/>
    <w:rsid w:val="00CF3CE5"/>
    <w:rsid w:val="00CF4AD5"/>
    <w:rsid w:val="00D067E5"/>
    <w:rsid w:val="00D14F0B"/>
    <w:rsid w:val="00D719DF"/>
    <w:rsid w:val="00D966A6"/>
    <w:rsid w:val="00DD493D"/>
    <w:rsid w:val="00DE13D8"/>
    <w:rsid w:val="00DF3436"/>
    <w:rsid w:val="00DF6DE9"/>
    <w:rsid w:val="00E57A78"/>
    <w:rsid w:val="00E803BD"/>
    <w:rsid w:val="00EC36D3"/>
    <w:rsid w:val="00EC6156"/>
    <w:rsid w:val="00ED1B1F"/>
    <w:rsid w:val="00EE2C05"/>
    <w:rsid w:val="00EF07DC"/>
    <w:rsid w:val="00EF223E"/>
    <w:rsid w:val="00F133B5"/>
    <w:rsid w:val="00F22A7A"/>
    <w:rsid w:val="00F3085F"/>
    <w:rsid w:val="00F329D4"/>
    <w:rsid w:val="00F61625"/>
    <w:rsid w:val="00FB4144"/>
    <w:rsid w:val="00FB7DCD"/>
    <w:rsid w:val="00FC2A55"/>
    <w:rsid w:val="00FF4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94482F"/>
  <w15:chartTrackingRefBased/>
  <w15:docId w15:val="{20BA869B-306B-414C-8563-3821752D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9D4"/>
    <w:rPr>
      <w:rFonts w:ascii="Times New Roman" w:hAnsi="Times New Roman"/>
      <w:sz w:val="24"/>
      <w:lang w:val="en-GB"/>
    </w:rPr>
  </w:style>
  <w:style w:type="paragraph" w:styleId="Heading1">
    <w:name w:val="heading 1"/>
    <w:basedOn w:val="Normal"/>
    <w:next w:val="Normal"/>
    <w:link w:val="Heading1Char"/>
    <w:autoRedefine/>
    <w:uiPriority w:val="9"/>
    <w:qFormat/>
    <w:rsid w:val="00F329D4"/>
    <w:pPr>
      <w:keepNext/>
      <w:keepLines/>
      <w:spacing w:before="240" w:after="0" w:line="240" w:lineRule="auto"/>
      <w:outlineLvl w:val="0"/>
    </w:pPr>
    <w:rPr>
      <w:rFonts w:eastAsiaTheme="majorEastAsia" w:cstheme="majorBidi"/>
      <w:b/>
      <w:i/>
      <w:szCs w:val="32"/>
    </w:rPr>
  </w:style>
  <w:style w:type="paragraph" w:styleId="Heading2">
    <w:name w:val="heading 2"/>
    <w:basedOn w:val="Normal"/>
    <w:next w:val="Normal"/>
    <w:link w:val="Heading2Char"/>
    <w:autoRedefine/>
    <w:uiPriority w:val="9"/>
    <w:semiHidden/>
    <w:unhideWhenUsed/>
    <w:qFormat/>
    <w:rsid w:val="00F329D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C923B6"/>
    <w:pPr>
      <w:keepNext/>
      <w:keepLines/>
      <w:spacing w:before="40" w:after="0"/>
      <w:outlineLvl w:val="2"/>
    </w:pPr>
    <w:rPr>
      <w:rFonts w:eastAsiaTheme="majorEastAsia" w:cstheme="majorBidi"/>
      <w:i/>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468D0"/>
    <w:pPr>
      <w:spacing w:after="0" w:line="240" w:lineRule="auto"/>
      <w:contextualSpacing/>
      <w:jc w:val="center"/>
    </w:pPr>
    <w:rPr>
      <w:rFonts w:eastAsiaTheme="majorEastAsia" w:cs="Times New Roman"/>
      <w:b/>
      <w:spacing w:val="-10"/>
      <w:kern w:val="28"/>
      <w:szCs w:val="24"/>
      <w:lang w:val="en-US"/>
    </w:rPr>
  </w:style>
  <w:style w:type="character" w:customStyle="1" w:styleId="TitleChar">
    <w:name w:val="Title Char"/>
    <w:basedOn w:val="DefaultParagraphFont"/>
    <w:link w:val="Title"/>
    <w:uiPriority w:val="10"/>
    <w:rsid w:val="00A468D0"/>
    <w:rPr>
      <w:rFonts w:ascii="Times New Roman" w:eastAsiaTheme="majorEastAsia" w:hAnsi="Times New Roman" w:cs="Times New Roman"/>
      <w:b/>
      <w:spacing w:val="-10"/>
      <w:kern w:val="28"/>
      <w:sz w:val="24"/>
      <w:szCs w:val="24"/>
    </w:rPr>
  </w:style>
  <w:style w:type="character" w:customStyle="1" w:styleId="Heading1Char">
    <w:name w:val="Heading 1 Char"/>
    <w:basedOn w:val="DefaultParagraphFont"/>
    <w:link w:val="Heading1"/>
    <w:uiPriority w:val="9"/>
    <w:rsid w:val="00F329D4"/>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semiHidden/>
    <w:rsid w:val="00F329D4"/>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C923B6"/>
    <w:rPr>
      <w:rFonts w:ascii="Times New Roman" w:eastAsiaTheme="majorEastAsia" w:hAnsi="Times New Roman" w:cstheme="majorBidi"/>
      <w:i/>
      <w:sz w:val="24"/>
      <w:szCs w:val="24"/>
    </w:rPr>
  </w:style>
  <w:style w:type="paragraph" w:styleId="ListParagraph">
    <w:name w:val="List Paragraph"/>
    <w:basedOn w:val="Normal"/>
    <w:uiPriority w:val="34"/>
    <w:qFormat/>
    <w:rsid w:val="00EF07DC"/>
    <w:pPr>
      <w:ind w:left="720"/>
      <w:contextualSpacing/>
    </w:pPr>
  </w:style>
  <w:style w:type="paragraph" w:styleId="FootnoteText">
    <w:name w:val="footnote text"/>
    <w:basedOn w:val="Normal"/>
    <w:link w:val="FootnoteTextChar"/>
    <w:uiPriority w:val="99"/>
    <w:semiHidden/>
    <w:unhideWhenUsed/>
    <w:rsid w:val="005D55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5541"/>
    <w:rPr>
      <w:rFonts w:ascii="Times New Roman" w:hAnsi="Times New Roman"/>
      <w:sz w:val="20"/>
      <w:szCs w:val="20"/>
      <w:lang w:val="en-GB"/>
    </w:rPr>
  </w:style>
  <w:style w:type="character" w:styleId="FootnoteReference">
    <w:name w:val="footnote reference"/>
    <w:basedOn w:val="DefaultParagraphFont"/>
    <w:uiPriority w:val="99"/>
    <w:semiHidden/>
    <w:unhideWhenUsed/>
    <w:rsid w:val="005D5541"/>
    <w:rPr>
      <w:vertAlign w:val="superscript"/>
    </w:rPr>
  </w:style>
  <w:style w:type="paragraph" w:styleId="Header">
    <w:name w:val="header"/>
    <w:basedOn w:val="Normal"/>
    <w:link w:val="HeaderChar"/>
    <w:uiPriority w:val="99"/>
    <w:unhideWhenUsed/>
    <w:rsid w:val="00E57A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7A78"/>
    <w:rPr>
      <w:rFonts w:ascii="Times New Roman" w:hAnsi="Times New Roman"/>
      <w:sz w:val="24"/>
      <w:lang w:val="en-GB"/>
    </w:rPr>
  </w:style>
  <w:style w:type="paragraph" w:styleId="Footer">
    <w:name w:val="footer"/>
    <w:basedOn w:val="Normal"/>
    <w:link w:val="FooterChar"/>
    <w:uiPriority w:val="99"/>
    <w:unhideWhenUsed/>
    <w:rsid w:val="00E57A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7A7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7</Pages>
  <Words>1758</Words>
  <Characters>10026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19arahouf</cp:lastModifiedBy>
  <cp:revision>2</cp:revision>
  <dcterms:created xsi:type="dcterms:W3CDTF">2023-07-13T13:23:00Z</dcterms:created>
  <dcterms:modified xsi:type="dcterms:W3CDTF">2023-08-11T22:19:00Z</dcterms:modified>
</cp:coreProperties>
</file>