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467D1" w14:textId="6502866F" w:rsidR="00645F58" w:rsidRDefault="00BD5724" w:rsidP="00BD5724">
      <w:pPr>
        <w:spacing w:before="800" w:line="360" w:lineRule="auto"/>
        <w:jc w:val="center"/>
        <w:rPr>
          <w:rFonts w:ascii="Arial" w:hAnsi="Arial" w:cs="Arial"/>
          <w:color w:val="000000" w:themeColor="text1"/>
        </w:rPr>
      </w:pPr>
      <w:r>
        <w:rPr>
          <w:noProof/>
        </w:rPr>
        <w:drawing>
          <wp:inline distT="0" distB="0" distL="0" distR="0" wp14:anchorId="4F63226F" wp14:editId="72D07A06">
            <wp:extent cx="2819400" cy="990600"/>
            <wp:effectExtent l="0" t="0" r="0" b="0"/>
            <wp:docPr id="366332404" name="Picture 1" descr="Accredited Courses | Velindre Oncolog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redited Courses | Velindre Oncology Academy"/>
                    <pic:cNvPicPr>
                      <a:picLocks noChangeAspect="1" noChangeArrowheads="1"/>
                    </pic:cNvPicPr>
                  </pic:nvPicPr>
                  <pic:blipFill rotWithShape="1">
                    <a:blip r:embed="rId8">
                      <a:extLst>
                        <a:ext uri="{28A0092B-C50C-407E-A947-70E740481C1C}">
                          <a14:useLocalDpi xmlns:a14="http://schemas.microsoft.com/office/drawing/2010/main" val="0"/>
                        </a:ext>
                      </a:extLst>
                    </a:blip>
                    <a:srcRect l="11578" t="37631" r="10527" b="35000"/>
                    <a:stretch>
                      <a:fillRect/>
                    </a:stretch>
                  </pic:blipFill>
                  <pic:spPr bwMode="auto">
                    <a:xfrm>
                      <a:off x="0" y="0"/>
                      <a:ext cx="2819400" cy="990600"/>
                    </a:xfrm>
                    <a:prstGeom prst="rect">
                      <a:avLst/>
                    </a:prstGeom>
                    <a:noFill/>
                    <a:ln>
                      <a:noFill/>
                    </a:ln>
                    <a:extLst>
                      <a:ext uri="{53640926-AAD7-44D8-BBD7-CCE9431645EC}">
                        <a14:shadowObscured xmlns:a14="http://schemas.microsoft.com/office/drawing/2010/main"/>
                      </a:ext>
                    </a:extLst>
                  </pic:spPr>
                </pic:pic>
              </a:graphicData>
            </a:graphic>
          </wp:inline>
        </w:drawing>
      </w:r>
    </w:p>
    <w:p w14:paraId="57CE195A" w14:textId="77777777" w:rsidR="00BD5724" w:rsidRPr="003704AC" w:rsidRDefault="00BD5724" w:rsidP="00BD5724">
      <w:pPr>
        <w:spacing w:before="800" w:line="360" w:lineRule="auto"/>
        <w:jc w:val="center"/>
        <w:rPr>
          <w:rFonts w:ascii="Arial" w:hAnsi="Arial" w:cs="Arial"/>
          <w:color w:val="000000" w:themeColor="text1"/>
        </w:rPr>
      </w:pPr>
    </w:p>
    <w:p w14:paraId="6EBF981C" w14:textId="56AD41F5" w:rsidR="00645F58" w:rsidRPr="00BD5724" w:rsidRDefault="00BD5724" w:rsidP="00BD5724">
      <w:pPr>
        <w:pStyle w:val="Title"/>
        <w:jc w:val="center"/>
        <w:rPr>
          <w:rFonts w:ascii="Arial" w:hAnsi="Arial" w:cs="Arial"/>
          <w:sz w:val="48"/>
          <w:szCs w:val="48"/>
        </w:rPr>
      </w:pPr>
      <w:r w:rsidRPr="00BD5724">
        <w:rPr>
          <w:rFonts w:ascii="Arial" w:eastAsia="Arial" w:hAnsi="Arial" w:cs="Arial"/>
          <w:caps w:val="0"/>
          <w:sz w:val="48"/>
          <w:szCs w:val="48"/>
        </w:rPr>
        <w:t>Service improvement report</w:t>
      </w:r>
    </w:p>
    <w:p w14:paraId="473B6C8C" w14:textId="4C4BD7E2" w:rsidR="00645F58" w:rsidRPr="00BD5724" w:rsidRDefault="00BD5724" w:rsidP="00BD5724">
      <w:pPr>
        <w:pStyle w:val="Title"/>
        <w:jc w:val="center"/>
        <w:rPr>
          <w:rFonts w:ascii="Arial" w:hAnsi="Arial" w:cs="Arial"/>
          <w:sz w:val="48"/>
          <w:szCs w:val="48"/>
        </w:rPr>
      </w:pPr>
      <w:r w:rsidRPr="00BD5724">
        <w:rPr>
          <w:rFonts w:ascii="Arial" w:eastAsia="Arial" w:hAnsi="Arial" w:cs="Arial"/>
          <w:caps w:val="0"/>
          <w:sz w:val="48"/>
          <w:szCs w:val="48"/>
        </w:rPr>
        <w:t xml:space="preserve">Failure to rescue a deteriorating patient: a case study of </w:t>
      </w:r>
      <w:proofErr w:type="spellStart"/>
      <w:r w:rsidRPr="00BD5724">
        <w:rPr>
          <w:rFonts w:ascii="Arial" w:eastAsia="Arial" w:hAnsi="Arial" w:cs="Arial"/>
          <w:caps w:val="0"/>
          <w:sz w:val="48"/>
          <w:szCs w:val="48"/>
        </w:rPr>
        <w:t>martha</w:t>
      </w:r>
      <w:proofErr w:type="spellEnd"/>
      <w:r w:rsidRPr="00BD5724">
        <w:rPr>
          <w:rFonts w:ascii="Arial" w:eastAsia="Arial" w:hAnsi="Arial" w:cs="Arial"/>
          <w:caps w:val="0"/>
          <w:sz w:val="48"/>
          <w:szCs w:val="48"/>
        </w:rPr>
        <w:t xml:space="preserve"> mills and the development of </w:t>
      </w:r>
      <w:proofErr w:type="spellStart"/>
      <w:r w:rsidRPr="00BD5724">
        <w:rPr>
          <w:rFonts w:ascii="Arial" w:eastAsia="Arial" w:hAnsi="Arial" w:cs="Arial"/>
          <w:caps w:val="0"/>
          <w:sz w:val="48"/>
          <w:szCs w:val="48"/>
        </w:rPr>
        <w:t>martha's</w:t>
      </w:r>
      <w:proofErr w:type="spellEnd"/>
      <w:r w:rsidRPr="00BD5724">
        <w:rPr>
          <w:rFonts w:ascii="Arial" w:eastAsia="Arial" w:hAnsi="Arial" w:cs="Arial"/>
          <w:caps w:val="0"/>
          <w:sz w:val="48"/>
          <w:szCs w:val="48"/>
        </w:rPr>
        <w:t xml:space="preserve"> rule</w:t>
      </w:r>
    </w:p>
    <w:p w14:paraId="4DC012CC" w14:textId="77777777" w:rsidR="00645F58" w:rsidRDefault="00645F58" w:rsidP="00BD5724">
      <w:pPr>
        <w:spacing w:after="80" w:line="360" w:lineRule="auto"/>
        <w:jc w:val="center"/>
        <w:rPr>
          <w:rFonts w:ascii="Arial" w:hAnsi="Arial" w:cs="Arial"/>
          <w:color w:val="000000" w:themeColor="text1"/>
        </w:rPr>
      </w:pPr>
    </w:p>
    <w:p w14:paraId="16552125" w14:textId="77777777" w:rsidR="00BD5724" w:rsidRDefault="00BD5724" w:rsidP="00BD5724">
      <w:pPr>
        <w:spacing w:after="80" w:line="360" w:lineRule="auto"/>
        <w:jc w:val="center"/>
        <w:rPr>
          <w:rFonts w:ascii="Arial" w:hAnsi="Arial" w:cs="Arial"/>
          <w:color w:val="000000" w:themeColor="text1"/>
        </w:rPr>
      </w:pPr>
    </w:p>
    <w:p w14:paraId="27F06FC5" w14:textId="77777777" w:rsidR="00BD5724" w:rsidRPr="003704AC" w:rsidRDefault="00BD5724" w:rsidP="00BD5724">
      <w:pPr>
        <w:spacing w:after="80" w:line="360" w:lineRule="auto"/>
        <w:jc w:val="center"/>
        <w:rPr>
          <w:rFonts w:ascii="Arial" w:hAnsi="Arial" w:cs="Arial"/>
          <w:color w:val="000000" w:themeColor="text1"/>
        </w:rPr>
      </w:pPr>
    </w:p>
    <w:p w14:paraId="5C9DF114" w14:textId="2121083F" w:rsidR="00645F58" w:rsidRPr="003704AC" w:rsidRDefault="00000000" w:rsidP="003704AC">
      <w:pPr>
        <w:spacing w:before="600" w:line="360" w:lineRule="auto"/>
        <w:jc w:val="both"/>
        <w:rPr>
          <w:rFonts w:ascii="Arial" w:hAnsi="Arial" w:cs="Arial"/>
          <w:color w:val="000000" w:themeColor="text1"/>
        </w:rPr>
      </w:pPr>
      <w:r w:rsidRPr="003704AC">
        <w:rPr>
          <w:rFonts w:ascii="Arial" w:eastAsia="Arial" w:hAnsi="Arial" w:cs="Arial"/>
          <w:color w:val="000000" w:themeColor="text1"/>
        </w:rPr>
        <w:t>Student Name:</w:t>
      </w:r>
      <w:r w:rsidR="003704AC">
        <w:rPr>
          <w:color w:val="000000" w:themeColor="text1"/>
        </w:rPr>
        <w:t xml:space="preserve"> Hetvi </w:t>
      </w:r>
      <w:proofErr w:type="spellStart"/>
      <w:r w:rsidR="003704AC">
        <w:rPr>
          <w:color w:val="000000" w:themeColor="text1"/>
        </w:rPr>
        <w:t>rajendrasinh</w:t>
      </w:r>
      <w:proofErr w:type="spellEnd"/>
      <w:r w:rsidR="003704AC">
        <w:rPr>
          <w:color w:val="000000" w:themeColor="text1"/>
        </w:rPr>
        <w:t xml:space="preserve"> </w:t>
      </w:r>
      <w:proofErr w:type="spellStart"/>
      <w:r w:rsidR="003704AC">
        <w:rPr>
          <w:color w:val="000000" w:themeColor="text1"/>
        </w:rPr>
        <w:t>sangdot</w:t>
      </w:r>
      <w:proofErr w:type="spellEnd"/>
    </w:p>
    <w:p w14:paraId="3236655B" w14:textId="60B29F29"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rPr>
        <w:t xml:space="preserve">Student Number: </w:t>
      </w:r>
      <w:r w:rsidR="003704AC">
        <w:rPr>
          <w:color w:val="000000" w:themeColor="text1"/>
        </w:rPr>
        <w:t>2526007</w:t>
      </w:r>
    </w:p>
    <w:p w14:paraId="6C8A1060" w14:textId="009CBFF8" w:rsidR="003704AC" w:rsidRDefault="003704AC" w:rsidP="003704AC">
      <w:pPr>
        <w:spacing w:line="360" w:lineRule="auto"/>
        <w:jc w:val="both"/>
        <w:rPr>
          <w:color w:val="000000" w:themeColor="text1"/>
        </w:rPr>
      </w:pPr>
      <w:r>
        <w:rPr>
          <w:color w:val="000000" w:themeColor="text1"/>
        </w:rPr>
        <w:t xml:space="preserve">Module </w:t>
      </w:r>
      <w:proofErr w:type="gramStart"/>
      <w:r>
        <w:rPr>
          <w:color w:val="000000" w:themeColor="text1"/>
        </w:rPr>
        <w:t xml:space="preserve">name </w:t>
      </w:r>
      <w:r w:rsidR="00000000" w:rsidRPr="003704AC">
        <w:rPr>
          <w:rFonts w:ascii="Arial" w:eastAsia="Arial" w:hAnsi="Arial" w:cs="Arial"/>
          <w:color w:val="000000" w:themeColor="text1"/>
        </w:rPr>
        <w:t>:</w:t>
      </w:r>
      <w:proofErr w:type="gramEnd"/>
      <w:r w:rsidR="00000000" w:rsidRPr="003704AC">
        <w:rPr>
          <w:rFonts w:ascii="Arial" w:eastAsia="Arial" w:hAnsi="Arial" w:cs="Arial"/>
          <w:color w:val="000000" w:themeColor="text1"/>
        </w:rPr>
        <w:t>– Quality and Service Improvement in Health and Social Care</w:t>
      </w:r>
      <w:r>
        <w:rPr>
          <w:color w:val="000000" w:themeColor="text1"/>
        </w:rPr>
        <w:t xml:space="preserve"> </w:t>
      </w:r>
    </w:p>
    <w:p w14:paraId="6BDB2CC5" w14:textId="6A7C66B4" w:rsidR="00645F58" w:rsidRPr="003704AC" w:rsidRDefault="003704AC" w:rsidP="003704AC">
      <w:pPr>
        <w:spacing w:line="360" w:lineRule="auto"/>
        <w:jc w:val="both"/>
        <w:rPr>
          <w:rFonts w:ascii="Arial" w:hAnsi="Arial" w:cs="Arial"/>
          <w:color w:val="000000" w:themeColor="text1"/>
          <w:lang w:val="en-GB"/>
        </w:rPr>
      </w:pPr>
      <w:r w:rsidRPr="003704AC">
        <w:rPr>
          <w:rFonts w:ascii="Arial" w:eastAsia="Arial" w:hAnsi="Arial" w:cs="Arial"/>
          <w:color w:val="000000" w:themeColor="text1"/>
        </w:rPr>
        <w:t xml:space="preserve">Module </w:t>
      </w:r>
      <w:proofErr w:type="gramStart"/>
      <w:r w:rsidRPr="003704AC">
        <w:rPr>
          <w:rFonts w:ascii="Arial" w:eastAsia="Arial" w:hAnsi="Arial" w:cs="Arial"/>
          <w:color w:val="000000" w:themeColor="text1"/>
        </w:rPr>
        <w:t>Code</w:t>
      </w:r>
      <w:r>
        <w:rPr>
          <w:color w:val="000000" w:themeColor="text1"/>
        </w:rPr>
        <w:t xml:space="preserve"> :</w:t>
      </w:r>
      <w:proofErr w:type="gramEnd"/>
      <w:r>
        <w:rPr>
          <w:color w:val="000000" w:themeColor="text1"/>
        </w:rPr>
        <w:t xml:space="preserve"> </w:t>
      </w:r>
      <w:r w:rsidRPr="003704AC">
        <w:rPr>
          <w:color w:val="000000" w:themeColor="text1"/>
          <w:lang w:val="en-GB"/>
        </w:rPr>
        <w:t>LCHS7006</w:t>
      </w:r>
    </w:p>
    <w:p w14:paraId="5251842A" w14:textId="48A71A88" w:rsidR="00645F58" w:rsidRDefault="00000000" w:rsidP="003704AC">
      <w:pPr>
        <w:spacing w:line="360" w:lineRule="auto"/>
        <w:jc w:val="both"/>
        <w:rPr>
          <w:color w:val="000000" w:themeColor="text1"/>
        </w:rPr>
      </w:pPr>
      <w:r w:rsidRPr="003704AC">
        <w:rPr>
          <w:rFonts w:ascii="Arial" w:eastAsia="Arial" w:hAnsi="Arial" w:cs="Arial"/>
          <w:color w:val="000000" w:themeColor="text1"/>
        </w:rPr>
        <w:t xml:space="preserve">Lecturer: Dr </w:t>
      </w:r>
      <w:proofErr w:type="spellStart"/>
      <w:r w:rsidR="003704AC">
        <w:rPr>
          <w:color w:val="000000" w:themeColor="text1"/>
        </w:rPr>
        <w:t>fahad</w:t>
      </w:r>
      <w:proofErr w:type="spellEnd"/>
      <w:r w:rsidR="003704AC">
        <w:rPr>
          <w:color w:val="000000" w:themeColor="text1"/>
        </w:rPr>
        <w:t xml:space="preserve"> khan</w:t>
      </w:r>
    </w:p>
    <w:p w14:paraId="6D3C0C2A" w14:textId="77777777" w:rsidR="00BD5724" w:rsidRDefault="00BD5724" w:rsidP="003704AC">
      <w:pPr>
        <w:spacing w:line="360" w:lineRule="auto"/>
        <w:jc w:val="both"/>
        <w:rPr>
          <w:color w:val="000000" w:themeColor="text1"/>
        </w:rPr>
      </w:pPr>
    </w:p>
    <w:p w14:paraId="59DFBBA6" w14:textId="77777777" w:rsidR="00BD5724" w:rsidRDefault="00BD5724" w:rsidP="003704AC">
      <w:pPr>
        <w:spacing w:line="360" w:lineRule="auto"/>
        <w:jc w:val="both"/>
        <w:rPr>
          <w:color w:val="000000" w:themeColor="text1"/>
        </w:rPr>
      </w:pPr>
    </w:p>
    <w:p w14:paraId="56ED41A7" w14:textId="77777777" w:rsidR="00BD5724" w:rsidRDefault="00BD5724" w:rsidP="003704AC">
      <w:pPr>
        <w:spacing w:line="360" w:lineRule="auto"/>
        <w:jc w:val="both"/>
        <w:rPr>
          <w:color w:val="000000" w:themeColor="text1"/>
        </w:rPr>
      </w:pPr>
    </w:p>
    <w:p w14:paraId="7F8FF416" w14:textId="77777777" w:rsidR="00BD5724" w:rsidRDefault="00BD5724" w:rsidP="003704AC">
      <w:pPr>
        <w:spacing w:line="360" w:lineRule="auto"/>
        <w:jc w:val="both"/>
        <w:rPr>
          <w:color w:val="000000" w:themeColor="text1"/>
        </w:rPr>
      </w:pPr>
    </w:p>
    <w:p w14:paraId="537BA20D" w14:textId="77777777" w:rsidR="00BD5724" w:rsidRDefault="00BD5724" w:rsidP="003704AC">
      <w:pPr>
        <w:spacing w:line="360" w:lineRule="auto"/>
        <w:jc w:val="both"/>
        <w:rPr>
          <w:color w:val="000000" w:themeColor="text1"/>
        </w:rPr>
      </w:pPr>
    </w:p>
    <w:sdt>
      <w:sdtPr>
        <w:id w:val="831251271"/>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71D74837" w14:textId="1EB17441" w:rsidR="001F69F6" w:rsidRDefault="001F69F6">
          <w:pPr>
            <w:pStyle w:val="TOCHeading"/>
          </w:pPr>
          <w:r>
            <w:t>Table of Contents</w:t>
          </w:r>
        </w:p>
        <w:p w14:paraId="6C4E84DB" w14:textId="0355F445" w:rsidR="00BD5724" w:rsidRDefault="001F69F6">
          <w:pPr>
            <w:pStyle w:val="TOC1"/>
            <w:tabs>
              <w:tab w:val="left" w:pos="480"/>
              <w:tab w:val="right" w:leader="dot" w:pos="9016"/>
            </w:tabs>
            <w:rPr>
              <w:noProof/>
              <w:kern w:val="2"/>
              <w:sz w:val="24"/>
              <w:szCs w:val="24"/>
              <w14:ligatures w14:val="standardContextual"/>
            </w:rPr>
          </w:pPr>
          <w:r>
            <w:fldChar w:fldCharType="begin"/>
          </w:r>
          <w:r>
            <w:instrText xml:space="preserve"> TOC \o "1-3" \h \z \u </w:instrText>
          </w:r>
          <w:r>
            <w:fldChar w:fldCharType="separate"/>
          </w:r>
          <w:hyperlink w:anchor="_Toc236192152" w:history="1">
            <w:r w:rsidR="00BD5724" w:rsidRPr="00AC05E3">
              <w:rPr>
                <w:rStyle w:val="Hyperlink"/>
                <w:noProof/>
              </w:rPr>
              <w:t>1.</w:t>
            </w:r>
            <w:r w:rsidR="00BD5724">
              <w:rPr>
                <w:noProof/>
                <w:kern w:val="2"/>
                <w:sz w:val="24"/>
                <w:szCs w:val="24"/>
                <w14:ligatures w14:val="standardContextual"/>
              </w:rPr>
              <w:tab/>
            </w:r>
            <w:r w:rsidR="00BD5724" w:rsidRPr="00AC05E3">
              <w:rPr>
                <w:rStyle w:val="Hyperlink"/>
                <w:noProof/>
              </w:rPr>
              <w:t>Introduction:</w:t>
            </w:r>
            <w:r w:rsidR="00BD5724">
              <w:rPr>
                <w:noProof/>
                <w:webHidden/>
              </w:rPr>
              <w:tab/>
            </w:r>
            <w:r w:rsidR="00BD5724">
              <w:rPr>
                <w:noProof/>
                <w:webHidden/>
              </w:rPr>
              <w:fldChar w:fldCharType="begin"/>
            </w:r>
            <w:r w:rsidR="00BD5724">
              <w:rPr>
                <w:noProof/>
                <w:webHidden/>
              </w:rPr>
              <w:instrText xml:space="preserve"> PAGEREF _Toc236192152 \h </w:instrText>
            </w:r>
            <w:r w:rsidR="00BD5724">
              <w:rPr>
                <w:noProof/>
                <w:webHidden/>
              </w:rPr>
            </w:r>
            <w:r w:rsidR="00BD5724">
              <w:rPr>
                <w:noProof/>
                <w:webHidden/>
              </w:rPr>
              <w:fldChar w:fldCharType="separate"/>
            </w:r>
            <w:r w:rsidR="00BD5724">
              <w:rPr>
                <w:noProof/>
                <w:webHidden/>
              </w:rPr>
              <w:t>2</w:t>
            </w:r>
            <w:r w:rsidR="00BD5724">
              <w:rPr>
                <w:noProof/>
                <w:webHidden/>
              </w:rPr>
              <w:fldChar w:fldCharType="end"/>
            </w:r>
          </w:hyperlink>
        </w:p>
        <w:p w14:paraId="1B4BBBDF" w14:textId="7DE1D910" w:rsidR="00BD5724" w:rsidRDefault="00BD5724">
          <w:pPr>
            <w:pStyle w:val="TOC1"/>
            <w:tabs>
              <w:tab w:val="left" w:pos="480"/>
              <w:tab w:val="right" w:leader="dot" w:pos="9016"/>
            </w:tabs>
            <w:rPr>
              <w:noProof/>
              <w:kern w:val="2"/>
              <w:sz w:val="24"/>
              <w:szCs w:val="24"/>
              <w14:ligatures w14:val="standardContextual"/>
            </w:rPr>
          </w:pPr>
          <w:hyperlink w:anchor="_Toc236192153" w:history="1">
            <w:r w:rsidRPr="00AC05E3">
              <w:rPr>
                <w:rStyle w:val="Hyperlink"/>
                <w:noProof/>
              </w:rPr>
              <w:t>2.</w:t>
            </w:r>
            <w:r>
              <w:rPr>
                <w:noProof/>
                <w:kern w:val="2"/>
                <w:sz w:val="24"/>
                <w:szCs w:val="24"/>
                <w14:ligatures w14:val="standardContextual"/>
              </w:rPr>
              <w:tab/>
            </w:r>
            <w:r w:rsidRPr="00AC05E3">
              <w:rPr>
                <w:rStyle w:val="Hyperlink"/>
                <w:noProof/>
              </w:rPr>
              <w:t>Main Body: Analysis of Root Causes:</w:t>
            </w:r>
            <w:r>
              <w:rPr>
                <w:noProof/>
                <w:webHidden/>
              </w:rPr>
              <w:tab/>
            </w:r>
            <w:r>
              <w:rPr>
                <w:noProof/>
                <w:webHidden/>
              </w:rPr>
              <w:fldChar w:fldCharType="begin"/>
            </w:r>
            <w:r>
              <w:rPr>
                <w:noProof/>
                <w:webHidden/>
              </w:rPr>
              <w:instrText xml:space="preserve"> PAGEREF _Toc236192153 \h </w:instrText>
            </w:r>
            <w:r>
              <w:rPr>
                <w:noProof/>
                <w:webHidden/>
              </w:rPr>
            </w:r>
            <w:r>
              <w:rPr>
                <w:noProof/>
                <w:webHidden/>
              </w:rPr>
              <w:fldChar w:fldCharType="separate"/>
            </w:r>
            <w:r>
              <w:rPr>
                <w:noProof/>
                <w:webHidden/>
              </w:rPr>
              <w:t>3</w:t>
            </w:r>
            <w:r>
              <w:rPr>
                <w:noProof/>
                <w:webHidden/>
              </w:rPr>
              <w:fldChar w:fldCharType="end"/>
            </w:r>
          </w:hyperlink>
        </w:p>
        <w:p w14:paraId="43732CA8" w14:textId="2FEDC142" w:rsidR="00BD5724" w:rsidRDefault="00BD5724">
          <w:pPr>
            <w:pStyle w:val="TOC2"/>
            <w:tabs>
              <w:tab w:val="left" w:pos="960"/>
              <w:tab w:val="right" w:leader="dot" w:pos="9016"/>
            </w:tabs>
            <w:rPr>
              <w:noProof/>
              <w:kern w:val="2"/>
              <w:sz w:val="24"/>
              <w:szCs w:val="24"/>
              <w14:ligatures w14:val="standardContextual"/>
            </w:rPr>
          </w:pPr>
          <w:hyperlink w:anchor="_Toc236192154" w:history="1">
            <w:r w:rsidRPr="00AC05E3">
              <w:rPr>
                <w:rStyle w:val="Hyperlink"/>
                <w:noProof/>
              </w:rPr>
              <w:t>2.1</w:t>
            </w:r>
            <w:r>
              <w:rPr>
                <w:noProof/>
                <w:kern w:val="2"/>
                <w:sz w:val="24"/>
                <w:szCs w:val="24"/>
                <w14:ligatures w14:val="standardContextual"/>
              </w:rPr>
              <w:tab/>
            </w:r>
            <w:r w:rsidRPr="00AC05E3">
              <w:rPr>
                <w:rStyle w:val="Hyperlink"/>
                <w:noProof/>
              </w:rPr>
              <w:t>Fishbone Diagram:</w:t>
            </w:r>
            <w:r>
              <w:rPr>
                <w:noProof/>
                <w:webHidden/>
              </w:rPr>
              <w:tab/>
            </w:r>
            <w:r>
              <w:rPr>
                <w:noProof/>
                <w:webHidden/>
              </w:rPr>
              <w:fldChar w:fldCharType="begin"/>
            </w:r>
            <w:r>
              <w:rPr>
                <w:noProof/>
                <w:webHidden/>
              </w:rPr>
              <w:instrText xml:space="preserve"> PAGEREF _Toc236192154 \h </w:instrText>
            </w:r>
            <w:r>
              <w:rPr>
                <w:noProof/>
                <w:webHidden/>
              </w:rPr>
            </w:r>
            <w:r>
              <w:rPr>
                <w:noProof/>
                <w:webHidden/>
              </w:rPr>
              <w:fldChar w:fldCharType="separate"/>
            </w:r>
            <w:r>
              <w:rPr>
                <w:noProof/>
                <w:webHidden/>
              </w:rPr>
              <w:t>3</w:t>
            </w:r>
            <w:r>
              <w:rPr>
                <w:noProof/>
                <w:webHidden/>
              </w:rPr>
              <w:fldChar w:fldCharType="end"/>
            </w:r>
          </w:hyperlink>
        </w:p>
        <w:p w14:paraId="34851049" w14:textId="786A4F55" w:rsidR="00BD5724" w:rsidRDefault="00BD5724">
          <w:pPr>
            <w:pStyle w:val="TOC2"/>
            <w:tabs>
              <w:tab w:val="left" w:pos="960"/>
              <w:tab w:val="right" w:leader="dot" w:pos="9016"/>
            </w:tabs>
            <w:rPr>
              <w:noProof/>
              <w:kern w:val="2"/>
              <w:sz w:val="24"/>
              <w:szCs w:val="24"/>
              <w14:ligatures w14:val="standardContextual"/>
            </w:rPr>
          </w:pPr>
          <w:hyperlink w:anchor="_Toc236192155" w:history="1">
            <w:r w:rsidRPr="00AC05E3">
              <w:rPr>
                <w:rStyle w:val="Hyperlink"/>
                <w:noProof/>
              </w:rPr>
              <w:t>2.2</w:t>
            </w:r>
            <w:r>
              <w:rPr>
                <w:noProof/>
                <w:kern w:val="2"/>
                <w:sz w:val="24"/>
                <w:szCs w:val="24"/>
                <w14:ligatures w14:val="standardContextual"/>
              </w:rPr>
              <w:tab/>
            </w:r>
            <w:r w:rsidRPr="00AC05E3">
              <w:rPr>
                <w:rStyle w:val="Hyperlink"/>
                <w:noProof/>
              </w:rPr>
              <w:t>The 5 Whys</w:t>
            </w:r>
            <w:r>
              <w:rPr>
                <w:noProof/>
                <w:webHidden/>
              </w:rPr>
              <w:tab/>
            </w:r>
            <w:r>
              <w:rPr>
                <w:noProof/>
                <w:webHidden/>
              </w:rPr>
              <w:fldChar w:fldCharType="begin"/>
            </w:r>
            <w:r>
              <w:rPr>
                <w:noProof/>
                <w:webHidden/>
              </w:rPr>
              <w:instrText xml:space="preserve"> PAGEREF _Toc236192155 \h </w:instrText>
            </w:r>
            <w:r>
              <w:rPr>
                <w:noProof/>
                <w:webHidden/>
              </w:rPr>
            </w:r>
            <w:r>
              <w:rPr>
                <w:noProof/>
                <w:webHidden/>
              </w:rPr>
              <w:fldChar w:fldCharType="separate"/>
            </w:r>
            <w:r>
              <w:rPr>
                <w:noProof/>
                <w:webHidden/>
              </w:rPr>
              <w:t>5</w:t>
            </w:r>
            <w:r>
              <w:rPr>
                <w:noProof/>
                <w:webHidden/>
              </w:rPr>
              <w:fldChar w:fldCharType="end"/>
            </w:r>
          </w:hyperlink>
        </w:p>
        <w:p w14:paraId="6FCE7F88" w14:textId="3A9C717B" w:rsidR="00BD5724" w:rsidRDefault="00BD5724">
          <w:pPr>
            <w:pStyle w:val="TOC2"/>
            <w:tabs>
              <w:tab w:val="left" w:pos="960"/>
              <w:tab w:val="right" w:leader="dot" w:pos="9016"/>
            </w:tabs>
            <w:rPr>
              <w:noProof/>
              <w:kern w:val="2"/>
              <w:sz w:val="24"/>
              <w:szCs w:val="24"/>
              <w14:ligatures w14:val="standardContextual"/>
            </w:rPr>
          </w:pPr>
          <w:hyperlink w:anchor="_Toc236192156" w:history="1">
            <w:r w:rsidRPr="00AC05E3">
              <w:rPr>
                <w:rStyle w:val="Hyperlink"/>
                <w:noProof/>
              </w:rPr>
              <w:t>2.3</w:t>
            </w:r>
            <w:r>
              <w:rPr>
                <w:noProof/>
                <w:kern w:val="2"/>
                <w:sz w:val="24"/>
                <w:szCs w:val="24"/>
                <w14:ligatures w14:val="standardContextual"/>
              </w:rPr>
              <w:tab/>
            </w:r>
            <w:r w:rsidRPr="00AC05E3">
              <w:rPr>
                <w:rStyle w:val="Hyperlink"/>
                <w:noProof/>
              </w:rPr>
              <w:t>The Donabedian Model</w:t>
            </w:r>
            <w:r>
              <w:rPr>
                <w:noProof/>
                <w:webHidden/>
              </w:rPr>
              <w:tab/>
            </w:r>
            <w:r>
              <w:rPr>
                <w:noProof/>
                <w:webHidden/>
              </w:rPr>
              <w:fldChar w:fldCharType="begin"/>
            </w:r>
            <w:r>
              <w:rPr>
                <w:noProof/>
                <w:webHidden/>
              </w:rPr>
              <w:instrText xml:space="preserve"> PAGEREF _Toc236192156 \h </w:instrText>
            </w:r>
            <w:r>
              <w:rPr>
                <w:noProof/>
                <w:webHidden/>
              </w:rPr>
            </w:r>
            <w:r>
              <w:rPr>
                <w:noProof/>
                <w:webHidden/>
              </w:rPr>
              <w:fldChar w:fldCharType="separate"/>
            </w:r>
            <w:r>
              <w:rPr>
                <w:noProof/>
                <w:webHidden/>
              </w:rPr>
              <w:t>6</w:t>
            </w:r>
            <w:r>
              <w:rPr>
                <w:noProof/>
                <w:webHidden/>
              </w:rPr>
              <w:fldChar w:fldCharType="end"/>
            </w:r>
          </w:hyperlink>
        </w:p>
        <w:p w14:paraId="5FFF7B64" w14:textId="6EF3D5E4" w:rsidR="00BD5724" w:rsidRDefault="00BD5724">
          <w:pPr>
            <w:pStyle w:val="TOC2"/>
            <w:tabs>
              <w:tab w:val="left" w:pos="960"/>
              <w:tab w:val="right" w:leader="dot" w:pos="9016"/>
            </w:tabs>
            <w:rPr>
              <w:noProof/>
              <w:kern w:val="2"/>
              <w:sz w:val="24"/>
              <w:szCs w:val="24"/>
              <w14:ligatures w14:val="standardContextual"/>
            </w:rPr>
          </w:pPr>
          <w:hyperlink w:anchor="_Toc236192157" w:history="1">
            <w:r w:rsidRPr="00AC05E3">
              <w:rPr>
                <w:rStyle w:val="Hyperlink"/>
                <w:noProof/>
              </w:rPr>
              <w:t>2.4</w:t>
            </w:r>
            <w:r>
              <w:rPr>
                <w:noProof/>
                <w:kern w:val="2"/>
                <w:sz w:val="24"/>
                <w:szCs w:val="24"/>
                <w14:ligatures w14:val="standardContextual"/>
              </w:rPr>
              <w:tab/>
            </w:r>
            <w:r w:rsidRPr="00AC05E3">
              <w:rPr>
                <w:rStyle w:val="Hyperlink"/>
                <w:noProof/>
              </w:rPr>
              <w:t>SWOT Analysis</w:t>
            </w:r>
            <w:r>
              <w:rPr>
                <w:noProof/>
                <w:webHidden/>
              </w:rPr>
              <w:tab/>
            </w:r>
            <w:r>
              <w:rPr>
                <w:noProof/>
                <w:webHidden/>
              </w:rPr>
              <w:fldChar w:fldCharType="begin"/>
            </w:r>
            <w:r>
              <w:rPr>
                <w:noProof/>
                <w:webHidden/>
              </w:rPr>
              <w:instrText xml:space="preserve"> PAGEREF _Toc236192157 \h </w:instrText>
            </w:r>
            <w:r>
              <w:rPr>
                <w:noProof/>
                <w:webHidden/>
              </w:rPr>
            </w:r>
            <w:r>
              <w:rPr>
                <w:noProof/>
                <w:webHidden/>
              </w:rPr>
              <w:fldChar w:fldCharType="separate"/>
            </w:r>
            <w:r>
              <w:rPr>
                <w:noProof/>
                <w:webHidden/>
              </w:rPr>
              <w:t>7</w:t>
            </w:r>
            <w:r>
              <w:rPr>
                <w:noProof/>
                <w:webHidden/>
              </w:rPr>
              <w:fldChar w:fldCharType="end"/>
            </w:r>
          </w:hyperlink>
        </w:p>
        <w:p w14:paraId="672D9640" w14:textId="0551E298" w:rsidR="00BD5724" w:rsidRDefault="00BD5724">
          <w:pPr>
            <w:pStyle w:val="TOC1"/>
            <w:tabs>
              <w:tab w:val="left" w:pos="480"/>
              <w:tab w:val="right" w:leader="dot" w:pos="9016"/>
            </w:tabs>
            <w:rPr>
              <w:noProof/>
              <w:kern w:val="2"/>
              <w:sz w:val="24"/>
              <w:szCs w:val="24"/>
              <w14:ligatures w14:val="standardContextual"/>
            </w:rPr>
          </w:pPr>
          <w:hyperlink w:anchor="_Toc236192158" w:history="1">
            <w:r w:rsidRPr="00AC05E3">
              <w:rPr>
                <w:rStyle w:val="Hyperlink"/>
                <w:noProof/>
              </w:rPr>
              <w:t>3.</w:t>
            </w:r>
            <w:r>
              <w:rPr>
                <w:noProof/>
                <w:kern w:val="2"/>
                <w:sz w:val="24"/>
                <w:szCs w:val="24"/>
                <w14:ligatures w14:val="standardContextual"/>
              </w:rPr>
              <w:tab/>
            </w:r>
            <w:r w:rsidRPr="00AC05E3">
              <w:rPr>
                <w:rStyle w:val="Hyperlink"/>
                <w:noProof/>
              </w:rPr>
              <w:t>Recommendations and Implementation Strategy:</w:t>
            </w:r>
            <w:r>
              <w:rPr>
                <w:noProof/>
                <w:webHidden/>
              </w:rPr>
              <w:tab/>
            </w:r>
            <w:r>
              <w:rPr>
                <w:noProof/>
                <w:webHidden/>
              </w:rPr>
              <w:fldChar w:fldCharType="begin"/>
            </w:r>
            <w:r>
              <w:rPr>
                <w:noProof/>
                <w:webHidden/>
              </w:rPr>
              <w:instrText xml:space="preserve"> PAGEREF _Toc236192158 \h </w:instrText>
            </w:r>
            <w:r>
              <w:rPr>
                <w:noProof/>
                <w:webHidden/>
              </w:rPr>
            </w:r>
            <w:r>
              <w:rPr>
                <w:noProof/>
                <w:webHidden/>
              </w:rPr>
              <w:fldChar w:fldCharType="separate"/>
            </w:r>
            <w:r>
              <w:rPr>
                <w:noProof/>
                <w:webHidden/>
              </w:rPr>
              <w:t>8</w:t>
            </w:r>
            <w:r>
              <w:rPr>
                <w:noProof/>
                <w:webHidden/>
              </w:rPr>
              <w:fldChar w:fldCharType="end"/>
            </w:r>
          </w:hyperlink>
        </w:p>
        <w:p w14:paraId="5AE9F6CE" w14:textId="7BACD26D" w:rsidR="00BD5724" w:rsidRDefault="00BD5724">
          <w:pPr>
            <w:pStyle w:val="TOC2"/>
            <w:tabs>
              <w:tab w:val="right" w:leader="dot" w:pos="9016"/>
            </w:tabs>
            <w:rPr>
              <w:noProof/>
              <w:kern w:val="2"/>
              <w:sz w:val="24"/>
              <w:szCs w:val="24"/>
              <w14:ligatures w14:val="standardContextual"/>
            </w:rPr>
          </w:pPr>
          <w:hyperlink w:anchor="_Toc236192159" w:history="1">
            <w:r w:rsidRPr="00AC05E3">
              <w:rPr>
                <w:rStyle w:val="Hyperlink"/>
                <w:noProof/>
              </w:rPr>
              <w:t>3.1 PDSA Cycle:</w:t>
            </w:r>
            <w:r>
              <w:rPr>
                <w:noProof/>
                <w:webHidden/>
              </w:rPr>
              <w:tab/>
            </w:r>
            <w:r>
              <w:rPr>
                <w:noProof/>
                <w:webHidden/>
              </w:rPr>
              <w:fldChar w:fldCharType="begin"/>
            </w:r>
            <w:r>
              <w:rPr>
                <w:noProof/>
                <w:webHidden/>
              </w:rPr>
              <w:instrText xml:space="preserve"> PAGEREF _Toc236192159 \h </w:instrText>
            </w:r>
            <w:r>
              <w:rPr>
                <w:noProof/>
                <w:webHidden/>
              </w:rPr>
            </w:r>
            <w:r>
              <w:rPr>
                <w:noProof/>
                <w:webHidden/>
              </w:rPr>
              <w:fldChar w:fldCharType="separate"/>
            </w:r>
            <w:r>
              <w:rPr>
                <w:noProof/>
                <w:webHidden/>
              </w:rPr>
              <w:t>8</w:t>
            </w:r>
            <w:r>
              <w:rPr>
                <w:noProof/>
                <w:webHidden/>
              </w:rPr>
              <w:fldChar w:fldCharType="end"/>
            </w:r>
          </w:hyperlink>
        </w:p>
        <w:p w14:paraId="5CAE29B5" w14:textId="2DE1BC05" w:rsidR="00BD5724" w:rsidRDefault="00BD5724">
          <w:pPr>
            <w:pStyle w:val="TOC2"/>
            <w:tabs>
              <w:tab w:val="right" w:leader="dot" w:pos="9016"/>
            </w:tabs>
            <w:rPr>
              <w:noProof/>
              <w:kern w:val="2"/>
              <w:sz w:val="24"/>
              <w:szCs w:val="24"/>
              <w14:ligatures w14:val="standardContextual"/>
            </w:rPr>
          </w:pPr>
          <w:hyperlink w:anchor="_Toc236192160" w:history="1">
            <w:r w:rsidRPr="00AC05E3">
              <w:rPr>
                <w:rStyle w:val="Hyperlink"/>
                <w:noProof/>
              </w:rPr>
              <w:t>3.2 Change Management: Lewin and Kotter:</w:t>
            </w:r>
            <w:r>
              <w:rPr>
                <w:noProof/>
                <w:webHidden/>
              </w:rPr>
              <w:tab/>
            </w:r>
            <w:r>
              <w:rPr>
                <w:noProof/>
                <w:webHidden/>
              </w:rPr>
              <w:fldChar w:fldCharType="begin"/>
            </w:r>
            <w:r>
              <w:rPr>
                <w:noProof/>
                <w:webHidden/>
              </w:rPr>
              <w:instrText xml:space="preserve"> PAGEREF _Toc236192160 \h </w:instrText>
            </w:r>
            <w:r>
              <w:rPr>
                <w:noProof/>
                <w:webHidden/>
              </w:rPr>
            </w:r>
            <w:r>
              <w:rPr>
                <w:noProof/>
                <w:webHidden/>
              </w:rPr>
              <w:fldChar w:fldCharType="separate"/>
            </w:r>
            <w:r>
              <w:rPr>
                <w:noProof/>
                <w:webHidden/>
              </w:rPr>
              <w:t>9</w:t>
            </w:r>
            <w:r>
              <w:rPr>
                <w:noProof/>
                <w:webHidden/>
              </w:rPr>
              <w:fldChar w:fldCharType="end"/>
            </w:r>
          </w:hyperlink>
        </w:p>
        <w:p w14:paraId="2082DBAC" w14:textId="620C7B49" w:rsidR="00BD5724" w:rsidRDefault="00BD5724">
          <w:pPr>
            <w:pStyle w:val="TOC2"/>
            <w:tabs>
              <w:tab w:val="right" w:leader="dot" w:pos="9016"/>
            </w:tabs>
            <w:rPr>
              <w:noProof/>
              <w:kern w:val="2"/>
              <w:sz w:val="24"/>
              <w:szCs w:val="24"/>
              <w14:ligatures w14:val="standardContextual"/>
            </w:rPr>
          </w:pPr>
          <w:hyperlink w:anchor="_Toc236192161" w:history="1">
            <w:r w:rsidRPr="00AC05E3">
              <w:rPr>
                <w:rStyle w:val="Hyperlink"/>
                <w:noProof/>
              </w:rPr>
              <w:t>3.3 Lean and Six Sigma:</w:t>
            </w:r>
            <w:r>
              <w:rPr>
                <w:noProof/>
                <w:webHidden/>
              </w:rPr>
              <w:tab/>
            </w:r>
            <w:r>
              <w:rPr>
                <w:noProof/>
                <w:webHidden/>
              </w:rPr>
              <w:fldChar w:fldCharType="begin"/>
            </w:r>
            <w:r>
              <w:rPr>
                <w:noProof/>
                <w:webHidden/>
              </w:rPr>
              <w:instrText xml:space="preserve"> PAGEREF _Toc236192161 \h </w:instrText>
            </w:r>
            <w:r>
              <w:rPr>
                <w:noProof/>
                <w:webHidden/>
              </w:rPr>
            </w:r>
            <w:r>
              <w:rPr>
                <w:noProof/>
                <w:webHidden/>
              </w:rPr>
              <w:fldChar w:fldCharType="separate"/>
            </w:r>
            <w:r>
              <w:rPr>
                <w:noProof/>
                <w:webHidden/>
              </w:rPr>
              <w:t>10</w:t>
            </w:r>
            <w:r>
              <w:rPr>
                <w:noProof/>
                <w:webHidden/>
              </w:rPr>
              <w:fldChar w:fldCharType="end"/>
            </w:r>
          </w:hyperlink>
        </w:p>
        <w:p w14:paraId="573223EF" w14:textId="736D638C" w:rsidR="00BD5724" w:rsidRDefault="00BD5724">
          <w:pPr>
            <w:pStyle w:val="TOC1"/>
            <w:tabs>
              <w:tab w:val="left" w:pos="480"/>
              <w:tab w:val="right" w:leader="dot" w:pos="9016"/>
            </w:tabs>
            <w:rPr>
              <w:noProof/>
              <w:kern w:val="2"/>
              <w:sz w:val="24"/>
              <w:szCs w:val="24"/>
              <w14:ligatures w14:val="standardContextual"/>
            </w:rPr>
          </w:pPr>
          <w:hyperlink w:anchor="_Toc236192162" w:history="1">
            <w:r w:rsidRPr="00AC05E3">
              <w:rPr>
                <w:rStyle w:val="Hyperlink"/>
                <w:noProof/>
              </w:rPr>
              <w:t>4.</w:t>
            </w:r>
            <w:r>
              <w:rPr>
                <w:noProof/>
                <w:kern w:val="2"/>
                <w:sz w:val="24"/>
                <w:szCs w:val="24"/>
                <w14:ligatures w14:val="standardContextual"/>
              </w:rPr>
              <w:tab/>
            </w:r>
            <w:r w:rsidRPr="00AC05E3">
              <w:rPr>
                <w:rStyle w:val="Hyperlink"/>
                <w:noProof/>
              </w:rPr>
              <w:t>Benchmarking Against Comparable Schemes:</w:t>
            </w:r>
            <w:r>
              <w:rPr>
                <w:noProof/>
                <w:webHidden/>
              </w:rPr>
              <w:tab/>
            </w:r>
            <w:r>
              <w:rPr>
                <w:noProof/>
                <w:webHidden/>
              </w:rPr>
              <w:fldChar w:fldCharType="begin"/>
            </w:r>
            <w:r>
              <w:rPr>
                <w:noProof/>
                <w:webHidden/>
              </w:rPr>
              <w:instrText xml:space="preserve"> PAGEREF _Toc236192162 \h </w:instrText>
            </w:r>
            <w:r>
              <w:rPr>
                <w:noProof/>
                <w:webHidden/>
              </w:rPr>
            </w:r>
            <w:r>
              <w:rPr>
                <w:noProof/>
                <w:webHidden/>
              </w:rPr>
              <w:fldChar w:fldCharType="separate"/>
            </w:r>
            <w:r>
              <w:rPr>
                <w:noProof/>
                <w:webHidden/>
              </w:rPr>
              <w:t>10</w:t>
            </w:r>
            <w:r>
              <w:rPr>
                <w:noProof/>
                <w:webHidden/>
              </w:rPr>
              <w:fldChar w:fldCharType="end"/>
            </w:r>
          </w:hyperlink>
        </w:p>
        <w:p w14:paraId="3999687C" w14:textId="3F27DE37" w:rsidR="00BD5724" w:rsidRDefault="00BD5724">
          <w:pPr>
            <w:pStyle w:val="TOC1"/>
            <w:tabs>
              <w:tab w:val="left" w:pos="480"/>
              <w:tab w:val="right" w:leader="dot" w:pos="9016"/>
            </w:tabs>
            <w:rPr>
              <w:noProof/>
              <w:kern w:val="2"/>
              <w:sz w:val="24"/>
              <w:szCs w:val="24"/>
              <w14:ligatures w14:val="standardContextual"/>
            </w:rPr>
          </w:pPr>
          <w:hyperlink w:anchor="_Toc236192163" w:history="1">
            <w:r w:rsidRPr="00AC05E3">
              <w:rPr>
                <w:rStyle w:val="Hyperlink"/>
                <w:noProof/>
              </w:rPr>
              <w:t>5.</w:t>
            </w:r>
            <w:r>
              <w:rPr>
                <w:noProof/>
                <w:kern w:val="2"/>
                <w:sz w:val="24"/>
                <w:szCs w:val="24"/>
                <w14:ligatures w14:val="standardContextual"/>
              </w:rPr>
              <w:tab/>
            </w:r>
            <w:r w:rsidRPr="00AC05E3">
              <w:rPr>
                <w:rStyle w:val="Hyperlink"/>
                <w:noProof/>
              </w:rPr>
              <w:t>Conclusion:</w:t>
            </w:r>
            <w:r>
              <w:rPr>
                <w:noProof/>
                <w:webHidden/>
              </w:rPr>
              <w:tab/>
            </w:r>
            <w:r>
              <w:rPr>
                <w:noProof/>
                <w:webHidden/>
              </w:rPr>
              <w:fldChar w:fldCharType="begin"/>
            </w:r>
            <w:r>
              <w:rPr>
                <w:noProof/>
                <w:webHidden/>
              </w:rPr>
              <w:instrText xml:space="preserve"> PAGEREF _Toc236192163 \h </w:instrText>
            </w:r>
            <w:r>
              <w:rPr>
                <w:noProof/>
                <w:webHidden/>
              </w:rPr>
            </w:r>
            <w:r>
              <w:rPr>
                <w:noProof/>
                <w:webHidden/>
              </w:rPr>
              <w:fldChar w:fldCharType="separate"/>
            </w:r>
            <w:r>
              <w:rPr>
                <w:noProof/>
                <w:webHidden/>
              </w:rPr>
              <w:t>12</w:t>
            </w:r>
            <w:r>
              <w:rPr>
                <w:noProof/>
                <w:webHidden/>
              </w:rPr>
              <w:fldChar w:fldCharType="end"/>
            </w:r>
          </w:hyperlink>
        </w:p>
        <w:p w14:paraId="4D4A1CA9" w14:textId="3AFA0CE2" w:rsidR="00BD5724" w:rsidRDefault="00BD5724">
          <w:pPr>
            <w:pStyle w:val="TOC1"/>
            <w:tabs>
              <w:tab w:val="left" w:pos="480"/>
              <w:tab w:val="right" w:leader="dot" w:pos="9016"/>
            </w:tabs>
            <w:rPr>
              <w:noProof/>
              <w:kern w:val="2"/>
              <w:sz w:val="24"/>
              <w:szCs w:val="24"/>
              <w14:ligatures w14:val="standardContextual"/>
            </w:rPr>
          </w:pPr>
          <w:hyperlink w:anchor="_Toc236192164" w:history="1">
            <w:r w:rsidRPr="00AC05E3">
              <w:rPr>
                <w:rStyle w:val="Hyperlink"/>
                <w:rFonts w:eastAsia="Arial"/>
                <w:noProof/>
              </w:rPr>
              <w:t>6.</w:t>
            </w:r>
            <w:r>
              <w:rPr>
                <w:noProof/>
                <w:kern w:val="2"/>
                <w:sz w:val="24"/>
                <w:szCs w:val="24"/>
                <w14:ligatures w14:val="standardContextual"/>
              </w:rPr>
              <w:tab/>
            </w:r>
            <w:r w:rsidRPr="00AC05E3">
              <w:rPr>
                <w:rStyle w:val="Hyperlink"/>
                <w:rFonts w:eastAsia="Arial"/>
                <w:noProof/>
              </w:rPr>
              <w:t>Reference List</w:t>
            </w:r>
            <w:r>
              <w:rPr>
                <w:noProof/>
                <w:webHidden/>
              </w:rPr>
              <w:tab/>
            </w:r>
            <w:r>
              <w:rPr>
                <w:noProof/>
                <w:webHidden/>
              </w:rPr>
              <w:fldChar w:fldCharType="begin"/>
            </w:r>
            <w:r>
              <w:rPr>
                <w:noProof/>
                <w:webHidden/>
              </w:rPr>
              <w:instrText xml:space="preserve"> PAGEREF _Toc236192164 \h </w:instrText>
            </w:r>
            <w:r>
              <w:rPr>
                <w:noProof/>
                <w:webHidden/>
              </w:rPr>
            </w:r>
            <w:r>
              <w:rPr>
                <w:noProof/>
                <w:webHidden/>
              </w:rPr>
              <w:fldChar w:fldCharType="separate"/>
            </w:r>
            <w:r>
              <w:rPr>
                <w:noProof/>
                <w:webHidden/>
              </w:rPr>
              <w:t>14</w:t>
            </w:r>
            <w:r>
              <w:rPr>
                <w:noProof/>
                <w:webHidden/>
              </w:rPr>
              <w:fldChar w:fldCharType="end"/>
            </w:r>
          </w:hyperlink>
        </w:p>
        <w:p w14:paraId="0A9CBF8B" w14:textId="2F3A6167" w:rsidR="00645F58" w:rsidRDefault="001F69F6" w:rsidP="001F69F6">
          <w:pPr>
            <w:rPr>
              <w:b/>
              <w:bCs/>
              <w:noProof/>
            </w:rPr>
          </w:pPr>
          <w:r>
            <w:rPr>
              <w:b/>
              <w:bCs/>
              <w:noProof/>
            </w:rPr>
            <w:fldChar w:fldCharType="end"/>
          </w:r>
        </w:p>
      </w:sdtContent>
    </w:sdt>
    <w:p w14:paraId="3690A242" w14:textId="77777777" w:rsidR="00BD5724" w:rsidRDefault="00BD5724" w:rsidP="001F69F6">
      <w:pPr>
        <w:rPr>
          <w:b/>
          <w:bCs/>
          <w:noProof/>
        </w:rPr>
      </w:pPr>
    </w:p>
    <w:p w14:paraId="04146754" w14:textId="77777777" w:rsidR="00BD5724" w:rsidRDefault="00BD5724" w:rsidP="001F69F6">
      <w:pPr>
        <w:rPr>
          <w:b/>
          <w:bCs/>
          <w:noProof/>
        </w:rPr>
      </w:pPr>
    </w:p>
    <w:p w14:paraId="174E859F" w14:textId="77777777" w:rsidR="00BD5724" w:rsidRDefault="00BD5724" w:rsidP="001F69F6">
      <w:pPr>
        <w:rPr>
          <w:b/>
          <w:bCs/>
          <w:noProof/>
        </w:rPr>
      </w:pPr>
    </w:p>
    <w:p w14:paraId="0FD2D815" w14:textId="77777777" w:rsidR="00BD5724" w:rsidRDefault="00BD5724" w:rsidP="001F69F6">
      <w:pPr>
        <w:rPr>
          <w:b/>
          <w:bCs/>
          <w:noProof/>
        </w:rPr>
      </w:pPr>
    </w:p>
    <w:p w14:paraId="28D574B5" w14:textId="77777777" w:rsidR="00BD5724" w:rsidRDefault="00BD5724" w:rsidP="001F69F6">
      <w:pPr>
        <w:rPr>
          <w:b/>
          <w:bCs/>
          <w:noProof/>
        </w:rPr>
      </w:pPr>
    </w:p>
    <w:p w14:paraId="4730D503" w14:textId="77777777" w:rsidR="00BD5724" w:rsidRDefault="00BD5724" w:rsidP="001F69F6">
      <w:pPr>
        <w:rPr>
          <w:b/>
          <w:bCs/>
          <w:noProof/>
        </w:rPr>
      </w:pPr>
    </w:p>
    <w:p w14:paraId="036C7FA1" w14:textId="77777777" w:rsidR="00BD5724" w:rsidRDefault="00BD5724" w:rsidP="001F69F6">
      <w:pPr>
        <w:rPr>
          <w:b/>
          <w:bCs/>
          <w:noProof/>
        </w:rPr>
      </w:pPr>
    </w:p>
    <w:p w14:paraId="49AA8C5F" w14:textId="77777777" w:rsidR="00BD5724" w:rsidRDefault="00BD5724" w:rsidP="001F69F6">
      <w:pPr>
        <w:rPr>
          <w:b/>
          <w:bCs/>
          <w:noProof/>
        </w:rPr>
      </w:pPr>
    </w:p>
    <w:p w14:paraId="2E6FD095" w14:textId="77777777" w:rsidR="00BD5724" w:rsidRDefault="00BD5724" w:rsidP="001F69F6">
      <w:pPr>
        <w:rPr>
          <w:b/>
          <w:bCs/>
          <w:noProof/>
        </w:rPr>
      </w:pPr>
    </w:p>
    <w:p w14:paraId="2B2790E7" w14:textId="77777777" w:rsidR="00BD5724" w:rsidRDefault="00BD5724" w:rsidP="001F69F6">
      <w:pPr>
        <w:rPr>
          <w:b/>
          <w:bCs/>
          <w:noProof/>
        </w:rPr>
      </w:pPr>
    </w:p>
    <w:p w14:paraId="384F2F8A" w14:textId="77777777" w:rsidR="00BD5724" w:rsidRDefault="00BD5724" w:rsidP="001F69F6">
      <w:pPr>
        <w:rPr>
          <w:b/>
          <w:bCs/>
          <w:noProof/>
        </w:rPr>
      </w:pPr>
    </w:p>
    <w:p w14:paraId="0606B881" w14:textId="77777777" w:rsidR="00BD5724" w:rsidRDefault="00BD5724" w:rsidP="001F69F6">
      <w:pPr>
        <w:rPr>
          <w:b/>
          <w:bCs/>
          <w:noProof/>
        </w:rPr>
      </w:pPr>
    </w:p>
    <w:p w14:paraId="34B91D88" w14:textId="77777777" w:rsidR="00BD5724" w:rsidRDefault="00BD5724" w:rsidP="001F69F6">
      <w:pPr>
        <w:rPr>
          <w:b/>
          <w:bCs/>
          <w:noProof/>
        </w:rPr>
      </w:pPr>
    </w:p>
    <w:p w14:paraId="3BD08D13" w14:textId="77777777" w:rsidR="00BD5724" w:rsidRDefault="00BD5724" w:rsidP="001F69F6">
      <w:pPr>
        <w:rPr>
          <w:b/>
          <w:bCs/>
          <w:noProof/>
        </w:rPr>
      </w:pPr>
    </w:p>
    <w:p w14:paraId="7F4F0738" w14:textId="77777777" w:rsidR="00BD5724" w:rsidRDefault="00BD5724" w:rsidP="001F69F6">
      <w:pPr>
        <w:rPr>
          <w:b/>
          <w:bCs/>
          <w:noProof/>
        </w:rPr>
      </w:pPr>
    </w:p>
    <w:p w14:paraId="18D4D706" w14:textId="77777777" w:rsidR="00BD5724" w:rsidRPr="001F69F6" w:rsidRDefault="00BD5724" w:rsidP="001F69F6"/>
    <w:p w14:paraId="3A6CF8C2" w14:textId="7428A18A" w:rsidR="00645F58" w:rsidRDefault="00000000" w:rsidP="002A2DCC">
      <w:pPr>
        <w:pStyle w:val="Heading1"/>
        <w:numPr>
          <w:ilvl w:val="0"/>
          <w:numId w:val="2"/>
        </w:numPr>
      </w:pPr>
      <w:bookmarkStart w:id="0" w:name="_Toc236192152"/>
      <w:r w:rsidRPr="003704AC">
        <w:lastRenderedPageBreak/>
        <w:t>Introduction</w:t>
      </w:r>
      <w:r w:rsidR="002A2DCC">
        <w:t>:</w:t>
      </w:r>
      <w:bookmarkEnd w:id="0"/>
    </w:p>
    <w:p w14:paraId="3E28B188" w14:textId="77777777" w:rsidR="002A2DCC" w:rsidRPr="002A2DCC" w:rsidRDefault="002A2DCC" w:rsidP="002A2DCC"/>
    <w:p w14:paraId="01900C56" w14:textId="77777777"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This report examines a quality concern central to NHS patient safety policy: the failure to </w:t>
      </w:r>
      <w:proofErr w:type="spellStart"/>
      <w:r w:rsidRPr="003704AC">
        <w:rPr>
          <w:rFonts w:ascii="Arial" w:eastAsia="Arial" w:hAnsi="Arial" w:cs="Arial"/>
          <w:color w:val="000000" w:themeColor="text1"/>
        </w:rPr>
        <w:t>recognise</w:t>
      </w:r>
      <w:proofErr w:type="spellEnd"/>
      <w:r w:rsidRPr="003704AC">
        <w:rPr>
          <w:rFonts w:ascii="Arial" w:eastAsia="Arial" w:hAnsi="Arial" w:cs="Arial"/>
          <w:color w:val="000000" w:themeColor="text1"/>
        </w:rPr>
        <w:t xml:space="preserve"> and escalate acute clinical deterioration, illustrated through the case of Martha Mills. Martha, aged 13, sustained a pancreatic injury after a cycling accident in 2021 and was admitted to King's College Hospital (KCH) NHS Foundation Trust under the </w:t>
      </w:r>
      <w:proofErr w:type="spellStart"/>
      <w:r w:rsidRPr="003704AC">
        <w:rPr>
          <w:rFonts w:ascii="Arial" w:eastAsia="Arial" w:hAnsi="Arial" w:cs="Arial"/>
          <w:color w:val="000000" w:themeColor="text1"/>
        </w:rPr>
        <w:t>paediatric</w:t>
      </w:r>
      <w:proofErr w:type="spellEnd"/>
      <w:r w:rsidRPr="003704AC">
        <w:rPr>
          <w:rFonts w:ascii="Arial" w:eastAsia="Arial" w:hAnsi="Arial" w:cs="Arial"/>
          <w:color w:val="000000" w:themeColor="text1"/>
        </w:rPr>
        <w:t xml:space="preserve"> liver team. Over the following weeks she developed severe sepsis and, on several documented occasions, would have met criteria for referral to </w:t>
      </w:r>
      <w:proofErr w:type="spellStart"/>
      <w:r w:rsidRPr="003704AC">
        <w:rPr>
          <w:rFonts w:ascii="Arial" w:eastAsia="Arial" w:hAnsi="Arial" w:cs="Arial"/>
          <w:color w:val="000000" w:themeColor="text1"/>
        </w:rPr>
        <w:t>paediatric</w:t>
      </w:r>
      <w:proofErr w:type="spellEnd"/>
      <w:r w:rsidRPr="003704AC">
        <w:rPr>
          <w:rFonts w:ascii="Arial" w:eastAsia="Arial" w:hAnsi="Arial" w:cs="Arial"/>
          <w:color w:val="000000" w:themeColor="text1"/>
        </w:rPr>
        <w:t xml:space="preserve"> intensive care (PICU); this referral was not made in time, and Martha died on 31 August 2021, days before her fourteenth birthday (Judiciary, 2022).</w:t>
      </w:r>
    </w:p>
    <w:p w14:paraId="0E35FB43" w14:textId="77777777"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The coroner's inquest concluded Martha would probably have survived with earlier intensive care transfer. Her parents repeatedly voiced concerns, including fear she would deteriorate over a bank holiday weekend, yet these were not acted upon and the family was never told sepsis was suspected (Healthcare Today, 2025). The coroner's Prevention of Future Deaths report also found King's </w:t>
      </w:r>
      <w:proofErr w:type="spellStart"/>
      <w:r w:rsidRPr="003704AC">
        <w:rPr>
          <w:rFonts w:ascii="Arial" w:eastAsia="Arial" w:hAnsi="Arial" w:cs="Arial"/>
          <w:color w:val="000000" w:themeColor="text1"/>
        </w:rPr>
        <w:t>paediatric</w:t>
      </w:r>
      <w:proofErr w:type="spellEnd"/>
      <w:r w:rsidRPr="003704AC">
        <w:rPr>
          <w:rFonts w:ascii="Arial" w:eastAsia="Arial" w:hAnsi="Arial" w:cs="Arial"/>
          <w:color w:val="000000" w:themeColor="text1"/>
        </w:rPr>
        <w:t xml:space="preserve"> early warning score remained paper-based, unlike the electronic adult system (Judiciary, 2022).</w:t>
      </w:r>
    </w:p>
    <w:p w14:paraId="47F4FFC6" w14:textId="41BF6318"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This exemplifies 'failure to rescue': the inability of healthcare systems to </w:t>
      </w:r>
      <w:proofErr w:type="spellStart"/>
      <w:r w:rsidRPr="003704AC">
        <w:rPr>
          <w:rFonts w:ascii="Arial" w:eastAsia="Arial" w:hAnsi="Arial" w:cs="Arial"/>
          <w:color w:val="000000" w:themeColor="text1"/>
        </w:rPr>
        <w:t>recognise</w:t>
      </w:r>
      <w:proofErr w:type="spellEnd"/>
      <w:r w:rsidRPr="003704AC">
        <w:rPr>
          <w:rFonts w:ascii="Arial" w:eastAsia="Arial" w:hAnsi="Arial" w:cs="Arial"/>
          <w:color w:val="000000" w:themeColor="text1"/>
        </w:rPr>
        <w:t xml:space="preserve"> and respond promptly to patients showing signs of clinical deterioration. This accounts for an estimated five avoidable deaths per acute trust per month, frequently linked to inattention to the concerns of patients and their families (Welch </w:t>
      </w:r>
      <w:r w:rsidRPr="002A2DCC">
        <w:rPr>
          <w:rFonts w:ascii="Arial" w:eastAsia="Arial" w:hAnsi="Arial" w:cs="Arial"/>
          <w:i/>
          <w:iCs/>
          <w:color w:val="000000" w:themeColor="text1"/>
        </w:rPr>
        <w:t>et al.,</w:t>
      </w:r>
      <w:r w:rsidRPr="003704AC">
        <w:rPr>
          <w:rFonts w:ascii="Arial" w:eastAsia="Arial" w:hAnsi="Arial" w:cs="Arial"/>
          <w:color w:val="000000" w:themeColor="text1"/>
        </w:rPr>
        <w:t xml:space="preserve"> 2025)</w:t>
      </w:r>
      <w:r w:rsidR="002A2DCC">
        <w:rPr>
          <w:rFonts w:ascii="Arial" w:eastAsia="Arial" w:hAnsi="Arial" w:cs="Arial"/>
          <w:color w:val="000000" w:themeColor="text1"/>
        </w:rPr>
        <w:t>.</w:t>
      </w:r>
      <w:r w:rsidRPr="003704AC">
        <w:rPr>
          <w:rFonts w:ascii="Arial" w:eastAsia="Arial" w:hAnsi="Arial" w:cs="Arial"/>
          <w:color w:val="000000" w:themeColor="text1"/>
        </w:rPr>
        <w:t xml:space="preserve"> scaled across England's 210 acute trusts, this suggests over 1,000 such deaths annually. A 2025 qualitative study in BMJ Quality &amp; Safety similarly found that, despite existing early warning systems, translating patient and family concern into effective escalation remains 'practically difficult to achieve' without reliable </w:t>
      </w:r>
      <w:proofErr w:type="spellStart"/>
      <w:r w:rsidRPr="003704AC">
        <w:rPr>
          <w:rFonts w:ascii="Arial" w:eastAsia="Arial" w:hAnsi="Arial" w:cs="Arial"/>
          <w:color w:val="000000" w:themeColor="text1"/>
        </w:rPr>
        <w:t>organisational</w:t>
      </w:r>
      <w:proofErr w:type="spellEnd"/>
      <w:r w:rsidRPr="003704AC">
        <w:rPr>
          <w:rFonts w:ascii="Arial" w:eastAsia="Arial" w:hAnsi="Arial" w:cs="Arial"/>
          <w:color w:val="000000" w:themeColor="text1"/>
        </w:rPr>
        <w:t xml:space="preserve"> structures (Sutton </w:t>
      </w:r>
      <w:r w:rsidRPr="002A2DCC">
        <w:rPr>
          <w:rFonts w:ascii="Arial" w:eastAsia="Arial" w:hAnsi="Arial" w:cs="Arial"/>
          <w:i/>
          <w:iCs/>
          <w:color w:val="000000" w:themeColor="text1"/>
        </w:rPr>
        <w:t>et al.,</w:t>
      </w:r>
      <w:r w:rsidRPr="003704AC">
        <w:rPr>
          <w:rFonts w:ascii="Arial" w:eastAsia="Arial" w:hAnsi="Arial" w:cs="Arial"/>
          <w:color w:val="000000" w:themeColor="text1"/>
        </w:rPr>
        <w:t xml:space="preserve"> 2025). Martha's case aligns closely with the NHS Patient Safety Strategy's commitment to 'safety involvement', alongside safety insight and safety improvement, as a core national quality priority (NHS England, 2019), exposing a gap between strategic intent and everyday ward-level practice.</w:t>
      </w:r>
    </w:p>
    <w:p w14:paraId="1D052A62" w14:textId="27835A38"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In response, NHS England introduced Martha's Rule: a formal route for patients, families and staff to request a rapid, independent clinical review (NHS England, 2025). This report applies the Fishbone diagram, 5 Whys, the Donabedian model and a SWOT analysis to the root causes of this failure, before proposing PDSA, Lewin/Kotter and Lean</w:t>
      </w:r>
      <w:r w:rsidR="002A2DCC">
        <w:rPr>
          <w:rFonts w:ascii="Arial" w:eastAsia="Arial" w:hAnsi="Arial" w:cs="Arial"/>
          <w:color w:val="000000" w:themeColor="text1"/>
        </w:rPr>
        <w:t xml:space="preserve"> </w:t>
      </w:r>
      <w:r w:rsidRPr="003704AC">
        <w:rPr>
          <w:rFonts w:ascii="Arial" w:eastAsia="Arial" w:hAnsi="Arial" w:cs="Arial"/>
          <w:color w:val="000000" w:themeColor="text1"/>
        </w:rPr>
        <w:t>based recommendations, and benchmarking these against comparable NHS and international schemes.</w:t>
      </w:r>
    </w:p>
    <w:p w14:paraId="6A37AC7E" w14:textId="77777777" w:rsidR="00645F58" w:rsidRPr="003704AC" w:rsidRDefault="00000000" w:rsidP="002A2DCC">
      <w:pPr>
        <w:spacing w:before="200" w:after="60" w:line="360" w:lineRule="auto"/>
        <w:jc w:val="center"/>
        <w:rPr>
          <w:rFonts w:ascii="Arial" w:hAnsi="Arial" w:cs="Arial"/>
          <w:color w:val="000000" w:themeColor="text1"/>
        </w:rPr>
      </w:pPr>
      <w:r w:rsidRPr="003704AC">
        <w:rPr>
          <w:rFonts w:ascii="Arial" w:hAnsi="Arial" w:cs="Arial"/>
          <w:noProof/>
          <w:color w:val="000000" w:themeColor="text1"/>
        </w:rPr>
        <w:lastRenderedPageBreak/>
        <w:drawing>
          <wp:inline distT="0" distB="0" distL="0" distR="0" wp14:anchorId="0D07EE14" wp14:editId="044536D5">
            <wp:extent cx="4953000" cy="2076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953000" cy="2076450"/>
                    </a:xfrm>
                    <a:prstGeom prst="rect">
                      <a:avLst/>
                    </a:prstGeom>
                  </pic:spPr>
                </pic:pic>
              </a:graphicData>
            </a:graphic>
          </wp:inline>
        </w:drawing>
      </w:r>
    </w:p>
    <w:p w14:paraId="74E15522" w14:textId="520F994B" w:rsidR="00645F58" w:rsidRDefault="00000000" w:rsidP="002A2DCC">
      <w:pPr>
        <w:spacing w:before="80" w:after="280" w:line="360" w:lineRule="auto"/>
        <w:jc w:val="center"/>
        <w:rPr>
          <w:rFonts w:ascii="Arial" w:eastAsia="Arial" w:hAnsi="Arial" w:cs="Arial"/>
          <w:color w:val="000000" w:themeColor="text1"/>
          <w:sz w:val="18"/>
          <w:szCs w:val="18"/>
        </w:rPr>
      </w:pPr>
      <w:r w:rsidRPr="003704AC">
        <w:rPr>
          <w:rFonts w:ascii="Arial" w:eastAsia="Arial" w:hAnsi="Arial" w:cs="Arial"/>
          <w:color w:val="000000" w:themeColor="text1"/>
          <w:sz w:val="18"/>
          <w:szCs w:val="18"/>
        </w:rPr>
        <w:t xml:space="preserve">Figure 1: Martha's Rule National </w:t>
      </w:r>
      <w:proofErr w:type="gramStart"/>
      <w:r w:rsidRPr="003704AC">
        <w:rPr>
          <w:rFonts w:ascii="Arial" w:eastAsia="Arial" w:hAnsi="Arial" w:cs="Arial"/>
          <w:color w:val="000000" w:themeColor="text1"/>
          <w:sz w:val="18"/>
          <w:szCs w:val="18"/>
        </w:rPr>
        <w:t xml:space="preserve">Impact </w:t>
      </w:r>
      <w:r w:rsidR="002A2DCC">
        <w:rPr>
          <w:rFonts w:ascii="Arial" w:eastAsia="Arial" w:hAnsi="Arial" w:cs="Arial"/>
          <w:color w:val="000000" w:themeColor="text1"/>
          <w:sz w:val="18"/>
          <w:szCs w:val="18"/>
        </w:rPr>
        <w:t>:</w:t>
      </w:r>
      <w:proofErr w:type="gramEnd"/>
      <w:r w:rsidR="002A2DCC">
        <w:rPr>
          <w:rFonts w:ascii="Arial" w:eastAsia="Arial" w:hAnsi="Arial" w:cs="Arial"/>
          <w:color w:val="000000" w:themeColor="text1"/>
          <w:sz w:val="18"/>
          <w:szCs w:val="18"/>
        </w:rPr>
        <w:t xml:space="preserve"> </w:t>
      </w:r>
      <w:r w:rsidRPr="003704AC">
        <w:rPr>
          <w:rFonts w:ascii="Arial" w:eastAsia="Arial" w:hAnsi="Arial" w:cs="Arial"/>
          <w:color w:val="000000" w:themeColor="text1"/>
          <w:sz w:val="18"/>
          <w:szCs w:val="18"/>
        </w:rPr>
        <w:t>Key Statistics (NHS England, 2026a)</w:t>
      </w:r>
    </w:p>
    <w:p w14:paraId="1FAAF6F3" w14:textId="77777777" w:rsidR="002A2DCC" w:rsidRPr="003704AC" w:rsidRDefault="002A2DCC" w:rsidP="002A2DCC">
      <w:pPr>
        <w:spacing w:before="80" w:after="280" w:line="360" w:lineRule="auto"/>
        <w:jc w:val="center"/>
        <w:rPr>
          <w:rFonts w:ascii="Arial" w:hAnsi="Arial" w:cs="Arial"/>
          <w:color w:val="000000" w:themeColor="text1"/>
        </w:rPr>
      </w:pPr>
    </w:p>
    <w:p w14:paraId="038BE0C2" w14:textId="75FFDF5B" w:rsidR="00645F58" w:rsidRDefault="00000000" w:rsidP="002A2DCC">
      <w:pPr>
        <w:pStyle w:val="Heading1"/>
        <w:numPr>
          <w:ilvl w:val="0"/>
          <w:numId w:val="2"/>
        </w:numPr>
      </w:pPr>
      <w:bookmarkStart w:id="1" w:name="_Toc236192153"/>
      <w:r w:rsidRPr="002A2DCC">
        <w:t>Main Body: Analysis of Root Causes</w:t>
      </w:r>
      <w:r w:rsidR="002A2DCC">
        <w:t>:</w:t>
      </w:r>
      <w:bookmarkEnd w:id="1"/>
    </w:p>
    <w:p w14:paraId="14FD0A54" w14:textId="77777777" w:rsidR="002A2DCC" w:rsidRPr="002A2DCC" w:rsidRDefault="002A2DCC" w:rsidP="002A2DCC">
      <w:pPr>
        <w:pStyle w:val="ListParagraph"/>
      </w:pPr>
    </w:p>
    <w:p w14:paraId="283A1911" w14:textId="20C6643B" w:rsidR="00645F58" w:rsidRDefault="00000000" w:rsidP="002A2DCC">
      <w:pPr>
        <w:pStyle w:val="Heading2"/>
        <w:numPr>
          <w:ilvl w:val="1"/>
          <w:numId w:val="2"/>
        </w:numPr>
      </w:pPr>
      <w:bookmarkStart w:id="2" w:name="_Toc236192154"/>
      <w:r w:rsidRPr="002A2DCC">
        <w:t>Fishbone Diagram</w:t>
      </w:r>
      <w:r w:rsidR="002A2DCC">
        <w:t>:</w:t>
      </w:r>
      <w:bookmarkEnd w:id="2"/>
    </w:p>
    <w:p w14:paraId="695E5C49" w14:textId="77777777" w:rsidR="002A2DCC" w:rsidRPr="002A2DCC" w:rsidRDefault="002A2DCC" w:rsidP="002A2DCC">
      <w:pPr>
        <w:pStyle w:val="ListParagraph"/>
        <w:ind w:left="840"/>
      </w:pPr>
    </w:p>
    <w:p w14:paraId="573E5842" w14:textId="7D2014C3" w:rsidR="00645F58" w:rsidRPr="003704AC" w:rsidRDefault="00000000" w:rsidP="002A2DC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The Fishbone diagram </w:t>
      </w:r>
      <w:proofErr w:type="spellStart"/>
      <w:r w:rsidRPr="003704AC">
        <w:rPr>
          <w:rFonts w:ascii="Arial" w:eastAsia="Arial" w:hAnsi="Arial" w:cs="Arial"/>
          <w:color w:val="000000" w:themeColor="text1"/>
        </w:rPr>
        <w:t>categorises</w:t>
      </w:r>
      <w:proofErr w:type="spellEnd"/>
      <w:r w:rsidRPr="003704AC">
        <w:rPr>
          <w:rFonts w:ascii="Arial" w:eastAsia="Arial" w:hAnsi="Arial" w:cs="Arial"/>
          <w:color w:val="000000" w:themeColor="text1"/>
        </w:rPr>
        <w:t xml:space="preserve"> root causes under people, process, policy, equipment and environment (Ishikawa, 1985). Table 1 </w:t>
      </w:r>
      <w:proofErr w:type="spellStart"/>
      <w:r w:rsidRPr="003704AC">
        <w:rPr>
          <w:rFonts w:ascii="Arial" w:eastAsia="Arial" w:hAnsi="Arial" w:cs="Arial"/>
          <w:color w:val="000000" w:themeColor="text1"/>
        </w:rPr>
        <w:t>summarises</w:t>
      </w:r>
      <w:proofErr w:type="spellEnd"/>
      <w:r w:rsidRPr="003704AC">
        <w:rPr>
          <w:rFonts w:ascii="Arial" w:eastAsia="Arial" w:hAnsi="Arial" w:cs="Arial"/>
          <w:color w:val="000000" w:themeColor="text1"/>
        </w:rPr>
        <w:t xml:space="preserve"> the causes identified from Martha's case.</w:t>
      </w: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91"/>
        <w:gridCol w:w="7768"/>
      </w:tblGrid>
      <w:tr w:rsidR="003704AC" w:rsidRPr="003704AC" w14:paraId="6A3353FC" w14:textId="77777777" w:rsidTr="002A2DCC">
        <w:tblPrEx>
          <w:tblCellMar>
            <w:top w:w="0" w:type="dxa"/>
            <w:bottom w:w="0" w:type="dxa"/>
          </w:tblCellMar>
        </w:tblPrEx>
        <w:trPr>
          <w:trHeight w:val="471"/>
        </w:trPr>
        <w:tc>
          <w:tcPr>
            <w:tcW w:w="0" w:type="auto"/>
            <w:shd w:val="clear" w:color="auto" w:fill="1B2A4A"/>
            <w:tcMar>
              <w:top w:w="100" w:type="dxa"/>
              <w:left w:w="140" w:type="dxa"/>
              <w:bottom w:w="100" w:type="dxa"/>
              <w:right w:w="140" w:type="dxa"/>
            </w:tcMar>
          </w:tcPr>
          <w:p w14:paraId="0DCCB67E" w14:textId="77777777" w:rsidR="00645F58" w:rsidRPr="002A2DCC" w:rsidRDefault="00000000" w:rsidP="002A2DCC">
            <w:pPr>
              <w:spacing w:line="360" w:lineRule="auto"/>
              <w:jc w:val="center"/>
              <w:rPr>
                <w:rFonts w:ascii="Arial" w:hAnsi="Arial" w:cs="Arial"/>
                <w:color w:val="FFFFFF" w:themeColor="background1"/>
              </w:rPr>
            </w:pPr>
            <w:r w:rsidRPr="002A2DCC">
              <w:rPr>
                <w:rFonts w:ascii="Arial" w:eastAsia="Arial" w:hAnsi="Arial" w:cs="Arial"/>
                <w:color w:val="FFFFFF" w:themeColor="background1"/>
                <w:sz w:val="19"/>
                <w:szCs w:val="19"/>
              </w:rPr>
              <w:t>Category</w:t>
            </w:r>
          </w:p>
        </w:tc>
        <w:tc>
          <w:tcPr>
            <w:tcW w:w="0" w:type="auto"/>
            <w:shd w:val="clear" w:color="auto" w:fill="1B2A4A"/>
            <w:tcMar>
              <w:top w:w="100" w:type="dxa"/>
              <w:left w:w="140" w:type="dxa"/>
              <w:bottom w:w="100" w:type="dxa"/>
              <w:right w:w="140" w:type="dxa"/>
            </w:tcMar>
          </w:tcPr>
          <w:p w14:paraId="0181C370" w14:textId="77777777" w:rsidR="00645F58" w:rsidRPr="002A2DCC" w:rsidRDefault="00000000" w:rsidP="002A2DCC">
            <w:pPr>
              <w:spacing w:line="360" w:lineRule="auto"/>
              <w:jc w:val="center"/>
              <w:rPr>
                <w:rFonts w:ascii="Arial" w:hAnsi="Arial" w:cs="Arial"/>
                <w:color w:val="FFFFFF" w:themeColor="background1"/>
              </w:rPr>
            </w:pPr>
            <w:r w:rsidRPr="002A2DCC">
              <w:rPr>
                <w:rFonts w:ascii="Arial" w:eastAsia="Arial" w:hAnsi="Arial" w:cs="Arial"/>
                <w:color w:val="FFFFFF" w:themeColor="background1"/>
                <w:sz w:val="19"/>
                <w:szCs w:val="19"/>
              </w:rPr>
              <w:t>Root Cause(s) Identified</w:t>
            </w:r>
          </w:p>
        </w:tc>
      </w:tr>
      <w:tr w:rsidR="003704AC" w:rsidRPr="003704AC" w14:paraId="2BC3E9DE" w14:textId="77777777" w:rsidTr="002A2DCC">
        <w:tblPrEx>
          <w:tblCellMar>
            <w:top w:w="0" w:type="dxa"/>
            <w:bottom w:w="0" w:type="dxa"/>
          </w:tblCellMar>
        </w:tblPrEx>
        <w:trPr>
          <w:cantSplit/>
          <w:trHeight w:val="742"/>
        </w:trPr>
        <w:tc>
          <w:tcPr>
            <w:tcW w:w="0" w:type="auto"/>
            <w:shd w:val="clear" w:color="auto" w:fill="F4F6F8"/>
            <w:tcMar>
              <w:top w:w="100" w:type="dxa"/>
              <w:left w:w="140" w:type="dxa"/>
              <w:bottom w:w="100" w:type="dxa"/>
              <w:right w:w="140" w:type="dxa"/>
            </w:tcMar>
          </w:tcPr>
          <w:p w14:paraId="4E29E282"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People</w:t>
            </w:r>
          </w:p>
        </w:tc>
        <w:tc>
          <w:tcPr>
            <w:tcW w:w="0" w:type="auto"/>
            <w:shd w:val="clear" w:color="auto" w:fill="F4F6F8"/>
            <w:tcMar>
              <w:top w:w="100" w:type="dxa"/>
              <w:left w:w="140" w:type="dxa"/>
              <w:bottom w:w="100" w:type="dxa"/>
              <w:right w:w="140" w:type="dxa"/>
            </w:tcMar>
          </w:tcPr>
          <w:p w14:paraId="37E3731D"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 xml:space="preserve">Parental concerns repeatedly dismissed; hierarchical culture discouraged junior staff from challenging the consultant's view (Healthcare Today, 2025; </w:t>
            </w:r>
            <w:proofErr w:type="spellStart"/>
            <w:r w:rsidRPr="003704AC">
              <w:rPr>
                <w:rFonts w:ascii="Arial" w:eastAsia="Arial" w:hAnsi="Arial" w:cs="Arial"/>
                <w:color w:val="000000" w:themeColor="text1"/>
                <w:sz w:val="18"/>
                <w:szCs w:val="18"/>
              </w:rPr>
              <w:t>Subbe</w:t>
            </w:r>
            <w:proofErr w:type="spellEnd"/>
            <w:r w:rsidRPr="003704AC">
              <w:rPr>
                <w:rFonts w:ascii="Arial" w:eastAsia="Arial" w:hAnsi="Arial" w:cs="Arial"/>
                <w:color w:val="000000" w:themeColor="text1"/>
                <w:sz w:val="18"/>
                <w:szCs w:val="18"/>
              </w:rPr>
              <w:t xml:space="preserve"> </w:t>
            </w:r>
            <w:r w:rsidRPr="002A2DCC">
              <w:rPr>
                <w:rFonts w:ascii="Arial" w:eastAsia="Arial" w:hAnsi="Arial" w:cs="Arial"/>
                <w:i/>
                <w:iCs/>
                <w:color w:val="000000" w:themeColor="text1"/>
                <w:sz w:val="18"/>
                <w:szCs w:val="18"/>
              </w:rPr>
              <w:t>et al.,</w:t>
            </w:r>
            <w:r w:rsidRPr="003704AC">
              <w:rPr>
                <w:rFonts w:ascii="Arial" w:eastAsia="Arial" w:hAnsi="Arial" w:cs="Arial"/>
                <w:color w:val="000000" w:themeColor="text1"/>
                <w:sz w:val="18"/>
                <w:szCs w:val="18"/>
              </w:rPr>
              <w:t xml:space="preserve"> 2024).</w:t>
            </w:r>
          </w:p>
        </w:tc>
      </w:tr>
      <w:tr w:rsidR="003704AC" w:rsidRPr="003704AC" w14:paraId="2B3F4081" w14:textId="77777777" w:rsidTr="002A2DCC">
        <w:tblPrEx>
          <w:tblCellMar>
            <w:top w:w="0" w:type="dxa"/>
            <w:bottom w:w="0" w:type="dxa"/>
          </w:tblCellMar>
        </w:tblPrEx>
        <w:trPr>
          <w:cantSplit/>
          <w:trHeight w:val="742"/>
        </w:trPr>
        <w:tc>
          <w:tcPr>
            <w:tcW w:w="0" w:type="auto"/>
            <w:shd w:val="clear" w:color="auto" w:fill="E7ECEF"/>
            <w:tcMar>
              <w:top w:w="100" w:type="dxa"/>
              <w:left w:w="140" w:type="dxa"/>
              <w:bottom w:w="100" w:type="dxa"/>
              <w:right w:w="140" w:type="dxa"/>
            </w:tcMar>
          </w:tcPr>
          <w:p w14:paraId="15EFA452"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Process</w:t>
            </w:r>
          </w:p>
        </w:tc>
        <w:tc>
          <w:tcPr>
            <w:tcW w:w="0" w:type="auto"/>
            <w:shd w:val="clear" w:color="auto" w:fill="E7ECEF"/>
            <w:tcMar>
              <w:top w:w="100" w:type="dxa"/>
              <w:left w:w="140" w:type="dxa"/>
              <w:bottom w:w="100" w:type="dxa"/>
              <w:right w:w="140" w:type="dxa"/>
            </w:tcMar>
          </w:tcPr>
          <w:p w14:paraId="257F99E2"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No formal family escalation route; liver team retained sole responsibility despite multiple occasions warranting PICU referral (Weightmans, 2024).</w:t>
            </w:r>
          </w:p>
        </w:tc>
      </w:tr>
      <w:tr w:rsidR="003704AC" w:rsidRPr="003704AC" w14:paraId="35AD02A6" w14:textId="77777777" w:rsidTr="002A2DCC">
        <w:tblPrEx>
          <w:tblCellMar>
            <w:top w:w="0" w:type="dxa"/>
            <w:bottom w:w="0" w:type="dxa"/>
          </w:tblCellMar>
        </w:tblPrEx>
        <w:trPr>
          <w:cantSplit/>
          <w:trHeight w:val="742"/>
        </w:trPr>
        <w:tc>
          <w:tcPr>
            <w:tcW w:w="0" w:type="auto"/>
            <w:shd w:val="clear" w:color="auto" w:fill="F4F6F8"/>
            <w:tcMar>
              <w:top w:w="100" w:type="dxa"/>
              <w:left w:w="140" w:type="dxa"/>
              <w:bottom w:w="100" w:type="dxa"/>
              <w:right w:w="140" w:type="dxa"/>
            </w:tcMar>
          </w:tcPr>
          <w:p w14:paraId="349A60B1"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Policy</w:t>
            </w:r>
          </w:p>
        </w:tc>
        <w:tc>
          <w:tcPr>
            <w:tcW w:w="0" w:type="auto"/>
            <w:shd w:val="clear" w:color="auto" w:fill="F4F6F8"/>
            <w:tcMar>
              <w:top w:w="100" w:type="dxa"/>
              <w:left w:w="140" w:type="dxa"/>
              <w:bottom w:w="100" w:type="dxa"/>
              <w:right w:w="140" w:type="dxa"/>
            </w:tcMar>
          </w:tcPr>
          <w:p w14:paraId="217C3940"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No 'Call for Concern' equivalent or mandated second-opinion right existed at King's in 2021 (Cooksley, Astbury and Holland, 2023).</w:t>
            </w:r>
          </w:p>
        </w:tc>
      </w:tr>
      <w:tr w:rsidR="003704AC" w:rsidRPr="003704AC" w14:paraId="0945C225" w14:textId="77777777" w:rsidTr="002A2DCC">
        <w:tblPrEx>
          <w:tblCellMar>
            <w:top w:w="0" w:type="dxa"/>
            <w:bottom w:w="0" w:type="dxa"/>
          </w:tblCellMar>
        </w:tblPrEx>
        <w:trPr>
          <w:cantSplit/>
          <w:trHeight w:val="742"/>
        </w:trPr>
        <w:tc>
          <w:tcPr>
            <w:tcW w:w="0" w:type="auto"/>
            <w:shd w:val="clear" w:color="auto" w:fill="E7ECEF"/>
            <w:tcMar>
              <w:top w:w="100" w:type="dxa"/>
              <w:left w:w="140" w:type="dxa"/>
              <w:bottom w:w="100" w:type="dxa"/>
              <w:right w:w="140" w:type="dxa"/>
            </w:tcMar>
          </w:tcPr>
          <w:p w14:paraId="494B6F33"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Equipment</w:t>
            </w:r>
          </w:p>
        </w:tc>
        <w:tc>
          <w:tcPr>
            <w:tcW w:w="0" w:type="auto"/>
            <w:shd w:val="clear" w:color="auto" w:fill="E7ECEF"/>
            <w:tcMar>
              <w:top w:w="100" w:type="dxa"/>
              <w:left w:w="140" w:type="dxa"/>
              <w:bottom w:w="100" w:type="dxa"/>
              <w:right w:w="140" w:type="dxa"/>
            </w:tcMar>
          </w:tcPr>
          <w:p w14:paraId="6DF5C9A5" w14:textId="77777777" w:rsidR="00645F58" w:rsidRPr="003704AC" w:rsidRDefault="00000000" w:rsidP="002A2DCC">
            <w:pPr>
              <w:spacing w:line="360" w:lineRule="auto"/>
              <w:jc w:val="center"/>
              <w:rPr>
                <w:rFonts w:ascii="Arial" w:hAnsi="Arial" w:cs="Arial"/>
                <w:color w:val="000000" w:themeColor="text1"/>
              </w:rPr>
            </w:pPr>
            <w:proofErr w:type="spellStart"/>
            <w:r w:rsidRPr="003704AC">
              <w:rPr>
                <w:rFonts w:ascii="Arial" w:eastAsia="Arial" w:hAnsi="Arial" w:cs="Arial"/>
                <w:color w:val="000000" w:themeColor="text1"/>
                <w:sz w:val="18"/>
                <w:szCs w:val="18"/>
              </w:rPr>
              <w:t>Paediatric</w:t>
            </w:r>
            <w:proofErr w:type="spellEnd"/>
            <w:r w:rsidRPr="003704AC">
              <w:rPr>
                <w:rFonts w:ascii="Arial" w:eastAsia="Arial" w:hAnsi="Arial" w:cs="Arial"/>
                <w:color w:val="000000" w:themeColor="text1"/>
                <w:sz w:val="18"/>
                <w:szCs w:val="18"/>
              </w:rPr>
              <w:t xml:space="preserve"> early warning score (BPEWS) was paper-based, with no automated deterioration alert, unlike the adult system (Judiciary, 2022).</w:t>
            </w:r>
          </w:p>
        </w:tc>
      </w:tr>
      <w:tr w:rsidR="003704AC" w:rsidRPr="003704AC" w14:paraId="3B90D153" w14:textId="77777777" w:rsidTr="002A2DCC">
        <w:tblPrEx>
          <w:tblCellMar>
            <w:top w:w="0" w:type="dxa"/>
            <w:bottom w:w="0" w:type="dxa"/>
          </w:tblCellMar>
        </w:tblPrEx>
        <w:trPr>
          <w:cantSplit/>
          <w:trHeight w:val="742"/>
        </w:trPr>
        <w:tc>
          <w:tcPr>
            <w:tcW w:w="0" w:type="auto"/>
            <w:shd w:val="clear" w:color="auto" w:fill="F4F6F8"/>
            <w:tcMar>
              <w:top w:w="100" w:type="dxa"/>
              <w:left w:w="140" w:type="dxa"/>
              <w:bottom w:w="100" w:type="dxa"/>
              <w:right w:w="140" w:type="dxa"/>
            </w:tcMar>
          </w:tcPr>
          <w:p w14:paraId="5435BB04"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Environment</w:t>
            </w:r>
          </w:p>
        </w:tc>
        <w:tc>
          <w:tcPr>
            <w:tcW w:w="0" w:type="auto"/>
            <w:shd w:val="clear" w:color="auto" w:fill="F4F6F8"/>
            <w:tcMar>
              <w:top w:w="100" w:type="dxa"/>
              <w:left w:w="140" w:type="dxa"/>
              <w:bottom w:w="100" w:type="dxa"/>
              <w:right w:w="140" w:type="dxa"/>
            </w:tcMar>
          </w:tcPr>
          <w:p w14:paraId="2C545D6C"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Deterioration occurred over a bank holiday weekend with reduced senior consultant presence (Healthcare Today, 2025).</w:t>
            </w:r>
          </w:p>
        </w:tc>
      </w:tr>
    </w:tbl>
    <w:p w14:paraId="3DBB35DE" w14:textId="77777777" w:rsidR="00645F58" w:rsidRPr="003704AC" w:rsidRDefault="00000000" w:rsidP="002A2DCC">
      <w:pPr>
        <w:spacing w:before="80" w:after="280" w:line="360" w:lineRule="auto"/>
        <w:jc w:val="center"/>
        <w:rPr>
          <w:rFonts w:ascii="Arial" w:hAnsi="Arial" w:cs="Arial"/>
          <w:color w:val="000000" w:themeColor="text1"/>
        </w:rPr>
      </w:pPr>
      <w:r w:rsidRPr="003704AC">
        <w:rPr>
          <w:rFonts w:ascii="Arial" w:eastAsia="Arial" w:hAnsi="Arial" w:cs="Arial"/>
          <w:color w:val="000000" w:themeColor="text1"/>
          <w:sz w:val="18"/>
          <w:szCs w:val="18"/>
        </w:rPr>
        <w:t>Table 1: Fishbone Root-Cause Summary – Martha Mills, King's College Hospital (2021)</w:t>
      </w:r>
    </w:p>
    <w:p w14:paraId="520E61E2" w14:textId="7D080FF5" w:rsidR="00645F58" w:rsidRDefault="00000000" w:rsidP="003704AC">
      <w:pPr>
        <w:spacing w:after="200" w:line="360" w:lineRule="auto"/>
        <w:jc w:val="both"/>
        <w:rPr>
          <w:rFonts w:ascii="Arial" w:eastAsia="Arial" w:hAnsi="Arial" w:cs="Arial"/>
          <w:color w:val="000000" w:themeColor="text1"/>
        </w:rPr>
      </w:pPr>
      <w:r w:rsidRPr="003704AC">
        <w:rPr>
          <w:rFonts w:ascii="Arial" w:eastAsia="Arial" w:hAnsi="Arial" w:cs="Arial"/>
          <w:color w:val="000000" w:themeColor="text1"/>
        </w:rPr>
        <w:lastRenderedPageBreak/>
        <w:t>These causes were far from independent. Hierarchical culture (people) was reinforced by the absence of any policy mandate (policy), meaning the paper-based system (equipment) was never supplemented by an independent alert. This interdependency demonstrates why isolated technical fixes alone would have been unlikely to prevent Martha's death without the parallel cultural and policy change Martha's Rule was later designed to deliver. This root-cause identification also rests on several assumptions worth making explicit: that senior clinical judgement, though presented with confidence, is not infallible and can usefully be challenged by an independent second opinion; that a family's persistent concern is itself clinically meaningful data rather than simply anxiety to be managed; and that a paper-based observation chart is an adequate substitute for an electronic, trend-</w:t>
      </w:r>
      <w:proofErr w:type="spellStart"/>
      <w:r w:rsidRPr="003704AC">
        <w:rPr>
          <w:rFonts w:ascii="Arial" w:eastAsia="Arial" w:hAnsi="Arial" w:cs="Arial"/>
          <w:color w:val="000000" w:themeColor="text1"/>
        </w:rPr>
        <w:t>visualising</w:t>
      </w:r>
      <w:proofErr w:type="spellEnd"/>
      <w:r w:rsidRPr="003704AC">
        <w:rPr>
          <w:rFonts w:ascii="Arial" w:eastAsia="Arial" w:hAnsi="Arial" w:cs="Arial"/>
          <w:color w:val="000000" w:themeColor="text1"/>
        </w:rPr>
        <w:t xml:space="preserve"> early warning system. Where any of these assumptions do not hold, for example where escalation systems are used excessively rather than judiciously, the balance of benefit may shift which is why the low rates of inappropriate use found in comparable international schemes</w:t>
      </w:r>
      <w:r w:rsidR="002A2DCC">
        <w:rPr>
          <w:rFonts w:ascii="Arial" w:eastAsia="Arial" w:hAnsi="Arial" w:cs="Arial"/>
          <w:color w:val="000000" w:themeColor="text1"/>
        </w:rPr>
        <w:t xml:space="preserve"> </w:t>
      </w:r>
      <w:r w:rsidRPr="003704AC">
        <w:rPr>
          <w:rFonts w:ascii="Arial" w:eastAsia="Arial" w:hAnsi="Arial" w:cs="Arial"/>
          <w:color w:val="000000" w:themeColor="text1"/>
        </w:rPr>
        <w:t xml:space="preserve">are important corroborating evidence rather than an incidental comparison (Dwyer </w:t>
      </w:r>
      <w:r w:rsidRPr="002A2DCC">
        <w:rPr>
          <w:rFonts w:ascii="Arial" w:eastAsia="Arial" w:hAnsi="Arial" w:cs="Arial"/>
          <w:i/>
          <w:iCs/>
          <w:color w:val="000000" w:themeColor="text1"/>
        </w:rPr>
        <w:t>et al.,</w:t>
      </w:r>
      <w:r w:rsidRPr="003704AC">
        <w:rPr>
          <w:rFonts w:ascii="Arial" w:eastAsia="Arial" w:hAnsi="Arial" w:cs="Arial"/>
          <w:color w:val="000000" w:themeColor="text1"/>
        </w:rPr>
        <w:t xml:space="preserve"> 2020).</w:t>
      </w:r>
    </w:p>
    <w:p w14:paraId="288B85FB" w14:textId="77777777" w:rsidR="002A2DCC" w:rsidRPr="003704AC" w:rsidRDefault="002A2DCC" w:rsidP="003704AC">
      <w:pPr>
        <w:spacing w:after="200" w:line="360" w:lineRule="auto"/>
        <w:jc w:val="both"/>
        <w:rPr>
          <w:rFonts w:ascii="Arial" w:hAnsi="Arial" w:cs="Arial"/>
          <w:color w:val="000000" w:themeColor="text1"/>
        </w:rPr>
      </w:pPr>
    </w:p>
    <w:p w14:paraId="0CCE0BF2" w14:textId="77777777" w:rsidR="00645F58" w:rsidRPr="003704AC" w:rsidRDefault="00000000" w:rsidP="002A2DCC">
      <w:pPr>
        <w:spacing w:before="200" w:after="60" w:line="360" w:lineRule="auto"/>
        <w:rPr>
          <w:rFonts w:ascii="Arial" w:hAnsi="Arial" w:cs="Arial"/>
          <w:color w:val="000000" w:themeColor="text1"/>
        </w:rPr>
      </w:pPr>
      <w:r w:rsidRPr="003704AC">
        <w:rPr>
          <w:rFonts w:ascii="Arial" w:hAnsi="Arial" w:cs="Arial"/>
          <w:noProof/>
          <w:color w:val="000000" w:themeColor="text1"/>
        </w:rPr>
        <w:drawing>
          <wp:inline distT="0" distB="0" distL="0" distR="0" wp14:anchorId="6E553A61" wp14:editId="65FE4B74">
            <wp:extent cx="6172879" cy="3714750"/>
            <wp:effectExtent l="0" t="0" r="0" b="0"/>
            <wp:docPr id="751061083" name="Picture 75106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6175916" cy="3716578"/>
                    </a:xfrm>
                    <a:prstGeom prst="rect">
                      <a:avLst/>
                    </a:prstGeom>
                  </pic:spPr>
                </pic:pic>
              </a:graphicData>
            </a:graphic>
          </wp:inline>
        </w:drawing>
      </w:r>
    </w:p>
    <w:p w14:paraId="57AD0B85" w14:textId="77777777" w:rsidR="00645F58" w:rsidRDefault="00000000" w:rsidP="002A2DCC">
      <w:pPr>
        <w:spacing w:before="80" w:after="280" w:line="360" w:lineRule="auto"/>
        <w:jc w:val="center"/>
        <w:rPr>
          <w:rFonts w:ascii="Arial" w:eastAsia="Arial" w:hAnsi="Arial" w:cs="Arial"/>
          <w:color w:val="000000" w:themeColor="text1"/>
          <w:sz w:val="18"/>
          <w:szCs w:val="18"/>
        </w:rPr>
      </w:pPr>
      <w:r w:rsidRPr="003704AC">
        <w:rPr>
          <w:rFonts w:ascii="Arial" w:eastAsia="Arial" w:hAnsi="Arial" w:cs="Arial"/>
          <w:color w:val="000000" w:themeColor="text1"/>
          <w:sz w:val="18"/>
          <w:szCs w:val="18"/>
        </w:rPr>
        <w:t>Figure 2: Fishbone (Ishikawa) Root-Cause Diagram – Martha Mills, King's College Hospital (2021)</w:t>
      </w:r>
    </w:p>
    <w:p w14:paraId="15FB8057" w14:textId="77777777" w:rsidR="002A2DCC" w:rsidRPr="003704AC" w:rsidRDefault="002A2DCC" w:rsidP="002A2DCC">
      <w:pPr>
        <w:spacing w:before="80" w:after="280" w:line="360" w:lineRule="auto"/>
        <w:jc w:val="center"/>
        <w:rPr>
          <w:rFonts w:ascii="Arial" w:hAnsi="Arial" w:cs="Arial"/>
          <w:color w:val="000000" w:themeColor="text1"/>
        </w:rPr>
      </w:pPr>
    </w:p>
    <w:p w14:paraId="249FC788" w14:textId="2601DC8A" w:rsidR="00645F58" w:rsidRDefault="00000000" w:rsidP="002A2DCC">
      <w:pPr>
        <w:pStyle w:val="Heading2"/>
        <w:numPr>
          <w:ilvl w:val="1"/>
          <w:numId w:val="2"/>
        </w:numPr>
      </w:pPr>
      <w:bookmarkStart w:id="3" w:name="_Toc236192155"/>
      <w:r w:rsidRPr="002A2DCC">
        <w:lastRenderedPageBreak/>
        <w:t>The 5 Whys</w:t>
      </w:r>
      <w:bookmarkEnd w:id="3"/>
    </w:p>
    <w:p w14:paraId="0B7BC359" w14:textId="77777777" w:rsidR="002A2DCC" w:rsidRPr="002A2DCC" w:rsidRDefault="002A2DCC" w:rsidP="002A2DCC">
      <w:pPr>
        <w:pStyle w:val="ListParagraph"/>
        <w:ind w:left="840"/>
      </w:pPr>
    </w:p>
    <w:p w14:paraId="20B67A8F" w14:textId="77777777"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The 5 Whys technique traces a problem back through successive causes (see Table 2), revealing that Martha's death is attributable not to one failing individual but to the absence, at that time, of any national policy requiring an independent escalation route.</w:t>
      </w:r>
    </w:p>
    <w:p w14:paraId="138884BD" w14:textId="77777777" w:rsidR="00645F58" w:rsidRPr="003704AC" w:rsidRDefault="00645F58" w:rsidP="003704AC">
      <w:pPr>
        <w:spacing w:before="100" w:after="100" w:line="360" w:lineRule="auto"/>
        <w:jc w:val="both"/>
        <w:rPr>
          <w:rFonts w:ascii="Arial" w:hAnsi="Arial"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3"/>
        <w:gridCol w:w="8283"/>
      </w:tblGrid>
      <w:tr w:rsidR="003704AC" w:rsidRPr="003704AC" w14:paraId="0AB80392" w14:textId="77777777">
        <w:tblPrEx>
          <w:tblCellMar>
            <w:top w:w="0" w:type="dxa"/>
            <w:bottom w:w="0" w:type="dxa"/>
          </w:tblCellMar>
        </w:tblPrEx>
        <w:tc>
          <w:tcPr>
            <w:tcW w:w="0" w:type="auto"/>
            <w:shd w:val="clear" w:color="auto" w:fill="1B2A4A"/>
            <w:tcMar>
              <w:top w:w="100" w:type="dxa"/>
              <w:left w:w="140" w:type="dxa"/>
              <w:bottom w:w="100" w:type="dxa"/>
              <w:right w:w="140" w:type="dxa"/>
            </w:tcMar>
          </w:tcPr>
          <w:p w14:paraId="7758F064" w14:textId="77777777" w:rsidR="00645F58" w:rsidRPr="002A2DCC" w:rsidRDefault="00000000" w:rsidP="002A2DCC">
            <w:pPr>
              <w:spacing w:line="360" w:lineRule="auto"/>
              <w:jc w:val="center"/>
              <w:rPr>
                <w:rFonts w:ascii="Arial" w:hAnsi="Arial" w:cs="Arial"/>
                <w:color w:val="FFFFFF" w:themeColor="background1"/>
              </w:rPr>
            </w:pPr>
            <w:r w:rsidRPr="002A2DCC">
              <w:rPr>
                <w:rFonts w:ascii="Arial" w:eastAsia="Arial" w:hAnsi="Arial" w:cs="Arial"/>
                <w:color w:val="FFFFFF" w:themeColor="background1"/>
                <w:sz w:val="19"/>
                <w:szCs w:val="19"/>
              </w:rPr>
              <w:t>Step</w:t>
            </w:r>
          </w:p>
        </w:tc>
        <w:tc>
          <w:tcPr>
            <w:tcW w:w="0" w:type="auto"/>
            <w:shd w:val="clear" w:color="auto" w:fill="1B2A4A"/>
            <w:tcMar>
              <w:top w:w="100" w:type="dxa"/>
              <w:left w:w="140" w:type="dxa"/>
              <w:bottom w:w="100" w:type="dxa"/>
              <w:right w:w="140" w:type="dxa"/>
            </w:tcMar>
          </w:tcPr>
          <w:p w14:paraId="2A0B3333" w14:textId="77777777" w:rsidR="00645F58" w:rsidRPr="002A2DCC" w:rsidRDefault="00000000" w:rsidP="002A2DCC">
            <w:pPr>
              <w:spacing w:line="360" w:lineRule="auto"/>
              <w:jc w:val="center"/>
              <w:rPr>
                <w:rFonts w:ascii="Arial" w:hAnsi="Arial" w:cs="Arial"/>
                <w:color w:val="FFFFFF" w:themeColor="background1"/>
              </w:rPr>
            </w:pPr>
            <w:r w:rsidRPr="002A2DCC">
              <w:rPr>
                <w:rFonts w:ascii="Arial" w:eastAsia="Arial" w:hAnsi="Arial" w:cs="Arial"/>
                <w:color w:val="FFFFFF" w:themeColor="background1"/>
                <w:sz w:val="19"/>
                <w:szCs w:val="19"/>
              </w:rPr>
              <w:t>Finding</w:t>
            </w:r>
          </w:p>
        </w:tc>
      </w:tr>
      <w:tr w:rsidR="003704AC" w:rsidRPr="003704AC" w14:paraId="55494192" w14:textId="77777777">
        <w:tblPrEx>
          <w:tblCellMar>
            <w:top w:w="0" w:type="dxa"/>
            <w:bottom w:w="0" w:type="dxa"/>
          </w:tblCellMar>
        </w:tblPrEx>
        <w:trPr>
          <w:cantSplit/>
        </w:trPr>
        <w:tc>
          <w:tcPr>
            <w:tcW w:w="0" w:type="auto"/>
            <w:shd w:val="clear" w:color="auto" w:fill="F4F6F8"/>
            <w:tcMar>
              <w:top w:w="100" w:type="dxa"/>
              <w:left w:w="140" w:type="dxa"/>
              <w:bottom w:w="100" w:type="dxa"/>
              <w:right w:w="140" w:type="dxa"/>
            </w:tcMar>
          </w:tcPr>
          <w:p w14:paraId="506DBBEC"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Why 1</w:t>
            </w:r>
          </w:p>
        </w:tc>
        <w:tc>
          <w:tcPr>
            <w:tcW w:w="0" w:type="auto"/>
            <w:shd w:val="clear" w:color="auto" w:fill="F4F6F8"/>
            <w:tcMar>
              <w:top w:w="100" w:type="dxa"/>
              <w:left w:w="140" w:type="dxa"/>
              <w:bottom w:w="100" w:type="dxa"/>
              <w:right w:w="140" w:type="dxa"/>
            </w:tcMar>
          </w:tcPr>
          <w:p w14:paraId="1CCF3C4E" w14:textId="279C89A8"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 xml:space="preserve">Martha was not transferred to </w:t>
            </w:r>
            <w:proofErr w:type="gramStart"/>
            <w:r w:rsidRPr="003704AC">
              <w:rPr>
                <w:rFonts w:ascii="Arial" w:eastAsia="Arial" w:hAnsi="Arial" w:cs="Arial"/>
                <w:color w:val="000000" w:themeColor="text1"/>
                <w:sz w:val="18"/>
                <w:szCs w:val="18"/>
              </w:rPr>
              <w:t xml:space="preserve">PICU </w:t>
            </w:r>
            <w:r w:rsidR="002A2DCC">
              <w:rPr>
                <w:rFonts w:ascii="Arial" w:eastAsia="Arial" w:hAnsi="Arial" w:cs="Arial"/>
                <w:color w:val="000000" w:themeColor="text1"/>
                <w:sz w:val="18"/>
                <w:szCs w:val="18"/>
              </w:rPr>
              <w:t>:</w:t>
            </w:r>
            <w:proofErr w:type="gramEnd"/>
            <w:r w:rsidRPr="003704AC">
              <w:rPr>
                <w:rFonts w:ascii="Arial" w:eastAsia="Arial" w:hAnsi="Arial" w:cs="Arial"/>
                <w:color w:val="000000" w:themeColor="text1"/>
                <w:sz w:val="18"/>
                <w:szCs w:val="18"/>
              </w:rPr>
              <w:t xml:space="preserve"> the liver team judged intensive care unnecessary.</w:t>
            </w:r>
          </w:p>
        </w:tc>
      </w:tr>
      <w:tr w:rsidR="003704AC" w:rsidRPr="003704AC" w14:paraId="640BEADE" w14:textId="77777777">
        <w:tblPrEx>
          <w:tblCellMar>
            <w:top w:w="0" w:type="dxa"/>
            <w:bottom w:w="0" w:type="dxa"/>
          </w:tblCellMar>
        </w:tblPrEx>
        <w:trPr>
          <w:cantSplit/>
        </w:trPr>
        <w:tc>
          <w:tcPr>
            <w:tcW w:w="0" w:type="auto"/>
            <w:shd w:val="clear" w:color="auto" w:fill="E7ECEF"/>
            <w:tcMar>
              <w:top w:w="100" w:type="dxa"/>
              <w:left w:w="140" w:type="dxa"/>
              <w:bottom w:w="100" w:type="dxa"/>
              <w:right w:w="140" w:type="dxa"/>
            </w:tcMar>
          </w:tcPr>
          <w:p w14:paraId="76655195"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Why 2</w:t>
            </w:r>
          </w:p>
        </w:tc>
        <w:tc>
          <w:tcPr>
            <w:tcW w:w="0" w:type="auto"/>
            <w:shd w:val="clear" w:color="auto" w:fill="E7ECEF"/>
            <w:tcMar>
              <w:top w:w="100" w:type="dxa"/>
              <w:left w:w="140" w:type="dxa"/>
              <w:bottom w:w="100" w:type="dxa"/>
              <w:right w:w="140" w:type="dxa"/>
            </w:tcMar>
          </w:tcPr>
          <w:p w14:paraId="27F7AF46" w14:textId="79F2B51A"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 xml:space="preserve">This judgement was not </w:t>
            </w:r>
            <w:proofErr w:type="gramStart"/>
            <w:r w:rsidRPr="003704AC">
              <w:rPr>
                <w:rFonts w:ascii="Arial" w:eastAsia="Arial" w:hAnsi="Arial" w:cs="Arial"/>
                <w:color w:val="000000" w:themeColor="text1"/>
                <w:sz w:val="18"/>
                <w:szCs w:val="18"/>
              </w:rPr>
              <w:t xml:space="preserve">challenged </w:t>
            </w:r>
            <w:r w:rsidR="002A2DCC">
              <w:rPr>
                <w:rFonts w:ascii="Arial" w:eastAsia="Arial" w:hAnsi="Arial" w:cs="Arial"/>
                <w:color w:val="000000" w:themeColor="text1"/>
                <w:sz w:val="18"/>
                <w:szCs w:val="18"/>
              </w:rPr>
              <w:t>:</w:t>
            </w:r>
            <w:proofErr w:type="gramEnd"/>
            <w:r w:rsidRPr="003704AC">
              <w:rPr>
                <w:rFonts w:ascii="Arial" w:eastAsia="Arial" w:hAnsi="Arial" w:cs="Arial"/>
                <w:color w:val="000000" w:themeColor="text1"/>
                <w:sz w:val="18"/>
                <w:szCs w:val="18"/>
              </w:rPr>
              <w:t xml:space="preserve"> no formal mechanism existed for the family to request review.</w:t>
            </w:r>
          </w:p>
        </w:tc>
      </w:tr>
      <w:tr w:rsidR="003704AC" w:rsidRPr="003704AC" w14:paraId="06B03893" w14:textId="77777777">
        <w:tblPrEx>
          <w:tblCellMar>
            <w:top w:w="0" w:type="dxa"/>
            <w:bottom w:w="0" w:type="dxa"/>
          </w:tblCellMar>
        </w:tblPrEx>
        <w:trPr>
          <w:cantSplit/>
        </w:trPr>
        <w:tc>
          <w:tcPr>
            <w:tcW w:w="0" w:type="auto"/>
            <w:shd w:val="clear" w:color="auto" w:fill="F4F6F8"/>
            <w:tcMar>
              <w:top w:w="100" w:type="dxa"/>
              <w:left w:w="140" w:type="dxa"/>
              <w:bottom w:w="100" w:type="dxa"/>
              <w:right w:w="140" w:type="dxa"/>
            </w:tcMar>
          </w:tcPr>
          <w:p w14:paraId="383E29B4"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Why 3</w:t>
            </w:r>
          </w:p>
        </w:tc>
        <w:tc>
          <w:tcPr>
            <w:tcW w:w="0" w:type="auto"/>
            <w:shd w:val="clear" w:color="auto" w:fill="F4F6F8"/>
            <w:tcMar>
              <w:top w:w="100" w:type="dxa"/>
              <w:left w:w="140" w:type="dxa"/>
              <w:bottom w:w="100" w:type="dxa"/>
              <w:right w:w="140" w:type="dxa"/>
            </w:tcMar>
          </w:tcPr>
          <w:p w14:paraId="43D2BD2D" w14:textId="6AA65500"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 xml:space="preserve">No such mechanism </w:t>
            </w:r>
            <w:proofErr w:type="gramStart"/>
            <w:r w:rsidRPr="003704AC">
              <w:rPr>
                <w:rFonts w:ascii="Arial" w:eastAsia="Arial" w:hAnsi="Arial" w:cs="Arial"/>
                <w:color w:val="000000" w:themeColor="text1"/>
                <w:sz w:val="18"/>
                <w:szCs w:val="18"/>
              </w:rPr>
              <w:t xml:space="preserve">existed </w:t>
            </w:r>
            <w:r w:rsidR="002A2DCC">
              <w:rPr>
                <w:rFonts w:ascii="Arial" w:eastAsia="Arial" w:hAnsi="Arial" w:cs="Arial"/>
                <w:color w:val="000000" w:themeColor="text1"/>
                <w:sz w:val="18"/>
                <w:szCs w:val="18"/>
              </w:rPr>
              <w:t>:</w:t>
            </w:r>
            <w:proofErr w:type="gramEnd"/>
            <w:r w:rsidRPr="003704AC">
              <w:rPr>
                <w:rFonts w:ascii="Arial" w:eastAsia="Arial" w:hAnsi="Arial" w:cs="Arial"/>
                <w:color w:val="000000" w:themeColor="text1"/>
                <w:sz w:val="18"/>
                <w:szCs w:val="18"/>
              </w:rPr>
              <w:t xml:space="preserve"> King's had no equivalent of a family-activated escalation scheme in 2021 (Cooksley, Astbury and Holland, 2023).</w:t>
            </w:r>
          </w:p>
        </w:tc>
      </w:tr>
      <w:tr w:rsidR="003704AC" w:rsidRPr="003704AC" w14:paraId="29D3FA39" w14:textId="77777777">
        <w:tblPrEx>
          <w:tblCellMar>
            <w:top w:w="0" w:type="dxa"/>
            <w:bottom w:w="0" w:type="dxa"/>
          </w:tblCellMar>
        </w:tblPrEx>
        <w:trPr>
          <w:cantSplit/>
        </w:trPr>
        <w:tc>
          <w:tcPr>
            <w:tcW w:w="0" w:type="auto"/>
            <w:shd w:val="clear" w:color="auto" w:fill="E7ECEF"/>
            <w:tcMar>
              <w:top w:w="100" w:type="dxa"/>
              <w:left w:w="140" w:type="dxa"/>
              <w:bottom w:w="100" w:type="dxa"/>
              <w:right w:w="140" w:type="dxa"/>
            </w:tcMar>
          </w:tcPr>
          <w:p w14:paraId="31770EFC"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Why 4</w:t>
            </w:r>
          </w:p>
        </w:tc>
        <w:tc>
          <w:tcPr>
            <w:tcW w:w="0" w:type="auto"/>
            <w:shd w:val="clear" w:color="auto" w:fill="E7ECEF"/>
            <w:tcMar>
              <w:top w:w="100" w:type="dxa"/>
              <w:left w:w="140" w:type="dxa"/>
              <w:bottom w:w="100" w:type="dxa"/>
              <w:right w:w="140" w:type="dxa"/>
            </w:tcMar>
          </w:tcPr>
          <w:p w14:paraId="3F869A23" w14:textId="6F74F569"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 xml:space="preserve">No escalation scheme </w:t>
            </w:r>
            <w:proofErr w:type="gramStart"/>
            <w:r w:rsidRPr="003704AC">
              <w:rPr>
                <w:rFonts w:ascii="Arial" w:eastAsia="Arial" w:hAnsi="Arial" w:cs="Arial"/>
                <w:color w:val="000000" w:themeColor="text1"/>
                <w:sz w:val="18"/>
                <w:szCs w:val="18"/>
              </w:rPr>
              <w:t xml:space="preserve">existed </w:t>
            </w:r>
            <w:r w:rsidR="002A2DCC">
              <w:rPr>
                <w:rFonts w:ascii="Arial" w:eastAsia="Arial" w:hAnsi="Arial" w:cs="Arial"/>
                <w:color w:val="000000" w:themeColor="text1"/>
                <w:sz w:val="18"/>
                <w:szCs w:val="18"/>
              </w:rPr>
              <w:t>:</w:t>
            </w:r>
            <w:proofErr w:type="gramEnd"/>
            <w:r w:rsidR="002A2DCC">
              <w:rPr>
                <w:rFonts w:ascii="Arial" w:eastAsia="Arial" w:hAnsi="Arial" w:cs="Arial"/>
                <w:color w:val="000000" w:themeColor="text1"/>
                <w:sz w:val="18"/>
                <w:szCs w:val="18"/>
              </w:rPr>
              <w:t xml:space="preserve"> </w:t>
            </w:r>
            <w:r w:rsidRPr="003704AC">
              <w:rPr>
                <w:rFonts w:ascii="Arial" w:eastAsia="Arial" w:hAnsi="Arial" w:cs="Arial"/>
                <w:color w:val="000000" w:themeColor="text1"/>
                <w:sz w:val="18"/>
                <w:szCs w:val="18"/>
              </w:rPr>
              <w:t>no NHS-wide policy at the time required trusts to provide one (Judiciary, 2022).</w:t>
            </w:r>
          </w:p>
        </w:tc>
      </w:tr>
      <w:tr w:rsidR="003704AC" w:rsidRPr="003704AC" w14:paraId="5B9E142B" w14:textId="77777777">
        <w:tblPrEx>
          <w:tblCellMar>
            <w:top w:w="0" w:type="dxa"/>
            <w:bottom w:w="0" w:type="dxa"/>
          </w:tblCellMar>
        </w:tblPrEx>
        <w:trPr>
          <w:cantSplit/>
        </w:trPr>
        <w:tc>
          <w:tcPr>
            <w:tcW w:w="0" w:type="auto"/>
            <w:shd w:val="clear" w:color="auto" w:fill="F4F6F8"/>
            <w:tcMar>
              <w:top w:w="100" w:type="dxa"/>
              <w:left w:w="140" w:type="dxa"/>
              <w:bottom w:w="100" w:type="dxa"/>
              <w:right w:w="140" w:type="dxa"/>
            </w:tcMar>
          </w:tcPr>
          <w:p w14:paraId="44331773" w14:textId="77777777"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Why 5</w:t>
            </w:r>
          </w:p>
        </w:tc>
        <w:tc>
          <w:tcPr>
            <w:tcW w:w="0" w:type="auto"/>
            <w:shd w:val="clear" w:color="auto" w:fill="F4F6F8"/>
            <w:tcMar>
              <w:top w:w="100" w:type="dxa"/>
              <w:left w:w="140" w:type="dxa"/>
              <w:bottom w:w="100" w:type="dxa"/>
              <w:right w:w="140" w:type="dxa"/>
            </w:tcMar>
          </w:tcPr>
          <w:p w14:paraId="77178033" w14:textId="2F7D8499" w:rsidR="00645F58" w:rsidRPr="003704AC" w:rsidRDefault="00000000" w:rsidP="002A2DCC">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 xml:space="preserve">No national policy </w:t>
            </w:r>
            <w:proofErr w:type="gramStart"/>
            <w:r w:rsidRPr="003704AC">
              <w:rPr>
                <w:rFonts w:ascii="Arial" w:eastAsia="Arial" w:hAnsi="Arial" w:cs="Arial"/>
                <w:color w:val="000000" w:themeColor="text1"/>
                <w:sz w:val="18"/>
                <w:szCs w:val="18"/>
              </w:rPr>
              <w:t xml:space="preserve">existed </w:t>
            </w:r>
            <w:r w:rsidR="002A2DCC">
              <w:rPr>
                <w:rFonts w:ascii="Arial" w:eastAsia="Arial" w:hAnsi="Arial" w:cs="Arial"/>
                <w:color w:val="000000" w:themeColor="text1"/>
                <w:sz w:val="18"/>
                <w:szCs w:val="18"/>
              </w:rPr>
              <w:t>:</w:t>
            </w:r>
            <w:proofErr w:type="gramEnd"/>
            <w:r w:rsidR="002A2DCC">
              <w:rPr>
                <w:rFonts w:ascii="Arial" w:eastAsia="Arial" w:hAnsi="Arial" w:cs="Arial"/>
                <w:color w:val="000000" w:themeColor="text1"/>
                <w:sz w:val="18"/>
                <w:szCs w:val="18"/>
              </w:rPr>
              <w:t xml:space="preserve"> </w:t>
            </w:r>
            <w:r w:rsidRPr="003704AC">
              <w:rPr>
                <w:rFonts w:ascii="Arial" w:eastAsia="Arial" w:hAnsi="Arial" w:cs="Arial"/>
                <w:color w:val="000000" w:themeColor="text1"/>
                <w:sz w:val="18"/>
                <w:szCs w:val="18"/>
              </w:rPr>
              <w:t xml:space="preserve"> patient/family escalation had not yet been </w:t>
            </w:r>
            <w:proofErr w:type="spellStart"/>
            <w:r w:rsidRPr="003704AC">
              <w:rPr>
                <w:rFonts w:ascii="Arial" w:eastAsia="Arial" w:hAnsi="Arial" w:cs="Arial"/>
                <w:color w:val="000000" w:themeColor="text1"/>
                <w:sz w:val="18"/>
                <w:szCs w:val="18"/>
              </w:rPr>
              <w:t>recognised</w:t>
            </w:r>
            <w:proofErr w:type="spellEnd"/>
            <w:r w:rsidRPr="003704AC">
              <w:rPr>
                <w:rFonts w:ascii="Arial" w:eastAsia="Arial" w:hAnsi="Arial" w:cs="Arial"/>
                <w:color w:val="000000" w:themeColor="text1"/>
                <w:sz w:val="18"/>
                <w:szCs w:val="18"/>
              </w:rPr>
              <w:t xml:space="preserve"> as a mandatory safety standard, a gap only closed by Martha's Rule in 2024 (NHS England, 2025).</w:t>
            </w:r>
          </w:p>
        </w:tc>
      </w:tr>
    </w:tbl>
    <w:p w14:paraId="5A78A856" w14:textId="361C11C1" w:rsidR="00645F58" w:rsidRDefault="00000000" w:rsidP="002A2DCC">
      <w:pPr>
        <w:spacing w:before="80" w:after="280" w:line="360" w:lineRule="auto"/>
        <w:jc w:val="center"/>
        <w:rPr>
          <w:rFonts w:ascii="Arial" w:eastAsia="Arial" w:hAnsi="Arial" w:cs="Arial"/>
          <w:color w:val="000000" w:themeColor="text1"/>
          <w:sz w:val="18"/>
          <w:szCs w:val="18"/>
        </w:rPr>
      </w:pPr>
      <w:r w:rsidRPr="003704AC">
        <w:rPr>
          <w:rFonts w:ascii="Arial" w:eastAsia="Arial" w:hAnsi="Arial" w:cs="Arial"/>
          <w:color w:val="000000" w:themeColor="text1"/>
          <w:sz w:val="18"/>
          <w:szCs w:val="18"/>
        </w:rPr>
        <w:t>Table 2: 5 Whys Analysis Why Martha Was Not Transferred to PICU</w:t>
      </w:r>
    </w:p>
    <w:p w14:paraId="797DCBCA" w14:textId="77777777" w:rsidR="002A2DCC" w:rsidRPr="003704AC" w:rsidRDefault="002A2DCC" w:rsidP="002A2DCC">
      <w:pPr>
        <w:spacing w:before="80" w:after="280" w:line="360" w:lineRule="auto"/>
        <w:jc w:val="center"/>
        <w:rPr>
          <w:rFonts w:ascii="Arial" w:hAnsi="Arial" w:cs="Arial"/>
          <w:color w:val="000000" w:themeColor="text1"/>
        </w:rPr>
      </w:pPr>
    </w:p>
    <w:p w14:paraId="61DEC89A" w14:textId="226F605A" w:rsidR="00645F58" w:rsidRDefault="00000000" w:rsidP="002A2DCC">
      <w:pPr>
        <w:pStyle w:val="Heading2"/>
        <w:numPr>
          <w:ilvl w:val="1"/>
          <w:numId w:val="2"/>
        </w:numPr>
      </w:pPr>
      <w:bookmarkStart w:id="4" w:name="_Toc236192156"/>
      <w:r w:rsidRPr="002A2DCC">
        <w:t>The Donabedian Model</w:t>
      </w:r>
      <w:bookmarkEnd w:id="4"/>
    </w:p>
    <w:p w14:paraId="17F80F4B" w14:textId="77777777" w:rsidR="002A2DCC" w:rsidRPr="002A2DCC" w:rsidRDefault="002A2DCC" w:rsidP="002A2DCC">
      <w:pPr>
        <w:pStyle w:val="ListParagraph"/>
        <w:ind w:left="840"/>
      </w:pPr>
    </w:p>
    <w:p w14:paraId="3AC2A239" w14:textId="1BA6184C"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The Donabedian (1966) structure-process-outcome model remains, six decades after its inception, the dominant framework for evaluating healthcare quality, continuing to be regarded as offering a lasting basis for contemporary quality improvement (</w:t>
      </w:r>
      <w:proofErr w:type="spellStart"/>
      <w:r w:rsidRPr="003704AC">
        <w:rPr>
          <w:rFonts w:ascii="Arial" w:eastAsia="Arial" w:hAnsi="Arial" w:cs="Arial"/>
          <w:color w:val="000000" w:themeColor="text1"/>
        </w:rPr>
        <w:t>Ayanian</w:t>
      </w:r>
      <w:proofErr w:type="spellEnd"/>
      <w:r w:rsidRPr="003704AC">
        <w:rPr>
          <w:rFonts w:ascii="Arial" w:eastAsia="Arial" w:hAnsi="Arial" w:cs="Arial"/>
          <w:color w:val="000000" w:themeColor="text1"/>
        </w:rPr>
        <w:t xml:space="preserve"> and Markel, 2016) (see Figure 3). The model proposes that structural resources shape clinical processes, which in turn determine patient outcomes. At King's in 2021, the absence of an electronic early warning score, together with the absence of any independent escalation route accessible to families, represented critical structural deficits (Judiciary, 2022). In direct response, Martha's Rule established new structural resources nationally: a </w:t>
      </w:r>
      <w:proofErr w:type="gramStart"/>
      <w:r w:rsidRPr="003704AC">
        <w:rPr>
          <w:rFonts w:ascii="Arial" w:eastAsia="Arial" w:hAnsi="Arial" w:cs="Arial"/>
          <w:color w:val="000000" w:themeColor="text1"/>
        </w:rPr>
        <w:t>24</w:t>
      </w:r>
      <w:r w:rsidR="002A2DCC">
        <w:rPr>
          <w:rFonts w:ascii="Arial" w:eastAsia="Arial" w:hAnsi="Arial" w:cs="Arial"/>
          <w:color w:val="000000" w:themeColor="text1"/>
        </w:rPr>
        <w:t xml:space="preserve"> </w:t>
      </w:r>
      <w:r w:rsidRPr="003704AC">
        <w:rPr>
          <w:rFonts w:ascii="Arial" w:eastAsia="Arial" w:hAnsi="Arial" w:cs="Arial"/>
          <w:color w:val="000000" w:themeColor="text1"/>
        </w:rPr>
        <w:t>hour</w:t>
      </w:r>
      <w:proofErr w:type="gramEnd"/>
      <w:r w:rsidRPr="003704AC">
        <w:rPr>
          <w:rFonts w:ascii="Arial" w:eastAsia="Arial" w:hAnsi="Arial" w:cs="Arial"/>
          <w:color w:val="000000" w:themeColor="text1"/>
        </w:rPr>
        <w:t xml:space="preserve"> helpline staffed by critical care outreach teams, alongside a requirement that patients be asked daily whether they are </w:t>
      </w:r>
      <w:r w:rsidRPr="003704AC">
        <w:rPr>
          <w:rFonts w:ascii="Arial" w:eastAsia="Arial" w:hAnsi="Arial" w:cs="Arial"/>
          <w:color w:val="000000" w:themeColor="text1"/>
        </w:rPr>
        <w:lastRenderedPageBreak/>
        <w:t>improving or deteriorating (NHS England, 2025), reflecting Welch</w:t>
      </w:r>
      <w:r w:rsidRPr="002A2DCC">
        <w:rPr>
          <w:rFonts w:ascii="Arial" w:eastAsia="Arial" w:hAnsi="Arial" w:cs="Arial"/>
          <w:i/>
          <w:iCs/>
          <w:color w:val="000000" w:themeColor="text1"/>
        </w:rPr>
        <w:t xml:space="preserve"> et al.</w:t>
      </w:r>
      <w:r w:rsidRPr="003704AC">
        <w:rPr>
          <w:rFonts w:ascii="Arial" w:eastAsia="Arial" w:hAnsi="Arial" w:cs="Arial"/>
          <w:color w:val="000000" w:themeColor="text1"/>
        </w:rPr>
        <w:t>'s (2025) argument that reliable escalation structures are essential precisely because failure to rescue is so frequently rooted in 'inattention to concerns of patients or their families about acute deterioration'.</w:t>
      </w:r>
    </w:p>
    <w:p w14:paraId="57D63C39" w14:textId="2EDBCA82" w:rsidR="00645F58" w:rsidRDefault="00000000" w:rsidP="003704AC">
      <w:pPr>
        <w:spacing w:after="200" w:line="360" w:lineRule="auto"/>
        <w:jc w:val="both"/>
        <w:rPr>
          <w:rFonts w:ascii="Arial" w:eastAsia="Arial" w:hAnsi="Arial" w:cs="Arial"/>
          <w:color w:val="000000" w:themeColor="text1"/>
        </w:rPr>
      </w:pPr>
      <w:r w:rsidRPr="003704AC">
        <w:rPr>
          <w:rFonts w:ascii="Arial" w:eastAsia="Arial" w:hAnsi="Arial" w:cs="Arial"/>
          <w:color w:val="000000" w:themeColor="text1"/>
        </w:rPr>
        <w:t xml:space="preserve">Process indicators include call volume and source: 10,119 calls were logged between September 2024 and December 2025, 72% from families and 34% linked to acute deterioration (NHS England, 2026a). Of 1,781 staff-initiated calls, 61% correctly identified genuine deterioration (NHS England, 2026b) (see Figure 4) a level of process visibility entirely </w:t>
      </w:r>
      <w:proofErr w:type="gramStart"/>
      <w:r w:rsidRPr="003704AC">
        <w:rPr>
          <w:rFonts w:ascii="Arial" w:eastAsia="Arial" w:hAnsi="Arial" w:cs="Arial"/>
          <w:color w:val="000000" w:themeColor="text1"/>
        </w:rPr>
        <w:t>absent</w:t>
      </w:r>
      <w:proofErr w:type="gramEnd"/>
      <w:r w:rsidRPr="003704AC">
        <w:rPr>
          <w:rFonts w:ascii="Arial" w:eastAsia="Arial" w:hAnsi="Arial" w:cs="Arial"/>
          <w:color w:val="000000" w:themeColor="text1"/>
        </w:rPr>
        <w:t xml:space="preserve"> during Martha's admission. Outcome indicators include 446 calls resulting in transfer to intensive or tertiary care (NHS England, 2026a); however, as caution, outcomes are hard to attribute to a single intervention given case-mix and confounding </w:t>
      </w:r>
      <w:proofErr w:type="gramStart"/>
      <w:r w:rsidRPr="003704AC">
        <w:rPr>
          <w:rFonts w:ascii="Arial" w:eastAsia="Arial" w:hAnsi="Arial" w:cs="Arial"/>
          <w:color w:val="000000" w:themeColor="text1"/>
        </w:rPr>
        <w:t>factors</w:t>
      </w:r>
      <w:r w:rsidR="002A2DCC">
        <w:rPr>
          <w:rFonts w:ascii="Arial" w:eastAsia="Arial" w:hAnsi="Arial" w:cs="Arial"/>
          <w:color w:val="000000" w:themeColor="text1"/>
        </w:rPr>
        <w:t>(</w:t>
      </w:r>
      <w:proofErr w:type="gramEnd"/>
      <w:r w:rsidR="002A2DCC" w:rsidRPr="003704AC">
        <w:rPr>
          <w:rFonts w:ascii="Arial" w:eastAsia="Arial" w:hAnsi="Arial" w:cs="Arial"/>
          <w:color w:val="000000" w:themeColor="text1"/>
        </w:rPr>
        <w:t xml:space="preserve">Yang </w:t>
      </w:r>
      <w:r w:rsidR="002A2DCC" w:rsidRPr="002A2DCC">
        <w:rPr>
          <w:rFonts w:ascii="Arial" w:eastAsia="Arial" w:hAnsi="Arial" w:cs="Arial"/>
          <w:i/>
          <w:iCs/>
          <w:color w:val="000000" w:themeColor="text1"/>
        </w:rPr>
        <w:t>et al.</w:t>
      </w:r>
      <w:r w:rsidR="002A2DCC" w:rsidRPr="003704AC">
        <w:rPr>
          <w:rFonts w:ascii="Arial" w:eastAsia="Arial" w:hAnsi="Arial" w:cs="Arial"/>
          <w:color w:val="000000" w:themeColor="text1"/>
        </w:rPr>
        <w:t xml:space="preserve"> 2025)</w:t>
      </w:r>
      <w:r w:rsidRPr="003704AC">
        <w:rPr>
          <w:rFonts w:ascii="Arial" w:eastAsia="Arial" w:hAnsi="Arial" w:cs="Arial"/>
          <w:color w:val="000000" w:themeColor="text1"/>
        </w:rPr>
        <w:t>.</w:t>
      </w:r>
    </w:p>
    <w:p w14:paraId="12782721" w14:textId="77777777" w:rsidR="00CC7023" w:rsidRPr="003704AC" w:rsidRDefault="00CC7023" w:rsidP="003704AC">
      <w:pPr>
        <w:spacing w:after="200" w:line="360" w:lineRule="auto"/>
        <w:jc w:val="both"/>
        <w:rPr>
          <w:rFonts w:ascii="Arial" w:hAnsi="Arial" w:cs="Arial"/>
          <w:color w:val="000000" w:themeColor="text1"/>
        </w:rPr>
      </w:pPr>
    </w:p>
    <w:p w14:paraId="50D1368A" w14:textId="77777777" w:rsidR="00645F58" w:rsidRPr="003704AC" w:rsidRDefault="00000000" w:rsidP="00CC7023">
      <w:pPr>
        <w:spacing w:before="200" w:after="60" w:line="360" w:lineRule="auto"/>
        <w:jc w:val="center"/>
        <w:rPr>
          <w:rFonts w:ascii="Arial" w:hAnsi="Arial" w:cs="Arial"/>
          <w:color w:val="000000" w:themeColor="text1"/>
        </w:rPr>
      </w:pPr>
      <w:r w:rsidRPr="003704AC">
        <w:rPr>
          <w:rFonts w:ascii="Arial" w:hAnsi="Arial" w:cs="Arial"/>
          <w:noProof/>
          <w:color w:val="000000" w:themeColor="text1"/>
        </w:rPr>
        <w:drawing>
          <wp:inline distT="0" distB="0" distL="0" distR="0" wp14:anchorId="5C005D81" wp14:editId="54B137AC">
            <wp:extent cx="4193131" cy="3305175"/>
            <wp:effectExtent l="0" t="0" r="0" b="0"/>
            <wp:docPr id="1841764954" name="Picture 184176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195306" cy="3306890"/>
                    </a:xfrm>
                    <a:prstGeom prst="rect">
                      <a:avLst/>
                    </a:prstGeom>
                  </pic:spPr>
                </pic:pic>
              </a:graphicData>
            </a:graphic>
          </wp:inline>
        </w:drawing>
      </w:r>
    </w:p>
    <w:p w14:paraId="05263230" w14:textId="77777777" w:rsidR="00645F58" w:rsidRDefault="00000000" w:rsidP="00CC7023">
      <w:pPr>
        <w:spacing w:before="80" w:after="280" w:line="360" w:lineRule="auto"/>
        <w:jc w:val="center"/>
        <w:rPr>
          <w:rFonts w:ascii="Arial" w:eastAsia="Arial" w:hAnsi="Arial" w:cs="Arial"/>
          <w:color w:val="000000" w:themeColor="text1"/>
          <w:sz w:val="18"/>
          <w:szCs w:val="18"/>
        </w:rPr>
      </w:pPr>
      <w:r w:rsidRPr="003704AC">
        <w:rPr>
          <w:rFonts w:ascii="Arial" w:eastAsia="Arial" w:hAnsi="Arial" w:cs="Arial"/>
          <w:color w:val="000000" w:themeColor="text1"/>
          <w:sz w:val="18"/>
          <w:szCs w:val="18"/>
        </w:rPr>
        <w:t>Figure 4: Accuracy of Staff-Initiated Martha's Rule Calls (NHS England, 2026b)</w:t>
      </w:r>
    </w:p>
    <w:p w14:paraId="7AAD7D18" w14:textId="77777777" w:rsidR="00CC7023" w:rsidRPr="003704AC" w:rsidRDefault="00CC7023" w:rsidP="00CC7023">
      <w:pPr>
        <w:spacing w:before="80" w:after="280" w:line="360" w:lineRule="auto"/>
        <w:jc w:val="center"/>
        <w:rPr>
          <w:rFonts w:ascii="Arial" w:hAnsi="Arial" w:cs="Arial"/>
          <w:color w:val="000000" w:themeColor="text1"/>
        </w:rPr>
      </w:pPr>
    </w:p>
    <w:p w14:paraId="25601E0D" w14:textId="77777777" w:rsidR="00645F58" w:rsidRPr="003704AC" w:rsidRDefault="00000000" w:rsidP="00CC7023">
      <w:pPr>
        <w:spacing w:before="200" w:after="60" w:line="360" w:lineRule="auto"/>
        <w:jc w:val="center"/>
        <w:rPr>
          <w:rFonts w:ascii="Arial" w:hAnsi="Arial" w:cs="Arial"/>
          <w:color w:val="000000" w:themeColor="text1"/>
        </w:rPr>
      </w:pPr>
      <w:r w:rsidRPr="003704AC">
        <w:rPr>
          <w:rFonts w:ascii="Arial" w:hAnsi="Arial" w:cs="Arial"/>
          <w:noProof/>
          <w:color w:val="000000" w:themeColor="text1"/>
        </w:rPr>
        <w:lastRenderedPageBreak/>
        <w:drawing>
          <wp:inline distT="0" distB="0" distL="0" distR="0" wp14:anchorId="23D1C135" wp14:editId="30723D4E">
            <wp:extent cx="5716678" cy="2495550"/>
            <wp:effectExtent l="0" t="0" r="0" b="0"/>
            <wp:docPr id="1950959246" name="Picture 1950959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19162" cy="2496634"/>
                    </a:xfrm>
                    <a:prstGeom prst="rect">
                      <a:avLst/>
                    </a:prstGeom>
                  </pic:spPr>
                </pic:pic>
              </a:graphicData>
            </a:graphic>
          </wp:inline>
        </w:drawing>
      </w:r>
    </w:p>
    <w:p w14:paraId="25675918" w14:textId="77777777" w:rsidR="00CC7023" w:rsidRDefault="00000000" w:rsidP="00CC7023">
      <w:pPr>
        <w:spacing w:before="80" w:after="280" w:line="360" w:lineRule="auto"/>
        <w:jc w:val="center"/>
        <w:rPr>
          <w:rFonts w:ascii="Arial" w:eastAsia="Arial" w:hAnsi="Arial" w:cs="Arial"/>
          <w:color w:val="000000" w:themeColor="text1"/>
          <w:sz w:val="18"/>
          <w:szCs w:val="18"/>
        </w:rPr>
      </w:pPr>
      <w:r w:rsidRPr="003704AC">
        <w:rPr>
          <w:rFonts w:ascii="Arial" w:eastAsia="Arial" w:hAnsi="Arial" w:cs="Arial"/>
          <w:color w:val="000000" w:themeColor="text1"/>
          <w:sz w:val="18"/>
          <w:szCs w:val="18"/>
        </w:rPr>
        <w:t>Figure 3: Donabedian Structure</w:t>
      </w:r>
      <w:r w:rsidR="00CC7023">
        <w:rPr>
          <w:rFonts w:ascii="Arial" w:eastAsia="Arial" w:hAnsi="Arial" w:cs="Arial"/>
          <w:color w:val="000000" w:themeColor="text1"/>
          <w:sz w:val="18"/>
          <w:szCs w:val="18"/>
        </w:rPr>
        <w:t xml:space="preserve"> </w:t>
      </w:r>
      <w:r w:rsidRPr="003704AC">
        <w:rPr>
          <w:rFonts w:ascii="Arial" w:eastAsia="Arial" w:hAnsi="Arial" w:cs="Arial"/>
          <w:color w:val="000000" w:themeColor="text1"/>
          <w:sz w:val="18"/>
          <w:szCs w:val="18"/>
        </w:rPr>
        <w:t>Process</w:t>
      </w:r>
      <w:r w:rsidR="00CC7023">
        <w:rPr>
          <w:rFonts w:ascii="Arial" w:eastAsia="Arial" w:hAnsi="Arial" w:cs="Arial"/>
          <w:color w:val="000000" w:themeColor="text1"/>
          <w:sz w:val="18"/>
          <w:szCs w:val="18"/>
        </w:rPr>
        <w:t xml:space="preserve"> </w:t>
      </w:r>
      <w:r w:rsidRPr="003704AC">
        <w:rPr>
          <w:rFonts w:ascii="Arial" w:eastAsia="Arial" w:hAnsi="Arial" w:cs="Arial"/>
          <w:color w:val="000000" w:themeColor="text1"/>
          <w:sz w:val="18"/>
          <w:szCs w:val="18"/>
        </w:rPr>
        <w:t xml:space="preserve">Outcome Model Applied to Martha's Rule </w:t>
      </w:r>
    </w:p>
    <w:p w14:paraId="74394ED3" w14:textId="44EBDC1E" w:rsidR="00CC7023" w:rsidRPr="00CC7023" w:rsidRDefault="00000000" w:rsidP="00CC7023">
      <w:pPr>
        <w:spacing w:before="80" w:after="280" w:line="360" w:lineRule="auto"/>
        <w:jc w:val="center"/>
        <w:rPr>
          <w:rFonts w:ascii="Arial" w:eastAsia="Arial" w:hAnsi="Arial" w:cs="Arial"/>
          <w:color w:val="000000" w:themeColor="text1"/>
          <w:sz w:val="18"/>
          <w:szCs w:val="18"/>
        </w:rPr>
      </w:pPr>
      <w:r w:rsidRPr="003704AC">
        <w:rPr>
          <w:rFonts w:ascii="Arial" w:eastAsia="Arial" w:hAnsi="Arial" w:cs="Arial"/>
          <w:color w:val="000000" w:themeColor="text1"/>
          <w:sz w:val="18"/>
          <w:szCs w:val="18"/>
        </w:rPr>
        <w:t xml:space="preserve">(Donabedian, 1966; Welch </w:t>
      </w:r>
      <w:r w:rsidRPr="00CC7023">
        <w:rPr>
          <w:rFonts w:ascii="Arial" w:eastAsia="Arial" w:hAnsi="Arial" w:cs="Arial"/>
          <w:i/>
          <w:iCs/>
          <w:color w:val="000000" w:themeColor="text1"/>
          <w:sz w:val="18"/>
          <w:szCs w:val="18"/>
        </w:rPr>
        <w:t>et al</w:t>
      </w:r>
      <w:r w:rsidRPr="003704AC">
        <w:rPr>
          <w:rFonts w:ascii="Arial" w:eastAsia="Arial" w:hAnsi="Arial" w:cs="Arial"/>
          <w:color w:val="000000" w:themeColor="text1"/>
          <w:sz w:val="18"/>
          <w:szCs w:val="18"/>
        </w:rPr>
        <w:t>., 2025</w:t>
      </w:r>
      <w:r w:rsidR="00CC7023">
        <w:rPr>
          <w:rFonts w:ascii="Arial" w:eastAsia="Arial" w:hAnsi="Arial" w:cs="Arial"/>
          <w:color w:val="000000" w:themeColor="text1"/>
          <w:sz w:val="18"/>
          <w:szCs w:val="18"/>
        </w:rPr>
        <w:t>)</w:t>
      </w:r>
    </w:p>
    <w:p w14:paraId="4F689284" w14:textId="5C65956E" w:rsidR="00645F58" w:rsidRDefault="00000000" w:rsidP="00CC7023">
      <w:pPr>
        <w:pStyle w:val="Heading2"/>
        <w:numPr>
          <w:ilvl w:val="1"/>
          <w:numId w:val="2"/>
        </w:numPr>
      </w:pPr>
      <w:bookmarkStart w:id="5" w:name="_Toc236192157"/>
      <w:r w:rsidRPr="00CC7023">
        <w:t>SWOT Analysis</w:t>
      </w:r>
      <w:bookmarkEnd w:id="5"/>
    </w:p>
    <w:p w14:paraId="7597D224" w14:textId="77777777" w:rsidR="00CC7023" w:rsidRPr="00CC7023" w:rsidRDefault="00CC7023" w:rsidP="00CC7023">
      <w:pPr>
        <w:pStyle w:val="ListParagraph"/>
        <w:ind w:left="840"/>
      </w:pPr>
    </w:p>
    <w:p w14:paraId="46ED7225" w14:textId="6CF9C447" w:rsidR="00645F58" w:rsidRPr="00CC7023" w:rsidRDefault="00000000" w:rsidP="00CC7023">
      <w:pPr>
        <w:spacing w:after="200" w:line="360" w:lineRule="auto"/>
        <w:jc w:val="both"/>
        <w:rPr>
          <w:rFonts w:ascii="Arial" w:eastAsia="Arial" w:hAnsi="Arial" w:cs="Arial"/>
          <w:color w:val="000000" w:themeColor="text1"/>
        </w:rPr>
      </w:pPr>
      <w:r w:rsidRPr="003704AC">
        <w:rPr>
          <w:rFonts w:ascii="Arial" w:eastAsia="Arial" w:hAnsi="Arial" w:cs="Arial"/>
          <w:color w:val="000000" w:themeColor="text1"/>
        </w:rPr>
        <w:t>A SWOT analysis evaluates factors influencing Martha's Rule's continued success (Harrison, 2010) (see Table 3). The awareness-equity weakness is most urgent, since a family who has never heard of Martha's Rule cannot use it the very groups already at higher risk of poor communication may be least protected. Workforce capacity is the second priority, given rising call volumes without proportional outreach investment. Extending scope to new settings is a lower short-term priority, best following once equity and capacity issues are addressed</w:t>
      </w:r>
      <w:r w:rsidR="00CC7023">
        <w:rPr>
          <w:rFonts w:ascii="Arial" w:eastAsia="Arial" w:hAnsi="Arial" w:cs="Arial"/>
          <w:color w:val="000000" w:themeColor="text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8"/>
        <w:gridCol w:w="4508"/>
      </w:tblGrid>
      <w:tr w:rsidR="003704AC" w:rsidRPr="003704AC" w14:paraId="52FBD4A9" w14:textId="77777777">
        <w:tblPrEx>
          <w:tblCellMar>
            <w:top w:w="0" w:type="dxa"/>
            <w:bottom w:w="0" w:type="dxa"/>
          </w:tblCellMar>
        </w:tblPrEx>
        <w:tc>
          <w:tcPr>
            <w:tcW w:w="2500" w:type="pct"/>
            <w:shd w:val="clear" w:color="auto" w:fill="1B2A4A"/>
            <w:tcMar>
              <w:top w:w="160" w:type="dxa"/>
              <w:left w:w="180" w:type="dxa"/>
              <w:bottom w:w="160" w:type="dxa"/>
              <w:right w:w="180" w:type="dxa"/>
            </w:tcMar>
          </w:tcPr>
          <w:p w14:paraId="1E40D0C8" w14:textId="77777777" w:rsidR="00645F58" w:rsidRPr="00CC7023" w:rsidRDefault="00000000" w:rsidP="003704AC">
            <w:pPr>
              <w:spacing w:after="100" w:line="360" w:lineRule="auto"/>
              <w:jc w:val="both"/>
              <w:rPr>
                <w:rFonts w:ascii="Arial" w:hAnsi="Arial" w:cs="Arial"/>
                <w:color w:val="FFFFFF" w:themeColor="background1"/>
              </w:rPr>
            </w:pPr>
            <w:r w:rsidRPr="00CC7023">
              <w:rPr>
                <w:rFonts w:ascii="Arial" w:eastAsia="Arial" w:hAnsi="Arial" w:cs="Arial"/>
                <w:color w:val="FFFFFF" w:themeColor="background1"/>
              </w:rPr>
              <w:t>STRENGTHS</w:t>
            </w:r>
          </w:p>
          <w:p w14:paraId="37964C3E"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Nationally mandated 24-hour helpline</w:t>
            </w:r>
          </w:p>
          <w:p w14:paraId="1BF7BA39"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Cross-regulator endorsement (GMC, NMC, CQC)</w:t>
            </w:r>
          </w:p>
          <w:p w14:paraId="09AFCC11"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Rapid rollout in under 18 months</w:t>
            </w:r>
          </w:p>
        </w:tc>
        <w:tc>
          <w:tcPr>
            <w:tcW w:w="2500" w:type="pct"/>
            <w:shd w:val="clear" w:color="auto" w:fill="8A2E2E"/>
            <w:tcMar>
              <w:top w:w="160" w:type="dxa"/>
              <w:left w:w="180" w:type="dxa"/>
              <w:bottom w:w="160" w:type="dxa"/>
              <w:right w:w="180" w:type="dxa"/>
            </w:tcMar>
          </w:tcPr>
          <w:p w14:paraId="383453DC" w14:textId="77777777" w:rsidR="00645F58" w:rsidRPr="00CC7023" w:rsidRDefault="00000000" w:rsidP="003704AC">
            <w:pPr>
              <w:spacing w:after="100" w:line="360" w:lineRule="auto"/>
              <w:jc w:val="both"/>
              <w:rPr>
                <w:rFonts w:ascii="Arial" w:hAnsi="Arial" w:cs="Arial"/>
                <w:color w:val="FFFFFF" w:themeColor="background1"/>
              </w:rPr>
            </w:pPr>
            <w:r w:rsidRPr="00CC7023">
              <w:rPr>
                <w:rFonts w:ascii="Arial" w:eastAsia="Arial" w:hAnsi="Arial" w:cs="Arial"/>
                <w:color w:val="FFFFFF" w:themeColor="background1"/>
              </w:rPr>
              <w:t>WEAKNESSES</w:t>
            </w:r>
          </w:p>
          <w:p w14:paraId="4A81F4CA"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Only 32% public awareness</w:t>
            </w:r>
          </w:p>
          <w:p w14:paraId="7698C95D"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Lower awareness among disadvantaged groups</w:t>
            </w:r>
          </w:p>
          <w:p w14:paraId="5E71E8C6"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Limited so far to acute inpatient services</w:t>
            </w:r>
          </w:p>
        </w:tc>
      </w:tr>
      <w:tr w:rsidR="003704AC" w:rsidRPr="003704AC" w14:paraId="222DEDB1" w14:textId="77777777">
        <w:tblPrEx>
          <w:tblCellMar>
            <w:top w:w="0" w:type="dxa"/>
            <w:bottom w:w="0" w:type="dxa"/>
          </w:tblCellMar>
        </w:tblPrEx>
        <w:tc>
          <w:tcPr>
            <w:tcW w:w="2500" w:type="pct"/>
            <w:shd w:val="clear" w:color="auto" w:fill="1F7A72"/>
            <w:tcMar>
              <w:top w:w="160" w:type="dxa"/>
              <w:left w:w="180" w:type="dxa"/>
              <w:bottom w:w="160" w:type="dxa"/>
              <w:right w:w="180" w:type="dxa"/>
            </w:tcMar>
          </w:tcPr>
          <w:p w14:paraId="221A4458" w14:textId="77777777" w:rsidR="00645F58" w:rsidRPr="00CC7023" w:rsidRDefault="00000000" w:rsidP="003704AC">
            <w:pPr>
              <w:spacing w:after="100" w:line="360" w:lineRule="auto"/>
              <w:jc w:val="both"/>
              <w:rPr>
                <w:rFonts w:ascii="Arial" w:hAnsi="Arial" w:cs="Arial"/>
                <w:color w:val="FFFFFF" w:themeColor="background1"/>
              </w:rPr>
            </w:pPr>
            <w:r w:rsidRPr="00CC7023">
              <w:rPr>
                <w:rFonts w:ascii="Arial" w:eastAsia="Arial" w:hAnsi="Arial" w:cs="Arial"/>
                <w:color w:val="FFFFFF" w:themeColor="background1"/>
              </w:rPr>
              <w:t>OPPORTUNITIES</w:t>
            </w:r>
          </w:p>
          <w:p w14:paraId="64BC9B7D"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Continued NIHR-funded evaluation</w:t>
            </w:r>
          </w:p>
          <w:p w14:paraId="32A5FB1A"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Digital integration (portals, EHR alerts)</w:t>
            </w:r>
          </w:p>
          <w:p w14:paraId="249EF57B"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Extension to maternity &amp; mental health</w:t>
            </w:r>
          </w:p>
        </w:tc>
        <w:tc>
          <w:tcPr>
            <w:tcW w:w="2500" w:type="pct"/>
            <w:shd w:val="clear" w:color="auto" w:fill="8A6A1F"/>
            <w:tcMar>
              <w:top w:w="160" w:type="dxa"/>
              <w:left w:w="180" w:type="dxa"/>
              <w:bottom w:w="160" w:type="dxa"/>
              <w:right w:w="180" w:type="dxa"/>
            </w:tcMar>
          </w:tcPr>
          <w:p w14:paraId="013C2BC8" w14:textId="77777777" w:rsidR="00645F58" w:rsidRPr="00CC7023" w:rsidRDefault="00000000" w:rsidP="003704AC">
            <w:pPr>
              <w:spacing w:after="100" w:line="360" w:lineRule="auto"/>
              <w:jc w:val="both"/>
              <w:rPr>
                <w:rFonts w:ascii="Arial" w:hAnsi="Arial" w:cs="Arial"/>
                <w:color w:val="FFFFFF" w:themeColor="background1"/>
              </w:rPr>
            </w:pPr>
            <w:r w:rsidRPr="00CC7023">
              <w:rPr>
                <w:rFonts w:ascii="Arial" w:eastAsia="Arial" w:hAnsi="Arial" w:cs="Arial"/>
                <w:color w:val="FFFFFF" w:themeColor="background1"/>
              </w:rPr>
              <w:t>THREATS</w:t>
            </w:r>
          </w:p>
          <w:p w14:paraId="7C683EB1"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Outreach team capacity under rising demand</w:t>
            </w:r>
          </w:p>
          <w:p w14:paraId="4639FE7E"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Competing national safety priorities</w:t>
            </w:r>
          </w:p>
          <w:p w14:paraId="39E50642" w14:textId="77777777" w:rsidR="00645F58" w:rsidRPr="00CC7023" w:rsidRDefault="00000000" w:rsidP="003704AC">
            <w:pPr>
              <w:pStyle w:val="ListParagraph"/>
              <w:numPr>
                <w:ilvl w:val="0"/>
                <w:numId w:val="1"/>
              </w:numPr>
              <w:spacing w:after="60"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Risk of awareness plateauing</w:t>
            </w:r>
          </w:p>
        </w:tc>
      </w:tr>
    </w:tbl>
    <w:p w14:paraId="57045F5D" w14:textId="0F587C9A" w:rsidR="00645F58" w:rsidRPr="003704AC" w:rsidRDefault="00000000" w:rsidP="00CC7023">
      <w:pPr>
        <w:spacing w:before="80" w:after="280" w:line="360" w:lineRule="auto"/>
        <w:jc w:val="center"/>
        <w:rPr>
          <w:rFonts w:ascii="Arial" w:hAnsi="Arial" w:cs="Arial"/>
          <w:color w:val="000000" w:themeColor="text1"/>
        </w:rPr>
      </w:pPr>
      <w:r w:rsidRPr="003704AC">
        <w:rPr>
          <w:rFonts w:ascii="Arial" w:eastAsia="Arial" w:hAnsi="Arial" w:cs="Arial"/>
          <w:color w:val="000000" w:themeColor="text1"/>
          <w:sz w:val="18"/>
          <w:szCs w:val="18"/>
        </w:rPr>
        <w:t xml:space="preserve">Table 3: SWOT </w:t>
      </w:r>
      <w:proofErr w:type="gramStart"/>
      <w:r w:rsidRPr="003704AC">
        <w:rPr>
          <w:rFonts w:ascii="Arial" w:eastAsia="Arial" w:hAnsi="Arial" w:cs="Arial"/>
          <w:color w:val="000000" w:themeColor="text1"/>
          <w:sz w:val="18"/>
          <w:szCs w:val="18"/>
        </w:rPr>
        <w:t xml:space="preserve">Analysis </w:t>
      </w:r>
      <w:r w:rsidR="00CC7023">
        <w:rPr>
          <w:rFonts w:ascii="Arial" w:eastAsia="Arial" w:hAnsi="Arial" w:cs="Arial"/>
          <w:color w:val="000000" w:themeColor="text1"/>
          <w:sz w:val="18"/>
          <w:szCs w:val="18"/>
        </w:rPr>
        <w:t>:</w:t>
      </w:r>
      <w:proofErr w:type="gramEnd"/>
      <w:r w:rsidR="00CC7023">
        <w:rPr>
          <w:rFonts w:ascii="Arial" w:eastAsia="Arial" w:hAnsi="Arial" w:cs="Arial"/>
          <w:color w:val="000000" w:themeColor="text1"/>
          <w:sz w:val="18"/>
          <w:szCs w:val="18"/>
        </w:rPr>
        <w:t xml:space="preserve"> </w:t>
      </w:r>
      <w:r w:rsidRPr="003704AC">
        <w:rPr>
          <w:rFonts w:ascii="Arial" w:eastAsia="Arial" w:hAnsi="Arial" w:cs="Arial"/>
          <w:color w:val="000000" w:themeColor="text1"/>
          <w:sz w:val="18"/>
          <w:szCs w:val="18"/>
        </w:rPr>
        <w:t>Sustaining and Strengthening Martha's Rule</w:t>
      </w:r>
    </w:p>
    <w:p w14:paraId="5DCB583D" w14:textId="0E1B0FE8" w:rsidR="00645F58" w:rsidRDefault="00000000" w:rsidP="00CC7023">
      <w:pPr>
        <w:pStyle w:val="Heading1"/>
        <w:numPr>
          <w:ilvl w:val="0"/>
          <w:numId w:val="2"/>
        </w:numPr>
      </w:pPr>
      <w:bookmarkStart w:id="6" w:name="_Toc236192158"/>
      <w:r w:rsidRPr="00CC7023">
        <w:lastRenderedPageBreak/>
        <w:t>Recommendations and Implementation Strategy</w:t>
      </w:r>
      <w:r w:rsidR="00CC7023">
        <w:t>:</w:t>
      </w:r>
      <w:bookmarkEnd w:id="6"/>
    </w:p>
    <w:p w14:paraId="10E72249" w14:textId="77777777" w:rsidR="00CC7023" w:rsidRPr="00CC7023" w:rsidRDefault="00CC7023" w:rsidP="00CC7023">
      <w:pPr>
        <w:pStyle w:val="ListParagraph"/>
      </w:pPr>
    </w:p>
    <w:p w14:paraId="5D04F3C0" w14:textId="66907445" w:rsidR="00645F58" w:rsidRPr="00CC7023" w:rsidRDefault="00000000" w:rsidP="00CC7023">
      <w:pPr>
        <w:pStyle w:val="Heading2"/>
      </w:pPr>
      <w:bookmarkStart w:id="7" w:name="_Toc236192159"/>
      <w:r w:rsidRPr="00CC7023">
        <w:t>3.1 PDSA Cycle</w:t>
      </w:r>
      <w:r w:rsidR="00CC7023">
        <w:t>:</w:t>
      </w:r>
      <w:bookmarkEnd w:id="7"/>
    </w:p>
    <w:p w14:paraId="2207F38E" w14:textId="20A7ED78"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The phased national rollout, from a </w:t>
      </w:r>
      <w:proofErr w:type="gramStart"/>
      <w:r w:rsidRPr="003704AC">
        <w:rPr>
          <w:rFonts w:ascii="Arial" w:eastAsia="Arial" w:hAnsi="Arial" w:cs="Arial"/>
          <w:color w:val="000000" w:themeColor="text1"/>
        </w:rPr>
        <w:t>143</w:t>
      </w:r>
      <w:r w:rsidR="00CC7023">
        <w:rPr>
          <w:rFonts w:ascii="Arial" w:eastAsia="Arial" w:hAnsi="Arial" w:cs="Arial"/>
          <w:color w:val="000000" w:themeColor="text1"/>
        </w:rPr>
        <w:t xml:space="preserve"> </w:t>
      </w:r>
      <w:r w:rsidRPr="003704AC">
        <w:rPr>
          <w:rFonts w:ascii="Arial" w:eastAsia="Arial" w:hAnsi="Arial" w:cs="Arial"/>
          <w:color w:val="000000" w:themeColor="text1"/>
        </w:rPr>
        <w:t>site</w:t>
      </w:r>
      <w:proofErr w:type="gramEnd"/>
      <w:r w:rsidRPr="003704AC">
        <w:rPr>
          <w:rFonts w:ascii="Arial" w:eastAsia="Arial" w:hAnsi="Arial" w:cs="Arial"/>
          <w:color w:val="000000" w:themeColor="text1"/>
        </w:rPr>
        <w:t xml:space="preserve"> pilot (2024) to all 210 acute hospitals (September 2025), demonstrates iterative, tested change over a single mandate (NHS England, 2025). Table 4 sets out a further PDSA cycle targeting the awareness-equity gap identified above (Institute for Healthcare Improvement, 2021).</w:t>
      </w:r>
    </w:p>
    <w:p w14:paraId="26174A28" w14:textId="77777777" w:rsidR="00645F58" w:rsidRPr="003704AC" w:rsidRDefault="00645F58" w:rsidP="003704AC">
      <w:pPr>
        <w:spacing w:before="100" w:after="100" w:line="360" w:lineRule="auto"/>
        <w:jc w:val="both"/>
        <w:rPr>
          <w:rFonts w:ascii="Arial" w:hAnsi="Arial"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77"/>
        <w:gridCol w:w="5404"/>
        <w:gridCol w:w="2835"/>
      </w:tblGrid>
      <w:tr w:rsidR="003704AC" w:rsidRPr="003704AC" w14:paraId="2AC0899D" w14:textId="77777777">
        <w:tblPrEx>
          <w:tblCellMar>
            <w:top w:w="0" w:type="dxa"/>
            <w:bottom w:w="0" w:type="dxa"/>
          </w:tblCellMar>
        </w:tblPrEx>
        <w:tc>
          <w:tcPr>
            <w:tcW w:w="0" w:type="auto"/>
            <w:shd w:val="clear" w:color="auto" w:fill="1B2A4A"/>
            <w:tcMar>
              <w:top w:w="100" w:type="dxa"/>
              <w:left w:w="140" w:type="dxa"/>
              <w:bottom w:w="100" w:type="dxa"/>
              <w:right w:w="140" w:type="dxa"/>
            </w:tcMar>
          </w:tcPr>
          <w:p w14:paraId="6684A384" w14:textId="77777777" w:rsidR="00645F58" w:rsidRPr="00CC7023" w:rsidRDefault="00000000" w:rsidP="00CC7023">
            <w:pPr>
              <w:spacing w:line="360" w:lineRule="auto"/>
              <w:jc w:val="center"/>
              <w:rPr>
                <w:rFonts w:ascii="Arial" w:hAnsi="Arial" w:cs="Arial"/>
                <w:color w:val="FFFFFF" w:themeColor="background1"/>
              </w:rPr>
            </w:pPr>
            <w:r w:rsidRPr="00CC7023">
              <w:rPr>
                <w:rFonts w:ascii="Arial" w:eastAsia="Arial" w:hAnsi="Arial" w:cs="Arial"/>
                <w:color w:val="FFFFFF" w:themeColor="background1"/>
                <w:sz w:val="19"/>
                <w:szCs w:val="19"/>
              </w:rPr>
              <w:t>Stage</w:t>
            </w:r>
          </w:p>
        </w:tc>
        <w:tc>
          <w:tcPr>
            <w:tcW w:w="0" w:type="auto"/>
            <w:shd w:val="clear" w:color="auto" w:fill="1B2A4A"/>
            <w:tcMar>
              <w:top w:w="100" w:type="dxa"/>
              <w:left w:w="140" w:type="dxa"/>
              <w:bottom w:w="100" w:type="dxa"/>
              <w:right w:w="140" w:type="dxa"/>
            </w:tcMar>
          </w:tcPr>
          <w:p w14:paraId="0981E7A2" w14:textId="77777777" w:rsidR="00645F58" w:rsidRPr="00CC7023" w:rsidRDefault="00000000" w:rsidP="00CC7023">
            <w:pPr>
              <w:spacing w:line="360" w:lineRule="auto"/>
              <w:jc w:val="center"/>
              <w:rPr>
                <w:rFonts w:ascii="Arial" w:hAnsi="Arial" w:cs="Arial"/>
                <w:color w:val="FFFFFF" w:themeColor="background1"/>
              </w:rPr>
            </w:pPr>
            <w:r w:rsidRPr="00CC7023">
              <w:rPr>
                <w:rFonts w:ascii="Arial" w:eastAsia="Arial" w:hAnsi="Arial" w:cs="Arial"/>
                <w:color w:val="FFFFFF" w:themeColor="background1"/>
                <w:sz w:val="19"/>
                <w:szCs w:val="19"/>
              </w:rPr>
              <w:t>Action</w:t>
            </w:r>
          </w:p>
        </w:tc>
        <w:tc>
          <w:tcPr>
            <w:tcW w:w="0" w:type="auto"/>
            <w:shd w:val="clear" w:color="auto" w:fill="1B2A4A"/>
            <w:tcMar>
              <w:top w:w="100" w:type="dxa"/>
              <w:left w:w="140" w:type="dxa"/>
              <w:bottom w:w="100" w:type="dxa"/>
              <w:right w:w="140" w:type="dxa"/>
            </w:tcMar>
          </w:tcPr>
          <w:p w14:paraId="579FDBCF" w14:textId="77777777" w:rsidR="00645F58" w:rsidRPr="00CC7023" w:rsidRDefault="00000000" w:rsidP="00CC7023">
            <w:pPr>
              <w:spacing w:line="360" w:lineRule="auto"/>
              <w:jc w:val="center"/>
              <w:rPr>
                <w:rFonts w:ascii="Arial" w:hAnsi="Arial" w:cs="Arial"/>
                <w:color w:val="FFFFFF" w:themeColor="background1"/>
              </w:rPr>
            </w:pPr>
            <w:r w:rsidRPr="00CC7023">
              <w:rPr>
                <w:rFonts w:ascii="Arial" w:eastAsia="Arial" w:hAnsi="Arial" w:cs="Arial"/>
                <w:color w:val="FFFFFF" w:themeColor="background1"/>
                <w:sz w:val="19"/>
                <w:szCs w:val="19"/>
              </w:rPr>
              <w:t>Measure / Evidence</w:t>
            </w:r>
          </w:p>
        </w:tc>
      </w:tr>
      <w:tr w:rsidR="003704AC" w:rsidRPr="003704AC" w14:paraId="3129C2A7" w14:textId="77777777">
        <w:tblPrEx>
          <w:tblCellMar>
            <w:top w:w="0" w:type="dxa"/>
            <w:bottom w:w="0" w:type="dxa"/>
          </w:tblCellMar>
        </w:tblPrEx>
        <w:trPr>
          <w:cantSplit/>
        </w:trPr>
        <w:tc>
          <w:tcPr>
            <w:tcW w:w="0" w:type="auto"/>
            <w:shd w:val="clear" w:color="auto" w:fill="F4F6F8"/>
            <w:tcMar>
              <w:top w:w="100" w:type="dxa"/>
              <w:left w:w="140" w:type="dxa"/>
              <w:bottom w:w="100" w:type="dxa"/>
              <w:right w:w="140" w:type="dxa"/>
            </w:tcMar>
          </w:tcPr>
          <w:p w14:paraId="376C17B7"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Plan</w:t>
            </w:r>
          </w:p>
        </w:tc>
        <w:tc>
          <w:tcPr>
            <w:tcW w:w="0" w:type="auto"/>
            <w:shd w:val="clear" w:color="auto" w:fill="F4F6F8"/>
            <w:tcMar>
              <w:top w:w="100" w:type="dxa"/>
              <w:left w:w="140" w:type="dxa"/>
              <w:bottom w:w="100" w:type="dxa"/>
              <w:right w:w="140" w:type="dxa"/>
            </w:tcMar>
          </w:tcPr>
          <w:p w14:paraId="48D68C7D"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Co-designed, accessible awareness intervention targeting low-awareness groups (NHS England, 2026b).</w:t>
            </w:r>
          </w:p>
        </w:tc>
        <w:tc>
          <w:tcPr>
            <w:tcW w:w="0" w:type="auto"/>
            <w:shd w:val="clear" w:color="auto" w:fill="F4F6F8"/>
            <w:tcMar>
              <w:top w:w="100" w:type="dxa"/>
              <w:left w:w="140" w:type="dxa"/>
              <w:bottom w:w="100" w:type="dxa"/>
              <w:right w:w="140" w:type="dxa"/>
            </w:tcMar>
          </w:tcPr>
          <w:p w14:paraId="69D87C69"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Awareness survey score by demographic group.</w:t>
            </w:r>
          </w:p>
        </w:tc>
      </w:tr>
      <w:tr w:rsidR="003704AC" w:rsidRPr="003704AC" w14:paraId="2AECBE51" w14:textId="77777777">
        <w:tblPrEx>
          <w:tblCellMar>
            <w:top w:w="0" w:type="dxa"/>
            <w:bottom w:w="0" w:type="dxa"/>
          </w:tblCellMar>
        </w:tblPrEx>
        <w:trPr>
          <w:cantSplit/>
        </w:trPr>
        <w:tc>
          <w:tcPr>
            <w:tcW w:w="0" w:type="auto"/>
            <w:shd w:val="clear" w:color="auto" w:fill="E7ECEF"/>
            <w:tcMar>
              <w:top w:w="100" w:type="dxa"/>
              <w:left w:w="140" w:type="dxa"/>
              <w:bottom w:w="100" w:type="dxa"/>
              <w:right w:w="140" w:type="dxa"/>
            </w:tcMar>
          </w:tcPr>
          <w:p w14:paraId="2A1D59D6"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Do</w:t>
            </w:r>
          </w:p>
        </w:tc>
        <w:tc>
          <w:tcPr>
            <w:tcW w:w="0" w:type="auto"/>
            <w:shd w:val="clear" w:color="auto" w:fill="E7ECEF"/>
            <w:tcMar>
              <w:top w:w="100" w:type="dxa"/>
              <w:left w:w="140" w:type="dxa"/>
              <w:bottom w:w="100" w:type="dxa"/>
              <w:right w:w="140" w:type="dxa"/>
            </w:tcMar>
          </w:tcPr>
          <w:p w14:paraId="430C2010"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Pilot in trusts with lower call volumes; train ward staff to support escalation (NHS England, 2025).</w:t>
            </w:r>
          </w:p>
        </w:tc>
        <w:tc>
          <w:tcPr>
            <w:tcW w:w="0" w:type="auto"/>
            <w:shd w:val="clear" w:color="auto" w:fill="E7ECEF"/>
            <w:tcMar>
              <w:top w:w="100" w:type="dxa"/>
              <w:left w:w="140" w:type="dxa"/>
              <w:bottom w:w="100" w:type="dxa"/>
              <w:right w:w="140" w:type="dxa"/>
            </w:tcMar>
          </w:tcPr>
          <w:p w14:paraId="4336DDEE"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Staff training completion; pilot-site call volume.</w:t>
            </w:r>
          </w:p>
        </w:tc>
      </w:tr>
      <w:tr w:rsidR="003704AC" w:rsidRPr="003704AC" w14:paraId="4CB9A3C3" w14:textId="77777777">
        <w:tblPrEx>
          <w:tblCellMar>
            <w:top w:w="0" w:type="dxa"/>
            <w:bottom w:w="0" w:type="dxa"/>
          </w:tblCellMar>
        </w:tblPrEx>
        <w:trPr>
          <w:cantSplit/>
        </w:trPr>
        <w:tc>
          <w:tcPr>
            <w:tcW w:w="0" w:type="auto"/>
            <w:shd w:val="clear" w:color="auto" w:fill="F4F6F8"/>
            <w:tcMar>
              <w:top w:w="100" w:type="dxa"/>
              <w:left w:w="140" w:type="dxa"/>
              <w:bottom w:w="100" w:type="dxa"/>
              <w:right w:w="140" w:type="dxa"/>
            </w:tcMar>
          </w:tcPr>
          <w:p w14:paraId="574DEE82"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Study</w:t>
            </w:r>
          </w:p>
        </w:tc>
        <w:tc>
          <w:tcPr>
            <w:tcW w:w="0" w:type="auto"/>
            <w:shd w:val="clear" w:color="auto" w:fill="F4F6F8"/>
            <w:tcMar>
              <w:top w:w="100" w:type="dxa"/>
              <w:left w:w="140" w:type="dxa"/>
              <w:bottom w:w="100" w:type="dxa"/>
              <w:right w:w="140" w:type="dxa"/>
            </w:tcMar>
          </w:tcPr>
          <w:p w14:paraId="63C3DD32"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Compare against 32% national baseline and 61% staff-call accuracy (NHS England, 2026b).</w:t>
            </w:r>
          </w:p>
        </w:tc>
        <w:tc>
          <w:tcPr>
            <w:tcW w:w="0" w:type="auto"/>
            <w:shd w:val="clear" w:color="auto" w:fill="F4F6F8"/>
            <w:tcMar>
              <w:top w:w="100" w:type="dxa"/>
              <w:left w:w="140" w:type="dxa"/>
              <w:bottom w:w="100" w:type="dxa"/>
              <w:right w:w="140" w:type="dxa"/>
            </w:tcMar>
          </w:tcPr>
          <w:p w14:paraId="6C09BD8C"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Pre/post awareness data; call accuracy rate.</w:t>
            </w:r>
          </w:p>
        </w:tc>
      </w:tr>
      <w:tr w:rsidR="003704AC" w:rsidRPr="003704AC" w14:paraId="67AEA27C" w14:textId="77777777">
        <w:tblPrEx>
          <w:tblCellMar>
            <w:top w:w="0" w:type="dxa"/>
            <w:bottom w:w="0" w:type="dxa"/>
          </w:tblCellMar>
        </w:tblPrEx>
        <w:trPr>
          <w:cantSplit/>
        </w:trPr>
        <w:tc>
          <w:tcPr>
            <w:tcW w:w="0" w:type="auto"/>
            <w:shd w:val="clear" w:color="auto" w:fill="E7ECEF"/>
            <w:tcMar>
              <w:top w:w="100" w:type="dxa"/>
              <w:left w:w="140" w:type="dxa"/>
              <w:bottom w:w="100" w:type="dxa"/>
              <w:right w:w="140" w:type="dxa"/>
            </w:tcMar>
          </w:tcPr>
          <w:p w14:paraId="08CC4C15"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Act</w:t>
            </w:r>
          </w:p>
        </w:tc>
        <w:tc>
          <w:tcPr>
            <w:tcW w:w="0" w:type="auto"/>
            <w:shd w:val="clear" w:color="auto" w:fill="E7ECEF"/>
            <w:tcMar>
              <w:top w:w="100" w:type="dxa"/>
              <w:left w:w="140" w:type="dxa"/>
              <w:bottom w:w="100" w:type="dxa"/>
              <w:right w:w="140" w:type="dxa"/>
            </w:tcMar>
          </w:tcPr>
          <w:p w14:paraId="208F65BF"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Scale nationally; extend to maternity/mental health; refine via a further cycle if needed (Deming, 1986).</w:t>
            </w:r>
          </w:p>
        </w:tc>
        <w:tc>
          <w:tcPr>
            <w:tcW w:w="0" w:type="auto"/>
            <w:shd w:val="clear" w:color="auto" w:fill="E7ECEF"/>
            <w:tcMar>
              <w:top w:w="100" w:type="dxa"/>
              <w:left w:w="140" w:type="dxa"/>
              <w:bottom w:w="100" w:type="dxa"/>
              <w:right w:w="140" w:type="dxa"/>
            </w:tcMar>
          </w:tcPr>
          <w:p w14:paraId="383F18FE" w14:textId="77777777" w:rsidR="00645F58" w:rsidRPr="003704AC" w:rsidRDefault="00000000" w:rsidP="00CC7023">
            <w:pPr>
              <w:spacing w:line="360" w:lineRule="auto"/>
              <w:jc w:val="center"/>
              <w:rPr>
                <w:rFonts w:ascii="Arial" w:hAnsi="Arial" w:cs="Arial"/>
                <w:color w:val="000000" w:themeColor="text1"/>
              </w:rPr>
            </w:pPr>
            <w:r w:rsidRPr="003704AC">
              <w:rPr>
                <w:rFonts w:ascii="Arial" w:eastAsia="Arial" w:hAnsi="Arial" w:cs="Arial"/>
                <w:color w:val="000000" w:themeColor="text1"/>
                <w:sz w:val="18"/>
                <w:szCs w:val="18"/>
              </w:rPr>
              <w:t>Roll-out decision; refined intervention design.</w:t>
            </w:r>
          </w:p>
        </w:tc>
      </w:tr>
    </w:tbl>
    <w:p w14:paraId="319C6390" w14:textId="77777777" w:rsidR="00645F58" w:rsidRPr="003704AC" w:rsidRDefault="00000000" w:rsidP="00CC7023">
      <w:pPr>
        <w:spacing w:before="80" w:after="280" w:line="360" w:lineRule="auto"/>
        <w:jc w:val="center"/>
        <w:rPr>
          <w:rFonts w:ascii="Arial" w:hAnsi="Arial" w:cs="Arial"/>
          <w:color w:val="000000" w:themeColor="text1"/>
        </w:rPr>
      </w:pPr>
      <w:r w:rsidRPr="003704AC">
        <w:rPr>
          <w:rFonts w:ascii="Arial" w:eastAsia="Arial" w:hAnsi="Arial" w:cs="Arial"/>
          <w:color w:val="000000" w:themeColor="text1"/>
          <w:sz w:val="18"/>
          <w:szCs w:val="18"/>
        </w:rPr>
        <w:t>Table 4: PDSA Cycle – Awareness and Equity Intervention</w:t>
      </w:r>
    </w:p>
    <w:p w14:paraId="57A45018" w14:textId="77777777"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Delivering this requires modest resourcing: one three-month cycle (two weeks co-design, two weeks briefing, ten weeks piloting); a named implementation lead using existing patient safety roles; and funding limited to translation, accessible-format materials and training backfill, absorbable within existing improvement budgets.</w:t>
      </w:r>
    </w:p>
    <w:p w14:paraId="55A19F2E" w14:textId="77777777" w:rsidR="00645F58" w:rsidRPr="003704AC" w:rsidRDefault="00000000" w:rsidP="00CC7023">
      <w:pPr>
        <w:spacing w:before="200" w:after="60" w:line="360" w:lineRule="auto"/>
        <w:jc w:val="center"/>
        <w:rPr>
          <w:rFonts w:ascii="Arial" w:hAnsi="Arial" w:cs="Arial"/>
          <w:color w:val="000000" w:themeColor="text1"/>
        </w:rPr>
      </w:pPr>
      <w:r w:rsidRPr="003704AC">
        <w:rPr>
          <w:rFonts w:ascii="Arial" w:hAnsi="Arial" w:cs="Arial"/>
          <w:noProof/>
          <w:color w:val="000000" w:themeColor="text1"/>
        </w:rPr>
        <w:lastRenderedPageBreak/>
        <w:drawing>
          <wp:inline distT="0" distB="0" distL="0" distR="0" wp14:anchorId="7E52FBE7" wp14:editId="465F4FC9">
            <wp:extent cx="3657600" cy="3657600"/>
            <wp:effectExtent l="0" t="0" r="0" b="0"/>
            <wp:docPr id="997676252" name="Picture 997676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3657600" cy="3657600"/>
                    </a:xfrm>
                    <a:prstGeom prst="rect">
                      <a:avLst/>
                    </a:prstGeom>
                  </pic:spPr>
                </pic:pic>
              </a:graphicData>
            </a:graphic>
          </wp:inline>
        </w:drawing>
      </w:r>
    </w:p>
    <w:p w14:paraId="34648838" w14:textId="3B602AB2" w:rsidR="00645F58" w:rsidRDefault="00000000" w:rsidP="00CC7023">
      <w:pPr>
        <w:spacing w:before="80" w:after="280" w:line="360" w:lineRule="auto"/>
        <w:jc w:val="center"/>
        <w:rPr>
          <w:rFonts w:ascii="Arial" w:eastAsia="Arial" w:hAnsi="Arial" w:cs="Arial"/>
          <w:color w:val="000000" w:themeColor="text1"/>
          <w:sz w:val="18"/>
          <w:szCs w:val="18"/>
        </w:rPr>
      </w:pPr>
      <w:r w:rsidRPr="003704AC">
        <w:rPr>
          <w:rFonts w:ascii="Arial" w:eastAsia="Arial" w:hAnsi="Arial" w:cs="Arial"/>
          <w:color w:val="000000" w:themeColor="text1"/>
          <w:sz w:val="18"/>
          <w:szCs w:val="18"/>
        </w:rPr>
        <w:t>Figure 5: The National Rollout of Martha</w:t>
      </w:r>
      <w:r w:rsidR="00CC7023">
        <w:rPr>
          <w:rFonts w:ascii="Arial" w:eastAsia="Arial" w:hAnsi="Arial" w:cs="Arial"/>
          <w:color w:val="000000" w:themeColor="text1"/>
          <w:sz w:val="18"/>
          <w:szCs w:val="18"/>
        </w:rPr>
        <w:t>’</w:t>
      </w:r>
      <w:r w:rsidRPr="003704AC">
        <w:rPr>
          <w:rFonts w:ascii="Arial" w:eastAsia="Arial" w:hAnsi="Arial" w:cs="Arial"/>
          <w:color w:val="000000" w:themeColor="text1"/>
          <w:sz w:val="18"/>
          <w:szCs w:val="18"/>
        </w:rPr>
        <w:t>s Rule as a PDSA Cycle (NHS England, 2025)</w:t>
      </w:r>
    </w:p>
    <w:p w14:paraId="674F44C9" w14:textId="77777777" w:rsidR="00CC7023" w:rsidRPr="003704AC" w:rsidRDefault="00CC7023" w:rsidP="00CC7023">
      <w:pPr>
        <w:spacing w:before="80" w:after="280" w:line="360" w:lineRule="auto"/>
        <w:jc w:val="center"/>
        <w:rPr>
          <w:rFonts w:ascii="Arial" w:hAnsi="Arial" w:cs="Arial"/>
          <w:color w:val="000000" w:themeColor="text1"/>
        </w:rPr>
      </w:pPr>
    </w:p>
    <w:p w14:paraId="0FCAA463" w14:textId="47DCC9DB" w:rsidR="00645F58" w:rsidRDefault="00000000" w:rsidP="00CC7023">
      <w:pPr>
        <w:pStyle w:val="Heading2"/>
      </w:pPr>
      <w:bookmarkStart w:id="8" w:name="_Toc236192160"/>
      <w:r w:rsidRPr="00CC7023">
        <w:t>3.2 Change Management: Lewin and Kotter</w:t>
      </w:r>
      <w:r w:rsidR="00CC7023">
        <w:t>:</w:t>
      </w:r>
      <w:bookmarkEnd w:id="8"/>
    </w:p>
    <w:p w14:paraId="2815D0BC" w14:textId="77777777" w:rsidR="00CC7023" w:rsidRPr="00CC7023" w:rsidRDefault="00CC7023" w:rsidP="00CC7023"/>
    <w:p w14:paraId="6C112DD9" w14:textId="58A0BAAA"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Sustaining Martha's Rule requires deliberate cultural change, not process redesign alone, since the Fishbone analysis identified hierarchical culture as a central root cause of Martha's death. A systematic review of 38 healthcare change-management studies found that Kotter's 8-Step Model and Lewin's Unfreeze-Change-Refreeze model were the two most commonly applied frameworks, each valued for providing guiding principles rather than a rigid prescription (Harrison </w:t>
      </w:r>
      <w:r w:rsidRPr="00CC7023">
        <w:rPr>
          <w:rFonts w:ascii="Arial" w:eastAsia="Arial" w:hAnsi="Arial" w:cs="Arial"/>
          <w:i/>
          <w:iCs/>
          <w:color w:val="000000" w:themeColor="text1"/>
        </w:rPr>
        <w:t>et al.,</w:t>
      </w:r>
      <w:r w:rsidRPr="003704AC">
        <w:rPr>
          <w:rFonts w:ascii="Arial" w:eastAsia="Arial" w:hAnsi="Arial" w:cs="Arial"/>
          <w:color w:val="000000" w:themeColor="text1"/>
        </w:rPr>
        <w:t xml:space="preserve"> 2021). Applying Lewin's model, 'unfreezing' is represented by the public alarm generated by Martha's inquest and media coverage, which disrupted institutional complacency; 'change' corresponds to the phased pilot and national rollout of the helpline and daily wellness checks; and 'refreezing' requires embedding Martha's Rule into routine ward culture, professional training curricula and CQC inspection standards so escalation becomes </w:t>
      </w:r>
      <w:proofErr w:type="spellStart"/>
      <w:r w:rsidRPr="003704AC">
        <w:rPr>
          <w:rFonts w:ascii="Arial" w:eastAsia="Arial" w:hAnsi="Arial" w:cs="Arial"/>
          <w:color w:val="000000" w:themeColor="text1"/>
        </w:rPr>
        <w:t>normalised</w:t>
      </w:r>
      <w:proofErr w:type="spellEnd"/>
      <w:r w:rsidRPr="003704AC">
        <w:rPr>
          <w:rFonts w:ascii="Arial" w:eastAsia="Arial" w:hAnsi="Arial" w:cs="Arial"/>
          <w:color w:val="000000" w:themeColor="text1"/>
        </w:rPr>
        <w:t xml:space="preserve"> rather than exceptional practice. Kotter's model offers a complementary, more staff-facing lens: creating urgency by </w:t>
      </w:r>
      <w:proofErr w:type="spellStart"/>
      <w:r w:rsidRPr="003704AC">
        <w:rPr>
          <w:rFonts w:ascii="Arial" w:eastAsia="Arial" w:hAnsi="Arial" w:cs="Arial"/>
          <w:color w:val="000000" w:themeColor="text1"/>
        </w:rPr>
        <w:t>publicising</w:t>
      </w:r>
      <w:proofErr w:type="spellEnd"/>
      <w:r w:rsidRPr="003704AC">
        <w:rPr>
          <w:rFonts w:ascii="Arial" w:eastAsia="Arial" w:hAnsi="Arial" w:cs="Arial"/>
          <w:color w:val="000000" w:themeColor="text1"/>
        </w:rPr>
        <w:t xml:space="preserve"> failure-to-rescue mortality data (Welch </w:t>
      </w:r>
      <w:r w:rsidRPr="00CC7023">
        <w:rPr>
          <w:rFonts w:ascii="Arial" w:eastAsia="Arial" w:hAnsi="Arial" w:cs="Arial"/>
          <w:i/>
          <w:iCs/>
          <w:color w:val="000000" w:themeColor="text1"/>
        </w:rPr>
        <w:t>et al.,</w:t>
      </w:r>
      <w:r w:rsidRPr="003704AC">
        <w:rPr>
          <w:rFonts w:ascii="Arial" w:eastAsia="Arial" w:hAnsi="Arial" w:cs="Arial"/>
          <w:color w:val="000000" w:themeColor="text1"/>
        </w:rPr>
        <w:t xml:space="preserve"> 2025); forming a guiding coalition of ward leaders, patient safety champions and family representatives; and communicating short-term wins, such as early increases in staff-initiated calls, to build momentum. Critically, the final anchoring stage, embedding change permanently </w:t>
      </w:r>
      <w:r w:rsidRPr="003704AC">
        <w:rPr>
          <w:rFonts w:ascii="Arial" w:eastAsia="Arial" w:hAnsi="Arial" w:cs="Arial"/>
          <w:color w:val="000000" w:themeColor="text1"/>
        </w:rPr>
        <w:lastRenderedPageBreak/>
        <w:t xml:space="preserve">in </w:t>
      </w:r>
      <w:proofErr w:type="spellStart"/>
      <w:r w:rsidRPr="003704AC">
        <w:rPr>
          <w:rFonts w:ascii="Arial" w:eastAsia="Arial" w:hAnsi="Arial" w:cs="Arial"/>
          <w:color w:val="000000" w:themeColor="text1"/>
        </w:rPr>
        <w:t>organisational</w:t>
      </w:r>
      <w:proofErr w:type="spellEnd"/>
      <w:r w:rsidRPr="003704AC">
        <w:rPr>
          <w:rFonts w:ascii="Arial" w:eastAsia="Arial" w:hAnsi="Arial" w:cs="Arial"/>
          <w:color w:val="000000" w:themeColor="text1"/>
        </w:rPr>
        <w:t xml:space="preserve"> culture, was the step most frequently reported as incomplete reinforcing the need for structural safeguards, not policy momentum alone</w:t>
      </w:r>
      <w:r w:rsidR="00CC7023">
        <w:rPr>
          <w:rFonts w:ascii="Arial" w:eastAsia="Arial" w:hAnsi="Arial" w:cs="Arial"/>
          <w:color w:val="000000" w:themeColor="text1"/>
        </w:rPr>
        <w:t xml:space="preserve"> </w:t>
      </w:r>
      <w:r w:rsidR="00CC7023">
        <w:rPr>
          <w:rFonts w:ascii="Arial" w:eastAsia="Arial" w:hAnsi="Arial" w:cs="Arial"/>
          <w:color w:val="000000" w:themeColor="text1"/>
        </w:rPr>
        <w:t>(</w:t>
      </w:r>
      <w:r w:rsidR="00CC7023" w:rsidRPr="003704AC">
        <w:rPr>
          <w:rFonts w:ascii="Arial" w:eastAsia="Arial" w:hAnsi="Arial" w:cs="Arial"/>
          <w:color w:val="000000" w:themeColor="text1"/>
        </w:rPr>
        <w:t xml:space="preserve">Harrison </w:t>
      </w:r>
      <w:r w:rsidR="00CC7023" w:rsidRPr="00CC7023">
        <w:rPr>
          <w:rFonts w:ascii="Arial" w:eastAsia="Arial" w:hAnsi="Arial" w:cs="Arial"/>
          <w:i/>
          <w:iCs/>
          <w:color w:val="000000" w:themeColor="text1"/>
        </w:rPr>
        <w:t>et al.</w:t>
      </w:r>
      <w:r w:rsidR="00CC7023" w:rsidRPr="003704AC">
        <w:rPr>
          <w:rFonts w:ascii="Arial" w:eastAsia="Arial" w:hAnsi="Arial" w:cs="Arial"/>
          <w:color w:val="000000" w:themeColor="text1"/>
        </w:rPr>
        <w:t xml:space="preserve"> 2021)</w:t>
      </w:r>
      <w:r w:rsidRPr="003704AC">
        <w:rPr>
          <w:rFonts w:ascii="Arial" w:eastAsia="Arial" w:hAnsi="Arial" w:cs="Arial"/>
          <w:color w:val="000000" w:themeColor="text1"/>
        </w:rPr>
        <w:t>.</w:t>
      </w:r>
    </w:p>
    <w:p w14:paraId="6A18CD66" w14:textId="77777777"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Resistance should be anticipated: clinician </w:t>
      </w:r>
      <w:proofErr w:type="spellStart"/>
      <w:r w:rsidRPr="003704AC">
        <w:rPr>
          <w:rFonts w:ascii="Arial" w:eastAsia="Arial" w:hAnsi="Arial" w:cs="Arial"/>
          <w:color w:val="000000" w:themeColor="text1"/>
        </w:rPr>
        <w:t>scepticism</w:t>
      </w:r>
      <w:proofErr w:type="spellEnd"/>
      <w:r w:rsidRPr="003704AC">
        <w:rPr>
          <w:rFonts w:ascii="Arial" w:eastAsia="Arial" w:hAnsi="Arial" w:cs="Arial"/>
          <w:color w:val="000000" w:themeColor="text1"/>
        </w:rPr>
        <w:t xml:space="preserve"> that escalation implies distrust, and time pressure during admissions. Ryan's Rule evidence counters the first, since under 1% of activations met formal deterioration criteria yet the scheme remained valued by staff (Flynn </w:t>
      </w:r>
      <w:r w:rsidRPr="00CC7023">
        <w:rPr>
          <w:rFonts w:ascii="Arial" w:eastAsia="Arial" w:hAnsi="Arial" w:cs="Arial"/>
          <w:i/>
          <w:iCs/>
          <w:color w:val="000000" w:themeColor="text1"/>
        </w:rPr>
        <w:t>et al.,</w:t>
      </w:r>
      <w:r w:rsidRPr="003704AC">
        <w:rPr>
          <w:rFonts w:ascii="Arial" w:eastAsia="Arial" w:hAnsi="Arial" w:cs="Arial"/>
          <w:color w:val="000000" w:themeColor="text1"/>
        </w:rPr>
        <w:t xml:space="preserve"> 2022); the second is addressed by embedding explanation within existing admission documentation rather than treating it as an extra task.</w:t>
      </w:r>
    </w:p>
    <w:p w14:paraId="548CADBA" w14:textId="4CC48037" w:rsidR="00645F58" w:rsidRDefault="00000000" w:rsidP="00CC7023">
      <w:pPr>
        <w:pStyle w:val="Heading2"/>
      </w:pPr>
      <w:bookmarkStart w:id="9" w:name="_Toc236192161"/>
      <w:r w:rsidRPr="00CC7023">
        <w:t>3.3 Lean and Six Sigma</w:t>
      </w:r>
      <w:r w:rsidR="00CC7023">
        <w:t>:</w:t>
      </w:r>
      <w:bookmarkEnd w:id="9"/>
    </w:p>
    <w:p w14:paraId="6F667E29" w14:textId="77777777" w:rsidR="00CC7023" w:rsidRPr="00CC7023" w:rsidRDefault="00CC7023" w:rsidP="00CC7023"/>
    <w:p w14:paraId="33F19316" w14:textId="6BA33F9B"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Lean mapping of the pathway from concern raised to rapid review should remove unnecessary delay, protecting the 'rapid' element central to credibility (George, 2003). Where response-time variation is substantial, Six Sigma DMAIC can identify unwarranted variation between trusts or shifts particularly relevant given Martha's own deterioration occurred during reduced weekend staffing. Trusts should also </w:t>
      </w:r>
      <w:proofErr w:type="spellStart"/>
      <w:r w:rsidRPr="003704AC">
        <w:rPr>
          <w:rFonts w:ascii="Arial" w:eastAsia="Arial" w:hAnsi="Arial" w:cs="Arial"/>
          <w:color w:val="000000" w:themeColor="text1"/>
        </w:rPr>
        <w:t>digitise</w:t>
      </w:r>
      <w:proofErr w:type="spellEnd"/>
      <w:r w:rsidRPr="003704AC">
        <w:rPr>
          <w:rFonts w:ascii="Arial" w:eastAsia="Arial" w:hAnsi="Arial" w:cs="Arial"/>
          <w:color w:val="000000" w:themeColor="text1"/>
        </w:rPr>
        <w:t xml:space="preserve"> remaining paper-based early warning systems, directly addressing the technological gap in Martha's case (Judiciary, 2022).</w:t>
      </w:r>
    </w:p>
    <w:p w14:paraId="55A476A7" w14:textId="54F8AE96" w:rsidR="00645F58" w:rsidRDefault="00000000" w:rsidP="00CC7023">
      <w:pPr>
        <w:pStyle w:val="Heading1"/>
        <w:numPr>
          <w:ilvl w:val="0"/>
          <w:numId w:val="2"/>
        </w:numPr>
      </w:pPr>
      <w:bookmarkStart w:id="10" w:name="_Toc236192162"/>
      <w:r w:rsidRPr="00CC7023">
        <w:t>Benchmarking Against Comparable Schemes</w:t>
      </w:r>
      <w:r w:rsidR="00CC7023">
        <w:t>:</w:t>
      </w:r>
      <w:bookmarkEnd w:id="10"/>
    </w:p>
    <w:p w14:paraId="6859B81A" w14:textId="77777777" w:rsidR="00CC7023" w:rsidRPr="00CC7023" w:rsidRDefault="00CC7023" w:rsidP="00CC7023">
      <w:pPr>
        <w:pStyle w:val="ListParagraph"/>
      </w:pPr>
    </w:p>
    <w:p w14:paraId="2168BF55" w14:textId="33476EC0" w:rsidR="00645F58" w:rsidRDefault="00000000" w:rsidP="003704AC">
      <w:pPr>
        <w:spacing w:after="200" w:line="360" w:lineRule="auto"/>
        <w:jc w:val="both"/>
        <w:rPr>
          <w:rFonts w:ascii="Arial" w:eastAsia="Arial" w:hAnsi="Arial" w:cs="Arial"/>
          <w:color w:val="000000" w:themeColor="text1"/>
        </w:rPr>
      </w:pPr>
      <w:r w:rsidRPr="003704AC">
        <w:rPr>
          <w:rFonts w:ascii="Arial" w:eastAsia="Arial" w:hAnsi="Arial" w:cs="Arial"/>
          <w:color w:val="000000" w:themeColor="text1"/>
        </w:rPr>
        <w:t xml:space="preserve">Benchmarking Martha's Rule against internationally established, peer-reviewed escalation systems </w:t>
      </w:r>
      <w:proofErr w:type="gramStart"/>
      <w:r w:rsidRPr="003704AC">
        <w:rPr>
          <w:rFonts w:ascii="Arial" w:eastAsia="Arial" w:hAnsi="Arial" w:cs="Arial"/>
          <w:color w:val="000000" w:themeColor="text1"/>
        </w:rPr>
        <w:t>provides</w:t>
      </w:r>
      <w:proofErr w:type="gramEnd"/>
      <w:r w:rsidRPr="003704AC">
        <w:rPr>
          <w:rFonts w:ascii="Arial" w:eastAsia="Arial" w:hAnsi="Arial" w:cs="Arial"/>
          <w:color w:val="000000" w:themeColor="text1"/>
        </w:rPr>
        <w:t xml:space="preserve"> an important external reference point. Queensland's Ryan's Rule, which directly inspired Martha's Rule, is the most extensively evaluated comparator: state-wide, Queensland recorded 2,355 activations in 2023, of which nearly half resulted in no change to planned care (Patient Safety Commissioner, 2026); a larger analysis of 364 activations among surgical patients across ten Queensland hospitals found 92% were resolved through discussion alone, with fewer than 1% meeting formal early warning criteria for deterioration (Flynn </w:t>
      </w:r>
      <w:r w:rsidRPr="00CC7023">
        <w:rPr>
          <w:rFonts w:ascii="Arial" w:eastAsia="Arial" w:hAnsi="Arial" w:cs="Arial"/>
          <w:i/>
          <w:iCs/>
          <w:color w:val="000000" w:themeColor="text1"/>
        </w:rPr>
        <w:t xml:space="preserve">et al., </w:t>
      </w:r>
      <w:r w:rsidRPr="003704AC">
        <w:rPr>
          <w:rFonts w:ascii="Arial" w:eastAsia="Arial" w:hAnsi="Arial" w:cs="Arial"/>
          <w:color w:val="000000" w:themeColor="text1"/>
        </w:rPr>
        <w:t xml:space="preserve">2022); and a retrospective review of 57 activations at one regional hospital found 65% of activators stating they would be comfortable calling again (Dwyer </w:t>
      </w:r>
      <w:r w:rsidRPr="00CC7023">
        <w:rPr>
          <w:rFonts w:ascii="Arial" w:eastAsia="Arial" w:hAnsi="Arial" w:cs="Arial"/>
          <w:i/>
          <w:iCs/>
          <w:color w:val="000000" w:themeColor="text1"/>
        </w:rPr>
        <w:t>et al.,</w:t>
      </w:r>
      <w:r w:rsidRPr="003704AC">
        <w:rPr>
          <w:rFonts w:ascii="Arial" w:eastAsia="Arial" w:hAnsi="Arial" w:cs="Arial"/>
          <w:color w:val="000000" w:themeColor="text1"/>
        </w:rPr>
        <w:t xml:space="preserve"> 2020). A closer domestic benchmark comes from Royal Berkshire NHS Foundation Trust's Call for Concern scheme, the direct forerunner of Martha's Rule within the NHS itself. The trust's own 2024-25 Quality Report records a peak of 34 activations in a single month, presented as evidence of sustained staff and family engagement (Royal Berkshire NHS Foundation Trust, 2025), making Royal Berkshire the clearest example of NHS best practice in this area, against which newly rolled-out trusts can measure their own adoption curve, alongside CQC's single assessment framework expectations for partnership working with patients and families Table 5 sets out this comparison against current and target performance; however, differences in </w:t>
      </w:r>
      <w:r w:rsidRPr="003704AC">
        <w:rPr>
          <w:rFonts w:ascii="Arial" w:eastAsia="Arial" w:hAnsi="Arial" w:cs="Arial"/>
          <w:color w:val="000000" w:themeColor="text1"/>
        </w:rPr>
        <w:lastRenderedPageBreak/>
        <w:t>population size, health system structure and reporting methodology mean such data should inform, rather than dictate, local improvement priorities</w:t>
      </w:r>
      <w:r w:rsidR="00CC7023" w:rsidRPr="003704AC">
        <w:rPr>
          <w:rFonts w:ascii="Arial" w:eastAsia="Arial" w:hAnsi="Arial" w:cs="Arial"/>
          <w:color w:val="000000" w:themeColor="text1"/>
        </w:rPr>
        <w:t>(Leeds Teaching Hospitals NHS Trust, 2024)</w:t>
      </w:r>
      <w:r w:rsidRPr="003704AC">
        <w:rPr>
          <w:rFonts w:ascii="Arial" w:eastAsia="Arial" w:hAnsi="Arial" w:cs="Arial"/>
          <w:color w:val="000000" w:themeColor="text1"/>
        </w:rPr>
        <w:t>.</w:t>
      </w:r>
    </w:p>
    <w:p w14:paraId="43087348" w14:textId="77777777" w:rsidR="00CC7023" w:rsidRPr="003704AC" w:rsidRDefault="00CC7023" w:rsidP="003704AC">
      <w:pPr>
        <w:spacing w:after="200" w:line="360" w:lineRule="auto"/>
        <w:jc w:val="both"/>
        <w:rPr>
          <w:rFonts w:ascii="Arial" w:hAnsi="Arial" w:cs="Arial"/>
          <w:color w:val="000000" w:themeColor="text1"/>
        </w:rPr>
      </w:pPr>
    </w:p>
    <w:p w14:paraId="4A80F17A" w14:textId="77777777" w:rsidR="00645F58" w:rsidRPr="003704AC" w:rsidRDefault="00000000" w:rsidP="00CC7023">
      <w:pPr>
        <w:spacing w:before="200" w:after="60" w:line="360" w:lineRule="auto"/>
        <w:jc w:val="center"/>
        <w:rPr>
          <w:rFonts w:ascii="Arial" w:hAnsi="Arial" w:cs="Arial"/>
          <w:color w:val="000000" w:themeColor="text1"/>
        </w:rPr>
      </w:pPr>
      <w:r w:rsidRPr="003704AC">
        <w:rPr>
          <w:rFonts w:ascii="Arial" w:hAnsi="Arial" w:cs="Arial"/>
          <w:noProof/>
          <w:color w:val="000000" w:themeColor="text1"/>
        </w:rPr>
        <w:drawing>
          <wp:inline distT="0" distB="0" distL="0" distR="0" wp14:anchorId="413CF2FB" wp14:editId="2C081785">
            <wp:extent cx="4605130" cy="2647950"/>
            <wp:effectExtent l="0" t="0" r="5080" b="0"/>
            <wp:docPr id="1014771142" name="Picture 101477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609918" cy="2650703"/>
                    </a:xfrm>
                    <a:prstGeom prst="rect">
                      <a:avLst/>
                    </a:prstGeom>
                  </pic:spPr>
                </pic:pic>
              </a:graphicData>
            </a:graphic>
          </wp:inline>
        </w:drawing>
      </w:r>
    </w:p>
    <w:p w14:paraId="2CF62AA0" w14:textId="77777777" w:rsidR="00CC7023" w:rsidRDefault="00000000" w:rsidP="00CC7023">
      <w:pPr>
        <w:spacing w:before="80" w:after="280" w:line="360" w:lineRule="auto"/>
        <w:jc w:val="center"/>
        <w:rPr>
          <w:rFonts w:ascii="Arial" w:eastAsia="Arial" w:hAnsi="Arial" w:cs="Arial"/>
          <w:color w:val="000000" w:themeColor="text1"/>
          <w:sz w:val="18"/>
          <w:szCs w:val="18"/>
        </w:rPr>
      </w:pPr>
      <w:r w:rsidRPr="003704AC">
        <w:rPr>
          <w:rFonts w:ascii="Arial" w:eastAsia="Arial" w:hAnsi="Arial" w:cs="Arial"/>
          <w:color w:val="000000" w:themeColor="text1"/>
          <w:sz w:val="18"/>
          <w:szCs w:val="18"/>
        </w:rPr>
        <w:t xml:space="preserve">Figure 6: International </w:t>
      </w:r>
      <w:proofErr w:type="gramStart"/>
      <w:r w:rsidRPr="003704AC">
        <w:rPr>
          <w:rFonts w:ascii="Arial" w:eastAsia="Arial" w:hAnsi="Arial" w:cs="Arial"/>
          <w:color w:val="000000" w:themeColor="text1"/>
          <w:sz w:val="18"/>
          <w:szCs w:val="18"/>
        </w:rPr>
        <w:t>Benchmarking  Martha's</w:t>
      </w:r>
      <w:proofErr w:type="gramEnd"/>
      <w:r w:rsidRPr="003704AC">
        <w:rPr>
          <w:rFonts w:ascii="Arial" w:eastAsia="Arial" w:hAnsi="Arial" w:cs="Arial"/>
          <w:color w:val="000000" w:themeColor="text1"/>
          <w:sz w:val="18"/>
          <w:szCs w:val="18"/>
        </w:rPr>
        <w:t xml:space="preserve"> Rule vs Ryan's Rule Call Volumes</w:t>
      </w:r>
    </w:p>
    <w:p w14:paraId="4FBCA7BE" w14:textId="0811C66E" w:rsidR="00645F58" w:rsidRPr="003704AC" w:rsidRDefault="00000000" w:rsidP="00CC7023">
      <w:pPr>
        <w:spacing w:before="80" w:after="280" w:line="360" w:lineRule="auto"/>
        <w:jc w:val="center"/>
        <w:rPr>
          <w:rFonts w:ascii="Arial" w:hAnsi="Arial" w:cs="Arial"/>
          <w:color w:val="000000" w:themeColor="text1"/>
        </w:rPr>
      </w:pPr>
      <w:r w:rsidRPr="003704AC">
        <w:rPr>
          <w:rFonts w:ascii="Arial" w:eastAsia="Arial" w:hAnsi="Arial" w:cs="Arial"/>
          <w:color w:val="000000" w:themeColor="text1"/>
          <w:sz w:val="18"/>
          <w:szCs w:val="18"/>
        </w:rPr>
        <w:t xml:space="preserve"> (NHS England, 2026a; Patient Safety Commissioner, 2026)</w:t>
      </w:r>
    </w:p>
    <w:p w14:paraId="137BF65F" w14:textId="77777777" w:rsidR="00645F58" w:rsidRPr="003704AC" w:rsidRDefault="00645F58" w:rsidP="003704AC">
      <w:pPr>
        <w:spacing w:before="100" w:after="100" w:line="360" w:lineRule="auto"/>
        <w:jc w:val="both"/>
        <w:rPr>
          <w:rFonts w:ascii="Arial" w:hAnsi="Arial"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34"/>
        <w:gridCol w:w="2463"/>
        <w:gridCol w:w="2442"/>
        <w:gridCol w:w="2177"/>
      </w:tblGrid>
      <w:tr w:rsidR="003704AC" w:rsidRPr="003704AC" w14:paraId="56D823F5" w14:textId="77777777">
        <w:tblPrEx>
          <w:tblCellMar>
            <w:top w:w="0" w:type="dxa"/>
            <w:bottom w:w="0" w:type="dxa"/>
          </w:tblCellMar>
        </w:tblPrEx>
        <w:tc>
          <w:tcPr>
            <w:tcW w:w="0" w:type="auto"/>
            <w:shd w:val="clear" w:color="auto" w:fill="1B2A4A"/>
            <w:tcMar>
              <w:top w:w="120" w:type="dxa"/>
              <w:left w:w="140" w:type="dxa"/>
              <w:bottom w:w="120" w:type="dxa"/>
              <w:right w:w="140" w:type="dxa"/>
            </w:tcMar>
          </w:tcPr>
          <w:p w14:paraId="15A765E4" w14:textId="77777777" w:rsidR="00645F58" w:rsidRPr="00CC7023" w:rsidRDefault="00000000" w:rsidP="003704AC">
            <w:pPr>
              <w:spacing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Benchmark Area</w:t>
            </w:r>
          </w:p>
        </w:tc>
        <w:tc>
          <w:tcPr>
            <w:tcW w:w="0" w:type="auto"/>
            <w:shd w:val="clear" w:color="auto" w:fill="1B2A4A"/>
            <w:tcMar>
              <w:top w:w="120" w:type="dxa"/>
              <w:left w:w="140" w:type="dxa"/>
              <w:bottom w:w="120" w:type="dxa"/>
              <w:right w:w="140" w:type="dxa"/>
            </w:tcMar>
          </w:tcPr>
          <w:p w14:paraId="51FCAB54" w14:textId="77777777" w:rsidR="00645F58" w:rsidRPr="00CC7023" w:rsidRDefault="00000000" w:rsidP="003704AC">
            <w:pPr>
              <w:spacing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Current Case (2021)</w:t>
            </w:r>
          </w:p>
        </w:tc>
        <w:tc>
          <w:tcPr>
            <w:tcW w:w="0" w:type="auto"/>
            <w:shd w:val="clear" w:color="auto" w:fill="1B2A4A"/>
            <w:tcMar>
              <w:top w:w="120" w:type="dxa"/>
              <w:left w:w="140" w:type="dxa"/>
              <w:bottom w:w="120" w:type="dxa"/>
              <w:right w:w="140" w:type="dxa"/>
            </w:tcMar>
          </w:tcPr>
          <w:p w14:paraId="654584A3" w14:textId="77777777" w:rsidR="00645F58" w:rsidRPr="00CC7023" w:rsidRDefault="00000000" w:rsidP="003704AC">
            <w:pPr>
              <w:spacing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NHS Best Practice / Standard</w:t>
            </w:r>
          </w:p>
        </w:tc>
        <w:tc>
          <w:tcPr>
            <w:tcW w:w="0" w:type="auto"/>
            <w:shd w:val="clear" w:color="auto" w:fill="1B2A4A"/>
            <w:tcMar>
              <w:top w:w="120" w:type="dxa"/>
              <w:left w:w="140" w:type="dxa"/>
              <w:bottom w:w="120" w:type="dxa"/>
              <w:right w:w="140" w:type="dxa"/>
            </w:tcMar>
          </w:tcPr>
          <w:p w14:paraId="36FE5A3A" w14:textId="77777777" w:rsidR="00645F58" w:rsidRPr="00CC7023" w:rsidRDefault="00000000" w:rsidP="003704AC">
            <w:pPr>
              <w:spacing w:line="360" w:lineRule="auto"/>
              <w:jc w:val="both"/>
              <w:rPr>
                <w:rFonts w:ascii="Arial" w:hAnsi="Arial" w:cs="Arial"/>
                <w:color w:val="FFFFFF" w:themeColor="background1"/>
              </w:rPr>
            </w:pPr>
            <w:r w:rsidRPr="00CC7023">
              <w:rPr>
                <w:rFonts w:ascii="Arial" w:eastAsia="Arial" w:hAnsi="Arial" w:cs="Arial"/>
                <w:color w:val="FFFFFF" w:themeColor="background1"/>
                <w:sz w:val="19"/>
                <w:szCs w:val="19"/>
              </w:rPr>
              <w:t>Target</w:t>
            </w:r>
          </w:p>
        </w:tc>
      </w:tr>
      <w:tr w:rsidR="003704AC" w:rsidRPr="003704AC" w14:paraId="72A06CDD" w14:textId="77777777">
        <w:tblPrEx>
          <w:tblCellMar>
            <w:top w:w="0" w:type="dxa"/>
            <w:bottom w:w="0" w:type="dxa"/>
          </w:tblCellMar>
        </w:tblPrEx>
        <w:trPr>
          <w:cantSplit/>
        </w:trPr>
        <w:tc>
          <w:tcPr>
            <w:tcW w:w="0" w:type="auto"/>
            <w:shd w:val="clear" w:color="auto" w:fill="F4F6F8"/>
            <w:tcMar>
              <w:top w:w="120" w:type="dxa"/>
              <w:left w:w="140" w:type="dxa"/>
              <w:bottom w:w="120" w:type="dxa"/>
              <w:right w:w="140" w:type="dxa"/>
            </w:tcMar>
          </w:tcPr>
          <w:p w14:paraId="3CE85362"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Family awareness of escalation rights</w:t>
            </w:r>
          </w:p>
        </w:tc>
        <w:tc>
          <w:tcPr>
            <w:tcW w:w="0" w:type="auto"/>
            <w:shd w:val="clear" w:color="auto" w:fill="F4F6F8"/>
            <w:tcMar>
              <w:top w:w="120" w:type="dxa"/>
              <w:left w:w="140" w:type="dxa"/>
              <w:bottom w:w="120" w:type="dxa"/>
              <w:right w:w="140" w:type="dxa"/>
            </w:tcMar>
          </w:tcPr>
          <w:p w14:paraId="37D3A73A"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No formal right existed; family not told sepsis was suspected (Judiciary, 2022).</w:t>
            </w:r>
          </w:p>
        </w:tc>
        <w:tc>
          <w:tcPr>
            <w:tcW w:w="0" w:type="auto"/>
            <w:shd w:val="clear" w:color="auto" w:fill="F4F6F8"/>
            <w:tcMar>
              <w:top w:w="120" w:type="dxa"/>
              <w:left w:w="140" w:type="dxa"/>
              <w:bottom w:w="120" w:type="dxa"/>
              <w:right w:w="140" w:type="dxa"/>
            </w:tcMar>
          </w:tcPr>
          <w:p w14:paraId="4DC320A1"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Only 32% national awareness (NHS England, 2026b).</w:t>
            </w:r>
          </w:p>
        </w:tc>
        <w:tc>
          <w:tcPr>
            <w:tcW w:w="0" w:type="auto"/>
            <w:shd w:val="clear" w:color="auto" w:fill="F4F6F8"/>
            <w:tcMar>
              <w:top w:w="120" w:type="dxa"/>
              <w:left w:w="140" w:type="dxa"/>
              <w:bottom w:w="120" w:type="dxa"/>
              <w:right w:w="140" w:type="dxa"/>
            </w:tcMar>
          </w:tcPr>
          <w:p w14:paraId="51C7A20B"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≥60% awareness within 3 years (NHS England, 2026b).</w:t>
            </w:r>
          </w:p>
        </w:tc>
      </w:tr>
      <w:tr w:rsidR="003704AC" w:rsidRPr="003704AC" w14:paraId="78B2AA5B" w14:textId="77777777">
        <w:tblPrEx>
          <w:tblCellMar>
            <w:top w:w="0" w:type="dxa"/>
            <w:bottom w:w="0" w:type="dxa"/>
          </w:tblCellMar>
        </w:tblPrEx>
        <w:trPr>
          <w:cantSplit/>
        </w:trPr>
        <w:tc>
          <w:tcPr>
            <w:tcW w:w="0" w:type="auto"/>
            <w:shd w:val="clear" w:color="auto" w:fill="E7ECEF"/>
            <w:tcMar>
              <w:top w:w="120" w:type="dxa"/>
              <w:left w:w="140" w:type="dxa"/>
              <w:bottom w:w="120" w:type="dxa"/>
              <w:right w:w="140" w:type="dxa"/>
            </w:tcMar>
          </w:tcPr>
          <w:p w14:paraId="0F7D5792"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Communication during deterioration</w:t>
            </w:r>
          </w:p>
        </w:tc>
        <w:tc>
          <w:tcPr>
            <w:tcW w:w="0" w:type="auto"/>
            <w:shd w:val="clear" w:color="auto" w:fill="E7ECEF"/>
            <w:tcMar>
              <w:top w:w="120" w:type="dxa"/>
              <w:left w:w="140" w:type="dxa"/>
              <w:bottom w:w="120" w:type="dxa"/>
              <w:right w:w="140" w:type="dxa"/>
            </w:tcMar>
          </w:tcPr>
          <w:p w14:paraId="56952420"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Inconsistent; concerns dismissed without explanation (Healthcare Today, 2025).</w:t>
            </w:r>
          </w:p>
        </w:tc>
        <w:tc>
          <w:tcPr>
            <w:tcW w:w="0" w:type="auto"/>
            <w:shd w:val="clear" w:color="auto" w:fill="E7ECEF"/>
            <w:tcMar>
              <w:top w:w="120" w:type="dxa"/>
              <w:left w:w="140" w:type="dxa"/>
              <w:bottom w:w="120" w:type="dxa"/>
              <w:right w:w="140" w:type="dxa"/>
            </w:tcMar>
          </w:tcPr>
          <w:p w14:paraId="3297C049"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Daily structured deterioration checks mandated (NHS England, 2025).</w:t>
            </w:r>
          </w:p>
        </w:tc>
        <w:tc>
          <w:tcPr>
            <w:tcW w:w="0" w:type="auto"/>
            <w:shd w:val="clear" w:color="auto" w:fill="E7ECEF"/>
            <w:tcMar>
              <w:top w:w="120" w:type="dxa"/>
              <w:left w:w="140" w:type="dxa"/>
              <w:bottom w:w="120" w:type="dxa"/>
              <w:right w:w="140" w:type="dxa"/>
            </w:tcMar>
          </w:tcPr>
          <w:p w14:paraId="02B87023"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100% compliance across all 210 trusts (NHS England, 2025).</w:t>
            </w:r>
          </w:p>
        </w:tc>
      </w:tr>
      <w:tr w:rsidR="003704AC" w:rsidRPr="003704AC" w14:paraId="2E7B2D50" w14:textId="77777777">
        <w:tblPrEx>
          <w:tblCellMar>
            <w:top w:w="0" w:type="dxa"/>
            <w:bottom w:w="0" w:type="dxa"/>
          </w:tblCellMar>
        </w:tblPrEx>
        <w:trPr>
          <w:cantSplit/>
        </w:trPr>
        <w:tc>
          <w:tcPr>
            <w:tcW w:w="0" w:type="auto"/>
            <w:shd w:val="clear" w:color="auto" w:fill="F4F6F8"/>
            <w:tcMar>
              <w:top w:w="120" w:type="dxa"/>
              <w:left w:w="140" w:type="dxa"/>
              <w:bottom w:w="120" w:type="dxa"/>
              <w:right w:w="140" w:type="dxa"/>
            </w:tcMar>
          </w:tcPr>
          <w:p w14:paraId="793E5560"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lastRenderedPageBreak/>
              <w:t>Family involvement in escalation</w:t>
            </w:r>
          </w:p>
        </w:tc>
        <w:tc>
          <w:tcPr>
            <w:tcW w:w="0" w:type="auto"/>
            <w:shd w:val="clear" w:color="auto" w:fill="F4F6F8"/>
            <w:tcMar>
              <w:top w:w="120" w:type="dxa"/>
              <w:left w:w="140" w:type="dxa"/>
              <w:bottom w:w="120" w:type="dxa"/>
              <w:right w:w="140" w:type="dxa"/>
            </w:tcMar>
          </w:tcPr>
          <w:p w14:paraId="675E3F6E"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Parents' concerns dismissed; liver team held sole authority (Weightmans, 2024).</w:t>
            </w:r>
          </w:p>
        </w:tc>
        <w:tc>
          <w:tcPr>
            <w:tcW w:w="0" w:type="auto"/>
            <w:shd w:val="clear" w:color="auto" w:fill="F4F6F8"/>
            <w:tcMar>
              <w:top w:w="120" w:type="dxa"/>
              <w:left w:w="140" w:type="dxa"/>
              <w:bottom w:w="120" w:type="dxa"/>
              <w:right w:w="140" w:type="dxa"/>
            </w:tcMar>
          </w:tcPr>
          <w:p w14:paraId="25B44D08"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72% of calls now family/carer-initiated (NHS England, 2026a).</w:t>
            </w:r>
          </w:p>
        </w:tc>
        <w:tc>
          <w:tcPr>
            <w:tcW w:w="0" w:type="auto"/>
            <w:shd w:val="clear" w:color="auto" w:fill="F4F6F8"/>
            <w:tcMar>
              <w:top w:w="120" w:type="dxa"/>
              <w:left w:w="140" w:type="dxa"/>
              <w:bottom w:w="120" w:type="dxa"/>
              <w:right w:w="140" w:type="dxa"/>
            </w:tcMar>
          </w:tcPr>
          <w:p w14:paraId="10FBFF3B"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Sustain &gt;70%; close the equity gap (NHS England, 2026b).</w:t>
            </w:r>
          </w:p>
        </w:tc>
      </w:tr>
      <w:tr w:rsidR="003704AC" w:rsidRPr="003704AC" w14:paraId="75487A75" w14:textId="77777777">
        <w:tblPrEx>
          <w:tblCellMar>
            <w:top w:w="0" w:type="dxa"/>
            <w:bottom w:w="0" w:type="dxa"/>
          </w:tblCellMar>
        </w:tblPrEx>
        <w:trPr>
          <w:cantSplit/>
        </w:trPr>
        <w:tc>
          <w:tcPr>
            <w:tcW w:w="0" w:type="auto"/>
            <w:shd w:val="clear" w:color="auto" w:fill="E7ECEF"/>
            <w:tcMar>
              <w:top w:w="120" w:type="dxa"/>
              <w:left w:w="140" w:type="dxa"/>
              <w:bottom w:w="120" w:type="dxa"/>
              <w:right w:w="140" w:type="dxa"/>
            </w:tcMar>
          </w:tcPr>
          <w:p w14:paraId="4686165A"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Monitoring &amp; early warning systems</w:t>
            </w:r>
          </w:p>
        </w:tc>
        <w:tc>
          <w:tcPr>
            <w:tcW w:w="0" w:type="auto"/>
            <w:shd w:val="clear" w:color="auto" w:fill="E7ECEF"/>
            <w:tcMar>
              <w:top w:w="120" w:type="dxa"/>
              <w:left w:w="140" w:type="dxa"/>
              <w:bottom w:w="120" w:type="dxa"/>
              <w:right w:w="140" w:type="dxa"/>
            </w:tcMar>
          </w:tcPr>
          <w:p w14:paraId="21144EB1"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Paper-based BPEWS; no automated alert or audit (Judiciary, 2022).</w:t>
            </w:r>
          </w:p>
        </w:tc>
        <w:tc>
          <w:tcPr>
            <w:tcW w:w="0" w:type="auto"/>
            <w:shd w:val="clear" w:color="auto" w:fill="E7ECEF"/>
            <w:tcMar>
              <w:top w:w="120" w:type="dxa"/>
              <w:left w:w="140" w:type="dxa"/>
              <w:bottom w:w="120" w:type="dxa"/>
              <w:right w:w="140" w:type="dxa"/>
            </w:tcMar>
          </w:tcPr>
          <w:p w14:paraId="231BA788"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Monthly national Martha's Rule Data Collection (NHS England, 2026a).</w:t>
            </w:r>
          </w:p>
        </w:tc>
        <w:tc>
          <w:tcPr>
            <w:tcW w:w="0" w:type="auto"/>
            <w:shd w:val="clear" w:color="auto" w:fill="E7ECEF"/>
            <w:tcMar>
              <w:top w:w="120" w:type="dxa"/>
              <w:left w:w="140" w:type="dxa"/>
              <w:bottom w:w="120" w:type="dxa"/>
              <w:right w:w="140" w:type="dxa"/>
            </w:tcMar>
          </w:tcPr>
          <w:p w14:paraId="76F6CDF7"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 xml:space="preserve">Full </w:t>
            </w:r>
            <w:proofErr w:type="spellStart"/>
            <w:r w:rsidRPr="003704AC">
              <w:rPr>
                <w:rFonts w:ascii="Arial" w:eastAsia="Arial" w:hAnsi="Arial" w:cs="Arial"/>
                <w:color w:val="000000" w:themeColor="text1"/>
                <w:sz w:val="18"/>
                <w:szCs w:val="18"/>
              </w:rPr>
              <w:t>digitisation</w:t>
            </w:r>
            <w:proofErr w:type="spellEnd"/>
            <w:r w:rsidRPr="003704AC">
              <w:rPr>
                <w:rFonts w:ascii="Arial" w:eastAsia="Arial" w:hAnsi="Arial" w:cs="Arial"/>
                <w:color w:val="000000" w:themeColor="text1"/>
                <w:sz w:val="18"/>
                <w:szCs w:val="18"/>
              </w:rPr>
              <w:t xml:space="preserve"> + monthly local audit (Judiciary, 2022).</w:t>
            </w:r>
          </w:p>
        </w:tc>
      </w:tr>
      <w:tr w:rsidR="003704AC" w:rsidRPr="003704AC" w14:paraId="704EEB2F" w14:textId="77777777">
        <w:tblPrEx>
          <w:tblCellMar>
            <w:top w:w="0" w:type="dxa"/>
            <w:bottom w:w="0" w:type="dxa"/>
          </w:tblCellMar>
        </w:tblPrEx>
        <w:trPr>
          <w:cantSplit/>
        </w:trPr>
        <w:tc>
          <w:tcPr>
            <w:tcW w:w="0" w:type="auto"/>
            <w:shd w:val="clear" w:color="auto" w:fill="F4F6F8"/>
            <w:tcMar>
              <w:top w:w="120" w:type="dxa"/>
              <w:left w:w="140" w:type="dxa"/>
              <w:bottom w:w="120" w:type="dxa"/>
              <w:right w:w="140" w:type="dxa"/>
            </w:tcMar>
          </w:tcPr>
          <w:p w14:paraId="788ED2E9"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Appropriateness of use</w:t>
            </w:r>
          </w:p>
        </w:tc>
        <w:tc>
          <w:tcPr>
            <w:tcW w:w="0" w:type="auto"/>
            <w:shd w:val="clear" w:color="auto" w:fill="F4F6F8"/>
            <w:tcMar>
              <w:top w:w="120" w:type="dxa"/>
              <w:left w:w="140" w:type="dxa"/>
              <w:bottom w:w="120" w:type="dxa"/>
              <w:right w:w="140" w:type="dxa"/>
            </w:tcMar>
          </w:tcPr>
          <w:p w14:paraId="1A3E30F4"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No baseline data exists.</w:t>
            </w:r>
          </w:p>
        </w:tc>
        <w:tc>
          <w:tcPr>
            <w:tcW w:w="0" w:type="auto"/>
            <w:shd w:val="clear" w:color="auto" w:fill="F4F6F8"/>
            <w:tcMar>
              <w:top w:w="120" w:type="dxa"/>
              <w:left w:w="140" w:type="dxa"/>
              <w:bottom w:w="120" w:type="dxa"/>
              <w:right w:w="140" w:type="dxa"/>
            </w:tcMar>
          </w:tcPr>
          <w:p w14:paraId="5EE8C14D"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&lt;1% of Ryan's Rule activations meet formal deterioration criteria (Flynn et al., 2022).</w:t>
            </w:r>
          </w:p>
        </w:tc>
        <w:tc>
          <w:tcPr>
            <w:tcW w:w="0" w:type="auto"/>
            <w:shd w:val="clear" w:color="auto" w:fill="F4F6F8"/>
            <w:tcMar>
              <w:top w:w="120" w:type="dxa"/>
              <w:left w:w="140" w:type="dxa"/>
              <w:bottom w:w="120" w:type="dxa"/>
              <w:right w:w="140" w:type="dxa"/>
            </w:tcMar>
          </w:tcPr>
          <w:p w14:paraId="224C9DD0" w14:textId="77777777" w:rsidR="00645F58" w:rsidRPr="003704AC" w:rsidRDefault="00000000" w:rsidP="003704AC">
            <w:pPr>
              <w:spacing w:line="360" w:lineRule="auto"/>
              <w:jc w:val="both"/>
              <w:rPr>
                <w:rFonts w:ascii="Arial" w:hAnsi="Arial" w:cs="Arial"/>
                <w:color w:val="000000" w:themeColor="text1"/>
              </w:rPr>
            </w:pPr>
            <w:r w:rsidRPr="003704AC">
              <w:rPr>
                <w:rFonts w:ascii="Arial" w:eastAsia="Arial" w:hAnsi="Arial" w:cs="Arial"/>
                <w:color w:val="000000" w:themeColor="text1"/>
                <w:sz w:val="18"/>
                <w:szCs w:val="18"/>
              </w:rPr>
              <w:t>Maintain low over-triage; sustain ≥61% accuracy (NHS England, 2026b).</w:t>
            </w:r>
          </w:p>
        </w:tc>
      </w:tr>
    </w:tbl>
    <w:p w14:paraId="1EA153E0" w14:textId="7D724643" w:rsidR="00645F58" w:rsidRPr="003704AC" w:rsidRDefault="00000000" w:rsidP="0096558F">
      <w:pPr>
        <w:spacing w:before="80" w:after="280" w:line="360" w:lineRule="auto"/>
        <w:jc w:val="center"/>
        <w:rPr>
          <w:rFonts w:ascii="Arial" w:hAnsi="Arial" w:cs="Arial"/>
          <w:color w:val="000000" w:themeColor="text1"/>
        </w:rPr>
      </w:pPr>
      <w:r w:rsidRPr="003704AC">
        <w:rPr>
          <w:rFonts w:ascii="Arial" w:eastAsia="Arial" w:hAnsi="Arial" w:cs="Arial"/>
          <w:color w:val="000000" w:themeColor="text1"/>
          <w:sz w:val="18"/>
          <w:szCs w:val="18"/>
        </w:rPr>
        <w:t xml:space="preserve">Table 5: Benchmarking </w:t>
      </w:r>
      <w:proofErr w:type="gramStart"/>
      <w:r w:rsidRPr="003704AC">
        <w:rPr>
          <w:rFonts w:ascii="Arial" w:eastAsia="Arial" w:hAnsi="Arial" w:cs="Arial"/>
          <w:color w:val="000000" w:themeColor="text1"/>
          <w:sz w:val="18"/>
          <w:szCs w:val="18"/>
        </w:rPr>
        <w:t>Table  Current</w:t>
      </w:r>
      <w:proofErr w:type="gramEnd"/>
      <w:r w:rsidRPr="003704AC">
        <w:rPr>
          <w:rFonts w:ascii="Arial" w:eastAsia="Arial" w:hAnsi="Arial" w:cs="Arial"/>
          <w:color w:val="000000" w:themeColor="text1"/>
          <w:sz w:val="18"/>
          <w:szCs w:val="18"/>
        </w:rPr>
        <w:t xml:space="preserve"> Case vs NHS Best Practice / Standard vs Target</w:t>
      </w:r>
    </w:p>
    <w:p w14:paraId="2E1B7E22" w14:textId="6484216C" w:rsidR="00645F58" w:rsidRDefault="00000000" w:rsidP="0096558F">
      <w:pPr>
        <w:pStyle w:val="Heading1"/>
        <w:numPr>
          <w:ilvl w:val="0"/>
          <w:numId w:val="2"/>
        </w:numPr>
      </w:pPr>
      <w:bookmarkStart w:id="11" w:name="_Toc236192163"/>
      <w:r w:rsidRPr="0096558F">
        <w:t>Conclusion</w:t>
      </w:r>
      <w:r w:rsidR="0096558F">
        <w:t>:</w:t>
      </w:r>
      <w:bookmarkEnd w:id="11"/>
    </w:p>
    <w:p w14:paraId="1CA79822" w14:textId="77777777" w:rsidR="0096558F" w:rsidRPr="0096558F" w:rsidRDefault="0096558F" w:rsidP="0096558F">
      <w:pPr>
        <w:pStyle w:val="ListParagraph"/>
      </w:pPr>
    </w:p>
    <w:p w14:paraId="6FC2BC4F" w14:textId="77777777"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This report has evaluated the quality concern exposed by Martha Mills' death: a systemic failure to </w:t>
      </w:r>
      <w:proofErr w:type="spellStart"/>
      <w:r w:rsidRPr="003704AC">
        <w:rPr>
          <w:rFonts w:ascii="Arial" w:eastAsia="Arial" w:hAnsi="Arial" w:cs="Arial"/>
          <w:color w:val="000000" w:themeColor="text1"/>
        </w:rPr>
        <w:t>recognise</w:t>
      </w:r>
      <w:proofErr w:type="spellEnd"/>
      <w:r w:rsidRPr="003704AC">
        <w:rPr>
          <w:rFonts w:ascii="Arial" w:eastAsia="Arial" w:hAnsi="Arial" w:cs="Arial"/>
          <w:color w:val="000000" w:themeColor="text1"/>
        </w:rPr>
        <w:t xml:space="preserve"> and escalate deterioration, compounded by dismissal of her family's concerns. The Fishbone and 5 Whys analyses showed this was not one clinical error but an interacting web of hierarchical culture, absent process and policy safeguards, paper-based technology, and reduced weekend staffing. The Donabedian model showed how these deficits were directly addressed by Martha's Rule's structure and process design, while benchmarking against Ryan's Rule and Call for Concern confirmed formal escalation routes are used appropriately rather than overwhelmed by demand.</w:t>
      </w:r>
    </w:p>
    <w:p w14:paraId="1CBF1A5D" w14:textId="6BF02CCE"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These findings demonstrate clear integration of theory and practice: quality models informed an implementable, national-scale solution, and Martha's Rule's tested rollout itself exemplifies PDSA operating at system level. The recommendations, combining Lewin's and Kotter's models with Lean-informed pathway protection, offer a realistic path to sustaining this progress, particularly given identify anchoring change in culture as the step most often left incomplete</w:t>
      </w:r>
      <w:r w:rsidR="0096558F">
        <w:rPr>
          <w:rFonts w:ascii="Arial" w:eastAsia="Arial" w:hAnsi="Arial" w:cs="Arial"/>
          <w:color w:val="000000" w:themeColor="text1"/>
        </w:rPr>
        <w:t xml:space="preserve"> </w:t>
      </w:r>
      <w:r w:rsidR="0096558F">
        <w:rPr>
          <w:rFonts w:ascii="Arial" w:eastAsia="Arial" w:hAnsi="Arial" w:cs="Arial"/>
          <w:color w:val="000000" w:themeColor="text1"/>
        </w:rPr>
        <w:t>(</w:t>
      </w:r>
      <w:r w:rsidR="0096558F" w:rsidRPr="003704AC">
        <w:rPr>
          <w:rFonts w:ascii="Arial" w:eastAsia="Arial" w:hAnsi="Arial" w:cs="Arial"/>
          <w:color w:val="000000" w:themeColor="text1"/>
        </w:rPr>
        <w:t xml:space="preserve">Harrison </w:t>
      </w:r>
      <w:r w:rsidR="0096558F" w:rsidRPr="0096558F">
        <w:rPr>
          <w:rFonts w:ascii="Arial" w:eastAsia="Arial" w:hAnsi="Arial" w:cs="Arial"/>
          <w:i/>
          <w:iCs/>
          <w:color w:val="000000" w:themeColor="text1"/>
        </w:rPr>
        <w:t>et al.</w:t>
      </w:r>
      <w:r w:rsidR="0096558F" w:rsidRPr="0096558F">
        <w:rPr>
          <w:rFonts w:ascii="Arial" w:eastAsia="Arial" w:hAnsi="Arial" w:cs="Arial"/>
          <w:color w:val="000000" w:themeColor="text1"/>
        </w:rPr>
        <w:t xml:space="preserve"> </w:t>
      </w:r>
      <w:r w:rsidR="0096558F" w:rsidRPr="003704AC">
        <w:rPr>
          <w:rFonts w:ascii="Arial" w:eastAsia="Arial" w:hAnsi="Arial" w:cs="Arial"/>
          <w:color w:val="000000" w:themeColor="text1"/>
        </w:rPr>
        <w:t>2021)</w:t>
      </w:r>
      <w:r w:rsidRPr="003704AC">
        <w:rPr>
          <w:rFonts w:ascii="Arial" w:eastAsia="Arial" w:hAnsi="Arial" w:cs="Arial"/>
          <w:color w:val="000000" w:themeColor="text1"/>
        </w:rPr>
        <w:t>. The implications are profound: 446 calls have already resulted in higher-level care transfer, while 1,080 staff-initiated calls independently confirmed genuine deterioration evidence that engaged, less hierarchical ward culture is beginning to take hold</w:t>
      </w:r>
      <w:r w:rsidR="0096558F">
        <w:rPr>
          <w:rFonts w:ascii="Arial" w:eastAsia="Arial" w:hAnsi="Arial" w:cs="Arial"/>
          <w:color w:val="000000" w:themeColor="text1"/>
        </w:rPr>
        <w:t xml:space="preserve"> </w:t>
      </w:r>
      <w:r w:rsidR="0096558F" w:rsidRPr="003704AC">
        <w:rPr>
          <w:rFonts w:ascii="Arial" w:eastAsia="Arial" w:hAnsi="Arial" w:cs="Arial"/>
          <w:color w:val="000000" w:themeColor="text1"/>
        </w:rPr>
        <w:t>(NHS England, 2026a; 2026b)</w:t>
      </w:r>
      <w:r w:rsidRPr="003704AC">
        <w:rPr>
          <w:rFonts w:ascii="Arial" w:eastAsia="Arial" w:hAnsi="Arial" w:cs="Arial"/>
          <w:color w:val="000000" w:themeColor="text1"/>
        </w:rPr>
        <w:t>.</w:t>
      </w:r>
    </w:p>
    <w:p w14:paraId="6A631868" w14:textId="77777777" w:rsidR="00645F58" w:rsidRPr="003704AC" w:rsidRDefault="00000000" w:rsidP="003704AC">
      <w:pPr>
        <w:spacing w:after="200" w:line="360" w:lineRule="auto"/>
        <w:jc w:val="both"/>
        <w:rPr>
          <w:rFonts w:ascii="Arial" w:hAnsi="Arial" w:cs="Arial"/>
          <w:color w:val="000000" w:themeColor="text1"/>
        </w:rPr>
      </w:pPr>
      <w:r w:rsidRPr="003704AC">
        <w:rPr>
          <w:rFonts w:ascii="Arial" w:eastAsia="Arial" w:hAnsi="Arial" w:cs="Arial"/>
          <w:color w:val="000000" w:themeColor="text1"/>
        </w:rPr>
        <w:t xml:space="preserve">For NHS leaders, Martha's case offers an enduring lesson: listening to patients and families is a clinical safety mechanism, not a courtesy, whose absence cost a thirteen-year-old girl her </w:t>
      </w:r>
      <w:r w:rsidRPr="003704AC">
        <w:rPr>
          <w:rFonts w:ascii="Arial" w:eastAsia="Arial" w:hAnsi="Arial" w:cs="Arial"/>
          <w:color w:val="000000" w:themeColor="text1"/>
        </w:rPr>
        <w:lastRenderedPageBreak/>
        <w:t>life. A newly funded three-year NIHR SafetyNet evaluation across 16 trusts will further strengthen this evidence base (NIHR, 2026). Sustained improvement depends on Martha's Rule being consistently resourced, equitably promoted, and rigorously evaluated, ensuring the lessons of her death become permanent, system-wide practice.</w:t>
      </w:r>
    </w:p>
    <w:p w14:paraId="76AC3794" w14:textId="77777777" w:rsidR="00645F58" w:rsidRPr="003704AC" w:rsidRDefault="00000000" w:rsidP="003704AC">
      <w:pPr>
        <w:spacing w:line="360" w:lineRule="auto"/>
        <w:jc w:val="both"/>
        <w:rPr>
          <w:rFonts w:ascii="Arial" w:hAnsi="Arial" w:cs="Arial"/>
          <w:color w:val="000000" w:themeColor="text1"/>
        </w:rPr>
      </w:pPr>
      <w:r w:rsidRPr="003704AC">
        <w:rPr>
          <w:rFonts w:ascii="Arial" w:hAnsi="Arial" w:cs="Arial"/>
          <w:color w:val="000000" w:themeColor="text1"/>
        </w:rPr>
        <w:br w:type="page"/>
      </w:r>
    </w:p>
    <w:p w14:paraId="47DD14E3" w14:textId="2B2549AB" w:rsidR="00645F58" w:rsidRDefault="00000000" w:rsidP="0096558F">
      <w:pPr>
        <w:pStyle w:val="Heading1"/>
        <w:numPr>
          <w:ilvl w:val="0"/>
          <w:numId w:val="2"/>
        </w:numPr>
        <w:rPr>
          <w:rFonts w:eastAsia="Arial"/>
        </w:rPr>
      </w:pPr>
      <w:bookmarkStart w:id="12" w:name="_Toc236192164"/>
      <w:r w:rsidRPr="003704AC">
        <w:rPr>
          <w:rFonts w:eastAsia="Arial"/>
        </w:rPr>
        <w:lastRenderedPageBreak/>
        <w:t>Reference List</w:t>
      </w:r>
      <w:bookmarkEnd w:id="12"/>
    </w:p>
    <w:p w14:paraId="77B5373E" w14:textId="77777777" w:rsidR="001F69F6" w:rsidRPr="001F69F6" w:rsidRDefault="001F69F6" w:rsidP="001F69F6"/>
    <w:p w14:paraId="21BA0BDB" w14:textId="6279E917" w:rsidR="001F69F6" w:rsidRPr="001F69F6" w:rsidRDefault="001F69F6" w:rsidP="001F69F6">
      <w:pPr>
        <w:pStyle w:val="ListParagraph"/>
        <w:numPr>
          <w:ilvl w:val="0"/>
          <w:numId w:val="4"/>
        </w:numPr>
        <w:spacing w:line="360" w:lineRule="auto"/>
        <w:jc w:val="both"/>
        <w:rPr>
          <w:rFonts w:ascii="Arial" w:hAnsi="Arial" w:cs="Arial"/>
          <w:sz w:val="24"/>
          <w:szCs w:val="24"/>
        </w:rPr>
      </w:pPr>
      <w:proofErr w:type="spellStart"/>
      <w:r w:rsidRPr="001F69F6">
        <w:rPr>
          <w:rFonts w:ascii="Arial" w:hAnsi="Arial" w:cs="Arial"/>
          <w:sz w:val="24"/>
          <w:szCs w:val="24"/>
        </w:rPr>
        <w:t>Ayanian</w:t>
      </w:r>
      <w:proofErr w:type="spellEnd"/>
      <w:r w:rsidRPr="001F69F6">
        <w:rPr>
          <w:rFonts w:ascii="Arial" w:hAnsi="Arial" w:cs="Arial"/>
          <w:sz w:val="24"/>
          <w:szCs w:val="24"/>
        </w:rPr>
        <w:t xml:space="preserve">, J.Z. and Markel, H. (2016) </w:t>
      </w:r>
      <w:r w:rsidRPr="001F69F6">
        <w:rPr>
          <w:rFonts w:ascii="Arial" w:hAnsi="Arial" w:cs="Arial"/>
          <w:i/>
          <w:iCs/>
          <w:sz w:val="24"/>
          <w:szCs w:val="24"/>
        </w:rPr>
        <w:t>‘Donabedian’s lasting framework for health care quality’,</w:t>
      </w:r>
      <w:r w:rsidRPr="001F69F6">
        <w:rPr>
          <w:rFonts w:ascii="Arial" w:hAnsi="Arial" w:cs="Arial"/>
          <w:sz w:val="24"/>
          <w:szCs w:val="24"/>
        </w:rPr>
        <w:t xml:space="preserve"> </w:t>
      </w:r>
      <w:r w:rsidRPr="001F69F6">
        <w:rPr>
          <w:rStyle w:val="Emphasis"/>
          <w:rFonts w:ascii="Arial" w:hAnsi="Arial" w:cs="Arial"/>
          <w:sz w:val="24"/>
          <w:szCs w:val="24"/>
        </w:rPr>
        <w:t>New England Journal of Medicine</w:t>
      </w:r>
      <w:r w:rsidRPr="001F69F6">
        <w:rPr>
          <w:rFonts w:ascii="Arial" w:hAnsi="Arial" w:cs="Arial"/>
          <w:sz w:val="24"/>
          <w:szCs w:val="24"/>
        </w:rPr>
        <w:t xml:space="preserve">, 375(3), pp. 205–207. Available at: </w:t>
      </w:r>
      <w:hyperlink r:id="rId15" w:tgtFrame="_new" w:history="1">
        <w:r w:rsidRPr="001F69F6">
          <w:rPr>
            <w:rStyle w:val="Hyperlink"/>
            <w:rFonts w:ascii="Arial" w:hAnsi="Arial" w:cs="Arial"/>
            <w:sz w:val="24"/>
            <w:szCs w:val="24"/>
          </w:rPr>
          <w:t>https://www.nejm.org/doi/full/10.1</w:t>
        </w:r>
        <w:r w:rsidRPr="001F69F6">
          <w:rPr>
            <w:rStyle w:val="Hyperlink"/>
            <w:rFonts w:ascii="Arial" w:hAnsi="Arial" w:cs="Arial"/>
            <w:sz w:val="24"/>
            <w:szCs w:val="24"/>
          </w:rPr>
          <w:t>0</w:t>
        </w:r>
        <w:r w:rsidRPr="001F69F6">
          <w:rPr>
            <w:rStyle w:val="Hyperlink"/>
            <w:rFonts w:ascii="Arial" w:hAnsi="Arial" w:cs="Arial"/>
            <w:sz w:val="24"/>
            <w:szCs w:val="24"/>
          </w:rPr>
          <w:t>56/NEJMp1605101</w:t>
        </w:r>
      </w:hyperlink>
      <w:r w:rsidRPr="001F69F6">
        <w:rPr>
          <w:rFonts w:ascii="Arial" w:hAnsi="Arial" w:cs="Arial"/>
          <w:sz w:val="24"/>
          <w:szCs w:val="24"/>
        </w:rPr>
        <w:t xml:space="preserve">. </w:t>
      </w:r>
    </w:p>
    <w:p w14:paraId="7965A41A" w14:textId="7567B8AC"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Cooksley, T., Astbury, S. and Holland, M. (2023</w:t>
      </w:r>
      <w:r w:rsidRPr="001F69F6">
        <w:rPr>
          <w:rFonts w:ascii="Arial" w:hAnsi="Arial" w:cs="Arial"/>
          <w:i/>
          <w:iCs/>
          <w:sz w:val="24"/>
          <w:szCs w:val="24"/>
        </w:rPr>
        <w:t>) ‘Martha’s Rule and patients’ rights to a second opinion’</w:t>
      </w:r>
      <w:r w:rsidRPr="001F69F6">
        <w:rPr>
          <w:rFonts w:ascii="Arial" w:hAnsi="Arial" w:cs="Arial"/>
          <w:sz w:val="24"/>
          <w:szCs w:val="24"/>
        </w:rPr>
        <w:t xml:space="preserve">, </w:t>
      </w:r>
      <w:r w:rsidRPr="001F69F6">
        <w:rPr>
          <w:rStyle w:val="Emphasis"/>
          <w:rFonts w:ascii="Arial" w:hAnsi="Arial" w:cs="Arial"/>
          <w:sz w:val="24"/>
          <w:szCs w:val="24"/>
        </w:rPr>
        <w:t>BMJ</w:t>
      </w:r>
      <w:r w:rsidRPr="001F69F6">
        <w:rPr>
          <w:rFonts w:ascii="Arial" w:hAnsi="Arial" w:cs="Arial"/>
          <w:sz w:val="24"/>
          <w:szCs w:val="24"/>
        </w:rPr>
        <w:t xml:space="preserve">, 383, p. 2221. Available at: </w:t>
      </w:r>
      <w:hyperlink r:id="rId16" w:tgtFrame="_new" w:history="1">
        <w:r w:rsidRPr="001F69F6">
          <w:rPr>
            <w:rStyle w:val="Hyperlink"/>
            <w:rFonts w:ascii="Arial" w:hAnsi="Arial" w:cs="Arial"/>
            <w:sz w:val="24"/>
            <w:szCs w:val="24"/>
          </w:rPr>
          <w:t>https://www.bmj.com/conte</w:t>
        </w:r>
        <w:r w:rsidRPr="001F69F6">
          <w:rPr>
            <w:rStyle w:val="Hyperlink"/>
            <w:rFonts w:ascii="Arial" w:hAnsi="Arial" w:cs="Arial"/>
            <w:sz w:val="24"/>
            <w:szCs w:val="24"/>
          </w:rPr>
          <w:t>n</w:t>
        </w:r>
        <w:r w:rsidRPr="001F69F6">
          <w:rPr>
            <w:rStyle w:val="Hyperlink"/>
            <w:rFonts w:ascii="Arial" w:hAnsi="Arial" w:cs="Arial"/>
            <w:sz w:val="24"/>
            <w:szCs w:val="24"/>
          </w:rPr>
          <w:t>t/383/bmj.p2221</w:t>
        </w:r>
      </w:hyperlink>
      <w:r w:rsidRPr="001F69F6">
        <w:rPr>
          <w:rFonts w:ascii="Arial" w:hAnsi="Arial" w:cs="Arial"/>
          <w:sz w:val="24"/>
          <w:szCs w:val="24"/>
        </w:rPr>
        <w:t xml:space="preserve">. </w:t>
      </w:r>
    </w:p>
    <w:p w14:paraId="4B556797" w14:textId="3CBBAC69" w:rsidR="001F69F6" w:rsidRPr="001F69F6" w:rsidRDefault="00BD5724" w:rsidP="001F69F6">
      <w:pPr>
        <w:pStyle w:val="ListParagraph"/>
        <w:numPr>
          <w:ilvl w:val="0"/>
          <w:numId w:val="4"/>
        </w:numPr>
        <w:spacing w:line="360" w:lineRule="auto"/>
        <w:jc w:val="both"/>
        <w:rPr>
          <w:rFonts w:ascii="Arial" w:hAnsi="Arial" w:cs="Arial"/>
          <w:sz w:val="24"/>
          <w:szCs w:val="24"/>
        </w:rPr>
      </w:pPr>
      <w:proofErr w:type="spellStart"/>
      <w:r>
        <w:rPr>
          <w:rFonts w:ascii="Arial" w:hAnsi="Arial" w:cs="Arial"/>
          <w:sz w:val="24"/>
          <w:szCs w:val="24"/>
        </w:rPr>
        <w:t>geor</w:t>
      </w:r>
      <w:r w:rsidR="008B220D">
        <w:rPr>
          <w:rFonts w:ascii="Arial" w:hAnsi="Arial" w:cs="Arial"/>
          <w:sz w:val="24"/>
          <w:szCs w:val="24"/>
        </w:rPr>
        <w:t>ge</w:t>
      </w:r>
      <w:proofErr w:type="spellEnd"/>
      <w:r w:rsidR="001F69F6" w:rsidRPr="001F69F6">
        <w:rPr>
          <w:rFonts w:ascii="Arial" w:hAnsi="Arial" w:cs="Arial"/>
          <w:sz w:val="24"/>
          <w:szCs w:val="24"/>
        </w:rPr>
        <w:t xml:space="preserve">, W.E. (1986) </w:t>
      </w:r>
      <w:r w:rsidR="001F69F6" w:rsidRPr="001F69F6">
        <w:rPr>
          <w:rStyle w:val="Emphasis"/>
          <w:rFonts w:ascii="Arial" w:hAnsi="Arial" w:cs="Arial"/>
          <w:sz w:val="24"/>
          <w:szCs w:val="24"/>
        </w:rPr>
        <w:t>Out of the Crisis</w:t>
      </w:r>
      <w:r w:rsidR="001F69F6" w:rsidRPr="001F69F6">
        <w:rPr>
          <w:rFonts w:ascii="Arial" w:hAnsi="Arial" w:cs="Arial"/>
          <w:sz w:val="24"/>
          <w:szCs w:val="24"/>
        </w:rPr>
        <w:t xml:space="preserve">. Cambridge, MA: MIT Press. </w:t>
      </w:r>
    </w:p>
    <w:p w14:paraId="2673E64C" w14:textId="5EF806A8"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Donabedian, A. (1966) </w:t>
      </w:r>
      <w:r w:rsidRPr="001F69F6">
        <w:rPr>
          <w:rFonts w:ascii="Arial" w:hAnsi="Arial" w:cs="Arial"/>
          <w:i/>
          <w:iCs/>
          <w:sz w:val="24"/>
          <w:szCs w:val="24"/>
        </w:rPr>
        <w:t>‘Evaluating the quality of medical care’</w:t>
      </w:r>
      <w:r w:rsidRPr="001F69F6">
        <w:rPr>
          <w:rFonts w:ascii="Arial" w:hAnsi="Arial" w:cs="Arial"/>
          <w:sz w:val="24"/>
          <w:szCs w:val="24"/>
        </w:rPr>
        <w:t xml:space="preserve">, </w:t>
      </w:r>
      <w:r w:rsidRPr="001F69F6">
        <w:rPr>
          <w:rStyle w:val="Emphasis"/>
          <w:rFonts w:ascii="Arial" w:hAnsi="Arial" w:cs="Arial"/>
          <w:sz w:val="24"/>
          <w:szCs w:val="24"/>
        </w:rPr>
        <w:t>Milbank Memorial Fund Quarterly</w:t>
      </w:r>
      <w:r w:rsidRPr="001F69F6">
        <w:rPr>
          <w:rFonts w:ascii="Arial" w:hAnsi="Arial" w:cs="Arial"/>
          <w:sz w:val="24"/>
          <w:szCs w:val="24"/>
        </w:rPr>
        <w:t xml:space="preserve">, 44(3), pp. 166–206. Available at: </w:t>
      </w:r>
      <w:hyperlink r:id="rId17" w:tgtFrame="_new" w:history="1">
        <w:r w:rsidRPr="001F69F6">
          <w:rPr>
            <w:rStyle w:val="Hyperlink"/>
            <w:rFonts w:ascii="Arial" w:hAnsi="Arial" w:cs="Arial"/>
            <w:sz w:val="24"/>
            <w:szCs w:val="24"/>
          </w:rPr>
          <w:t>https://www.jstor.org/stable/3348</w:t>
        </w:r>
        <w:r w:rsidRPr="001F69F6">
          <w:rPr>
            <w:rStyle w:val="Hyperlink"/>
            <w:rFonts w:ascii="Arial" w:hAnsi="Arial" w:cs="Arial"/>
            <w:sz w:val="24"/>
            <w:szCs w:val="24"/>
          </w:rPr>
          <w:t>9</w:t>
        </w:r>
        <w:r w:rsidRPr="001F69F6">
          <w:rPr>
            <w:rStyle w:val="Hyperlink"/>
            <w:rFonts w:ascii="Arial" w:hAnsi="Arial" w:cs="Arial"/>
            <w:sz w:val="24"/>
            <w:szCs w:val="24"/>
          </w:rPr>
          <w:t>69</w:t>
        </w:r>
      </w:hyperlink>
      <w:r w:rsidRPr="001F69F6">
        <w:rPr>
          <w:rFonts w:ascii="Arial" w:hAnsi="Arial" w:cs="Arial"/>
          <w:sz w:val="24"/>
          <w:szCs w:val="24"/>
        </w:rPr>
        <w:t xml:space="preserve">. </w:t>
      </w:r>
    </w:p>
    <w:p w14:paraId="4756AE4D" w14:textId="57E1A120"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Dwyer, T.A., </w:t>
      </w:r>
      <w:proofErr w:type="spellStart"/>
      <w:r w:rsidRPr="001F69F6">
        <w:rPr>
          <w:rFonts w:ascii="Arial" w:hAnsi="Arial" w:cs="Arial"/>
          <w:sz w:val="24"/>
          <w:szCs w:val="24"/>
        </w:rPr>
        <w:t>Flenady</w:t>
      </w:r>
      <w:proofErr w:type="spellEnd"/>
      <w:r w:rsidRPr="001F69F6">
        <w:rPr>
          <w:rFonts w:ascii="Arial" w:hAnsi="Arial" w:cs="Arial"/>
          <w:sz w:val="24"/>
          <w:szCs w:val="24"/>
        </w:rPr>
        <w:t xml:space="preserve">, T., Kahl, J. and Quinney, L. (2020) </w:t>
      </w:r>
      <w:r w:rsidRPr="001F69F6">
        <w:rPr>
          <w:rFonts w:ascii="Arial" w:hAnsi="Arial" w:cs="Arial"/>
          <w:i/>
          <w:iCs/>
          <w:sz w:val="24"/>
          <w:szCs w:val="24"/>
        </w:rPr>
        <w:t>‘Evaluation of a patient and family activated escalation system: Ryan’s Rule’,</w:t>
      </w:r>
      <w:r w:rsidRPr="001F69F6">
        <w:rPr>
          <w:rFonts w:ascii="Arial" w:hAnsi="Arial" w:cs="Arial"/>
          <w:sz w:val="24"/>
          <w:szCs w:val="24"/>
        </w:rPr>
        <w:t xml:space="preserve"> </w:t>
      </w:r>
      <w:r w:rsidRPr="001F69F6">
        <w:rPr>
          <w:rStyle w:val="Emphasis"/>
          <w:rFonts w:ascii="Arial" w:hAnsi="Arial" w:cs="Arial"/>
          <w:sz w:val="24"/>
          <w:szCs w:val="24"/>
        </w:rPr>
        <w:t>Australian Critical Care</w:t>
      </w:r>
      <w:r w:rsidRPr="001F69F6">
        <w:rPr>
          <w:rFonts w:ascii="Arial" w:hAnsi="Arial" w:cs="Arial"/>
          <w:sz w:val="24"/>
          <w:szCs w:val="24"/>
        </w:rPr>
        <w:t xml:space="preserve">, 33(1), pp. 39–46. Available at: </w:t>
      </w:r>
      <w:hyperlink r:id="rId18" w:tgtFrame="_new" w:history="1">
        <w:r w:rsidRPr="001F69F6">
          <w:rPr>
            <w:rStyle w:val="Hyperlink"/>
            <w:rFonts w:ascii="Arial" w:hAnsi="Arial" w:cs="Arial"/>
            <w:sz w:val="24"/>
            <w:szCs w:val="24"/>
          </w:rPr>
          <w:t>https://doi.org/10.1016/j.aucc.2019.01.</w:t>
        </w:r>
        <w:r w:rsidRPr="001F69F6">
          <w:rPr>
            <w:rStyle w:val="Hyperlink"/>
            <w:rFonts w:ascii="Arial" w:hAnsi="Arial" w:cs="Arial"/>
            <w:sz w:val="24"/>
            <w:szCs w:val="24"/>
          </w:rPr>
          <w:t>0</w:t>
        </w:r>
        <w:r w:rsidRPr="001F69F6">
          <w:rPr>
            <w:rStyle w:val="Hyperlink"/>
            <w:rFonts w:ascii="Arial" w:hAnsi="Arial" w:cs="Arial"/>
            <w:sz w:val="24"/>
            <w:szCs w:val="24"/>
          </w:rPr>
          <w:t>02</w:t>
        </w:r>
      </w:hyperlink>
      <w:r w:rsidRPr="001F69F6">
        <w:rPr>
          <w:rFonts w:ascii="Arial" w:hAnsi="Arial" w:cs="Arial"/>
          <w:sz w:val="24"/>
          <w:szCs w:val="24"/>
        </w:rPr>
        <w:t xml:space="preserve">. </w:t>
      </w:r>
    </w:p>
    <w:p w14:paraId="63699EC1" w14:textId="02943497"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Flynn, D.E., Flynn, H., Gifford, S. and Smith, K. (2022) </w:t>
      </w:r>
      <w:r w:rsidRPr="001F69F6">
        <w:rPr>
          <w:rFonts w:ascii="Arial" w:hAnsi="Arial" w:cs="Arial"/>
          <w:i/>
          <w:iCs/>
          <w:sz w:val="24"/>
          <w:szCs w:val="24"/>
        </w:rPr>
        <w:t>‘Can you hear me? Analysis of a Queensland patient-initiated escalation process and the importance of communication in surgical care’</w:t>
      </w:r>
      <w:r w:rsidRPr="001F69F6">
        <w:rPr>
          <w:rFonts w:ascii="Arial" w:hAnsi="Arial" w:cs="Arial"/>
          <w:sz w:val="24"/>
          <w:szCs w:val="24"/>
        </w:rPr>
        <w:t xml:space="preserve">, </w:t>
      </w:r>
      <w:r w:rsidRPr="001F69F6">
        <w:rPr>
          <w:rStyle w:val="Emphasis"/>
          <w:rFonts w:ascii="Arial" w:hAnsi="Arial" w:cs="Arial"/>
          <w:sz w:val="24"/>
          <w:szCs w:val="24"/>
        </w:rPr>
        <w:t>ANZ Journal of Surgery</w:t>
      </w:r>
      <w:r w:rsidRPr="001F69F6">
        <w:rPr>
          <w:rFonts w:ascii="Arial" w:hAnsi="Arial" w:cs="Arial"/>
          <w:sz w:val="24"/>
          <w:szCs w:val="24"/>
        </w:rPr>
        <w:t xml:space="preserve">, 92(6), pp. 1371–1376. Available at: </w:t>
      </w:r>
      <w:hyperlink r:id="rId19" w:tgtFrame="_new" w:history="1">
        <w:r w:rsidRPr="001F69F6">
          <w:rPr>
            <w:rStyle w:val="Hyperlink"/>
            <w:rFonts w:ascii="Arial" w:hAnsi="Arial" w:cs="Arial"/>
            <w:sz w:val="24"/>
            <w:szCs w:val="24"/>
          </w:rPr>
          <w:t>https://onlinelibrary.wiley.com/doi/10.1111/a</w:t>
        </w:r>
        <w:r w:rsidRPr="001F69F6">
          <w:rPr>
            <w:rStyle w:val="Hyperlink"/>
            <w:rFonts w:ascii="Arial" w:hAnsi="Arial" w:cs="Arial"/>
            <w:sz w:val="24"/>
            <w:szCs w:val="24"/>
          </w:rPr>
          <w:t>n</w:t>
        </w:r>
        <w:r w:rsidRPr="001F69F6">
          <w:rPr>
            <w:rStyle w:val="Hyperlink"/>
            <w:rFonts w:ascii="Arial" w:hAnsi="Arial" w:cs="Arial"/>
            <w:sz w:val="24"/>
            <w:szCs w:val="24"/>
          </w:rPr>
          <w:t>s.17584</w:t>
        </w:r>
      </w:hyperlink>
      <w:r w:rsidRPr="001F69F6">
        <w:rPr>
          <w:rFonts w:ascii="Arial" w:hAnsi="Arial" w:cs="Arial"/>
          <w:sz w:val="24"/>
          <w:szCs w:val="24"/>
        </w:rPr>
        <w:t xml:space="preserve">. </w:t>
      </w:r>
    </w:p>
    <w:p w14:paraId="65FC49B2" w14:textId="652611AE"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George, M.L. (2003) </w:t>
      </w:r>
      <w:r w:rsidRPr="001F69F6">
        <w:rPr>
          <w:rStyle w:val="Emphasis"/>
          <w:rFonts w:ascii="Arial" w:hAnsi="Arial" w:cs="Arial"/>
          <w:sz w:val="24"/>
          <w:szCs w:val="24"/>
        </w:rPr>
        <w:t>Lean Six Sigma for Service: How to Use Lean Speed and Six Sigma Quality to Improve Services and Transactions</w:t>
      </w:r>
      <w:r w:rsidRPr="001F69F6">
        <w:rPr>
          <w:rFonts w:ascii="Arial" w:hAnsi="Arial" w:cs="Arial"/>
          <w:sz w:val="24"/>
          <w:szCs w:val="24"/>
        </w:rPr>
        <w:t xml:space="preserve">. New York: McGraw-Hill. </w:t>
      </w:r>
    </w:p>
    <w:p w14:paraId="1AA42DF9" w14:textId="1BE6E837"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Harrison, J.P. (2010) </w:t>
      </w:r>
      <w:r w:rsidRPr="001F69F6">
        <w:rPr>
          <w:rStyle w:val="Emphasis"/>
          <w:rFonts w:ascii="Arial" w:hAnsi="Arial" w:cs="Arial"/>
          <w:sz w:val="24"/>
          <w:szCs w:val="24"/>
        </w:rPr>
        <w:t>Essentials of Strategic Planning in Healthcare</w:t>
      </w:r>
      <w:r w:rsidRPr="001F69F6">
        <w:rPr>
          <w:rFonts w:ascii="Arial" w:hAnsi="Arial" w:cs="Arial"/>
          <w:sz w:val="24"/>
          <w:szCs w:val="24"/>
        </w:rPr>
        <w:t xml:space="preserve">. Chicago: Health Administration Press. </w:t>
      </w:r>
    </w:p>
    <w:p w14:paraId="27846A0C" w14:textId="400F89A8"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Harrison, R., Fischer, S., </w:t>
      </w:r>
      <w:proofErr w:type="spellStart"/>
      <w:r w:rsidRPr="001F69F6">
        <w:rPr>
          <w:rFonts w:ascii="Arial" w:hAnsi="Arial" w:cs="Arial"/>
          <w:sz w:val="24"/>
          <w:szCs w:val="24"/>
        </w:rPr>
        <w:t>Walpola</w:t>
      </w:r>
      <w:proofErr w:type="spellEnd"/>
      <w:r w:rsidRPr="001F69F6">
        <w:rPr>
          <w:rFonts w:ascii="Arial" w:hAnsi="Arial" w:cs="Arial"/>
          <w:sz w:val="24"/>
          <w:szCs w:val="24"/>
        </w:rPr>
        <w:t xml:space="preserve">, R.L., Chauhan, A., Babalola, T., Mears, S. and Le-Dao, H. (2021) </w:t>
      </w:r>
      <w:r w:rsidRPr="001F69F6">
        <w:rPr>
          <w:rFonts w:ascii="Arial" w:hAnsi="Arial" w:cs="Arial"/>
          <w:i/>
          <w:iCs/>
          <w:sz w:val="24"/>
          <w:szCs w:val="24"/>
        </w:rPr>
        <w:t>‘Where do models for change management, improvement and implementation meet? A systematic review of the applications of change management models in healthcare’</w:t>
      </w:r>
      <w:r w:rsidRPr="001F69F6">
        <w:rPr>
          <w:rFonts w:ascii="Arial" w:hAnsi="Arial" w:cs="Arial"/>
          <w:sz w:val="24"/>
          <w:szCs w:val="24"/>
        </w:rPr>
        <w:t xml:space="preserve">, </w:t>
      </w:r>
      <w:r w:rsidRPr="001F69F6">
        <w:rPr>
          <w:rStyle w:val="Emphasis"/>
          <w:rFonts w:ascii="Arial" w:hAnsi="Arial" w:cs="Arial"/>
          <w:sz w:val="24"/>
          <w:szCs w:val="24"/>
        </w:rPr>
        <w:t>Journal of Healthcare Leadership</w:t>
      </w:r>
      <w:r w:rsidRPr="001F69F6">
        <w:rPr>
          <w:rFonts w:ascii="Arial" w:hAnsi="Arial" w:cs="Arial"/>
          <w:sz w:val="24"/>
          <w:szCs w:val="24"/>
        </w:rPr>
        <w:t xml:space="preserve">, 13, pp. 85–108. Available at: </w:t>
      </w:r>
      <w:hyperlink r:id="rId20" w:tgtFrame="_new" w:history="1">
        <w:r w:rsidRPr="001F69F6">
          <w:rPr>
            <w:rStyle w:val="Hyperlink"/>
            <w:rFonts w:ascii="Arial" w:hAnsi="Arial" w:cs="Arial"/>
            <w:sz w:val="24"/>
            <w:szCs w:val="24"/>
          </w:rPr>
          <w:t>https://www.dovepress.com/where-do-models-for-change-management-improvement-and-implementation-m-peer-reviewed-ful</w:t>
        </w:r>
        <w:r w:rsidRPr="001F69F6">
          <w:rPr>
            <w:rStyle w:val="Hyperlink"/>
            <w:rFonts w:ascii="Arial" w:hAnsi="Arial" w:cs="Arial"/>
            <w:sz w:val="24"/>
            <w:szCs w:val="24"/>
          </w:rPr>
          <w:t>l</w:t>
        </w:r>
        <w:r w:rsidRPr="001F69F6">
          <w:rPr>
            <w:rStyle w:val="Hyperlink"/>
            <w:rFonts w:ascii="Arial" w:hAnsi="Arial" w:cs="Arial"/>
            <w:sz w:val="24"/>
            <w:szCs w:val="24"/>
          </w:rPr>
          <w:t>text-article-JHL</w:t>
        </w:r>
      </w:hyperlink>
      <w:r w:rsidRPr="001F69F6">
        <w:rPr>
          <w:rFonts w:ascii="Arial" w:hAnsi="Arial" w:cs="Arial"/>
          <w:sz w:val="24"/>
          <w:szCs w:val="24"/>
        </w:rPr>
        <w:t xml:space="preserve">. </w:t>
      </w:r>
    </w:p>
    <w:p w14:paraId="1DE517DE" w14:textId="17371B1F"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lastRenderedPageBreak/>
        <w:t xml:space="preserve">Institute for Healthcare Improvement (2021) </w:t>
      </w:r>
      <w:r w:rsidRPr="001F69F6">
        <w:rPr>
          <w:rStyle w:val="Emphasis"/>
          <w:rFonts w:ascii="Arial" w:hAnsi="Arial" w:cs="Arial"/>
          <w:sz w:val="24"/>
          <w:szCs w:val="24"/>
        </w:rPr>
        <w:t>Plan-Do-Study-Act (PDSA) Worksheet</w:t>
      </w:r>
      <w:r w:rsidRPr="001F69F6">
        <w:rPr>
          <w:rFonts w:ascii="Arial" w:hAnsi="Arial" w:cs="Arial"/>
          <w:sz w:val="24"/>
          <w:szCs w:val="24"/>
        </w:rPr>
        <w:t xml:space="preserve">. Available at: </w:t>
      </w:r>
      <w:hyperlink r:id="rId21" w:tgtFrame="_new" w:history="1">
        <w:r w:rsidRPr="001F69F6">
          <w:rPr>
            <w:rStyle w:val="Hyperlink"/>
            <w:rFonts w:ascii="Arial" w:hAnsi="Arial" w:cs="Arial"/>
            <w:sz w:val="24"/>
            <w:szCs w:val="24"/>
          </w:rPr>
          <w:t>https://www.ihi.org/resources/Pages/Tools/PlanD</w:t>
        </w:r>
        <w:r w:rsidRPr="001F69F6">
          <w:rPr>
            <w:rStyle w:val="Hyperlink"/>
            <w:rFonts w:ascii="Arial" w:hAnsi="Arial" w:cs="Arial"/>
            <w:sz w:val="24"/>
            <w:szCs w:val="24"/>
          </w:rPr>
          <w:t>o</w:t>
        </w:r>
        <w:r w:rsidRPr="001F69F6">
          <w:rPr>
            <w:rStyle w:val="Hyperlink"/>
            <w:rFonts w:ascii="Arial" w:hAnsi="Arial" w:cs="Arial"/>
            <w:sz w:val="24"/>
            <w:szCs w:val="24"/>
          </w:rPr>
          <w:t>StudyActWorksheet.aspx</w:t>
        </w:r>
      </w:hyperlink>
      <w:r w:rsidRPr="001F69F6">
        <w:rPr>
          <w:rFonts w:ascii="Arial" w:hAnsi="Arial" w:cs="Arial"/>
          <w:sz w:val="24"/>
          <w:szCs w:val="24"/>
        </w:rPr>
        <w:t xml:space="preserve">. </w:t>
      </w:r>
    </w:p>
    <w:p w14:paraId="78D15A64" w14:textId="0D56E2FE"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Ishikawa, K. (1985) </w:t>
      </w:r>
      <w:r w:rsidRPr="001F69F6">
        <w:rPr>
          <w:rStyle w:val="Emphasis"/>
          <w:rFonts w:ascii="Arial" w:hAnsi="Arial" w:cs="Arial"/>
          <w:sz w:val="24"/>
          <w:szCs w:val="24"/>
        </w:rPr>
        <w:t>What is Total Quality Control? The Japanese Way</w:t>
      </w:r>
      <w:r w:rsidRPr="001F69F6">
        <w:rPr>
          <w:rFonts w:ascii="Arial" w:hAnsi="Arial" w:cs="Arial"/>
          <w:sz w:val="24"/>
          <w:szCs w:val="24"/>
        </w:rPr>
        <w:t xml:space="preserve">. Englewood Cliffs, NJ: Prentice-Hall. </w:t>
      </w:r>
    </w:p>
    <w:p w14:paraId="128597C1" w14:textId="3227A1BE"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Judiciary of England and Wales (2022) </w:t>
      </w:r>
      <w:r w:rsidRPr="001F69F6">
        <w:rPr>
          <w:rStyle w:val="Emphasis"/>
          <w:rFonts w:ascii="Arial" w:hAnsi="Arial" w:cs="Arial"/>
          <w:sz w:val="24"/>
          <w:szCs w:val="24"/>
        </w:rPr>
        <w:t>Martha Mills: Prevention of Future Deaths Report (2022-0063).</w:t>
      </w:r>
    </w:p>
    <w:p w14:paraId="2A1B9078" w14:textId="57A933FA"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Leeds Teaching Hospitals NHS Trust (2024) </w:t>
      </w:r>
      <w:r w:rsidRPr="001F69F6">
        <w:rPr>
          <w:rStyle w:val="Emphasis"/>
          <w:rFonts w:ascii="Arial" w:hAnsi="Arial" w:cs="Arial"/>
          <w:sz w:val="24"/>
          <w:szCs w:val="24"/>
        </w:rPr>
        <w:t>Patient Safety and Quality Strategy 2024–2027</w:t>
      </w:r>
      <w:r w:rsidRPr="001F69F6">
        <w:rPr>
          <w:rFonts w:ascii="Arial" w:hAnsi="Arial" w:cs="Arial"/>
          <w:sz w:val="24"/>
          <w:szCs w:val="24"/>
        </w:rPr>
        <w:t xml:space="preserve">. Available at: </w:t>
      </w:r>
      <w:hyperlink r:id="rId22" w:tgtFrame="_new" w:history="1">
        <w:r w:rsidRPr="001F69F6">
          <w:rPr>
            <w:rStyle w:val="Hyperlink"/>
            <w:rFonts w:ascii="Arial" w:hAnsi="Arial" w:cs="Arial"/>
            <w:sz w:val="24"/>
            <w:szCs w:val="24"/>
          </w:rPr>
          <w:t>https://www.leedsth.nhs.uk/wp-content/uploads/2024/10/Patient-Safety-and-Quality.p</w:t>
        </w:r>
        <w:r w:rsidRPr="001F69F6">
          <w:rPr>
            <w:rStyle w:val="Hyperlink"/>
            <w:rFonts w:ascii="Arial" w:hAnsi="Arial" w:cs="Arial"/>
            <w:sz w:val="24"/>
            <w:szCs w:val="24"/>
          </w:rPr>
          <w:t>d</w:t>
        </w:r>
        <w:r w:rsidRPr="001F69F6">
          <w:rPr>
            <w:rStyle w:val="Hyperlink"/>
            <w:rFonts w:ascii="Arial" w:hAnsi="Arial" w:cs="Arial"/>
            <w:sz w:val="24"/>
            <w:szCs w:val="24"/>
          </w:rPr>
          <w:t>f</w:t>
        </w:r>
      </w:hyperlink>
      <w:r w:rsidRPr="001F69F6">
        <w:rPr>
          <w:rFonts w:ascii="Arial" w:hAnsi="Arial" w:cs="Arial"/>
          <w:sz w:val="24"/>
          <w:szCs w:val="24"/>
        </w:rPr>
        <w:t xml:space="preserve">. </w:t>
      </w:r>
    </w:p>
    <w:p w14:paraId="7E821EC3" w14:textId="3574D389"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National Institute for Health and Care Research (NIHR) (2025) </w:t>
      </w:r>
      <w:r w:rsidRPr="001F69F6">
        <w:rPr>
          <w:rStyle w:val="Emphasis"/>
          <w:rFonts w:ascii="Arial" w:hAnsi="Arial" w:cs="Arial"/>
          <w:sz w:val="24"/>
          <w:szCs w:val="24"/>
        </w:rPr>
        <w:t>NIHR funds in-depth evaluation of Martha’s Rule</w:t>
      </w:r>
      <w:r w:rsidRPr="001F69F6">
        <w:rPr>
          <w:rFonts w:ascii="Arial" w:hAnsi="Arial" w:cs="Arial"/>
          <w:sz w:val="24"/>
          <w:szCs w:val="24"/>
        </w:rPr>
        <w:t xml:space="preserve">. </w:t>
      </w:r>
    </w:p>
    <w:p w14:paraId="60E31081" w14:textId="5F1D71CC"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NHS England (2019) </w:t>
      </w:r>
      <w:r w:rsidRPr="001F69F6">
        <w:rPr>
          <w:rStyle w:val="Emphasis"/>
          <w:rFonts w:ascii="Arial" w:hAnsi="Arial" w:cs="Arial"/>
          <w:sz w:val="24"/>
          <w:szCs w:val="24"/>
        </w:rPr>
        <w:t>The NHS Patient Safety Strategy: Safer Culture, Safer Systems, Safer Patients</w:t>
      </w:r>
      <w:r w:rsidRPr="001F69F6">
        <w:rPr>
          <w:rFonts w:ascii="Arial" w:hAnsi="Arial" w:cs="Arial"/>
          <w:sz w:val="24"/>
          <w:szCs w:val="24"/>
        </w:rPr>
        <w:t xml:space="preserve">. Available at: </w:t>
      </w:r>
      <w:hyperlink r:id="rId23" w:tgtFrame="_new" w:history="1">
        <w:r w:rsidRPr="001F69F6">
          <w:rPr>
            <w:rStyle w:val="Hyperlink"/>
            <w:rFonts w:ascii="Arial" w:hAnsi="Arial" w:cs="Arial"/>
            <w:sz w:val="24"/>
            <w:szCs w:val="24"/>
          </w:rPr>
          <w:t>htt</w:t>
        </w:r>
        <w:r w:rsidRPr="001F69F6">
          <w:rPr>
            <w:rStyle w:val="Hyperlink"/>
            <w:rFonts w:ascii="Arial" w:hAnsi="Arial" w:cs="Arial"/>
            <w:sz w:val="24"/>
            <w:szCs w:val="24"/>
          </w:rPr>
          <w:t>p</w:t>
        </w:r>
        <w:r w:rsidRPr="001F69F6">
          <w:rPr>
            <w:rStyle w:val="Hyperlink"/>
            <w:rFonts w:ascii="Arial" w:hAnsi="Arial" w:cs="Arial"/>
            <w:sz w:val="24"/>
            <w:szCs w:val="24"/>
          </w:rPr>
          <w:t>s://www.england.nhs.uk/patient-safety/the-nhs-patient-safety-strategy/</w:t>
        </w:r>
      </w:hyperlink>
      <w:r w:rsidRPr="001F69F6">
        <w:rPr>
          <w:rFonts w:ascii="Arial" w:hAnsi="Arial" w:cs="Arial"/>
          <w:sz w:val="24"/>
          <w:szCs w:val="24"/>
        </w:rPr>
        <w:t xml:space="preserve">. </w:t>
      </w:r>
    </w:p>
    <w:p w14:paraId="01FD13D6" w14:textId="42EC0E0F"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NHS England (2025) </w:t>
      </w:r>
      <w:r w:rsidRPr="001F69F6">
        <w:rPr>
          <w:rStyle w:val="Emphasis"/>
          <w:rFonts w:ascii="Arial" w:hAnsi="Arial" w:cs="Arial"/>
          <w:sz w:val="24"/>
          <w:szCs w:val="24"/>
        </w:rPr>
        <w:t>Martha’s Rule rolled out to all acute hospitals</w:t>
      </w:r>
      <w:r w:rsidRPr="001F69F6">
        <w:rPr>
          <w:rFonts w:ascii="Arial" w:hAnsi="Arial" w:cs="Arial"/>
          <w:sz w:val="24"/>
          <w:szCs w:val="24"/>
        </w:rPr>
        <w:t xml:space="preserve">. Available at: </w:t>
      </w:r>
      <w:hyperlink r:id="rId24" w:tgtFrame="_new" w:history="1">
        <w:r w:rsidRPr="001F69F6">
          <w:rPr>
            <w:rStyle w:val="Hyperlink"/>
            <w:rFonts w:ascii="Arial" w:hAnsi="Arial" w:cs="Arial"/>
            <w:sz w:val="24"/>
            <w:szCs w:val="24"/>
          </w:rPr>
          <w:t>https://www.england.nhs.uk/2025/09/marthas-rule-rolled-</w:t>
        </w:r>
        <w:r w:rsidRPr="001F69F6">
          <w:rPr>
            <w:rStyle w:val="Hyperlink"/>
            <w:rFonts w:ascii="Arial" w:hAnsi="Arial" w:cs="Arial"/>
            <w:sz w:val="24"/>
            <w:szCs w:val="24"/>
          </w:rPr>
          <w:t>o</w:t>
        </w:r>
        <w:r w:rsidRPr="001F69F6">
          <w:rPr>
            <w:rStyle w:val="Hyperlink"/>
            <w:rFonts w:ascii="Arial" w:hAnsi="Arial" w:cs="Arial"/>
            <w:sz w:val="24"/>
            <w:szCs w:val="24"/>
          </w:rPr>
          <w:t>ut-to-all-acute-hospitals/</w:t>
        </w:r>
      </w:hyperlink>
      <w:r w:rsidRPr="001F69F6">
        <w:rPr>
          <w:rFonts w:ascii="Arial" w:hAnsi="Arial" w:cs="Arial"/>
          <w:sz w:val="24"/>
          <w:szCs w:val="24"/>
        </w:rPr>
        <w:t xml:space="preserve">. </w:t>
      </w:r>
    </w:p>
    <w:p w14:paraId="64EEAC97" w14:textId="7FA3623E"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NHS England (2026) </w:t>
      </w:r>
      <w:r w:rsidRPr="001F69F6">
        <w:rPr>
          <w:rStyle w:val="Emphasis"/>
          <w:rFonts w:ascii="Arial" w:hAnsi="Arial" w:cs="Arial"/>
          <w:sz w:val="24"/>
          <w:szCs w:val="24"/>
        </w:rPr>
        <w:t xml:space="preserve">Martha’s Rule </w:t>
      </w:r>
      <w:proofErr w:type="spellStart"/>
      <w:r w:rsidRPr="001F69F6">
        <w:rPr>
          <w:rStyle w:val="Emphasis"/>
          <w:rFonts w:ascii="Arial" w:hAnsi="Arial" w:cs="Arial"/>
          <w:sz w:val="24"/>
          <w:szCs w:val="24"/>
        </w:rPr>
        <w:t>programme</w:t>
      </w:r>
      <w:proofErr w:type="spellEnd"/>
      <w:r w:rsidRPr="001F69F6">
        <w:rPr>
          <w:rStyle w:val="Emphasis"/>
          <w:rFonts w:ascii="Arial" w:hAnsi="Arial" w:cs="Arial"/>
          <w:sz w:val="24"/>
          <w:szCs w:val="24"/>
        </w:rPr>
        <w:t xml:space="preserve"> statistics</w:t>
      </w:r>
      <w:r w:rsidRPr="001F69F6">
        <w:rPr>
          <w:rFonts w:ascii="Arial" w:hAnsi="Arial" w:cs="Arial"/>
          <w:sz w:val="24"/>
          <w:szCs w:val="24"/>
        </w:rPr>
        <w:t xml:space="preserve">. Available at: </w:t>
      </w:r>
      <w:hyperlink r:id="rId25" w:tgtFrame="_new" w:history="1">
        <w:r w:rsidRPr="001F69F6">
          <w:rPr>
            <w:rStyle w:val="Hyperlink"/>
            <w:rFonts w:ascii="Arial" w:hAnsi="Arial" w:cs="Arial"/>
            <w:sz w:val="24"/>
            <w:szCs w:val="24"/>
          </w:rPr>
          <w:t>https://www.england.nhs.uk/statistics/statistical-work-areas/mar</w:t>
        </w:r>
        <w:r w:rsidRPr="001F69F6">
          <w:rPr>
            <w:rStyle w:val="Hyperlink"/>
            <w:rFonts w:ascii="Arial" w:hAnsi="Arial" w:cs="Arial"/>
            <w:sz w:val="24"/>
            <w:szCs w:val="24"/>
          </w:rPr>
          <w:t>t</w:t>
        </w:r>
        <w:r w:rsidRPr="001F69F6">
          <w:rPr>
            <w:rStyle w:val="Hyperlink"/>
            <w:rFonts w:ascii="Arial" w:hAnsi="Arial" w:cs="Arial"/>
            <w:sz w:val="24"/>
            <w:szCs w:val="24"/>
          </w:rPr>
          <w:t>has-rule/</w:t>
        </w:r>
      </w:hyperlink>
      <w:r w:rsidRPr="001F69F6">
        <w:rPr>
          <w:rFonts w:ascii="Arial" w:hAnsi="Arial" w:cs="Arial"/>
          <w:sz w:val="24"/>
          <w:szCs w:val="24"/>
        </w:rPr>
        <w:t xml:space="preserve">. </w:t>
      </w:r>
    </w:p>
    <w:p w14:paraId="3360115F" w14:textId="1D705E56"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Patient Safety Commissioner (2024) </w:t>
      </w:r>
      <w:r w:rsidRPr="001F69F6">
        <w:rPr>
          <w:rStyle w:val="Emphasis"/>
          <w:rFonts w:ascii="Arial" w:hAnsi="Arial" w:cs="Arial"/>
          <w:sz w:val="24"/>
          <w:szCs w:val="24"/>
        </w:rPr>
        <w:t>Introducing Ryan’s Rule, the forerunner of Martha’s Rule</w:t>
      </w:r>
      <w:r w:rsidRPr="001F69F6">
        <w:rPr>
          <w:rFonts w:ascii="Arial" w:hAnsi="Arial" w:cs="Arial"/>
          <w:sz w:val="24"/>
          <w:szCs w:val="24"/>
        </w:rPr>
        <w:t xml:space="preserve">. Available at: </w:t>
      </w:r>
      <w:hyperlink r:id="rId26" w:tgtFrame="_new" w:history="1">
        <w:r w:rsidRPr="001F69F6">
          <w:rPr>
            <w:rStyle w:val="Hyperlink"/>
            <w:rFonts w:ascii="Arial" w:hAnsi="Arial" w:cs="Arial"/>
            <w:sz w:val="24"/>
            <w:szCs w:val="24"/>
          </w:rPr>
          <w:t>https://www.patientsafetycommissioner.org.uk/blog/introduci</w:t>
        </w:r>
        <w:r w:rsidRPr="001F69F6">
          <w:rPr>
            <w:rStyle w:val="Hyperlink"/>
            <w:rFonts w:ascii="Arial" w:hAnsi="Arial" w:cs="Arial"/>
            <w:sz w:val="24"/>
            <w:szCs w:val="24"/>
          </w:rPr>
          <w:t>n</w:t>
        </w:r>
        <w:r w:rsidRPr="001F69F6">
          <w:rPr>
            <w:rStyle w:val="Hyperlink"/>
            <w:rFonts w:ascii="Arial" w:hAnsi="Arial" w:cs="Arial"/>
            <w:sz w:val="24"/>
            <w:szCs w:val="24"/>
          </w:rPr>
          <w:t>g-ryans-rule-the-forerunner-of-marthas-rule/</w:t>
        </w:r>
      </w:hyperlink>
      <w:r w:rsidRPr="001F69F6">
        <w:rPr>
          <w:rFonts w:ascii="Arial" w:hAnsi="Arial" w:cs="Arial"/>
          <w:sz w:val="24"/>
          <w:szCs w:val="24"/>
        </w:rPr>
        <w:t xml:space="preserve">. </w:t>
      </w:r>
    </w:p>
    <w:p w14:paraId="0787454D" w14:textId="58516A6A"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Royal Berkshire NHS Foundation Trust (2025) </w:t>
      </w:r>
      <w:r w:rsidRPr="001F69F6">
        <w:rPr>
          <w:rStyle w:val="Emphasis"/>
          <w:rFonts w:ascii="Arial" w:hAnsi="Arial" w:cs="Arial"/>
          <w:sz w:val="24"/>
          <w:szCs w:val="24"/>
        </w:rPr>
        <w:t>Quality Report 2024–25</w:t>
      </w:r>
      <w:r w:rsidRPr="001F69F6">
        <w:rPr>
          <w:rFonts w:ascii="Arial" w:hAnsi="Arial" w:cs="Arial"/>
          <w:sz w:val="24"/>
          <w:szCs w:val="24"/>
        </w:rPr>
        <w:t xml:space="preserve">. Available at: </w:t>
      </w:r>
      <w:hyperlink r:id="rId27" w:tgtFrame="_new" w:history="1">
        <w:r w:rsidRPr="001F69F6">
          <w:rPr>
            <w:rStyle w:val="Hyperlink"/>
            <w:rFonts w:ascii="Arial" w:hAnsi="Arial" w:cs="Arial"/>
            <w:sz w:val="24"/>
            <w:szCs w:val="24"/>
          </w:rPr>
          <w:t>https://www.royalberkshire.nhs.uk/media/2x</w:t>
        </w:r>
        <w:r w:rsidRPr="001F69F6">
          <w:rPr>
            <w:rStyle w:val="Hyperlink"/>
            <w:rFonts w:ascii="Arial" w:hAnsi="Arial" w:cs="Arial"/>
            <w:sz w:val="24"/>
            <w:szCs w:val="24"/>
          </w:rPr>
          <w:t>p</w:t>
        </w:r>
        <w:r w:rsidRPr="001F69F6">
          <w:rPr>
            <w:rStyle w:val="Hyperlink"/>
            <w:rFonts w:ascii="Arial" w:hAnsi="Arial" w:cs="Arial"/>
            <w:sz w:val="24"/>
            <w:szCs w:val="24"/>
          </w:rPr>
          <w:t>dwmik/quality-report-2024-25.pdf</w:t>
        </w:r>
      </w:hyperlink>
      <w:r w:rsidRPr="001F69F6">
        <w:rPr>
          <w:rFonts w:ascii="Arial" w:hAnsi="Arial" w:cs="Arial"/>
          <w:sz w:val="24"/>
          <w:szCs w:val="24"/>
        </w:rPr>
        <w:t xml:space="preserve">. </w:t>
      </w:r>
    </w:p>
    <w:p w14:paraId="6B7A6201" w14:textId="3ABC3832" w:rsidR="001F69F6" w:rsidRPr="001F69F6" w:rsidRDefault="001F69F6" w:rsidP="001F69F6">
      <w:pPr>
        <w:pStyle w:val="ListParagraph"/>
        <w:numPr>
          <w:ilvl w:val="0"/>
          <w:numId w:val="4"/>
        </w:numPr>
        <w:spacing w:line="360" w:lineRule="auto"/>
        <w:jc w:val="both"/>
        <w:rPr>
          <w:rFonts w:ascii="Arial" w:hAnsi="Arial" w:cs="Arial"/>
          <w:sz w:val="24"/>
          <w:szCs w:val="24"/>
        </w:rPr>
      </w:pPr>
      <w:proofErr w:type="spellStart"/>
      <w:r w:rsidRPr="001F69F6">
        <w:rPr>
          <w:rFonts w:ascii="Arial" w:hAnsi="Arial" w:cs="Arial"/>
          <w:sz w:val="24"/>
          <w:szCs w:val="24"/>
        </w:rPr>
        <w:t>Subbe</w:t>
      </w:r>
      <w:proofErr w:type="spellEnd"/>
      <w:r w:rsidRPr="001F69F6">
        <w:rPr>
          <w:rFonts w:ascii="Arial" w:hAnsi="Arial" w:cs="Arial"/>
          <w:sz w:val="24"/>
          <w:szCs w:val="24"/>
        </w:rPr>
        <w:t xml:space="preserve">, C.P., </w:t>
      </w:r>
      <w:proofErr w:type="spellStart"/>
      <w:r w:rsidRPr="001F69F6">
        <w:rPr>
          <w:rFonts w:ascii="Arial" w:hAnsi="Arial" w:cs="Arial"/>
          <w:sz w:val="24"/>
          <w:szCs w:val="24"/>
        </w:rPr>
        <w:t>Steinmo</w:t>
      </w:r>
      <w:proofErr w:type="spellEnd"/>
      <w:r w:rsidRPr="001F69F6">
        <w:rPr>
          <w:rFonts w:ascii="Arial" w:hAnsi="Arial" w:cs="Arial"/>
          <w:sz w:val="24"/>
          <w:szCs w:val="24"/>
        </w:rPr>
        <w:t>, S.H., Haskell, H. and Barach, P. (2024</w:t>
      </w:r>
      <w:r w:rsidRPr="001F69F6">
        <w:rPr>
          <w:rFonts w:ascii="Arial" w:hAnsi="Arial" w:cs="Arial"/>
          <w:i/>
          <w:iCs/>
          <w:sz w:val="24"/>
          <w:szCs w:val="24"/>
        </w:rPr>
        <w:t xml:space="preserve">) ‘Martha’s Rule: Applying a </w:t>
      </w:r>
      <w:proofErr w:type="spellStart"/>
      <w:r w:rsidRPr="001F69F6">
        <w:rPr>
          <w:rFonts w:ascii="Arial" w:hAnsi="Arial" w:cs="Arial"/>
          <w:i/>
          <w:iCs/>
          <w:sz w:val="24"/>
          <w:szCs w:val="24"/>
        </w:rPr>
        <w:t>behaviour</w:t>
      </w:r>
      <w:proofErr w:type="spellEnd"/>
      <w:r w:rsidRPr="001F69F6">
        <w:rPr>
          <w:rFonts w:ascii="Arial" w:hAnsi="Arial" w:cs="Arial"/>
          <w:i/>
          <w:iCs/>
          <w:sz w:val="24"/>
          <w:szCs w:val="24"/>
        </w:rPr>
        <w:t xml:space="preserve"> change framework to understand the potential of complementary roles of clinicians and patients in improving safety of patients deteriorating in hospital’</w:t>
      </w:r>
      <w:r w:rsidRPr="001F69F6">
        <w:rPr>
          <w:rFonts w:ascii="Arial" w:hAnsi="Arial" w:cs="Arial"/>
          <w:sz w:val="24"/>
          <w:szCs w:val="24"/>
        </w:rPr>
        <w:t xml:space="preserve">, </w:t>
      </w:r>
      <w:r w:rsidRPr="001F69F6">
        <w:rPr>
          <w:rStyle w:val="Emphasis"/>
          <w:rFonts w:ascii="Arial" w:hAnsi="Arial" w:cs="Arial"/>
          <w:sz w:val="24"/>
          <w:szCs w:val="24"/>
        </w:rPr>
        <w:t>British Journal of Hospital Medicine</w:t>
      </w:r>
      <w:r w:rsidRPr="001F69F6">
        <w:rPr>
          <w:rFonts w:ascii="Arial" w:hAnsi="Arial" w:cs="Arial"/>
          <w:sz w:val="24"/>
          <w:szCs w:val="24"/>
        </w:rPr>
        <w:t xml:space="preserve">, 85(2), pp. 1–6. Available at: </w:t>
      </w:r>
      <w:hyperlink r:id="rId28" w:tgtFrame="_new" w:history="1">
        <w:r w:rsidRPr="001F69F6">
          <w:rPr>
            <w:rStyle w:val="Hyperlink"/>
            <w:rFonts w:ascii="Arial" w:hAnsi="Arial" w:cs="Arial"/>
            <w:sz w:val="24"/>
            <w:szCs w:val="24"/>
          </w:rPr>
          <w:t>https://doi.org/10.12968/h</w:t>
        </w:r>
        <w:r w:rsidRPr="001F69F6">
          <w:rPr>
            <w:rStyle w:val="Hyperlink"/>
            <w:rFonts w:ascii="Arial" w:hAnsi="Arial" w:cs="Arial"/>
            <w:sz w:val="24"/>
            <w:szCs w:val="24"/>
          </w:rPr>
          <w:t>m</w:t>
        </w:r>
        <w:r w:rsidRPr="001F69F6">
          <w:rPr>
            <w:rStyle w:val="Hyperlink"/>
            <w:rFonts w:ascii="Arial" w:hAnsi="Arial" w:cs="Arial"/>
            <w:sz w:val="24"/>
            <w:szCs w:val="24"/>
          </w:rPr>
          <w:t>ed.2023.0422</w:t>
        </w:r>
      </w:hyperlink>
      <w:r w:rsidRPr="001F69F6">
        <w:rPr>
          <w:rFonts w:ascii="Arial" w:hAnsi="Arial" w:cs="Arial"/>
          <w:sz w:val="24"/>
          <w:szCs w:val="24"/>
        </w:rPr>
        <w:t xml:space="preserve">. </w:t>
      </w:r>
    </w:p>
    <w:p w14:paraId="510EA1B2" w14:textId="0B31F6AD"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Sutton, E., Ibrahim, M., Plath, W., Booth, L., Sujan, M., McCulloch, P. and Mackintosh, N. (2025) </w:t>
      </w:r>
      <w:r w:rsidRPr="001F69F6">
        <w:rPr>
          <w:rFonts w:ascii="Arial" w:hAnsi="Arial" w:cs="Arial"/>
          <w:i/>
          <w:iCs/>
          <w:sz w:val="24"/>
          <w:szCs w:val="24"/>
        </w:rPr>
        <w:t xml:space="preserve">‘Understanding the enablers and barriers to </w:t>
      </w:r>
      <w:r w:rsidRPr="001F69F6">
        <w:rPr>
          <w:rFonts w:ascii="Arial" w:hAnsi="Arial" w:cs="Arial"/>
          <w:i/>
          <w:iCs/>
          <w:sz w:val="24"/>
          <w:szCs w:val="24"/>
        </w:rPr>
        <w:lastRenderedPageBreak/>
        <w:t>implementing a patient-led escalation system: A qualitative study’</w:t>
      </w:r>
      <w:r w:rsidRPr="001F69F6">
        <w:rPr>
          <w:rFonts w:ascii="Arial" w:hAnsi="Arial" w:cs="Arial"/>
          <w:sz w:val="24"/>
          <w:szCs w:val="24"/>
        </w:rPr>
        <w:t xml:space="preserve">, </w:t>
      </w:r>
      <w:r w:rsidRPr="001F69F6">
        <w:rPr>
          <w:rStyle w:val="Emphasis"/>
          <w:rFonts w:ascii="Arial" w:hAnsi="Arial" w:cs="Arial"/>
          <w:sz w:val="24"/>
          <w:szCs w:val="24"/>
        </w:rPr>
        <w:t>BMJ Quality &amp; Safety</w:t>
      </w:r>
      <w:r w:rsidRPr="001F69F6">
        <w:rPr>
          <w:rFonts w:ascii="Arial" w:hAnsi="Arial" w:cs="Arial"/>
          <w:sz w:val="24"/>
          <w:szCs w:val="24"/>
        </w:rPr>
        <w:t xml:space="preserve">, 34(1), pp. 18–27. Available at: </w:t>
      </w:r>
      <w:hyperlink r:id="rId29" w:tgtFrame="_new" w:history="1">
        <w:r w:rsidRPr="001F69F6">
          <w:rPr>
            <w:rStyle w:val="Hyperlink"/>
            <w:rFonts w:ascii="Arial" w:hAnsi="Arial" w:cs="Arial"/>
            <w:sz w:val="24"/>
            <w:szCs w:val="24"/>
          </w:rPr>
          <w:t>https://qualitysafety.bmj.com/content/</w:t>
        </w:r>
        <w:r w:rsidRPr="001F69F6">
          <w:rPr>
            <w:rStyle w:val="Hyperlink"/>
            <w:rFonts w:ascii="Arial" w:hAnsi="Arial" w:cs="Arial"/>
            <w:sz w:val="24"/>
            <w:szCs w:val="24"/>
          </w:rPr>
          <w:t>3</w:t>
        </w:r>
        <w:r w:rsidRPr="001F69F6">
          <w:rPr>
            <w:rStyle w:val="Hyperlink"/>
            <w:rFonts w:ascii="Arial" w:hAnsi="Arial" w:cs="Arial"/>
            <w:sz w:val="24"/>
            <w:szCs w:val="24"/>
          </w:rPr>
          <w:t>4/1/18</w:t>
        </w:r>
      </w:hyperlink>
      <w:r w:rsidRPr="001F69F6">
        <w:rPr>
          <w:rFonts w:ascii="Arial" w:hAnsi="Arial" w:cs="Arial"/>
          <w:sz w:val="24"/>
          <w:szCs w:val="24"/>
        </w:rPr>
        <w:t xml:space="preserve">. </w:t>
      </w:r>
    </w:p>
    <w:p w14:paraId="395E01B5" w14:textId="46E32A78"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Weightmans (2024) </w:t>
      </w:r>
      <w:r w:rsidRPr="001F69F6">
        <w:rPr>
          <w:rStyle w:val="Emphasis"/>
          <w:rFonts w:ascii="Arial" w:hAnsi="Arial" w:cs="Arial"/>
          <w:sz w:val="24"/>
          <w:szCs w:val="24"/>
        </w:rPr>
        <w:t>Martha’s Rule: What is it and why does it matter?</w:t>
      </w:r>
      <w:r w:rsidRPr="001F69F6">
        <w:rPr>
          <w:rFonts w:ascii="Arial" w:hAnsi="Arial" w:cs="Arial"/>
          <w:sz w:val="24"/>
          <w:szCs w:val="24"/>
        </w:rPr>
        <w:t xml:space="preserve"> Available at: </w:t>
      </w:r>
      <w:hyperlink r:id="rId30" w:tgtFrame="_new" w:history="1">
        <w:r w:rsidRPr="001F69F6">
          <w:rPr>
            <w:rStyle w:val="Hyperlink"/>
            <w:rFonts w:ascii="Arial" w:hAnsi="Arial" w:cs="Arial"/>
            <w:sz w:val="24"/>
            <w:szCs w:val="24"/>
          </w:rPr>
          <w:t>https://www.weightmans.com/insights/marth</w:t>
        </w:r>
        <w:r w:rsidRPr="001F69F6">
          <w:rPr>
            <w:rStyle w:val="Hyperlink"/>
            <w:rFonts w:ascii="Arial" w:hAnsi="Arial" w:cs="Arial"/>
            <w:sz w:val="24"/>
            <w:szCs w:val="24"/>
          </w:rPr>
          <w:t>a</w:t>
        </w:r>
        <w:r w:rsidRPr="001F69F6">
          <w:rPr>
            <w:rStyle w:val="Hyperlink"/>
            <w:rFonts w:ascii="Arial" w:hAnsi="Arial" w:cs="Arial"/>
            <w:sz w:val="24"/>
            <w:szCs w:val="24"/>
          </w:rPr>
          <w:t>s-rule-what-is-it-and-why-does-it-matter/</w:t>
        </w:r>
      </w:hyperlink>
      <w:r w:rsidRPr="001F69F6">
        <w:rPr>
          <w:rFonts w:ascii="Arial" w:hAnsi="Arial" w:cs="Arial"/>
          <w:sz w:val="24"/>
          <w:szCs w:val="24"/>
        </w:rPr>
        <w:t xml:space="preserve">. </w:t>
      </w:r>
    </w:p>
    <w:p w14:paraId="667440A3" w14:textId="10274438" w:rsidR="001F69F6"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Welch, J., Murkin, J., Edwards, E., Inada-Kim, M. and </w:t>
      </w:r>
      <w:proofErr w:type="spellStart"/>
      <w:r w:rsidRPr="001F69F6">
        <w:rPr>
          <w:rFonts w:ascii="Arial" w:hAnsi="Arial" w:cs="Arial"/>
          <w:sz w:val="24"/>
          <w:szCs w:val="24"/>
        </w:rPr>
        <w:t>Subbe</w:t>
      </w:r>
      <w:proofErr w:type="spellEnd"/>
      <w:r w:rsidRPr="001F69F6">
        <w:rPr>
          <w:rFonts w:ascii="Arial" w:hAnsi="Arial" w:cs="Arial"/>
          <w:sz w:val="24"/>
          <w:szCs w:val="24"/>
        </w:rPr>
        <w:t>, C. (2025</w:t>
      </w:r>
      <w:r w:rsidRPr="001F69F6">
        <w:rPr>
          <w:rFonts w:ascii="Arial" w:hAnsi="Arial" w:cs="Arial"/>
          <w:i/>
          <w:iCs/>
          <w:sz w:val="24"/>
          <w:szCs w:val="24"/>
        </w:rPr>
        <w:t>) ‘Giving patients, families and staff a reliable voice in acute care: Expert guidance for implementation of Martha’s Rule in UK hospitals’</w:t>
      </w:r>
      <w:r w:rsidRPr="001F69F6">
        <w:rPr>
          <w:rFonts w:ascii="Arial" w:hAnsi="Arial" w:cs="Arial"/>
          <w:sz w:val="24"/>
          <w:szCs w:val="24"/>
        </w:rPr>
        <w:t xml:space="preserve">, </w:t>
      </w:r>
      <w:r w:rsidRPr="001F69F6">
        <w:rPr>
          <w:rStyle w:val="Emphasis"/>
          <w:rFonts w:ascii="Arial" w:hAnsi="Arial" w:cs="Arial"/>
          <w:sz w:val="24"/>
          <w:szCs w:val="24"/>
        </w:rPr>
        <w:t>Future Healthcare Journal</w:t>
      </w:r>
      <w:r w:rsidRPr="001F69F6">
        <w:rPr>
          <w:rFonts w:ascii="Arial" w:hAnsi="Arial" w:cs="Arial"/>
          <w:sz w:val="24"/>
          <w:szCs w:val="24"/>
        </w:rPr>
        <w:t xml:space="preserve">, 12(1), Article 100223. Available at: https://doi.org/10.1016/j.fhj.2025.100223. </w:t>
      </w:r>
    </w:p>
    <w:p w14:paraId="3CEC14E0" w14:textId="72C6F82F" w:rsidR="0096558F" w:rsidRPr="001F69F6" w:rsidRDefault="001F69F6" w:rsidP="001F69F6">
      <w:pPr>
        <w:pStyle w:val="ListParagraph"/>
        <w:numPr>
          <w:ilvl w:val="0"/>
          <w:numId w:val="4"/>
        </w:numPr>
        <w:spacing w:line="360" w:lineRule="auto"/>
        <w:jc w:val="both"/>
        <w:rPr>
          <w:rFonts w:ascii="Arial" w:hAnsi="Arial" w:cs="Arial"/>
          <w:sz w:val="24"/>
          <w:szCs w:val="24"/>
        </w:rPr>
      </w:pPr>
      <w:r w:rsidRPr="001F69F6">
        <w:rPr>
          <w:rFonts w:ascii="Arial" w:hAnsi="Arial" w:cs="Arial"/>
          <w:sz w:val="24"/>
          <w:szCs w:val="24"/>
        </w:rPr>
        <w:t xml:space="preserve">Yang, J., Liu, F., Yang, C., Wei, J., Ma, Y., </w:t>
      </w:r>
      <w:proofErr w:type="spellStart"/>
      <w:proofErr w:type="gramStart"/>
      <w:r w:rsidRPr="001F69F6">
        <w:rPr>
          <w:rFonts w:ascii="Arial" w:hAnsi="Arial" w:cs="Arial"/>
          <w:sz w:val="24"/>
          <w:szCs w:val="24"/>
        </w:rPr>
        <w:t>Xu,L</w:t>
      </w:r>
      <w:proofErr w:type="spellEnd"/>
      <w:r w:rsidRPr="001F69F6">
        <w:rPr>
          <w:rFonts w:ascii="Arial" w:hAnsi="Arial" w:cs="Arial"/>
          <w:sz w:val="24"/>
          <w:szCs w:val="24"/>
        </w:rPr>
        <w:t>.</w:t>
      </w:r>
      <w:proofErr w:type="gramEnd"/>
      <w:r w:rsidRPr="001F69F6">
        <w:rPr>
          <w:rFonts w:ascii="Arial" w:hAnsi="Arial" w:cs="Arial"/>
          <w:sz w:val="24"/>
          <w:szCs w:val="24"/>
        </w:rPr>
        <w:t xml:space="preserve">, Xie, J. and Wang, J. (2025) </w:t>
      </w:r>
      <w:r w:rsidRPr="001F69F6">
        <w:rPr>
          <w:rFonts w:ascii="Arial" w:hAnsi="Arial" w:cs="Arial"/>
          <w:i/>
          <w:iCs/>
          <w:sz w:val="24"/>
          <w:szCs w:val="24"/>
        </w:rPr>
        <w:t>‘Application of Donabedian three-dimensional model in outpatient care quality: A scoping review’</w:t>
      </w:r>
      <w:r w:rsidRPr="001F69F6">
        <w:rPr>
          <w:rFonts w:ascii="Arial" w:hAnsi="Arial" w:cs="Arial"/>
          <w:sz w:val="24"/>
          <w:szCs w:val="24"/>
        </w:rPr>
        <w:t xml:space="preserve">, </w:t>
      </w:r>
      <w:r w:rsidRPr="001F69F6">
        <w:rPr>
          <w:rStyle w:val="Emphasis"/>
          <w:rFonts w:ascii="Arial" w:hAnsi="Arial" w:cs="Arial"/>
          <w:sz w:val="24"/>
          <w:szCs w:val="24"/>
        </w:rPr>
        <w:t>Journal of Nursing Management</w:t>
      </w:r>
      <w:r w:rsidRPr="001F69F6">
        <w:rPr>
          <w:rFonts w:ascii="Arial" w:hAnsi="Arial" w:cs="Arial"/>
          <w:sz w:val="24"/>
          <w:szCs w:val="24"/>
        </w:rPr>
        <w:t>, 2025, Article 6893336. Available at: https://doi.org/10.1155/jonm/6893336.</w:t>
      </w:r>
    </w:p>
    <w:sectPr w:rsidR="0096558F" w:rsidRPr="001F69F6">
      <w:headerReference w:type="default" r:id="rId31"/>
      <w:footerReference w:type="default" r:id="rId3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5250B" w14:textId="77777777" w:rsidR="00E64F67" w:rsidRDefault="00E64F67">
      <w:pPr>
        <w:spacing w:after="0" w:line="240" w:lineRule="auto"/>
      </w:pPr>
      <w:r>
        <w:separator/>
      </w:r>
    </w:p>
  </w:endnote>
  <w:endnote w:type="continuationSeparator" w:id="0">
    <w:p w14:paraId="546E8BD7" w14:textId="77777777" w:rsidR="00E64F67" w:rsidRDefault="00E64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44251" w14:textId="3CD9C8F5" w:rsidR="00645F58" w:rsidRDefault="00645F58">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8A6DF" w14:textId="77777777" w:rsidR="00E64F67" w:rsidRDefault="00E64F67">
      <w:pPr>
        <w:spacing w:after="0" w:line="240" w:lineRule="auto"/>
      </w:pPr>
      <w:r>
        <w:separator/>
      </w:r>
    </w:p>
  </w:footnote>
  <w:footnote w:type="continuationSeparator" w:id="0">
    <w:p w14:paraId="4980CB52" w14:textId="77777777" w:rsidR="00E64F67" w:rsidRDefault="00E64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0839E" w14:textId="074E024C" w:rsidR="00645F58" w:rsidRDefault="00645F5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82295"/>
    <w:multiLevelType w:val="hybridMultilevel"/>
    <w:tmpl w:val="E29643A0"/>
    <w:lvl w:ilvl="0" w:tplc="B8A63BAC">
      <w:start w:val="1"/>
      <w:numFmt w:val="bullet"/>
      <w:lvlText w:val="●"/>
      <w:lvlJc w:val="left"/>
      <w:pPr>
        <w:ind w:left="720" w:hanging="360"/>
      </w:pPr>
    </w:lvl>
    <w:lvl w:ilvl="1" w:tplc="A37439AC">
      <w:start w:val="1"/>
      <w:numFmt w:val="bullet"/>
      <w:lvlText w:val="○"/>
      <w:lvlJc w:val="left"/>
      <w:pPr>
        <w:ind w:left="1440" w:hanging="360"/>
      </w:pPr>
    </w:lvl>
    <w:lvl w:ilvl="2" w:tplc="F4CAA51A">
      <w:start w:val="1"/>
      <w:numFmt w:val="bullet"/>
      <w:lvlText w:val="■"/>
      <w:lvlJc w:val="left"/>
      <w:pPr>
        <w:ind w:left="2160" w:hanging="360"/>
      </w:pPr>
    </w:lvl>
    <w:lvl w:ilvl="3" w:tplc="86EECAF8">
      <w:start w:val="1"/>
      <w:numFmt w:val="bullet"/>
      <w:lvlText w:val="●"/>
      <w:lvlJc w:val="left"/>
      <w:pPr>
        <w:ind w:left="2880" w:hanging="360"/>
      </w:pPr>
    </w:lvl>
    <w:lvl w:ilvl="4" w:tplc="11C6395E">
      <w:start w:val="1"/>
      <w:numFmt w:val="bullet"/>
      <w:lvlText w:val="○"/>
      <w:lvlJc w:val="left"/>
      <w:pPr>
        <w:ind w:left="3600" w:hanging="360"/>
      </w:pPr>
    </w:lvl>
    <w:lvl w:ilvl="5" w:tplc="47FE4936">
      <w:start w:val="1"/>
      <w:numFmt w:val="bullet"/>
      <w:lvlText w:val="■"/>
      <w:lvlJc w:val="left"/>
      <w:pPr>
        <w:ind w:left="4320" w:hanging="360"/>
      </w:pPr>
    </w:lvl>
    <w:lvl w:ilvl="6" w:tplc="F6B412F6">
      <w:start w:val="1"/>
      <w:numFmt w:val="bullet"/>
      <w:lvlText w:val="●"/>
      <w:lvlJc w:val="left"/>
      <w:pPr>
        <w:ind w:left="5040" w:hanging="360"/>
      </w:pPr>
    </w:lvl>
    <w:lvl w:ilvl="7" w:tplc="BE2408A8">
      <w:start w:val="1"/>
      <w:numFmt w:val="bullet"/>
      <w:lvlText w:val="●"/>
      <w:lvlJc w:val="left"/>
      <w:pPr>
        <w:ind w:left="5760" w:hanging="360"/>
      </w:pPr>
    </w:lvl>
    <w:lvl w:ilvl="8" w:tplc="7EBC6364">
      <w:start w:val="1"/>
      <w:numFmt w:val="bullet"/>
      <w:lvlText w:val="●"/>
      <w:lvlJc w:val="left"/>
      <w:pPr>
        <w:ind w:left="6480" w:hanging="360"/>
      </w:pPr>
    </w:lvl>
  </w:abstractNum>
  <w:abstractNum w:abstractNumId="1" w15:restartNumberingAfterBreak="0">
    <w:nsid w:val="201B5904"/>
    <w:multiLevelType w:val="multilevel"/>
    <w:tmpl w:val="E63884C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F625B56"/>
    <w:multiLevelType w:val="multilevel"/>
    <w:tmpl w:val="26284BF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5BC67A50"/>
    <w:multiLevelType w:val="hybridMultilevel"/>
    <w:tmpl w:val="859E785C"/>
    <w:lvl w:ilvl="0" w:tplc="34AE674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0064211">
    <w:abstractNumId w:val="0"/>
    <w:lvlOverride w:ilvl="0">
      <w:startOverride w:val="1"/>
    </w:lvlOverride>
  </w:num>
  <w:num w:numId="2" w16cid:durableId="977758530">
    <w:abstractNumId w:val="1"/>
  </w:num>
  <w:num w:numId="3" w16cid:durableId="938559880">
    <w:abstractNumId w:val="3"/>
  </w:num>
  <w:num w:numId="4" w16cid:durableId="1020350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F58"/>
    <w:rsid w:val="001F69F6"/>
    <w:rsid w:val="002A2DCC"/>
    <w:rsid w:val="003704AC"/>
    <w:rsid w:val="00645F58"/>
    <w:rsid w:val="00805FAF"/>
    <w:rsid w:val="008B220D"/>
    <w:rsid w:val="0096558F"/>
    <w:rsid w:val="00997491"/>
    <w:rsid w:val="00BD5724"/>
    <w:rsid w:val="00CC7023"/>
    <w:rsid w:val="00E64F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C4F77"/>
  <w15:docId w15:val="{8E637E91-C45E-4E4C-ABF3-2AA454C4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4AC"/>
  </w:style>
  <w:style w:type="paragraph" w:styleId="Heading1">
    <w:name w:val="heading 1"/>
    <w:basedOn w:val="Normal"/>
    <w:next w:val="Normal"/>
    <w:link w:val="Heading1Char"/>
    <w:uiPriority w:val="9"/>
    <w:qFormat/>
    <w:rsid w:val="003704A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3704A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04A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04A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3704A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704A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704A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704A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704A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04AC"/>
    <w:pPr>
      <w:spacing w:after="0" w:line="204" w:lineRule="auto"/>
      <w:contextualSpacing/>
    </w:pPr>
    <w:rPr>
      <w:rFonts w:asciiTheme="majorHAnsi" w:eastAsiaTheme="majorEastAsia" w:hAnsiTheme="majorHAnsi" w:cstheme="majorBidi"/>
      <w:caps/>
      <w:color w:val="44546A" w:themeColor="text2"/>
      <w:spacing w:val="-15"/>
      <w:sz w:val="72"/>
      <w:szCs w:val="72"/>
    </w:rPr>
  </w:style>
  <w:style w:type="paragraph" w:customStyle="1" w:styleId="Strong1">
    <w:name w:val="Strong1"/>
    <w:rPr>
      <w:b/>
      <w:bCs/>
    </w:rPr>
  </w:style>
  <w:style w:type="paragraph" w:styleId="ListParagraph">
    <w:name w:val="List Paragraph"/>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3704AC"/>
    <w:pPr>
      <w:tabs>
        <w:tab w:val="center" w:pos="4680"/>
        <w:tab w:val="right" w:pos="9360"/>
      </w:tabs>
    </w:pPr>
  </w:style>
  <w:style w:type="character" w:customStyle="1" w:styleId="HeaderChar">
    <w:name w:val="Header Char"/>
    <w:basedOn w:val="DefaultParagraphFont"/>
    <w:link w:val="Header"/>
    <w:uiPriority w:val="99"/>
    <w:rsid w:val="003704AC"/>
  </w:style>
  <w:style w:type="paragraph" w:styleId="Footer">
    <w:name w:val="footer"/>
    <w:basedOn w:val="Normal"/>
    <w:link w:val="FooterChar"/>
    <w:uiPriority w:val="99"/>
    <w:unhideWhenUsed/>
    <w:rsid w:val="003704AC"/>
    <w:pPr>
      <w:tabs>
        <w:tab w:val="center" w:pos="4680"/>
        <w:tab w:val="right" w:pos="9360"/>
      </w:tabs>
    </w:pPr>
  </w:style>
  <w:style w:type="character" w:customStyle="1" w:styleId="FooterChar">
    <w:name w:val="Footer Char"/>
    <w:basedOn w:val="DefaultParagraphFont"/>
    <w:link w:val="Footer"/>
    <w:uiPriority w:val="99"/>
    <w:rsid w:val="003704AC"/>
  </w:style>
  <w:style w:type="character" w:customStyle="1" w:styleId="Heading1Char">
    <w:name w:val="Heading 1 Char"/>
    <w:basedOn w:val="DefaultParagraphFont"/>
    <w:link w:val="Heading1"/>
    <w:uiPriority w:val="9"/>
    <w:rsid w:val="003704AC"/>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3704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04AC"/>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04A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704A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704A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704A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704A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704A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3704AC"/>
    <w:pPr>
      <w:spacing w:line="240" w:lineRule="auto"/>
    </w:pPr>
    <w:rPr>
      <w:b/>
      <w:bCs/>
      <w:smallCaps/>
      <w:color w:val="44546A" w:themeColor="text2"/>
    </w:rPr>
  </w:style>
  <w:style w:type="character" w:customStyle="1" w:styleId="TitleChar">
    <w:name w:val="Title Char"/>
    <w:basedOn w:val="DefaultParagraphFont"/>
    <w:link w:val="Title"/>
    <w:uiPriority w:val="10"/>
    <w:rsid w:val="003704A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704A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704AC"/>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704AC"/>
    <w:rPr>
      <w:b/>
      <w:bCs/>
    </w:rPr>
  </w:style>
  <w:style w:type="character" w:styleId="Emphasis">
    <w:name w:val="Emphasis"/>
    <w:basedOn w:val="DefaultParagraphFont"/>
    <w:uiPriority w:val="20"/>
    <w:qFormat/>
    <w:rsid w:val="003704AC"/>
    <w:rPr>
      <w:i/>
      <w:iCs/>
    </w:rPr>
  </w:style>
  <w:style w:type="paragraph" w:styleId="NoSpacing">
    <w:name w:val="No Spacing"/>
    <w:uiPriority w:val="1"/>
    <w:qFormat/>
    <w:rsid w:val="003704AC"/>
    <w:pPr>
      <w:spacing w:after="0" w:line="240" w:lineRule="auto"/>
    </w:pPr>
  </w:style>
  <w:style w:type="paragraph" w:styleId="Quote">
    <w:name w:val="Quote"/>
    <w:basedOn w:val="Normal"/>
    <w:next w:val="Normal"/>
    <w:link w:val="QuoteChar"/>
    <w:uiPriority w:val="29"/>
    <w:qFormat/>
    <w:rsid w:val="003704A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704AC"/>
    <w:rPr>
      <w:color w:val="44546A" w:themeColor="text2"/>
      <w:sz w:val="24"/>
      <w:szCs w:val="24"/>
    </w:rPr>
  </w:style>
  <w:style w:type="paragraph" w:styleId="IntenseQuote">
    <w:name w:val="Intense Quote"/>
    <w:basedOn w:val="Normal"/>
    <w:next w:val="Normal"/>
    <w:link w:val="IntenseQuoteChar"/>
    <w:uiPriority w:val="30"/>
    <w:qFormat/>
    <w:rsid w:val="003704A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704A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704AC"/>
    <w:rPr>
      <w:i/>
      <w:iCs/>
      <w:color w:val="595959" w:themeColor="text1" w:themeTint="A6"/>
    </w:rPr>
  </w:style>
  <w:style w:type="character" w:styleId="IntenseEmphasis">
    <w:name w:val="Intense Emphasis"/>
    <w:basedOn w:val="DefaultParagraphFont"/>
    <w:uiPriority w:val="21"/>
    <w:qFormat/>
    <w:rsid w:val="003704AC"/>
    <w:rPr>
      <w:b/>
      <w:bCs/>
      <w:i/>
      <w:iCs/>
    </w:rPr>
  </w:style>
  <w:style w:type="character" w:styleId="SubtleReference">
    <w:name w:val="Subtle Reference"/>
    <w:basedOn w:val="DefaultParagraphFont"/>
    <w:uiPriority w:val="31"/>
    <w:qFormat/>
    <w:rsid w:val="003704A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704AC"/>
    <w:rPr>
      <w:b/>
      <w:bCs/>
      <w:smallCaps/>
      <w:color w:val="44546A" w:themeColor="text2"/>
      <w:u w:val="single"/>
    </w:rPr>
  </w:style>
  <w:style w:type="character" w:styleId="BookTitle">
    <w:name w:val="Book Title"/>
    <w:basedOn w:val="DefaultParagraphFont"/>
    <w:uiPriority w:val="33"/>
    <w:qFormat/>
    <w:rsid w:val="003704AC"/>
    <w:rPr>
      <w:b/>
      <w:bCs/>
      <w:smallCaps/>
      <w:spacing w:val="10"/>
    </w:rPr>
  </w:style>
  <w:style w:type="paragraph" w:styleId="TOCHeading">
    <w:name w:val="TOC Heading"/>
    <w:basedOn w:val="Heading1"/>
    <w:next w:val="Normal"/>
    <w:uiPriority w:val="39"/>
    <w:unhideWhenUsed/>
    <w:qFormat/>
    <w:rsid w:val="003704AC"/>
    <w:pPr>
      <w:outlineLvl w:val="9"/>
    </w:pPr>
  </w:style>
  <w:style w:type="character" w:styleId="FollowedHyperlink">
    <w:name w:val="FollowedHyperlink"/>
    <w:basedOn w:val="DefaultParagraphFont"/>
    <w:uiPriority w:val="99"/>
    <w:semiHidden/>
    <w:unhideWhenUsed/>
    <w:rsid w:val="001F69F6"/>
    <w:rPr>
      <w:color w:val="954F72" w:themeColor="followedHyperlink"/>
      <w:u w:val="single"/>
    </w:rPr>
  </w:style>
  <w:style w:type="paragraph" w:styleId="TOC1">
    <w:name w:val="toc 1"/>
    <w:basedOn w:val="Normal"/>
    <w:next w:val="Normal"/>
    <w:autoRedefine/>
    <w:uiPriority w:val="39"/>
    <w:unhideWhenUsed/>
    <w:rsid w:val="001F69F6"/>
    <w:pPr>
      <w:spacing w:after="100"/>
    </w:pPr>
  </w:style>
  <w:style w:type="paragraph" w:styleId="TOC2">
    <w:name w:val="toc 2"/>
    <w:basedOn w:val="Normal"/>
    <w:next w:val="Normal"/>
    <w:autoRedefine/>
    <w:uiPriority w:val="39"/>
    <w:unhideWhenUsed/>
    <w:rsid w:val="001F69F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aucc.2019.01.002" TargetMode="External"/><Relationship Id="rId26" Type="http://schemas.openxmlformats.org/officeDocument/2006/relationships/hyperlink" Target="https://www.patientsafetycommissioner.org.uk/blog/introducing-ryans-rule-the-forerunner-of-marthas-rule/" TargetMode="External"/><Relationship Id="rId3" Type="http://schemas.openxmlformats.org/officeDocument/2006/relationships/styles" Target="styles.xml"/><Relationship Id="rId21" Type="http://schemas.openxmlformats.org/officeDocument/2006/relationships/hyperlink" Target="https://www.ihi.org/resources/Pages/Tools/PlanDoStudyActWorksheet.aspx"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jstor.org/stable/3348969" TargetMode="External"/><Relationship Id="rId25" Type="http://schemas.openxmlformats.org/officeDocument/2006/relationships/hyperlink" Target="https://www.england.nhs.uk/statistics/statistical-work-areas/marthas-rul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mj.com/content/383/bmj.p2221" TargetMode="External"/><Relationship Id="rId20" Type="http://schemas.openxmlformats.org/officeDocument/2006/relationships/hyperlink" Target="https://www.dovepress.com/where-do-models-for-change-management-improvement-and-implementation-m-peer-reviewed-fulltext-article-JHL" TargetMode="External"/><Relationship Id="rId29" Type="http://schemas.openxmlformats.org/officeDocument/2006/relationships/hyperlink" Target="https://qualitysafety.bmj.com/content/34/1/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ngland.nhs.uk/2025/09/marthas-rule-rolled-out-to-all-acute-hospital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ejm.org/doi/full/10.1056/NEJMp1605101" TargetMode="External"/><Relationship Id="rId23" Type="http://schemas.openxmlformats.org/officeDocument/2006/relationships/hyperlink" Target="https://www.england.nhs.uk/patient-safety/the-nhs-patient-safety-strategy/" TargetMode="External"/><Relationship Id="rId28" Type="http://schemas.openxmlformats.org/officeDocument/2006/relationships/hyperlink" Target="https://doi.org/10.12968/hmed.2023.0422" TargetMode="External"/><Relationship Id="rId10" Type="http://schemas.openxmlformats.org/officeDocument/2006/relationships/image" Target="media/image3.png"/><Relationship Id="rId19" Type="http://schemas.openxmlformats.org/officeDocument/2006/relationships/hyperlink" Target="https://onlinelibrary.wiley.com/doi/10.1111/ans.17584"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eedsth.nhs.uk/wp-content/uploads/2024/10/Patient-Safety-and-Quality.pdf" TargetMode="External"/><Relationship Id="rId27" Type="http://schemas.openxmlformats.org/officeDocument/2006/relationships/hyperlink" Target="https://www.royalberkshire.nhs.uk/media/2xpdwmik/quality-report-2024-25.pdf" TargetMode="External"/><Relationship Id="rId30" Type="http://schemas.openxmlformats.org/officeDocument/2006/relationships/hyperlink" Target="https://www.weightmans.com/insights/marthas-rule-what-is-it-and-why-does-it-matter/"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C9CCC-38E6-4127-8C7F-2817F5290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3960</Words>
  <Characters>22576</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Hetvi Sangdot</cp:lastModifiedBy>
  <cp:revision>2</cp:revision>
  <dcterms:created xsi:type="dcterms:W3CDTF">2026-07-29T03:43:00Z</dcterms:created>
  <dcterms:modified xsi:type="dcterms:W3CDTF">2026-07-29T03:43:00Z</dcterms:modified>
</cp:coreProperties>
</file>