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50197A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1547E">
              <w:rPr>
                <w:b/>
                <w:color w:val="auto"/>
                <w:sz w:val="32"/>
              </w:rPr>
              <w:t>Sally George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D9D4F5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E1547E">
              <w:rPr>
                <w:b/>
                <w:color w:val="auto"/>
                <w:sz w:val="32"/>
              </w:rPr>
              <w:t xml:space="preserve"> 2131899</w:t>
            </w:r>
          </w:p>
          <w:p w14:paraId="523CD454" w14:textId="40152D07" w:rsidR="00575A8F" w:rsidRDefault="00575A8F" w:rsidP="00E6298B">
            <w:pPr>
              <w:overflowPunct/>
              <w:autoSpaceDE/>
              <w:autoSpaceDN/>
              <w:adjustRightInd/>
              <w:ind w:right="107"/>
              <w:textAlignment w:val="auto"/>
              <w:rPr>
                <w:b/>
                <w:color w:val="auto"/>
                <w:sz w:val="32"/>
              </w:rPr>
            </w:pP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25043567" w14:textId="77777777" w:rsidR="00E1547E" w:rsidRDefault="00E1547E"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430E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3B855813" w14:textId="77777777" w:rsidR="00FF7784" w:rsidRPr="00270EEB" w:rsidRDefault="00FF7784" w:rsidP="00E6298B">
      <w:pPr>
        <w:ind w:right="107"/>
        <w:jc w:val="both"/>
        <w:rPr>
          <w:sz w:val="24"/>
          <w:szCs w:val="24"/>
        </w:rPr>
      </w:pPr>
    </w:p>
    <w:p w14:paraId="489DAFA3"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Since attesting as a Police Constable, and focusing specifically on my initial six months of learning, throughout this essay I will discuss and explore the concept of stress and resilience and the coping strategies I utilised during this period to minimise the effects of stress.  As this is going to be done using a reflective approach, Borton’s Model of Reflection will provide a framework for reflection using his three stem questions, What?, So What? and Now What? (Borton, 1970).  The ‘What’ phase of the model will be used to describe what stresses I felt I developed over the six months, the ‘So What’ phase will discuss the coping strategies I developed and utilised and the ‘Now What’ will evaluate the strategies I undertook, comparing what I felt worked and did not work and reflecting upon how these may or may not be beneficial whilst undertaking the next stage of my role.</w:t>
      </w:r>
    </w:p>
    <w:p w14:paraId="6467D2C9"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7E0E494D"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 xml:space="preserve">There is no one agreed definition of what exactly stress is, more a recognised distinction between external stimuli or ‘stressors’ and the internal responses to that stimuli eg. perceived stress (Wright </w:t>
      </w:r>
      <w:r w:rsidRPr="007D12A1">
        <w:rPr>
          <w:rFonts w:asciiTheme="minorHAnsi" w:eastAsiaTheme="minorHAnsi" w:hAnsiTheme="minorHAnsi" w:cstheme="minorBidi"/>
          <w:i/>
          <w:iCs/>
          <w:color w:val="auto"/>
          <w:sz w:val="24"/>
          <w:szCs w:val="24"/>
          <w:lang w:eastAsia="en-US"/>
        </w:rPr>
        <w:t>et. al.,</w:t>
      </w:r>
      <w:r w:rsidRPr="007D12A1">
        <w:rPr>
          <w:rFonts w:asciiTheme="minorHAnsi" w:eastAsiaTheme="minorHAnsi" w:hAnsiTheme="minorHAnsi" w:cstheme="minorBidi"/>
          <w:color w:val="auto"/>
          <w:sz w:val="24"/>
          <w:szCs w:val="24"/>
          <w:lang w:eastAsia="en-US"/>
        </w:rPr>
        <w:t xml:space="preserve"> 2019, p. 28).  I personally found that my stressors in relation to the last six months were the volume of information and legislation that had to be learned, revising for the exams alongside working full time and being a single mum to two children, the travelling and the associated cost of petrol etc.  Research has shown that stress can have many harmful effects playing a significant role in a number of diseases and pathological conditions, dependent upon the severity and persistence of the stress (Yaribeygi </w:t>
      </w:r>
      <w:r w:rsidRPr="007D12A1">
        <w:rPr>
          <w:rFonts w:asciiTheme="minorHAnsi" w:eastAsiaTheme="minorHAnsi" w:hAnsiTheme="minorHAnsi" w:cstheme="minorBidi"/>
          <w:i/>
          <w:iCs/>
          <w:color w:val="auto"/>
          <w:sz w:val="24"/>
          <w:szCs w:val="24"/>
          <w:lang w:eastAsia="en-US"/>
        </w:rPr>
        <w:t>et. al</w:t>
      </w:r>
      <w:r w:rsidRPr="007D12A1">
        <w:rPr>
          <w:rFonts w:asciiTheme="minorHAnsi" w:eastAsiaTheme="minorHAnsi" w:hAnsiTheme="minorHAnsi" w:cstheme="minorBidi"/>
          <w:color w:val="auto"/>
          <w:sz w:val="24"/>
          <w:szCs w:val="24"/>
          <w:lang w:eastAsia="en-US"/>
        </w:rPr>
        <w:t>., 2017, p. 1066).  However, whilst some stress is unavoidable, it is important to health that stress is managed and resilience developed.</w:t>
      </w:r>
    </w:p>
    <w:p w14:paraId="051EF87A"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102F0A35"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Resilience can be described as “achieving a positive outcome in the face of adversity” and can involve utilising coping mechanisms to “actively resist” against adversities (McEwen, Gray &amp; Nasca, 2015).  Whilst I have found that the last six months has not been without its ‘stressors’ I am conscious that the next stage of my policing career is undoubtedly going to be far more stressful.  Significantly, a survey carried out in 2019 by the Police Federation of England &amp; Wales found that 79% of officers reported feelings of anxiety and stress in the 12 months prior, and 94% cited their job as the cause of or exacerbating these feelings (POLFED, 2019). Dealing with operationally challenging situations and traumatic stressors is considered the norm for police officers and resilience considered an important capacity to enable them to “bounce back” and deal with future situations (Janssens et.al., 2021).  It is therefore paramount that police officers ensure that they build on their resilience and use appropriate coping mechanisms to enable a better performance in relation to carrying out their duties.</w:t>
      </w:r>
    </w:p>
    <w:p w14:paraId="77A75B55"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6A67C20A"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 xml:space="preserve">Referring back to Borton’s Model of Reflection, the ‘So What?’ phase can now be considered when looking at the coping strategies I have utilised in managing my stress.  As alluded to above, stress can have a number of harmful effects on the mind and body and I found that personally these would manifest in a lack of appetite, interrupted sleep pattern, headaches and at times tearful episodes.  I have always enjoyed exercising and attend the gym regularly, not only to ensure that I am physically fit and able to do my job but as a single parent to enjoy the social element of exercising with friends and relieving stress and pressure.  Not only has research proven that exercise has significant benefits for cardiovascular and physical health (Nystoriak &amp; Bhatnagar, 2018) but existing literature has also shown that physical activity can result in physiological changes, improving mental health, anxiety levels and mood and lowering stress levels (Mikkelsen </w:t>
      </w:r>
      <w:r w:rsidRPr="007D12A1">
        <w:rPr>
          <w:rFonts w:asciiTheme="minorHAnsi" w:eastAsiaTheme="minorHAnsi" w:hAnsiTheme="minorHAnsi" w:cstheme="minorBidi"/>
          <w:i/>
          <w:iCs/>
          <w:color w:val="auto"/>
          <w:sz w:val="24"/>
          <w:szCs w:val="24"/>
          <w:lang w:eastAsia="en-US"/>
        </w:rPr>
        <w:t>et. al</w:t>
      </w:r>
      <w:r w:rsidRPr="007D12A1">
        <w:rPr>
          <w:rFonts w:asciiTheme="minorHAnsi" w:eastAsiaTheme="minorHAnsi" w:hAnsiTheme="minorHAnsi" w:cstheme="minorBidi"/>
          <w:color w:val="auto"/>
          <w:sz w:val="24"/>
          <w:szCs w:val="24"/>
          <w:lang w:eastAsia="en-US"/>
        </w:rPr>
        <w:t>., 2017).  However, I found that during my initial six months training I had less time available to attend the gym which in turn added to the stress and frustration I felt at not being able to exercise as I wanted.  Due to leaving the house early to travel to work I did not have time to get to the gym and back in time before work and after work looking after my children and home would often mean that I had very little time to myself in the evenings.  I therefore felt that I had to consider alternative methods of physical activity in attempt to minimise stress.</w:t>
      </w:r>
    </w:p>
    <w:p w14:paraId="298BE4B5"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76D1BCE2"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 xml:space="preserve">As an alternative I decided to start running.  Although I had a good level of cardiovascular fitness I had never used running as a means of exercise.  However, I found that it required far less of my time and I could therefore go before or after work as I did not have to factor in travel time.  Studies have found that running has a positive impact on anxiety, depression and overall mental health (Oswald </w:t>
      </w:r>
      <w:r w:rsidRPr="007D12A1">
        <w:rPr>
          <w:rFonts w:asciiTheme="minorHAnsi" w:eastAsiaTheme="minorHAnsi" w:hAnsiTheme="minorHAnsi" w:cstheme="minorBidi"/>
          <w:i/>
          <w:iCs/>
          <w:color w:val="auto"/>
          <w:sz w:val="24"/>
          <w:szCs w:val="24"/>
          <w:lang w:eastAsia="en-US"/>
        </w:rPr>
        <w:t>et. al</w:t>
      </w:r>
      <w:r w:rsidRPr="007D12A1">
        <w:rPr>
          <w:rFonts w:asciiTheme="minorHAnsi" w:eastAsiaTheme="minorHAnsi" w:hAnsiTheme="minorHAnsi" w:cstheme="minorBidi"/>
          <w:color w:val="auto"/>
          <w:sz w:val="24"/>
          <w:szCs w:val="24"/>
          <w:lang w:eastAsia="en-US"/>
        </w:rPr>
        <w:t>., 2020) and I also found it easy to monitor my progress by logging my distances and times and therefore keeping track of my improvements.</w:t>
      </w:r>
    </w:p>
    <w:p w14:paraId="67480EBA"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5269F3AC"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Finally, another coping strategy I also undertook was reading.  If I could not get to the gym and could not run due to poor weather etc I found reading an effective way of ‘switching off’ and reducing stress.  Studies carried out have found that stress can be reduced by up to 68% when reading for as little as six minutes a day, by distracting the brain from stressful or anxious thoughts which in turn reduces the heart rate and stress induced tension (Anxiety Centre, 2021).  I found reading very beneficial, especially before bed as a method of unwinding and helping me get to sleep.</w:t>
      </w:r>
    </w:p>
    <w:p w14:paraId="45B60239"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72801E65"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To conclude and referring back to the ‘Now What?’ phase of Borton’s Model of Reflection, I feel that the coping strategies that I utilised during my training period can easily be carried forward to the next stages of my employment.  Whilst I will endeavour to attend the gym wherever possible, due to now working shifts I have discovered that I can adapt to using running as a method of stress relief.  However, due to the physical demands of my role I am also aware that over exerting myself physically may not always be in my best interests and therefore reading may be a more appropriate method of building resilience and managing stress.  On reflection, going forward, I feel that being able to balance both physical exercise and reading will be the most beneficial for my body and my mind, enabling me to carry out my role to the best of my ability.</w:t>
      </w:r>
    </w:p>
    <w:p w14:paraId="381AF2CA"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7CE11103"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b/>
          <w:bCs/>
          <w:color w:val="auto"/>
          <w:sz w:val="24"/>
          <w:szCs w:val="24"/>
          <w:lang w:eastAsia="en-US"/>
        </w:rPr>
      </w:pPr>
      <w:r w:rsidRPr="007D12A1">
        <w:rPr>
          <w:rFonts w:asciiTheme="minorHAnsi" w:eastAsiaTheme="minorHAnsi" w:hAnsiTheme="minorHAnsi" w:cstheme="minorBidi"/>
          <w:b/>
          <w:bCs/>
          <w:color w:val="auto"/>
          <w:sz w:val="24"/>
          <w:szCs w:val="24"/>
          <w:lang w:eastAsia="en-US"/>
        </w:rPr>
        <w:t>WORD COUNT – 1,092</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6B0A817"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This essay is going to focus on a policing incident which involved conflict, specifically an incident which I attended in which a male was arrested for inflicting actual bodily harm upon another male.  The essay will critically assess the social and legislative contexts surrounding this incident and the communication and use of force utilised.  It will then go on to critically evaluate the academic theories underpinning the causes of conflict within policing interventions and reflect upon the outcome of the incident.</w:t>
      </w:r>
    </w:p>
    <w:p w14:paraId="222D6B93"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4384AB7D"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Through the very nature of the policing profession, dealing with conflict is a significant aspect of the day to day role.  Defined as mutually incompatible intentions in any situation involving two or more parties (Agastra, 2018) police officers are regularly required to manage conflict at a number of different levels.  This can include in response to crimes such as assaults and domestic violence, to dealing with interpersonal conflict such as mental health emergencies.  The incident to which this essay will refer involved the assault of a male outside a nightclub by another male.</w:t>
      </w:r>
    </w:p>
    <w:p w14:paraId="53B3A005"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2D0EAFD7"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Whilst on an ‘after dark’ shift on a Saturday night I was patrolling with my partner on a street with a significant number of pubs and nightclubs.  Our attention was drawn to an incident which occurred in close proximity to us whereby a male who appeared to be in conversation with another male and two females punched, seemingly without provocation, the other male to the face causing him to fall immediately to the floor where he continued to punch him a further three to four times despite the fact the victim appeared to be unconscious.  Whilst there were no ethnicity, language or cultural issues there were both social and legislative contexts to be considered.</w:t>
      </w:r>
    </w:p>
    <w:p w14:paraId="277CA4A6"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73C52A1A"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Considering the social context of this incident, alcohol related violence and violence within the night time economy have been raised as areas of concern, not only at local levels but across the UK.  Research carried out by the Institute of Alcohol Studies found that in 2 of every 5 violent crimes reported, the perpetrator was believed to be under the influence of alcohol (IAS, 2020).  In addition, studies have also found that the peak time for these violent crimes is on weekend nights with the peak locations being around licenced premises and where intoxicated people are likely to be gathered around food and transport providers (Finney, 2004).  These issues have been discussed at local and national government levels for a number of years resulting in the implementation of a range of legislation and polices, the most recent being the introduction of sobriety tags.  Issued to offenders who have committed alcohol related offences they are designed to detect alcohol in the sweat of the wearer which in turn sends an alert to the offender’s probation officer helping to steer the offender away from returning to bad habits (Ministry of Justice, 2021a).</w:t>
      </w:r>
    </w:p>
    <w:p w14:paraId="6DED1151"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3ABE4397"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Tackling alcohol related violence with effective interventions has also undergone a number of reviews from a policing perspective with evidence suggesting that engagement with local stakeholders such as door staff, licence holders and local authorities proves the most effective (College of Policing, 2022).  In addition, on a local level, the South Wales Police &amp; Crime Plan 2021-25 has further pledged to reduce the pressure on public services and protect the public by improving innovative approaches to the night time economy evidencing the tackling of violence as a key priority (Police &amp; Crime Commissioner, undated).</w:t>
      </w:r>
    </w:p>
    <w:p w14:paraId="3033D8BD"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500E9F2E"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In assessing the legislative context of the incident the use of force and injuries sustained must be considered.  During the incident unlawful force was inflicted by one male against another.  Whilst the assault was initially considered to be quite serious, thankfully the injuries sustained were not as significant as initially thought and amounted to actual bodily harm.  Defined in Section 47 of the Offences Against the Person Act 1861, when one person, either recklessly or intentionally, assaults another person and the harm caused is more than transient or trifling, the offence is committed (CPS, 2022).  In this incident the victim sustained bruising to the eye, a laceration to the ear, loss of consciousness and short term memory loss which would place the harm caused within the category of ABH.</w:t>
      </w:r>
    </w:p>
    <w:p w14:paraId="5BFD7D5A"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26BED723"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 xml:space="preserve">Due to the fact that the incident occurred within close proximity to us there was very little time within which to fully assessed the options available and how to respond, however the National Decision Model (NDM) is considered and applied to every incident that officers respond to.   Centred around the Code of Ethics (the ten standards of professional behaviour and nine policing principles) the NDM provides a structured, ethical, decision making rationale to the way that officers deal with incidents (Wood </w:t>
      </w:r>
      <w:r w:rsidRPr="007D12A1">
        <w:rPr>
          <w:rFonts w:asciiTheme="minorHAnsi" w:eastAsiaTheme="minorHAnsi" w:hAnsiTheme="minorHAnsi" w:cstheme="minorBidi"/>
          <w:i/>
          <w:iCs/>
          <w:color w:val="auto"/>
          <w:sz w:val="24"/>
          <w:szCs w:val="24"/>
          <w:lang w:eastAsia="en-US"/>
        </w:rPr>
        <w:t>et. al.</w:t>
      </w:r>
      <w:r w:rsidRPr="007D12A1">
        <w:rPr>
          <w:rFonts w:asciiTheme="minorHAnsi" w:eastAsiaTheme="minorHAnsi" w:hAnsiTheme="minorHAnsi" w:cstheme="minorBidi"/>
          <w:color w:val="auto"/>
          <w:sz w:val="24"/>
          <w:szCs w:val="24"/>
          <w:lang w:eastAsia="en-US"/>
        </w:rPr>
        <w:t>, 2022). Made up of five distinct components, as below, the NDM allows for logical assessment and if necessary, reassessment, of any situation.</w:t>
      </w:r>
    </w:p>
    <w:p w14:paraId="025033B5" w14:textId="77777777" w:rsidR="007D12A1" w:rsidRPr="007D12A1" w:rsidRDefault="007D12A1" w:rsidP="007D12A1">
      <w:pPr>
        <w:numPr>
          <w:ilvl w:val="0"/>
          <w:numId w:val="50"/>
        </w:numPr>
        <w:overflowPunct/>
        <w:autoSpaceDE/>
        <w:autoSpaceDN/>
        <w:adjustRightInd/>
        <w:spacing w:after="160" w:line="259" w:lineRule="auto"/>
        <w:contextualSpacing/>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 xml:space="preserve">Information - Gathering information and intelligence </w:t>
      </w:r>
    </w:p>
    <w:p w14:paraId="59DC5FFF" w14:textId="77777777" w:rsidR="007D12A1" w:rsidRPr="007D12A1" w:rsidRDefault="007D12A1" w:rsidP="007D12A1">
      <w:pPr>
        <w:numPr>
          <w:ilvl w:val="0"/>
          <w:numId w:val="50"/>
        </w:numPr>
        <w:overflowPunct/>
        <w:autoSpaceDE/>
        <w:autoSpaceDN/>
        <w:adjustRightInd/>
        <w:spacing w:after="160" w:line="259" w:lineRule="auto"/>
        <w:contextualSpacing/>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Assessment – Assessing risk and threat</w:t>
      </w:r>
    </w:p>
    <w:p w14:paraId="765BB126" w14:textId="77777777" w:rsidR="007D12A1" w:rsidRPr="007D12A1" w:rsidRDefault="007D12A1" w:rsidP="007D12A1">
      <w:pPr>
        <w:numPr>
          <w:ilvl w:val="0"/>
          <w:numId w:val="50"/>
        </w:numPr>
        <w:overflowPunct/>
        <w:autoSpaceDE/>
        <w:autoSpaceDN/>
        <w:adjustRightInd/>
        <w:spacing w:after="160" w:line="259" w:lineRule="auto"/>
        <w:contextualSpacing/>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Powers and Policy – considering those available when making decisions</w:t>
      </w:r>
    </w:p>
    <w:p w14:paraId="36A7E4C8" w14:textId="77777777" w:rsidR="007D12A1" w:rsidRPr="007D12A1" w:rsidRDefault="007D12A1" w:rsidP="007D12A1">
      <w:pPr>
        <w:numPr>
          <w:ilvl w:val="0"/>
          <w:numId w:val="50"/>
        </w:numPr>
        <w:overflowPunct/>
        <w:autoSpaceDE/>
        <w:autoSpaceDN/>
        <w:adjustRightInd/>
        <w:spacing w:after="160" w:line="259" w:lineRule="auto"/>
        <w:contextualSpacing/>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 xml:space="preserve">Options – identifying options and contingencies </w:t>
      </w:r>
    </w:p>
    <w:p w14:paraId="6200AEBC" w14:textId="77777777" w:rsidR="007D12A1" w:rsidRPr="007D12A1" w:rsidRDefault="007D12A1" w:rsidP="007D12A1">
      <w:pPr>
        <w:numPr>
          <w:ilvl w:val="0"/>
          <w:numId w:val="50"/>
        </w:numPr>
        <w:overflowPunct/>
        <w:autoSpaceDE/>
        <w:autoSpaceDN/>
        <w:adjustRightInd/>
        <w:spacing w:after="160" w:line="259" w:lineRule="auto"/>
        <w:contextualSpacing/>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 xml:space="preserve">Action – taking appropriate action and reviewing how the incident was dealt with </w:t>
      </w:r>
    </w:p>
    <w:p w14:paraId="4F3C5995"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Officers regularly have to deal with spontaneous and fast moving incidents, as in this case, and the flexibility of the NDM makes it suitable for applying to all decisions aiding development of professional judgement and effective decision making (ACPO, 2015).  This is particularly important when dealing with conflict and assessing the necessity for use of force.</w:t>
      </w:r>
    </w:p>
    <w:p w14:paraId="5945898F"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5BBB2A62"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S117 of the Police and Criminal Evidence Act 1984 provides an officer with the power to use reasonable force where necessary in the exercising of his duties (PACE, 1984).  However, together with considering the NDM and the powers available to them, officers also need to consider any impact factors and danger cues which may influence the interaction with the suspect and the level of force necessary.  Impact factors which need to be taken into consideration when primarily assessing how to deal with a situation could include the size or build of the person, the location, whether the person may be under influence of alcohol or drugs or whether they may be in possession of any weapons (College of Policing, 2020).  Recognising danger cues is also vital, these could be intense staring, clenched fists or jaw or appearing agitated (Calibre Press, 2019).  In respect of this incident, due to the fact that it had taken place in the vicinity of a number of bars and clubs there were a significant number of members of the public in the area.  It was also reasonable to assume that the suspect had been consuming alcohol which may have affected his level of understanding and ability to communicate.  These were all factors I was considering when approaching the male immediately following the incident, together with his build as he was significantly taller and heavier built than me.</w:t>
      </w:r>
    </w:p>
    <w:p w14:paraId="3655DFF9"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177E1C4A"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Verbal communication skills are vitally important in policing and should be utilised before any force is considered.  Due to the fact that we had witnessed the assault take place and therefore a crime being committed it was clear that the male was going to need to be arrested and placed in handcuffs however it was my intention to communicate with him so that this could be done in a calm and compliant manner so as to try to negate any further incident or need for force.  Along with other effective communication skills, active listening and building a rapport with both suspects and victims is crucial and skills which I am conscious of applying to every incident. There are a number of communication models utilised by the police with Betari’s Box being a model applied when dealing with aggressive or emotional members of the public.  This particular model illustrates how our attitude and behaviour can affect the attitude and behaviour of the individual with which we are dealing, where negative feelings can be exacerbated and conflict created through inappropriate words, tone or body language (Pepper, 2011).  However, Betari’s Box has been criticised for being overly simplistic (Barham, 2016) and it should be considered whether changing the behaviour or attitude of one person should be relied upon to change the behaviour or attitude of another.</w:t>
      </w:r>
    </w:p>
    <w:p w14:paraId="5C100BA3"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6E9B545D"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A similar model focusing on destructive human interactions that can occur during conflict is Stephen Karpman’s Drama Triangle.  Consisting of three primary roles that we subconsciously assume, the rescuer, persecutor and victim, each role illustrates a game of power and represents an ineffective response to conflict in a situation (McMahon, 2005).  When viewing this incident from the perspective of the Drama Triangle it may be said that there were clear roles within which the parties involved fell, the victim, the suspect as the persecutor and the police as the rescuers.  However, the Drama Triangle has been criticised for actually escalating drama.  What usually starts off as contrasting opinions within conflict often become exacerbated as counter actions are carried out and roles shift increasing the polarisation and in turn the conflict, in essence being in the Drama Triangle just means the only outcome is going to be more drama (Johnson, 2020).</w:t>
      </w:r>
    </w:p>
    <w:p w14:paraId="5800600E"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2171E50F"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Reflecting on this incident and the communication and use of force utilised I am happy with the way in which I dealt with the situation.  Using the Gibbs Reflective Cycle (1988) provided a framework within which I was able to examine the incident and reflect on the positives and negatives of the situation.  Structured into six stages the Gibbs Reflective Cycle allows for reflection of your feelings, evaluating and analysing the incident, concluding what else could have been done and allows for reflection on what could be done in any future similar situations (Husebo &amp; O’Regan, 2015).</w:t>
      </w:r>
    </w:p>
    <w:p w14:paraId="296D4079"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5F4F3B7F"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Using my police training and communication skills, upon approaching the violent male I was aware that I needed to approach the situation calmly.  I was immediately aware that he appeared to be intoxicated and given his previous level of unpredictability asked him to step away from the now crowd of people around the victim.   The male appeared to be relatively calm and compliant however I was aware that he would need to be placed in handcuffs as soon as possible for the safety of myself, others and to prevent him attempting to leave the scene.  As previously alluded to I was processing the NDM by assessing the threat, considering my powers and options and the actions I needed to take.  Also, in line with South Wales Police force policy, I was aware that any actions carried out and force used would need to be justified, proportionate, legal, accountable, necessary and ethical (internally referred to using the pneumonic JPLANE).</w:t>
      </w:r>
    </w:p>
    <w:p w14:paraId="7DAA534C"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0A4A747D"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Being aware of the Betari’s Box model of communication I spoke to the subject in a calm and non-judgemental manner, giving consideration to the use of my tone and body language and potential influence this could have on the situation. I was conscious of building a rapport so acquired his first name to encourage a more personal approach to communicating with him.  I was also aware of my non-verbal actions such as the manner in which I approached him and my stance and use of hand gestures.   Having advised him that he was under arrest on suspicion of actual bodily harm I applied handcuffs to the rear whilst communicating and establishing compliance.  I was aware that whilst I was not at that moment having to deal with any physical conflict, the subject could also have shown verbal or physical resistance however by utilising tactical communications the subject remained calm and the need for any further tactics was negated.  On reflection my role was to prevent the occurring of any further conflict and when considering the incident the way in which I utilised my communication skills resulted in a positive outcome.</w:t>
      </w:r>
    </w:p>
    <w:p w14:paraId="656385D9"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3612B6A4" w14:textId="65198395" w:rsid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7D12A1">
        <w:rPr>
          <w:rFonts w:asciiTheme="minorHAnsi" w:eastAsiaTheme="minorHAnsi" w:hAnsiTheme="minorHAnsi" w:cstheme="minorBidi"/>
          <w:color w:val="auto"/>
          <w:sz w:val="24"/>
          <w:szCs w:val="24"/>
          <w:lang w:eastAsia="en-US"/>
        </w:rPr>
        <w:t>Again, referring back to the NDM and the Gibbs Reflective Cycle when reflecting on whether there is anything that I could have done differently when dealing with this incident I don’t feel that there is.  The manner in which I effectively communicated with the subject led to a straightforward arrest in which minimal use of force was needed and he was safely conveyed to custody.  It also meant that my colleague was able to attend to the needs of the victim, ensuring that they were given appropriate initial medical care and the witnesses at the scene were spoken to promptly to allow for a successful investigation and prosecution.  In summary, I am confident that the training I have been provided with has adequately provided me with the capabilities to successfully deal with conflict and going forward I feel confident that I would be able to deal with any future incidents with the same degree of professionalism and competency.</w:t>
      </w:r>
    </w:p>
    <w:p w14:paraId="1ED9C738"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06F57F22" w14:textId="77777777" w:rsidR="007D12A1" w:rsidRPr="007D12A1" w:rsidRDefault="007D12A1" w:rsidP="007D12A1">
      <w:pPr>
        <w:overflowPunct/>
        <w:autoSpaceDE/>
        <w:autoSpaceDN/>
        <w:adjustRightInd/>
        <w:spacing w:after="160" w:line="259" w:lineRule="auto"/>
        <w:jc w:val="both"/>
        <w:textAlignment w:val="auto"/>
        <w:rPr>
          <w:rFonts w:asciiTheme="minorHAnsi" w:eastAsiaTheme="minorHAnsi" w:hAnsiTheme="minorHAnsi" w:cstheme="minorBidi"/>
          <w:b/>
          <w:bCs/>
          <w:color w:val="auto"/>
          <w:sz w:val="24"/>
          <w:szCs w:val="24"/>
          <w:lang w:eastAsia="en-US"/>
        </w:rPr>
      </w:pPr>
      <w:r w:rsidRPr="007D12A1">
        <w:rPr>
          <w:rFonts w:asciiTheme="minorHAnsi" w:eastAsiaTheme="minorHAnsi" w:hAnsiTheme="minorHAnsi" w:cstheme="minorBidi"/>
          <w:b/>
          <w:bCs/>
          <w:color w:val="auto"/>
          <w:sz w:val="24"/>
          <w:szCs w:val="24"/>
          <w:lang w:eastAsia="en-US"/>
        </w:rPr>
        <w:t>WORD COUNT – 2,115</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2651CA9F" w:rsidR="00112751" w:rsidRDefault="00112751" w:rsidP="00E6298B">
      <w:pPr>
        <w:ind w:right="107"/>
        <w:jc w:val="both"/>
        <w:rPr>
          <w:sz w:val="24"/>
          <w:szCs w:val="24"/>
        </w:rPr>
      </w:pPr>
    </w:p>
    <w:p w14:paraId="6FB55D91"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2D0277">
        <w:rPr>
          <w:rFonts w:asciiTheme="minorHAnsi" w:eastAsiaTheme="minorHAnsi" w:hAnsiTheme="minorHAnsi" w:cstheme="minorBidi"/>
          <w:color w:val="auto"/>
          <w:sz w:val="24"/>
          <w:szCs w:val="24"/>
          <w:lang w:eastAsia="en-US"/>
        </w:rPr>
        <w:t>This essay is going to discuss a domestic violence related incident in which I played a significant role in arresting the perpetrator and providing support to the victim.  Whilst there were no cultural, ethnicity or language issues as both parties were white Welsh, the social and legislative contexts around domestic violence and associated crimes will be critically assessed together with consideration given to how victims and witnesses are supported through the criminal justice system.</w:t>
      </w:r>
    </w:p>
    <w:p w14:paraId="1BD3860E"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1CCA7CAA"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2D0277">
        <w:rPr>
          <w:rFonts w:asciiTheme="minorHAnsi" w:eastAsiaTheme="minorHAnsi" w:hAnsiTheme="minorHAnsi" w:cstheme="minorBidi"/>
          <w:color w:val="auto"/>
          <w:sz w:val="24"/>
          <w:szCs w:val="24"/>
          <w:lang w:eastAsia="en-US"/>
        </w:rPr>
        <w:t xml:space="preserve">The incident to which this essay is going to refer was a domestic related common assault in which the parties involved were already separated and living apart however had continued to have contact with each other.  The female involved was a high risk victim of domestic abuse and the male a high risk domestic violence aggressor.  The call received related to the male refusing to leave the female’s property however whilst on the phone to the public service centre operator the female disclosed that the male had assaulted her the week before by slapping her to the face.  Upon attending at the female’s property the male had already left which therefore made him a priority suspect and he was arrested at another address three days later, however this provided the opportunity to spend time with the victim and discuss her options and the support available to her.  </w:t>
      </w:r>
    </w:p>
    <w:p w14:paraId="1F1D345E"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3E6EACE0" w14:textId="60A45A0C"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2D0277">
        <w:rPr>
          <w:rFonts w:asciiTheme="minorHAnsi" w:eastAsiaTheme="minorHAnsi" w:hAnsiTheme="minorHAnsi" w:cstheme="minorBidi"/>
          <w:color w:val="auto"/>
          <w:sz w:val="24"/>
          <w:szCs w:val="24"/>
          <w:lang w:eastAsia="en-US"/>
        </w:rPr>
        <w:t>Socially, the increasing concern of violence against women and girls has been a priority issue in relation to government policy and legislation for a number of years.  The Tackling Violence Against Women and Girls Strategy has seen progress in recent years with the introduction of new offences of controlling and/or coercive behaviour, revenge porn, stalking and the passing of the Domestic Abuse Act 2021 (Home Office, 2021).  However, statistics show that there is still an alarming number of victims every year with the Crime Survey for England and Wales recording approximately 2.3 million victims between the ages of 16 and 74 in the year ending March 2020 (ONS, 2020</w:t>
      </w:r>
      <w:r w:rsidR="00E81FA0">
        <w:rPr>
          <w:rFonts w:asciiTheme="minorHAnsi" w:eastAsiaTheme="minorHAnsi" w:hAnsiTheme="minorHAnsi" w:cstheme="minorBidi"/>
          <w:color w:val="auto"/>
          <w:sz w:val="24"/>
          <w:szCs w:val="24"/>
          <w:lang w:eastAsia="en-US"/>
        </w:rPr>
        <w:t>a</w:t>
      </w:r>
      <w:r w:rsidRPr="002D0277">
        <w:rPr>
          <w:rFonts w:asciiTheme="minorHAnsi" w:eastAsiaTheme="minorHAnsi" w:hAnsiTheme="minorHAnsi" w:cstheme="minorBidi"/>
          <w:color w:val="auto"/>
          <w:sz w:val="24"/>
          <w:szCs w:val="24"/>
          <w:lang w:eastAsia="en-US"/>
        </w:rPr>
        <w:t xml:space="preserve">).  Whilst women and girls make up the majority of these victims, 2.9 million males also experience domestic abuse behaviours, however research has shown that this number is likely to be significantly greater due to male victims being less likely to disclose due to stereotyping and a lack of support services (Home Office, 2022). </w:t>
      </w:r>
    </w:p>
    <w:p w14:paraId="36EAE617"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6C89DC97"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2D0277">
        <w:rPr>
          <w:rFonts w:asciiTheme="minorHAnsi" w:eastAsiaTheme="minorHAnsi" w:hAnsiTheme="minorHAnsi" w:cstheme="minorBidi"/>
          <w:color w:val="auto"/>
          <w:sz w:val="24"/>
          <w:szCs w:val="24"/>
          <w:lang w:eastAsia="en-US"/>
        </w:rPr>
        <w:t>The issue is not just a priority at a national level but has also been made a priority by the South Wales Police and Crime Commissioner.  Developed in collaboration with the Chief Constable and associated stakeholder partners the Tackling Violence Against Women and Girls: a Joint Strategy 2019 – 2024 acknowledges the role that the police play in responding effectively to victims and listening to their experiences to enable evidence based interventions to be implemented in tackling the root causes that result in abuse (South Wales Police &amp; Crime Commissioner, 2019).  It is then which those first responders to domestic abuse incidents are vital in building a rapport with victims to enable the gathering of vital information, which can be used not only to secure successful convictions against perpetrators, but also to ensure that victims are provided with the best possible support from ourselves and across the criminal justice system.</w:t>
      </w:r>
    </w:p>
    <w:p w14:paraId="7FE07DB2"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2D0277">
        <w:rPr>
          <w:rFonts w:asciiTheme="minorHAnsi" w:eastAsiaTheme="minorHAnsi" w:hAnsiTheme="minorHAnsi" w:cstheme="minorBidi"/>
          <w:color w:val="auto"/>
          <w:sz w:val="24"/>
          <w:szCs w:val="24"/>
          <w:lang w:eastAsia="en-US"/>
        </w:rPr>
        <w:t>When dealing with victims of a domestic abuse incident or any incident involving stalking, harassment or honour based abuse, it is the responsibility of attending officers to ask certain questions to enable appropriate risk assessments to be carried out.  These ‘DASH’ (Domestic Abuse Stalking &amp; Harassment) questions determine what risk category the victim is placed within to determine what interventions are required going forward and what support is needed.  Body worn video footage can also be crucial in capturing the demeanour of victims, any injuries and first accounts.  It is often the case that victims will not support the police in prosecuting their abuser with research having found that over a third of cases are discontinued for this reason (HMICFRS, 2019).  In these situations an evidence led prosecution can be considered whereby the support of the victim is not relied upon by the police and crown prosecution service therefore making any initial evidence gathered by those officers initially attending vital.</w:t>
      </w:r>
    </w:p>
    <w:p w14:paraId="624304C8"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401B54E2"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2D0277">
        <w:rPr>
          <w:rFonts w:asciiTheme="minorHAnsi" w:eastAsiaTheme="minorHAnsi" w:hAnsiTheme="minorHAnsi" w:cstheme="minorBidi"/>
          <w:color w:val="auto"/>
          <w:sz w:val="24"/>
          <w:szCs w:val="24"/>
          <w:lang w:eastAsia="en-US"/>
        </w:rPr>
        <w:t>As the victim had disclosed that she had been slapped across the face but had received no injury, from a legislative perspective, the perpetrator needed to be arrested on suspicion of common assault (battery) contrary to Section 39 of the Criminal Justice Act 1988 (CPS, 2022a).  Due to the fact that intentional force had been applied unlawfully upon the victim but she had received no injuries this placed the offence within the category of common assault as opposed to actual bodily harm.</w:t>
      </w:r>
    </w:p>
    <w:p w14:paraId="73942EFA"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16DB1499"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2D0277">
        <w:rPr>
          <w:rFonts w:asciiTheme="minorHAnsi" w:eastAsiaTheme="minorHAnsi" w:hAnsiTheme="minorHAnsi" w:cstheme="minorBidi"/>
          <w:color w:val="auto"/>
          <w:sz w:val="24"/>
          <w:szCs w:val="24"/>
          <w:lang w:eastAsia="en-US"/>
        </w:rPr>
        <w:t xml:space="preserve">When sitting with the victim it became evident that she did not wish to support a prosecution.  She had been in a relationship with the perpetrator for 14 years which had involved a number of incidents of domestic abuse and she was therefore already subject to a number of multi agency support arrangements.  However, as was my responsibility to inform her of the support that she was entitled to, I explained to her the enhanced level of service that she was entitled to under the Codes of Practice for Victims of Crime. </w:t>
      </w:r>
    </w:p>
    <w:p w14:paraId="6DB1FB16"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5FFA5C19" w14:textId="1E14DC25" w:rsid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2D0277">
        <w:rPr>
          <w:rFonts w:asciiTheme="minorHAnsi" w:eastAsiaTheme="minorHAnsi" w:hAnsiTheme="minorHAnsi" w:cstheme="minorBidi"/>
          <w:color w:val="auto"/>
          <w:sz w:val="24"/>
          <w:szCs w:val="24"/>
          <w:lang w:eastAsia="en-US"/>
        </w:rPr>
        <w:t>Published in 2015 the Codes of Practice for Victims of Crime or ‘Victim’s Code’ details the service and support that victims of crime can expect to receive from all criminal justice agencies within the criminal justice system, including what it is that each agency must provide and the timeframes within which they must provide it (Victim Support, 2022).  All victims are afforded the same 12 basic rights which will not all be detailed in this essay but include, the right to be provided with information following the reporting of a crime, the right to make a Victim Personal Statement (VPS) and the right to be provided with information relating to the offender, subsequent to any conviction.  Victims of the most serious crimes, including domestic abuse, are also afforded enhanced rights which includes referral to specialist support services such as an Independent Domestic Violence Advisor (IDVA).  IDVA’s work with victims to provide them with support in rebuilding their lives following abuse.  This can include developing plans individual to the victim to ensure their safety, assisting with access to support services such as housing and health care and providing tailored support (Ministry of Justice, 2021b).</w:t>
      </w:r>
    </w:p>
    <w:p w14:paraId="214E4478" w14:textId="77777777" w:rsidR="00A31617" w:rsidRPr="002D0277" w:rsidRDefault="00A3161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22AC1482"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2D0277">
        <w:rPr>
          <w:rFonts w:asciiTheme="minorHAnsi" w:eastAsiaTheme="minorHAnsi" w:hAnsiTheme="minorHAnsi" w:cstheme="minorBidi"/>
          <w:color w:val="auto"/>
          <w:sz w:val="24"/>
          <w:szCs w:val="24"/>
          <w:lang w:eastAsia="en-US"/>
        </w:rPr>
        <w:t>Victims of domestic abuse are often fearful of repercussions in relation to supporting prosecutions and attending court and it is therefore of paramount importance that the options available to victims in supporting them through this process are fully explained.  If the quality of this evidence is believed to be affected due to these fears, the court can allow evidence to be given with the aid of ‘special measures’.  Special measures can be requested by all victims and witnesses who are classed as vulnerable or intimidated as a result of age, physical or mental impairment or are victims or witnesses to specific offences such as rape or offences involving knives and guns (CPS, 2022b).  There are a number of special measures available such as the use of screens to prevent the victim/witness and defendant from being able to see each other, giving evidence via a live video link from another room or even another building, through pre-recorded video evidence or in private (Rights of Women, 2022).</w:t>
      </w:r>
    </w:p>
    <w:p w14:paraId="3E9B8882"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6FD0AF6D"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2D0277">
        <w:rPr>
          <w:rFonts w:asciiTheme="minorHAnsi" w:eastAsiaTheme="minorHAnsi" w:hAnsiTheme="minorHAnsi" w:cstheme="minorBidi"/>
          <w:color w:val="auto"/>
          <w:sz w:val="24"/>
          <w:szCs w:val="24"/>
          <w:lang w:eastAsia="en-US"/>
        </w:rPr>
        <w:t>Reflecting on the responsibilities and procedures of officers when dealing with witnesses and victims one of the most important aspects is ensuring that victims are kept updated and informed at all times.  Victims entitled to an enhanced service are entitled to be kept updated daily regarding their case.  However, a recent survey by the Victim’s Commissioner found that many victims reported difficulties in obtaining information from the initial reporting and throughout the investigation leading to a lack of overall confidence in the criminal justice system (Victims Commissioner, 2021).</w:t>
      </w:r>
    </w:p>
    <w:p w14:paraId="33E6DE63"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3AEE441F"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2D0277">
        <w:rPr>
          <w:rFonts w:asciiTheme="minorHAnsi" w:eastAsiaTheme="minorHAnsi" w:hAnsiTheme="minorHAnsi" w:cstheme="minorBidi"/>
          <w:color w:val="auto"/>
          <w:sz w:val="24"/>
          <w:szCs w:val="24"/>
          <w:lang w:eastAsia="en-US"/>
        </w:rPr>
        <w:t xml:space="preserve">Whilst officers have a great many responsibilities and procedures to adhere to the foundation on how officers carry these out is centred around policing values.  South Wales Police’s values are to be proud, professional and positive when carrying out all duties and responsibilities and together with the Code of Ethics provide the principles and standards of behaviour which every officer is expected to uphold (South Wales Police, 2022). </w:t>
      </w:r>
    </w:p>
    <w:p w14:paraId="61B83007"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7217636B" w14:textId="029C6440" w:rsid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2D0277">
        <w:rPr>
          <w:rFonts w:asciiTheme="minorHAnsi" w:eastAsiaTheme="minorHAnsi" w:hAnsiTheme="minorHAnsi" w:cstheme="minorBidi"/>
          <w:color w:val="auto"/>
          <w:sz w:val="24"/>
          <w:szCs w:val="24"/>
          <w:lang w:eastAsia="en-US"/>
        </w:rPr>
        <w:t>Among the standards of behaviour and firmly enshrined within the Code of Ethics are the core principles of equality, diversity and human rights.  In relation to equality and diversity it is of paramount importance that officers act with fairness and impartiality at all times not only to ensure that people are dealt with fairly and without discrimination but to reinforce to members of the public that officers will act and make decisions based on the information available to them and without prejudice.  Whilst these are standards which should always be adhered to, they are now more critical than ever at a time when public confidence in the police has been negatively impacted by high profile incidents such as the murder of Sarah Everard by a serving police officer and the Black Lives Matter movement which intensified following the murder of George Floyd by police in Minneapolis (Mynenko &amp; Ditcham, 2022).  Statistics show that confidence in the police has fallen in recent years with only 55% of people of the opinion that the police are doing a ‘good’ or ‘excellent’ job and black people having less confidence than people belonging to other ethnicities (Brown, 2021).</w:t>
      </w:r>
    </w:p>
    <w:p w14:paraId="44BE9223" w14:textId="77777777" w:rsidR="00DC5014" w:rsidRPr="002D0277" w:rsidRDefault="00DC5014"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064DE8C6"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2D0277">
        <w:rPr>
          <w:rFonts w:asciiTheme="minorHAnsi" w:eastAsiaTheme="minorHAnsi" w:hAnsiTheme="minorHAnsi" w:cstheme="minorBidi"/>
          <w:color w:val="auto"/>
          <w:sz w:val="24"/>
          <w:szCs w:val="24"/>
          <w:lang w:eastAsia="en-US"/>
        </w:rPr>
        <w:t xml:space="preserve">When reflecting back upon this incident, whilst there were no issues in relation to ethnicity to take into consideration the victim was a class A drug user who herself had a considerable criminal background and also had warning markers for being a domestic violence aggressor aswell as a victim.  I therefore found it just as pertinent to be non-judgemental and impartial when dealing with this victim and to be conscious of not displaying any unconscious bias or prejudice because of the victim’s own background.  Dealing with each individual case on its own merit is essential to providing the best support to victims and witnesses and doing so with respect and courtesy, another of the basic policing principles, is crucial in achieving this.  </w:t>
      </w:r>
    </w:p>
    <w:p w14:paraId="75E7B2CB"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54C2FECB"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2D0277">
        <w:rPr>
          <w:rFonts w:asciiTheme="minorHAnsi" w:eastAsiaTheme="minorHAnsi" w:hAnsiTheme="minorHAnsi" w:cstheme="minorBidi"/>
          <w:color w:val="auto"/>
          <w:sz w:val="24"/>
          <w:szCs w:val="24"/>
          <w:lang w:eastAsia="en-US"/>
        </w:rPr>
        <w:t>In addition to the Code of Ethics and PACE (1984) officers are also expected to undertake their duties and exercise their powers in accordance with the Human Rights Act 1998.  Consideration of human rights is applied to all aspects of everyday policing, with officers applying the pneumonic JPLANE to the decisions that they make when assessing whether their encroaching on a person’s rights is justified, proportionate, legal, accountable, necessary and ethical.  Significantly, not only is respecting the human rights of an individual a legal requirement but failing to adhere to the same can result in individuals pursuing violations through the court system resulting in police officers being the subject of intense scrutiny (Bullock &amp; Johnson, 2012).</w:t>
      </w:r>
    </w:p>
    <w:p w14:paraId="57B5A50F"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6E8A1F31"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2D0277">
        <w:rPr>
          <w:rFonts w:asciiTheme="minorHAnsi" w:eastAsiaTheme="minorHAnsi" w:hAnsiTheme="minorHAnsi" w:cstheme="minorBidi"/>
          <w:color w:val="auto"/>
          <w:sz w:val="24"/>
          <w:szCs w:val="24"/>
          <w:lang w:eastAsia="en-US"/>
        </w:rPr>
        <w:t>Reflecting back on how I dealt with this incident I am confident that I did so in a way that adhered to the code of practice and policing principles, but importantly also did so in a way that made the victim feel that she had been dealt with in a way which left her with confidence in South Wales Police.  At the time of writing the victim is still refusing to support a prosecution however rather than release the perpetrator with ‘no further action’ he was released on conditional bail preventing him from contacting the victim to provide her with an opportunity to engage with an IDVA and assess the options and support available to her.  Ensuring that I kept the victim fully updated at all times enabled me to build a rapport with her and leaves me hopeful that she may change her mind regarding supporting a prosecution.  However, regardless of what choices victims may make, it is important that they are provided with that information and support at all times so that should they need police assistance at any time in the future, they can request it with the confidence that they will be provided with the best possible support available for them, something which I believe my victim understands.</w:t>
      </w:r>
    </w:p>
    <w:p w14:paraId="43DB8679" w14:textId="77777777"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57C2AA8B" w14:textId="3ADC5B98" w:rsidR="002D0277" w:rsidRPr="002D0277" w:rsidRDefault="002D0277" w:rsidP="002D0277">
      <w:pPr>
        <w:overflowPunct/>
        <w:autoSpaceDE/>
        <w:autoSpaceDN/>
        <w:adjustRightInd/>
        <w:spacing w:after="160" w:line="259" w:lineRule="auto"/>
        <w:jc w:val="both"/>
        <w:textAlignment w:val="auto"/>
        <w:rPr>
          <w:rFonts w:asciiTheme="minorHAnsi" w:eastAsiaTheme="minorHAnsi" w:hAnsiTheme="minorHAnsi" w:cstheme="minorBidi"/>
          <w:b/>
          <w:bCs/>
          <w:color w:val="auto"/>
          <w:sz w:val="24"/>
          <w:szCs w:val="24"/>
          <w:lang w:eastAsia="en-US"/>
        </w:rPr>
      </w:pPr>
      <w:r w:rsidRPr="002D0277">
        <w:rPr>
          <w:rFonts w:asciiTheme="minorHAnsi" w:eastAsiaTheme="minorHAnsi" w:hAnsiTheme="minorHAnsi" w:cstheme="minorBidi"/>
          <w:b/>
          <w:bCs/>
          <w:color w:val="auto"/>
          <w:sz w:val="24"/>
          <w:szCs w:val="24"/>
          <w:lang w:eastAsia="en-US"/>
        </w:rPr>
        <w:t>WORD COUNT</w:t>
      </w:r>
      <w:r>
        <w:rPr>
          <w:rFonts w:asciiTheme="minorHAnsi" w:eastAsiaTheme="minorHAnsi" w:hAnsiTheme="minorHAnsi" w:cstheme="minorBidi"/>
          <w:b/>
          <w:bCs/>
          <w:color w:val="auto"/>
          <w:sz w:val="24"/>
          <w:szCs w:val="24"/>
          <w:lang w:eastAsia="en-US"/>
        </w:rPr>
        <w:t xml:space="preserve"> – </w:t>
      </w:r>
      <w:r w:rsidRPr="002D0277">
        <w:rPr>
          <w:rFonts w:asciiTheme="minorHAnsi" w:eastAsiaTheme="minorHAnsi" w:hAnsiTheme="minorHAnsi" w:cstheme="minorBidi"/>
          <w:b/>
          <w:bCs/>
          <w:color w:val="auto"/>
          <w:sz w:val="24"/>
          <w:szCs w:val="24"/>
          <w:lang w:eastAsia="en-US"/>
        </w:rPr>
        <w:t>2,027</w:t>
      </w:r>
    </w:p>
    <w:p w14:paraId="2AD6F381" w14:textId="77777777" w:rsidR="002D0277" w:rsidRPr="00270EEB" w:rsidRDefault="002D0277"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8F7CA05" w:rsidR="006C7CA5" w:rsidRDefault="006C7CA5" w:rsidP="00E6298B">
      <w:pPr>
        <w:ind w:right="107"/>
        <w:jc w:val="both"/>
        <w:rPr>
          <w:sz w:val="24"/>
          <w:szCs w:val="24"/>
        </w:rPr>
      </w:pPr>
    </w:p>
    <w:p w14:paraId="43F16CAC"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C23CB4">
        <w:rPr>
          <w:rFonts w:asciiTheme="minorHAnsi" w:eastAsiaTheme="minorHAnsi" w:hAnsiTheme="minorHAnsi" w:cstheme="minorBidi"/>
          <w:color w:val="auto"/>
          <w:sz w:val="24"/>
          <w:szCs w:val="24"/>
          <w:lang w:eastAsia="en-US"/>
        </w:rPr>
        <w:t>This essay is going to critically assess an incident in which I have dealt with both the victim and the perpetrator in respect of an assault which was carried out by a 52 year old man upon a 14 year old boy.  The incident occurred whereby the young victim and a friend were crossing a lane alongside a busy main road and a car has driven towards them, the victim alleges, at speed.  By the victims own admission he has shouted at the driver of the car and the driver has put his car window down and a verbal altercation has taken place.  The situation has then escalated with the driver exiting his vehicle, approaching the boys and punching one of them to the back of his head.</w:t>
      </w:r>
    </w:p>
    <w:p w14:paraId="1FE2DB0D"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5CFA5005"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C23CB4">
        <w:rPr>
          <w:rFonts w:asciiTheme="minorHAnsi" w:eastAsiaTheme="minorHAnsi" w:hAnsiTheme="minorHAnsi" w:cstheme="minorBidi"/>
          <w:color w:val="auto"/>
          <w:sz w:val="24"/>
          <w:szCs w:val="24"/>
          <w:lang w:eastAsia="en-US"/>
        </w:rPr>
        <w:t>Whilst no physical injury was sustained save for soreness to the back of the head, due to the ages of the parties involved, the victim was understandably distressed at the time of the incident and has shown psychological affects since.  Due to the fact that there was no actual bodily injury the offence was one of Section 39 of the Criminal Justice Act 1988 common assault whereby the victim had sustained the unlawful application of intentional force (CPS, 2022a).  While physical assaults on children are not uncommon, statistics show that the majority of these assaults are perpetrated by a parent or adult known to the victim, however victims of assaults perpetrated by a stranger are more likely to be a male child (ONS, 2020b).</w:t>
      </w:r>
    </w:p>
    <w:p w14:paraId="09DCC8E7"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76140DC5"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C23CB4">
        <w:rPr>
          <w:rFonts w:asciiTheme="minorHAnsi" w:eastAsiaTheme="minorHAnsi" w:hAnsiTheme="minorHAnsi" w:cstheme="minorBidi"/>
          <w:color w:val="auto"/>
          <w:sz w:val="24"/>
          <w:szCs w:val="24"/>
          <w:lang w:eastAsia="en-US"/>
        </w:rPr>
        <w:t xml:space="preserve">Following the assault the incident was reported by an unrelated third party and the victim spoken to.  He provided an initial account of what had taken place together with his details and contact information for his father who then collected him from the scene of the incident and conveyed him to his home address.  </w:t>
      </w:r>
    </w:p>
    <w:p w14:paraId="7A61462F"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00CE7097"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C23CB4">
        <w:rPr>
          <w:rFonts w:asciiTheme="minorHAnsi" w:eastAsiaTheme="minorHAnsi" w:hAnsiTheme="minorHAnsi" w:cstheme="minorBidi"/>
          <w:color w:val="auto"/>
          <w:sz w:val="24"/>
          <w:szCs w:val="24"/>
          <w:lang w:eastAsia="en-US"/>
        </w:rPr>
        <w:t>To allow a proportionate response to calls for assistance, calls are graded in one of five ways.  A Grade 1 call requires an immediate response, Grade 2 a response within two hours, Grade 3 a response within 8 hours, Grade 4 a response within 24 hours and Grade 5 a response without deployment eg. contact via telephone (HMICFRS, 2017).  In addition, all incidents are also subject to a THRIVE risk management assessment.  The THRIVE tool, together with the National Decision Model (NDM) and Code of Ethics, allows calls handlers to assess the initial threat, harm, risk, necessary investigative actions, vulnerability of the persons involved and the requirement of any further engagement (College of Policing, 2021).  As the victim had been taken to a safe place and the perpetrator was no longer a threat the call was graded as a priority two given the victim’s age and I therefore attended upon him at his home address within the two hour recommended timeframe.</w:t>
      </w:r>
    </w:p>
    <w:p w14:paraId="0AC1F98C"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4E8F152D"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C23CB4">
        <w:rPr>
          <w:rFonts w:asciiTheme="minorHAnsi" w:eastAsiaTheme="minorHAnsi" w:hAnsiTheme="minorHAnsi" w:cstheme="minorBidi"/>
          <w:color w:val="auto"/>
          <w:sz w:val="24"/>
          <w:szCs w:val="24"/>
          <w:lang w:eastAsia="en-US"/>
        </w:rPr>
        <w:t>The previously referred to NDM was adopted to enable policing decisions to be made simply and logically, providing an ethical, evidence based structure (ACPO, 2015).  Made up of six key elements centred around the Code of Ethics the NDM not only provides a structure in respect of decision making but also provides a rationale and accountability for those decisions being made.  However, concerns have been raised that placing too much emphasis on evidence based decision making is negating the use of decisions based on experience and officer intuition.  When attending this incident, despite the fact that it had already occurred, the NDM was still applied using the six components:-</w:t>
      </w:r>
    </w:p>
    <w:p w14:paraId="622C2FDB"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5434D83F"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C23CB4">
        <w:rPr>
          <w:rFonts w:asciiTheme="minorHAnsi" w:eastAsiaTheme="minorHAnsi" w:hAnsiTheme="minorHAnsi" w:cstheme="minorBidi"/>
          <w:color w:val="auto"/>
          <w:sz w:val="24"/>
          <w:szCs w:val="24"/>
          <w:lang w:eastAsia="en-US"/>
        </w:rPr>
        <w:t>Gather Information and Intelligence – This was done the moment that the call was made to the public service centre and the information conveyed to officers.  As much information as was available was taken from the reporting person with regards to the location, parties involved, the time that the incident occurred and what had actually happened.  The more information that can be collected during the initial report, the easier it is for the decision maker to define the situation and move onto the next stage of assessing the threat.  In relation to this incident there was very little information provided save for the location of the incident, a brief account of what happened and the name and contact details of the victim.</w:t>
      </w:r>
    </w:p>
    <w:p w14:paraId="0A58D41D"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0CCE0D3E"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C23CB4">
        <w:rPr>
          <w:rFonts w:asciiTheme="minorHAnsi" w:eastAsiaTheme="minorHAnsi" w:hAnsiTheme="minorHAnsi" w:cstheme="minorBidi"/>
          <w:color w:val="auto"/>
          <w:sz w:val="24"/>
          <w:szCs w:val="24"/>
          <w:lang w:eastAsia="en-US"/>
        </w:rPr>
        <w:t>Assessment – The assessment stage requires taking the information and intelligence that has been gathered and assessing the likely threat and risk and using this to develop a working strategy.  Using the information that had been passed on to me, the threat and risk were deemed minimal as the perpetrator of the assault had left the scene and the victim was safe at home with his parents.  However, due to the age of the victim it was felt that it was necessary to engage with him as soon as possible and to ensure positive action was provided in response to the incident.</w:t>
      </w:r>
    </w:p>
    <w:p w14:paraId="57DEB98C"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16810847"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C23CB4">
        <w:rPr>
          <w:rFonts w:asciiTheme="minorHAnsi" w:eastAsiaTheme="minorHAnsi" w:hAnsiTheme="minorHAnsi" w:cstheme="minorBidi"/>
          <w:color w:val="auto"/>
          <w:sz w:val="24"/>
          <w:szCs w:val="24"/>
          <w:lang w:eastAsia="en-US"/>
        </w:rPr>
        <w:t>Powers and Policy – This stage involved considering the police powers which may be required, any applicable legislation and any local policies or organisational procedures which may apply to the incident.  These considerations also help assist with the next stage of the NDM of identifying the options and contingencies available to attending officers.  Upon talking to the victim and gathering information from him it was clear that an offence of common assault had been committed.  However, as the assault was perpetrated by a stranger, powers of arrest which would have been available to us could not be carried out at that time.  As is force policy, a public protection notice was also completed at the time as the victim was deemed vulnerable due to his age and referrals could be made in relation to providing him with support from victim services following the assault.</w:t>
      </w:r>
    </w:p>
    <w:p w14:paraId="6F274C27"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51A1757E"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C23CB4">
        <w:rPr>
          <w:rFonts w:asciiTheme="minorHAnsi" w:eastAsiaTheme="minorHAnsi" w:hAnsiTheme="minorHAnsi" w:cstheme="minorBidi"/>
          <w:color w:val="auto"/>
          <w:sz w:val="24"/>
          <w:szCs w:val="24"/>
          <w:lang w:eastAsia="en-US"/>
        </w:rPr>
        <w:t>Options and Contingencies – The options available to us at the time immediately following the assault were limited due to the fact that the perpetrator was not known.  However, due to the fact that the assault had taken place on a busy street and the victim had managed to obtain video footage on his mobile phone of the perpetrator’s vehicle, the victim was advised that the next steps going forward would be to carry out CCTV enquiries.  This would include enquiring with shops at the location whether any of them had cameras which may have captured the assault and making enquiries with the local council as to whether CCTV in the local area may have captured the vehicle and its registration number at the material time.</w:t>
      </w:r>
    </w:p>
    <w:p w14:paraId="3A255065"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C23CB4">
        <w:rPr>
          <w:rFonts w:asciiTheme="minorHAnsi" w:eastAsiaTheme="minorHAnsi" w:hAnsiTheme="minorHAnsi" w:cstheme="minorBidi"/>
          <w:color w:val="auto"/>
          <w:sz w:val="24"/>
          <w:szCs w:val="24"/>
          <w:lang w:eastAsia="en-US"/>
        </w:rPr>
        <w:t>Significantly, the following morning the perpetrator of the assault contacted the police of his own volition.  It was reported that the victim had put the video containing the perpetrator’s vehicle on social media and, having been made aware, he came forward and informed us of his involvement in the incident.  Having been provided with this new information I again considered the NDM and carried out a further assessment and consideration of my powers and options available.  Whilst the option to arrest the perpetrator was now available to me, given the fact that he had contacted us and shown a willingness to comply with the investigation I used my discretion to determine that there was no immediate necessity to arrest and instead arranged a time for him to attend at the police station for a voluntary interview.</w:t>
      </w:r>
    </w:p>
    <w:p w14:paraId="448A0291"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7D914046"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C23CB4">
        <w:rPr>
          <w:rFonts w:asciiTheme="minorHAnsi" w:eastAsiaTheme="minorHAnsi" w:hAnsiTheme="minorHAnsi" w:cstheme="minorBidi"/>
          <w:color w:val="auto"/>
          <w:sz w:val="24"/>
          <w:szCs w:val="24"/>
          <w:lang w:eastAsia="en-US"/>
        </w:rPr>
        <w:t xml:space="preserve">Described as the “freedom of the individual officer to act according to his or her own judgement in particular situations” (Newburn &amp; Neyround, 2008, p.82) police discretion and its application is a fundamental part of policing.  Also described as nothing more than the application of common sense, unique views, subjectivity and approaches to individual situations, the law and how it is applied has left police discretion often criticised as a means by which to disproportionately and prejudicially discriminate against certain sections of society (Blackstones, 2022).  These criticisms are neither recent nor uncommon and whilst existing research has shown that individuals from ethnic minority backgrounds or marginalised communities have been found to have a disproportionately more frequent interaction with the police (Pearson &amp; Rowe, 2020), the discretion available to officers is considerably more constrained and controlled since the introduction of the Police and Criminal Evidence Act 1984 and the introduction of target and performance indicators micro managing their professional judgement (Oxford Policing Policy Forum, 2008).  It is therefore imperative that any decisions made at an officer’s discretion are done so with consideration of the Code of Ethics and the standard policing values and principles.  </w:t>
      </w:r>
    </w:p>
    <w:p w14:paraId="485BC832"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041C0F4B"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C23CB4">
        <w:rPr>
          <w:rFonts w:asciiTheme="minorHAnsi" w:eastAsiaTheme="minorHAnsi" w:hAnsiTheme="minorHAnsi" w:cstheme="minorBidi"/>
          <w:color w:val="auto"/>
          <w:sz w:val="24"/>
          <w:szCs w:val="24"/>
          <w:lang w:eastAsia="en-US"/>
        </w:rPr>
        <w:t>In respect of this incident, as previously discussed, whilst I had the powers to arrest the suspect for common assault, as the officer in charge of the case I used my discretion to determine that there was no immediate necessity to arrest and that a voluntary attendance for interview would be satisfactory.  Whilst I was questioned by the victim’s parents as to why the suspect was not being arrested immediately, I explained that due to the fact that he had made contact and provided us with his contact details and arranged a time to attend for interview that this compliance was sufficient.  However, they were reassured that should he fail to attend the voluntary interview then the necessity to arrest would then be reconsidered.</w:t>
      </w:r>
    </w:p>
    <w:p w14:paraId="43835DA7"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21ACAC5B"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C23CB4">
        <w:rPr>
          <w:rFonts w:asciiTheme="minorHAnsi" w:eastAsiaTheme="minorHAnsi" w:hAnsiTheme="minorHAnsi" w:cstheme="minorBidi"/>
          <w:color w:val="auto"/>
          <w:sz w:val="24"/>
          <w:szCs w:val="24"/>
          <w:lang w:eastAsia="en-US"/>
        </w:rPr>
        <w:t xml:space="preserve">Also needing to be considered in any investigation is the Criminal Procedures and Investigations Act (CPIA) 1996.  While it is often thought that the CPIA only governs disclosure within an investigation, it also concerns the overall conduct of investigations and sets out how investigating officers record, retain and reveal the information that they have obtained (Brader, 2020).  It is not just the responsibility of investigators to ensure that the disclosure process is followed properly and procedurally but the CPS, defence and the courts all have their roles to play to ensure that the legal responsibilities that are pertinent to an investigation are adhered to from the very start and continue throughout.  Following a number of high profile cases in which there were alleged instances of withholding information or ignoring facts which would assist the defence, a review was carried out of what was described as the systemic problem of disclosure throughout the criminal justice system.  The review carried out by the Attorney General’s Office found that whilst the CPIA 1996 provides an appropriate regime in respect of disclosure, from a policing perspective, there is a cultural problem that views disclosure as an administrative issue where change is required to ensure that emphasis on transparency of the discharge of obligations on disclosure are essential to regain public confidence (Attorney General’s Office, 2018).  </w:t>
      </w:r>
    </w:p>
    <w:p w14:paraId="785CECFB"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1FFC55CB"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C23CB4">
        <w:rPr>
          <w:rFonts w:asciiTheme="minorHAnsi" w:eastAsiaTheme="minorHAnsi" w:hAnsiTheme="minorHAnsi" w:cstheme="minorBidi"/>
          <w:color w:val="auto"/>
          <w:sz w:val="24"/>
          <w:szCs w:val="24"/>
          <w:lang w:eastAsia="en-US"/>
        </w:rPr>
        <w:t>There is a considerable amount of material that can be collected during the course of an investigation, from physical exhibits, digital evidence and documentary evidence.  Not all of this material may be relevant to the investigation, some may be of a sensitive nature and some may be classified as unused, or not materially relevant to the case.  However, it is imperative that schedules of all evidence obtained, whether deemed relevant to a case or not, are disclosed to the CPS for sharing with the defence to negate inadequacies in respect of disclosure and criticism from the judiciary (Ministry of Justice, 2020).  It is in this respect that the governing of disclosure by the CPIA has been recognised as a crucial part of the criminal justice process and the CPIA a generally effective piece of legislation.</w:t>
      </w:r>
    </w:p>
    <w:p w14:paraId="2E7402EC"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33A0D7B9"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C23CB4">
        <w:rPr>
          <w:rFonts w:asciiTheme="minorHAnsi" w:eastAsiaTheme="minorHAnsi" w:hAnsiTheme="minorHAnsi" w:cstheme="minorBidi"/>
          <w:color w:val="auto"/>
          <w:sz w:val="24"/>
          <w:szCs w:val="24"/>
          <w:lang w:eastAsia="en-US"/>
        </w:rPr>
        <w:t>In respect of this case, I needed to consider the disclosure of any potential CCTV collected and the mobile phone footage recorded by the victim.  What was also pertinent was the information obtained from the suspect when he attended for his voluntary interview.  Whilst he made full admissions to the offence of common assault, he explained that he had only reacted in this manner as the victim had direction racial remarks towards him in respect of the colour of his skin.  Whilst this would only be a mitigating factor and not impact upon the fact that he had admitted to carrying out the assault, I was mindful that it was still important to disclose this information in the interview summary, regardless of whether it was contradictory to the victim’s account.</w:t>
      </w:r>
    </w:p>
    <w:p w14:paraId="3C80B2B1"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30540C04"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r w:rsidRPr="00C23CB4">
        <w:rPr>
          <w:rFonts w:asciiTheme="minorHAnsi" w:eastAsiaTheme="minorHAnsi" w:hAnsiTheme="minorHAnsi" w:cstheme="minorBidi"/>
          <w:color w:val="auto"/>
          <w:sz w:val="24"/>
          <w:szCs w:val="24"/>
          <w:lang w:eastAsia="en-US"/>
        </w:rPr>
        <w:t>Reflecting upon this incident and the way in which I used the NDM, Code of Ethics and my discretion to make my decisions, I am confident that the decisions I did make ensured that the victim and his parents both felt that that I had dealt with the incident in a positive and pro-active manner and the suspect felt that he had been dealt with fairly and respectfully.  It seems fitting that the final component of the NDM is ‘Review’ and reviewing how I dealt with this matter is important, not just for myself as an officer reflecting on my choices and how I may deal with any similar future incidents, but also as an aid for my supervisors going forward.  Whilst this incident is currently awaiting a charging decision, I have received positive feedback on how I have dealt with all parties involved swiftly and efficiently and can say that using frameworks such as the NDM and Code of Practice and legislation such as the CPIA 1996 not only provides an ethical structure to carrying out investigations but provides officers with clear guidance on how to do this positively and professionally.</w:t>
      </w:r>
    </w:p>
    <w:p w14:paraId="235DB585"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color w:val="auto"/>
          <w:sz w:val="24"/>
          <w:szCs w:val="24"/>
          <w:lang w:eastAsia="en-US"/>
        </w:rPr>
      </w:pPr>
    </w:p>
    <w:p w14:paraId="5D096E68" w14:textId="77777777" w:rsidR="00C23CB4" w:rsidRPr="00C23CB4" w:rsidRDefault="00C23CB4" w:rsidP="00C23CB4">
      <w:pPr>
        <w:overflowPunct/>
        <w:autoSpaceDE/>
        <w:autoSpaceDN/>
        <w:adjustRightInd/>
        <w:spacing w:after="160" w:line="259" w:lineRule="auto"/>
        <w:jc w:val="both"/>
        <w:textAlignment w:val="auto"/>
        <w:rPr>
          <w:rFonts w:asciiTheme="minorHAnsi" w:eastAsiaTheme="minorHAnsi" w:hAnsiTheme="minorHAnsi" w:cstheme="minorBidi"/>
          <w:b/>
          <w:bCs/>
          <w:color w:val="auto"/>
          <w:sz w:val="24"/>
          <w:szCs w:val="24"/>
          <w:lang w:eastAsia="en-US"/>
        </w:rPr>
      </w:pPr>
      <w:r w:rsidRPr="00C23CB4">
        <w:rPr>
          <w:rFonts w:asciiTheme="minorHAnsi" w:eastAsiaTheme="minorHAnsi" w:hAnsiTheme="minorHAnsi" w:cstheme="minorBidi"/>
          <w:b/>
          <w:bCs/>
          <w:color w:val="auto"/>
          <w:sz w:val="24"/>
          <w:szCs w:val="24"/>
          <w:lang w:eastAsia="en-US"/>
        </w:rPr>
        <w:t>WORD COUNT: 2,197</w:t>
      </w:r>
    </w:p>
    <w:p w14:paraId="550E1A00" w14:textId="77777777" w:rsidR="00C23CB4" w:rsidRPr="00270EEB" w:rsidRDefault="00C23CB4" w:rsidP="00E6298B">
      <w:pPr>
        <w:ind w:right="107"/>
        <w:jc w:val="both"/>
        <w:rPr>
          <w:sz w:val="24"/>
          <w:szCs w:val="24"/>
        </w:rPr>
      </w:pPr>
    </w:p>
    <w:p w14:paraId="363979F9" w14:textId="3203CB1A"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134634">
        <w:trPr>
          <w:trHeight w:val="7742"/>
        </w:trPr>
        <w:tc>
          <w:tcPr>
            <w:tcW w:w="2462" w:type="dxa"/>
            <w:shd w:val="clear" w:color="auto" w:fill="auto"/>
          </w:tcPr>
          <w:p w14:paraId="1C9FA00C" w14:textId="1F3E238A" w:rsidR="00575A8F" w:rsidRDefault="007A2A3D" w:rsidP="007A2A3D">
            <w:pPr>
              <w:ind w:right="107"/>
              <w:rPr>
                <w:sz w:val="24"/>
                <w:szCs w:val="24"/>
              </w:rPr>
            </w:pPr>
            <w:r>
              <w:rPr>
                <w:sz w:val="24"/>
                <w:szCs w:val="24"/>
              </w:rPr>
              <w:t>To broaden my knowledge of different areas of policing to ensure better understanding and engagement when responding to a variety of incidents</w:t>
            </w:r>
            <w:r w:rsidR="004B7F4C">
              <w:rPr>
                <w:sz w:val="24"/>
                <w:szCs w:val="24"/>
              </w:rPr>
              <w:t>.</w:t>
            </w:r>
          </w:p>
          <w:p w14:paraId="2DE621D3" w14:textId="35359B29" w:rsidR="004B7F4C" w:rsidRPr="00270EEB" w:rsidRDefault="004B7F4C" w:rsidP="007A2A3D">
            <w:pPr>
              <w:ind w:right="107"/>
              <w:rPr>
                <w:sz w:val="24"/>
                <w:szCs w:val="24"/>
              </w:rPr>
            </w:pPr>
            <w:r>
              <w:rPr>
                <w:sz w:val="24"/>
                <w:szCs w:val="24"/>
              </w:rPr>
              <w:t xml:space="preserve">Although attachments to CID and The Hub are mandatory for student officers, requesting attachments to departments such as traffic and the public protection unit will broaden </w:t>
            </w:r>
            <w:r w:rsidR="00444FDB">
              <w:rPr>
                <w:sz w:val="24"/>
                <w:szCs w:val="24"/>
              </w:rPr>
              <w:t xml:space="preserve">my </w:t>
            </w:r>
            <w:r>
              <w:rPr>
                <w:sz w:val="24"/>
                <w:szCs w:val="24"/>
              </w:rPr>
              <w:t>knowledge and understanding and build confidence in dealing with incidents in these areas.</w:t>
            </w:r>
          </w:p>
          <w:p w14:paraId="32CBB0C5"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22C8486D" w:rsidR="00575A8F" w:rsidRPr="00270EEB" w:rsidRDefault="007A2A3D" w:rsidP="007A2A3D">
            <w:pPr>
              <w:ind w:right="107"/>
              <w:rPr>
                <w:sz w:val="24"/>
                <w:szCs w:val="24"/>
              </w:rPr>
            </w:pPr>
            <w:r>
              <w:rPr>
                <w:sz w:val="24"/>
                <w:szCs w:val="24"/>
              </w:rPr>
              <w:t xml:space="preserve">By requesting attachments to different departments to gain a better understanding of how incidents are dealt with following any initial involvement </w:t>
            </w:r>
            <w:r w:rsidR="00920160">
              <w:rPr>
                <w:sz w:val="24"/>
                <w:szCs w:val="24"/>
              </w:rPr>
              <w:t>from</w:t>
            </w:r>
            <w:r>
              <w:rPr>
                <w:sz w:val="24"/>
                <w:szCs w:val="24"/>
              </w:rPr>
              <w:t xml:space="preserve"> response</w:t>
            </w:r>
            <w:r w:rsidR="00920160">
              <w:rPr>
                <w:sz w:val="24"/>
                <w:szCs w:val="24"/>
              </w:rPr>
              <w:t xml:space="preserve"> officers</w:t>
            </w:r>
            <w:r>
              <w:rPr>
                <w:sz w:val="24"/>
                <w:szCs w:val="24"/>
              </w:rPr>
              <w:t xml:space="preserve">.  </w:t>
            </w:r>
          </w:p>
        </w:tc>
        <w:tc>
          <w:tcPr>
            <w:tcW w:w="2426" w:type="dxa"/>
            <w:shd w:val="clear" w:color="auto" w:fill="auto"/>
          </w:tcPr>
          <w:p w14:paraId="6F2EF39C" w14:textId="7EB8AD9D" w:rsidR="00575A8F" w:rsidRPr="00270EEB" w:rsidRDefault="004B7F4C" w:rsidP="00920160">
            <w:pPr>
              <w:ind w:right="107"/>
              <w:rPr>
                <w:sz w:val="24"/>
                <w:szCs w:val="24"/>
              </w:rPr>
            </w:pPr>
            <w:r>
              <w:rPr>
                <w:sz w:val="24"/>
                <w:szCs w:val="24"/>
              </w:rPr>
              <w:t xml:space="preserve">Discussing with my </w:t>
            </w:r>
            <w:r w:rsidR="00920160">
              <w:rPr>
                <w:sz w:val="24"/>
                <w:szCs w:val="24"/>
              </w:rPr>
              <w:t>s</w:t>
            </w:r>
            <w:r>
              <w:rPr>
                <w:sz w:val="24"/>
                <w:szCs w:val="24"/>
              </w:rPr>
              <w:t xml:space="preserve">ergeant </w:t>
            </w:r>
            <w:r w:rsidR="00920160">
              <w:rPr>
                <w:sz w:val="24"/>
                <w:szCs w:val="24"/>
              </w:rPr>
              <w:t>as to experience in what departments will provide most beneficial.  Also speaking directly with sergeants in respective departments as to availability and resources to provide support. Also to seek advice and support from officers in the learning and development unit.</w:t>
            </w:r>
          </w:p>
        </w:tc>
        <w:tc>
          <w:tcPr>
            <w:tcW w:w="2426" w:type="dxa"/>
            <w:shd w:val="clear" w:color="auto" w:fill="auto"/>
          </w:tcPr>
          <w:p w14:paraId="3851D535" w14:textId="4D9318F8" w:rsidR="28A9B94D" w:rsidRDefault="00920160" w:rsidP="00B37CE3">
            <w:pPr>
              <w:rPr>
                <w:sz w:val="24"/>
                <w:szCs w:val="24"/>
              </w:rPr>
            </w:pPr>
            <w:r>
              <w:rPr>
                <w:sz w:val="24"/>
                <w:szCs w:val="24"/>
              </w:rPr>
              <w:t>To undertake these attachments within the next 15 months, prior to the completion of my two year probationary period.</w:t>
            </w:r>
          </w:p>
        </w:tc>
      </w:tr>
      <w:tr w:rsidR="00575A8F" w:rsidRPr="00270EEB" w14:paraId="67CEB11A" w14:textId="77777777" w:rsidTr="28A9B94D">
        <w:tc>
          <w:tcPr>
            <w:tcW w:w="2462" w:type="dxa"/>
            <w:shd w:val="clear" w:color="auto" w:fill="auto"/>
          </w:tcPr>
          <w:p w14:paraId="1C2EB90F" w14:textId="124B8CB5" w:rsidR="00575A8F" w:rsidRPr="00270EEB" w:rsidRDefault="00477EC0" w:rsidP="004F4540">
            <w:pPr>
              <w:ind w:right="107"/>
              <w:rPr>
                <w:sz w:val="24"/>
                <w:szCs w:val="24"/>
              </w:rPr>
            </w:pPr>
            <w:r>
              <w:rPr>
                <w:sz w:val="24"/>
                <w:szCs w:val="24"/>
              </w:rPr>
              <w:t>To be able to achieve and maintain a good work life balance</w:t>
            </w:r>
            <w:r w:rsidR="008A6707">
              <w:rPr>
                <w:sz w:val="24"/>
                <w:szCs w:val="24"/>
              </w:rPr>
              <w:t>.  Being a single mum, working response shifts, undertaking South Wales Police training days and any other professional development they require and ensuring that all university work is kept up to</w:t>
            </w:r>
            <w:r w:rsidR="004F4540">
              <w:rPr>
                <w:sz w:val="24"/>
                <w:szCs w:val="24"/>
              </w:rPr>
              <w:t xml:space="preserve"> date</w:t>
            </w:r>
            <w:r w:rsidR="008A6707">
              <w:rPr>
                <w:sz w:val="24"/>
                <w:szCs w:val="24"/>
              </w:rPr>
              <w:t xml:space="preserve"> can p</w:t>
            </w:r>
            <w:r w:rsidR="004F4540">
              <w:rPr>
                <w:sz w:val="24"/>
                <w:szCs w:val="24"/>
              </w:rPr>
              <w:t>rove challenging.</w:t>
            </w:r>
          </w:p>
          <w:p w14:paraId="477E47FE" w14:textId="77777777" w:rsidR="00575A8F" w:rsidRPr="00270EEB" w:rsidRDefault="00575A8F" w:rsidP="004F4540">
            <w:pPr>
              <w:ind w:right="107"/>
              <w:rPr>
                <w:sz w:val="24"/>
                <w:szCs w:val="24"/>
              </w:rPr>
            </w:pPr>
          </w:p>
          <w:p w14:paraId="529CC96B" w14:textId="77777777" w:rsidR="00575A8F" w:rsidRPr="00270EEB" w:rsidRDefault="00575A8F" w:rsidP="004F4540">
            <w:pPr>
              <w:ind w:right="107"/>
              <w:rPr>
                <w:sz w:val="24"/>
                <w:szCs w:val="24"/>
              </w:rPr>
            </w:pPr>
          </w:p>
          <w:p w14:paraId="63E7E828" w14:textId="77777777" w:rsidR="00575A8F" w:rsidRPr="00270EEB" w:rsidRDefault="00575A8F" w:rsidP="004F4540">
            <w:pPr>
              <w:ind w:right="107"/>
              <w:rPr>
                <w:sz w:val="24"/>
                <w:szCs w:val="24"/>
              </w:rPr>
            </w:pPr>
          </w:p>
          <w:p w14:paraId="52C24203" w14:textId="77777777" w:rsidR="00575A8F" w:rsidRPr="00270EEB" w:rsidRDefault="00575A8F" w:rsidP="004F4540">
            <w:pPr>
              <w:ind w:right="107"/>
              <w:rPr>
                <w:sz w:val="24"/>
                <w:szCs w:val="24"/>
              </w:rPr>
            </w:pPr>
          </w:p>
          <w:p w14:paraId="016B541F" w14:textId="77777777" w:rsidR="00575A8F" w:rsidRPr="00270EEB" w:rsidRDefault="00575A8F" w:rsidP="004F4540">
            <w:pPr>
              <w:ind w:right="107"/>
              <w:rPr>
                <w:sz w:val="24"/>
                <w:szCs w:val="24"/>
              </w:rPr>
            </w:pPr>
          </w:p>
          <w:p w14:paraId="0D86D360" w14:textId="77777777" w:rsidR="00575A8F" w:rsidRPr="00270EEB" w:rsidRDefault="00575A8F" w:rsidP="004F4540">
            <w:pPr>
              <w:ind w:right="107"/>
              <w:rPr>
                <w:sz w:val="24"/>
                <w:szCs w:val="24"/>
              </w:rPr>
            </w:pPr>
          </w:p>
          <w:p w14:paraId="0867C081" w14:textId="77777777" w:rsidR="00575A8F" w:rsidRPr="00270EEB" w:rsidRDefault="00575A8F" w:rsidP="004F4540">
            <w:pPr>
              <w:ind w:right="107"/>
              <w:rPr>
                <w:sz w:val="24"/>
                <w:szCs w:val="24"/>
              </w:rPr>
            </w:pPr>
          </w:p>
          <w:p w14:paraId="0F50BD71" w14:textId="77777777" w:rsidR="00575A8F" w:rsidRPr="00270EEB" w:rsidRDefault="00575A8F" w:rsidP="004F4540">
            <w:pPr>
              <w:ind w:right="107"/>
              <w:rPr>
                <w:sz w:val="24"/>
                <w:szCs w:val="24"/>
              </w:rPr>
            </w:pPr>
          </w:p>
          <w:p w14:paraId="27804619" w14:textId="77777777" w:rsidR="00575A8F" w:rsidRPr="00270EEB" w:rsidRDefault="00575A8F" w:rsidP="004F4540">
            <w:pPr>
              <w:ind w:right="107"/>
              <w:rPr>
                <w:sz w:val="24"/>
                <w:szCs w:val="24"/>
              </w:rPr>
            </w:pPr>
          </w:p>
          <w:p w14:paraId="7F0DE516" w14:textId="77777777" w:rsidR="00575A8F" w:rsidRPr="00270EEB" w:rsidRDefault="00575A8F" w:rsidP="004F4540">
            <w:pPr>
              <w:ind w:right="107"/>
              <w:rPr>
                <w:sz w:val="24"/>
                <w:szCs w:val="24"/>
              </w:rPr>
            </w:pPr>
          </w:p>
          <w:p w14:paraId="531A87CC" w14:textId="77777777" w:rsidR="00575A8F" w:rsidRPr="00270EEB" w:rsidRDefault="00575A8F" w:rsidP="004F4540">
            <w:pPr>
              <w:ind w:right="107"/>
              <w:rPr>
                <w:sz w:val="24"/>
                <w:szCs w:val="24"/>
              </w:rPr>
            </w:pPr>
          </w:p>
        </w:tc>
        <w:tc>
          <w:tcPr>
            <w:tcW w:w="2433" w:type="dxa"/>
            <w:shd w:val="clear" w:color="auto" w:fill="auto"/>
          </w:tcPr>
          <w:p w14:paraId="3BD876A6" w14:textId="4F1C8DA4" w:rsidR="00575A8F" w:rsidRPr="00270EEB" w:rsidRDefault="004F4540" w:rsidP="004F4540">
            <w:pPr>
              <w:ind w:right="107"/>
              <w:rPr>
                <w:sz w:val="24"/>
                <w:szCs w:val="24"/>
              </w:rPr>
            </w:pPr>
            <w:r>
              <w:rPr>
                <w:sz w:val="24"/>
                <w:szCs w:val="24"/>
              </w:rPr>
              <w:t>Developing and maintaining good time management skills and routine to ensure good mental and physical wellbeing.</w:t>
            </w:r>
            <w:r w:rsidR="00BF4F19">
              <w:rPr>
                <w:sz w:val="24"/>
                <w:szCs w:val="24"/>
              </w:rPr>
              <w:t xml:space="preserve">  Ensuring time is made to exercise to avoid </w:t>
            </w:r>
            <w:r w:rsidR="00134634">
              <w:rPr>
                <w:sz w:val="24"/>
                <w:szCs w:val="24"/>
              </w:rPr>
              <w:t>a build of stress</w:t>
            </w:r>
            <w:r w:rsidR="00BF4F19">
              <w:rPr>
                <w:sz w:val="24"/>
                <w:szCs w:val="24"/>
              </w:rPr>
              <w:t xml:space="preserve"> </w:t>
            </w:r>
            <w:r w:rsidR="00134634">
              <w:rPr>
                <w:sz w:val="24"/>
                <w:szCs w:val="24"/>
              </w:rPr>
              <w:t>and time made to spend time with family and friends to ‘switch off’.</w:t>
            </w:r>
          </w:p>
        </w:tc>
        <w:tc>
          <w:tcPr>
            <w:tcW w:w="2426" w:type="dxa"/>
            <w:shd w:val="clear" w:color="auto" w:fill="auto"/>
          </w:tcPr>
          <w:p w14:paraId="7A4C9A77" w14:textId="523B9AEF" w:rsidR="00575A8F" w:rsidRPr="00270EEB" w:rsidRDefault="00134634" w:rsidP="00B37CE3">
            <w:pPr>
              <w:ind w:right="107"/>
              <w:rPr>
                <w:sz w:val="24"/>
                <w:szCs w:val="24"/>
              </w:rPr>
            </w:pPr>
            <w:r>
              <w:rPr>
                <w:sz w:val="24"/>
                <w:szCs w:val="24"/>
              </w:rPr>
              <w:t>Support can be sought not only from my sergeant but from other members of the team with regard to providing emotional support. In relation to the university workload support can be sought from university staff and learning and development staff should it be felt that the workload is becoming unmanageable or deadlines cannot be met.</w:t>
            </w:r>
          </w:p>
        </w:tc>
        <w:tc>
          <w:tcPr>
            <w:tcW w:w="2426" w:type="dxa"/>
            <w:shd w:val="clear" w:color="auto" w:fill="auto"/>
          </w:tcPr>
          <w:p w14:paraId="750E2D5B" w14:textId="628BFC38" w:rsidR="28A9B94D" w:rsidRDefault="00134634" w:rsidP="00134634">
            <w:pPr>
              <w:rPr>
                <w:sz w:val="24"/>
                <w:szCs w:val="24"/>
              </w:rPr>
            </w:pPr>
            <w:r>
              <w:rPr>
                <w:sz w:val="24"/>
                <w:szCs w:val="24"/>
              </w:rPr>
              <w:t xml:space="preserve">Whilst this is something which needs to be permanently monitored and maintained pressure is more likely to be felt around university deadlines.  Ensuring that deadlines and work are planned accordingly and any support sought in ample time prior to this if needed.  With my first workbook due for completion at the beginning of January, together with Christmas </w:t>
            </w:r>
            <w:r w:rsidR="00937466">
              <w:rPr>
                <w:sz w:val="24"/>
                <w:szCs w:val="24"/>
              </w:rPr>
              <w:t>this may prove a particularly stressful time and will provide me with an insight into how I may need to ma</w:t>
            </w:r>
            <w:r w:rsidR="00444FDB">
              <w:rPr>
                <w:sz w:val="24"/>
                <w:szCs w:val="24"/>
              </w:rPr>
              <w:t>ke</w:t>
            </w:r>
            <w:r w:rsidR="00937466">
              <w:rPr>
                <w:sz w:val="24"/>
                <w:szCs w:val="24"/>
              </w:rPr>
              <w:t xml:space="preserve"> changes to my time management etc in preparation for the next workbook.</w:t>
            </w:r>
          </w:p>
          <w:p w14:paraId="5A088B65" w14:textId="77777777" w:rsidR="00937466" w:rsidRDefault="00937466" w:rsidP="00134634">
            <w:pPr>
              <w:rPr>
                <w:sz w:val="24"/>
                <w:szCs w:val="24"/>
              </w:rPr>
            </w:pPr>
          </w:p>
          <w:p w14:paraId="003BC03B" w14:textId="3BEEFA63" w:rsidR="00937466" w:rsidRDefault="00937466" w:rsidP="00134634">
            <w:pPr>
              <w:rPr>
                <w:sz w:val="24"/>
                <w:szCs w:val="24"/>
              </w:rPr>
            </w:pPr>
          </w:p>
        </w:tc>
      </w:tr>
      <w:tr w:rsidR="00575A8F" w:rsidRPr="00270EEB" w14:paraId="3EE957C7" w14:textId="77777777" w:rsidTr="28A9B94D">
        <w:tc>
          <w:tcPr>
            <w:tcW w:w="2462" w:type="dxa"/>
            <w:shd w:val="clear" w:color="auto" w:fill="auto"/>
          </w:tcPr>
          <w:p w14:paraId="5325704B" w14:textId="2A4F3A9B" w:rsidR="00575A8F" w:rsidRPr="00270EEB" w:rsidRDefault="00095EAB" w:rsidP="007E4BD3">
            <w:pPr>
              <w:ind w:right="107"/>
              <w:rPr>
                <w:sz w:val="24"/>
                <w:szCs w:val="24"/>
              </w:rPr>
            </w:pPr>
            <w:r>
              <w:rPr>
                <w:sz w:val="24"/>
                <w:szCs w:val="24"/>
              </w:rPr>
              <w:t xml:space="preserve">To undertake the driving course as soon as possible.  I feel to be ‘blue light trained’ is a vitally important part of being a response officer as being able to attend emergency calls within the required time is not only essential for the sake of the victim but also </w:t>
            </w:r>
            <w:r w:rsidR="00B37CE3">
              <w:rPr>
                <w:sz w:val="24"/>
                <w:szCs w:val="24"/>
              </w:rPr>
              <w:t>has a positive impact on public perception of police response times.</w:t>
            </w: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5D11CE4" w:rsidR="00575A8F" w:rsidRPr="00270EEB" w:rsidRDefault="00B37CE3" w:rsidP="00B37CE3">
            <w:pPr>
              <w:ind w:right="107"/>
              <w:rPr>
                <w:sz w:val="24"/>
                <w:szCs w:val="24"/>
              </w:rPr>
            </w:pPr>
            <w:r>
              <w:rPr>
                <w:sz w:val="24"/>
                <w:szCs w:val="24"/>
              </w:rPr>
              <w:t>As soon as Independent Patrol Status has been granted then attendance on the required driving course can be applied for.</w:t>
            </w:r>
          </w:p>
        </w:tc>
        <w:tc>
          <w:tcPr>
            <w:tcW w:w="2426" w:type="dxa"/>
            <w:shd w:val="clear" w:color="auto" w:fill="auto"/>
          </w:tcPr>
          <w:p w14:paraId="76B2A824" w14:textId="6DCFCBF9" w:rsidR="00575A8F" w:rsidRPr="00270EEB" w:rsidRDefault="004E05E6" w:rsidP="007E4BD3">
            <w:pPr>
              <w:ind w:right="107"/>
              <w:rPr>
                <w:sz w:val="24"/>
                <w:szCs w:val="24"/>
              </w:rPr>
            </w:pPr>
            <w:r>
              <w:rPr>
                <w:sz w:val="24"/>
                <w:szCs w:val="24"/>
              </w:rPr>
              <w:t xml:space="preserve">A request will be made to my </w:t>
            </w:r>
            <w:r w:rsidR="007E4BD3">
              <w:rPr>
                <w:sz w:val="24"/>
                <w:szCs w:val="24"/>
              </w:rPr>
              <w:t>Sergeant who can then support my request to attend the course.  Support can also be provided by other driver trained officers in my team in respect of what to expect and words of advice.</w:t>
            </w:r>
          </w:p>
        </w:tc>
        <w:tc>
          <w:tcPr>
            <w:tcW w:w="2426" w:type="dxa"/>
            <w:shd w:val="clear" w:color="auto" w:fill="auto"/>
          </w:tcPr>
          <w:p w14:paraId="185B2EE5" w14:textId="2F57E529" w:rsidR="28A9B94D" w:rsidRDefault="007E4BD3" w:rsidP="007E4BD3">
            <w:pPr>
              <w:rPr>
                <w:sz w:val="24"/>
                <w:szCs w:val="24"/>
              </w:rPr>
            </w:pPr>
            <w:r>
              <w:rPr>
                <w:sz w:val="24"/>
                <w:szCs w:val="24"/>
              </w:rPr>
              <w:t>Unfortunately, due to the Covid-19 pandemic I am aware that there is a significant backlog in officers waiting to undertake the driving course.  However</w:t>
            </w:r>
            <w:r w:rsidR="00444FDB">
              <w:rPr>
                <w:sz w:val="24"/>
                <w:szCs w:val="24"/>
              </w:rPr>
              <w:t>,</w:t>
            </w:r>
            <w:r>
              <w:rPr>
                <w:sz w:val="24"/>
                <w:szCs w:val="24"/>
              </w:rPr>
              <w:t xml:space="preserve"> I am aware that there are NCALTS which need to be completed prior to taking the course and these can be done in preparation to ensure that I am ready to take part as soon as a place on the course becomes available.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33128842"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ACPO (2015) </w:t>
      </w:r>
      <w:r w:rsidRPr="00170554">
        <w:rPr>
          <w:rFonts w:asciiTheme="minorHAnsi" w:eastAsiaTheme="minorHAnsi" w:hAnsiTheme="minorHAnsi" w:cstheme="minorBidi"/>
          <w:i/>
          <w:iCs/>
          <w:color w:val="auto"/>
          <w:sz w:val="24"/>
          <w:szCs w:val="24"/>
          <w:lang w:eastAsia="en-US"/>
        </w:rPr>
        <w:t>The National Decision Model</w:t>
      </w:r>
      <w:r w:rsidRPr="00170554">
        <w:rPr>
          <w:rFonts w:asciiTheme="minorHAnsi" w:eastAsiaTheme="minorHAnsi" w:hAnsiTheme="minorHAnsi" w:cstheme="minorBidi"/>
          <w:color w:val="auto"/>
          <w:sz w:val="24"/>
          <w:szCs w:val="24"/>
          <w:lang w:eastAsia="en-US"/>
        </w:rPr>
        <w:t xml:space="preserve">. Available at: </w:t>
      </w:r>
      <w:hyperlink r:id="rId20" w:history="1">
        <w:r w:rsidRPr="00170554">
          <w:rPr>
            <w:rFonts w:asciiTheme="minorHAnsi" w:eastAsiaTheme="minorHAnsi" w:hAnsiTheme="minorHAnsi" w:cstheme="minorBidi"/>
            <w:color w:val="0000FF"/>
            <w:sz w:val="24"/>
            <w:szCs w:val="24"/>
            <w:u w:val="single"/>
            <w:lang w:eastAsia="en-US"/>
          </w:rPr>
          <w:t>NCA000406 (iicsa.org.uk)</w:t>
        </w:r>
      </w:hyperlink>
      <w:r w:rsidRPr="00170554">
        <w:rPr>
          <w:rFonts w:asciiTheme="minorHAnsi" w:eastAsiaTheme="minorHAnsi" w:hAnsiTheme="minorHAnsi" w:cstheme="minorBidi"/>
          <w:color w:val="auto"/>
          <w:sz w:val="24"/>
          <w:szCs w:val="24"/>
          <w:lang w:eastAsia="en-US"/>
        </w:rPr>
        <w:t xml:space="preserve"> (Accessed: 14 November 2022).</w:t>
      </w:r>
    </w:p>
    <w:p w14:paraId="6902127B"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Agastra, A. (2018) ‘A Sociological Approach to Police Officers’ Conflict Management Tools’, </w:t>
      </w:r>
      <w:r w:rsidRPr="00170554">
        <w:rPr>
          <w:rFonts w:asciiTheme="minorHAnsi" w:eastAsiaTheme="minorHAnsi" w:hAnsiTheme="minorHAnsi" w:cstheme="minorBidi"/>
          <w:i/>
          <w:iCs/>
          <w:color w:val="auto"/>
          <w:sz w:val="24"/>
          <w:szCs w:val="24"/>
          <w:lang w:eastAsia="en-US"/>
        </w:rPr>
        <w:t>Open Journal for Sociological Studies</w:t>
      </w:r>
      <w:r w:rsidRPr="00170554">
        <w:rPr>
          <w:rFonts w:asciiTheme="minorHAnsi" w:eastAsiaTheme="minorHAnsi" w:hAnsiTheme="minorHAnsi" w:cstheme="minorBidi"/>
          <w:color w:val="auto"/>
          <w:sz w:val="24"/>
          <w:szCs w:val="24"/>
          <w:lang w:eastAsia="en-US"/>
        </w:rPr>
        <w:t xml:space="preserve">, 2(2), pp. 47-58. Available at: </w:t>
      </w:r>
      <w:hyperlink r:id="rId21" w:history="1">
        <w:r w:rsidRPr="00170554">
          <w:rPr>
            <w:rFonts w:asciiTheme="minorHAnsi" w:eastAsiaTheme="minorHAnsi" w:hAnsiTheme="minorHAnsi" w:cstheme="minorBidi"/>
            <w:color w:val="0000FF"/>
            <w:sz w:val="24"/>
            <w:szCs w:val="24"/>
            <w:u w:val="single"/>
            <w:lang w:eastAsia="en-US"/>
          </w:rPr>
          <w:t>57efba50dd5269e2b9e46d2ae6931767698c.pdf (semanticscholar.org)</w:t>
        </w:r>
      </w:hyperlink>
    </w:p>
    <w:p w14:paraId="0F8BF5F8"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Anxiety Centre (2021) </w:t>
      </w:r>
      <w:r w:rsidRPr="00170554">
        <w:rPr>
          <w:rFonts w:asciiTheme="minorHAnsi" w:eastAsiaTheme="minorHAnsi" w:hAnsiTheme="minorHAnsi" w:cstheme="minorBidi"/>
          <w:i/>
          <w:iCs/>
          <w:color w:val="auto"/>
          <w:sz w:val="24"/>
          <w:szCs w:val="24"/>
          <w:lang w:eastAsia="en-US"/>
        </w:rPr>
        <w:t>Reading For 6 Minutes Reduces Stress By 68 Percent</w:t>
      </w:r>
      <w:r w:rsidRPr="00170554">
        <w:rPr>
          <w:rFonts w:asciiTheme="minorHAnsi" w:eastAsiaTheme="minorHAnsi" w:hAnsiTheme="minorHAnsi" w:cstheme="minorBidi"/>
          <w:color w:val="auto"/>
          <w:sz w:val="24"/>
          <w:szCs w:val="24"/>
          <w:lang w:eastAsia="en-US"/>
        </w:rPr>
        <w:t xml:space="preserve">. Available at: </w:t>
      </w:r>
      <w:hyperlink r:id="rId22" w:history="1">
        <w:r w:rsidRPr="00170554">
          <w:rPr>
            <w:rFonts w:asciiTheme="minorHAnsi" w:eastAsiaTheme="minorHAnsi" w:hAnsiTheme="minorHAnsi" w:cstheme="minorBidi"/>
            <w:color w:val="0000FF"/>
            <w:sz w:val="24"/>
            <w:szCs w:val="24"/>
            <w:u w:val="single"/>
            <w:lang w:eastAsia="en-US"/>
          </w:rPr>
          <w:t>Reading For 6 Minutes Reduces Stress By 68 Percent - AnxietyCentre.com</w:t>
        </w:r>
      </w:hyperlink>
      <w:r w:rsidRPr="00170554">
        <w:rPr>
          <w:rFonts w:asciiTheme="minorHAnsi" w:eastAsiaTheme="minorHAnsi" w:hAnsiTheme="minorHAnsi" w:cstheme="minorBidi"/>
          <w:color w:val="auto"/>
          <w:sz w:val="24"/>
          <w:szCs w:val="24"/>
          <w:lang w:eastAsia="en-US"/>
        </w:rPr>
        <w:t xml:space="preserve"> Available at: (Accessed: 30 October 2022).</w:t>
      </w:r>
    </w:p>
    <w:p w14:paraId="0767D32F"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Attorney General’s Office (2018) </w:t>
      </w:r>
      <w:r w:rsidRPr="00170554">
        <w:rPr>
          <w:rFonts w:asciiTheme="minorHAnsi" w:eastAsiaTheme="minorHAnsi" w:hAnsiTheme="minorHAnsi" w:cstheme="minorBidi"/>
          <w:i/>
          <w:iCs/>
          <w:color w:val="auto"/>
          <w:sz w:val="24"/>
          <w:szCs w:val="24"/>
          <w:lang w:eastAsia="en-US"/>
        </w:rPr>
        <w:t>Review of the efficiency and effectiveness of disclosure in the criminal justice system</w:t>
      </w:r>
      <w:r w:rsidRPr="00170554">
        <w:rPr>
          <w:rFonts w:asciiTheme="minorHAnsi" w:eastAsiaTheme="minorHAnsi" w:hAnsiTheme="minorHAnsi" w:cstheme="minorBidi"/>
          <w:color w:val="auto"/>
          <w:sz w:val="24"/>
          <w:szCs w:val="24"/>
          <w:lang w:eastAsia="en-US"/>
        </w:rPr>
        <w:t xml:space="preserve">.  Available at: </w:t>
      </w:r>
      <w:hyperlink r:id="rId23" w:history="1">
        <w:r w:rsidRPr="00170554">
          <w:rPr>
            <w:rFonts w:asciiTheme="minorHAnsi" w:eastAsiaTheme="minorHAnsi" w:hAnsiTheme="minorHAnsi" w:cstheme="minorBidi"/>
            <w:color w:val="0000FF"/>
            <w:sz w:val="24"/>
            <w:szCs w:val="24"/>
            <w:u w:val="single"/>
            <w:lang w:eastAsia="en-US"/>
          </w:rPr>
          <w:t>Attorney_General_s_Disclosure_Review.pdf (publishing.service.gov.uk)</w:t>
        </w:r>
      </w:hyperlink>
      <w:r w:rsidRPr="00170554">
        <w:rPr>
          <w:rFonts w:asciiTheme="minorHAnsi" w:eastAsiaTheme="minorHAnsi" w:hAnsiTheme="minorHAnsi" w:cstheme="minorBidi"/>
          <w:color w:val="auto"/>
          <w:sz w:val="24"/>
          <w:szCs w:val="24"/>
          <w:lang w:eastAsia="en-US"/>
        </w:rPr>
        <w:t xml:space="preserve">  (Accessed on: 30 December 2022)</w:t>
      </w:r>
    </w:p>
    <w:p w14:paraId="351D6C5F"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Barham, D.E. (2016) </w:t>
      </w:r>
      <w:r w:rsidRPr="00170554">
        <w:rPr>
          <w:rFonts w:asciiTheme="minorHAnsi" w:eastAsiaTheme="minorHAnsi" w:hAnsiTheme="minorHAnsi" w:cstheme="minorBidi"/>
          <w:i/>
          <w:iCs/>
          <w:color w:val="auto"/>
          <w:sz w:val="24"/>
          <w:szCs w:val="24"/>
          <w:lang w:eastAsia="en-US"/>
        </w:rPr>
        <w:t>Same Destination, Different Journey: A Comparative Study of Public Order Policing in Britain and Spain</w:t>
      </w:r>
      <w:r w:rsidRPr="00170554">
        <w:rPr>
          <w:rFonts w:asciiTheme="minorHAnsi" w:eastAsiaTheme="minorHAnsi" w:hAnsiTheme="minorHAnsi" w:cstheme="minorBidi"/>
          <w:color w:val="auto"/>
          <w:sz w:val="24"/>
          <w:szCs w:val="24"/>
          <w:lang w:eastAsia="en-US"/>
        </w:rPr>
        <w:t xml:space="preserve">. Unpublished PhD Thesis. London Metropolitan University. Available at: </w:t>
      </w:r>
      <w:hyperlink r:id="rId24" w:history="1">
        <w:r w:rsidRPr="00170554">
          <w:rPr>
            <w:rFonts w:asciiTheme="minorHAnsi" w:eastAsiaTheme="minorHAnsi" w:hAnsiTheme="minorHAnsi" w:cstheme="minorBidi"/>
            <w:color w:val="0000FF"/>
            <w:sz w:val="24"/>
            <w:szCs w:val="24"/>
            <w:u w:val="single"/>
            <w:lang w:eastAsia="en-US"/>
          </w:rPr>
          <w:t>BarhamDerek_ComparativeStudyOfPublicOrderPolicingInBritainAndSpain.pdf (londonmet.ac.uk)</w:t>
        </w:r>
      </w:hyperlink>
      <w:r w:rsidRPr="00170554">
        <w:rPr>
          <w:rFonts w:asciiTheme="minorHAnsi" w:eastAsiaTheme="minorHAnsi" w:hAnsiTheme="minorHAnsi" w:cstheme="minorBidi"/>
          <w:color w:val="auto"/>
          <w:sz w:val="24"/>
          <w:szCs w:val="24"/>
          <w:lang w:eastAsia="en-US"/>
        </w:rPr>
        <w:t xml:space="preserve"> (Accessed: 21 November 2022)</w:t>
      </w:r>
    </w:p>
    <w:p w14:paraId="44D33820"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Borton, T. (1970) </w:t>
      </w:r>
      <w:r w:rsidRPr="00170554">
        <w:rPr>
          <w:rFonts w:asciiTheme="minorHAnsi" w:eastAsiaTheme="minorHAnsi" w:hAnsiTheme="minorHAnsi" w:cstheme="minorBidi"/>
          <w:i/>
          <w:iCs/>
          <w:color w:val="auto"/>
          <w:sz w:val="24"/>
          <w:szCs w:val="24"/>
          <w:lang w:eastAsia="en-US"/>
        </w:rPr>
        <w:t>Reach, Touch and Teach: Student Concerns and Process Education</w:t>
      </w:r>
      <w:r w:rsidRPr="00170554">
        <w:rPr>
          <w:rFonts w:asciiTheme="minorHAnsi" w:eastAsiaTheme="minorHAnsi" w:hAnsiTheme="minorHAnsi" w:cstheme="minorBidi"/>
          <w:color w:val="auto"/>
          <w:sz w:val="24"/>
          <w:szCs w:val="24"/>
          <w:lang w:eastAsia="en-US"/>
        </w:rPr>
        <w:t>. New York: McGraw-Hill Paperbacks</w:t>
      </w:r>
    </w:p>
    <w:p w14:paraId="761D05A1"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Brader, C. (2020) </w:t>
      </w:r>
      <w:r w:rsidRPr="00170554">
        <w:rPr>
          <w:rFonts w:asciiTheme="minorHAnsi" w:eastAsiaTheme="minorHAnsi" w:hAnsiTheme="minorHAnsi" w:cstheme="minorBidi"/>
          <w:i/>
          <w:iCs/>
          <w:color w:val="auto"/>
          <w:sz w:val="24"/>
          <w:szCs w:val="24"/>
          <w:lang w:eastAsia="en-US"/>
        </w:rPr>
        <w:t>The Criminal Procedure and Investigations Act 1996 (Code of Practice) Order 2020</w:t>
      </w:r>
      <w:r w:rsidRPr="00170554">
        <w:rPr>
          <w:rFonts w:asciiTheme="minorHAnsi" w:eastAsiaTheme="minorHAnsi" w:hAnsiTheme="minorHAnsi" w:cstheme="minorBidi"/>
          <w:color w:val="auto"/>
          <w:sz w:val="24"/>
          <w:szCs w:val="24"/>
          <w:lang w:eastAsia="en-US"/>
        </w:rPr>
        <w:t xml:space="preserve">. House of Lords Library.  Available at: </w:t>
      </w:r>
      <w:hyperlink r:id="rId25" w:history="1">
        <w:r w:rsidRPr="00170554">
          <w:rPr>
            <w:rFonts w:asciiTheme="minorHAnsi" w:eastAsiaTheme="minorHAnsi" w:hAnsiTheme="minorHAnsi" w:cstheme="minorBidi"/>
            <w:color w:val="0000FF"/>
            <w:sz w:val="24"/>
            <w:szCs w:val="24"/>
            <w:u w:val="single"/>
            <w:lang w:eastAsia="en-US"/>
          </w:rPr>
          <w:t>The Criminal Procedure and Investigations Act 1996 (Code of Practice) Order 2020 - House of Lords Library (parliament.uk)</w:t>
        </w:r>
      </w:hyperlink>
      <w:r w:rsidRPr="00170554">
        <w:rPr>
          <w:rFonts w:asciiTheme="minorHAnsi" w:eastAsiaTheme="minorHAnsi" w:hAnsiTheme="minorHAnsi" w:cstheme="minorBidi"/>
          <w:color w:val="auto"/>
          <w:sz w:val="24"/>
          <w:szCs w:val="24"/>
          <w:lang w:eastAsia="en-US"/>
        </w:rPr>
        <w:t xml:space="preserve"> (Accessed on: 29 December 2022)</w:t>
      </w:r>
    </w:p>
    <w:p w14:paraId="526DE1CE"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Brown, J. (2021) ‘Policing in the UK’, </w:t>
      </w:r>
      <w:r w:rsidRPr="00170554">
        <w:rPr>
          <w:rFonts w:asciiTheme="minorHAnsi" w:eastAsiaTheme="minorHAnsi" w:hAnsiTheme="minorHAnsi" w:cstheme="minorBidi"/>
          <w:i/>
          <w:iCs/>
          <w:color w:val="auto"/>
          <w:sz w:val="24"/>
          <w:szCs w:val="24"/>
          <w:lang w:eastAsia="en-US"/>
        </w:rPr>
        <w:t>House of Commons Library</w:t>
      </w:r>
      <w:r w:rsidRPr="00170554">
        <w:rPr>
          <w:rFonts w:asciiTheme="minorHAnsi" w:eastAsiaTheme="minorHAnsi" w:hAnsiTheme="minorHAnsi" w:cstheme="minorBidi"/>
          <w:color w:val="auto"/>
          <w:sz w:val="24"/>
          <w:szCs w:val="24"/>
          <w:lang w:eastAsia="en-US"/>
        </w:rPr>
        <w:t xml:space="preserve">, No. 8582. Available at: </w:t>
      </w:r>
      <w:hyperlink r:id="rId26" w:history="1">
        <w:r w:rsidRPr="00170554">
          <w:rPr>
            <w:rFonts w:asciiTheme="minorHAnsi" w:eastAsiaTheme="minorHAnsi" w:hAnsiTheme="minorHAnsi" w:cstheme="minorBidi"/>
            <w:color w:val="0000FF"/>
            <w:sz w:val="24"/>
            <w:szCs w:val="24"/>
            <w:u w:val="single"/>
            <w:lang w:eastAsia="en-US"/>
          </w:rPr>
          <w:t>CBP-8582.pdf (parliament.uk)</w:t>
        </w:r>
      </w:hyperlink>
      <w:r w:rsidRPr="00170554">
        <w:rPr>
          <w:rFonts w:asciiTheme="minorHAnsi" w:eastAsiaTheme="minorHAnsi" w:hAnsiTheme="minorHAnsi" w:cstheme="minorBidi"/>
          <w:color w:val="auto"/>
          <w:sz w:val="24"/>
          <w:szCs w:val="24"/>
          <w:lang w:eastAsia="en-US"/>
        </w:rPr>
        <w:t xml:space="preserve"> (Accessed on: 19 December 2022)</w:t>
      </w:r>
    </w:p>
    <w:p w14:paraId="5C7C8077"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Bullock, K. &amp; Johnson, P. (2012) ‘The Impact of the Human Rights Act 1998 on Policing in England and Wales’, </w:t>
      </w:r>
      <w:r w:rsidRPr="00170554">
        <w:rPr>
          <w:rFonts w:asciiTheme="minorHAnsi" w:eastAsiaTheme="minorHAnsi" w:hAnsiTheme="minorHAnsi" w:cstheme="minorBidi"/>
          <w:i/>
          <w:iCs/>
          <w:color w:val="auto"/>
          <w:sz w:val="24"/>
          <w:szCs w:val="24"/>
          <w:lang w:eastAsia="en-US"/>
        </w:rPr>
        <w:t>British Journal of Criminology</w:t>
      </w:r>
      <w:r w:rsidRPr="00170554">
        <w:rPr>
          <w:rFonts w:asciiTheme="minorHAnsi" w:eastAsiaTheme="minorHAnsi" w:hAnsiTheme="minorHAnsi" w:cstheme="minorBidi"/>
          <w:color w:val="auto"/>
          <w:sz w:val="24"/>
          <w:szCs w:val="24"/>
          <w:lang w:eastAsia="en-US"/>
        </w:rPr>
        <w:t xml:space="preserve">, 52(3), pp. 630-650. Available at: </w:t>
      </w:r>
      <w:hyperlink r:id="rId27" w:anchor="13140404180002346" w:history="1">
        <w:r w:rsidRPr="00170554">
          <w:rPr>
            <w:rFonts w:asciiTheme="minorHAnsi" w:eastAsiaTheme="minorHAnsi" w:hAnsiTheme="minorHAnsi" w:cstheme="minorBidi"/>
            <w:color w:val="0000FF"/>
            <w:sz w:val="24"/>
            <w:szCs w:val="24"/>
            <w:u w:val="single"/>
            <w:lang w:eastAsia="en-US"/>
          </w:rPr>
          <w:t>https://openresearch.surrey.ac.uk/discovery/delivery/44SUR_INST:ResearchRepository/99514937002346#13140404180002346</w:t>
        </w:r>
      </w:hyperlink>
      <w:r w:rsidRPr="00170554">
        <w:rPr>
          <w:rFonts w:asciiTheme="minorHAnsi" w:eastAsiaTheme="minorHAnsi" w:hAnsiTheme="minorHAnsi" w:cstheme="minorBidi"/>
          <w:color w:val="auto"/>
          <w:sz w:val="24"/>
          <w:szCs w:val="24"/>
          <w:lang w:eastAsia="en-US"/>
        </w:rPr>
        <w:t xml:space="preserve"> (Accessed on: 23 December 2022)</w:t>
      </w:r>
    </w:p>
    <w:p w14:paraId="2F592CE6"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Calibre Press (2019) </w:t>
      </w:r>
      <w:r w:rsidRPr="00170554">
        <w:rPr>
          <w:rFonts w:asciiTheme="minorHAnsi" w:eastAsiaTheme="minorHAnsi" w:hAnsiTheme="minorHAnsi" w:cstheme="minorBidi"/>
          <w:i/>
          <w:iCs/>
          <w:color w:val="auto"/>
          <w:sz w:val="24"/>
          <w:szCs w:val="24"/>
          <w:lang w:eastAsia="en-US"/>
        </w:rPr>
        <w:t>10 non-verbal signs all officers should be able to recognise and interpret</w:t>
      </w:r>
      <w:r w:rsidRPr="00170554">
        <w:rPr>
          <w:rFonts w:asciiTheme="minorHAnsi" w:eastAsiaTheme="minorHAnsi" w:hAnsiTheme="minorHAnsi" w:cstheme="minorBidi"/>
          <w:color w:val="auto"/>
          <w:sz w:val="24"/>
          <w:szCs w:val="24"/>
          <w:lang w:eastAsia="en-US"/>
        </w:rPr>
        <w:t xml:space="preserve">. Available at: </w:t>
      </w:r>
      <w:hyperlink r:id="rId28" w:history="1">
        <w:r w:rsidRPr="00170554">
          <w:rPr>
            <w:rFonts w:asciiTheme="minorHAnsi" w:eastAsiaTheme="minorHAnsi" w:hAnsiTheme="minorHAnsi" w:cstheme="minorBidi"/>
            <w:color w:val="0000FF"/>
            <w:sz w:val="24"/>
            <w:szCs w:val="24"/>
            <w:u w:val="single"/>
            <w:lang w:eastAsia="en-US"/>
          </w:rPr>
          <w:t>Officer safety: Identifying non-verbal, pre-attack indicators (police1.com)</w:t>
        </w:r>
      </w:hyperlink>
      <w:r w:rsidRPr="00170554">
        <w:rPr>
          <w:rFonts w:asciiTheme="minorHAnsi" w:eastAsiaTheme="minorHAnsi" w:hAnsiTheme="minorHAnsi" w:cstheme="minorBidi"/>
          <w:color w:val="auto"/>
          <w:sz w:val="24"/>
          <w:szCs w:val="24"/>
          <w:lang w:eastAsia="en-US"/>
        </w:rPr>
        <w:t xml:space="preserve"> (Accessed: 20 November 2022)</w:t>
      </w:r>
    </w:p>
    <w:p w14:paraId="0B1C3AF7"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College of Policing (2020) </w:t>
      </w:r>
      <w:r w:rsidRPr="00170554">
        <w:rPr>
          <w:rFonts w:asciiTheme="minorHAnsi" w:eastAsiaTheme="minorHAnsi" w:hAnsiTheme="minorHAnsi" w:cstheme="minorBidi"/>
          <w:i/>
          <w:iCs/>
          <w:color w:val="auto"/>
          <w:sz w:val="24"/>
          <w:szCs w:val="24"/>
          <w:lang w:eastAsia="en-US"/>
        </w:rPr>
        <w:t>Conflict management skills</w:t>
      </w:r>
      <w:r w:rsidRPr="00170554">
        <w:rPr>
          <w:rFonts w:asciiTheme="minorHAnsi" w:eastAsiaTheme="minorHAnsi" w:hAnsiTheme="minorHAnsi" w:cstheme="minorBidi"/>
          <w:color w:val="auto"/>
          <w:sz w:val="24"/>
          <w:szCs w:val="24"/>
          <w:lang w:eastAsia="en-US"/>
        </w:rPr>
        <w:t xml:space="preserve">. Available at: </w:t>
      </w:r>
      <w:hyperlink r:id="rId29" w:history="1">
        <w:r w:rsidRPr="00170554">
          <w:rPr>
            <w:rFonts w:asciiTheme="minorHAnsi" w:eastAsiaTheme="minorHAnsi" w:hAnsiTheme="minorHAnsi" w:cstheme="minorBidi"/>
            <w:color w:val="0000FF"/>
            <w:sz w:val="24"/>
            <w:szCs w:val="24"/>
            <w:u w:val="single"/>
            <w:lang w:eastAsia="en-US"/>
          </w:rPr>
          <w:t>Conflict management skills | College of Policing</w:t>
        </w:r>
      </w:hyperlink>
      <w:r w:rsidRPr="00170554">
        <w:rPr>
          <w:rFonts w:asciiTheme="minorHAnsi" w:eastAsiaTheme="minorHAnsi" w:hAnsiTheme="minorHAnsi" w:cstheme="minorBidi"/>
          <w:color w:val="auto"/>
          <w:sz w:val="24"/>
          <w:szCs w:val="24"/>
          <w:lang w:eastAsia="en-US"/>
        </w:rPr>
        <w:t xml:space="preserve"> (Accessed: 20 November 2022)</w:t>
      </w:r>
    </w:p>
    <w:p w14:paraId="550ECD2D"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College of Policing (2021) </w:t>
      </w:r>
      <w:r w:rsidRPr="00170554">
        <w:rPr>
          <w:rFonts w:asciiTheme="minorHAnsi" w:eastAsiaTheme="minorHAnsi" w:hAnsiTheme="minorHAnsi" w:cstheme="minorBidi"/>
          <w:i/>
          <w:iCs/>
          <w:color w:val="auto"/>
          <w:sz w:val="24"/>
          <w:szCs w:val="24"/>
          <w:lang w:eastAsia="en-US"/>
        </w:rPr>
        <w:t>Recognising and responding to vulnerability-related risks guidelines</w:t>
      </w:r>
      <w:r w:rsidRPr="00170554">
        <w:rPr>
          <w:rFonts w:asciiTheme="minorHAnsi" w:eastAsiaTheme="minorHAnsi" w:hAnsiTheme="minorHAnsi" w:cstheme="minorBidi"/>
          <w:color w:val="auto"/>
          <w:sz w:val="24"/>
          <w:szCs w:val="24"/>
          <w:lang w:eastAsia="en-US"/>
        </w:rPr>
        <w:t xml:space="preserve">.  Available at: </w:t>
      </w:r>
      <w:hyperlink r:id="rId30" w:history="1">
        <w:r w:rsidRPr="00170554">
          <w:rPr>
            <w:rFonts w:asciiTheme="minorHAnsi" w:eastAsiaTheme="minorHAnsi" w:hAnsiTheme="minorHAnsi" w:cstheme="minorBidi"/>
            <w:color w:val="0000FF"/>
            <w:sz w:val="24"/>
            <w:szCs w:val="24"/>
            <w:u w:val="single"/>
            <w:lang w:eastAsia="en-US"/>
          </w:rPr>
          <w:t>Recognising and responding to vulnerability related risks guidelines: Evidence review part two (college.police.uk)</w:t>
        </w:r>
      </w:hyperlink>
      <w:r w:rsidRPr="00170554">
        <w:rPr>
          <w:rFonts w:asciiTheme="minorHAnsi" w:eastAsiaTheme="minorHAnsi" w:hAnsiTheme="minorHAnsi" w:cstheme="minorBidi"/>
          <w:color w:val="auto"/>
          <w:sz w:val="24"/>
          <w:szCs w:val="24"/>
          <w:lang w:eastAsia="en-US"/>
        </w:rPr>
        <w:t xml:space="preserve">  (Accessed on: 27 December 2022)</w:t>
      </w:r>
    </w:p>
    <w:p w14:paraId="33E22113"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College of Policing (2022) </w:t>
      </w:r>
      <w:r w:rsidRPr="00170554">
        <w:rPr>
          <w:rFonts w:asciiTheme="minorHAnsi" w:eastAsiaTheme="minorHAnsi" w:hAnsiTheme="minorHAnsi" w:cstheme="minorBidi"/>
          <w:i/>
          <w:iCs/>
          <w:color w:val="auto"/>
          <w:sz w:val="24"/>
          <w:szCs w:val="24"/>
          <w:lang w:eastAsia="en-US"/>
        </w:rPr>
        <w:t>Reducing violence in the night-time economy</w:t>
      </w:r>
      <w:r w:rsidRPr="00170554">
        <w:rPr>
          <w:rFonts w:asciiTheme="minorHAnsi" w:eastAsiaTheme="minorHAnsi" w:hAnsiTheme="minorHAnsi" w:cstheme="minorBidi"/>
          <w:color w:val="auto"/>
          <w:sz w:val="24"/>
          <w:szCs w:val="24"/>
          <w:lang w:eastAsia="en-US"/>
        </w:rPr>
        <w:t xml:space="preserve">. Available at: </w:t>
      </w:r>
      <w:hyperlink r:id="rId31" w:history="1">
        <w:r w:rsidRPr="00170554">
          <w:rPr>
            <w:rFonts w:asciiTheme="minorHAnsi" w:eastAsiaTheme="minorHAnsi" w:hAnsiTheme="minorHAnsi" w:cstheme="minorBidi"/>
            <w:color w:val="0000FF"/>
            <w:sz w:val="24"/>
            <w:szCs w:val="24"/>
            <w:u w:val="single"/>
            <w:lang w:eastAsia="en-US"/>
          </w:rPr>
          <w:t>Reducing violence in the night-time economy | College of Policing</w:t>
        </w:r>
      </w:hyperlink>
      <w:r w:rsidRPr="00170554">
        <w:rPr>
          <w:rFonts w:asciiTheme="minorHAnsi" w:eastAsiaTheme="minorHAnsi" w:hAnsiTheme="minorHAnsi" w:cstheme="minorBidi"/>
          <w:color w:val="auto"/>
          <w:sz w:val="24"/>
          <w:szCs w:val="24"/>
          <w:lang w:eastAsia="en-US"/>
        </w:rPr>
        <w:t xml:space="preserve"> (Accessed: 8 November 2022).</w:t>
      </w:r>
    </w:p>
    <w:p w14:paraId="051B94B2"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CPS (2022a) </w:t>
      </w:r>
      <w:r w:rsidRPr="00170554">
        <w:rPr>
          <w:rFonts w:asciiTheme="minorHAnsi" w:eastAsiaTheme="minorHAnsi" w:hAnsiTheme="minorHAnsi" w:cstheme="minorBidi"/>
          <w:i/>
          <w:iCs/>
          <w:color w:val="auto"/>
          <w:sz w:val="24"/>
          <w:szCs w:val="24"/>
          <w:lang w:eastAsia="en-US"/>
        </w:rPr>
        <w:t>Offences against the Person, incorporating the Charging Standard</w:t>
      </w:r>
      <w:r w:rsidRPr="00170554">
        <w:rPr>
          <w:rFonts w:asciiTheme="minorHAnsi" w:eastAsiaTheme="minorHAnsi" w:hAnsiTheme="minorHAnsi" w:cstheme="minorBidi"/>
          <w:color w:val="auto"/>
          <w:sz w:val="24"/>
          <w:szCs w:val="24"/>
          <w:lang w:eastAsia="en-US"/>
        </w:rPr>
        <w:t xml:space="preserve">.  Available at: </w:t>
      </w:r>
      <w:hyperlink r:id="rId32" w:history="1">
        <w:r w:rsidRPr="00170554">
          <w:rPr>
            <w:rFonts w:asciiTheme="minorHAnsi" w:eastAsiaTheme="minorHAnsi" w:hAnsiTheme="minorHAnsi" w:cstheme="minorBidi"/>
            <w:color w:val="0000FF"/>
            <w:sz w:val="24"/>
            <w:szCs w:val="24"/>
            <w:u w:val="single"/>
            <w:lang w:eastAsia="en-US"/>
          </w:rPr>
          <w:t>Offences against the Person, incorporating the Charging Standard | The Crown Prosecution Service (cps.gov.uk)</w:t>
        </w:r>
      </w:hyperlink>
      <w:r w:rsidRPr="00170554">
        <w:rPr>
          <w:rFonts w:asciiTheme="minorHAnsi" w:eastAsiaTheme="minorHAnsi" w:hAnsiTheme="minorHAnsi" w:cstheme="minorBidi"/>
          <w:color w:val="auto"/>
          <w:sz w:val="24"/>
          <w:szCs w:val="24"/>
          <w:lang w:eastAsia="en-US"/>
        </w:rPr>
        <w:t xml:space="preserve"> (Accessed: 9 November 2022)</w:t>
      </w:r>
    </w:p>
    <w:p w14:paraId="0E242C63"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CPS (2022b) </w:t>
      </w:r>
      <w:r w:rsidRPr="00170554">
        <w:rPr>
          <w:rFonts w:asciiTheme="minorHAnsi" w:eastAsiaTheme="minorHAnsi" w:hAnsiTheme="minorHAnsi" w:cstheme="minorBidi"/>
          <w:i/>
          <w:iCs/>
          <w:color w:val="auto"/>
          <w:sz w:val="24"/>
          <w:szCs w:val="24"/>
          <w:lang w:eastAsia="en-US"/>
        </w:rPr>
        <w:t>Support to give your evidence – ‘special measures’</w:t>
      </w:r>
      <w:r w:rsidRPr="00170554">
        <w:rPr>
          <w:rFonts w:asciiTheme="minorHAnsi" w:eastAsiaTheme="minorHAnsi" w:hAnsiTheme="minorHAnsi" w:cstheme="minorBidi"/>
          <w:color w:val="auto"/>
          <w:sz w:val="24"/>
          <w:szCs w:val="24"/>
          <w:lang w:eastAsia="en-US"/>
        </w:rPr>
        <w:t xml:space="preserve">. Available at: </w:t>
      </w:r>
      <w:hyperlink r:id="rId33" w:history="1">
        <w:r w:rsidRPr="00170554">
          <w:rPr>
            <w:rFonts w:asciiTheme="minorHAnsi" w:eastAsiaTheme="minorHAnsi" w:hAnsiTheme="minorHAnsi" w:cstheme="minorBidi"/>
            <w:color w:val="0000FF"/>
            <w:sz w:val="24"/>
            <w:szCs w:val="24"/>
            <w:u w:val="single"/>
            <w:lang w:eastAsia="en-US"/>
          </w:rPr>
          <w:t>Support to give your evidence - ‘special measures’ | The Crown Prosecution Service (cps.gov.uk)</w:t>
        </w:r>
      </w:hyperlink>
      <w:r w:rsidRPr="00170554">
        <w:rPr>
          <w:rFonts w:asciiTheme="minorHAnsi" w:eastAsiaTheme="minorHAnsi" w:hAnsiTheme="minorHAnsi" w:cstheme="minorBidi"/>
          <w:color w:val="auto"/>
          <w:sz w:val="24"/>
          <w:szCs w:val="24"/>
          <w:lang w:eastAsia="en-US"/>
        </w:rPr>
        <w:t xml:space="preserve"> (Accessed on: 30 November 2022).</w:t>
      </w:r>
    </w:p>
    <w:p w14:paraId="1CC77C87"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Finney, A. (2004) </w:t>
      </w:r>
      <w:r w:rsidRPr="00170554">
        <w:rPr>
          <w:rFonts w:asciiTheme="minorHAnsi" w:eastAsiaTheme="minorHAnsi" w:hAnsiTheme="minorHAnsi" w:cstheme="minorBidi"/>
          <w:i/>
          <w:iCs/>
          <w:color w:val="auto"/>
          <w:sz w:val="24"/>
          <w:szCs w:val="24"/>
          <w:lang w:eastAsia="en-US"/>
        </w:rPr>
        <w:t>Violence in the night time economy: key findings from the research, Findings 214</w:t>
      </w:r>
      <w:r w:rsidRPr="00170554">
        <w:rPr>
          <w:rFonts w:asciiTheme="minorHAnsi" w:eastAsiaTheme="minorHAnsi" w:hAnsiTheme="minorHAnsi" w:cstheme="minorBidi"/>
          <w:color w:val="auto"/>
          <w:sz w:val="24"/>
          <w:szCs w:val="24"/>
          <w:lang w:eastAsia="en-US"/>
        </w:rPr>
        <w:t xml:space="preserve">. London: Home Office.  Available at: </w:t>
      </w:r>
      <w:hyperlink r:id="rId34" w:history="1">
        <w:r w:rsidRPr="00170554">
          <w:rPr>
            <w:rFonts w:asciiTheme="minorHAnsi" w:eastAsiaTheme="minorHAnsi" w:hAnsiTheme="minorHAnsi" w:cstheme="minorBidi"/>
            <w:color w:val="0000FF"/>
            <w:sz w:val="24"/>
            <w:szCs w:val="24"/>
            <w:u w:val="single"/>
            <w:lang w:eastAsia="en-US"/>
          </w:rPr>
          <w:t>Finney_2004.pdf (popcenter.org)</w:t>
        </w:r>
      </w:hyperlink>
      <w:r w:rsidRPr="00170554">
        <w:rPr>
          <w:rFonts w:asciiTheme="minorHAnsi" w:eastAsiaTheme="minorHAnsi" w:hAnsiTheme="minorHAnsi" w:cstheme="minorBidi"/>
          <w:color w:val="auto"/>
          <w:sz w:val="24"/>
          <w:szCs w:val="24"/>
          <w:lang w:eastAsia="en-US"/>
        </w:rPr>
        <w:t xml:space="preserve"> (Accessed: 8 November 2022).</w:t>
      </w:r>
    </w:p>
    <w:p w14:paraId="2C01011D"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Gibbs, G. (1988) </w:t>
      </w:r>
      <w:r w:rsidRPr="00170554">
        <w:rPr>
          <w:rFonts w:asciiTheme="minorHAnsi" w:eastAsiaTheme="minorHAnsi" w:hAnsiTheme="minorHAnsi" w:cstheme="minorBidi"/>
          <w:i/>
          <w:iCs/>
          <w:color w:val="auto"/>
          <w:sz w:val="24"/>
          <w:szCs w:val="24"/>
          <w:lang w:eastAsia="en-US"/>
        </w:rPr>
        <w:t>Learning by doing. A guide to teaching and learning methods</w:t>
      </w:r>
      <w:r w:rsidRPr="00170554">
        <w:rPr>
          <w:rFonts w:asciiTheme="minorHAnsi" w:eastAsiaTheme="minorHAnsi" w:hAnsiTheme="minorHAnsi" w:cstheme="minorBidi"/>
          <w:color w:val="auto"/>
          <w:sz w:val="24"/>
          <w:szCs w:val="24"/>
          <w:lang w:eastAsia="en-US"/>
        </w:rPr>
        <w:t>. Oxford Polytechnic, London: Further Education Unit</w:t>
      </w:r>
    </w:p>
    <w:p w14:paraId="3D94869C"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HMICFRS (2017) </w:t>
      </w:r>
      <w:r w:rsidRPr="00170554">
        <w:rPr>
          <w:rFonts w:asciiTheme="minorHAnsi" w:eastAsiaTheme="minorHAnsi" w:hAnsiTheme="minorHAnsi" w:cstheme="minorBidi"/>
          <w:i/>
          <w:iCs/>
          <w:color w:val="auto"/>
          <w:sz w:val="24"/>
          <w:szCs w:val="24"/>
          <w:lang w:eastAsia="en-US"/>
        </w:rPr>
        <w:t xml:space="preserve">PEEL: Police efficiency (including leadership) 2017, An inspection of South Wales Police.  </w:t>
      </w:r>
      <w:r w:rsidRPr="00170554">
        <w:rPr>
          <w:rFonts w:asciiTheme="minorHAnsi" w:eastAsiaTheme="minorHAnsi" w:hAnsiTheme="minorHAnsi" w:cstheme="minorBidi"/>
          <w:color w:val="auto"/>
          <w:sz w:val="24"/>
          <w:szCs w:val="24"/>
          <w:lang w:eastAsia="en-US"/>
        </w:rPr>
        <w:t xml:space="preserve">Available at: </w:t>
      </w:r>
      <w:hyperlink r:id="rId35" w:history="1">
        <w:r w:rsidRPr="00170554">
          <w:rPr>
            <w:rFonts w:asciiTheme="minorHAnsi" w:eastAsiaTheme="minorHAnsi" w:hAnsiTheme="minorHAnsi" w:cstheme="minorBidi"/>
            <w:color w:val="0000FF"/>
            <w:sz w:val="24"/>
            <w:szCs w:val="24"/>
            <w:u w:val="single"/>
            <w:lang w:eastAsia="en-US"/>
          </w:rPr>
          <w:t>peel-police-efficiency-2017-south-wales.pdf (justiceinspectorates.gov.uk)</w:t>
        </w:r>
      </w:hyperlink>
      <w:r w:rsidRPr="00170554">
        <w:rPr>
          <w:rFonts w:asciiTheme="minorHAnsi" w:eastAsiaTheme="minorHAnsi" w:hAnsiTheme="minorHAnsi" w:cstheme="minorBidi"/>
          <w:color w:val="auto"/>
          <w:sz w:val="24"/>
          <w:szCs w:val="24"/>
          <w:lang w:eastAsia="en-US"/>
        </w:rPr>
        <w:t xml:space="preserve"> (Accessed on: 27 December 2022)</w:t>
      </w:r>
    </w:p>
    <w:p w14:paraId="05FCD6AF"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HMICFRS (2019) </w:t>
      </w:r>
      <w:r w:rsidRPr="00170554">
        <w:rPr>
          <w:rFonts w:asciiTheme="minorHAnsi" w:eastAsiaTheme="minorHAnsi" w:hAnsiTheme="minorHAnsi" w:cstheme="minorBidi"/>
          <w:i/>
          <w:iCs/>
          <w:color w:val="auto"/>
          <w:sz w:val="24"/>
          <w:szCs w:val="24"/>
          <w:lang w:eastAsia="en-US"/>
        </w:rPr>
        <w:t>The police response to domestic abuse, An update report</w:t>
      </w:r>
      <w:r w:rsidRPr="00170554">
        <w:rPr>
          <w:rFonts w:asciiTheme="minorHAnsi" w:eastAsiaTheme="minorHAnsi" w:hAnsiTheme="minorHAnsi" w:cstheme="minorBidi"/>
          <w:color w:val="auto"/>
          <w:sz w:val="24"/>
          <w:szCs w:val="24"/>
          <w:lang w:eastAsia="en-US"/>
        </w:rPr>
        <w:t xml:space="preserve">. Available at: </w:t>
      </w:r>
      <w:hyperlink r:id="rId36" w:history="1">
        <w:r w:rsidRPr="00170554">
          <w:rPr>
            <w:rFonts w:asciiTheme="minorHAnsi" w:eastAsiaTheme="minorHAnsi" w:hAnsiTheme="minorHAnsi" w:cstheme="minorBidi"/>
            <w:color w:val="0000FF"/>
            <w:sz w:val="24"/>
            <w:szCs w:val="24"/>
            <w:u w:val="single"/>
            <w:lang w:eastAsia="en-US"/>
          </w:rPr>
          <w:t>The police response to domestic abuse: An update report (justiceinspectorates.gov.uk)</w:t>
        </w:r>
      </w:hyperlink>
      <w:r w:rsidRPr="00170554">
        <w:rPr>
          <w:rFonts w:asciiTheme="minorHAnsi" w:eastAsiaTheme="minorHAnsi" w:hAnsiTheme="minorHAnsi" w:cstheme="minorBidi"/>
          <w:color w:val="auto"/>
          <w:sz w:val="24"/>
          <w:szCs w:val="24"/>
          <w:lang w:eastAsia="en-US"/>
        </w:rPr>
        <w:t xml:space="preserve"> (Accessed on: 28 November 2022)</w:t>
      </w:r>
    </w:p>
    <w:p w14:paraId="4FC49A0A"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Home Office (2021) </w:t>
      </w:r>
      <w:r w:rsidRPr="00170554">
        <w:rPr>
          <w:rFonts w:asciiTheme="minorHAnsi" w:eastAsiaTheme="minorHAnsi" w:hAnsiTheme="minorHAnsi" w:cstheme="minorBidi"/>
          <w:i/>
          <w:iCs/>
          <w:color w:val="auto"/>
          <w:sz w:val="24"/>
          <w:szCs w:val="24"/>
          <w:lang w:eastAsia="en-US"/>
        </w:rPr>
        <w:t>Tackling violence against women and girls strategy</w:t>
      </w:r>
      <w:r w:rsidRPr="00170554">
        <w:rPr>
          <w:rFonts w:asciiTheme="minorHAnsi" w:eastAsiaTheme="minorHAnsi" w:hAnsiTheme="minorHAnsi" w:cstheme="minorBidi"/>
          <w:color w:val="auto"/>
          <w:sz w:val="24"/>
          <w:szCs w:val="24"/>
          <w:lang w:eastAsia="en-US"/>
        </w:rPr>
        <w:t>. Available at:</w:t>
      </w:r>
      <w:r w:rsidRPr="00170554">
        <w:rPr>
          <w:rFonts w:asciiTheme="minorHAnsi" w:eastAsiaTheme="minorHAnsi" w:hAnsiTheme="minorHAnsi" w:cstheme="minorBidi"/>
          <w:color w:val="auto"/>
          <w:sz w:val="22"/>
          <w:szCs w:val="22"/>
          <w:lang w:eastAsia="en-US"/>
        </w:rPr>
        <w:t xml:space="preserve"> </w:t>
      </w:r>
      <w:hyperlink r:id="rId37" w:history="1">
        <w:r w:rsidRPr="00170554">
          <w:rPr>
            <w:rFonts w:asciiTheme="minorHAnsi" w:eastAsiaTheme="minorHAnsi" w:hAnsiTheme="minorHAnsi" w:cstheme="minorBidi"/>
            <w:color w:val="0000FF"/>
            <w:sz w:val="24"/>
            <w:szCs w:val="24"/>
            <w:u w:val="single"/>
            <w:lang w:eastAsia="en-US"/>
          </w:rPr>
          <w:t>Tackling violence against women and girls strategy (accessible version) - GOV.UK (www.gov.uk)</w:t>
        </w:r>
      </w:hyperlink>
      <w:r w:rsidRPr="00170554">
        <w:rPr>
          <w:rFonts w:asciiTheme="minorHAnsi" w:eastAsiaTheme="minorHAnsi" w:hAnsiTheme="minorHAnsi" w:cstheme="minorBidi"/>
          <w:color w:val="auto"/>
          <w:sz w:val="24"/>
          <w:szCs w:val="24"/>
          <w:lang w:eastAsia="en-US"/>
        </w:rPr>
        <w:t xml:space="preserve"> (Accessed: 27 November 2022). </w:t>
      </w:r>
    </w:p>
    <w:p w14:paraId="445660C0"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Home Office (2022) </w:t>
      </w:r>
      <w:r w:rsidRPr="00170554">
        <w:rPr>
          <w:rFonts w:asciiTheme="minorHAnsi" w:eastAsiaTheme="minorHAnsi" w:hAnsiTheme="minorHAnsi" w:cstheme="minorBidi"/>
          <w:i/>
          <w:iCs/>
          <w:color w:val="auto"/>
          <w:sz w:val="24"/>
          <w:szCs w:val="24"/>
          <w:lang w:eastAsia="en-US"/>
        </w:rPr>
        <w:t>Supporting male victims</w:t>
      </w:r>
      <w:r w:rsidRPr="00170554">
        <w:rPr>
          <w:rFonts w:asciiTheme="minorHAnsi" w:eastAsiaTheme="minorHAnsi" w:hAnsiTheme="minorHAnsi" w:cstheme="minorBidi"/>
          <w:color w:val="auto"/>
          <w:sz w:val="24"/>
          <w:szCs w:val="24"/>
          <w:lang w:eastAsia="en-US"/>
        </w:rPr>
        <w:t xml:space="preserve">. Available at: </w:t>
      </w:r>
      <w:hyperlink r:id="rId38" w:history="1">
        <w:r w:rsidRPr="00170554">
          <w:rPr>
            <w:rFonts w:asciiTheme="minorHAnsi" w:eastAsiaTheme="minorHAnsi" w:hAnsiTheme="minorHAnsi" w:cstheme="minorBidi"/>
            <w:color w:val="0000FF"/>
            <w:sz w:val="24"/>
            <w:szCs w:val="24"/>
            <w:u w:val="single"/>
            <w:lang w:eastAsia="en-US"/>
          </w:rPr>
          <w:t>Supporting male victims (accessible) - GOV.UK (www.gov.uk)</w:t>
        </w:r>
      </w:hyperlink>
      <w:r w:rsidRPr="00170554">
        <w:rPr>
          <w:rFonts w:asciiTheme="minorHAnsi" w:eastAsiaTheme="minorHAnsi" w:hAnsiTheme="minorHAnsi" w:cstheme="minorBidi"/>
          <w:color w:val="auto"/>
          <w:sz w:val="24"/>
          <w:szCs w:val="24"/>
          <w:lang w:eastAsia="en-US"/>
        </w:rPr>
        <w:t xml:space="preserve"> (Accessed on: 28 November 2022).</w:t>
      </w:r>
    </w:p>
    <w:p w14:paraId="40CA8DE7"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Husebo, S.E. &amp; O’Reagan, S. (2015) ‘Reflective Practice and Its Role in Simulation’, </w:t>
      </w:r>
      <w:r w:rsidRPr="00170554">
        <w:rPr>
          <w:rFonts w:asciiTheme="minorHAnsi" w:eastAsiaTheme="minorHAnsi" w:hAnsiTheme="minorHAnsi" w:cstheme="minorBidi"/>
          <w:i/>
          <w:iCs/>
          <w:color w:val="auto"/>
          <w:sz w:val="24"/>
          <w:szCs w:val="24"/>
          <w:lang w:eastAsia="en-US"/>
        </w:rPr>
        <w:t>Clinical Simulation in Nursing</w:t>
      </w:r>
      <w:r w:rsidRPr="00170554">
        <w:rPr>
          <w:rFonts w:asciiTheme="minorHAnsi" w:eastAsiaTheme="minorHAnsi" w:hAnsiTheme="minorHAnsi" w:cstheme="minorBidi"/>
          <w:color w:val="auto"/>
          <w:sz w:val="24"/>
          <w:szCs w:val="24"/>
          <w:lang w:eastAsia="en-US"/>
        </w:rPr>
        <w:t xml:space="preserve">, 11(8), pp. 368-375.  Available at: </w:t>
      </w:r>
      <w:hyperlink r:id="rId39" w:history="1">
        <w:r w:rsidRPr="00170554">
          <w:rPr>
            <w:rFonts w:asciiTheme="minorHAnsi" w:eastAsiaTheme="minorHAnsi" w:hAnsiTheme="minorHAnsi" w:cstheme="minorBidi"/>
            <w:color w:val="0000FF"/>
            <w:sz w:val="24"/>
            <w:szCs w:val="24"/>
            <w:u w:val="single"/>
            <w:lang w:eastAsia="en-US"/>
          </w:rPr>
          <w:t>Reflective Practice and Its Role in Simulation - ScienceDirect</w:t>
        </w:r>
      </w:hyperlink>
      <w:r w:rsidRPr="00170554">
        <w:rPr>
          <w:rFonts w:asciiTheme="minorHAnsi" w:eastAsiaTheme="minorHAnsi" w:hAnsiTheme="minorHAnsi" w:cstheme="minorBidi"/>
          <w:color w:val="auto"/>
          <w:sz w:val="24"/>
          <w:szCs w:val="24"/>
          <w:lang w:eastAsia="en-US"/>
        </w:rPr>
        <w:t xml:space="preserve"> (Accessed: 24 November 2022). </w:t>
      </w:r>
    </w:p>
    <w:p w14:paraId="35B29CD4"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Institute of Alcohol Studies (2020) </w:t>
      </w:r>
      <w:r w:rsidRPr="00170554">
        <w:rPr>
          <w:rFonts w:asciiTheme="minorHAnsi" w:eastAsiaTheme="minorHAnsi" w:hAnsiTheme="minorHAnsi" w:cstheme="minorBidi"/>
          <w:i/>
          <w:iCs/>
          <w:color w:val="auto"/>
          <w:sz w:val="24"/>
          <w:szCs w:val="24"/>
          <w:lang w:eastAsia="en-US"/>
        </w:rPr>
        <w:t>Inequalities in victimisation: alcohol, violence, and anti-social behaviour, An Institute of Alcohol Studies Report</w:t>
      </w:r>
      <w:r w:rsidRPr="00170554">
        <w:rPr>
          <w:rFonts w:asciiTheme="minorHAnsi" w:eastAsiaTheme="minorHAnsi" w:hAnsiTheme="minorHAnsi" w:cstheme="minorBidi"/>
          <w:color w:val="auto"/>
          <w:sz w:val="24"/>
          <w:szCs w:val="24"/>
          <w:lang w:eastAsia="en-US"/>
        </w:rPr>
        <w:t xml:space="preserve">. Available at: </w:t>
      </w:r>
      <w:hyperlink r:id="rId40" w:history="1">
        <w:r w:rsidRPr="00170554">
          <w:rPr>
            <w:rFonts w:asciiTheme="minorHAnsi" w:eastAsiaTheme="minorHAnsi" w:hAnsiTheme="minorHAnsi" w:cstheme="minorBidi"/>
            <w:color w:val="0000FF"/>
            <w:sz w:val="24"/>
            <w:szCs w:val="24"/>
            <w:u w:val="single"/>
            <w:lang w:eastAsia="en-US"/>
          </w:rPr>
          <w:t>rp41052020.pdf (ias.org.uk)</w:t>
        </w:r>
      </w:hyperlink>
      <w:r w:rsidRPr="00170554">
        <w:rPr>
          <w:rFonts w:asciiTheme="minorHAnsi" w:eastAsiaTheme="minorHAnsi" w:hAnsiTheme="minorHAnsi" w:cstheme="minorBidi"/>
          <w:color w:val="auto"/>
          <w:sz w:val="24"/>
          <w:szCs w:val="24"/>
          <w:lang w:eastAsia="en-US"/>
        </w:rPr>
        <w:t xml:space="preserve"> (Accessed: 8 November 2022).</w:t>
      </w:r>
    </w:p>
    <w:p w14:paraId="2037368D"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Janssens, K.M.E., van der Velden, P.G., Taris, R. &amp; van Veldhoven, M.J.P.M. (2021) ‘Resilience Among Police Officers: a Critical Systematic Review of Used Concepts, Measures, and Predictive Values of Resilience’, </w:t>
      </w:r>
      <w:r w:rsidRPr="00170554">
        <w:rPr>
          <w:rFonts w:asciiTheme="minorHAnsi" w:eastAsiaTheme="minorHAnsi" w:hAnsiTheme="minorHAnsi" w:cstheme="minorBidi"/>
          <w:i/>
          <w:iCs/>
          <w:color w:val="auto"/>
          <w:sz w:val="24"/>
          <w:szCs w:val="24"/>
          <w:lang w:eastAsia="en-US"/>
        </w:rPr>
        <w:t>Journal of Police and Criminal Psychology</w:t>
      </w:r>
      <w:r w:rsidRPr="00170554">
        <w:rPr>
          <w:rFonts w:asciiTheme="minorHAnsi" w:eastAsiaTheme="minorHAnsi" w:hAnsiTheme="minorHAnsi" w:cstheme="minorBidi"/>
          <w:color w:val="auto"/>
          <w:sz w:val="24"/>
          <w:szCs w:val="24"/>
          <w:lang w:eastAsia="en-US"/>
        </w:rPr>
        <w:t xml:space="preserve">, 36, pp. 24-40. </w:t>
      </w:r>
      <w:hyperlink r:id="rId41" w:history="1">
        <w:r w:rsidRPr="00170554">
          <w:rPr>
            <w:rFonts w:asciiTheme="minorHAnsi" w:eastAsiaTheme="minorHAnsi" w:hAnsiTheme="minorHAnsi" w:cstheme="minorBidi"/>
            <w:color w:val="0000FF"/>
            <w:sz w:val="24"/>
            <w:szCs w:val="24"/>
            <w:u w:val="single"/>
            <w:lang w:eastAsia="en-US"/>
          </w:rPr>
          <w:t>Resilience Among Police Officers: a Critical Systematic Review of Used Concepts, Measures, and Predictive Values of Resilience | SpringerLink</w:t>
        </w:r>
      </w:hyperlink>
    </w:p>
    <w:p w14:paraId="01348848"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Johnson, R.S. (2020) </w:t>
      </w:r>
      <w:r w:rsidRPr="00170554">
        <w:rPr>
          <w:rFonts w:asciiTheme="minorHAnsi" w:eastAsiaTheme="minorHAnsi" w:hAnsiTheme="minorHAnsi" w:cstheme="minorBidi"/>
          <w:i/>
          <w:iCs/>
          <w:color w:val="auto"/>
          <w:sz w:val="24"/>
          <w:szCs w:val="24"/>
          <w:lang w:eastAsia="en-US"/>
        </w:rPr>
        <w:t>Escaping Conflict and the Karpman Drama Triangle</w:t>
      </w:r>
      <w:r w:rsidRPr="00170554">
        <w:rPr>
          <w:rFonts w:asciiTheme="minorHAnsi" w:eastAsiaTheme="minorHAnsi" w:hAnsiTheme="minorHAnsi" w:cstheme="minorBidi"/>
          <w:color w:val="auto"/>
          <w:sz w:val="24"/>
          <w:szCs w:val="24"/>
          <w:lang w:eastAsia="en-US"/>
        </w:rPr>
        <w:t xml:space="preserve">. Available at: </w:t>
      </w:r>
      <w:hyperlink r:id="rId42" w:history="1">
        <w:r w:rsidRPr="00170554">
          <w:rPr>
            <w:rFonts w:asciiTheme="minorHAnsi" w:eastAsiaTheme="minorHAnsi" w:hAnsiTheme="minorHAnsi" w:cstheme="minorBidi"/>
            <w:color w:val="0000FF"/>
            <w:sz w:val="24"/>
            <w:szCs w:val="24"/>
            <w:u w:val="single"/>
            <w:lang w:eastAsia="en-US"/>
          </w:rPr>
          <w:t>Escaping Conflict and the Karpman Drama Triangle | Borderline Personality Disorder (bpdfamily.com)</w:t>
        </w:r>
      </w:hyperlink>
      <w:r w:rsidRPr="00170554">
        <w:rPr>
          <w:rFonts w:asciiTheme="minorHAnsi" w:eastAsiaTheme="minorHAnsi" w:hAnsiTheme="minorHAnsi" w:cstheme="minorBidi"/>
          <w:color w:val="auto"/>
          <w:sz w:val="24"/>
          <w:szCs w:val="24"/>
          <w:lang w:eastAsia="en-US"/>
        </w:rPr>
        <w:t xml:space="preserve"> (Accessed: 24 November 2022)</w:t>
      </w:r>
    </w:p>
    <w:p w14:paraId="575CE974"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McEwen, B.S., Gray, J.D. &amp; Nasca, C. (2015) ‘Recognizing resilience: Learning from the effects of stress on the brain’, </w:t>
      </w:r>
      <w:r w:rsidRPr="00170554">
        <w:rPr>
          <w:rFonts w:asciiTheme="minorHAnsi" w:eastAsiaTheme="minorHAnsi" w:hAnsiTheme="minorHAnsi" w:cstheme="minorBidi"/>
          <w:i/>
          <w:iCs/>
          <w:color w:val="auto"/>
          <w:sz w:val="24"/>
          <w:szCs w:val="24"/>
          <w:lang w:eastAsia="en-US"/>
        </w:rPr>
        <w:t>Neurobiology of Stress</w:t>
      </w:r>
      <w:r w:rsidRPr="00170554">
        <w:rPr>
          <w:rFonts w:asciiTheme="minorHAnsi" w:eastAsiaTheme="minorHAnsi" w:hAnsiTheme="minorHAnsi" w:cstheme="minorBidi"/>
          <w:color w:val="auto"/>
          <w:sz w:val="24"/>
          <w:szCs w:val="24"/>
          <w:lang w:eastAsia="en-US"/>
        </w:rPr>
        <w:t xml:space="preserve">, 1, pp. 1-11. </w:t>
      </w:r>
      <w:hyperlink r:id="rId43" w:history="1">
        <w:r w:rsidRPr="00170554">
          <w:rPr>
            <w:rFonts w:asciiTheme="minorHAnsi" w:eastAsiaTheme="minorHAnsi" w:hAnsiTheme="minorHAnsi" w:cstheme="minorBidi"/>
            <w:color w:val="0000FF"/>
            <w:sz w:val="24"/>
            <w:szCs w:val="24"/>
            <w:u w:val="single"/>
            <w:lang w:eastAsia="en-US"/>
          </w:rPr>
          <w:t>Recognizing resilience: Learning from the effects of stress on the brain | Elsevier Enhanced Reader</w:t>
        </w:r>
      </w:hyperlink>
    </w:p>
    <w:p w14:paraId="2274E2EE"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McMahon, D. (2005) ‘The Drama Triangle: A Unilateral Control Program for Helping Others’ in Schwarz, R., Davidson, A., Carlson, P., McKinney, S. and Contributors, </w:t>
      </w:r>
      <w:r w:rsidRPr="00170554">
        <w:rPr>
          <w:rFonts w:asciiTheme="minorHAnsi" w:eastAsiaTheme="minorHAnsi" w:hAnsiTheme="minorHAnsi" w:cstheme="minorBidi"/>
          <w:i/>
          <w:iCs/>
          <w:color w:val="auto"/>
          <w:sz w:val="24"/>
          <w:szCs w:val="24"/>
          <w:lang w:eastAsia="en-US"/>
        </w:rPr>
        <w:t>The Skilled Facilitator Fieldbook: Tips, Tools and Tested Methods for Consultants, Facilitators, Managers, Trainers and Coaches</w:t>
      </w:r>
      <w:r w:rsidRPr="00170554">
        <w:rPr>
          <w:rFonts w:asciiTheme="minorHAnsi" w:eastAsiaTheme="minorHAnsi" w:hAnsiTheme="minorHAnsi" w:cstheme="minorBidi"/>
          <w:color w:val="auto"/>
          <w:sz w:val="24"/>
          <w:szCs w:val="24"/>
          <w:lang w:eastAsia="en-US"/>
        </w:rPr>
        <w:t xml:space="preserve">. Jossey-Bass. </w:t>
      </w:r>
    </w:p>
    <w:p w14:paraId="793296F4"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Mikkelsen, K., Stojanovska, L., Polenakovic, M., Bosevski, M. &amp; Apostolopoulos, V. (2017) ‘Exercise and mental health’, </w:t>
      </w:r>
      <w:r w:rsidRPr="00170554">
        <w:rPr>
          <w:rFonts w:asciiTheme="minorHAnsi" w:eastAsiaTheme="minorHAnsi" w:hAnsiTheme="minorHAnsi" w:cstheme="minorBidi"/>
          <w:i/>
          <w:iCs/>
          <w:color w:val="auto"/>
          <w:sz w:val="24"/>
          <w:szCs w:val="24"/>
          <w:lang w:eastAsia="en-US"/>
        </w:rPr>
        <w:t>Maturitas</w:t>
      </w:r>
      <w:r w:rsidRPr="00170554">
        <w:rPr>
          <w:rFonts w:asciiTheme="minorHAnsi" w:eastAsiaTheme="minorHAnsi" w:hAnsiTheme="minorHAnsi" w:cstheme="minorBidi"/>
          <w:color w:val="auto"/>
          <w:sz w:val="24"/>
          <w:szCs w:val="24"/>
          <w:lang w:eastAsia="en-US"/>
        </w:rPr>
        <w:t xml:space="preserve">, 106, pp. 48-56. </w:t>
      </w:r>
      <w:hyperlink r:id="rId44" w:history="1">
        <w:r w:rsidRPr="00170554">
          <w:rPr>
            <w:rFonts w:asciiTheme="minorHAnsi" w:eastAsiaTheme="minorHAnsi" w:hAnsiTheme="minorHAnsi" w:cstheme="minorBidi"/>
            <w:color w:val="0000FF"/>
            <w:sz w:val="24"/>
            <w:szCs w:val="24"/>
            <w:u w:val="single"/>
            <w:lang w:eastAsia="en-US"/>
          </w:rPr>
          <w:t>Exercise and mental health - ScienceDirect</w:t>
        </w:r>
      </w:hyperlink>
    </w:p>
    <w:p w14:paraId="24D60E52"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Ministry of Justice (2020) </w:t>
      </w:r>
      <w:r w:rsidRPr="00170554">
        <w:rPr>
          <w:rFonts w:asciiTheme="minorHAnsi" w:eastAsiaTheme="minorHAnsi" w:hAnsiTheme="minorHAnsi" w:cstheme="minorBidi"/>
          <w:i/>
          <w:iCs/>
          <w:color w:val="auto"/>
          <w:sz w:val="24"/>
          <w:szCs w:val="24"/>
          <w:lang w:eastAsia="en-US"/>
        </w:rPr>
        <w:t xml:space="preserve">Criminal Procedure and Investigations Act 1996 </w:t>
      </w:r>
      <w:r w:rsidRPr="00170554">
        <w:rPr>
          <w:rFonts w:asciiTheme="minorHAnsi" w:eastAsiaTheme="minorHAnsi" w:hAnsiTheme="minorHAnsi" w:cstheme="minorBidi"/>
          <w:i/>
          <w:iCs/>
          <w:color w:val="auto"/>
          <w:sz w:val="24"/>
          <w:szCs w:val="24"/>
          <w:lang w:eastAsia="en-US"/>
        </w:rPr>
        <w:tab/>
        <w:t>(section 23(1)) Code of Practice</w:t>
      </w:r>
      <w:r w:rsidRPr="00170554">
        <w:rPr>
          <w:rFonts w:asciiTheme="minorHAnsi" w:eastAsiaTheme="minorHAnsi" w:hAnsiTheme="minorHAnsi" w:cstheme="minorBidi"/>
          <w:color w:val="auto"/>
          <w:sz w:val="24"/>
          <w:szCs w:val="24"/>
          <w:lang w:eastAsia="en-US"/>
        </w:rPr>
        <w:t xml:space="preserve">.  Available at: </w:t>
      </w:r>
      <w:hyperlink r:id="rId45" w:history="1">
        <w:r w:rsidRPr="00170554">
          <w:rPr>
            <w:rFonts w:asciiTheme="minorHAnsi" w:eastAsiaTheme="minorHAnsi" w:hAnsiTheme="minorHAnsi" w:cstheme="minorBidi"/>
            <w:color w:val="0000FF"/>
            <w:sz w:val="24"/>
            <w:szCs w:val="24"/>
            <w:u w:val="single"/>
            <w:lang w:eastAsia="en-US"/>
          </w:rPr>
          <w:t>Criminal Procedure and Investigations Act 1996 (section 23(1)) Code of Practice (publishing.service.gov.uk)</w:t>
        </w:r>
      </w:hyperlink>
      <w:r w:rsidRPr="00170554">
        <w:rPr>
          <w:rFonts w:asciiTheme="minorHAnsi" w:eastAsiaTheme="minorHAnsi" w:hAnsiTheme="minorHAnsi" w:cstheme="minorBidi"/>
          <w:color w:val="auto"/>
          <w:sz w:val="24"/>
          <w:szCs w:val="24"/>
          <w:lang w:eastAsia="en-US"/>
        </w:rPr>
        <w:t xml:space="preserve"> (Accessed on: 1 January 2023)</w:t>
      </w:r>
    </w:p>
    <w:p w14:paraId="42F0270C"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Ministry of Justice (2021a) </w:t>
      </w:r>
      <w:r w:rsidRPr="00170554">
        <w:rPr>
          <w:rFonts w:asciiTheme="minorHAnsi" w:eastAsiaTheme="minorHAnsi" w:hAnsiTheme="minorHAnsi" w:cstheme="minorBidi"/>
          <w:i/>
          <w:iCs/>
          <w:color w:val="auto"/>
          <w:sz w:val="24"/>
          <w:szCs w:val="24"/>
          <w:lang w:eastAsia="en-US"/>
        </w:rPr>
        <w:t>Sobriety tags launched in England to tackle alcohol fuelled crime</w:t>
      </w:r>
      <w:r w:rsidRPr="00170554">
        <w:rPr>
          <w:rFonts w:asciiTheme="minorHAnsi" w:eastAsiaTheme="minorHAnsi" w:hAnsiTheme="minorHAnsi" w:cstheme="minorBidi"/>
          <w:color w:val="auto"/>
          <w:sz w:val="24"/>
          <w:szCs w:val="24"/>
          <w:lang w:eastAsia="en-US"/>
        </w:rPr>
        <w:t xml:space="preserve">.  Available at: </w:t>
      </w:r>
      <w:hyperlink r:id="rId46" w:history="1">
        <w:r w:rsidRPr="00170554">
          <w:rPr>
            <w:rFonts w:asciiTheme="minorHAnsi" w:eastAsiaTheme="minorHAnsi" w:hAnsiTheme="minorHAnsi" w:cstheme="minorBidi"/>
            <w:color w:val="0000FF"/>
            <w:sz w:val="24"/>
            <w:szCs w:val="24"/>
            <w:u w:val="single"/>
            <w:lang w:eastAsia="en-US"/>
          </w:rPr>
          <w:t>Sobriety tags launched in England to tackle alcohol-fuelled crime - GOV.UK (www.gov.uk)</w:t>
        </w:r>
      </w:hyperlink>
      <w:r w:rsidRPr="00170554">
        <w:rPr>
          <w:rFonts w:asciiTheme="minorHAnsi" w:eastAsiaTheme="minorHAnsi" w:hAnsiTheme="minorHAnsi" w:cstheme="minorBidi"/>
          <w:color w:val="auto"/>
          <w:sz w:val="24"/>
          <w:szCs w:val="24"/>
          <w:lang w:eastAsia="en-US"/>
        </w:rPr>
        <w:t xml:space="preserve"> (Accessed: 8 November 2022)</w:t>
      </w:r>
    </w:p>
    <w:p w14:paraId="1216C73C"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Ministry of Justice (2021b) </w:t>
      </w:r>
      <w:r w:rsidRPr="00170554">
        <w:rPr>
          <w:rFonts w:asciiTheme="minorHAnsi" w:eastAsiaTheme="minorHAnsi" w:hAnsiTheme="minorHAnsi" w:cstheme="minorBidi"/>
          <w:i/>
          <w:iCs/>
          <w:color w:val="auto"/>
          <w:sz w:val="24"/>
          <w:szCs w:val="24"/>
          <w:lang w:eastAsia="en-US"/>
        </w:rPr>
        <w:t>Code of Practice for Victims of Crime in England and Wales (Victim’s Code)</w:t>
      </w:r>
      <w:r w:rsidRPr="00170554">
        <w:rPr>
          <w:rFonts w:asciiTheme="minorHAnsi" w:eastAsiaTheme="minorHAnsi" w:hAnsiTheme="minorHAnsi" w:cstheme="minorBidi"/>
          <w:color w:val="auto"/>
          <w:sz w:val="24"/>
          <w:szCs w:val="24"/>
          <w:lang w:eastAsia="en-US"/>
        </w:rPr>
        <w:t xml:space="preserve">. Available at: </w:t>
      </w:r>
      <w:hyperlink r:id="rId47" w:anchor="enhanced-rights" w:history="1">
        <w:r w:rsidRPr="00170554">
          <w:rPr>
            <w:rFonts w:asciiTheme="minorHAnsi" w:eastAsiaTheme="minorHAnsi" w:hAnsiTheme="minorHAnsi" w:cstheme="minorBidi"/>
            <w:color w:val="0000FF"/>
            <w:sz w:val="24"/>
            <w:szCs w:val="24"/>
            <w:u w:val="single"/>
            <w:lang w:eastAsia="en-US"/>
          </w:rPr>
          <w:t>Code of Practice for Victims of Crime in England and Wales (Victim's Code) - GOV.UK (www.gov.uk)</w:t>
        </w:r>
      </w:hyperlink>
      <w:r w:rsidRPr="00170554">
        <w:rPr>
          <w:rFonts w:asciiTheme="minorHAnsi" w:eastAsiaTheme="minorHAnsi" w:hAnsiTheme="minorHAnsi" w:cstheme="minorBidi"/>
          <w:color w:val="auto"/>
          <w:sz w:val="24"/>
          <w:szCs w:val="24"/>
          <w:lang w:eastAsia="en-US"/>
        </w:rPr>
        <w:t xml:space="preserve"> (Accessed on: 29 November 2022)</w:t>
      </w:r>
    </w:p>
    <w:p w14:paraId="0EE61467"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Mynenko, K.D. and Ditcham, K. (2022) ‘Public Confidence in the Police: A New Low for the Service’, </w:t>
      </w:r>
      <w:r w:rsidRPr="00170554">
        <w:rPr>
          <w:rFonts w:asciiTheme="minorHAnsi" w:eastAsiaTheme="minorHAnsi" w:hAnsiTheme="minorHAnsi" w:cstheme="minorBidi"/>
          <w:i/>
          <w:iCs/>
          <w:color w:val="auto"/>
          <w:sz w:val="24"/>
          <w:szCs w:val="24"/>
          <w:lang w:eastAsia="en-US"/>
        </w:rPr>
        <w:t>The Royal United Services Institute for Defence and Security Studies</w:t>
      </w:r>
      <w:r w:rsidRPr="00170554">
        <w:rPr>
          <w:rFonts w:asciiTheme="minorHAnsi" w:eastAsiaTheme="minorHAnsi" w:hAnsiTheme="minorHAnsi" w:cstheme="minorBidi"/>
          <w:color w:val="auto"/>
          <w:sz w:val="24"/>
          <w:szCs w:val="24"/>
          <w:lang w:eastAsia="en-US"/>
        </w:rPr>
        <w:t xml:space="preserve">. Available at: </w:t>
      </w:r>
      <w:hyperlink r:id="rId48" w:history="1">
        <w:r w:rsidRPr="00170554">
          <w:rPr>
            <w:rFonts w:asciiTheme="minorHAnsi" w:eastAsiaTheme="minorHAnsi" w:hAnsiTheme="minorHAnsi" w:cstheme="minorBidi"/>
            <w:color w:val="0000FF"/>
            <w:sz w:val="24"/>
            <w:szCs w:val="24"/>
            <w:u w:val="single"/>
            <w:lang w:eastAsia="en-US"/>
          </w:rPr>
          <w:t>Public Confidence in the Police: A New Low for the Service | Royal United Services Institute (rusi.org)</w:t>
        </w:r>
      </w:hyperlink>
      <w:r w:rsidRPr="00170554">
        <w:rPr>
          <w:rFonts w:asciiTheme="minorHAnsi" w:eastAsiaTheme="minorHAnsi" w:hAnsiTheme="minorHAnsi" w:cstheme="minorBidi"/>
          <w:color w:val="auto"/>
          <w:sz w:val="24"/>
          <w:szCs w:val="24"/>
          <w:lang w:eastAsia="en-US"/>
        </w:rPr>
        <w:t xml:space="preserve"> (Accessed on: 19 December 2022)</w:t>
      </w:r>
    </w:p>
    <w:p w14:paraId="2BA97176"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Newburn, T. &amp; Neyround, P. (2008) </w:t>
      </w:r>
      <w:r w:rsidRPr="00170554">
        <w:rPr>
          <w:rFonts w:asciiTheme="minorHAnsi" w:eastAsiaTheme="minorHAnsi" w:hAnsiTheme="minorHAnsi" w:cstheme="minorBidi"/>
          <w:i/>
          <w:iCs/>
          <w:color w:val="auto"/>
          <w:sz w:val="24"/>
          <w:szCs w:val="24"/>
          <w:lang w:eastAsia="en-US"/>
        </w:rPr>
        <w:t>Dictionary of Policing</w:t>
      </w:r>
      <w:r w:rsidRPr="00170554">
        <w:rPr>
          <w:rFonts w:asciiTheme="minorHAnsi" w:eastAsiaTheme="minorHAnsi" w:hAnsiTheme="minorHAnsi" w:cstheme="minorBidi"/>
          <w:color w:val="auto"/>
          <w:sz w:val="24"/>
          <w:szCs w:val="24"/>
          <w:lang w:eastAsia="en-US"/>
        </w:rPr>
        <w:t>. Willan.</w:t>
      </w:r>
    </w:p>
    <w:p w14:paraId="1E727EA1"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Nystoriak, M.A. &amp; Bhatnagar, A. (2018) ‘Cardiovascular Effects and Benefits of Exercise’, </w:t>
      </w:r>
      <w:r w:rsidRPr="00170554">
        <w:rPr>
          <w:rFonts w:asciiTheme="minorHAnsi" w:eastAsiaTheme="minorHAnsi" w:hAnsiTheme="minorHAnsi" w:cstheme="minorBidi"/>
          <w:i/>
          <w:iCs/>
          <w:color w:val="auto"/>
          <w:sz w:val="24"/>
          <w:szCs w:val="24"/>
          <w:lang w:eastAsia="en-US"/>
        </w:rPr>
        <w:t>Frontiers in Cardiovascular Medicine</w:t>
      </w:r>
      <w:r w:rsidRPr="00170554">
        <w:rPr>
          <w:rFonts w:asciiTheme="minorHAnsi" w:eastAsiaTheme="minorHAnsi" w:hAnsiTheme="minorHAnsi" w:cstheme="minorBidi"/>
          <w:color w:val="auto"/>
          <w:sz w:val="24"/>
          <w:szCs w:val="24"/>
          <w:lang w:eastAsia="en-US"/>
        </w:rPr>
        <w:t xml:space="preserve">, 5, 135, pp. 1-11. </w:t>
      </w:r>
      <w:hyperlink r:id="rId49" w:history="1">
        <w:r w:rsidRPr="00170554">
          <w:rPr>
            <w:rFonts w:asciiTheme="minorHAnsi" w:eastAsiaTheme="minorHAnsi" w:hAnsiTheme="minorHAnsi" w:cstheme="minorBidi"/>
            <w:color w:val="0000FF"/>
            <w:sz w:val="24"/>
            <w:szCs w:val="24"/>
            <w:u w:val="single"/>
            <w:lang w:eastAsia="en-US"/>
          </w:rPr>
          <w:t>Frontiers | Cardiovascular Effects and Benefits of Exercise (frontiersin.org)</w:t>
        </w:r>
      </w:hyperlink>
    </w:p>
    <w:p w14:paraId="2970BA43"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ONS (2020a) </w:t>
      </w:r>
      <w:r w:rsidRPr="00170554">
        <w:rPr>
          <w:rFonts w:asciiTheme="minorHAnsi" w:eastAsiaTheme="minorHAnsi" w:hAnsiTheme="minorHAnsi" w:cstheme="minorBidi"/>
          <w:i/>
          <w:iCs/>
          <w:color w:val="auto"/>
          <w:sz w:val="24"/>
          <w:szCs w:val="24"/>
          <w:lang w:eastAsia="en-US"/>
        </w:rPr>
        <w:t>Domestic abuse prevalence and trends, England and Wales: year ending March 2020</w:t>
      </w:r>
      <w:r w:rsidRPr="00170554">
        <w:rPr>
          <w:rFonts w:asciiTheme="minorHAnsi" w:eastAsiaTheme="minorHAnsi" w:hAnsiTheme="minorHAnsi" w:cstheme="minorBidi"/>
          <w:color w:val="auto"/>
          <w:sz w:val="24"/>
          <w:szCs w:val="24"/>
          <w:lang w:eastAsia="en-US"/>
        </w:rPr>
        <w:t xml:space="preserve">. Available at: </w:t>
      </w:r>
      <w:hyperlink r:id="rId50" w:history="1">
        <w:r w:rsidRPr="00170554">
          <w:rPr>
            <w:rFonts w:asciiTheme="minorHAnsi" w:eastAsiaTheme="minorHAnsi" w:hAnsiTheme="minorHAnsi" w:cstheme="minorBidi"/>
            <w:color w:val="0000FF"/>
            <w:sz w:val="24"/>
            <w:szCs w:val="24"/>
            <w:u w:val="single"/>
            <w:lang w:eastAsia="en-US"/>
          </w:rPr>
          <w:t>Domestic abuse prevalence and trends, England and Wales - Office for National Statistics (ons.gov.uk)</w:t>
        </w:r>
      </w:hyperlink>
      <w:r w:rsidRPr="00170554">
        <w:rPr>
          <w:rFonts w:asciiTheme="minorHAnsi" w:eastAsiaTheme="minorHAnsi" w:hAnsiTheme="minorHAnsi" w:cstheme="minorBidi"/>
          <w:color w:val="auto"/>
          <w:sz w:val="24"/>
          <w:szCs w:val="24"/>
          <w:lang w:eastAsia="en-US"/>
        </w:rPr>
        <w:t xml:space="preserve"> (Accessed: 28 November 2022)</w:t>
      </w:r>
    </w:p>
    <w:p w14:paraId="64A652A9"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ONS (2020b) </w:t>
      </w:r>
      <w:r w:rsidRPr="00170554">
        <w:rPr>
          <w:rFonts w:asciiTheme="minorHAnsi" w:eastAsiaTheme="minorHAnsi" w:hAnsiTheme="minorHAnsi" w:cstheme="minorBidi"/>
          <w:i/>
          <w:iCs/>
          <w:color w:val="auto"/>
          <w:sz w:val="24"/>
          <w:szCs w:val="24"/>
          <w:lang w:eastAsia="en-US"/>
        </w:rPr>
        <w:t>Child physical abuse in England and Wales: year ending March 2019</w:t>
      </w:r>
      <w:r w:rsidRPr="00170554">
        <w:rPr>
          <w:rFonts w:asciiTheme="minorHAnsi" w:eastAsiaTheme="minorHAnsi" w:hAnsiTheme="minorHAnsi" w:cstheme="minorBidi"/>
          <w:color w:val="auto"/>
          <w:sz w:val="24"/>
          <w:szCs w:val="24"/>
          <w:lang w:eastAsia="en-US"/>
        </w:rPr>
        <w:t xml:space="preserve">.  Available at: </w:t>
      </w:r>
      <w:hyperlink r:id="rId51" w:history="1">
        <w:r w:rsidRPr="00170554">
          <w:rPr>
            <w:rFonts w:asciiTheme="minorHAnsi" w:eastAsiaTheme="minorHAnsi" w:hAnsiTheme="minorHAnsi" w:cstheme="minorBidi"/>
            <w:color w:val="0000FF"/>
            <w:sz w:val="24"/>
            <w:szCs w:val="24"/>
            <w:u w:val="single"/>
            <w:lang w:eastAsia="en-US"/>
          </w:rPr>
          <w:t>Child physical abuse in England and Wales - Office for National Statistics (ons.gov.uk)</w:t>
        </w:r>
      </w:hyperlink>
      <w:r w:rsidRPr="00170554">
        <w:rPr>
          <w:rFonts w:asciiTheme="minorHAnsi" w:eastAsiaTheme="minorHAnsi" w:hAnsiTheme="minorHAnsi" w:cstheme="minorBidi"/>
          <w:color w:val="auto"/>
          <w:sz w:val="24"/>
          <w:szCs w:val="24"/>
          <w:lang w:eastAsia="en-US"/>
        </w:rPr>
        <w:t xml:space="preserve"> (Accessed on: 27 December 2022)</w:t>
      </w:r>
    </w:p>
    <w:p w14:paraId="5BBE11AF"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Oswald, F., Campbell, J., Williamson, C., Richards, J. and Kelly, P. (2020) ‘A Scoping Review of the Relationship between Running and Mental Health’, </w:t>
      </w:r>
      <w:r w:rsidRPr="00170554">
        <w:rPr>
          <w:rFonts w:asciiTheme="minorHAnsi" w:eastAsiaTheme="minorHAnsi" w:hAnsiTheme="minorHAnsi" w:cstheme="minorBidi"/>
          <w:i/>
          <w:iCs/>
          <w:color w:val="auto"/>
          <w:sz w:val="24"/>
          <w:szCs w:val="24"/>
          <w:lang w:eastAsia="en-US"/>
        </w:rPr>
        <w:t>International Journal of Environmental Research and Public Health</w:t>
      </w:r>
      <w:r w:rsidRPr="00170554">
        <w:rPr>
          <w:rFonts w:asciiTheme="minorHAnsi" w:eastAsiaTheme="minorHAnsi" w:hAnsiTheme="minorHAnsi" w:cstheme="minorBidi"/>
          <w:color w:val="auto"/>
          <w:sz w:val="24"/>
          <w:szCs w:val="24"/>
          <w:lang w:eastAsia="en-US"/>
        </w:rPr>
        <w:t xml:space="preserve">, 17(21), 8059, pp. 1-39. </w:t>
      </w:r>
      <w:hyperlink r:id="rId52" w:history="1">
        <w:r w:rsidRPr="00170554">
          <w:rPr>
            <w:rFonts w:asciiTheme="minorHAnsi" w:eastAsiaTheme="minorHAnsi" w:hAnsiTheme="minorHAnsi" w:cstheme="minorBidi"/>
            <w:color w:val="0000FF"/>
            <w:sz w:val="24"/>
            <w:szCs w:val="24"/>
            <w:u w:val="single"/>
            <w:lang w:eastAsia="en-US"/>
          </w:rPr>
          <w:t>IJERPH | Free Full-Text | A Scoping Review of the Relationship between Running and Mental Health | HTML (mdpi.com)</w:t>
        </w:r>
      </w:hyperlink>
    </w:p>
    <w:p w14:paraId="25B93CD2"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Oxford Policing Policy Forum (2008) </w:t>
      </w:r>
      <w:r w:rsidRPr="00170554">
        <w:rPr>
          <w:rFonts w:asciiTheme="minorHAnsi" w:eastAsiaTheme="minorHAnsi" w:hAnsiTheme="minorHAnsi" w:cstheme="minorBidi"/>
          <w:i/>
          <w:iCs/>
          <w:color w:val="auto"/>
          <w:sz w:val="24"/>
          <w:szCs w:val="24"/>
          <w:lang w:eastAsia="en-US"/>
        </w:rPr>
        <w:t>The Growth of Police Powers</w:t>
      </w:r>
      <w:r w:rsidRPr="00170554">
        <w:rPr>
          <w:rFonts w:asciiTheme="minorHAnsi" w:eastAsiaTheme="minorHAnsi" w:hAnsiTheme="minorHAnsi" w:cstheme="minorBidi"/>
          <w:color w:val="auto"/>
          <w:sz w:val="24"/>
          <w:szCs w:val="24"/>
          <w:lang w:eastAsia="en-US"/>
        </w:rPr>
        <w:t xml:space="preserve">.  Available at: </w:t>
      </w:r>
      <w:hyperlink r:id="rId53" w:history="1">
        <w:r w:rsidRPr="00170554">
          <w:rPr>
            <w:rFonts w:asciiTheme="minorHAnsi" w:eastAsiaTheme="minorHAnsi" w:hAnsiTheme="minorHAnsi" w:cstheme="minorBidi"/>
            <w:color w:val="0000FF"/>
            <w:sz w:val="24"/>
            <w:szCs w:val="24"/>
            <w:u w:val="single"/>
            <w:lang w:eastAsia="en-US"/>
          </w:rPr>
          <w:t>oppf4.pdf (police-foundation.org.uk)</w:t>
        </w:r>
      </w:hyperlink>
      <w:r w:rsidRPr="00170554">
        <w:rPr>
          <w:rFonts w:asciiTheme="minorHAnsi" w:eastAsiaTheme="minorHAnsi" w:hAnsiTheme="minorHAnsi" w:cstheme="minorBidi"/>
          <w:color w:val="auto"/>
          <w:sz w:val="24"/>
          <w:szCs w:val="24"/>
          <w:lang w:eastAsia="en-US"/>
        </w:rPr>
        <w:t xml:space="preserve"> (Accessed on: 28 December 2022)</w:t>
      </w:r>
    </w:p>
    <w:p w14:paraId="4E5EFA63"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PACE (1984) </w:t>
      </w:r>
      <w:r w:rsidRPr="00170554">
        <w:rPr>
          <w:rFonts w:asciiTheme="minorHAnsi" w:eastAsiaTheme="minorHAnsi" w:hAnsiTheme="minorHAnsi" w:cstheme="minorBidi"/>
          <w:i/>
          <w:iCs/>
          <w:color w:val="auto"/>
          <w:sz w:val="24"/>
          <w:szCs w:val="24"/>
          <w:lang w:eastAsia="en-US"/>
        </w:rPr>
        <w:t>Police and Criminal Evidence Act 1984, Section 117</w:t>
      </w:r>
      <w:r w:rsidRPr="00170554">
        <w:rPr>
          <w:rFonts w:asciiTheme="minorHAnsi" w:eastAsiaTheme="minorHAnsi" w:hAnsiTheme="minorHAnsi" w:cstheme="minorBidi"/>
          <w:color w:val="auto"/>
          <w:sz w:val="24"/>
          <w:szCs w:val="24"/>
          <w:lang w:eastAsia="en-US"/>
        </w:rPr>
        <w:t xml:space="preserve">. Available at: </w:t>
      </w:r>
      <w:hyperlink r:id="rId54" w:anchor=":~:text=117%20Power%20of%20constable%20to%20use%20reasonable%20force.&amp;text=(b)does%20not%20provide%20that,the%20exercise%20of%20the%20power." w:history="1">
        <w:r w:rsidRPr="00170554">
          <w:rPr>
            <w:rFonts w:asciiTheme="minorHAnsi" w:eastAsiaTheme="minorHAnsi" w:hAnsiTheme="minorHAnsi" w:cstheme="minorBidi"/>
            <w:color w:val="0000FF"/>
            <w:sz w:val="24"/>
            <w:szCs w:val="24"/>
            <w:u w:val="single"/>
            <w:lang w:eastAsia="en-US"/>
          </w:rPr>
          <w:t>Police and Criminal Evidence Act 1984 (legislation.gov.uk)</w:t>
        </w:r>
      </w:hyperlink>
      <w:r w:rsidRPr="00170554">
        <w:rPr>
          <w:rFonts w:asciiTheme="minorHAnsi" w:eastAsiaTheme="minorHAnsi" w:hAnsiTheme="minorHAnsi" w:cstheme="minorBidi"/>
          <w:color w:val="auto"/>
          <w:sz w:val="24"/>
          <w:szCs w:val="24"/>
          <w:lang w:eastAsia="en-US"/>
        </w:rPr>
        <w:t xml:space="preserve"> (Accessed: 17 November 2022)</w:t>
      </w:r>
    </w:p>
    <w:p w14:paraId="2CB8875A"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Pearson, G. &amp; Rowe, M. (2020) </w:t>
      </w:r>
      <w:r w:rsidRPr="00170554">
        <w:rPr>
          <w:rFonts w:asciiTheme="minorHAnsi" w:eastAsiaTheme="minorHAnsi" w:hAnsiTheme="minorHAnsi" w:cstheme="minorBidi"/>
          <w:i/>
          <w:iCs/>
          <w:color w:val="auto"/>
          <w:sz w:val="24"/>
          <w:szCs w:val="24"/>
          <w:lang w:eastAsia="en-US"/>
        </w:rPr>
        <w:t>Police Street Powers and Criminal Justice, Regulation and Discretion in a Time of Change</w:t>
      </w:r>
      <w:r w:rsidRPr="00170554">
        <w:rPr>
          <w:rFonts w:asciiTheme="minorHAnsi" w:eastAsiaTheme="minorHAnsi" w:hAnsiTheme="minorHAnsi" w:cstheme="minorBidi"/>
          <w:color w:val="auto"/>
          <w:sz w:val="24"/>
          <w:szCs w:val="24"/>
          <w:lang w:eastAsia="en-US"/>
        </w:rPr>
        <w:t>. Oxford: Bloomsbury Publishing.</w:t>
      </w:r>
    </w:p>
    <w:p w14:paraId="3E2D43F0"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Pepper, I.K. (2011) </w:t>
      </w:r>
      <w:r w:rsidRPr="00170554">
        <w:rPr>
          <w:rFonts w:asciiTheme="minorHAnsi" w:eastAsiaTheme="minorHAnsi" w:hAnsiTheme="minorHAnsi" w:cstheme="minorBidi"/>
          <w:i/>
          <w:iCs/>
          <w:color w:val="auto"/>
          <w:sz w:val="24"/>
          <w:szCs w:val="24"/>
          <w:lang w:eastAsia="en-US"/>
        </w:rPr>
        <w:t>Working in Policing</w:t>
      </w:r>
      <w:r w:rsidRPr="00170554">
        <w:rPr>
          <w:rFonts w:asciiTheme="minorHAnsi" w:eastAsiaTheme="minorHAnsi" w:hAnsiTheme="minorHAnsi" w:cstheme="minorBidi"/>
          <w:color w:val="auto"/>
          <w:sz w:val="24"/>
          <w:szCs w:val="24"/>
          <w:lang w:eastAsia="en-US"/>
        </w:rPr>
        <w:t>. Learning Matters Ltd.</w:t>
      </w:r>
    </w:p>
    <w:p w14:paraId="69942986"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Police and Crime Commissioner (undated) </w:t>
      </w:r>
      <w:r w:rsidRPr="00170554">
        <w:rPr>
          <w:rFonts w:asciiTheme="minorHAnsi" w:eastAsiaTheme="minorHAnsi" w:hAnsiTheme="minorHAnsi" w:cstheme="minorBidi"/>
          <w:i/>
          <w:iCs/>
          <w:color w:val="auto"/>
          <w:sz w:val="24"/>
          <w:szCs w:val="24"/>
          <w:lang w:eastAsia="en-US"/>
        </w:rPr>
        <w:t>South Wales Police &amp; Crime Plan 2021-25, Executive Summary</w:t>
      </w:r>
      <w:r w:rsidRPr="00170554">
        <w:rPr>
          <w:rFonts w:asciiTheme="minorHAnsi" w:eastAsiaTheme="minorHAnsi" w:hAnsiTheme="minorHAnsi" w:cstheme="minorBidi"/>
          <w:color w:val="auto"/>
          <w:sz w:val="24"/>
          <w:szCs w:val="24"/>
          <w:lang w:eastAsia="en-US"/>
        </w:rPr>
        <w:t xml:space="preserve">.  Available at: </w:t>
      </w:r>
      <w:hyperlink r:id="rId55" w:history="1">
        <w:r w:rsidRPr="00170554">
          <w:rPr>
            <w:rFonts w:asciiTheme="minorHAnsi" w:eastAsiaTheme="minorHAnsi" w:hAnsiTheme="minorHAnsi" w:cstheme="minorBidi"/>
            <w:color w:val="0000FF"/>
            <w:sz w:val="24"/>
            <w:szCs w:val="24"/>
            <w:u w:val="single"/>
            <w:lang w:eastAsia="en-US"/>
          </w:rPr>
          <w:t>eng-police-and-crime-plan-2021-25.pdf (apccs.police.uk)</w:t>
        </w:r>
      </w:hyperlink>
      <w:r w:rsidRPr="00170554">
        <w:rPr>
          <w:rFonts w:asciiTheme="minorHAnsi" w:eastAsiaTheme="minorHAnsi" w:hAnsiTheme="minorHAnsi" w:cstheme="minorBidi"/>
          <w:color w:val="auto"/>
          <w:sz w:val="24"/>
          <w:szCs w:val="24"/>
          <w:lang w:eastAsia="en-US"/>
        </w:rPr>
        <w:t xml:space="preserve"> (Accessed: 9 November 2022)</w:t>
      </w:r>
    </w:p>
    <w:p w14:paraId="7409E3A0"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POLFED (2019). </w:t>
      </w:r>
      <w:r w:rsidRPr="00170554">
        <w:rPr>
          <w:rFonts w:asciiTheme="minorHAnsi" w:eastAsiaTheme="minorHAnsi" w:hAnsiTheme="minorHAnsi" w:cstheme="minorBidi"/>
          <w:i/>
          <w:iCs/>
          <w:color w:val="auto"/>
          <w:sz w:val="24"/>
          <w:szCs w:val="24"/>
          <w:lang w:eastAsia="en-US"/>
        </w:rPr>
        <w:t>Government must face facts – extreme stress in policing is real</w:t>
      </w:r>
      <w:r w:rsidRPr="00170554">
        <w:rPr>
          <w:rFonts w:asciiTheme="minorHAnsi" w:eastAsiaTheme="minorHAnsi" w:hAnsiTheme="minorHAnsi" w:cstheme="minorBidi"/>
          <w:color w:val="auto"/>
          <w:sz w:val="24"/>
          <w:szCs w:val="24"/>
          <w:lang w:eastAsia="en-US"/>
        </w:rPr>
        <w:t xml:space="preserve">. Available at: </w:t>
      </w:r>
      <w:hyperlink r:id="rId56" w:history="1">
        <w:r w:rsidRPr="00170554">
          <w:rPr>
            <w:rFonts w:asciiTheme="minorHAnsi" w:eastAsiaTheme="minorHAnsi" w:hAnsiTheme="minorHAnsi" w:cstheme="minorBidi"/>
            <w:color w:val="0000FF"/>
            <w:sz w:val="24"/>
            <w:szCs w:val="24"/>
            <w:u w:val="single"/>
            <w:lang w:eastAsia="en-US"/>
          </w:rPr>
          <w:t>Government must face facts - extreme stress in policing is real (polfed.org)</w:t>
        </w:r>
      </w:hyperlink>
      <w:r w:rsidRPr="00170554">
        <w:rPr>
          <w:rFonts w:asciiTheme="minorHAnsi" w:eastAsiaTheme="minorHAnsi" w:hAnsiTheme="minorHAnsi" w:cstheme="minorBidi"/>
          <w:color w:val="auto"/>
          <w:sz w:val="24"/>
          <w:szCs w:val="24"/>
          <w:lang w:eastAsia="en-US"/>
        </w:rPr>
        <w:t xml:space="preserve"> </w:t>
      </w:r>
    </w:p>
    <w:p w14:paraId="3A6E6B2F"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Rights of Women (2022) </w:t>
      </w:r>
      <w:r w:rsidRPr="00170554">
        <w:rPr>
          <w:rFonts w:asciiTheme="minorHAnsi" w:eastAsiaTheme="minorHAnsi" w:hAnsiTheme="minorHAnsi" w:cstheme="minorBidi"/>
          <w:i/>
          <w:iCs/>
          <w:color w:val="auto"/>
          <w:sz w:val="24"/>
          <w:szCs w:val="24"/>
          <w:lang w:eastAsia="en-US"/>
        </w:rPr>
        <w:t>Special measures in the criminal and family courts</w:t>
      </w:r>
      <w:r w:rsidRPr="00170554">
        <w:rPr>
          <w:rFonts w:asciiTheme="minorHAnsi" w:eastAsiaTheme="minorHAnsi" w:hAnsiTheme="minorHAnsi" w:cstheme="minorBidi"/>
          <w:color w:val="auto"/>
          <w:sz w:val="24"/>
          <w:szCs w:val="24"/>
          <w:lang w:eastAsia="en-US"/>
        </w:rPr>
        <w:t xml:space="preserve">. Available at: </w:t>
      </w:r>
      <w:hyperlink r:id="rId57" w:history="1">
        <w:r w:rsidRPr="00170554">
          <w:rPr>
            <w:rFonts w:asciiTheme="minorHAnsi" w:eastAsiaTheme="minorHAnsi" w:hAnsiTheme="minorHAnsi" w:cstheme="minorBidi"/>
            <w:color w:val="0000FF"/>
            <w:sz w:val="24"/>
            <w:szCs w:val="24"/>
            <w:u w:val="single"/>
            <w:lang w:eastAsia="en-US"/>
          </w:rPr>
          <w:t>Rights-of-Women-Labyrinth-Guide-Special-Measures.pdf (rightsofwomen.org.uk)</w:t>
        </w:r>
      </w:hyperlink>
      <w:r w:rsidRPr="00170554">
        <w:rPr>
          <w:rFonts w:asciiTheme="minorHAnsi" w:eastAsiaTheme="minorHAnsi" w:hAnsiTheme="minorHAnsi" w:cstheme="minorBidi"/>
          <w:color w:val="auto"/>
          <w:sz w:val="24"/>
          <w:szCs w:val="24"/>
          <w:lang w:eastAsia="en-US"/>
        </w:rPr>
        <w:t xml:space="preserve"> (Accessed on: 30 November 2022)</w:t>
      </w:r>
    </w:p>
    <w:p w14:paraId="3912BFDE"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South Wales Police (2022) </w:t>
      </w:r>
      <w:r w:rsidRPr="00170554">
        <w:rPr>
          <w:rFonts w:asciiTheme="minorHAnsi" w:eastAsiaTheme="minorHAnsi" w:hAnsiTheme="minorHAnsi" w:cstheme="minorBidi"/>
          <w:i/>
          <w:iCs/>
          <w:color w:val="auto"/>
          <w:sz w:val="24"/>
          <w:szCs w:val="24"/>
          <w:lang w:eastAsia="en-US"/>
        </w:rPr>
        <w:t>Our vision, values and ethics</w:t>
      </w:r>
      <w:r w:rsidRPr="00170554">
        <w:rPr>
          <w:rFonts w:asciiTheme="minorHAnsi" w:eastAsiaTheme="minorHAnsi" w:hAnsiTheme="minorHAnsi" w:cstheme="minorBidi"/>
          <w:color w:val="auto"/>
          <w:sz w:val="24"/>
          <w:szCs w:val="24"/>
          <w:lang w:eastAsia="en-US"/>
        </w:rPr>
        <w:t xml:space="preserve">. Available at: </w:t>
      </w:r>
      <w:hyperlink r:id="rId58" w:anchor=":~:text=Our%20values,positive%20in%20everything%20we%20do." w:history="1">
        <w:r w:rsidRPr="00170554">
          <w:rPr>
            <w:rFonts w:asciiTheme="minorHAnsi" w:eastAsiaTheme="minorHAnsi" w:hAnsiTheme="minorHAnsi" w:cstheme="minorBidi"/>
            <w:color w:val="0000FF"/>
            <w:sz w:val="24"/>
            <w:szCs w:val="24"/>
            <w:u w:val="single"/>
            <w:lang w:eastAsia="en-US"/>
          </w:rPr>
          <w:t>Our vision, values and ethics | South Wales Police (south-wales.police.uk)</w:t>
        </w:r>
      </w:hyperlink>
      <w:r w:rsidRPr="00170554">
        <w:rPr>
          <w:rFonts w:asciiTheme="minorHAnsi" w:eastAsiaTheme="minorHAnsi" w:hAnsiTheme="minorHAnsi" w:cstheme="minorBidi"/>
          <w:color w:val="auto"/>
          <w:sz w:val="24"/>
          <w:szCs w:val="24"/>
          <w:lang w:eastAsia="en-US"/>
        </w:rPr>
        <w:t xml:space="preserve"> Accessed on: 8 December 2022</w:t>
      </w:r>
    </w:p>
    <w:p w14:paraId="1F5780AA"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South Wales Police and Crime Commissioner (2019) </w:t>
      </w:r>
      <w:r w:rsidRPr="00170554">
        <w:rPr>
          <w:rFonts w:asciiTheme="minorHAnsi" w:eastAsiaTheme="minorHAnsi" w:hAnsiTheme="minorHAnsi" w:cstheme="minorBidi"/>
          <w:i/>
          <w:iCs/>
          <w:color w:val="auto"/>
          <w:sz w:val="24"/>
          <w:szCs w:val="24"/>
          <w:lang w:eastAsia="en-US"/>
        </w:rPr>
        <w:t>Tackling Violence Against Women and Girls: a Joint Strategy 2019-2024.</w:t>
      </w:r>
      <w:r w:rsidRPr="00170554">
        <w:rPr>
          <w:rFonts w:asciiTheme="minorHAnsi" w:eastAsiaTheme="minorHAnsi" w:hAnsiTheme="minorHAnsi" w:cstheme="minorBidi"/>
          <w:color w:val="auto"/>
          <w:sz w:val="24"/>
          <w:szCs w:val="24"/>
          <w:lang w:eastAsia="en-US"/>
        </w:rPr>
        <w:t xml:space="preserve"> Available at: </w:t>
      </w:r>
      <w:hyperlink r:id="rId59" w:history="1">
        <w:r w:rsidRPr="00170554">
          <w:rPr>
            <w:rFonts w:asciiTheme="minorHAnsi" w:eastAsiaTheme="minorHAnsi" w:hAnsiTheme="minorHAnsi" w:cstheme="minorBidi"/>
            <w:color w:val="0000FF"/>
            <w:sz w:val="24"/>
            <w:szCs w:val="24"/>
            <w:u w:val="single"/>
            <w:lang w:eastAsia="en-US"/>
          </w:rPr>
          <w:t>VAWG Joint Strategy 2019-24 (southwalescommissioner.org.uk)</w:t>
        </w:r>
      </w:hyperlink>
      <w:r w:rsidRPr="00170554">
        <w:rPr>
          <w:rFonts w:asciiTheme="minorHAnsi" w:eastAsiaTheme="minorHAnsi" w:hAnsiTheme="minorHAnsi" w:cstheme="minorBidi"/>
          <w:color w:val="auto"/>
          <w:sz w:val="24"/>
          <w:szCs w:val="24"/>
          <w:lang w:eastAsia="en-US"/>
        </w:rPr>
        <w:t xml:space="preserve"> (Accessed on: 28 November 2022).</w:t>
      </w:r>
    </w:p>
    <w:p w14:paraId="7AEFCB80"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Victims Commissioner (2021) </w:t>
      </w:r>
      <w:r w:rsidRPr="00170554">
        <w:rPr>
          <w:rFonts w:asciiTheme="minorHAnsi" w:eastAsiaTheme="minorHAnsi" w:hAnsiTheme="minorHAnsi" w:cstheme="minorBidi"/>
          <w:i/>
          <w:iCs/>
          <w:color w:val="auto"/>
          <w:sz w:val="24"/>
          <w:szCs w:val="24"/>
          <w:lang w:eastAsia="en-US"/>
        </w:rPr>
        <w:t>Victims’ Experience: Annual Survey</w:t>
      </w:r>
      <w:r w:rsidRPr="00170554">
        <w:rPr>
          <w:rFonts w:asciiTheme="minorHAnsi" w:eastAsiaTheme="minorHAnsi" w:hAnsiTheme="minorHAnsi" w:cstheme="minorBidi"/>
          <w:color w:val="auto"/>
          <w:sz w:val="24"/>
          <w:szCs w:val="24"/>
          <w:lang w:eastAsia="en-US"/>
        </w:rPr>
        <w:t xml:space="preserve">. Available at: </w:t>
      </w:r>
      <w:hyperlink r:id="rId60" w:history="1">
        <w:r w:rsidRPr="00170554">
          <w:rPr>
            <w:rFonts w:asciiTheme="minorHAnsi" w:eastAsiaTheme="minorHAnsi" w:hAnsiTheme="minorHAnsi" w:cstheme="minorBidi"/>
            <w:color w:val="0000FF"/>
            <w:sz w:val="24"/>
            <w:szCs w:val="24"/>
            <w:u w:val="single"/>
            <w:lang w:eastAsia="en-US"/>
          </w:rPr>
          <w:t>VC-2021-survey-of-victims-_amended-27_9_21-1.pdf</w:t>
        </w:r>
      </w:hyperlink>
      <w:r w:rsidRPr="00170554">
        <w:rPr>
          <w:rFonts w:asciiTheme="minorHAnsi" w:eastAsiaTheme="minorHAnsi" w:hAnsiTheme="minorHAnsi" w:cstheme="minorBidi"/>
          <w:color w:val="auto"/>
          <w:sz w:val="24"/>
          <w:szCs w:val="24"/>
          <w:lang w:eastAsia="en-US"/>
        </w:rPr>
        <w:t xml:space="preserve"> (Accessed on: 2 December 2022)</w:t>
      </w:r>
    </w:p>
    <w:p w14:paraId="5C5EF438"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Victim Support (2022) </w:t>
      </w:r>
      <w:r w:rsidRPr="00170554">
        <w:rPr>
          <w:rFonts w:asciiTheme="minorHAnsi" w:eastAsiaTheme="minorHAnsi" w:hAnsiTheme="minorHAnsi" w:cstheme="minorBidi"/>
          <w:i/>
          <w:iCs/>
          <w:color w:val="auto"/>
          <w:sz w:val="24"/>
          <w:szCs w:val="24"/>
          <w:lang w:eastAsia="en-US"/>
        </w:rPr>
        <w:t>Victims’ Code.</w:t>
      </w:r>
      <w:r w:rsidRPr="00170554">
        <w:rPr>
          <w:rFonts w:asciiTheme="minorHAnsi" w:eastAsiaTheme="minorHAnsi" w:hAnsiTheme="minorHAnsi" w:cstheme="minorBidi"/>
          <w:color w:val="auto"/>
          <w:sz w:val="24"/>
          <w:szCs w:val="24"/>
          <w:lang w:eastAsia="en-US"/>
        </w:rPr>
        <w:t xml:space="preserve"> Available at: </w:t>
      </w:r>
      <w:hyperlink r:id="rId61" w:history="1">
        <w:r w:rsidRPr="00170554">
          <w:rPr>
            <w:rFonts w:asciiTheme="minorHAnsi" w:eastAsiaTheme="minorHAnsi" w:hAnsiTheme="minorHAnsi" w:cstheme="minorBidi"/>
            <w:color w:val="0000FF"/>
            <w:sz w:val="24"/>
            <w:szCs w:val="24"/>
            <w:u w:val="single"/>
            <w:lang w:eastAsia="en-US"/>
          </w:rPr>
          <w:t>Victims' Code - Victim Support</w:t>
        </w:r>
      </w:hyperlink>
      <w:r w:rsidRPr="00170554">
        <w:rPr>
          <w:rFonts w:asciiTheme="minorHAnsi" w:eastAsiaTheme="minorHAnsi" w:hAnsiTheme="minorHAnsi" w:cstheme="minorBidi"/>
          <w:color w:val="auto"/>
          <w:sz w:val="24"/>
          <w:szCs w:val="24"/>
          <w:lang w:eastAsia="en-US"/>
        </w:rPr>
        <w:t xml:space="preserve"> (Accessed on: 29 November 2022).</w:t>
      </w:r>
    </w:p>
    <w:p w14:paraId="41CBF8F6"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Wood, D., Bradshaw, S., Dickens, T., Parker-McLeod, J. Simpson, F. &amp; Weaver, G. (2022) </w:t>
      </w:r>
      <w:r w:rsidRPr="00170554">
        <w:rPr>
          <w:rFonts w:asciiTheme="minorHAnsi" w:eastAsiaTheme="minorHAnsi" w:hAnsiTheme="minorHAnsi" w:cstheme="minorBidi"/>
          <w:i/>
          <w:iCs/>
          <w:color w:val="auto"/>
          <w:sz w:val="24"/>
          <w:szCs w:val="24"/>
          <w:lang w:eastAsia="en-US"/>
        </w:rPr>
        <w:t>Blackstone’s Handbook for Policing Students</w:t>
      </w:r>
      <w:r w:rsidRPr="00170554">
        <w:rPr>
          <w:rFonts w:asciiTheme="minorHAnsi" w:eastAsiaTheme="minorHAnsi" w:hAnsiTheme="minorHAnsi" w:cstheme="minorBidi"/>
          <w:color w:val="auto"/>
          <w:sz w:val="24"/>
          <w:szCs w:val="24"/>
          <w:lang w:eastAsia="en-US"/>
        </w:rPr>
        <w:t>. 16</w:t>
      </w:r>
      <w:r w:rsidRPr="00170554">
        <w:rPr>
          <w:rFonts w:asciiTheme="minorHAnsi" w:eastAsiaTheme="minorHAnsi" w:hAnsiTheme="minorHAnsi" w:cstheme="minorBidi"/>
          <w:color w:val="auto"/>
          <w:sz w:val="24"/>
          <w:szCs w:val="24"/>
          <w:vertAlign w:val="superscript"/>
          <w:lang w:eastAsia="en-US"/>
        </w:rPr>
        <w:t>th</w:t>
      </w:r>
      <w:r w:rsidRPr="00170554">
        <w:rPr>
          <w:rFonts w:asciiTheme="minorHAnsi" w:eastAsiaTheme="minorHAnsi" w:hAnsiTheme="minorHAnsi" w:cstheme="minorBidi"/>
          <w:color w:val="auto"/>
          <w:sz w:val="24"/>
          <w:szCs w:val="24"/>
          <w:lang w:eastAsia="en-US"/>
        </w:rPr>
        <w:t xml:space="preserve"> edn. Oxford University Press. </w:t>
      </w:r>
    </w:p>
    <w:p w14:paraId="491ACF6E"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Wright, A.G.C., Aslinger, E.N., Bellamy, B., Edershile, E.A. &amp; Woods, W.C. (2019) ‘Daily Stress and Hassles’ in Harkness, K. L. (ed.) and Hayden, E.P. (ed.), </w:t>
      </w:r>
      <w:r w:rsidRPr="00170554">
        <w:rPr>
          <w:rFonts w:asciiTheme="minorHAnsi" w:eastAsiaTheme="minorHAnsi" w:hAnsiTheme="minorHAnsi" w:cstheme="minorBidi"/>
          <w:i/>
          <w:iCs/>
          <w:color w:val="auto"/>
          <w:sz w:val="24"/>
          <w:szCs w:val="24"/>
          <w:lang w:eastAsia="en-US"/>
        </w:rPr>
        <w:t>The Oxford Handbook of Stress and Mental Health</w:t>
      </w:r>
      <w:r w:rsidRPr="00170554">
        <w:rPr>
          <w:rFonts w:asciiTheme="minorHAnsi" w:eastAsiaTheme="minorHAnsi" w:hAnsiTheme="minorHAnsi" w:cstheme="minorBidi"/>
          <w:color w:val="auto"/>
          <w:sz w:val="24"/>
          <w:szCs w:val="24"/>
          <w:lang w:eastAsia="en-US"/>
        </w:rPr>
        <w:t xml:space="preserve">. Oxford University Press. </w:t>
      </w:r>
      <w:hyperlink r:id="rId62" w:history="1">
        <w:r w:rsidRPr="00170554">
          <w:rPr>
            <w:rFonts w:asciiTheme="minorHAnsi" w:eastAsiaTheme="minorHAnsi" w:hAnsiTheme="minorHAnsi" w:cstheme="minorBidi"/>
            <w:color w:val="0000FF"/>
            <w:sz w:val="24"/>
            <w:szCs w:val="24"/>
            <w:u w:val="single"/>
            <w:lang w:eastAsia="en-US"/>
          </w:rPr>
          <w:t>Daily Stress and Hassles | The Oxford Handbook of Stress and Mental Health | Oxford Academic (oup.com)</w:t>
        </w:r>
      </w:hyperlink>
    </w:p>
    <w:p w14:paraId="2494958A" w14:textId="77777777" w:rsidR="00170554" w:rsidRPr="00170554" w:rsidRDefault="00170554" w:rsidP="00170554">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170554">
        <w:rPr>
          <w:rFonts w:asciiTheme="minorHAnsi" w:eastAsiaTheme="minorHAnsi" w:hAnsiTheme="minorHAnsi" w:cstheme="minorBidi"/>
          <w:color w:val="auto"/>
          <w:sz w:val="24"/>
          <w:szCs w:val="24"/>
          <w:lang w:eastAsia="en-US"/>
        </w:rPr>
        <w:t xml:space="preserve">Yaribeygi, H., Panahi, Y., Sahraei, H., Johnston, T.P. &amp; Sahebkar, A. (2017), ‘The Impact of Stress on Body Function: A Review’, </w:t>
      </w:r>
      <w:r w:rsidRPr="00170554">
        <w:rPr>
          <w:rFonts w:asciiTheme="minorHAnsi" w:eastAsiaTheme="minorHAnsi" w:hAnsiTheme="minorHAnsi" w:cstheme="minorBidi"/>
          <w:i/>
          <w:iCs/>
          <w:color w:val="auto"/>
          <w:sz w:val="24"/>
          <w:szCs w:val="24"/>
          <w:lang w:eastAsia="en-US"/>
        </w:rPr>
        <w:t>EXCLI Journal</w:t>
      </w:r>
      <w:r w:rsidRPr="00170554">
        <w:rPr>
          <w:rFonts w:asciiTheme="minorHAnsi" w:eastAsiaTheme="minorHAnsi" w:hAnsiTheme="minorHAnsi" w:cstheme="minorBidi"/>
          <w:color w:val="auto"/>
          <w:sz w:val="24"/>
          <w:szCs w:val="24"/>
          <w:lang w:eastAsia="en-US"/>
        </w:rPr>
        <w:t xml:space="preserve">, 16, pp. 1057-1072. </w:t>
      </w:r>
      <w:hyperlink r:id="rId63" w:history="1">
        <w:r w:rsidRPr="00170554">
          <w:rPr>
            <w:rFonts w:asciiTheme="minorHAnsi" w:eastAsiaTheme="minorHAnsi" w:hAnsiTheme="minorHAnsi" w:cstheme="minorBidi"/>
            <w:color w:val="0000FF"/>
            <w:sz w:val="24"/>
            <w:szCs w:val="24"/>
            <w:u w:val="single"/>
            <w:lang w:eastAsia="en-US"/>
          </w:rPr>
          <w:t>Microsof’t Word - Sahebkar_Panahi_21072017_proof.docx (nih.gov)</w:t>
        </w:r>
      </w:hyperlink>
      <w:r w:rsidRPr="00170554">
        <w:rPr>
          <w:rFonts w:asciiTheme="minorHAnsi" w:eastAsiaTheme="minorHAnsi" w:hAnsiTheme="minorHAnsi" w:cstheme="minorBidi"/>
          <w:color w:val="auto"/>
          <w:sz w:val="24"/>
          <w:szCs w:val="24"/>
          <w:lang w:eastAsia="en-US"/>
        </w:rPr>
        <w:t xml:space="preserve"> </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EAC09A1"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F220AE">
        <w:rPr>
          <w:rFonts w:eastAsia="Arial"/>
          <w:color w:val="000000" w:themeColor="text1"/>
          <w:sz w:val="24"/>
          <w:szCs w:val="24"/>
          <w:highlight w:val="yellow"/>
        </w:rPr>
        <w:t xml:space="preserve"> Sally George</w:t>
      </w:r>
    </w:p>
    <w:p w14:paraId="5A951FC3" w14:textId="567E0F34" w:rsidR="641A9DDA" w:rsidRDefault="641A9DDA" w:rsidP="366F6C5C">
      <w:pPr>
        <w:jc w:val="both"/>
        <w:rPr>
          <w:color w:val="000000" w:themeColor="text1"/>
          <w:sz w:val="24"/>
          <w:szCs w:val="24"/>
          <w:highlight w:val="yellow"/>
        </w:rPr>
      </w:pPr>
    </w:p>
    <w:p w14:paraId="0C5B59A2" w14:textId="366565D4"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F220AE">
        <w:rPr>
          <w:rFonts w:eastAsia="Arial"/>
          <w:color w:val="000000" w:themeColor="text1"/>
          <w:sz w:val="24"/>
          <w:szCs w:val="24"/>
          <w:highlight w:val="yellow"/>
        </w:rPr>
        <w:t xml:space="preserve"> 2 January 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77299" w14:textId="77777777" w:rsidR="004D3525" w:rsidRDefault="004D3525">
      <w:r>
        <w:separator/>
      </w:r>
    </w:p>
  </w:endnote>
  <w:endnote w:type="continuationSeparator" w:id="0">
    <w:p w14:paraId="672E51BB" w14:textId="77777777" w:rsidR="004D3525" w:rsidRDefault="004D35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B44317" w14:textId="77777777" w:rsidR="004D3525" w:rsidRDefault="004D3525">
      <w:r>
        <w:separator/>
      </w:r>
    </w:p>
  </w:footnote>
  <w:footnote w:type="continuationSeparator" w:id="0">
    <w:p w14:paraId="511FCB2D" w14:textId="77777777" w:rsidR="004D3525" w:rsidRDefault="004D35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55E349D"/>
    <w:multiLevelType w:val="hybridMultilevel"/>
    <w:tmpl w:val="4966358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6"/>
  </w:num>
  <w:num w:numId="15">
    <w:abstractNumId w:val="15"/>
  </w:num>
  <w:num w:numId="16">
    <w:abstractNumId w:val="27"/>
  </w:num>
  <w:num w:numId="17">
    <w:abstractNumId w:val="7"/>
  </w:num>
  <w:num w:numId="18">
    <w:abstractNumId w:val="26"/>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7"/>
  </w:num>
  <w:num w:numId="24">
    <w:abstractNumId w:val="13"/>
  </w:num>
  <w:num w:numId="25">
    <w:abstractNumId w:val="10"/>
  </w:num>
  <w:num w:numId="26">
    <w:abstractNumId w:val="28"/>
  </w:num>
  <w:num w:numId="27">
    <w:abstractNumId w:val="19"/>
  </w:num>
  <w:num w:numId="28">
    <w:abstractNumId w:val="42"/>
  </w:num>
  <w:num w:numId="29">
    <w:abstractNumId w:val="36"/>
  </w:num>
  <w:num w:numId="30">
    <w:abstractNumId w:val="41"/>
  </w:num>
  <w:num w:numId="31">
    <w:abstractNumId w:val="20"/>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5"/>
  </w:num>
  <w:num w:numId="45">
    <w:abstractNumId w:val="6"/>
  </w:num>
  <w:num w:numId="46">
    <w:abstractNumId w:val="2"/>
  </w:num>
  <w:num w:numId="47">
    <w:abstractNumId w:val="0"/>
  </w:num>
  <w:num w:numId="48">
    <w:abstractNumId w:val="21"/>
  </w:num>
  <w:num w:numId="49">
    <w:abstractNumId w:val="49"/>
  </w:num>
  <w:num w:numId="50">
    <w:abstractNumId w:val="1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27C35"/>
    <w:rsid w:val="00027F68"/>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5EA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634"/>
    <w:rsid w:val="001347F8"/>
    <w:rsid w:val="00137BB5"/>
    <w:rsid w:val="00137E05"/>
    <w:rsid w:val="001447F6"/>
    <w:rsid w:val="00147DE3"/>
    <w:rsid w:val="00150794"/>
    <w:rsid w:val="001608C4"/>
    <w:rsid w:val="0017055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430E0"/>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277"/>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44FDB"/>
    <w:rsid w:val="00450C83"/>
    <w:rsid w:val="00451851"/>
    <w:rsid w:val="00453343"/>
    <w:rsid w:val="004608B9"/>
    <w:rsid w:val="00465947"/>
    <w:rsid w:val="00470BB1"/>
    <w:rsid w:val="004718F7"/>
    <w:rsid w:val="00473153"/>
    <w:rsid w:val="004743AF"/>
    <w:rsid w:val="00477EC0"/>
    <w:rsid w:val="00482C17"/>
    <w:rsid w:val="004911B4"/>
    <w:rsid w:val="0049196A"/>
    <w:rsid w:val="004923DA"/>
    <w:rsid w:val="00493434"/>
    <w:rsid w:val="004962F9"/>
    <w:rsid w:val="004968E2"/>
    <w:rsid w:val="004A2A49"/>
    <w:rsid w:val="004B4C15"/>
    <w:rsid w:val="004B600B"/>
    <w:rsid w:val="004B6822"/>
    <w:rsid w:val="004B69F6"/>
    <w:rsid w:val="004B7F4C"/>
    <w:rsid w:val="004C2D3A"/>
    <w:rsid w:val="004D03C4"/>
    <w:rsid w:val="004D0BF1"/>
    <w:rsid w:val="004D24D2"/>
    <w:rsid w:val="004D3525"/>
    <w:rsid w:val="004D35A4"/>
    <w:rsid w:val="004D445F"/>
    <w:rsid w:val="004E05E6"/>
    <w:rsid w:val="004E087B"/>
    <w:rsid w:val="004E44A4"/>
    <w:rsid w:val="004E7B8B"/>
    <w:rsid w:val="004E7BDD"/>
    <w:rsid w:val="004F1E21"/>
    <w:rsid w:val="004F4540"/>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B3F5D"/>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65E"/>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A2A3D"/>
    <w:rsid w:val="007B0DE3"/>
    <w:rsid w:val="007B491F"/>
    <w:rsid w:val="007B7191"/>
    <w:rsid w:val="007C1634"/>
    <w:rsid w:val="007C1D94"/>
    <w:rsid w:val="007C2879"/>
    <w:rsid w:val="007C6A87"/>
    <w:rsid w:val="007C705D"/>
    <w:rsid w:val="007D0A07"/>
    <w:rsid w:val="007D12A1"/>
    <w:rsid w:val="007D133D"/>
    <w:rsid w:val="007D3EB4"/>
    <w:rsid w:val="007D3F16"/>
    <w:rsid w:val="007E4BD3"/>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A6707"/>
    <w:rsid w:val="008B07DE"/>
    <w:rsid w:val="008B28E7"/>
    <w:rsid w:val="008C14C7"/>
    <w:rsid w:val="008C2FFB"/>
    <w:rsid w:val="008C6EEA"/>
    <w:rsid w:val="008D5813"/>
    <w:rsid w:val="008D634E"/>
    <w:rsid w:val="008D778A"/>
    <w:rsid w:val="008F22BD"/>
    <w:rsid w:val="009079BD"/>
    <w:rsid w:val="00910B43"/>
    <w:rsid w:val="00912BD9"/>
    <w:rsid w:val="00920160"/>
    <w:rsid w:val="00920E5B"/>
    <w:rsid w:val="00926436"/>
    <w:rsid w:val="0093018C"/>
    <w:rsid w:val="00932AFF"/>
    <w:rsid w:val="00937466"/>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31617"/>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37CE3"/>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F4F19"/>
    <w:rsid w:val="00C01D14"/>
    <w:rsid w:val="00C025B4"/>
    <w:rsid w:val="00C161FD"/>
    <w:rsid w:val="00C23CB4"/>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C5014"/>
    <w:rsid w:val="00E1547E"/>
    <w:rsid w:val="00E17160"/>
    <w:rsid w:val="00E35BEC"/>
    <w:rsid w:val="00E50821"/>
    <w:rsid w:val="00E51F91"/>
    <w:rsid w:val="00E6298B"/>
    <w:rsid w:val="00E7086E"/>
    <w:rsid w:val="00E7374A"/>
    <w:rsid w:val="00E73C41"/>
    <w:rsid w:val="00E7598F"/>
    <w:rsid w:val="00E76F60"/>
    <w:rsid w:val="00E81FA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0AE"/>
    <w:rsid w:val="00F22AC5"/>
    <w:rsid w:val="00F254D1"/>
    <w:rsid w:val="00F32B82"/>
    <w:rsid w:val="00F4043E"/>
    <w:rsid w:val="00F41BBC"/>
    <w:rsid w:val="00F43B9D"/>
    <w:rsid w:val="00F444F0"/>
    <w:rsid w:val="00F50847"/>
    <w:rsid w:val="00F53E18"/>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researchbriefings.files.parliament.uk/documents/CBP-8582/CBP-8582.pdf" TargetMode="External"/><Relationship Id="rId21" Type="http://schemas.openxmlformats.org/officeDocument/2006/relationships/hyperlink" Target="https://pdfs.semanticscholar.org/3239/57efba50dd5269e2b9e46d2ae6931767698c.pdf?_ga=2.201736721.1244087330.1667209741-963923335.1667209741" TargetMode="External"/><Relationship Id="rId34" Type="http://schemas.openxmlformats.org/officeDocument/2006/relationships/hyperlink" Target="https://www.popcenter.org/sites/default/files/problems/assaultsinbars/PDFs/Finney_2004.pdf" TargetMode="External"/><Relationship Id="rId42" Type="http://schemas.openxmlformats.org/officeDocument/2006/relationships/hyperlink" Target="https://www.bpdfamily.com/content/karpman-drama-triangle" TargetMode="External"/><Relationship Id="rId47" Type="http://schemas.openxmlformats.org/officeDocument/2006/relationships/hyperlink" Target="https://www.gov.uk/government/publications/the-code-of-practice-for-victims-of-crime/code-of-practice-for-victims-of-crime-in-england-and-wales-victims-code" TargetMode="External"/><Relationship Id="rId50" Type="http://schemas.openxmlformats.org/officeDocument/2006/relationships/hyperlink" Target="https://www.ons.gov.uk/peoplepopulationandcommunity/crimeandjustice/articles/domesticabuseprevalenceandtrendsenglandandwales/yearendingmarch2020" TargetMode="External"/><Relationship Id="rId55" Type="http://schemas.openxmlformats.org/officeDocument/2006/relationships/hyperlink" Target="https://www.apccs.police.uk/media/6362/eng-police-and-crime-plan-2021-25.pdf" TargetMode="External"/><Relationship Id="rId63" Type="http://schemas.openxmlformats.org/officeDocument/2006/relationships/hyperlink" Target="https://www.ncbi.nlm.nih.gov/pmc/articles/PMC5579396/pdf/EXCLI-16-1057.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guidance/conflict-management/conflict-management-skills" TargetMode="External"/><Relationship Id="rId11" Type="http://schemas.openxmlformats.org/officeDocument/2006/relationships/image" Target="media/image1.png"/><Relationship Id="rId24" Type="http://schemas.openxmlformats.org/officeDocument/2006/relationships/hyperlink" Target="https://repository.londonmet.ac.uk/1016/1/BarhamDerek_ComparativeStudyOfPublicOrderPolicingInBritainAndSpain.pdf" TargetMode="External"/><Relationship Id="rId32" Type="http://schemas.openxmlformats.org/officeDocument/2006/relationships/hyperlink" Target="https://www.cps.gov.uk/legal-guidance/offences-against-person-incorporating-charging-standard" TargetMode="External"/><Relationship Id="rId37" Type="http://schemas.openxmlformats.org/officeDocument/2006/relationships/hyperlink" Target="https://www.gov.uk/government/publications/tackling-violence-against-women-and-girls-strategy/tackling-violence-against-women-and-girls-strategy" TargetMode="External"/><Relationship Id="rId40" Type="http://schemas.openxmlformats.org/officeDocument/2006/relationships/hyperlink" Target="https://www.ias.org.uk/uploads/pdf/IAS%20reports/rp41052020.pdf" TargetMode="External"/><Relationship Id="rId45" Type="http://schemas.openxmlformats.org/officeDocument/2006/relationships/hyperlink" Target="https://assets.publishing.service.gov.uk/government/uploads/system/uploads/attachment_data/file/931173/Criminal-procedure-and-investigations-act-1996.pdf" TargetMode="External"/><Relationship Id="rId53" Type="http://schemas.openxmlformats.org/officeDocument/2006/relationships/hyperlink" Target="https://www.police-foundation.org.uk/2017/wp-content/uploads/2017/08/oppf4.pdf" TargetMode="External"/><Relationship Id="rId58" Type="http://schemas.openxmlformats.org/officeDocument/2006/relationships/hyperlink" Target="https://www.south-wales.police.uk/police-forces/south-wales-police/areas/about-us/about-us/our-vision-values-and-ethics/" TargetMode="External"/><Relationship Id="rId66" Type="http://schemas.microsoft.com/office/2020/10/relationships/intelligence" Target="intelligence2.xml"/><Relationship Id="rId5" Type="http://schemas.openxmlformats.org/officeDocument/2006/relationships/numbering" Target="numbering.xml"/><Relationship Id="rId61" Type="http://schemas.openxmlformats.org/officeDocument/2006/relationships/hyperlink" Target="https://www.victimsupport.org.uk/help-and-support/your-rights/victims-code/"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www.anxietycentre.com/research/reading-reduces-stress-by-68-percent/" TargetMode="External"/><Relationship Id="rId27" Type="http://schemas.openxmlformats.org/officeDocument/2006/relationships/hyperlink" Target="https://openresearch.surrey.ac.uk/discovery/delivery/44SUR_INST:ResearchRepository/99514937002346" TargetMode="External"/><Relationship Id="rId30" Type="http://schemas.openxmlformats.org/officeDocument/2006/relationships/hyperlink" Target="https://assets.college.police.uk/s3fs-public/2021-11/Recognising-responding-vulnerability-related-risks-Evidence-review-part-2.pdf" TargetMode="External"/><Relationship Id="rId35" Type="http://schemas.openxmlformats.org/officeDocument/2006/relationships/hyperlink" Target="https://www.justiceinspectorates.gov.uk/hmicfrs/wp-content/uploads/peel-police-efficiency-2017-south-wales.pdf" TargetMode="External"/><Relationship Id="rId43" Type="http://schemas.openxmlformats.org/officeDocument/2006/relationships/hyperlink" Target="https://reader.elsevier.com/reader/sd/pii/S2352289514000022?token=ED829FF31C81846F560B332E62D64E60514D4F223A7C73766DF2FBC276AAAED0DD5A3430442D8287B3445EC0B1E64E1A&amp;originRegion=eu-west-1&amp;originCreation=20220929165533" TargetMode="External"/><Relationship Id="rId48" Type="http://schemas.openxmlformats.org/officeDocument/2006/relationships/hyperlink" Target="https://rusi.org/explore-our-research/publications/commentary/public-confidence-police-new-low-service" TargetMode="External"/><Relationship Id="rId56" Type="http://schemas.openxmlformats.org/officeDocument/2006/relationships/hyperlink" Target="https://www.polfed.org/news/latest-news/2019/government-must-face-facts-extreme-stress-in-policing-is-real/"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ons.gov.uk/peoplepopulationandcommunity/crimeandjustice/articles/childphysicalabuseinenglandandwales/yearendingmarch2019"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lordslibrary.parliament.uk/the-criminal-procedure-and-investigations-act-1996-code-of-practice-order-2020/" TargetMode="External"/><Relationship Id="rId33" Type="http://schemas.openxmlformats.org/officeDocument/2006/relationships/hyperlink" Target="https://www.cps.gov.uk/support-give-your-evidence-special-measures" TargetMode="External"/><Relationship Id="rId38" Type="http://schemas.openxmlformats.org/officeDocument/2006/relationships/hyperlink" Target="https://www.gov.uk/government/publications/supporting-male-victims/supporting-male-victims-accessible" TargetMode="External"/><Relationship Id="rId46" Type="http://schemas.openxmlformats.org/officeDocument/2006/relationships/hyperlink" Target="https://www.gov.uk/government/news/sobriety-tags-launched-in-england-to-tackle-alcohol-fuelled-crime" TargetMode="External"/><Relationship Id="rId59" Type="http://schemas.openxmlformats.org/officeDocument/2006/relationships/hyperlink" Target="https://www.southwalescommissioner.org.uk/media/1367/2623-19-vawg-joint-strategy-final-30719.pdf" TargetMode="External"/><Relationship Id="rId20" Type="http://schemas.openxmlformats.org/officeDocument/2006/relationships/hyperlink" Target="https://www.iicsa.org.uk/key-documents/22362/view/NCA000406.pdf" TargetMode="External"/><Relationship Id="rId41" Type="http://schemas.openxmlformats.org/officeDocument/2006/relationships/hyperlink" Target="https://link.springer.com/article/10.1007/s11896-018-9298-5" TargetMode="External"/><Relationship Id="rId54" Type="http://schemas.openxmlformats.org/officeDocument/2006/relationships/hyperlink" Target="https://www.legislation.gov.uk/ukpga/1984/60/section/117" TargetMode="External"/><Relationship Id="rId62" Type="http://schemas.openxmlformats.org/officeDocument/2006/relationships/hyperlink" Target="https://academic.oup.com/edited-volume/28307/chapter/214999226?login=tru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assets.publishing.service.gov.uk/government/uploads/system/uploads/attachment_data/file/756436/Attorney_General_s_Disclosure_Review.pdf" TargetMode="External"/><Relationship Id="rId28" Type="http://schemas.openxmlformats.org/officeDocument/2006/relationships/hyperlink" Target="https://www.police1.com/officer-safety/articles/10-non-verbal-signs-all-officers-should-be-able-to-recognize-and-interpret-Xj0bx7nVn0PRlDne/" TargetMode="External"/><Relationship Id="rId36" Type="http://schemas.openxmlformats.org/officeDocument/2006/relationships/hyperlink" Target="https://www.justiceinspectorates.gov.uk/hmicfrs/wp-content/uploads/the-police-response-to-domestic-abuse-an-update-report.pdf" TargetMode="External"/><Relationship Id="rId49" Type="http://schemas.openxmlformats.org/officeDocument/2006/relationships/hyperlink" Target="https://www.frontiersin.org/articles/10.3389/fcvm.2018.00135/full" TargetMode="External"/><Relationship Id="rId57" Type="http://schemas.openxmlformats.org/officeDocument/2006/relationships/hyperlink" Target="https://rightsofwomen.org.uk/wp-content/uploads/2022/06/Rights-of-Women-Labyrinth-Guide-Special-Measures.pdf" TargetMode="External"/><Relationship Id="rId10" Type="http://schemas.openxmlformats.org/officeDocument/2006/relationships/endnotes" Target="endnotes.xml"/><Relationship Id="rId31" Type="http://schemas.openxmlformats.org/officeDocument/2006/relationships/hyperlink" Target="https://www.college.police.uk/guidance/interventions-reduce-violence-against-women-and-girls-vawg-public-spaces/reducing-violence-night-time-economy" TargetMode="External"/><Relationship Id="rId44" Type="http://schemas.openxmlformats.org/officeDocument/2006/relationships/hyperlink" Target="https://www.sciencedirect.com/science/article/abs/pii/S0378512217308563" TargetMode="External"/><Relationship Id="rId52" Type="http://schemas.openxmlformats.org/officeDocument/2006/relationships/hyperlink" Target="https://www.mdpi.com/1660-4601/17/21/8059/htm" TargetMode="External"/><Relationship Id="rId60" Type="http://schemas.openxmlformats.org/officeDocument/2006/relationships/hyperlink" Target="https://s3-eu-west-2.amazonaws.com/jotwpublic-prod-storage-1cxo1dnrmkg14/uploads/sites/6/2021/12/VC-2021-survey-of-victims-_amended-27_9_21-1.pdf"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sciencedirect.com/science/article/pii/S18761399150003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11296</Words>
  <Characters>64390</Characters>
  <Application>Microsoft Office Word</Application>
  <DocSecurity>0</DocSecurity>
  <Lines>536</Lines>
  <Paragraphs>151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George,Sally swp8260</cp:lastModifiedBy>
  <cp:revision>2</cp:revision>
  <cp:lastPrinted>2019-08-13T11:47:00Z</cp:lastPrinted>
  <dcterms:created xsi:type="dcterms:W3CDTF">2023-01-02T09:36:00Z</dcterms:created>
  <dcterms:modified xsi:type="dcterms:W3CDTF">2023-01-02T09:36:00Z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2022-12-08T18:20:17Z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25fa31c7-cc4b-41ce-9e23-33c37dd5de1e</vt:lpwstr>
  </property>
  <property fmtid="{D5CDD505-2E9C-101B-9397-08002B2CF9AE}" pid="9" name="MSIP_Label_66cf8fe5-b7b7-4df7-b38d-1c61ac2f6639_ContentBits">
    <vt:lpwstr>0</vt:lpwstr>
  </property>
</Properties>
</file>