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DF510" w14:textId="77777777" w:rsidR="00833AE7" w:rsidRPr="002440E7" w:rsidRDefault="00833AE7" w:rsidP="00833AE7">
      <w:pPr>
        <w:spacing w:line="360" w:lineRule="auto"/>
        <w:jc w:val="both"/>
        <w:rPr>
          <w:rFonts w:ascii="Arial" w:hAnsi="Arial" w:cs="Arial"/>
        </w:rPr>
      </w:pPr>
      <w:r w:rsidRPr="002440E7">
        <w:rPr>
          <w:rFonts w:ascii="Arial" w:hAnsi="Arial" w:cs="Arial"/>
          <w:noProof/>
        </w:rPr>
        <w:drawing>
          <wp:inline distT="0" distB="0" distL="0" distR="0" wp14:anchorId="4117CA3A" wp14:editId="48B5D7A1">
            <wp:extent cx="2476500" cy="812800"/>
            <wp:effectExtent l="0" t="0" r="0" b="0"/>
            <wp:docPr id="2064793201"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93201" name="Picture 2"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476500" cy="812800"/>
                    </a:xfrm>
                    <a:prstGeom prst="rect">
                      <a:avLst/>
                    </a:prstGeom>
                  </pic:spPr>
                </pic:pic>
              </a:graphicData>
            </a:graphic>
          </wp:inline>
        </w:drawing>
      </w:r>
    </w:p>
    <w:p w14:paraId="2B2F6598" w14:textId="77777777" w:rsidR="00833AE7" w:rsidRPr="002440E7" w:rsidRDefault="00833AE7" w:rsidP="00833AE7">
      <w:pPr>
        <w:spacing w:line="360" w:lineRule="auto"/>
        <w:jc w:val="both"/>
        <w:rPr>
          <w:rFonts w:ascii="Arial" w:hAnsi="Arial" w:cs="Arial"/>
        </w:rPr>
      </w:pPr>
    </w:p>
    <w:p w14:paraId="54594FA9" w14:textId="77777777" w:rsidR="00833AE7" w:rsidRPr="002440E7" w:rsidRDefault="00833AE7" w:rsidP="00833AE7">
      <w:pPr>
        <w:spacing w:line="360" w:lineRule="auto"/>
        <w:jc w:val="both"/>
        <w:rPr>
          <w:rFonts w:ascii="Arial" w:hAnsi="Arial" w:cs="Arial"/>
        </w:rPr>
      </w:pPr>
    </w:p>
    <w:p w14:paraId="0151DF43" w14:textId="77777777" w:rsidR="00833AE7" w:rsidRDefault="00833AE7" w:rsidP="00833AE7">
      <w:pPr>
        <w:spacing w:line="360" w:lineRule="auto"/>
        <w:jc w:val="both"/>
        <w:rPr>
          <w:rFonts w:ascii="Arial" w:hAnsi="Arial" w:cs="Arial"/>
        </w:rPr>
      </w:pPr>
    </w:p>
    <w:p w14:paraId="57432A5F" w14:textId="77777777" w:rsidR="00592DEE" w:rsidRDefault="00592DEE" w:rsidP="00833AE7">
      <w:pPr>
        <w:spacing w:line="360" w:lineRule="auto"/>
        <w:jc w:val="both"/>
        <w:rPr>
          <w:rFonts w:ascii="Arial" w:hAnsi="Arial" w:cs="Arial"/>
        </w:rPr>
      </w:pPr>
    </w:p>
    <w:p w14:paraId="6B419D7F" w14:textId="77777777" w:rsidR="00592DEE" w:rsidRPr="00103757" w:rsidRDefault="00592DEE" w:rsidP="00592DEE">
      <w:pPr>
        <w:spacing w:line="360" w:lineRule="auto"/>
        <w:jc w:val="center"/>
        <w:rPr>
          <w:rFonts w:ascii="Arial" w:hAnsi="Arial" w:cs="Arial"/>
          <w:b/>
          <w:bCs/>
          <w:color w:val="000000" w:themeColor="text1"/>
          <w:sz w:val="40"/>
          <w:szCs w:val="40"/>
        </w:rPr>
      </w:pPr>
      <w:r w:rsidRPr="00103757">
        <w:rPr>
          <w:rFonts w:ascii="Arial" w:hAnsi="Arial" w:cs="Arial"/>
          <w:b/>
          <w:bCs/>
          <w:color w:val="000000" w:themeColor="text1"/>
          <w:sz w:val="40"/>
          <w:szCs w:val="40"/>
        </w:rPr>
        <w:t>Comparative Analysis of Shangri-La Hotels and Premier Inn Hotels</w:t>
      </w:r>
    </w:p>
    <w:p w14:paraId="6ACD9107" w14:textId="77777777" w:rsidR="00592DEE" w:rsidRPr="002440E7" w:rsidRDefault="00592DEE" w:rsidP="00833AE7">
      <w:pPr>
        <w:spacing w:line="360" w:lineRule="auto"/>
        <w:jc w:val="both"/>
        <w:rPr>
          <w:rFonts w:ascii="Arial" w:hAnsi="Arial" w:cs="Arial"/>
        </w:rPr>
      </w:pPr>
    </w:p>
    <w:p w14:paraId="1680800B" w14:textId="1B9237F8" w:rsidR="00833AE7" w:rsidRDefault="00592DEE" w:rsidP="00833AE7">
      <w:pPr>
        <w:spacing w:line="360" w:lineRule="auto"/>
        <w:jc w:val="both"/>
        <w:rPr>
          <w:rFonts w:ascii="Arial" w:hAnsi="Arial" w:cs="Arial"/>
        </w:rPr>
      </w:pPr>
      <w:r>
        <w:rPr>
          <w:rFonts w:ascii="Arial" w:hAnsi="Arial" w:cs="Arial"/>
        </w:rPr>
        <w:t xml:space="preserve">                                                                                     </w:t>
      </w:r>
      <w:r w:rsidR="006D200C">
        <w:rPr>
          <w:rFonts w:ascii="Arial" w:hAnsi="Arial" w:cs="Arial"/>
        </w:rPr>
        <w:t xml:space="preserve"> </w:t>
      </w:r>
      <w:r w:rsidR="00833AE7" w:rsidRPr="002440E7">
        <w:rPr>
          <w:rFonts w:ascii="Arial" w:hAnsi="Arial" w:cs="Arial"/>
        </w:rPr>
        <w:t>Lavinia Mihaloiu</w:t>
      </w:r>
      <w:r w:rsidR="006D200C">
        <w:rPr>
          <w:rFonts w:ascii="Arial" w:hAnsi="Arial" w:cs="Arial"/>
        </w:rPr>
        <w:t xml:space="preserve"> </w:t>
      </w:r>
      <w:r w:rsidR="00833AE7" w:rsidRPr="002440E7">
        <w:rPr>
          <w:rFonts w:ascii="Arial" w:hAnsi="Arial" w:cs="Arial"/>
        </w:rPr>
        <w:t>2113467</w:t>
      </w:r>
    </w:p>
    <w:p w14:paraId="541AACF7" w14:textId="77777777" w:rsidR="00592DEE" w:rsidRDefault="00592DEE" w:rsidP="00833AE7">
      <w:pPr>
        <w:spacing w:line="360" w:lineRule="auto"/>
        <w:jc w:val="both"/>
        <w:rPr>
          <w:rFonts w:ascii="Arial" w:hAnsi="Arial" w:cs="Arial"/>
        </w:rPr>
      </w:pPr>
    </w:p>
    <w:p w14:paraId="064AB5A2" w14:textId="77777777" w:rsidR="00592DEE" w:rsidRDefault="00592DEE" w:rsidP="00592DEE">
      <w:pPr>
        <w:spacing w:line="360" w:lineRule="auto"/>
        <w:jc w:val="both"/>
        <w:rPr>
          <w:rFonts w:ascii="Arial" w:hAnsi="Arial" w:cs="Arial"/>
          <w:sz w:val="32"/>
          <w:szCs w:val="32"/>
        </w:rPr>
      </w:pPr>
    </w:p>
    <w:p w14:paraId="67EB8221" w14:textId="77777777" w:rsidR="000C1AE2" w:rsidRDefault="00592DEE" w:rsidP="00592DEE">
      <w:pPr>
        <w:spacing w:line="360" w:lineRule="auto"/>
        <w:jc w:val="both"/>
        <w:rPr>
          <w:rFonts w:ascii="Arial" w:hAnsi="Arial" w:cs="Arial"/>
          <w:sz w:val="32"/>
          <w:szCs w:val="32"/>
        </w:rPr>
      </w:pPr>
      <w:r w:rsidRPr="002440E7">
        <w:rPr>
          <w:rFonts w:ascii="Arial" w:hAnsi="Arial" w:cs="Arial"/>
          <w:sz w:val="32"/>
          <w:szCs w:val="32"/>
        </w:rPr>
        <w:t>Financial Management for the Hotel Industry</w:t>
      </w:r>
    </w:p>
    <w:p w14:paraId="49281C81" w14:textId="3BE1FE74" w:rsidR="00592DEE" w:rsidRPr="002440E7" w:rsidRDefault="00592DEE" w:rsidP="00592DEE">
      <w:pPr>
        <w:spacing w:line="360" w:lineRule="auto"/>
        <w:jc w:val="both"/>
        <w:rPr>
          <w:rFonts w:ascii="Arial" w:hAnsi="Arial" w:cs="Arial"/>
          <w:sz w:val="32"/>
          <w:szCs w:val="32"/>
        </w:rPr>
      </w:pPr>
      <w:r w:rsidRPr="002440E7">
        <w:rPr>
          <w:rFonts w:ascii="Arial" w:hAnsi="Arial" w:cs="Arial"/>
          <w:sz w:val="32"/>
          <w:szCs w:val="32"/>
        </w:rPr>
        <w:t>BMIH5007</w:t>
      </w:r>
    </w:p>
    <w:p w14:paraId="2B307015" w14:textId="7C48AA98" w:rsidR="00592DEE" w:rsidRPr="00592DEE" w:rsidRDefault="00592DEE" w:rsidP="00592DEE">
      <w:pPr>
        <w:pStyle w:val="Default"/>
        <w:jc w:val="both"/>
        <w:rPr>
          <w:sz w:val="32"/>
          <w:szCs w:val="32"/>
        </w:rPr>
      </w:pPr>
      <w:r w:rsidRPr="00592DEE">
        <w:rPr>
          <w:sz w:val="32"/>
          <w:szCs w:val="32"/>
        </w:rPr>
        <w:t>Lect</w:t>
      </w:r>
      <w:r>
        <w:rPr>
          <w:sz w:val="32"/>
          <w:szCs w:val="32"/>
        </w:rPr>
        <w:t xml:space="preserve">urer </w:t>
      </w:r>
      <w:r w:rsidRPr="00592DEE">
        <w:rPr>
          <w:b/>
          <w:bCs/>
          <w:sz w:val="32"/>
          <w:szCs w:val="32"/>
        </w:rPr>
        <w:t xml:space="preserve">Tristan Hawkins </w:t>
      </w:r>
    </w:p>
    <w:p w14:paraId="72CF92A1" w14:textId="75D28564" w:rsidR="00592DEE" w:rsidRPr="00592DEE" w:rsidRDefault="00592DEE" w:rsidP="00833AE7">
      <w:pPr>
        <w:spacing w:line="360" w:lineRule="auto"/>
        <w:jc w:val="both"/>
        <w:rPr>
          <w:rFonts w:ascii="Arial" w:hAnsi="Arial" w:cs="Arial"/>
          <w:sz w:val="32"/>
          <w:szCs w:val="32"/>
        </w:rPr>
      </w:pPr>
    </w:p>
    <w:p w14:paraId="5ABCDB1E" w14:textId="77777777" w:rsidR="00833AE7" w:rsidRPr="002440E7" w:rsidRDefault="00833AE7" w:rsidP="00833AE7">
      <w:pPr>
        <w:spacing w:line="360" w:lineRule="auto"/>
        <w:jc w:val="both"/>
        <w:rPr>
          <w:rFonts w:ascii="Arial" w:hAnsi="Arial" w:cs="Arial"/>
        </w:rPr>
      </w:pPr>
    </w:p>
    <w:p w14:paraId="1A2F05C9" w14:textId="77777777" w:rsidR="00833AE7" w:rsidRPr="002440E7" w:rsidRDefault="00833AE7" w:rsidP="00833AE7">
      <w:pPr>
        <w:spacing w:line="360" w:lineRule="auto"/>
        <w:jc w:val="both"/>
        <w:rPr>
          <w:rFonts w:ascii="Arial" w:hAnsi="Arial" w:cs="Arial"/>
        </w:rPr>
      </w:pPr>
    </w:p>
    <w:p w14:paraId="18FDBB7A" w14:textId="77777777" w:rsidR="00833AE7" w:rsidRPr="002440E7" w:rsidRDefault="00833AE7" w:rsidP="00833AE7">
      <w:pPr>
        <w:spacing w:line="360" w:lineRule="auto"/>
        <w:jc w:val="both"/>
        <w:rPr>
          <w:rFonts w:ascii="Arial" w:hAnsi="Arial" w:cs="Arial"/>
        </w:rPr>
      </w:pPr>
    </w:p>
    <w:p w14:paraId="05740B9B" w14:textId="77777777" w:rsidR="00833AE7" w:rsidRPr="002440E7" w:rsidRDefault="00833AE7" w:rsidP="00833AE7">
      <w:pPr>
        <w:spacing w:line="360" w:lineRule="auto"/>
        <w:jc w:val="both"/>
        <w:rPr>
          <w:rFonts w:ascii="Arial" w:hAnsi="Arial" w:cs="Arial"/>
        </w:rPr>
      </w:pPr>
    </w:p>
    <w:p w14:paraId="3054D262" w14:textId="3F00450B" w:rsidR="00833AE7" w:rsidRDefault="006D200C" w:rsidP="00833AE7">
      <w:pPr>
        <w:spacing w:line="360" w:lineRule="auto"/>
        <w:jc w:val="both"/>
        <w:rPr>
          <w:rFonts w:ascii="Arial" w:hAnsi="Arial" w:cs="Arial"/>
        </w:rPr>
      </w:pPr>
      <w:r>
        <w:rPr>
          <w:rFonts w:ascii="Arial" w:hAnsi="Arial" w:cs="Arial"/>
        </w:rPr>
        <w:t>Word count 2236</w:t>
      </w:r>
    </w:p>
    <w:p w14:paraId="02915A86" w14:textId="77777777" w:rsidR="002D7C2A" w:rsidRPr="00AD5A13" w:rsidRDefault="002D7C2A" w:rsidP="002D7C2A">
      <w:pPr>
        <w:pStyle w:val="Heading1"/>
        <w:rPr>
          <w:rFonts w:ascii="Arial" w:hAnsi="Arial" w:cs="Arial"/>
          <w:b/>
          <w:bCs/>
          <w:sz w:val="24"/>
          <w:szCs w:val="24"/>
        </w:rPr>
      </w:pPr>
      <w:bookmarkStart w:id="0" w:name="_Toc180140597"/>
      <w:r w:rsidRPr="00AD5A13">
        <w:rPr>
          <w:rFonts w:ascii="Arial" w:hAnsi="Arial" w:cs="Arial"/>
          <w:b/>
          <w:bCs/>
          <w:color w:val="000000" w:themeColor="text1"/>
          <w:sz w:val="24"/>
          <w:szCs w:val="24"/>
        </w:rPr>
        <w:lastRenderedPageBreak/>
        <w:t>Executive Summary</w:t>
      </w:r>
      <w:bookmarkEnd w:id="0"/>
    </w:p>
    <w:p w14:paraId="1D4A6567" w14:textId="77777777" w:rsidR="002D7C2A" w:rsidRPr="002440E7" w:rsidRDefault="002D7C2A" w:rsidP="002D7C2A">
      <w:pPr>
        <w:spacing w:line="360" w:lineRule="auto"/>
        <w:jc w:val="both"/>
        <w:rPr>
          <w:rFonts w:ascii="Arial" w:hAnsi="Arial" w:cs="Arial"/>
        </w:rPr>
      </w:pPr>
      <w:r w:rsidRPr="002440E7">
        <w:rPr>
          <w:rFonts w:ascii="Arial" w:hAnsi="Arial" w:cs="Arial"/>
        </w:rPr>
        <w:t>This report compares the financial performance and market positioning of two segments in the hospitality industry: Shangri-La Hotels, a global luxury brand, and Premier Inn, a leader in the UK mid-market and budget accommodation sector. The analysis evaluates both brands alongside their key competitors in terms of revenue growth, profitability, assets, and future expansion potential.</w:t>
      </w:r>
    </w:p>
    <w:p w14:paraId="4A20E607" w14:textId="77777777" w:rsidR="002D7C2A" w:rsidRPr="002440E7" w:rsidRDefault="002D7C2A" w:rsidP="002D7C2A">
      <w:pPr>
        <w:spacing w:line="360" w:lineRule="auto"/>
        <w:jc w:val="both"/>
        <w:rPr>
          <w:rFonts w:ascii="Arial" w:hAnsi="Arial" w:cs="Arial"/>
        </w:rPr>
      </w:pPr>
      <w:r w:rsidRPr="002440E7">
        <w:rPr>
          <w:rFonts w:ascii="Arial" w:hAnsi="Arial" w:cs="Arial"/>
        </w:rPr>
        <w:t>Shangri-La Hotels has experienced notable revenue growth; however, it has faced significant challenges in managing operational costs, resulting in a substantial decline in earnings. Competitors like Four Seasons and The Ritz-Carlton have demonstrated stronger financial performance through better cost management practices, enabling them to maintain profitability. Shangri-La's asset and liability levels indicate manageable debt but reflect weaker financial health compared to its peers.</w:t>
      </w:r>
    </w:p>
    <w:p w14:paraId="6B258191" w14:textId="77777777" w:rsidR="002D7C2A" w:rsidRPr="002440E7" w:rsidRDefault="002D7C2A" w:rsidP="002D7C2A">
      <w:pPr>
        <w:spacing w:line="360" w:lineRule="auto"/>
        <w:jc w:val="both"/>
        <w:rPr>
          <w:rFonts w:ascii="Arial" w:hAnsi="Arial" w:cs="Arial"/>
        </w:rPr>
      </w:pPr>
      <w:r w:rsidRPr="002440E7">
        <w:rPr>
          <w:rFonts w:ascii="Arial" w:hAnsi="Arial" w:cs="Arial"/>
        </w:rPr>
        <w:t>To address rising demand for luxury services, Shangri-La is focusing on expanding its presence in high-growth regions, particularly in Asia and the Middle East. Nevertheless, the company must navigate challenges such as global economic fluctuations and increasing consumer expectations for sustainability.</w:t>
      </w:r>
    </w:p>
    <w:p w14:paraId="18E88E84" w14:textId="77777777" w:rsidR="002D7C2A" w:rsidRPr="002440E7" w:rsidRDefault="002D7C2A" w:rsidP="002D7C2A">
      <w:pPr>
        <w:spacing w:line="360" w:lineRule="auto"/>
        <w:jc w:val="both"/>
        <w:rPr>
          <w:rFonts w:ascii="Arial" w:hAnsi="Arial" w:cs="Arial"/>
        </w:rPr>
      </w:pPr>
      <w:r w:rsidRPr="002440E7">
        <w:rPr>
          <w:rFonts w:ascii="Arial" w:hAnsi="Arial" w:cs="Arial"/>
        </w:rPr>
        <w:t>In contrast, Premier Inn has reported significant revenue growth, outperforming competitors like Travelodge and Holiday Inn Express. The brand's emphasis on operational efficiency has resulted in a remarkable increase in profitability, showcasing a successful recovery from previous losses. Competitors have seen more modest gains in profitability during the same period.</w:t>
      </w:r>
    </w:p>
    <w:p w14:paraId="2CB014BA" w14:textId="77777777" w:rsidR="002D7C2A" w:rsidRDefault="002D7C2A" w:rsidP="002D7C2A">
      <w:pPr>
        <w:spacing w:line="360" w:lineRule="auto"/>
        <w:jc w:val="both"/>
        <w:rPr>
          <w:rFonts w:ascii="Arial" w:hAnsi="Arial" w:cs="Arial"/>
        </w:rPr>
      </w:pPr>
      <w:r w:rsidRPr="002440E7">
        <w:rPr>
          <w:rFonts w:ascii="Arial" w:hAnsi="Arial" w:cs="Arial"/>
        </w:rPr>
        <w:t>With a robust asset base and improved cash position, Premier Inn is well-positioned for continued dominance and expansion in the mid-market sector. Strategic innovations, including the implementation of digital check-ins and a focus on the growing trend of domestic tourism, further enhance its competitiveness in the hospitality landscape.</w:t>
      </w:r>
    </w:p>
    <w:p w14:paraId="7A17F4F0" w14:textId="77777777" w:rsidR="002D7C2A" w:rsidRDefault="002D7C2A" w:rsidP="002D7C2A">
      <w:pPr>
        <w:spacing w:line="360" w:lineRule="auto"/>
        <w:jc w:val="both"/>
        <w:rPr>
          <w:rFonts w:ascii="Arial" w:hAnsi="Arial" w:cs="Arial"/>
        </w:rPr>
      </w:pPr>
    </w:p>
    <w:sdt>
      <w:sdtPr>
        <w:rPr>
          <w:rFonts w:asciiTheme="minorHAnsi" w:eastAsiaTheme="minorHAnsi" w:hAnsiTheme="minorHAnsi" w:cstheme="minorBidi"/>
          <w:b w:val="0"/>
          <w:bCs w:val="0"/>
          <w:color w:val="auto"/>
          <w:kern w:val="2"/>
          <w:sz w:val="24"/>
          <w:szCs w:val="24"/>
          <w:lang w:val="en-GB"/>
          <w14:ligatures w14:val="standardContextual"/>
        </w:rPr>
        <w:id w:val="1423604894"/>
        <w:docPartObj>
          <w:docPartGallery w:val="Table of Contents"/>
          <w:docPartUnique/>
        </w:docPartObj>
      </w:sdtPr>
      <w:sdtEndPr>
        <w:rPr>
          <w:noProof/>
        </w:rPr>
      </w:sdtEndPr>
      <w:sdtContent>
        <w:p w14:paraId="5EC9496D" w14:textId="77777777" w:rsidR="00F95A23" w:rsidRDefault="00F95A23" w:rsidP="00F95A23">
          <w:pPr>
            <w:pStyle w:val="TOCHeading"/>
            <w:rPr>
              <w:rFonts w:asciiTheme="minorHAnsi" w:eastAsiaTheme="minorHAnsi" w:hAnsiTheme="minorHAnsi" w:cstheme="minorBidi"/>
              <w:b w:val="0"/>
              <w:bCs w:val="0"/>
              <w:color w:val="auto"/>
              <w:kern w:val="2"/>
              <w:sz w:val="24"/>
              <w:szCs w:val="24"/>
              <w:lang w:val="en-GB"/>
              <w14:ligatures w14:val="standardContextual"/>
            </w:rPr>
          </w:pPr>
        </w:p>
        <w:p w14:paraId="1261F1A3" w14:textId="274D6285" w:rsidR="00F95A23" w:rsidRDefault="00F95A23" w:rsidP="00F95A23">
          <w:pPr>
            <w:pStyle w:val="TOCHeading"/>
          </w:pPr>
          <w:r>
            <w:t>Table of Contents</w:t>
          </w:r>
        </w:p>
        <w:p w14:paraId="527FAEE3" w14:textId="77777777" w:rsidR="00F95A23" w:rsidRDefault="00F95A23" w:rsidP="00F95A23">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0140597" w:history="1">
            <w:r w:rsidRPr="00397EEB">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_Toc180140597 \h </w:instrText>
            </w:r>
            <w:r>
              <w:rPr>
                <w:noProof/>
                <w:webHidden/>
              </w:rPr>
            </w:r>
            <w:r>
              <w:rPr>
                <w:noProof/>
                <w:webHidden/>
              </w:rPr>
              <w:fldChar w:fldCharType="separate"/>
            </w:r>
            <w:r>
              <w:rPr>
                <w:noProof/>
                <w:webHidden/>
              </w:rPr>
              <w:t>2</w:t>
            </w:r>
            <w:r>
              <w:rPr>
                <w:noProof/>
                <w:webHidden/>
              </w:rPr>
              <w:fldChar w:fldCharType="end"/>
            </w:r>
          </w:hyperlink>
        </w:p>
        <w:p w14:paraId="07652EE8" w14:textId="77777777" w:rsidR="00F95A23" w:rsidRDefault="00F95A23" w:rsidP="00F95A23">
          <w:pPr>
            <w:pStyle w:val="TOC1"/>
            <w:tabs>
              <w:tab w:val="right" w:leader="dot" w:pos="9016"/>
            </w:tabs>
            <w:rPr>
              <w:rFonts w:eastAsiaTheme="minorEastAsia"/>
              <w:b w:val="0"/>
              <w:bCs w:val="0"/>
              <w:i w:val="0"/>
              <w:iCs w:val="0"/>
              <w:noProof/>
              <w:lang w:eastAsia="en-GB"/>
            </w:rPr>
          </w:pPr>
          <w:hyperlink w:anchor="_Toc180140598" w:history="1">
            <w:r w:rsidRPr="00397EE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_Toc180140598 \h </w:instrText>
            </w:r>
            <w:r>
              <w:rPr>
                <w:noProof/>
                <w:webHidden/>
              </w:rPr>
            </w:r>
            <w:r>
              <w:rPr>
                <w:noProof/>
                <w:webHidden/>
              </w:rPr>
              <w:fldChar w:fldCharType="separate"/>
            </w:r>
            <w:r>
              <w:rPr>
                <w:noProof/>
                <w:webHidden/>
              </w:rPr>
              <w:t>3</w:t>
            </w:r>
            <w:r>
              <w:rPr>
                <w:noProof/>
                <w:webHidden/>
              </w:rPr>
              <w:fldChar w:fldCharType="end"/>
            </w:r>
          </w:hyperlink>
        </w:p>
        <w:p w14:paraId="4FC53819" w14:textId="77777777" w:rsidR="00F95A23" w:rsidRDefault="00F95A23" w:rsidP="00F95A23">
          <w:pPr>
            <w:pStyle w:val="TOC1"/>
            <w:tabs>
              <w:tab w:val="right" w:leader="dot" w:pos="9016"/>
            </w:tabs>
            <w:rPr>
              <w:rFonts w:eastAsiaTheme="minorEastAsia"/>
              <w:b w:val="0"/>
              <w:bCs w:val="0"/>
              <w:i w:val="0"/>
              <w:iCs w:val="0"/>
              <w:noProof/>
              <w:lang w:eastAsia="en-GB"/>
            </w:rPr>
          </w:pPr>
          <w:hyperlink w:anchor="_Toc180140599" w:history="1">
            <w:r w:rsidRPr="00397EEB">
              <w:rPr>
                <w:rStyle w:val="Hyperlink"/>
                <w:rFonts w:ascii="Arial" w:hAnsi="Arial" w:cs="Arial"/>
                <w:noProof/>
              </w:rPr>
              <w:t>Findings</w:t>
            </w:r>
            <w:r>
              <w:rPr>
                <w:noProof/>
                <w:webHidden/>
              </w:rPr>
              <w:tab/>
            </w:r>
            <w:r>
              <w:rPr>
                <w:noProof/>
                <w:webHidden/>
              </w:rPr>
              <w:fldChar w:fldCharType="begin"/>
            </w:r>
            <w:r>
              <w:rPr>
                <w:noProof/>
                <w:webHidden/>
              </w:rPr>
              <w:instrText xml:space="preserve"> PAGEREF _Toc180140599 \h </w:instrText>
            </w:r>
            <w:r>
              <w:rPr>
                <w:noProof/>
                <w:webHidden/>
              </w:rPr>
            </w:r>
            <w:r>
              <w:rPr>
                <w:noProof/>
                <w:webHidden/>
              </w:rPr>
              <w:fldChar w:fldCharType="separate"/>
            </w:r>
            <w:r>
              <w:rPr>
                <w:noProof/>
                <w:webHidden/>
              </w:rPr>
              <w:t>4</w:t>
            </w:r>
            <w:r>
              <w:rPr>
                <w:noProof/>
                <w:webHidden/>
              </w:rPr>
              <w:fldChar w:fldCharType="end"/>
            </w:r>
          </w:hyperlink>
        </w:p>
        <w:p w14:paraId="5C05EB4D" w14:textId="77777777" w:rsidR="00F95A23" w:rsidRDefault="00F95A23" w:rsidP="00F95A23">
          <w:pPr>
            <w:pStyle w:val="TOC2"/>
            <w:tabs>
              <w:tab w:val="right" w:leader="dot" w:pos="9016"/>
            </w:tabs>
            <w:rPr>
              <w:rFonts w:eastAsiaTheme="minorEastAsia"/>
              <w:b w:val="0"/>
              <w:bCs w:val="0"/>
              <w:noProof/>
              <w:sz w:val="24"/>
              <w:szCs w:val="24"/>
              <w:lang w:eastAsia="en-GB"/>
            </w:rPr>
          </w:pPr>
          <w:hyperlink w:anchor="_Toc180140600" w:history="1">
            <w:r w:rsidRPr="00397EEB">
              <w:rPr>
                <w:rStyle w:val="Hyperlink"/>
                <w:rFonts w:ascii="Arial" w:hAnsi="Arial" w:cs="Arial"/>
                <w:noProof/>
              </w:rPr>
              <w:t>Shangri-La Hotels and Competitors</w:t>
            </w:r>
            <w:r>
              <w:rPr>
                <w:noProof/>
                <w:webHidden/>
              </w:rPr>
              <w:tab/>
            </w:r>
            <w:r>
              <w:rPr>
                <w:noProof/>
                <w:webHidden/>
              </w:rPr>
              <w:fldChar w:fldCharType="begin"/>
            </w:r>
            <w:r>
              <w:rPr>
                <w:noProof/>
                <w:webHidden/>
              </w:rPr>
              <w:instrText xml:space="preserve"> PAGEREF _Toc180140600 \h </w:instrText>
            </w:r>
            <w:r>
              <w:rPr>
                <w:noProof/>
                <w:webHidden/>
              </w:rPr>
            </w:r>
            <w:r>
              <w:rPr>
                <w:noProof/>
                <w:webHidden/>
              </w:rPr>
              <w:fldChar w:fldCharType="separate"/>
            </w:r>
            <w:r>
              <w:rPr>
                <w:noProof/>
                <w:webHidden/>
              </w:rPr>
              <w:t>4</w:t>
            </w:r>
            <w:r>
              <w:rPr>
                <w:noProof/>
                <w:webHidden/>
              </w:rPr>
              <w:fldChar w:fldCharType="end"/>
            </w:r>
          </w:hyperlink>
        </w:p>
        <w:p w14:paraId="6A20C91A" w14:textId="77777777" w:rsidR="00F95A23" w:rsidRDefault="00F95A23" w:rsidP="00F95A23">
          <w:pPr>
            <w:pStyle w:val="TOC3"/>
            <w:tabs>
              <w:tab w:val="right" w:leader="dot" w:pos="9016"/>
            </w:tabs>
            <w:rPr>
              <w:rFonts w:eastAsiaTheme="minorEastAsia"/>
              <w:noProof/>
              <w:sz w:val="24"/>
              <w:szCs w:val="24"/>
              <w:lang w:eastAsia="en-GB"/>
            </w:rPr>
          </w:pPr>
          <w:hyperlink w:anchor="_Toc180140601" w:history="1">
            <w:r w:rsidRPr="00397EEB">
              <w:rPr>
                <w:rStyle w:val="Hyperlink"/>
                <w:rFonts w:ascii="Arial" w:hAnsi="Arial" w:cs="Arial"/>
                <w:noProof/>
              </w:rPr>
              <w:t>Revenue Analysis</w:t>
            </w:r>
            <w:r>
              <w:rPr>
                <w:noProof/>
                <w:webHidden/>
              </w:rPr>
              <w:tab/>
            </w:r>
            <w:r>
              <w:rPr>
                <w:noProof/>
                <w:webHidden/>
              </w:rPr>
              <w:fldChar w:fldCharType="begin"/>
            </w:r>
            <w:r>
              <w:rPr>
                <w:noProof/>
                <w:webHidden/>
              </w:rPr>
              <w:instrText xml:space="preserve"> PAGEREF _Toc180140601 \h </w:instrText>
            </w:r>
            <w:r>
              <w:rPr>
                <w:noProof/>
                <w:webHidden/>
              </w:rPr>
            </w:r>
            <w:r>
              <w:rPr>
                <w:noProof/>
                <w:webHidden/>
              </w:rPr>
              <w:fldChar w:fldCharType="separate"/>
            </w:r>
            <w:r>
              <w:rPr>
                <w:noProof/>
                <w:webHidden/>
              </w:rPr>
              <w:t>5</w:t>
            </w:r>
            <w:r>
              <w:rPr>
                <w:noProof/>
                <w:webHidden/>
              </w:rPr>
              <w:fldChar w:fldCharType="end"/>
            </w:r>
          </w:hyperlink>
        </w:p>
        <w:p w14:paraId="06CFEC60" w14:textId="77777777" w:rsidR="00F95A23" w:rsidRDefault="00F95A23" w:rsidP="00F95A23">
          <w:pPr>
            <w:pStyle w:val="TOC3"/>
            <w:tabs>
              <w:tab w:val="right" w:leader="dot" w:pos="9016"/>
            </w:tabs>
            <w:rPr>
              <w:rFonts w:eastAsiaTheme="minorEastAsia"/>
              <w:noProof/>
              <w:sz w:val="24"/>
              <w:szCs w:val="24"/>
              <w:lang w:eastAsia="en-GB"/>
            </w:rPr>
          </w:pPr>
          <w:hyperlink w:anchor="_Toc180140602" w:history="1">
            <w:r w:rsidRPr="00397EEB">
              <w:rPr>
                <w:rStyle w:val="Hyperlink"/>
                <w:rFonts w:ascii="Arial" w:hAnsi="Arial" w:cs="Arial"/>
                <w:noProof/>
              </w:rPr>
              <w:t>Earning Analysis</w:t>
            </w:r>
            <w:r>
              <w:rPr>
                <w:noProof/>
                <w:webHidden/>
              </w:rPr>
              <w:tab/>
            </w:r>
            <w:r>
              <w:rPr>
                <w:noProof/>
                <w:webHidden/>
              </w:rPr>
              <w:fldChar w:fldCharType="begin"/>
            </w:r>
            <w:r>
              <w:rPr>
                <w:noProof/>
                <w:webHidden/>
              </w:rPr>
              <w:instrText xml:space="preserve"> PAGEREF _Toc180140602 \h </w:instrText>
            </w:r>
            <w:r>
              <w:rPr>
                <w:noProof/>
                <w:webHidden/>
              </w:rPr>
            </w:r>
            <w:r>
              <w:rPr>
                <w:noProof/>
                <w:webHidden/>
              </w:rPr>
              <w:fldChar w:fldCharType="separate"/>
            </w:r>
            <w:r>
              <w:rPr>
                <w:noProof/>
                <w:webHidden/>
              </w:rPr>
              <w:t>5</w:t>
            </w:r>
            <w:r>
              <w:rPr>
                <w:noProof/>
                <w:webHidden/>
              </w:rPr>
              <w:fldChar w:fldCharType="end"/>
            </w:r>
          </w:hyperlink>
        </w:p>
        <w:p w14:paraId="71ABD100" w14:textId="77777777" w:rsidR="00F95A23" w:rsidRDefault="00F95A23" w:rsidP="00F95A23">
          <w:pPr>
            <w:pStyle w:val="TOC3"/>
            <w:tabs>
              <w:tab w:val="right" w:leader="dot" w:pos="9016"/>
            </w:tabs>
            <w:rPr>
              <w:rFonts w:eastAsiaTheme="minorEastAsia"/>
              <w:noProof/>
              <w:sz w:val="24"/>
              <w:szCs w:val="24"/>
              <w:lang w:eastAsia="en-GB"/>
            </w:rPr>
          </w:pPr>
          <w:hyperlink w:anchor="_Toc180140603" w:history="1">
            <w:r w:rsidRPr="00397EEB">
              <w:rPr>
                <w:rStyle w:val="Hyperlink"/>
                <w:rFonts w:ascii="Arial" w:hAnsi="Arial" w:cs="Arial"/>
                <w:noProof/>
              </w:rPr>
              <w:t>Total assets and liabilities</w:t>
            </w:r>
            <w:r>
              <w:rPr>
                <w:noProof/>
                <w:webHidden/>
              </w:rPr>
              <w:tab/>
            </w:r>
            <w:r>
              <w:rPr>
                <w:noProof/>
                <w:webHidden/>
              </w:rPr>
              <w:fldChar w:fldCharType="begin"/>
            </w:r>
            <w:r>
              <w:rPr>
                <w:noProof/>
                <w:webHidden/>
              </w:rPr>
              <w:instrText xml:space="preserve"> PAGEREF _Toc180140603 \h </w:instrText>
            </w:r>
            <w:r>
              <w:rPr>
                <w:noProof/>
                <w:webHidden/>
              </w:rPr>
            </w:r>
            <w:r>
              <w:rPr>
                <w:noProof/>
                <w:webHidden/>
              </w:rPr>
              <w:fldChar w:fldCharType="separate"/>
            </w:r>
            <w:r>
              <w:rPr>
                <w:noProof/>
                <w:webHidden/>
              </w:rPr>
              <w:t>5</w:t>
            </w:r>
            <w:r>
              <w:rPr>
                <w:noProof/>
                <w:webHidden/>
              </w:rPr>
              <w:fldChar w:fldCharType="end"/>
            </w:r>
          </w:hyperlink>
        </w:p>
        <w:p w14:paraId="677DDAB1" w14:textId="77777777" w:rsidR="00F95A23" w:rsidRDefault="00F95A23" w:rsidP="00F95A23">
          <w:pPr>
            <w:pStyle w:val="TOC3"/>
            <w:tabs>
              <w:tab w:val="right" w:leader="dot" w:pos="9016"/>
            </w:tabs>
            <w:rPr>
              <w:rFonts w:eastAsiaTheme="minorEastAsia"/>
              <w:noProof/>
              <w:sz w:val="24"/>
              <w:szCs w:val="24"/>
              <w:lang w:eastAsia="en-GB"/>
            </w:rPr>
          </w:pPr>
          <w:hyperlink w:anchor="_Toc180140604" w:history="1">
            <w:r w:rsidRPr="00397EEB">
              <w:rPr>
                <w:rStyle w:val="Hyperlink"/>
                <w:rFonts w:ascii="Arial" w:hAnsi="Arial" w:cs="Arial"/>
                <w:noProof/>
              </w:rPr>
              <w:t>Cash Position</w:t>
            </w:r>
            <w:r>
              <w:rPr>
                <w:noProof/>
                <w:webHidden/>
              </w:rPr>
              <w:tab/>
            </w:r>
            <w:r>
              <w:rPr>
                <w:noProof/>
                <w:webHidden/>
              </w:rPr>
              <w:fldChar w:fldCharType="begin"/>
            </w:r>
            <w:r>
              <w:rPr>
                <w:noProof/>
                <w:webHidden/>
              </w:rPr>
              <w:instrText xml:space="preserve"> PAGEREF _Toc180140604 \h </w:instrText>
            </w:r>
            <w:r>
              <w:rPr>
                <w:noProof/>
                <w:webHidden/>
              </w:rPr>
            </w:r>
            <w:r>
              <w:rPr>
                <w:noProof/>
                <w:webHidden/>
              </w:rPr>
              <w:fldChar w:fldCharType="separate"/>
            </w:r>
            <w:r>
              <w:rPr>
                <w:noProof/>
                <w:webHidden/>
              </w:rPr>
              <w:t>6</w:t>
            </w:r>
            <w:r>
              <w:rPr>
                <w:noProof/>
                <w:webHidden/>
              </w:rPr>
              <w:fldChar w:fldCharType="end"/>
            </w:r>
          </w:hyperlink>
        </w:p>
        <w:p w14:paraId="623BB581" w14:textId="77777777" w:rsidR="00F95A23" w:rsidRDefault="00F95A23" w:rsidP="00F95A23">
          <w:pPr>
            <w:pStyle w:val="TOC3"/>
            <w:tabs>
              <w:tab w:val="right" w:leader="dot" w:pos="9016"/>
            </w:tabs>
            <w:rPr>
              <w:rFonts w:eastAsiaTheme="minorEastAsia"/>
              <w:noProof/>
              <w:sz w:val="24"/>
              <w:szCs w:val="24"/>
              <w:lang w:eastAsia="en-GB"/>
            </w:rPr>
          </w:pPr>
          <w:hyperlink w:anchor="_Toc180140605" w:history="1">
            <w:r w:rsidRPr="00397EEB">
              <w:rPr>
                <w:rStyle w:val="Hyperlink"/>
                <w:rFonts w:ascii="Arial" w:hAnsi="Arial" w:cs="Arial"/>
                <w:noProof/>
              </w:rPr>
              <w:t>Competitors Revenue Growth</w:t>
            </w:r>
            <w:r>
              <w:rPr>
                <w:noProof/>
                <w:webHidden/>
              </w:rPr>
              <w:tab/>
            </w:r>
            <w:r>
              <w:rPr>
                <w:noProof/>
                <w:webHidden/>
              </w:rPr>
              <w:fldChar w:fldCharType="begin"/>
            </w:r>
            <w:r>
              <w:rPr>
                <w:noProof/>
                <w:webHidden/>
              </w:rPr>
              <w:instrText xml:space="preserve"> PAGEREF _Toc180140605 \h </w:instrText>
            </w:r>
            <w:r>
              <w:rPr>
                <w:noProof/>
                <w:webHidden/>
              </w:rPr>
            </w:r>
            <w:r>
              <w:rPr>
                <w:noProof/>
                <w:webHidden/>
              </w:rPr>
              <w:fldChar w:fldCharType="separate"/>
            </w:r>
            <w:r>
              <w:rPr>
                <w:noProof/>
                <w:webHidden/>
              </w:rPr>
              <w:t>6</w:t>
            </w:r>
            <w:r>
              <w:rPr>
                <w:noProof/>
                <w:webHidden/>
              </w:rPr>
              <w:fldChar w:fldCharType="end"/>
            </w:r>
          </w:hyperlink>
        </w:p>
        <w:p w14:paraId="27AF03B6" w14:textId="77777777" w:rsidR="00F95A23" w:rsidRDefault="00F95A23" w:rsidP="00F95A23">
          <w:pPr>
            <w:pStyle w:val="TOC3"/>
            <w:tabs>
              <w:tab w:val="right" w:leader="dot" w:pos="9016"/>
            </w:tabs>
            <w:rPr>
              <w:rFonts w:eastAsiaTheme="minorEastAsia"/>
              <w:noProof/>
              <w:sz w:val="24"/>
              <w:szCs w:val="24"/>
              <w:lang w:eastAsia="en-GB"/>
            </w:rPr>
          </w:pPr>
          <w:hyperlink w:anchor="_Toc180140606" w:history="1">
            <w:r w:rsidRPr="00397EEB">
              <w:rPr>
                <w:rStyle w:val="Hyperlink"/>
                <w:rFonts w:ascii="Arial" w:hAnsi="Arial" w:cs="Arial"/>
                <w:noProof/>
              </w:rPr>
              <w:t>Profitability comparison</w:t>
            </w:r>
            <w:r>
              <w:rPr>
                <w:noProof/>
                <w:webHidden/>
              </w:rPr>
              <w:tab/>
            </w:r>
            <w:r>
              <w:rPr>
                <w:noProof/>
                <w:webHidden/>
              </w:rPr>
              <w:fldChar w:fldCharType="begin"/>
            </w:r>
            <w:r>
              <w:rPr>
                <w:noProof/>
                <w:webHidden/>
              </w:rPr>
              <w:instrText xml:space="preserve"> PAGEREF _Toc180140606 \h </w:instrText>
            </w:r>
            <w:r>
              <w:rPr>
                <w:noProof/>
                <w:webHidden/>
              </w:rPr>
            </w:r>
            <w:r>
              <w:rPr>
                <w:noProof/>
                <w:webHidden/>
              </w:rPr>
              <w:fldChar w:fldCharType="separate"/>
            </w:r>
            <w:r>
              <w:rPr>
                <w:noProof/>
                <w:webHidden/>
              </w:rPr>
              <w:t>6</w:t>
            </w:r>
            <w:r>
              <w:rPr>
                <w:noProof/>
                <w:webHidden/>
              </w:rPr>
              <w:fldChar w:fldCharType="end"/>
            </w:r>
          </w:hyperlink>
        </w:p>
        <w:p w14:paraId="002E1B89" w14:textId="77777777" w:rsidR="00F95A23" w:rsidRDefault="00F95A23" w:rsidP="00F95A23">
          <w:pPr>
            <w:pStyle w:val="TOC3"/>
            <w:tabs>
              <w:tab w:val="right" w:leader="dot" w:pos="9016"/>
            </w:tabs>
            <w:rPr>
              <w:rFonts w:eastAsiaTheme="minorEastAsia"/>
              <w:noProof/>
              <w:sz w:val="24"/>
              <w:szCs w:val="24"/>
              <w:lang w:eastAsia="en-GB"/>
            </w:rPr>
          </w:pPr>
          <w:hyperlink w:anchor="_Toc180140607" w:history="1">
            <w:r w:rsidRPr="00397EEB">
              <w:rPr>
                <w:rStyle w:val="Hyperlink"/>
                <w:rFonts w:ascii="Arial" w:hAnsi="Arial" w:cs="Arial"/>
                <w:noProof/>
              </w:rPr>
              <w:t>Growth Potential</w:t>
            </w:r>
            <w:r>
              <w:rPr>
                <w:noProof/>
                <w:webHidden/>
              </w:rPr>
              <w:tab/>
            </w:r>
            <w:r>
              <w:rPr>
                <w:noProof/>
                <w:webHidden/>
              </w:rPr>
              <w:fldChar w:fldCharType="begin"/>
            </w:r>
            <w:r>
              <w:rPr>
                <w:noProof/>
                <w:webHidden/>
              </w:rPr>
              <w:instrText xml:space="preserve"> PAGEREF _Toc180140607 \h </w:instrText>
            </w:r>
            <w:r>
              <w:rPr>
                <w:noProof/>
                <w:webHidden/>
              </w:rPr>
            </w:r>
            <w:r>
              <w:rPr>
                <w:noProof/>
                <w:webHidden/>
              </w:rPr>
              <w:fldChar w:fldCharType="separate"/>
            </w:r>
            <w:r>
              <w:rPr>
                <w:noProof/>
                <w:webHidden/>
              </w:rPr>
              <w:t>6</w:t>
            </w:r>
            <w:r>
              <w:rPr>
                <w:noProof/>
                <w:webHidden/>
              </w:rPr>
              <w:fldChar w:fldCharType="end"/>
            </w:r>
          </w:hyperlink>
        </w:p>
        <w:p w14:paraId="03E31603" w14:textId="77777777" w:rsidR="00F95A23" w:rsidRDefault="00F95A23" w:rsidP="00F95A23">
          <w:pPr>
            <w:pStyle w:val="TOC2"/>
            <w:tabs>
              <w:tab w:val="right" w:leader="dot" w:pos="9016"/>
            </w:tabs>
            <w:rPr>
              <w:rFonts w:eastAsiaTheme="minorEastAsia"/>
              <w:b w:val="0"/>
              <w:bCs w:val="0"/>
              <w:noProof/>
              <w:sz w:val="24"/>
              <w:szCs w:val="24"/>
              <w:lang w:eastAsia="en-GB"/>
            </w:rPr>
          </w:pPr>
          <w:hyperlink w:anchor="_Toc180140608" w:history="1">
            <w:r w:rsidRPr="00397EEB">
              <w:rPr>
                <w:rStyle w:val="Hyperlink"/>
                <w:rFonts w:ascii="Arial" w:hAnsi="Arial" w:cs="Arial"/>
                <w:noProof/>
              </w:rPr>
              <w:t>Premier Inn Hotels Competitors</w:t>
            </w:r>
            <w:r>
              <w:rPr>
                <w:noProof/>
                <w:webHidden/>
              </w:rPr>
              <w:tab/>
            </w:r>
            <w:r>
              <w:rPr>
                <w:noProof/>
                <w:webHidden/>
              </w:rPr>
              <w:fldChar w:fldCharType="begin"/>
            </w:r>
            <w:r>
              <w:rPr>
                <w:noProof/>
                <w:webHidden/>
              </w:rPr>
              <w:instrText xml:space="preserve"> PAGEREF _Toc180140608 \h </w:instrText>
            </w:r>
            <w:r>
              <w:rPr>
                <w:noProof/>
                <w:webHidden/>
              </w:rPr>
            </w:r>
            <w:r>
              <w:rPr>
                <w:noProof/>
                <w:webHidden/>
              </w:rPr>
              <w:fldChar w:fldCharType="separate"/>
            </w:r>
            <w:r>
              <w:rPr>
                <w:noProof/>
                <w:webHidden/>
              </w:rPr>
              <w:t>7</w:t>
            </w:r>
            <w:r>
              <w:rPr>
                <w:noProof/>
                <w:webHidden/>
              </w:rPr>
              <w:fldChar w:fldCharType="end"/>
            </w:r>
          </w:hyperlink>
        </w:p>
        <w:p w14:paraId="39D03042" w14:textId="77777777" w:rsidR="00F95A23" w:rsidRDefault="00F95A23" w:rsidP="00F95A23">
          <w:pPr>
            <w:pStyle w:val="TOC3"/>
            <w:tabs>
              <w:tab w:val="right" w:leader="dot" w:pos="9016"/>
            </w:tabs>
            <w:rPr>
              <w:rFonts w:eastAsiaTheme="minorEastAsia"/>
              <w:noProof/>
              <w:sz w:val="24"/>
              <w:szCs w:val="24"/>
              <w:lang w:eastAsia="en-GB"/>
            </w:rPr>
          </w:pPr>
          <w:hyperlink w:anchor="_Toc180140609" w:history="1">
            <w:r w:rsidRPr="00397EEB">
              <w:rPr>
                <w:rStyle w:val="Hyperlink"/>
                <w:rFonts w:ascii="Arial" w:hAnsi="Arial" w:cs="Arial"/>
                <w:noProof/>
              </w:rPr>
              <w:t>Revenue Analysis</w:t>
            </w:r>
            <w:r>
              <w:rPr>
                <w:noProof/>
                <w:webHidden/>
              </w:rPr>
              <w:tab/>
            </w:r>
            <w:r>
              <w:rPr>
                <w:noProof/>
                <w:webHidden/>
              </w:rPr>
              <w:fldChar w:fldCharType="begin"/>
            </w:r>
            <w:r>
              <w:rPr>
                <w:noProof/>
                <w:webHidden/>
              </w:rPr>
              <w:instrText xml:space="preserve"> PAGEREF _Toc180140609 \h </w:instrText>
            </w:r>
            <w:r>
              <w:rPr>
                <w:noProof/>
                <w:webHidden/>
              </w:rPr>
            </w:r>
            <w:r>
              <w:rPr>
                <w:noProof/>
                <w:webHidden/>
              </w:rPr>
              <w:fldChar w:fldCharType="separate"/>
            </w:r>
            <w:r>
              <w:rPr>
                <w:noProof/>
                <w:webHidden/>
              </w:rPr>
              <w:t>7</w:t>
            </w:r>
            <w:r>
              <w:rPr>
                <w:noProof/>
                <w:webHidden/>
              </w:rPr>
              <w:fldChar w:fldCharType="end"/>
            </w:r>
          </w:hyperlink>
        </w:p>
        <w:p w14:paraId="02D81A8D" w14:textId="77777777" w:rsidR="00F95A23" w:rsidRDefault="00F95A23" w:rsidP="00F95A23">
          <w:pPr>
            <w:pStyle w:val="TOC3"/>
            <w:tabs>
              <w:tab w:val="right" w:leader="dot" w:pos="9016"/>
            </w:tabs>
            <w:rPr>
              <w:rFonts w:eastAsiaTheme="minorEastAsia"/>
              <w:noProof/>
              <w:sz w:val="24"/>
              <w:szCs w:val="24"/>
              <w:lang w:eastAsia="en-GB"/>
            </w:rPr>
          </w:pPr>
          <w:hyperlink w:anchor="_Toc180140610" w:history="1">
            <w:r w:rsidRPr="00397EEB">
              <w:rPr>
                <w:rStyle w:val="Hyperlink"/>
                <w:rFonts w:ascii="Arial" w:hAnsi="Arial" w:cs="Arial"/>
                <w:noProof/>
              </w:rPr>
              <w:t>Earning analysis</w:t>
            </w:r>
            <w:r>
              <w:rPr>
                <w:noProof/>
                <w:webHidden/>
              </w:rPr>
              <w:tab/>
            </w:r>
            <w:r>
              <w:rPr>
                <w:noProof/>
                <w:webHidden/>
              </w:rPr>
              <w:fldChar w:fldCharType="begin"/>
            </w:r>
            <w:r>
              <w:rPr>
                <w:noProof/>
                <w:webHidden/>
              </w:rPr>
              <w:instrText xml:space="preserve"> PAGEREF _Toc180140610 \h </w:instrText>
            </w:r>
            <w:r>
              <w:rPr>
                <w:noProof/>
                <w:webHidden/>
              </w:rPr>
            </w:r>
            <w:r>
              <w:rPr>
                <w:noProof/>
                <w:webHidden/>
              </w:rPr>
              <w:fldChar w:fldCharType="separate"/>
            </w:r>
            <w:r>
              <w:rPr>
                <w:noProof/>
                <w:webHidden/>
              </w:rPr>
              <w:t>8</w:t>
            </w:r>
            <w:r>
              <w:rPr>
                <w:noProof/>
                <w:webHidden/>
              </w:rPr>
              <w:fldChar w:fldCharType="end"/>
            </w:r>
          </w:hyperlink>
        </w:p>
        <w:p w14:paraId="377F33E4" w14:textId="77777777" w:rsidR="00F95A23" w:rsidRDefault="00F95A23" w:rsidP="00F95A23">
          <w:pPr>
            <w:pStyle w:val="TOC3"/>
            <w:tabs>
              <w:tab w:val="right" w:leader="dot" w:pos="9016"/>
            </w:tabs>
            <w:rPr>
              <w:rFonts w:eastAsiaTheme="minorEastAsia"/>
              <w:noProof/>
              <w:sz w:val="24"/>
              <w:szCs w:val="24"/>
              <w:lang w:eastAsia="en-GB"/>
            </w:rPr>
          </w:pPr>
          <w:hyperlink w:anchor="_Toc180140611" w:history="1">
            <w:r w:rsidRPr="00397EEB">
              <w:rPr>
                <w:rStyle w:val="Hyperlink"/>
                <w:rFonts w:ascii="Arial" w:hAnsi="Arial" w:cs="Arial"/>
                <w:noProof/>
              </w:rPr>
              <w:t>Profitability</w:t>
            </w:r>
            <w:r>
              <w:rPr>
                <w:noProof/>
                <w:webHidden/>
              </w:rPr>
              <w:tab/>
            </w:r>
            <w:r>
              <w:rPr>
                <w:noProof/>
                <w:webHidden/>
              </w:rPr>
              <w:fldChar w:fldCharType="begin"/>
            </w:r>
            <w:r>
              <w:rPr>
                <w:noProof/>
                <w:webHidden/>
              </w:rPr>
              <w:instrText xml:space="preserve"> PAGEREF _Toc180140611 \h </w:instrText>
            </w:r>
            <w:r>
              <w:rPr>
                <w:noProof/>
                <w:webHidden/>
              </w:rPr>
            </w:r>
            <w:r>
              <w:rPr>
                <w:noProof/>
                <w:webHidden/>
              </w:rPr>
              <w:fldChar w:fldCharType="separate"/>
            </w:r>
            <w:r>
              <w:rPr>
                <w:noProof/>
                <w:webHidden/>
              </w:rPr>
              <w:t>8</w:t>
            </w:r>
            <w:r>
              <w:rPr>
                <w:noProof/>
                <w:webHidden/>
              </w:rPr>
              <w:fldChar w:fldCharType="end"/>
            </w:r>
          </w:hyperlink>
        </w:p>
        <w:p w14:paraId="25F6932A" w14:textId="77777777" w:rsidR="00F95A23" w:rsidRDefault="00F95A23" w:rsidP="00F95A23">
          <w:pPr>
            <w:pStyle w:val="TOC3"/>
            <w:tabs>
              <w:tab w:val="right" w:leader="dot" w:pos="9016"/>
            </w:tabs>
            <w:rPr>
              <w:rFonts w:eastAsiaTheme="minorEastAsia"/>
              <w:noProof/>
              <w:sz w:val="24"/>
              <w:szCs w:val="24"/>
              <w:lang w:eastAsia="en-GB"/>
            </w:rPr>
          </w:pPr>
          <w:hyperlink w:anchor="_Toc180140612" w:history="1">
            <w:r w:rsidRPr="00397EEB">
              <w:rPr>
                <w:rStyle w:val="Hyperlink"/>
                <w:rFonts w:ascii="Arial" w:hAnsi="Arial" w:cs="Arial"/>
                <w:noProof/>
              </w:rPr>
              <w:t>Total Assets Liabilities</w:t>
            </w:r>
            <w:r>
              <w:rPr>
                <w:noProof/>
                <w:webHidden/>
              </w:rPr>
              <w:tab/>
            </w:r>
            <w:r>
              <w:rPr>
                <w:noProof/>
                <w:webHidden/>
              </w:rPr>
              <w:fldChar w:fldCharType="begin"/>
            </w:r>
            <w:r>
              <w:rPr>
                <w:noProof/>
                <w:webHidden/>
              </w:rPr>
              <w:instrText xml:space="preserve"> PAGEREF _Toc180140612 \h </w:instrText>
            </w:r>
            <w:r>
              <w:rPr>
                <w:noProof/>
                <w:webHidden/>
              </w:rPr>
            </w:r>
            <w:r>
              <w:rPr>
                <w:noProof/>
                <w:webHidden/>
              </w:rPr>
              <w:fldChar w:fldCharType="separate"/>
            </w:r>
            <w:r>
              <w:rPr>
                <w:noProof/>
                <w:webHidden/>
              </w:rPr>
              <w:t>9</w:t>
            </w:r>
            <w:r>
              <w:rPr>
                <w:noProof/>
                <w:webHidden/>
              </w:rPr>
              <w:fldChar w:fldCharType="end"/>
            </w:r>
          </w:hyperlink>
        </w:p>
        <w:p w14:paraId="7F787ADC" w14:textId="77777777" w:rsidR="00F95A23" w:rsidRDefault="00F95A23" w:rsidP="00F95A23">
          <w:pPr>
            <w:pStyle w:val="TOC3"/>
            <w:tabs>
              <w:tab w:val="right" w:leader="dot" w:pos="9016"/>
            </w:tabs>
            <w:rPr>
              <w:rFonts w:eastAsiaTheme="minorEastAsia"/>
              <w:noProof/>
              <w:sz w:val="24"/>
              <w:szCs w:val="24"/>
              <w:lang w:eastAsia="en-GB"/>
            </w:rPr>
          </w:pPr>
          <w:hyperlink w:anchor="_Toc180140613" w:history="1">
            <w:r w:rsidRPr="00397EEB">
              <w:rPr>
                <w:rStyle w:val="Hyperlink"/>
                <w:rFonts w:ascii="Arial" w:hAnsi="Arial" w:cs="Arial"/>
                <w:noProof/>
              </w:rPr>
              <w:t>Cash Position</w:t>
            </w:r>
            <w:r>
              <w:rPr>
                <w:noProof/>
                <w:webHidden/>
              </w:rPr>
              <w:tab/>
            </w:r>
            <w:r>
              <w:rPr>
                <w:noProof/>
                <w:webHidden/>
              </w:rPr>
              <w:fldChar w:fldCharType="begin"/>
            </w:r>
            <w:r>
              <w:rPr>
                <w:noProof/>
                <w:webHidden/>
              </w:rPr>
              <w:instrText xml:space="preserve"> PAGEREF _Toc180140613 \h </w:instrText>
            </w:r>
            <w:r>
              <w:rPr>
                <w:noProof/>
                <w:webHidden/>
              </w:rPr>
            </w:r>
            <w:r>
              <w:rPr>
                <w:noProof/>
                <w:webHidden/>
              </w:rPr>
              <w:fldChar w:fldCharType="separate"/>
            </w:r>
            <w:r>
              <w:rPr>
                <w:noProof/>
                <w:webHidden/>
              </w:rPr>
              <w:t>9</w:t>
            </w:r>
            <w:r>
              <w:rPr>
                <w:noProof/>
                <w:webHidden/>
              </w:rPr>
              <w:fldChar w:fldCharType="end"/>
            </w:r>
          </w:hyperlink>
        </w:p>
        <w:p w14:paraId="4C0E4A80" w14:textId="77777777" w:rsidR="00F95A23" w:rsidRDefault="00F95A23" w:rsidP="00F95A23">
          <w:pPr>
            <w:pStyle w:val="TOC3"/>
            <w:tabs>
              <w:tab w:val="right" w:leader="dot" w:pos="9016"/>
            </w:tabs>
            <w:rPr>
              <w:rFonts w:eastAsiaTheme="minorEastAsia"/>
              <w:noProof/>
              <w:sz w:val="24"/>
              <w:szCs w:val="24"/>
              <w:lang w:eastAsia="en-GB"/>
            </w:rPr>
          </w:pPr>
          <w:hyperlink w:anchor="_Toc180140614" w:history="1">
            <w:r w:rsidRPr="00397EEB">
              <w:rPr>
                <w:rStyle w:val="Hyperlink"/>
                <w:rFonts w:ascii="Arial" w:hAnsi="Arial" w:cs="Arial"/>
                <w:noProof/>
              </w:rPr>
              <w:t>Competitors Financial Performance</w:t>
            </w:r>
            <w:r>
              <w:rPr>
                <w:noProof/>
                <w:webHidden/>
              </w:rPr>
              <w:tab/>
            </w:r>
            <w:r>
              <w:rPr>
                <w:noProof/>
                <w:webHidden/>
              </w:rPr>
              <w:fldChar w:fldCharType="begin"/>
            </w:r>
            <w:r>
              <w:rPr>
                <w:noProof/>
                <w:webHidden/>
              </w:rPr>
              <w:instrText xml:space="preserve"> PAGEREF _Toc180140614 \h </w:instrText>
            </w:r>
            <w:r>
              <w:rPr>
                <w:noProof/>
                <w:webHidden/>
              </w:rPr>
            </w:r>
            <w:r>
              <w:rPr>
                <w:noProof/>
                <w:webHidden/>
              </w:rPr>
              <w:fldChar w:fldCharType="separate"/>
            </w:r>
            <w:r>
              <w:rPr>
                <w:noProof/>
                <w:webHidden/>
              </w:rPr>
              <w:t>9</w:t>
            </w:r>
            <w:r>
              <w:rPr>
                <w:noProof/>
                <w:webHidden/>
              </w:rPr>
              <w:fldChar w:fldCharType="end"/>
            </w:r>
          </w:hyperlink>
        </w:p>
        <w:p w14:paraId="5B4CDEA6" w14:textId="77777777" w:rsidR="00F95A23" w:rsidRDefault="00F95A23" w:rsidP="00F95A23">
          <w:pPr>
            <w:pStyle w:val="TOC1"/>
            <w:tabs>
              <w:tab w:val="right" w:leader="dot" w:pos="9016"/>
            </w:tabs>
            <w:rPr>
              <w:rFonts w:eastAsiaTheme="minorEastAsia"/>
              <w:b w:val="0"/>
              <w:bCs w:val="0"/>
              <w:i w:val="0"/>
              <w:iCs w:val="0"/>
              <w:noProof/>
              <w:lang w:eastAsia="en-GB"/>
            </w:rPr>
          </w:pPr>
          <w:hyperlink w:anchor="_Toc180140615" w:history="1">
            <w:r w:rsidRPr="00397EE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_Toc180140615 \h </w:instrText>
            </w:r>
            <w:r>
              <w:rPr>
                <w:noProof/>
                <w:webHidden/>
              </w:rPr>
            </w:r>
            <w:r>
              <w:rPr>
                <w:noProof/>
                <w:webHidden/>
              </w:rPr>
              <w:fldChar w:fldCharType="separate"/>
            </w:r>
            <w:r>
              <w:rPr>
                <w:noProof/>
                <w:webHidden/>
              </w:rPr>
              <w:t>10</w:t>
            </w:r>
            <w:r>
              <w:rPr>
                <w:noProof/>
                <w:webHidden/>
              </w:rPr>
              <w:fldChar w:fldCharType="end"/>
            </w:r>
          </w:hyperlink>
        </w:p>
        <w:p w14:paraId="2F067174" w14:textId="77777777" w:rsidR="00F95A23" w:rsidRDefault="00F95A23" w:rsidP="00F95A23">
          <w:pPr>
            <w:pStyle w:val="TOC1"/>
            <w:tabs>
              <w:tab w:val="right" w:leader="dot" w:pos="9016"/>
            </w:tabs>
            <w:rPr>
              <w:rFonts w:eastAsiaTheme="minorEastAsia"/>
              <w:b w:val="0"/>
              <w:bCs w:val="0"/>
              <w:i w:val="0"/>
              <w:iCs w:val="0"/>
              <w:noProof/>
              <w:lang w:eastAsia="en-GB"/>
            </w:rPr>
          </w:pPr>
          <w:hyperlink w:anchor="_Toc180140616" w:history="1">
            <w:r w:rsidRPr="00397EEB">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_Toc180140616 \h </w:instrText>
            </w:r>
            <w:r>
              <w:rPr>
                <w:noProof/>
                <w:webHidden/>
              </w:rPr>
            </w:r>
            <w:r>
              <w:rPr>
                <w:noProof/>
                <w:webHidden/>
              </w:rPr>
              <w:fldChar w:fldCharType="separate"/>
            </w:r>
            <w:r>
              <w:rPr>
                <w:noProof/>
                <w:webHidden/>
              </w:rPr>
              <w:t>10</w:t>
            </w:r>
            <w:r>
              <w:rPr>
                <w:noProof/>
                <w:webHidden/>
              </w:rPr>
              <w:fldChar w:fldCharType="end"/>
            </w:r>
          </w:hyperlink>
        </w:p>
        <w:p w14:paraId="253B3F3E" w14:textId="77777777" w:rsidR="00F95A23" w:rsidRDefault="00F95A23" w:rsidP="00F95A23">
          <w:pPr>
            <w:pStyle w:val="TOC1"/>
            <w:tabs>
              <w:tab w:val="right" w:leader="dot" w:pos="9016"/>
            </w:tabs>
            <w:rPr>
              <w:rFonts w:eastAsiaTheme="minorEastAsia"/>
              <w:b w:val="0"/>
              <w:bCs w:val="0"/>
              <w:i w:val="0"/>
              <w:iCs w:val="0"/>
              <w:noProof/>
              <w:lang w:eastAsia="en-GB"/>
            </w:rPr>
          </w:pPr>
          <w:hyperlink w:anchor="_Toc180140617" w:history="1">
            <w:r w:rsidRPr="00397EE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_Toc180140617 \h </w:instrText>
            </w:r>
            <w:r>
              <w:rPr>
                <w:noProof/>
                <w:webHidden/>
              </w:rPr>
            </w:r>
            <w:r>
              <w:rPr>
                <w:noProof/>
                <w:webHidden/>
              </w:rPr>
              <w:fldChar w:fldCharType="separate"/>
            </w:r>
            <w:r>
              <w:rPr>
                <w:noProof/>
                <w:webHidden/>
              </w:rPr>
              <w:t>11</w:t>
            </w:r>
            <w:r>
              <w:rPr>
                <w:noProof/>
                <w:webHidden/>
              </w:rPr>
              <w:fldChar w:fldCharType="end"/>
            </w:r>
          </w:hyperlink>
        </w:p>
        <w:p w14:paraId="6CF5E7AA" w14:textId="77777777" w:rsidR="00F95A23" w:rsidRDefault="00F95A23" w:rsidP="00F95A23">
          <w:r>
            <w:rPr>
              <w:b/>
              <w:bCs/>
              <w:noProof/>
            </w:rPr>
            <w:fldChar w:fldCharType="end"/>
          </w:r>
        </w:p>
      </w:sdtContent>
    </w:sdt>
    <w:p w14:paraId="29E673F0" w14:textId="77777777" w:rsidR="0092062B" w:rsidRDefault="0092062B" w:rsidP="0092062B">
      <w:pPr>
        <w:pStyle w:val="Heading1"/>
        <w:rPr>
          <w:rFonts w:ascii="Arial" w:hAnsi="Arial" w:cs="Arial"/>
          <w:b/>
          <w:bCs/>
          <w:color w:val="000000" w:themeColor="text1"/>
          <w:sz w:val="24"/>
          <w:szCs w:val="24"/>
        </w:rPr>
      </w:pPr>
    </w:p>
    <w:p w14:paraId="0D03C01F" w14:textId="77777777" w:rsidR="0092062B" w:rsidRDefault="0092062B" w:rsidP="0092062B">
      <w:pPr>
        <w:pStyle w:val="Heading1"/>
        <w:rPr>
          <w:rFonts w:ascii="Arial" w:hAnsi="Arial" w:cs="Arial"/>
          <w:b/>
          <w:bCs/>
          <w:color w:val="000000" w:themeColor="text1"/>
          <w:sz w:val="24"/>
          <w:szCs w:val="24"/>
        </w:rPr>
      </w:pPr>
    </w:p>
    <w:p w14:paraId="3F072A0A" w14:textId="77777777" w:rsidR="0092062B" w:rsidRDefault="0092062B" w:rsidP="0092062B">
      <w:pPr>
        <w:pStyle w:val="Heading1"/>
        <w:rPr>
          <w:rFonts w:ascii="Arial" w:hAnsi="Arial" w:cs="Arial"/>
          <w:b/>
          <w:bCs/>
          <w:color w:val="000000" w:themeColor="text1"/>
          <w:sz w:val="24"/>
          <w:szCs w:val="24"/>
        </w:rPr>
      </w:pPr>
    </w:p>
    <w:p w14:paraId="2F5529CD" w14:textId="77777777" w:rsidR="0092062B" w:rsidRDefault="0092062B" w:rsidP="0092062B">
      <w:pPr>
        <w:pStyle w:val="Heading1"/>
        <w:rPr>
          <w:rFonts w:ascii="Arial" w:hAnsi="Arial" w:cs="Arial"/>
          <w:b/>
          <w:bCs/>
          <w:color w:val="000000" w:themeColor="text1"/>
          <w:sz w:val="24"/>
          <w:szCs w:val="24"/>
        </w:rPr>
      </w:pPr>
    </w:p>
    <w:p w14:paraId="0E11F3E6" w14:textId="77777777" w:rsidR="0092062B" w:rsidRDefault="0092062B" w:rsidP="0092062B">
      <w:pPr>
        <w:pStyle w:val="Heading1"/>
        <w:rPr>
          <w:rFonts w:ascii="Arial" w:hAnsi="Arial" w:cs="Arial"/>
          <w:b/>
          <w:bCs/>
          <w:color w:val="000000" w:themeColor="text1"/>
          <w:sz w:val="24"/>
          <w:szCs w:val="24"/>
        </w:rPr>
      </w:pPr>
    </w:p>
    <w:p w14:paraId="0A85BDBC" w14:textId="77777777" w:rsidR="000C1AE2" w:rsidRPr="000C1AE2" w:rsidRDefault="000C1AE2" w:rsidP="000C1AE2"/>
    <w:p w14:paraId="71514431" w14:textId="11E5A4B9" w:rsidR="0092062B" w:rsidRPr="00AD5A13" w:rsidRDefault="0092062B" w:rsidP="0092062B">
      <w:pPr>
        <w:pStyle w:val="Heading1"/>
        <w:rPr>
          <w:rFonts w:ascii="Arial" w:hAnsi="Arial" w:cs="Arial"/>
          <w:b/>
          <w:bCs/>
          <w:sz w:val="24"/>
          <w:szCs w:val="24"/>
        </w:rPr>
      </w:pPr>
      <w:r w:rsidRPr="00AD5A13">
        <w:rPr>
          <w:rFonts w:ascii="Arial" w:hAnsi="Arial" w:cs="Arial"/>
          <w:b/>
          <w:bCs/>
          <w:color w:val="000000" w:themeColor="text1"/>
          <w:sz w:val="24"/>
          <w:szCs w:val="24"/>
        </w:rPr>
        <w:lastRenderedPageBreak/>
        <w:t>Introduction</w:t>
      </w:r>
    </w:p>
    <w:p w14:paraId="55B20722" w14:textId="77777777" w:rsidR="0092062B" w:rsidRPr="002440E7" w:rsidRDefault="0092062B" w:rsidP="0092062B">
      <w:pPr>
        <w:spacing w:line="360" w:lineRule="auto"/>
        <w:jc w:val="both"/>
        <w:rPr>
          <w:rFonts w:ascii="Arial" w:hAnsi="Arial" w:cs="Arial"/>
          <w:color w:val="000000" w:themeColor="text1"/>
        </w:rPr>
      </w:pPr>
      <w:r w:rsidRPr="002440E7">
        <w:rPr>
          <w:rFonts w:ascii="Arial" w:hAnsi="Arial" w:cs="Arial"/>
          <w:color w:val="000000" w:themeColor="text1"/>
        </w:rPr>
        <w:t>The hospitality industry includes accommodation, food and beverage, and travel, all aimed at enhancing guest experiences (Walker, 2021). Effective financial management is crucial, as it impacts profitability, efficiency, and strategic planning. By controlling costs and optimising resources, businesses can boost revenue while adapting to market trends and consumer preferences. (Drury, 2020) Sound financial practices are key for sustaining growth and competitiveness in this dynamic sector. (Guilding, 2014)</w:t>
      </w:r>
    </w:p>
    <w:p w14:paraId="29C87C98" w14:textId="77777777" w:rsidR="0092062B" w:rsidRPr="002440E7" w:rsidRDefault="0092062B" w:rsidP="0092062B">
      <w:pPr>
        <w:spacing w:line="360" w:lineRule="auto"/>
        <w:jc w:val="both"/>
        <w:rPr>
          <w:rFonts w:ascii="Arial" w:hAnsi="Arial" w:cs="Arial"/>
          <w:color w:val="000000" w:themeColor="text1"/>
        </w:rPr>
      </w:pPr>
      <w:r w:rsidRPr="002440E7">
        <w:rPr>
          <w:rFonts w:ascii="Arial" w:hAnsi="Arial" w:cs="Arial"/>
          <w:color w:val="000000" w:themeColor="text1"/>
        </w:rPr>
        <w:t>The Shangri-La Group, founded in 1971, is a global leader in luxury hospitality. With over 100 hotels worldwide, including brands like Shangri-La, Kerry, JEN, and Traders, it is known for Asian-inspired service excellence. Headquartered in Hong Kong, Shangri-La focuses on sustainability and exceptional guest experiences. (Shangri-La Group, 2024)</w:t>
      </w:r>
    </w:p>
    <w:p w14:paraId="0B609383" w14:textId="77777777" w:rsidR="0092062B" w:rsidRDefault="0092062B" w:rsidP="0092062B">
      <w:pPr>
        <w:spacing w:line="360" w:lineRule="auto"/>
        <w:jc w:val="both"/>
        <w:rPr>
          <w:rFonts w:ascii="Arial" w:hAnsi="Arial" w:cs="Arial"/>
          <w:color w:val="000000" w:themeColor="text1"/>
        </w:rPr>
      </w:pPr>
      <w:r w:rsidRPr="002440E7">
        <w:rPr>
          <w:rFonts w:ascii="Arial" w:hAnsi="Arial" w:cs="Arial"/>
          <w:color w:val="000000" w:themeColor="text1"/>
        </w:rPr>
        <w:t>Premier Inn, a popular UK hotel chain, offers great value, comfortable beds, and excellent service across over 800 locations. Their new "Next Evolution Style" rooms feature upgraded décor, modern amenities, and enhanced technology, providing a consistent and enjoyable stay for travellers, whether on a city break or family getaway. (Premier Inn, 2014)</w:t>
      </w:r>
    </w:p>
    <w:p w14:paraId="1F48CCA3" w14:textId="77777777" w:rsidR="00A65A4A" w:rsidRPr="00AD5A13" w:rsidRDefault="00A65A4A" w:rsidP="00A65A4A">
      <w:pPr>
        <w:pStyle w:val="Heading1"/>
        <w:rPr>
          <w:rFonts w:ascii="Arial" w:hAnsi="Arial" w:cs="Arial"/>
          <w:b/>
          <w:bCs/>
          <w:sz w:val="24"/>
          <w:szCs w:val="24"/>
        </w:rPr>
      </w:pPr>
      <w:bookmarkStart w:id="1" w:name="_Toc180140599"/>
      <w:r w:rsidRPr="00AD5A13">
        <w:rPr>
          <w:rFonts w:ascii="Arial" w:hAnsi="Arial" w:cs="Arial"/>
          <w:b/>
          <w:bCs/>
          <w:color w:val="000000" w:themeColor="text1"/>
          <w:sz w:val="24"/>
          <w:szCs w:val="24"/>
        </w:rPr>
        <w:t>Findings</w:t>
      </w:r>
      <w:bookmarkEnd w:id="1"/>
    </w:p>
    <w:p w14:paraId="46DF3C77" w14:textId="77777777" w:rsidR="00A65A4A" w:rsidRDefault="00A65A4A" w:rsidP="00A65A4A">
      <w:pPr>
        <w:pStyle w:val="Heading2"/>
        <w:rPr>
          <w:rFonts w:ascii="Arial" w:hAnsi="Arial" w:cs="Arial"/>
          <w:b/>
          <w:bCs/>
          <w:i/>
          <w:iCs/>
          <w:color w:val="000000" w:themeColor="text1"/>
          <w:sz w:val="24"/>
          <w:szCs w:val="24"/>
        </w:rPr>
      </w:pPr>
      <w:bookmarkStart w:id="2" w:name="_Toc180140600"/>
      <w:r w:rsidRPr="00784B3A">
        <w:rPr>
          <w:rFonts w:ascii="Arial" w:hAnsi="Arial" w:cs="Arial"/>
          <w:b/>
          <w:bCs/>
          <w:i/>
          <w:iCs/>
          <w:color w:val="000000" w:themeColor="text1"/>
          <w:sz w:val="24"/>
          <w:szCs w:val="24"/>
        </w:rPr>
        <w:t>Shangri-La Hotels and Competitors</w:t>
      </w:r>
      <w:bookmarkEnd w:id="2"/>
    </w:p>
    <w:p w14:paraId="1C25ADB6" w14:textId="77777777" w:rsidR="004D3C67" w:rsidRPr="004D3C67" w:rsidRDefault="004D3C67" w:rsidP="004D3C67"/>
    <w:p w14:paraId="7D1F845B"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Shangri-La Hotels, a renowned luxury brand generates its revenue primarily from room bookings, food and beverage services and ancillary offerings like spa treatments and events. According to their 2022 financial statements, the group reported a revenue of E 1.33 billion, up from 1.13 billion in 2021, indicating a 17.7% growth. This upward trend reflects the company’s recovery post-pandemic, capitalising on increased travel demand. Shangri-La’s revenue growth highlights its strong presence in key markets like Asia-Pacific, where it dominates the luxury segment. (Shangri-La Group, 2024)</w:t>
      </w:r>
    </w:p>
    <w:p w14:paraId="3D25A32D"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 xml:space="preserve">However, Shangri-La faces competition from other major luxury hotel brands like Four Seasons, Mandarin Oriental, and The Ritz-Carlton. For example, Four Seasons reported a significant recovery in 2022, with $1.7 billion in revenue, showcasing its strong brand appeal and diversified market presence in luxury hospitality. (Four Seasons, 2023) Mandarin Oriental, another strong competitor, generated $1.25 billion </w:t>
      </w:r>
      <w:r w:rsidRPr="002440E7">
        <w:rPr>
          <w:rFonts w:ascii="Arial" w:hAnsi="Arial" w:cs="Arial"/>
          <w:color w:val="000000" w:themeColor="text1"/>
        </w:rPr>
        <w:lastRenderedPageBreak/>
        <w:t>in 2022, with a focus on providing unique luxury experiences and expanding its portfolio in the Asia-Pacific region. (Mandarin Oriental, 2024) Both brands pose substantial competition to Shangri-La in terms of offering high-end, personalised services.</w:t>
      </w:r>
    </w:p>
    <w:p w14:paraId="67F1C299" w14:textId="77777777" w:rsidR="00A65A4A" w:rsidRPr="00784B3A" w:rsidRDefault="00A65A4A" w:rsidP="00A65A4A">
      <w:pPr>
        <w:pStyle w:val="Heading3"/>
        <w:rPr>
          <w:rFonts w:ascii="Arial" w:hAnsi="Arial" w:cs="Arial"/>
          <w:i/>
          <w:iCs/>
        </w:rPr>
      </w:pPr>
      <w:bookmarkStart w:id="3" w:name="_Toc180140601"/>
      <w:r w:rsidRPr="00784B3A">
        <w:rPr>
          <w:rFonts w:ascii="Arial" w:hAnsi="Arial" w:cs="Arial"/>
          <w:i/>
          <w:iCs/>
          <w:color w:val="000000" w:themeColor="text1"/>
        </w:rPr>
        <w:t>Revenue Analysis</w:t>
      </w:r>
      <w:bookmarkEnd w:id="3"/>
    </w:p>
    <w:p w14:paraId="40C34BD6"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Shangri-La’s €1.33 billion revenue in 2022 indicates strong market performance, driven by its focus on premium services. The 17.7% increase from the previous year shows a robust rebound. In comparison, Four Seasons' $1.7 billion revenue demonstrates its dominance in the luxury market, with a significant presence in North America and Europe. (Four Seasons, 2017) Meanwhile, Mandarin Oriental, with its $1.25 billion revenue, continues to expand its influence, particularly in Asia and the Middle East. (Mandarin Oriental, 2024) Both competitors are capitalising on the resumption of travel and luxury tourism, like Shangri-La. (Atrill &amp; McLaney, 2009)</w:t>
      </w:r>
    </w:p>
    <w:p w14:paraId="1F412BEF" w14:textId="77777777" w:rsidR="00A65A4A" w:rsidRPr="00784B3A" w:rsidRDefault="00A65A4A" w:rsidP="00A65A4A">
      <w:pPr>
        <w:pStyle w:val="Heading3"/>
        <w:rPr>
          <w:rFonts w:ascii="Arial" w:hAnsi="Arial" w:cs="Arial"/>
          <w:i/>
          <w:iCs/>
        </w:rPr>
      </w:pPr>
      <w:bookmarkStart w:id="4" w:name="_Toc180140602"/>
      <w:r w:rsidRPr="00784B3A">
        <w:rPr>
          <w:rFonts w:ascii="Arial" w:hAnsi="Arial" w:cs="Arial"/>
          <w:i/>
          <w:iCs/>
          <w:color w:val="000000" w:themeColor="text1"/>
        </w:rPr>
        <w:t>Earning Analysis</w:t>
      </w:r>
      <w:bookmarkEnd w:id="4"/>
    </w:p>
    <w:p w14:paraId="223F257A"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Despite revenue growth, Shangri-La's earnings have not followed the same upward trend. In 2022, the company reported earnings of €0.16 billion, marking a 51.13% decrease compared to the previous year’s -€0.33 billion. This decline in profitability highlights the challenges Shangri-La faces in controlling operational costs. (Shukla &amp; Elias, 2023)</w:t>
      </w:r>
    </w:p>
    <w:p w14:paraId="6B8D6EE4"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By contrast, Four Seasons and Mandarin Oriental have managed their costs more effectively. Four Seasons’ adjusted earnings for 2022 were approximately $0.3 billion, reflecting better cost management, particularly in the North American and European markets. (Four Seasons, 2017) Mandarin Oriental, though slightly behind, reported earnings of $0.18 billion, showing gradual recovery after the pandemic. (Mandarin Oriental, 2024), (Guilding, 2014)</w:t>
      </w:r>
    </w:p>
    <w:p w14:paraId="5E280550" w14:textId="77777777" w:rsidR="00A65A4A" w:rsidRPr="00784B3A" w:rsidRDefault="00A65A4A" w:rsidP="00A65A4A">
      <w:pPr>
        <w:pStyle w:val="Heading3"/>
        <w:rPr>
          <w:rFonts w:ascii="Arial" w:hAnsi="Arial" w:cs="Arial"/>
          <w:i/>
          <w:iCs/>
        </w:rPr>
      </w:pPr>
      <w:bookmarkStart w:id="5" w:name="_Toc180140603"/>
      <w:r w:rsidRPr="00784B3A">
        <w:rPr>
          <w:rFonts w:ascii="Arial" w:hAnsi="Arial" w:cs="Arial"/>
          <w:i/>
          <w:iCs/>
          <w:color w:val="000000" w:themeColor="text1"/>
        </w:rPr>
        <w:t>Total assets and liabilities</w:t>
      </w:r>
      <w:bookmarkEnd w:id="5"/>
    </w:p>
    <w:p w14:paraId="4060C32D"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Shangri-La’s total assets as of December 2023 amounted to €11.74 billion, with liabilities of €6.74 billion, resulting in net assets of €5 billion. Its debt level of €5.71 billion remains substantial but manageable given its asset base. (Drury, 2020) In comparison, The Ritz-Carlton, a part of Marriott International, reported total assets of approximately $12 billion, with a lower debt-to-equity ratio, signalling stronger financial health relative to Shangri-La. (Marriott International, 2023) Both Four Seasons and Mandarin Oriental maintain high asset levels with net assets of $10.5 billion and $9 billion, respectively, reflecting their strong financial positions. (Mandarin Oriental, 2024)</w:t>
      </w:r>
    </w:p>
    <w:p w14:paraId="5B2C6B84" w14:textId="77777777" w:rsidR="00A65A4A" w:rsidRPr="00784B3A" w:rsidRDefault="00A65A4A" w:rsidP="00A65A4A">
      <w:pPr>
        <w:pStyle w:val="Heading3"/>
        <w:rPr>
          <w:rFonts w:ascii="Arial" w:hAnsi="Arial" w:cs="Arial"/>
          <w:i/>
          <w:iCs/>
        </w:rPr>
      </w:pPr>
      <w:bookmarkStart w:id="6" w:name="_Toc180140604"/>
      <w:r w:rsidRPr="00784B3A">
        <w:rPr>
          <w:rFonts w:ascii="Arial" w:hAnsi="Arial" w:cs="Arial"/>
          <w:i/>
          <w:iCs/>
          <w:color w:val="000000" w:themeColor="text1"/>
        </w:rPr>
        <w:lastRenderedPageBreak/>
        <w:t>Cash Position</w:t>
      </w:r>
      <w:bookmarkEnd w:id="6"/>
    </w:p>
    <w:p w14:paraId="52257C72"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Shangri-La’s cash on hand as of December 2023 was €0.89 billion, which provides a comfortable buffer for operational needs and potential investments. This healthy cash position is crucial for managing day-to-day expenses and capitalizing on growth opportunities. (Walker, 2021) In comparison, Four Seasons reported a cash position of $1.2 billion, giving it an edge in terms of liquidity, (Four Seasons, 2017) while Mandarin Oriental holds $0.85 billion, allowing for sufficient operational flexibility. (Mandarin Oriental, 2024)</w:t>
      </w:r>
    </w:p>
    <w:p w14:paraId="032404EC" w14:textId="77777777" w:rsidR="00A65A4A" w:rsidRPr="00784B3A" w:rsidRDefault="00A65A4A" w:rsidP="00A65A4A">
      <w:pPr>
        <w:pStyle w:val="Heading3"/>
        <w:rPr>
          <w:rFonts w:ascii="Arial" w:hAnsi="Arial" w:cs="Arial"/>
          <w:i/>
          <w:iCs/>
        </w:rPr>
      </w:pPr>
      <w:bookmarkStart w:id="7" w:name="_Toc180140605"/>
      <w:r w:rsidRPr="00784B3A">
        <w:rPr>
          <w:rFonts w:ascii="Arial" w:hAnsi="Arial" w:cs="Arial"/>
          <w:i/>
          <w:iCs/>
          <w:color w:val="000000" w:themeColor="text1"/>
        </w:rPr>
        <w:t>Competitors Revenue Growth</w:t>
      </w:r>
      <w:bookmarkEnd w:id="7"/>
    </w:p>
    <w:p w14:paraId="17DD8D9B"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Comparing Shangri-La’s performance with competitors highlights key differences in their growth trajectories. Four Seasons, with its $1.7 billion revenue, outpaced Shangri-La’s growth, driven by its aggressive expansion in Europe and North America. The Ritz-Carlton, with a similar focus on luxury clientele, saw revenues increase by 18% in 2022, with a strong presence in the Middle East and Asia. (Marriott International, 2023) (The Ritz-Carlton, 2023) (Ritz-Carlton Hotel Company, 2023) Mandarin Oriental, while slightly behind in revenue, has focused on growing its presence in the Middle East and Southeast Asia, (Mandarin Oriental, 2024) similar to Shangri-La.</w:t>
      </w:r>
    </w:p>
    <w:p w14:paraId="298E2BCF" w14:textId="77777777" w:rsidR="00A65A4A" w:rsidRPr="00784B3A" w:rsidRDefault="00A65A4A" w:rsidP="00A65A4A">
      <w:pPr>
        <w:pStyle w:val="Heading3"/>
        <w:rPr>
          <w:rFonts w:ascii="Arial" w:hAnsi="Arial" w:cs="Arial"/>
          <w:i/>
          <w:iCs/>
        </w:rPr>
      </w:pPr>
      <w:bookmarkStart w:id="8" w:name="_Toc180140606"/>
      <w:r w:rsidRPr="00784B3A">
        <w:rPr>
          <w:rFonts w:ascii="Arial" w:hAnsi="Arial" w:cs="Arial"/>
          <w:i/>
          <w:iCs/>
          <w:color w:val="000000" w:themeColor="text1"/>
        </w:rPr>
        <w:t>Profitability comparison</w:t>
      </w:r>
      <w:bookmarkEnd w:id="8"/>
    </w:p>
    <w:p w14:paraId="4E336D07"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Shangri-La’s 51.13% drop in profitability stands in stark contrast to competitors like Four Seasons, which managed to maintain a steady profit margin due to its stronger control over operating costs and better recovery in key markets like the U.S. and Europe. The Ritz-Carlton’s profitability increased by 22%, largely driven by demand in its luxury resorts and business travel segments. (Host Hotels &amp; Resorts, 2023) (The Ritz-Carlton Sarasota Resort, 2023) Mandarin Oriental reported a moderate increase in profit, owing to its focus on niche luxury experiences and maintaining a lower-cost operational structure (Mandarin Oriental, 2024) compared to Shangri-La.</w:t>
      </w:r>
    </w:p>
    <w:p w14:paraId="25EA94AA" w14:textId="77777777" w:rsidR="00A65A4A" w:rsidRPr="00784B3A" w:rsidRDefault="00A65A4A" w:rsidP="00A65A4A">
      <w:pPr>
        <w:pStyle w:val="Heading3"/>
        <w:rPr>
          <w:rFonts w:ascii="Arial" w:hAnsi="Arial" w:cs="Arial"/>
          <w:i/>
          <w:iCs/>
        </w:rPr>
      </w:pPr>
      <w:bookmarkStart w:id="9" w:name="_Toc180140607"/>
      <w:r w:rsidRPr="00784B3A">
        <w:rPr>
          <w:rFonts w:ascii="Arial" w:hAnsi="Arial" w:cs="Arial"/>
          <w:i/>
          <w:iCs/>
          <w:color w:val="000000" w:themeColor="text1"/>
        </w:rPr>
        <w:t>Growth Potential</w:t>
      </w:r>
      <w:bookmarkEnd w:id="9"/>
    </w:p>
    <w:p w14:paraId="3355FF8C"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 xml:space="preserve">Shangri-La Hotels has strategically focused on expanding in luxury markets and high-growth regions such as China, Southeast Asia, and the Middle East. With the rising demand for luxury tourism in these regions, Shangri-La’s expansion plans target affluent travellers and business clients, particularly in markets like Dubai, Beijing, and Singapore, where luxury and business travel are booming. (Shangri-La Group, 2024) The brand continues to leverage its luxury positioning and capitalise on the growing </w:t>
      </w:r>
      <w:r w:rsidRPr="002440E7">
        <w:rPr>
          <w:rFonts w:ascii="Arial" w:hAnsi="Arial" w:cs="Arial"/>
          <w:color w:val="000000" w:themeColor="text1"/>
        </w:rPr>
        <w:lastRenderedPageBreak/>
        <w:t>wealth in Asia-Pacific, making it well-positioned to benefit from the increased demand for premium hospitality services.</w:t>
      </w:r>
    </w:p>
    <w:p w14:paraId="053963C5" w14:textId="77777777" w:rsidR="00A65A4A" w:rsidRPr="002440E7" w:rsidRDefault="00A65A4A" w:rsidP="00A65A4A">
      <w:pPr>
        <w:spacing w:line="360" w:lineRule="auto"/>
        <w:jc w:val="both"/>
        <w:rPr>
          <w:rFonts w:ascii="Arial" w:hAnsi="Arial" w:cs="Arial"/>
          <w:color w:val="000000" w:themeColor="text1"/>
        </w:rPr>
      </w:pPr>
      <w:r w:rsidRPr="002440E7">
        <w:rPr>
          <w:rFonts w:ascii="Arial" w:hAnsi="Arial" w:cs="Arial"/>
          <w:color w:val="000000" w:themeColor="text1"/>
        </w:rPr>
        <w:t>However, growth barriers exist, including global economic fluctuations, which could impact discretionary spending on luxury travel. Additionally, geopolitical factors, such as trade tensions and political instability in key regions, can pose risks to expansion plans. Market saturation in the luxury sector, especially in cities with a high density of premium hotels, may also limit Shangri-La’s growth in certain locations. Moreover, as sustainability becomes a critical factor in hospitality, Shangri-La may need to strengthen its efforts to address growing customer expectations around environmental responsibility. (Guilding, 2014)</w:t>
      </w:r>
    </w:p>
    <w:p w14:paraId="59F7C3F9" w14:textId="77777777" w:rsidR="00DD5E96" w:rsidRDefault="00DD5E96" w:rsidP="00DD5E96">
      <w:pPr>
        <w:pStyle w:val="Heading2"/>
        <w:rPr>
          <w:rFonts w:ascii="Arial" w:hAnsi="Arial" w:cs="Arial"/>
          <w:b/>
          <w:bCs/>
          <w:i/>
          <w:iCs/>
          <w:color w:val="000000" w:themeColor="text1"/>
          <w:sz w:val="24"/>
          <w:szCs w:val="24"/>
        </w:rPr>
      </w:pPr>
      <w:bookmarkStart w:id="10" w:name="_Toc180140608"/>
      <w:r w:rsidRPr="00784B3A">
        <w:rPr>
          <w:rFonts w:ascii="Arial" w:hAnsi="Arial" w:cs="Arial"/>
          <w:b/>
          <w:bCs/>
          <w:i/>
          <w:iCs/>
          <w:color w:val="000000" w:themeColor="text1"/>
          <w:sz w:val="24"/>
          <w:szCs w:val="24"/>
        </w:rPr>
        <w:t>Premier Inn Hotels Competitors</w:t>
      </w:r>
      <w:bookmarkEnd w:id="10"/>
    </w:p>
    <w:p w14:paraId="68E0B55E" w14:textId="77777777" w:rsidR="004D3C67" w:rsidRPr="004D3C67" w:rsidRDefault="004D3C67" w:rsidP="004D3C67"/>
    <w:p w14:paraId="11260977"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 owned by Whitbread PLC, operates in the mid-market and budget accommodation sector. Its revenue primarily comes from room sales, supplemented by food and beverage services through attached restaurants. In FY23, Premier Inn experienced a substantial recovery, with total revenue reaching £2.625 billion, a significant 54% increase from £1.703 billion in FY22. (Whitbread, 2023) This strong rebound reflects the company's effective operational strategies and resilience in the face of a challenging economic environment.</w:t>
      </w:r>
    </w:p>
    <w:p w14:paraId="7B45E42E"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 competes with other key players in the mid-market and budget segments, including Travelodge and Holiday Inn Express.</w:t>
      </w:r>
    </w:p>
    <w:p w14:paraId="434FC3A1"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Travelodge, one of its primary competitors, reported £908 million in revenue for 2022, showing similar recovery trends driven by a return to pre-pandemic levels of business and leisure travel. (Travelodge Corporate, 2024) (Travelodge, 2023) Holiday Inn Express, part of the InterContinental Hotels Group, generated £1.5 billion in revenue in 2022, benefitting from its widespread presence in both city and airport locations. (Holiday Inn Express, 2024) (IHG, 2023) These competitors also focus on efficient cost management targeting business travellers and budget-conscious tourists like Premier Inn’s strategy.</w:t>
      </w:r>
    </w:p>
    <w:p w14:paraId="6610C855" w14:textId="77777777" w:rsidR="00DD5E96" w:rsidRPr="00784B3A" w:rsidRDefault="00DD5E96" w:rsidP="00DD5E96">
      <w:pPr>
        <w:pStyle w:val="Heading3"/>
        <w:rPr>
          <w:rFonts w:ascii="Arial" w:hAnsi="Arial" w:cs="Arial"/>
          <w:i/>
          <w:iCs/>
        </w:rPr>
      </w:pPr>
      <w:bookmarkStart w:id="11" w:name="_Toc180140609"/>
      <w:r w:rsidRPr="00784B3A">
        <w:rPr>
          <w:rFonts w:ascii="Arial" w:hAnsi="Arial" w:cs="Arial"/>
          <w:i/>
          <w:iCs/>
          <w:color w:val="000000" w:themeColor="text1"/>
        </w:rPr>
        <w:t>Revenue Analysis</w:t>
      </w:r>
      <w:bookmarkEnd w:id="11"/>
    </w:p>
    <w:p w14:paraId="2CE264B5"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 xml:space="preserve">Premier Inn’s 54% revenue increase from FY22 to FY23 signifies a robust recovery from the COVID-19 pandemic, returning to pre-pandemic levels. In comparison, </w:t>
      </w:r>
      <w:r w:rsidRPr="002440E7">
        <w:rPr>
          <w:rFonts w:ascii="Arial" w:hAnsi="Arial" w:cs="Arial"/>
          <w:color w:val="000000" w:themeColor="text1"/>
        </w:rPr>
        <w:lastRenderedPageBreak/>
        <w:t>Travelodge experienced a revenue growth of 42%, reflecting a similar trend of recovery, though on a smaller scale than Premier Inn. (Travelodge, 2024) (Travelodge, 2023) Holiday Inn Express, benefiting from its international network and broader market appeal, reported a 36% increase in revenue during the same period. (IHG, 2023)</w:t>
      </w:r>
    </w:p>
    <w:p w14:paraId="043E48F4"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Inn's revenue growth was driven primarily by its strong presence in the UK market, with an emphasis on affordable accommodations for both leisure and business travellers. By contrast, Holiday Inn Express capitalised on its broader geographic reach, particularly in North America and Europe. (Holiday Inn Express, 2024)</w:t>
      </w:r>
    </w:p>
    <w:p w14:paraId="648159E8"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While Travelodge remains a significant competitor in the UK, Premier Inn continues to outperform due to its larger market share and better brand recognition. (Barnard et al., 2020)</w:t>
      </w:r>
    </w:p>
    <w:p w14:paraId="51630BFF" w14:textId="77777777" w:rsidR="00DD5E96" w:rsidRPr="00784B3A" w:rsidRDefault="00DD5E96" w:rsidP="00DD5E96">
      <w:pPr>
        <w:pStyle w:val="Heading3"/>
        <w:rPr>
          <w:rFonts w:ascii="Arial" w:hAnsi="Arial" w:cs="Arial"/>
          <w:i/>
          <w:iCs/>
        </w:rPr>
      </w:pPr>
      <w:bookmarkStart w:id="12" w:name="_Toc180140610"/>
      <w:r w:rsidRPr="00784B3A">
        <w:rPr>
          <w:rFonts w:ascii="Arial" w:hAnsi="Arial" w:cs="Arial"/>
          <w:i/>
          <w:iCs/>
          <w:color w:val="000000" w:themeColor="text1"/>
        </w:rPr>
        <w:t>Earning analysis</w:t>
      </w:r>
      <w:bookmarkEnd w:id="12"/>
    </w:p>
    <w:p w14:paraId="5FD012FF"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Inn's profitability also improved significantly in FY23. Adjusted EBITDAR (Earnings Before Interest, Taxes, Depreciation, Amortisation, and Rent) increased by 88%, from £473 million in FY22 to £888 million in FY23. (Whitbread, 2023) This sharp rise reflects improved operational efficiency and effective cost management amid rising inflation. (Winfield et al., 2021)</w:t>
      </w:r>
    </w:p>
    <w:p w14:paraId="4C75A6EA"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In comparison, Travelodge’s EBITDAR increased by 50%, reaching £350 million in 2022, reflecting steady recovery efforts. (Travelodge, 2024) However, Premier Inn's larger scale and focus on cost efficiency programs gave it a clear advantage. Holiday Inn Express reported a 48% increase in EBITDAR to £650 million in 2022, benefiting from its global presence and streamlined operations. (IHG, 2023)</w:t>
      </w:r>
    </w:p>
    <w:p w14:paraId="58913686" w14:textId="77777777" w:rsidR="00DD5E96" w:rsidRPr="00784B3A" w:rsidRDefault="00DD5E96" w:rsidP="00DD5E96">
      <w:pPr>
        <w:pStyle w:val="Heading3"/>
        <w:rPr>
          <w:rFonts w:ascii="Arial" w:hAnsi="Arial" w:cs="Arial"/>
          <w:i/>
          <w:iCs/>
        </w:rPr>
      </w:pPr>
      <w:bookmarkStart w:id="13" w:name="_Toc180140611"/>
      <w:r w:rsidRPr="00784B3A">
        <w:rPr>
          <w:rFonts w:ascii="Arial" w:hAnsi="Arial" w:cs="Arial"/>
          <w:i/>
          <w:iCs/>
          <w:color w:val="000000" w:themeColor="text1"/>
        </w:rPr>
        <w:t>Profitability</w:t>
      </w:r>
      <w:bookmarkEnd w:id="13"/>
    </w:p>
    <w:p w14:paraId="55E59283"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 experienced a remarkable turnaround in profitability, transitioning from a loss of £16 million in FY22 to a profit of £413 million in FY23. (Whitbread, 2023) This recovery, driven by a focus on operational efficiency and strong room occupancy rates, illustrates the company's resilience and strategic adaptability. Travelodge, although profitable, reported a more modest profit of £100 million, reflecting its smaller scale and fewer cost control mechanisms. (Travelodge, 2024)</w:t>
      </w:r>
    </w:p>
    <w:p w14:paraId="633291A4"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 xml:space="preserve">Holiday Inn Express saw a 44% increase in profitability, with net earnings of £320 million in 2022. Premier Inn’s ability to generate significantly higher profits relative to </w:t>
      </w:r>
      <w:r w:rsidRPr="002440E7">
        <w:rPr>
          <w:rFonts w:ascii="Arial" w:hAnsi="Arial" w:cs="Arial"/>
          <w:color w:val="000000" w:themeColor="text1"/>
        </w:rPr>
        <w:lastRenderedPageBreak/>
        <w:t>its budget hotel competitors highlights its success in managing inflationary pressures and maintaining customer loyalty. (Holiday Inn Express, 2024) (Whitbread, 2023)</w:t>
      </w:r>
    </w:p>
    <w:p w14:paraId="260A298E" w14:textId="77777777" w:rsidR="00DD5E96" w:rsidRPr="00784B3A" w:rsidRDefault="00DD5E96" w:rsidP="00DD5E96">
      <w:pPr>
        <w:pStyle w:val="Heading3"/>
        <w:rPr>
          <w:rFonts w:ascii="Arial" w:hAnsi="Arial" w:cs="Arial"/>
          <w:i/>
          <w:iCs/>
        </w:rPr>
      </w:pPr>
      <w:bookmarkStart w:id="14" w:name="_Toc180140612"/>
      <w:r w:rsidRPr="00784B3A">
        <w:rPr>
          <w:rFonts w:ascii="Arial" w:hAnsi="Arial" w:cs="Arial"/>
          <w:i/>
          <w:iCs/>
          <w:color w:val="000000" w:themeColor="text1"/>
        </w:rPr>
        <w:t>Total Assets Liabilities</w:t>
      </w:r>
      <w:bookmarkEnd w:id="14"/>
    </w:p>
    <w:p w14:paraId="6EE8F26B"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As of financial year 2023, Premier Inn's total assets amounted to £5.5 billion, with liabilities of £3.5 billion, resulting in net assets of £2 billion. Although the company holds significant debt, its financial stability is reinforced by its large asset base. (Drury, 2020) Travelodge reported total assets of £2.1 billion, with liabilities of £1.5 billion, indicating a smaller scale of operations compared to Premier Inn. (Travelodge, 2024) Holiday Inn Express, as part of IHG, has a much larger asset base, with £10 billion in assets and £4 billion in liabilities, reflecting its extensive global operations. (IHG, 2023)</w:t>
      </w:r>
    </w:p>
    <w:p w14:paraId="79A8D7CC" w14:textId="77777777" w:rsidR="00DD5E96" w:rsidRPr="00784B3A" w:rsidRDefault="00DD5E96" w:rsidP="00DD5E96">
      <w:pPr>
        <w:pStyle w:val="Heading3"/>
        <w:rPr>
          <w:rFonts w:ascii="Arial" w:hAnsi="Arial" w:cs="Arial"/>
          <w:i/>
          <w:iCs/>
        </w:rPr>
      </w:pPr>
      <w:bookmarkStart w:id="15" w:name="_Toc180140613"/>
      <w:r w:rsidRPr="00784B3A">
        <w:rPr>
          <w:rFonts w:ascii="Arial" w:hAnsi="Arial" w:cs="Arial"/>
          <w:i/>
          <w:iCs/>
          <w:color w:val="000000" w:themeColor="text1"/>
        </w:rPr>
        <w:t>Cash Position</w:t>
      </w:r>
      <w:bookmarkEnd w:id="15"/>
    </w:p>
    <w:p w14:paraId="5D6BA0B9"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Inn’s cash position improved in financial year 2023 with net cash increasing to £171 million, up from £141 million in FY22. This increase in liquidity positions the company well for managing operational costs and pursuing growth opportunities. (Whitbread, 2023) Travelodge reported a cash position of £75 million, reflecting its smaller financial footprint, while Holiday Inn Express, with its global scale, had a stronger cash position of £300 million. (IHG, 2023)</w:t>
      </w:r>
    </w:p>
    <w:p w14:paraId="0501BD8A"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Inn’s stronger cash position relative to Travelodge allows it more flexibility in traversing economic uncertainty and capitalising on expansion opportunities.</w:t>
      </w:r>
    </w:p>
    <w:p w14:paraId="2ED112ED" w14:textId="77777777" w:rsidR="00DD5E96" w:rsidRPr="00784B3A" w:rsidRDefault="00DD5E96" w:rsidP="00DD5E96">
      <w:pPr>
        <w:pStyle w:val="Heading3"/>
        <w:rPr>
          <w:rFonts w:ascii="Arial" w:hAnsi="Arial" w:cs="Arial"/>
          <w:i/>
          <w:iCs/>
        </w:rPr>
      </w:pPr>
      <w:bookmarkStart w:id="16" w:name="_Toc180140614"/>
      <w:r w:rsidRPr="00784B3A">
        <w:rPr>
          <w:rFonts w:ascii="Arial" w:hAnsi="Arial" w:cs="Arial"/>
          <w:i/>
          <w:iCs/>
          <w:color w:val="000000" w:themeColor="text1"/>
        </w:rPr>
        <w:t>Competitors Financial Performance</w:t>
      </w:r>
      <w:bookmarkEnd w:id="16"/>
    </w:p>
    <w:p w14:paraId="25CFE5FE"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In comparison to competitors, Premier Inn’s revenue and profitability growth in FY23 outpaced Travelodge and Holiday Inn Express. While Travelodge showed steady recovery, its smaller market presence and scale of operations limited its financial performance relative to Premier Inn. Holiday Inn Express, despite its larger international footprint, saw slower growth in profitability, reflecting the challenges of managing a global network in an inflationary environment. (Whitbread, 2023), (IHG, 2023), (Travelodge, 2024)</w:t>
      </w:r>
    </w:p>
    <w:p w14:paraId="33B6F739"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 xml:space="preserve">Premier Inn Hotels has successfully expanded its presence through strategic dominance in the UK, leveraging its budget-friendly model. Internationally, Premier Inn focuses on Europe and the Middle East, entering key markets with careful expansion strategies. The use of a franchise model and partnerships enhances its ability to scale while maintaining brand consistency. Market opportunities such as the rise in domestic </w:t>
      </w:r>
      <w:r w:rsidRPr="002440E7">
        <w:rPr>
          <w:rFonts w:ascii="Arial" w:hAnsi="Arial" w:cs="Arial"/>
          <w:color w:val="000000" w:themeColor="text1"/>
        </w:rPr>
        <w:lastRenderedPageBreak/>
        <w:t>tourism, accelerated by the COVID-19 pandemic and technological advancements like digital check-ins present significant growth potential for Premier Inn. (Drury, 2020) These innovations help the brand remain competitive in an evolving hospitality landscape.</w:t>
      </w:r>
    </w:p>
    <w:p w14:paraId="0D371728" w14:textId="77777777" w:rsidR="00DD5E96" w:rsidRPr="00746D24" w:rsidRDefault="00DD5E96" w:rsidP="00DD5E96">
      <w:pPr>
        <w:pStyle w:val="Heading1"/>
        <w:rPr>
          <w:rFonts w:ascii="Arial" w:hAnsi="Arial" w:cs="Arial"/>
          <w:b/>
          <w:bCs/>
          <w:sz w:val="24"/>
          <w:szCs w:val="24"/>
        </w:rPr>
      </w:pPr>
      <w:bookmarkStart w:id="17" w:name="_Toc180140615"/>
      <w:r w:rsidRPr="00746D24">
        <w:rPr>
          <w:rFonts w:ascii="Arial" w:hAnsi="Arial" w:cs="Arial"/>
          <w:b/>
          <w:bCs/>
          <w:color w:val="000000" w:themeColor="text1"/>
          <w:sz w:val="24"/>
          <w:szCs w:val="24"/>
        </w:rPr>
        <w:t>Conclusion</w:t>
      </w:r>
      <w:bookmarkEnd w:id="17"/>
    </w:p>
    <w:p w14:paraId="15801E05"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Shangri-La and Premier Inn cater to opposite ends of the hospitality market Shangri-La focusing on luxury and personalized service, while Premier Inn emphasizes affordability and convenience. Shangri-La's global luxury presence contrasts with Premier Inn’s dominance in the UK budget sector and its international expansion. Both brands have growth opportunities, such as domestic tourism for Premier Inn and luxury travel recovery for Shangri-La, reflecting their distinct strategies in the evolving hospitality landscape. (Gallagher &amp; Mohan, 2024) While Shangri-La excels in luxury market expansion, it faces profitability challenges, whereas Premier Inn’s strong financial recovery and market leadership in the UK budget sector place it in a solid position for future growth and expansion.</w:t>
      </w:r>
    </w:p>
    <w:p w14:paraId="6F0C5A0A" w14:textId="77777777" w:rsidR="00DD5E96" w:rsidRPr="00746D24" w:rsidRDefault="00DD5E96" w:rsidP="00DD5E96">
      <w:pPr>
        <w:pStyle w:val="Heading1"/>
        <w:rPr>
          <w:rFonts w:ascii="Arial" w:hAnsi="Arial" w:cs="Arial"/>
          <w:b/>
          <w:bCs/>
          <w:sz w:val="24"/>
          <w:szCs w:val="24"/>
        </w:rPr>
      </w:pPr>
      <w:bookmarkStart w:id="18" w:name="_Toc180140616"/>
      <w:r w:rsidRPr="00746D24">
        <w:rPr>
          <w:rFonts w:ascii="Arial" w:hAnsi="Arial" w:cs="Arial"/>
          <w:b/>
          <w:bCs/>
          <w:color w:val="000000" w:themeColor="text1"/>
          <w:sz w:val="24"/>
          <w:szCs w:val="24"/>
        </w:rPr>
        <w:t>Recommendations</w:t>
      </w:r>
      <w:bookmarkEnd w:id="18"/>
    </w:p>
    <w:p w14:paraId="47E722A0"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For Shangri-La Hotels, expanding in high-growth markets such as India and Latin America can capitalize on the rising demand for luxury travel. Strengthening local partnerships and enhancing digital marketing strategies will boost brand visibility and market share.</w:t>
      </w:r>
    </w:p>
    <w:p w14:paraId="09282AAC" w14:textId="77777777" w:rsidR="00DD5E96" w:rsidRPr="002440E7" w:rsidRDefault="00DD5E96" w:rsidP="00DD5E96">
      <w:pPr>
        <w:spacing w:line="360" w:lineRule="auto"/>
        <w:jc w:val="both"/>
        <w:rPr>
          <w:rFonts w:ascii="Arial" w:hAnsi="Arial" w:cs="Arial"/>
          <w:color w:val="000000" w:themeColor="text1"/>
        </w:rPr>
      </w:pPr>
      <w:r w:rsidRPr="002440E7">
        <w:rPr>
          <w:rFonts w:ascii="Arial" w:hAnsi="Arial" w:cs="Arial"/>
          <w:color w:val="000000" w:themeColor="text1"/>
        </w:rPr>
        <w:t>Premier Inn should diversify its revenue by expanding food and beverage services and exploring partnerships with local attractions and corporate event venues. Enhancing customer loyalty programs and investing in digital guest experience platforms will help differentiate the brand in the competitive mid-market segment, ensuring continued growth and customer retention. These strategic moves can position both brands for long-term success.</w:t>
      </w:r>
    </w:p>
    <w:p w14:paraId="64F9B417" w14:textId="77777777" w:rsidR="00DD5E96" w:rsidRPr="002440E7" w:rsidRDefault="00DD5E96" w:rsidP="00DD5E96">
      <w:pPr>
        <w:spacing w:line="360" w:lineRule="auto"/>
        <w:jc w:val="both"/>
        <w:rPr>
          <w:rFonts w:ascii="Arial" w:hAnsi="Arial" w:cs="Arial"/>
          <w:color w:val="000000" w:themeColor="text1"/>
        </w:rPr>
      </w:pPr>
    </w:p>
    <w:p w14:paraId="5A7ECB9E" w14:textId="77777777" w:rsidR="00DD5E96" w:rsidRPr="002440E7" w:rsidRDefault="00DD5E96" w:rsidP="00DD5E96">
      <w:pPr>
        <w:spacing w:line="360" w:lineRule="auto"/>
        <w:jc w:val="both"/>
        <w:rPr>
          <w:rFonts w:ascii="Arial" w:hAnsi="Arial" w:cs="Arial"/>
          <w:color w:val="000000" w:themeColor="text1"/>
        </w:rPr>
      </w:pPr>
    </w:p>
    <w:p w14:paraId="4D565081" w14:textId="77777777" w:rsidR="00DD5E96" w:rsidRPr="002440E7" w:rsidRDefault="00DD5E96" w:rsidP="00DD5E96">
      <w:pPr>
        <w:spacing w:line="360" w:lineRule="auto"/>
        <w:jc w:val="both"/>
        <w:rPr>
          <w:rFonts w:ascii="Arial" w:hAnsi="Arial" w:cs="Arial"/>
          <w:color w:val="000000" w:themeColor="text1"/>
        </w:rPr>
      </w:pPr>
    </w:p>
    <w:p w14:paraId="035B321E" w14:textId="77777777" w:rsidR="00DD5E96" w:rsidRPr="002440E7" w:rsidRDefault="00DD5E96" w:rsidP="00DD5E96">
      <w:pPr>
        <w:spacing w:line="360" w:lineRule="auto"/>
        <w:jc w:val="both"/>
        <w:rPr>
          <w:rFonts w:ascii="Arial" w:hAnsi="Arial" w:cs="Arial"/>
          <w:color w:val="000000" w:themeColor="text1"/>
        </w:rPr>
      </w:pPr>
    </w:p>
    <w:p w14:paraId="5C9E66CA" w14:textId="77777777" w:rsidR="00DD5E96" w:rsidRPr="002440E7" w:rsidRDefault="00DD5E96" w:rsidP="00DD5E96">
      <w:pPr>
        <w:spacing w:line="360" w:lineRule="auto"/>
        <w:jc w:val="both"/>
        <w:rPr>
          <w:rFonts w:ascii="Arial" w:hAnsi="Arial" w:cs="Arial"/>
          <w:color w:val="000000" w:themeColor="text1"/>
        </w:rPr>
      </w:pPr>
    </w:p>
    <w:p w14:paraId="452621FF" w14:textId="77777777" w:rsidR="00DD5E96" w:rsidRPr="00746D24" w:rsidRDefault="00DD5E96" w:rsidP="00DD5E96">
      <w:pPr>
        <w:pStyle w:val="Heading1"/>
        <w:rPr>
          <w:rFonts w:ascii="Arial" w:hAnsi="Arial" w:cs="Arial"/>
          <w:b/>
          <w:bCs/>
          <w:sz w:val="24"/>
          <w:szCs w:val="24"/>
        </w:rPr>
      </w:pPr>
      <w:bookmarkStart w:id="19" w:name="_Toc180140617"/>
      <w:r w:rsidRPr="00746D24">
        <w:rPr>
          <w:rFonts w:ascii="Arial" w:hAnsi="Arial" w:cs="Arial"/>
          <w:b/>
          <w:bCs/>
          <w:color w:val="000000" w:themeColor="text1"/>
          <w:sz w:val="24"/>
          <w:szCs w:val="24"/>
        </w:rPr>
        <w:t>References</w:t>
      </w:r>
      <w:bookmarkEnd w:id="19"/>
    </w:p>
    <w:p w14:paraId="62F30CBA"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Atrill, P. and McLaney, E. (2009) </w:t>
      </w:r>
      <w:r w:rsidRPr="002A21B3">
        <w:rPr>
          <w:rFonts w:ascii="Arial" w:hAnsi="Arial" w:cs="Arial"/>
          <w:i/>
          <w:iCs/>
          <w:color w:val="000000" w:themeColor="text1"/>
        </w:rPr>
        <w:t>Management accounting for decision makers</w:t>
      </w:r>
      <w:r w:rsidRPr="002A21B3">
        <w:rPr>
          <w:rFonts w:ascii="Arial" w:hAnsi="Arial" w:cs="Arial"/>
          <w:color w:val="000000" w:themeColor="text1"/>
        </w:rPr>
        <w:t>. Pearson. Harlow, England, UK: Financial Times/Prentice Hall.</w:t>
      </w:r>
    </w:p>
    <w:p w14:paraId="213C144A"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Barnard, F.L. </w:t>
      </w:r>
      <w:r w:rsidRPr="002A21B3">
        <w:rPr>
          <w:rFonts w:ascii="Arial" w:hAnsi="Arial" w:cs="Arial"/>
          <w:i/>
          <w:iCs/>
          <w:color w:val="000000" w:themeColor="text1"/>
        </w:rPr>
        <w:t>et al.</w:t>
      </w:r>
      <w:r w:rsidRPr="002A21B3">
        <w:rPr>
          <w:rFonts w:ascii="Arial" w:hAnsi="Arial" w:cs="Arial"/>
          <w:color w:val="000000" w:themeColor="text1"/>
        </w:rPr>
        <w:t> (2020) ‘Understanding financial statements’, </w:t>
      </w:r>
      <w:r w:rsidRPr="002A21B3">
        <w:rPr>
          <w:rFonts w:ascii="Arial" w:hAnsi="Arial" w:cs="Arial"/>
          <w:i/>
          <w:iCs/>
          <w:color w:val="000000" w:themeColor="text1"/>
        </w:rPr>
        <w:t>Agribusiness Management</w:t>
      </w:r>
      <w:r w:rsidRPr="002A21B3">
        <w:rPr>
          <w:rFonts w:ascii="Arial" w:hAnsi="Arial" w:cs="Arial"/>
          <w:color w:val="000000" w:themeColor="text1"/>
        </w:rPr>
        <w:t>, pp. 225–257. doi:10.4324/9780429324420-13.</w:t>
      </w:r>
    </w:p>
    <w:p w14:paraId="18E310C2"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Crespí-Cladera, R., Martín-Oliver, A. and Pascual-Fuster, B. (2021) ‘Financial distress in the hospitality industry during the COVID-19 disaster’, </w:t>
      </w:r>
      <w:r w:rsidRPr="002A21B3">
        <w:rPr>
          <w:rFonts w:ascii="Arial" w:hAnsi="Arial" w:cs="Arial"/>
          <w:i/>
          <w:iCs/>
          <w:color w:val="000000" w:themeColor="text1"/>
        </w:rPr>
        <w:t>Tourism Management</w:t>
      </w:r>
      <w:r w:rsidRPr="002A21B3">
        <w:rPr>
          <w:rFonts w:ascii="Arial" w:hAnsi="Arial" w:cs="Arial"/>
          <w:color w:val="000000" w:themeColor="text1"/>
        </w:rPr>
        <w:t>, 85, p. 104301. doi:10.1016/j.tourman.2021.104301.</w:t>
      </w:r>
    </w:p>
    <w:p w14:paraId="5A06ACF4"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Drury, C. (2020) </w:t>
      </w:r>
      <w:r w:rsidRPr="002A21B3">
        <w:rPr>
          <w:rFonts w:ascii="Arial" w:hAnsi="Arial" w:cs="Arial"/>
          <w:i/>
          <w:iCs/>
          <w:color w:val="000000" w:themeColor="text1"/>
        </w:rPr>
        <w:t>Management and cost accounting</w:t>
      </w:r>
      <w:r w:rsidRPr="002A21B3">
        <w:rPr>
          <w:rFonts w:ascii="Arial" w:hAnsi="Arial" w:cs="Arial"/>
          <w:color w:val="000000" w:themeColor="text1"/>
        </w:rPr>
        <w:t>. 11th ed. Andover, Hampshire, UK: Cengage Learning.</w:t>
      </w:r>
    </w:p>
    <w:p w14:paraId="4D25FB9C" w14:textId="22C5579F" w:rsidR="00DD5E96" w:rsidRPr="002A21B3" w:rsidRDefault="00DD5E96" w:rsidP="00DD5E96">
      <w:pPr>
        <w:spacing w:line="360" w:lineRule="auto"/>
        <w:jc w:val="both"/>
        <w:rPr>
          <w:rFonts w:ascii="Arial" w:hAnsi="Arial" w:cs="Arial"/>
          <w:color w:val="000000" w:themeColor="text1"/>
        </w:rPr>
      </w:pPr>
      <w:r w:rsidRPr="00212C66">
        <w:rPr>
          <w:rFonts w:ascii="Arial" w:hAnsi="Arial" w:cs="Arial"/>
          <w:color w:val="000000" w:themeColor="text1"/>
        </w:rPr>
        <w:t>Four Seasons (2017) </w:t>
      </w:r>
      <w:r w:rsidRPr="00212C66">
        <w:rPr>
          <w:rFonts w:ascii="Arial" w:hAnsi="Arial" w:cs="Arial"/>
          <w:i/>
          <w:iCs/>
          <w:color w:val="000000" w:themeColor="text1"/>
        </w:rPr>
        <w:t>Annual reports</w:t>
      </w:r>
      <w:r w:rsidRPr="00212C66">
        <w:rPr>
          <w:rFonts w:ascii="Arial" w:hAnsi="Arial" w:cs="Arial"/>
          <w:color w:val="000000" w:themeColor="text1"/>
        </w:rPr>
        <w:t>, </w:t>
      </w:r>
      <w:r w:rsidRPr="00212C66">
        <w:rPr>
          <w:rFonts w:ascii="Arial" w:hAnsi="Arial" w:cs="Arial"/>
          <w:i/>
          <w:iCs/>
          <w:color w:val="000000" w:themeColor="text1"/>
        </w:rPr>
        <w:t>Four Seasons Education Investor Room</w:t>
      </w:r>
      <w:r w:rsidRPr="00212C66">
        <w:rPr>
          <w:rFonts w:ascii="Arial" w:hAnsi="Arial" w:cs="Arial"/>
          <w:color w:val="000000" w:themeColor="text1"/>
        </w:rPr>
        <w:t>. Available at: https://ir.sijiedu.com/annual-reports (Accessed: 0</w:t>
      </w:r>
      <w:r w:rsidR="00000899">
        <w:rPr>
          <w:rFonts w:ascii="Arial" w:hAnsi="Arial" w:cs="Arial"/>
          <w:color w:val="000000" w:themeColor="text1"/>
        </w:rPr>
        <w:t>5</w:t>
      </w:r>
      <w:r w:rsidRPr="00212C66">
        <w:rPr>
          <w:rFonts w:ascii="Arial" w:hAnsi="Arial" w:cs="Arial"/>
          <w:color w:val="000000" w:themeColor="text1"/>
        </w:rPr>
        <w:t xml:space="preserve"> October 2024).</w:t>
      </w:r>
    </w:p>
    <w:p w14:paraId="453269E3" w14:textId="77777777" w:rsidR="00DD5E96" w:rsidRPr="002A21B3" w:rsidRDefault="00DD5E96" w:rsidP="00DD5E96">
      <w:pPr>
        <w:spacing w:line="360" w:lineRule="auto"/>
        <w:jc w:val="both"/>
        <w:rPr>
          <w:rFonts w:ascii="Arial" w:hAnsi="Arial" w:cs="Arial"/>
          <w:color w:val="000000" w:themeColor="text1"/>
        </w:rPr>
      </w:pPr>
      <w:r w:rsidRPr="00526A77">
        <w:rPr>
          <w:rFonts w:ascii="Arial" w:hAnsi="Arial" w:cs="Arial"/>
          <w:color w:val="000000" w:themeColor="text1"/>
        </w:rPr>
        <w:t>Gallagher and Mohan (2024) </w:t>
      </w:r>
      <w:r w:rsidRPr="002A21B3">
        <w:rPr>
          <w:rFonts w:ascii="Arial" w:hAnsi="Arial" w:cs="Arial"/>
          <w:i/>
          <w:iCs/>
          <w:color w:val="000000" w:themeColor="text1"/>
        </w:rPr>
        <w:t>Unravelling</w:t>
      </w:r>
      <w:r w:rsidRPr="00526A77">
        <w:rPr>
          <w:rFonts w:ascii="Arial" w:hAnsi="Arial" w:cs="Arial"/>
          <w:i/>
          <w:iCs/>
          <w:color w:val="000000" w:themeColor="text1"/>
        </w:rPr>
        <w:t xml:space="preserve"> the Numbers: A Guide to Hotel Financial Analysis</w:t>
      </w:r>
      <w:r w:rsidRPr="00526A77">
        <w:rPr>
          <w:rFonts w:ascii="Arial" w:hAnsi="Arial" w:cs="Arial"/>
          <w:color w:val="000000" w:themeColor="text1"/>
        </w:rPr>
        <w:t>, </w:t>
      </w:r>
      <w:r w:rsidRPr="002A21B3">
        <w:rPr>
          <w:rFonts w:ascii="Arial" w:hAnsi="Arial" w:cs="Arial"/>
          <w:i/>
          <w:iCs/>
          <w:color w:val="000000" w:themeColor="text1"/>
        </w:rPr>
        <w:t>Unravelling</w:t>
      </w:r>
      <w:r w:rsidRPr="00526A77">
        <w:rPr>
          <w:rFonts w:ascii="Arial" w:hAnsi="Arial" w:cs="Arial"/>
          <w:i/>
          <w:iCs/>
          <w:color w:val="000000" w:themeColor="text1"/>
        </w:rPr>
        <w:t xml:space="preserve"> the numbers: A guide to hotel financial analysis</w:t>
      </w:r>
      <w:r w:rsidRPr="00526A77">
        <w:rPr>
          <w:rFonts w:ascii="Arial" w:hAnsi="Arial" w:cs="Arial"/>
          <w:color w:val="000000" w:themeColor="text1"/>
        </w:rPr>
        <w:t>. Available at: https://gallaghermohan.com/blogs/unraveling-the-numbers-a-guide-to-hotel-financial-analysis/ (Accessed: 08 October 2024).</w:t>
      </w:r>
    </w:p>
    <w:p w14:paraId="3A14F79E"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Guilding, C. (2014) </w:t>
      </w:r>
      <w:r w:rsidRPr="002A21B3">
        <w:rPr>
          <w:rFonts w:ascii="Arial" w:hAnsi="Arial" w:cs="Arial"/>
          <w:i/>
          <w:iCs/>
          <w:color w:val="000000" w:themeColor="text1"/>
        </w:rPr>
        <w:t>Accounting essentials for hospitality managers</w:t>
      </w:r>
      <w:r w:rsidRPr="002A21B3">
        <w:rPr>
          <w:rFonts w:ascii="Arial" w:hAnsi="Arial" w:cs="Arial"/>
          <w:color w:val="000000" w:themeColor="text1"/>
        </w:rPr>
        <w:t>. 3rd ed. London, UK: Routledge.</w:t>
      </w:r>
    </w:p>
    <w:p w14:paraId="516C2D2F" w14:textId="392BD2D9" w:rsidR="00DD5E96" w:rsidRPr="002A21B3" w:rsidRDefault="00DD5E96" w:rsidP="00DD5E96">
      <w:pPr>
        <w:spacing w:line="360" w:lineRule="auto"/>
        <w:jc w:val="both"/>
        <w:rPr>
          <w:rFonts w:ascii="Arial" w:hAnsi="Arial" w:cs="Arial"/>
          <w:color w:val="000000" w:themeColor="text1"/>
        </w:rPr>
      </w:pPr>
      <w:r w:rsidRPr="00BA142D">
        <w:rPr>
          <w:rFonts w:ascii="Arial" w:hAnsi="Arial" w:cs="Arial"/>
          <w:color w:val="000000" w:themeColor="text1"/>
        </w:rPr>
        <w:t>Holiday Inn Express (2024) </w:t>
      </w:r>
      <w:r w:rsidRPr="00BA142D">
        <w:rPr>
          <w:rFonts w:ascii="Arial" w:hAnsi="Arial" w:cs="Arial"/>
          <w:i/>
          <w:iCs/>
          <w:color w:val="000000" w:themeColor="text1"/>
        </w:rPr>
        <w:t>Holiday Inn Express®: Book Affordable Hotels Worldwide: Official site</w:t>
      </w:r>
      <w:r w:rsidRPr="00BA142D">
        <w:rPr>
          <w:rFonts w:ascii="Arial" w:hAnsi="Arial" w:cs="Arial"/>
          <w:color w:val="000000" w:themeColor="text1"/>
        </w:rPr>
        <w:t>, </w:t>
      </w:r>
      <w:r w:rsidRPr="00BA142D">
        <w:rPr>
          <w:rFonts w:ascii="Arial" w:hAnsi="Arial" w:cs="Arial"/>
          <w:i/>
          <w:iCs/>
          <w:color w:val="000000" w:themeColor="text1"/>
        </w:rPr>
        <w:t>IHG</w:t>
      </w:r>
      <w:r w:rsidRPr="00BA142D">
        <w:rPr>
          <w:rFonts w:ascii="Arial" w:hAnsi="Arial" w:cs="Arial"/>
          <w:color w:val="000000" w:themeColor="text1"/>
        </w:rPr>
        <w:t>. Available at: https://www.holidayinnexpress.com/hotels/us/en/reservation (Accessed: 1</w:t>
      </w:r>
      <w:r w:rsidR="00000899">
        <w:rPr>
          <w:rFonts w:ascii="Arial" w:hAnsi="Arial" w:cs="Arial"/>
          <w:color w:val="000000" w:themeColor="text1"/>
        </w:rPr>
        <w:t>6</w:t>
      </w:r>
      <w:r w:rsidRPr="00BA142D">
        <w:rPr>
          <w:rFonts w:ascii="Arial" w:hAnsi="Arial" w:cs="Arial"/>
          <w:color w:val="000000" w:themeColor="text1"/>
        </w:rPr>
        <w:t xml:space="preserve"> October 2024).</w:t>
      </w:r>
    </w:p>
    <w:p w14:paraId="3E0E342C" w14:textId="77777777" w:rsidR="00DD5E96" w:rsidRPr="002A21B3" w:rsidRDefault="00DD5E96" w:rsidP="00DD5E96">
      <w:pPr>
        <w:spacing w:line="360" w:lineRule="auto"/>
        <w:jc w:val="both"/>
        <w:rPr>
          <w:rFonts w:ascii="Arial" w:hAnsi="Arial" w:cs="Arial"/>
          <w:color w:val="000000" w:themeColor="text1"/>
        </w:rPr>
      </w:pPr>
      <w:r w:rsidRPr="00A0129D">
        <w:rPr>
          <w:rFonts w:ascii="Arial" w:hAnsi="Arial" w:cs="Arial"/>
          <w:color w:val="000000" w:themeColor="text1"/>
        </w:rPr>
        <w:t>Host Hotels &amp; Resorts (2023) </w:t>
      </w:r>
      <w:r w:rsidRPr="00A0129D">
        <w:rPr>
          <w:rFonts w:ascii="Arial" w:hAnsi="Arial" w:cs="Arial"/>
          <w:i/>
          <w:iCs/>
          <w:color w:val="000000" w:themeColor="text1"/>
        </w:rPr>
        <w:t>2023 annual report</w:t>
      </w:r>
      <w:r w:rsidRPr="00A0129D">
        <w:rPr>
          <w:rFonts w:ascii="Arial" w:hAnsi="Arial" w:cs="Arial"/>
          <w:color w:val="000000" w:themeColor="text1"/>
        </w:rPr>
        <w:t>, </w:t>
      </w:r>
      <w:r w:rsidRPr="00A0129D">
        <w:rPr>
          <w:rFonts w:ascii="Arial" w:hAnsi="Arial" w:cs="Arial"/>
          <w:i/>
          <w:iCs/>
          <w:color w:val="000000" w:themeColor="text1"/>
        </w:rPr>
        <w:t>Host Hotels &amp; Resorts</w:t>
      </w:r>
      <w:r w:rsidRPr="00A0129D">
        <w:rPr>
          <w:rFonts w:ascii="Arial" w:hAnsi="Arial" w:cs="Arial"/>
          <w:color w:val="000000" w:themeColor="text1"/>
        </w:rPr>
        <w:t>. Available at: https://www.hosthotels.com/-/media/HostHotels/Files/DownloadLinksAssets/Annual-Reports/Host_Hotels_Resorts_Inc_2023_Annual_Report.pdf (Accessed: 09 October 2024).</w:t>
      </w:r>
    </w:p>
    <w:p w14:paraId="41F45C7E" w14:textId="4FBB9457" w:rsidR="00DD5E96" w:rsidRPr="002A21B3" w:rsidRDefault="00DD5E96" w:rsidP="00DD5E96">
      <w:pPr>
        <w:spacing w:line="360" w:lineRule="auto"/>
        <w:jc w:val="both"/>
        <w:rPr>
          <w:rFonts w:ascii="Arial" w:hAnsi="Arial" w:cs="Arial"/>
          <w:color w:val="000000" w:themeColor="text1"/>
        </w:rPr>
      </w:pPr>
      <w:r w:rsidRPr="00BA142D">
        <w:rPr>
          <w:rFonts w:ascii="Arial" w:hAnsi="Arial" w:cs="Arial"/>
          <w:color w:val="000000" w:themeColor="text1"/>
        </w:rPr>
        <w:lastRenderedPageBreak/>
        <w:t>IHG (2023) </w:t>
      </w:r>
      <w:r w:rsidRPr="00BA142D">
        <w:rPr>
          <w:rFonts w:ascii="Arial" w:hAnsi="Arial" w:cs="Arial"/>
          <w:i/>
          <w:iCs/>
          <w:color w:val="000000" w:themeColor="text1"/>
        </w:rPr>
        <w:t xml:space="preserve">IHG Plc Full Year Results to 31 </w:t>
      </w:r>
      <w:r w:rsidRPr="002A21B3">
        <w:rPr>
          <w:rFonts w:ascii="Arial" w:hAnsi="Arial" w:cs="Arial"/>
          <w:i/>
          <w:iCs/>
          <w:color w:val="000000" w:themeColor="text1"/>
        </w:rPr>
        <w:t>December</w:t>
      </w:r>
      <w:r w:rsidRPr="00BA142D">
        <w:rPr>
          <w:rFonts w:ascii="Arial" w:hAnsi="Arial" w:cs="Arial"/>
          <w:i/>
          <w:iCs/>
          <w:color w:val="000000" w:themeColor="text1"/>
        </w:rPr>
        <w:t xml:space="preserve"> 2022</w:t>
      </w:r>
      <w:r w:rsidRPr="00BA142D">
        <w:rPr>
          <w:rFonts w:ascii="Arial" w:hAnsi="Arial" w:cs="Arial"/>
          <w:color w:val="000000" w:themeColor="text1"/>
        </w:rPr>
        <w:t>, </w:t>
      </w:r>
      <w:r w:rsidRPr="00BA142D">
        <w:rPr>
          <w:rFonts w:ascii="Arial" w:hAnsi="Arial" w:cs="Arial"/>
          <w:i/>
          <w:iCs/>
          <w:color w:val="000000" w:themeColor="text1"/>
        </w:rPr>
        <w:t>IHG Hotels &amp; Resorts</w:t>
      </w:r>
      <w:r w:rsidRPr="00BA142D">
        <w:rPr>
          <w:rFonts w:ascii="Arial" w:hAnsi="Arial" w:cs="Arial"/>
          <w:color w:val="000000" w:themeColor="text1"/>
        </w:rPr>
        <w:t>. Available at: https://www.ihgplc.com/~/media/Files/I/Ihg-Plc/results/2023/full-year-2022/full-year-results-for-the-year-to-31-dec-2022.pdf (Accessed: 1</w:t>
      </w:r>
      <w:r w:rsidR="00000899">
        <w:rPr>
          <w:rFonts w:ascii="Arial" w:hAnsi="Arial" w:cs="Arial"/>
          <w:color w:val="000000" w:themeColor="text1"/>
        </w:rPr>
        <w:t>7</w:t>
      </w:r>
      <w:r w:rsidRPr="00BA142D">
        <w:rPr>
          <w:rFonts w:ascii="Arial" w:hAnsi="Arial" w:cs="Arial"/>
          <w:color w:val="000000" w:themeColor="text1"/>
        </w:rPr>
        <w:t xml:space="preserve"> October 2024).</w:t>
      </w:r>
    </w:p>
    <w:p w14:paraId="568D25D0"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Kolesnikova, T. (2022) </w:t>
      </w:r>
      <w:r w:rsidRPr="002A21B3">
        <w:rPr>
          <w:rFonts w:ascii="Arial" w:hAnsi="Arial" w:cs="Arial"/>
          <w:i/>
          <w:iCs/>
          <w:color w:val="000000" w:themeColor="text1"/>
        </w:rPr>
        <w:t>Shangri-La Hotel Assignment and competitor analysis</w:t>
      </w:r>
      <w:r w:rsidRPr="002A21B3">
        <w:rPr>
          <w:rFonts w:ascii="Arial" w:hAnsi="Arial" w:cs="Arial"/>
          <w:color w:val="000000" w:themeColor="text1"/>
        </w:rPr>
        <w:t>, </w:t>
      </w:r>
      <w:r w:rsidRPr="002A21B3">
        <w:rPr>
          <w:rFonts w:ascii="Arial" w:hAnsi="Arial" w:cs="Arial"/>
          <w:i/>
          <w:iCs/>
          <w:color w:val="000000" w:themeColor="text1"/>
        </w:rPr>
        <w:t>Study Bay</w:t>
      </w:r>
      <w:r w:rsidRPr="002A21B3">
        <w:rPr>
          <w:rFonts w:ascii="Arial" w:hAnsi="Arial" w:cs="Arial"/>
          <w:color w:val="000000" w:themeColor="text1"/>
        </w:rPr>
        <w:t>. Available at: https://studybay.com/blog/shangri-la-hotel-competition-and-business-analysis/ (Accessed: 04 October 2024).</w:t>
      </w:r>
    </w:p>
    <w:p w14:paraId="7FF086CF" w14:textId="77777777" w:rsidR="00DD5E96" w:rsidRPr="002A21B3" w:rsidRDefault="00DD5E96" w:rsidP="00DD5E96">
      <w:pPr>
        <w:spacing w:line="360" w:lineRule="auto"/>
        <w:jc w:val="both"/>
        <w:rPr>
          <w:rFonts w:ascii="Arial" w:hAnsi="Arial" w:cs="Arial"/>
          <w:color w:val="000000" w:themeColor="text1"/>
        </w:rPr>
      </w:pPr>
      <w:r w:rsidRPr="007B4F70">
        <w:rPr>
          <w:rFonts w:ascii="Arial" w:hAnsi="Arial" w:cs="Arial"/>
          <w:color w:val="000000" w:themeColor="text1"/>
        </w:rPr>
        <w:t>Mandarin</w:t>
      </w:r>
      <w:r w:rsidRPr="002A21B3">
        <w:rPr>
          <w:rFonts w:ascii="Arial" w:hAnsi="Arial" w:cs="Arial"/>
          <w:color w:val="000000" w:themeColor="text1"/>
        </w:rPr>
        <w:t xml:space="preserve"> </w:t>
      </w:r>
      <w:r w:rsidRPr="007B4F70">
        <w:rPr>
          <w:rFonts w:ascii="Arial" w:hAnsi="Arial" w:cs="Arial"/>
          <w:color w:val="000000" w:themeColor="text1"/>
        </w:rPr>
        <w:t>Oriental (2024) </w:t>
      </w:r>
      <w:r w:rsidRPr="007B4F70">
        <w:rPr>
          <w:rFonts w:ascii="Arial" w:hAnsi="Arial" w:cs="Arial"/>
          <w:i/>
          <w:iCs/>
          <w:color w:val="000000" w:themeColor="text1"/>
        </w:rPr>
        <w:t>Financial reports</w:t>
      </w:r>
      <w:r w:rsidRPr="007B4F70">
        <w:rPr>
          <w:rFonts w:ascii="Arial" w:hAnsi="Arial" w:cs="Arial"/>
          <w:color w:val="000000" w:themeColor="text1"/>
        </w:rPr>
        <w:t>, </w:t>
      </w:r>
      <w:r w:rsidRPr="007B4F70">
        <w:rPr>
          <w:rFonts w:ascii="Arial" w:hAnsi="Arial" w:cs="Arial"/>
          <w:i/>
          <w:iCs/>
          <w:color w:val="000000" w:themeColor="text1"/>
        </w:rPr>
        <w:t>Luxury 5 Star Hotels &amp; Resorts Worldwide</w:t>
      </w:r>
      <w:r w:rsidRPr="007B4F70">
        <w:rPr>
          <w:rFonts w:ascii="Arial" w:hAnsi="Arial" w:cs="Arial"/>
          <w:color w:val="000000" w:themeColor="text1"/>
        </w:rPr>
        <w:t>. Available at: https://www.mandarinoriental.com/en/investors/financial-reports (Accessed: 7 October 2024).</w:t>
      </w:r>
    </w:p>
    <w:p w14:paraId="4970A2C4" w14:textId="77777777" w:rsidR="00DD5E96" w:rsidRPr="002A21B3" w:rsidRDefault="00DD5E96" w:rsidP="00DD5E96">
      <w:pPr>
        <w:spacing w:line="360" w:lineRule="auto"/>
        <w:jc w:val="both"/>
        <w:rPr>
          <w:rFonts w:ascii="Arial" w:hAnsi="Arial" w:cs="Arial"/>
          <w:color w:val="000000" w:themeColor="text1"/>
        </w:rPr>
      </w:pPr>
      <w:r w:rsidRPr="00F63F82">
        <w:rPr>
          <w:rFonts w:ascii="Arial" w:hAnsi="Arial" w:cs="Arial"/>
          <w:color w:val="000000" w:themeColor="text1"/>
        </w:rPr>
        <w:t>Mandarin Oriental (2024) </w:t>
      </w:r>
      <w:r w:rsidRPr="00F63F82">
        <w:rPr>
          <w:rFonts w:ascii="Arial" w:hAnsi="Arial" w:cs="Arial"/>
          <w:i/>
          <w:iCs/>
          <w:color w:val="000000" w:themeColor="text1"/>
        </w:rPr>
        <w:t>Mandarin Oriental Hotel Group</w:t>
      </w:r>
      <w:r w:rsidRPr="00F63F82">
        <w:rPr>
          <w:rFonts w:ascii="Arial" w:hAnsi="Arial" w:cs="Arial"/>
          <w:color w:val="000000" w:themeColor="text1"/>
        </w:rPr>
        <w:t>, </w:t>
      </w:r>
      <w:r w:rsidRPr="00F63F82">
        <w:rPr>
          <w:rFonts w:ascii="Arial" w:hAnsi="Arial" w:cs="Arial"/>
          <w:i/>
          <w:iCs/>
          <w:color w:val="000000" w:themeColor="text1"/>
        </w:rPr>
        <w:t>Luxury 5 Star Hotels &amp; Resorts Worldwide</w:t>
      </w:r>
      <w:r w:rsidRPr="00F63F82">
        <w:rPr>
          <w:rFonts w:ascii="Arial" w:hAnsi="Arial" w:cs="Arial"/>
          <w:color w:val="000000" w:themeColor="text1"/>
        </w:rPr>
        <w:t>. Available at: https://www.mandarinoriental.com/en/?src=ps.brand.mohg.ggl&amp;gad_source=1&amp;gbraid=0AAAAApftVKlv3jlnSEGPOwSsWQdESaBoB&amp;gclid=CjwKCAjw68K4BhAuEiwAylp3kk-OkJ0kPkN_Fm6Nk_aZ71UhgNiWvhmTxieShxFYSSFkgE1bdIka4BoC0SwQAvD_BwE&amp;gclsrc=aw.ds (Accessed: 08 October 2024).</w:t>
      </w:r>
    </w:p>
    <w:p w14:paraId="012124E1" w14:textId="48EBFCFD"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Moodley, S.L. (2021) </w:t>
      </w:r>
      <w:r w:rsidRPr="002A21B3">
        <w:rPr>
          <w:rFonts w:ascii="Arial" w:hAnsi="Arial" w:cs="Arial"/>
          <w:i/>
          <w:iCs/>
          <w:color w:val="000000" w:themeColor="text1"/>
        </w:rPr>
        <w:t>Chain of the month: Shangri-La Hotels and Resorts</w:t>
      </w:r>
      <w:r w:rsidRPr="002A21B3">
        <w:rPr>
          <w:rFonts w:ascii="Arial" w:hAnsi="Arial" w:cs="Arial"/>
          <w:color w:val="000000" w:themeColor="text1"/>
        </w:rPr>
        <w:t>, </w:t>
      </w:r>
      <w:r w:rsidRPr="002A21B3">
        <w:rPr>
          <w:rFonts w:ascii="Arial" w:hAnsi="Arial" w:cs="Arial"/>
          <w:i/>
          <w:iCs/>
          <w:color w:val="000000" w:themeColor="text1"/>
        </w:rPr>
        <w:t>Hotel &amp; Catering</w:t>
      </w:r>
      <w:r w:rsidRPr="002A21B3">
        <w:rPr>
          <w:rFonts w:ascii="Arial" w:hAnsi="Arial" w:cs="Arial"/>
          <w:color w:val="000000" w:themeColor="text1"/>
        </w:rPr>
        <w:t>. Available at: https://hotelandcatering.com/news/chain-of-the-month-shangri-la-hotels-and-resorts (Accessed: 0</w:t>
      </w:r>
      <w:r w:rsidR="0084138A">
        <w:rPr>
          <w:rFonts w:ascii="Arial" w:hAnsi="Arial" w:cs="Arial"/>
          <w:color w:val="000000" w:themeColor="text1"/>
        </w:rPr>
        <w:t>9</w:t>
      </w:r>
      <w:r w:rsidRPr="002A21B3">
        <w:rPr>
          <w:rFonts w:ascii="Arial" w:hAnsi="Arial" w:cs="Arial"/>
          <w:color w:val="000000" w:themeColor="text1"/>
        </w:rPr>
        <w:t xml:space="preserve"> October 2024).</w:t>
      </w:r>
    </w:p>
    <w:p w14:paraId="6F907FE3"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Premier Inn (2024) </w:t>
      </w:r>
      <w:r w:rsidRPr="002A21B3">
        <w:rPr>
          <w:rFonts w:ascii="Arial" w:hAnsi="Arial" w:cs="Arial"/>
          <w:i/>
          <w:iCs/>
          <w:color w:val="000000" w:themeColor="text1"/>
        </w:rPr>
        <w:t>Next evolution style rooms</w:t>
      </w:r>
      <w:r w:rsidRPr="002A21B3">
        <w:rPr>
          <w:rFonts w:ascii="Arial" w:hAnsi="Arial" w:cs="Arial"/>
          <w:color w:val="000000" w:themeColor="text1"/>
        </w:rPr>
        <w:t>, </w:t>
      </w:r>
      <w:r w:rsidRPr="002A21B3">
        <w:rPr>
          <w:rFonts w:ascii="Arial" w:hAnsi="Arial" w:cs="Arial"/>
          <w:i/>
          <w:iCs/>
          <w:color w:val="000000" w:themeColor="text1"/>
        </w:rPr>
        <w:t>Premier Inn hotels</w:t>
      </w:r>
      <w:r w:rsidRPr="002A21B3">
        <w:rPr>
          <w:rFonts w:ascii="Arial" w:hAnsi="Arial" w:cs="Arial"/>
          <w:color w:val="000000" w:themeColor="text1"/>
        </w:rPr>
        <w:t>. Available at: https://www.premierinn.com/gb/en/why/our-innovation-story/next-evolution-style-rooms.html (Accessed: 09 October 2024).</w:t>
      </w:r>
    </w:p>
    <w:p w14:paraId="1587117E" w14:textId="77777777" w:rsidR="00DD5E96" w:rsidRPr="002A21B3" w:rsidRDefault="00DD5E96" w:rsidP="00DD5E96">
      <w:pPr>
        <w:spacing w:line="360" w:lineRule="auto"/>
        <w:jc w:val="both"/>
        <w:rPr>
          <w:rFonts w:ascii="Arial" w:hAnsi="Arial" w:cs="Arial"/>
          <w:color w:val="000000" w:themeColor="text1"/>
        </w:rPr>
      </w:pPr>
      <w:r w:rsidRPr="00A0129D">
        <w:rPr>
          <w:rFonts w:ascii="Arial" w:hAnsi="Arial" w:cs="Arial"/>
          <w:color w:val="000000" w:themeColor="text1"/>
        </w:rPr>
        <w:t>Ritz-Carlton Hotel Company (2023) </w:t>
      </w:r>
      <w:r w:rsidRPr="00A0129D">
        <w:rPr>
          <w:rFonts w:ascii="Arial" w:hAnsi="Arial" w:cs="Arial"/>
          <w:i/>
          <w:iCs/>
          <w:color w:val="000000" w:themeColor="text1"/>
        </w:rPr>
        <w:t>Ritz-Carlton Hotel Company revenue and competitors</w:t>
      </w:r>
      <w:r w:rsidRPr="00A0129D">
        <w:rPr>
          <w:rFonts w:ascii="Arial" w:hAnsi="Arial" w:cs="Arial"/>
          <w:color w:val="000000" w:themeColor="text1"/>
        </w:rPr>
        <w:t>, </w:t>
      </w:r>
      <w:r w:rsidRPr="00A0129D">
        <w:rPr>
          <w:rFonts w:ascii="Arial" w:hAnsi="Arial" w:cs="Arial"/>
          <w:i/>
          <w:iCs/>
          <w:color w:val="000000" w:themeColor="text1"/>
        </w:rPr>
        <w:t>Ritz-Carlton Hotel Company: Revenue, Competitors, Alternatives</w:t>
      </w:r>
      <w:r w:rsidRPr="00A0129D">
        <w:rPr>
          <w:rFonts w:ascii="Arial" w:hAnsi="Arial" w:cs="Arial"/>
          <w:color w:val="000000" w:themeColor="text1"/>
        </w:rPr>
        <w:t>. Available at: https://growjo.com/company/Ritz-Carlton_Hotel_Company (Accessed: 09 October 2024).</w:t>
      </w:r>
    </w:p>
    <w:p w14:paraId="79B6CEAF" w14:textId="26CC3C6D"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Shangri-La Group (2024) </w:t>
      </w:r>
      <w:r w:rsidRPr="002A21B3">
        <w:rPr>
          <w:rFonts w:ascii="Arial" w:hAnsi="Arial" w:cs="Arial"/>
          <w:i/>
          <w:iCs/>
          <w:color w:val="000000" w:themeColor="text1"/>
        </w:rPr>
        <w:t>Annual report 2023 - sitecore - shangri-la hotels and Resorts</w:t>
      </w:r>
      <w:r w:rsidRPr="002A21B3">
        <w:rPr>
          <w:rFonts w:ascii="Arial" w:hAnsi="Arial" w:cs="Arial"/>
          <w:color w:val="000000" w:themeColor="text1"/>
        </w:rPr>
        <w:t>, </w:t>
      </w:r>
      <w:r w:rsidRPr="002A21B3">
        <w:rPr>
          <w:rFonts w:ascii="Arial" w:hAnsi="Arial" w:cs="Arial"/>
          <w:i/>
          <w:iCs/>
          <w:color w:val="000000" w:themeColor="text1"/>
        </w:rPr>
        <w:t>Shangri-La Group</w:t>
      </w:r>
      <w:r w:rsidRPr="002A21B3">
        <w:rPr>
          <w:rFonts w:ascii="Arial" w:hAnsi="Arial" w:cs="Arial"/>
          <w:color w:val="000000" w:themeColor="text1"/>
        </w:rPr>
        <w:t>. Available at: https://sitecore-cd.shangri-la.com/-/media/Project/Shangri-La-Group/Investor/Files/Public-Disclosures/Latest-Top-Publications/2023_Annual_Report_E.pdf (Accessed: 0</w:t>
      </w:r>
      <w:r w:rsidR="0084138A">
        <w:rPr>
          <w:rFonts w:ascii="Arial" w:hAnsi="Arial" w:cs="Arial"/>
          <w:color w:val="000000" w:themeColor="text1"/>
        </w:rPr>
        <w:t>8</w:t>
      </w:r>
      <w:r w:rsidRPr="002A21B3">
        <w:rPr>
          <w:rFonts w:ascii="Arial" w:hAnsi="Arial" w:cs="Arial"/>
          <w:color w:val="000000" w:themeColor="text1"/>
        </w:rPr>
        <w:t xml:space="preserve"> October 2024).</w:t>
      </w:r>
    </w:p>
    <w:p w14:paraId="75240D73" w14:textId="72B2CE56"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lastRenderedPageBreak/>
        <w:t>Shangri-La Group (2024) </w:t>
      </w:r>
      <w:r w:rsidRPr="002A21B3">
        <w:rPr>
          <w:rFonts w:ascii="Arial" w:hAnsi="Arial" w:cs="Arial"/>
          <w:i/>
          <w:iCs/>
          <w:color w:val="000000" w:themeColor="text1"/>
        </w:rPr>
        <w:t>Shangri-La Group</w:t>
      </w:r>
      <w:r w:rsidRPr="002A21B3">
        <w:rPr>
          <w:rFonts w:ascii="Arial" w:hAnsi="Arial" w:cs="Arial"/>
          <w:color w:val="000000" w:themeColor="text1"/>
        </w:rPr>
        <w:t>, </w:t>
      </w:r>
      <w:r w:rsidRPr="002A21B3">
        <w:rPr>
          <w:rFonts w:ascii="Arial" w:hAnsi="Arial" w:cs="Arial"/>
          <w:i/>
          <w:iCs/>
          <w:color w:val="000000" w:themeColor="text1"/>
        </w:rPr>
        <w:t>Luxury escape at best rate</w:t>
      </w:r>
      <w:r w:rsidRPr="002A21B3">
        <w:rPr>
          <w:rFonts w:ascii="Arial" w:hAnsi="Arial" w:cs="Arial"/>
          <w:color w:val="000000" w:themeColor="text1"/>
        </w:rPr>
        <w:t>. Available at: https://www.shangri-la.com/group/our-businesses/ (Accessed: 0</w:t>
      </w:r>
      <w:r w:rsidR="0084138A">
        <w:rPr>
          <w:rFonts w:ascii="Arial" w:hAnsi="Arial" w:cs="Arial"/>
          <w:color w:val="000000" w:themeColor="text1"/>
        </w:rPr>
        <w:t>7</w:t>
      </w:r>
      <w:r w:rsidRPr="002A21B3">
        <w:rPr>
          <w:rFonts w:ascii="Arial" w:hAnsi="Arial" w:cs="Arial"/>
          <w:color w:val="000000" w:themeColor="text1"/>
        </w:rPr>
        <w:t xml:space="preserve"> October 2024).</w:t>
      </w:r>
    </w:p>
    <w:p w14:paraId="0324FAFA"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Shangri-La Group (2024) </w:t>
      </w:r>
      <w:r w:rsidRPr="002A21B3">
        <w:rPr>
          <w:rFonts w:ascii="Arial" w:hAnsi="Arial" w:cs="Arial"/>
          <w:i/>
          <w:iCs/>
          <w:color w:val="000000" w:themeColor="text1"/>
        </w:rPr>
        <w:t>Shangri-La (0069.HK) - cash on hand</w:t>
      </w:r>
      <w:r w:rsidRPr="002A21B3">
        <w:rPr>
          <w:rFonts w:ascii="Arial" w:hAnsi="Arial" w:cs="Arial"/>
          <w:color w:val="000000" w:themeColor="text1"/>
        </w:rPr>
        <w:t>, </w:t>
      </w:r>
      <w:r w:rsidRPr="002A21B3">
        <w:rPr>
          <w:rFonts w:ascii="Arial" w:hAnsi="Arial" w:cs="Arial"/>
          <w:i/>
          <w:iCs/>
          <w:color w:val="000000" w:themeColor="text1"/>
        </w:rPr>
        <w:t>CompaniesMarketCap.com - companies ranked by market capitalization</w:t>
      </w:r>
      <w:r w:rsidRPr="002A21B3">
        <w:rPr>
          <w:rFonts w:ascii="Arial" w:hAnsi="Arial" w:cs="Arial"/>
          <w:color w:val="000000" w:themeColor="text1"/>
        </w:rPr>
        <w:t>. Available at: https://companiesmarketcap.com/eur/shangri-la/cash-on-hand/ (Accessed: 02 October 2024).</w:t>
      </w:r>
    </w:p>
    <w:p w14:paraId="3CBD0896"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Shukla, A.K. and Elias, A.A. (2023) ‘Financial distress and resilience in the hospitality industry: Learnings from a Fijian Resort’, </w:t>
      </w:r>
      <w:r w:rsidRPr="002A21B3">
        <w:rPr>
          <w:rFonts w:ascii="Arial" w:hAnsi="Arial" w:cs="Arial"/>
          <w:i/>
          <w:iCs/>
          <w:color w:val="000000" w:themeColor="text1"/>
        </w:rPr>
        <w:t>Global Journal of Flexible Systems Management</w:t>
      </w:r>
      <w:r w:rsidRPr="002A21B3">
        <w:rPr>
          <w:rFonts w:ascii="Arial" w:hAnsi="Arial" w:cs="Arial"/>
          <w:color w:val="000000" w:themeColor="text1"/>
        </w:rPr>
        <w:t>, 24(S1), pp. 49–63. doi:10.1007/s40171-024-00376-1.</w:t>
      </w:r>
    </w:p>
    <w:p w14:paraId="3AFF2C13"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SimilarWeb (2024) </w:t>
      </w:r>
      <w:r w:rsidRPr="002A21B3">
        <w:rPr>
          <w:rFonts w:ascii="Arial" w:hAnsi="Arial" w:cs="Arial"/>
          <w:i/>
          <w:iCs/>
          <w:color w:val="000000" w:themeColor="text1"/>
        </w:rPr>
        <w:t>Premierinn.com competitors - top sites like premierinn.com similarweb</w:t>
      </w:r>
      <w:r w:rsidRPr="002A21B3">
        <w:rPr>
          <w:rFonts w:ascii="Arial" w:hAnsi="Arial" w:cs="Arial"/>
          <w:color w:val="000000" w:themeColor="text1"/>
        </w:rPr>
        <w:t>, </w:t>
      </w:r>
      <w:r w:rsidRPr="002A21B3">
        <w:rPr>
          <w:rFonts w:ascii="Arial" w:hAnsi="Arial" w:cs="Arial"/>
          <w:i/>
          <w:iCs/>
          <w:color w:val="000000" w:themeColor="text1"/>
        </w:rPr>
        <w:t>Similar Web</w:t>
      </w:r>
      <w:r w:rsidRPr="002A21B3">
        <w:rPr>
          <w:rFonts w:ascii="Arial" w:hAnsi="Arial" w:cs="Arial"/>
          <w:color w:val="000000" w:themeColor="text1"/>
        </w:rPr>
        <w:t>. Available at: https://www.similarweb.com/website/premierinn.com/competitors/ (Accessed: 06 October 2024).</w:t>
      </w:r>
    </w:p>
    <w:p w14:paraId="6A4AAD9D" w14:textId="77777777" w:rsidR="00DD5E96" w:rsidRPr="002A21B3" w:rsidRDefault="00DD5E96" w:rsidP="00DD5E96">
      <w:pPr>
        <w:spacing w:line="360" w:lineRule="auto"/>
        <w:jc w:val="both"/>
        <w:rPr>
          <w:rFonts w:ascii="Arial" w:hAnsi="Arial" w:cs="Arial"/>
          <w:color w:val="000000" w:themeColor="text1"/>
        </w:rPr>
      </w:pPr>
      <w:r w:rsidRPr="00EE7745">
        <w:rPr>
          <w:rFonts w:ascii="Arial" w:hAnsi="Arial" w:cs="Arial"/>
          <w:color w:val="000000" w:themeColor="text1"/>
        </w:rPr>
        <w:t>The Ritz-Carlton Sarasota Resort (2023) </w:t>
      </w:r>
      <w:r w:rsidRPr="00EE7745">
        <w:rPr>
          <w:rFonts w:ascii="Arial" w:hAnsi="Arial" w:cs="Arial"/>
          <w:i/>
          <w:iCs/>
          <w:color w:val="000000" w:themeColor="text1"/>
        </w:rPr>
        <w:t>The Ritz-Carlton Sarasota Resort Index to Financial Statements</w:t>
      </w:r>
      <w:r w:rsidRPr="00EE7745">
        <w:rPr>
          <w:rFonts w:ascii="Arial" w:hAnsi="Arial" w:cs="Arial"/>
          <w:color w:val="000000" w:themeColor="text1"/>
        </w:rPr>
        <w:t>, </w:t>
      </w:r>
      <w:r w:rsidRPr="00EE7745">
        <w:rPr>
          <w:rFonts w:ascii="Arial" w:hAnsi="Arial" w:cs="Arial"/>
          <w:i/>
          <w:iCs/>
          <w:color w:val="000000" w:themeColor="text1"/>
        </w:rPr>
        <w:t>Exhibit</w:t>
      </w:r>
      <w:r w:rsidRPr="00EE7745">
        <w:rPr>
          <w:rFonts w:ascii="Arial" w:hAnsi="Arial" w:cs="Arial"/>
          <w:color w:val="000000" w:themeColor="text1"/>
        </w:rPr>
        <w:t>. Available at: https://www.sec.gov/Archives/edgar/data/1574085/000157408518000051/rcsarasotafs-12x31x17xex991.htm (Accessed: 06 October 2024).</w:t>
      </w:r>
    </w:p>
    <w:p w14:paraId="4DF362A2" w14:textId="43A6B3D7" w:rsidR="00DD5E96" w:rsidRPr="002A21B3" w:rsidRDefault="00DD5E96" w:rsidP="00DD5E96">
      <w:pPr>
        <w:spacing w:line="360" w:lineRule="auto"/>
        <w:jc w:val="both"/>
        <w:rPr>
          <w:rFonts w:ascii="Arial" w:hAnsi="Arial" w:cs="Arial"/>
          <w:color w:val="000000" w:themeColor="text1"/>
        </w:rPr>
      </w:pPr>
      <w:r w:rsidRPr="00B701F1">
        <w:rPr>
          <w:rFonts w:ascii="Arial" w:hAnsi="Arial" w:cs="Arial"/>
          <w:color w:val="000000" w:themeColor="text1"/>
        </w:rPr>
        <w:t>Travelodge (2024) </w:t>
      </w:r>
      <w:r w:rsidRPr="00B701F1">
        <w:rPr>
          <w:rFonts w:ascii="Arial" w:hAnsi="Arial" w:cs="Arial"/>
          <w:i/>
          <w:iCs/>
          <w:color w:val="000000" w:themeColor="text1"/>
        </w:rPr>
        <w:t>Travelodge reports record results for 2022 and encouraging early 2023 trading</w:t>
      </w:r>
      <w:r w:rsidRPr="00B701F1">
        <w:rPr>
          <w:rFonts w:ascii="Arial" w:hAnsi="Arial" w:cs="Arial"/>
          <w:color w:val="000000" w:themeColor="text1"/>
        </w:rPr>
        <w:t>, </w:t>
      </w:r>
      <w:r w:rsidRPr="00B701F1">
        <w:rPr>
          <w:rFonts w:ascii="Arial" w:hAnsi="Arial" w:cs="Arial"/>
          <w:i/>
          <w:iCs/>
          <w:color w:val="000000" w:themeColor="text1"/>
        </w:rPr>
        <w:t>Travelodge</w:t>
      </w:r>
      <w:r w:rsidRPr="00B701F1">
        <w:rPr>
          <w:rFonts w:ascii="Arial" w:hAnsi="Arial" w:cs="Arial"/>
          <w:color w:val="000000" w:themeColor="text1"/>
        </w:rPr>
        <w:t>. Available at: https://www.travelodge.co.uk/blog/news/travelodge-trading-record-results-2022-2023/ (Accessed: 1</w:t>
      </w:r>
      <w:r w:rsidR="00904B8D">
        <w:rPr>
          <w:rFonts w:ascii="Arial" w:hAnsi="Arial" w:cs="Arial"/>
          <w:color w:val="000000" w:themeColor="text1"/>
        </w:rPr>
        <w:t>8</w:t>
      </w:r>
      <w:r w:rsidRPr="00B701F1">
        <w:rPr>
          <w:rFonts w:ascii="Arial" w:hAnsi="Arial" w:cs="Arial"/>
          <w:color w:val="000000" w:themeColor="text1"/>
        </w:rPr>
        <w:t xml:space="preserve"> October 2024).</w:t>
      </w:r>
    </w:p>
    <w:p w14:paraId="0D1BD1B2" w14:textId="77777777" w:rsidR="00DD5E96" w:rsidRPr="002A21B3" w:rsidRDefault="00DD5E96" w:rsidP="00DD5E96">
      <w:pPr>
        <w:spacing w:line="360" w:lineRule="auto"/>
        <w:jc w:val="both"/>
        <w:rPr>
          <w:rFonts w:ascii="Arial" w:hAnsi="Arial" w:cs="Arial"/>
          <w:color w:val="000000" w:themeColor="text1"/>
        </w:rPr>
      </w:pPr>
      <w:r w:rsidRPr="00B701F1">
        <w:rPr>
          <w:rFonts w:ascii="Arial" w:hAnsi="Arial" w:cs="Arial"/>
          <w:color w:val="000000" w:themeColor="text1"/>
        </w:rPr>
        <w:t>Travelodge Corporate (2024) </w:t>
      </w:r>
      <w:r w:rsidRPr="00B701F1">
        <w:rPr>
          <w:rFonts w:ascii="Arial" w:hAnsi="Arial" w:cs="Arial"/>
          <w:i/>
          <w:iCs/>
          <w:color w:val="000000" w:themeColor="text1"/>
        </w:rPr>
        <w:t>Record full year performance with Travelodge well positioned for long-term growth</w:t>
      </w:r>
      <w:r w:rsidRPr="00B701F1">
        <w:rPr>
          <w:rFonts w:ascii="Arial" w:hAnsi="Arial" w:cs="Arial"/>
          <w:color w:val="000000" w:themeColor="text1"/>
        </w:rPr>
        <w:t>, </w:t>
      </w:r>
      <w:r w:rsidRPr="00B701F1">
        <w:rPr>
          <w:rFonts w:ascii="Arial" w:hAnsi="Arial" w:cs="Arial"/>
          <w:i/>
          <w:iCs/>
          <w:color w:val="000000" w:themeColor="text1"/>
        </w:rPr>
        <w:t>Travelodge Corporate Website</w:t>
      </w:r>
      <w:r w:rsidRPr="00B701F1">
        <w:rPr>
          <w:rFonts w:ascii="Arial" w:hAnsi="Arial" w:cs="Arial"/>
          <w:color w:val="000000" w:themeColor="text1"/>
        </w:rPr>
        <w:t>. Available at: https://www.travelodge.co.uk/our-business/blog/press_release/record-full-year-performance-with-travelodge-well-positioned-for-long-term-growth/ (Accessed: 10 October 2024).</w:t>
      </w:r>
    </w:p>
    <w:p w14:paraId="7F486244"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Tufft, C. </w:t>
      </w:r>
      <w:r w:rsidRPr="002A21B3">
        <w:rPr>
          <w:rFonts w:ascii="Arial" w:hAnsi="Arial" w:cs="Arial"/>
          <w:i/>
          <w:iCs/>
          <w:color w:val="000000" w:themeColor="text1"/>
        </w:rPr>
        <w:t>et al.</w:t>
      </w:r>
      <w:r w:rsidRPr="002A21B3">
        <w:rPr>
          <w:rFonts w:ascii="Arial" w:hAnsi="Arial" w:cs="Arial"/>
          <w:color w:val="000000" w:themeColor="text1"/>
        </w:rPr>
        <w:t> (2024) </w:t>
      </w:r>
      <w:r w:rsidRPr="002A21B3">
        <w:rPr>
          <w:rFonts w:ascii="Arial" w:hAnsi="Arial" w:cs="Arial"/>
          <w:i/>
          <w:iCs/>
          <w:color w:val="000000" w:themeColor="text1"/>
        </w:rPr>
        <w:t>The State of Tourism and hospitality 2024</w:t>
      </w:r>
      <w:r w:rsidRPr="002A21B3">
        <w:rPr>
          <w:rFonts w:ascii="Arial" w:hAnsi="Arial" w:cs="Arial"/>
          <w:color w:val="000000" w:themeColor="text1"/>
        </w:rPr>
        <w:t>, </w:t>
      </w:r>
      <w:r w:rsidRPr="002A21B3">
        <w:rPr>
          <w:rFonts w:ascii="Arial" w:hAnsi="Arial" w:cs="Arial"/>
          <w:i/>
          <w:iCs/>
          <w:color w:val="000000" w:themeColor="text1"/>
        </w:rPr>
        <w:t>McKinsey</w:t>
      </w:r>
      <w:r w:rsidRPr="002A21B3">
        <w:rPr>
          <w:rFonts w:ascii="Arial" w:hAnsi="Arial" w:cs="Arial"/>
          <w:color w:val="000000" w:themeColor="text1"/>
        </w:rPr>
        <w:t>. Available at: https://www.mckinsey.com/~/media/mckinsey/industries/travel%20logistics%20and%20infrastructure/our%20insights/the%20state%20of%20tourism%20and%20hospitalit</w:t>
      </w:r>
      <w:r w:rsidRPr="002A21B3">
        <w:rPr>
          <w:rFonts w:ascii="Arial" w:hAnsi="Arial" w:cs="Arial"/>
          <w:color w:val="000000" w:themeColor="text1"/>
        </w:rPr>
        <w:lastRenderedPageBreak/>
        <w:t>y%202024/the-state-of-tourism-and-hospitality-2024-final.pdf (Accessed: 02 October 2024).</w:t>
      </w:r>
    </w:p>
    <w:p w14:paraId="16EECB48"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Walker, J.R. (2021) </w:t>
      </w:r>
      <w:r w:rsidRPr="002A21B3">
        <w:rPr>
          <w:rFonts w:ascii="Arial" w:hAnsi="Arial" w:cs="Arial"/>
          <w:i/>
          <w:iCs/>
          <w:color w:val="000000" w:themeColor="text1"/>
        </w:rPr>
        <w:t>Introduction to hospitality</w:t>
      </w:r>
      <w:r w:rsidRPr="002A21B3">
        <w:rPr>
          <w:rFonts w:ascii="Arial" w:hAnsi="Arial" w:cs="Arial"/>
          <w:color w:val="000000" w:themeColor="text1"/>
        </w:rPr>
        <w:t>. 8th ed. Harlow, England, UK: Pearson.</w:t>
      </w:r>
    </w:p>
    <w:p w14:paraId="61F9574E" w14:textId="510FAC10"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Whitbread (2023) </w:t>
      </w:r>
      <w:r w:rsidRPr="002A21B3">
        <w:rPr>
          <w:rFonts w:ascii="Arial" w:hAnsi="Arial" w:cs="Arial"/>
          <w:i/>
          <w:iCs/>
          <w:color w:val="000000" w:themeColor="text1"/>
        </w:rPr>
        <w:t>FY23 results</w:t>
      </w:r>
      <w:r w:rsidRPr="002A21B3">
        <w:rPr>
          <w:rFonts w:ascii="Arial" w:hAnsi="Arial" w:cs="Arial"/>
          <w:color w:val="000000" w:themeColor="text1"/>
        </w:rPr>
        <w:t>, </w:t>
      </w:r>
      <w:r w:rsidRPr="002A21B3">
        <w:rPr>
          <w:rFonts w:ascii="Arial" w:hAnsi="Arial" w:cs="Arial"/>
          <w:i/>
          <w:iCs/>
          <w:color w:val="000000" w:themeColor="text1"/>
        </w:rPr>
        <w:t>Whitbread</w:t>
      </w:r>
      <w:r w:rsidRPr="002A21B3">
        <w:rPr>
          <w:rFonts w:ascii="Arial" w:hAnsi="Arial" w:cs="Arial"/>
          <w:color w:val="000000" w:themeColor="text1"/>
        </w:rPr>
        <w:t>. Available at: https://cdn.whitbread.co.uk/media/2023/04/Final-FY23-RNS-Final-Combined.pdf (Accessed: 0</w:t>
      </w:r>
      <w:r w:rsidR="00000899">
        <w:rPr>
          <w:rFonts w:ascii="Arial" w:hAnsi="Arial" w:cs="Arial"/>
          <w:color w:val="000000" w:themeColor="text1"/>
        </w:rPr>
        <w:t>9</w:t>
      </w:r>
      <w:r w:rsidRPr="002A21B3">
        <w:rPr>
          <w:rFonts w:ascii="Arial" w:hAnsi="Arial" w:cs="Arial"/>
          <w:color w:val="000000" w:themeColor="text1"/>
        </w:rPr>
        <w:t xml:space="preserve"> October 2024).</w:t>
      </w:r>
    </w:p>
    <w:p w14:paraId="3597367C" w14:textId="15721CF3"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Whitbread PLC (2024) </w:t>
      </w:r>
      <w:r w:rsidRPr="002A21B3">
        <w:rPr>
          <w:rFonts w:ascii="Arial" w:hAnsi="Arial" w:cs="Arial"/>
          <w:i/>
          <w:iCs/>
          <w:color w:val="000000" w:themeColor="text1"/>
        </w:rPr>
        <w:t>Whitbread PLC Annual report and accounts 2023/24</w:t>
      </w:r>
      <w:r w:rsidRPr="002A21B3">
        <w:rPr>
          <w:rFonts w:ascii="Arial" w:hAnsi="Arial" w:cs="Arial"/>
          <w:color w:val="000000" w:themeColor="text1"/>
        </w:rPr>
        <w:t>, </w:t>
      </w:r>
      <w:r w:rsidRPr="002A21B3">
        <w:rPr>
          <w:rFonts w:ascii="Arial" w:hAnsi="Arial" w:cs="Arial"/>
          <w:i/>
          <w:iCs/>
          <w:color w:val="000000" w:themeColor="text1"/>
        </w:rPr>
        <w:t>Whitbread PLC</w:t>
      </w:r>
      <w:r w:rsidRPr="002A21B3">
        <w:rPr>
          <w:rFonts w:ascii="Arial" w:hAnsi="Arial" w:cs="Arial"/>
          <w:color w:val="000000" w:themeColor="text1"/>
        </w:rPr>
        <w:t>. Available at: https://cdn.whitbread.co.uk/media/2024/05/Whitbread-PLC-Annual-Report-and-Accounts-2023_Single_pages-1.pdf (Accessed: 0</w:t>
      </w:r>
      <w:r w:rsidR="00904B8D">
        <w:rPr>
          <w:rFonts w:ascii="Arial" w:hAnsi="Arial" w:cs="Arial"/>
          <w:color w:val="000000" w:themeColor="text1"/>
        </w:rPr>
        <w:t>6</w:t>
      </w:r>
      <w:r w:rsidRPr="002A21B3">
        <w:rPr>
          <w:rFonts w:ascii="Arial" w:hAnsi="Arial" w:cs="Arial"/>
          <w:color w:val="000000" w:themeColor="text1"/>
        </w:rPr>
        <w:t xml:space="preserve"> October 2024).</w:t>
      </w:r>
    </w:p>
    <w:p w14:paraId="05120326"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Wild, J.J. and Shaw, K.W. (2022) </w:t>
      </w:r>
      <w:r w:rsidRPr="002A21B3">
        <w:rPr>
          <w:rFonts w:ascii="Arial" w:hAnsi="Arial" w:cs="Arial"/>
          <w:i/>
          <w:iCs/>
          <w:color w:val="000000" w:themeColor="text1"/>
        </w:rPr>
        <w:t>Financial and managerial accounting: Information for decisions</w:t>
      </w:r>
      <w:r w:rsidRPr="002A21B3">
        <w:rPr>
          <w:rFonts w:ascii="Arial" w:hAnsi="Arial" w:cs="Arial"/>
          <w:color w:val="000000" w:themeColor="text1"/>
        </w:rPr>
        <w:t>. New York, NY, USA: McGraw-Hill Education.</w:t>
      </w:r>
    </w:p>
    <w:p w14:paraId="1F0F82F4" w14:textId="77777777" w:rsidR="00DD5E96" w:rsidRPr="002A21B3" w:rsidRDefault="00DD5E96" w:rsidP="00DD5E96">
      <w:pPr>
        <w:spacing w:line="360" w:lineRule="auto"/>
        <w:jc w:val="both"/>
        <w:rPr>
          <w:rFonts w:ascii="Arial" w:hAnsi="Arial" w:cs="Arial"/>
          <w:color w:val="000000" w:themeColor="text1"/>
        </w:rPr>
      </w:pPr>
      <w:r w:rsidRPr="002A21B3">
        <w:rPr>
          <w:rFonts w:ascii="Arial" w:hAnsi="Arial" w:cs="Arial"/>
          <w:color w:val="000000" w:themeColor="text1"/>
        </w:rPr>
        <w:t>Winfield, J., Graham, M. and Miller, T. (2021) ‘Group financial statements’, </w:t>
      </w:r>
      <w:r w:rsidRPr="002A21B3">
        <w:rPr>
          <w:rFonts w:ascii="Arial" w:hAnsi="Arial" w:cs="Arial"/>
          <w:i/>
          <w:iCs/>
          <w:color w:val="000000" w:themeColor="text1"/>
        </w:rPr>
        <w:t>Understanding Financial Accounting</w:t>
      </w:r>
      <w:r w:rsidRPr="002A21B3">
        <w:rPr>
          <w:rFonts w:ascii="Arial" w:hAnsi="Arial" w:cs="Arial"/>
          <w:color w:val="000000" w:themeColor="text1"/>
        </w:rPr>
        <w:t>[Preprint]. doi:10.1093/hebz/9780198847274.003.0009.</w:t>
      </w:r>
    </w:p>
    <w:p w14:paraId="311F7C52" w14:textId="77777777" w:rsidR="00DD5E96" w:rsidRPr="00EE4DBC" w:rsidRDefault="00DD5E96" w:rsidP="00DD5E96">
      <w:pPr>
        <w:spacing w:line="360" w:lineRule="auto"/>
        <w:jc w:val="both"/>
        <w:rPr>
          <w:rFonts w:ascii="Arial" w:hAnsi="Arial" w:cs="Arial"/>
          <w:color w:val="000000" w:themeColor="text1"/>
        </w:rPr>
      </w:pPr>
      <w:r w:rsidRPr="00EE4DBC">
        <w:rPr>
          <w:rFonts w:ascii="Arial" w:hAnsi="Arial" w:cs="Arial"/>
          <w:color w:val="000000" w:themeColor="text1"/>
        </w:rPr>
        <w:t>Xenia Hotels &amp; Resorts (2023) </w:t>
      </w:r>
      <w:r w:rsidRPr="00EE4DBC">
        <w:rPr>
          <w:rFonts w:ascii="Arial" w:hAnsi="Arial" w:cs="Arial"/>
          <w:i/>
          <w:iCs/>
          <w:color w:val="000000" w:themeColor="text1"/>
        </w:rPr>
        <w:t>2023 annual report</w:t>
      </w:r>
      <w:r w:rsidRPr="00EE4DBC">
        <w:rPr>
          <w:rFonts w:ascii="Arial" w:hAnsi="Arial" w:cs="Arial"/>
          <w:color w:val="000000" w:themeColor="text1"/>
        </w:rPr>
        <w:t>, </w:t>
      </w:r>
      <w:r w:rsidRPr="00EE4DBC">
        <w:rPr>
          <w:rFonts w:ascii="Arial" w:hAnsi="Arial" w:cs="Arial"/>
          <w:i/>
          <w:iCs/>
          <w:color w:val="000000" w:themeColor="text1"/>
        </w:rPr>
        <w:t>Xenia Hotels &amp; Resorts</w:t>
      </w:r>
      <w:r w:rsidRPr="00EE4DBC">
        <w:rPr>
          <w:rFonts w:ascii="Arial" w:hAnsi="Arial" w:cs="Arial"/>
          <w:color w:val="000000" w:themeColor="text1"/>
        </w:rPr>
        <w:t>. Available at: https://www.sec.gov/Archives/edgar/data/1616000/000161600024000034/xhr2023arsannualreporttosh.pdf (Accessed: 07 October 2024). </w:t>
      </w:r>
    </w:p>
    <w:p w14:paraId="1FF119AD" w14:textId="77777777" w:rsidR="00DD5E96" w:rsidRPr="002440E7" w:rsidRDefault="00DD5E96" w:rsidP="00DD5E96">
      <w:pPr>
        <w:spacing w:line="360" w:lineRule="auto"/>
        <w:jc w:val="both"/>
        <w:rPr>
          <w:rFonts w:ascii="Arial" w:hAnsi="Arial" w:cs="Arial"/>
          <w:color w:val="000000" w:themeColor="text1"/>
        </w:rPr>
      </w:pPr>
    </w:p>
    <w:p w14:paraId="7F72CB0D" w14:textId="77777777" w:rsidR="00DD5E96" w:rsidRPr="002440E7" w:rsidRDefault="00DD5E96" w:rsidP="00DD5E96">
      <w:pPr>
        <w:spacing w:line="360" w:lineRule="auto"/>
        <w:jc w:val="both"/>
        <w:rPr>
          <w:rFonts w:ascii="Arial" w:hAnsi="Arial" w:cs="Arial"/>
          <w:color w:val="000000" w:themeColor="text1"/>
        </w:rPr>
      </w:pPr>
    </w:p>
    <w:p w14:paraId="43DA2E92" w14:textId="77777777" w:rsidR="00DD5E96" w:rsidRPr="002440E7" w:rsidRDefault="00DD5E96" w:rsidP="00DD5E96">
      <w:pPr>
        <w:spacing w:line="360" w:lineRule="auto"/>
        <w:jc w:val="both"/>
        <w:rPr>
          <w:rFonts w:ascii="Arial" w:hAnsi="Arial" w:cs="Arial"/>
          <w:color w:val="000000" w:themeColor="text1"/>
        </w:rPr>
      </w:pPr>
    </w:p>
    <w:p w14:paraId="2439730E" w14:textId="77777777" w:rsidR="00DD5E96" w:rsidRPr="002440E7" w:rsidRDefault="00DD5E96" w:rsidP="00DD5E96">
      <w:pPr>
        <w:spacing w:line="360" w:lineRule="auto"/>
        <w:jc w:val="both"/>
        <w:rPr>
          <w:rFonts w:ascii="Arial" w:hAnsi="Arial" w:cs="Arial"/>
          <w:color w:val="000000" w:themeColor="text1"/>
        </w:rPr>
      </w:pPr>
    </w:p>
    <w:p w14:paraId="4AFF95A9" w14:textId="77777777" w:rsidR="00DD5E96" w:rsidRPr="002440E7" w:rsidRDefault="00DD5E96" w:rsidP="00DD5E96">
      <w:pPr>
        <w:spacing w:line="360" w:lineRule="auto"/>
        <w:jc w:val="both"/>
        <w:rPr>
          <w:rFonts w:ascii="Arial" w:hAnsi="Arial" w:cs="Arial"/>
          <w:color w:val="000000" w:themeColor="text1"/>
        </w:rPr>
      </w:pPr>
    </w:p>
    <w:p w14:paraId="4A1D495D" w14:textId="77777777" w:rsidR="00DD5E96" w:rsidRPr="002440E7" w:rsidRDefault="00DD5E96" w:rsidP="00DD5E96">
      <w:pPr>
        <w:spacing w:line="360" w:lineRule="auto"/>
        <w:jc w:val="both"/>
        <w:rPr>
          <w:rFonts w:ascii="Arial" w:hAnsi="Arial" w:cs="Arial"/>
          <w:color w:val="000000" w:themeColor="text1"/>
        </w:rPr>
      </w:pPr>
    </w:p>
    <w:p w14:paraId="60944DE0" w14:textId="77777777" w:rsidR="00DD5E96" w:rsidRPr="002440E7" w:rsidRDefault="00DD5E96" w:rsidP="00DD5E96">
      <w:pPr>
        <w:spacing w:line="360" w:lineRule="auto"/>
        <w:jc w:val="both"/>
        <w:rPr>
          <w:rFonts w:ascii="Arial" w:hAnsi="Arial" w:cs="Arial"/>
          <w:color w:val="000000" w:themeColor="text1"/>
        </w:rPr>
      </w:pPr>
    </w:p>
    <w:p w14:paraId="347C6317" w14:textId="77777777" w:rsidR="00DD5E96" w:rsidRPr="002440E7" w:rsidRDefault="00DD5E96" w:rsidP="00DD5E96">
      <w:pPr>
        <w:spacing w:line="360" w:lineRule="auto"/>
        <w:jc w:val="both"/>
        <w:rPr>
          <w:rFonts w:ascii="Arial" w:hAnsi="Arial" w:cs="Arial"/>
          <w:color w:val="000000" w:themeColor="text1"/>
        </w:rPr>
      </w:pPr>
    </w:p>
    <w:p w14:paraId="12C15E3C" w14:textId="77777777" w:rsidR="00A65A4A" w:rsidRPr="002440E7" w:rsidRDefault="00A65A4A" w:rsidP="0092062B">
      <w:pPr>
        <w:spacing w:line="360" w:lineRule="auto"/>
        <w:jc w:val="both"/>
        <w:rPr>
          <w:rFonts w:ascii="Arial" w:hAnsi="Arial" w:cs="Arial"/>
          <w:color w:val="000000" w:themeColor="text1"/>
        </w:rPr>
      </w:pPr>
    </w:p>
    <w:sectPr w:rsidR="00A65A4A" w:rsidRPr="002440E7" w:rsidSect="00592DEE">
      <w:footerReference w:type="default" r:id="rId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8189B" w14:textId="77777777" w:rsidR="00441D18" w:rsidRDefault="00441D18" w:rsidP="006D200C">
      <w:pPr>
        <w:spacing w:after="0" w:line="240" w:lineRule="auto"/>
      </w:pPr>
      <w:r>
        <w:separator/>
      </w:r>
    </w:p>
  </w:endnote>
  <w:endnote w:type="continuationSeparator" w:id="0">
    <w:p w14:paraId="13F6912F" w14:textId="77777777" w:rsidR="00441D18" w:rsidRDefault="00441D18" w:rsidP="006D2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5602182"/>
      <w:docPartObj>
        <w:docPartGallery w:val="Page Numbers (Bottom of Page)"/>
        <w:docPartUnique/>
      </w:docPartObj>
    </w:sdtPr>
    <w:sdtEndPr>
      <w:rPr>
        <w:noProof/>
      </w:rPr>
    </w:sdtEndPr>
    <w:sdtContent>
      <w:p w14:paraId="35B25CC7" w14:textId="482AD7E1" w:rsidR="002B429D" w:rsidRDefault="002B429D">
        <w:pPr>
          <w:pStyle w:val="Footer"/>
        </w:pPr>
        <w:r>
          <w:fldChar w:fldCharType="begin"/>
        </w:r>
        <w:r>
          <w:instrText xml:space="preserve"> PAGE   \* MERGEFORMAT </w:instrText>
        </w:r>
        <w:r>
          <w:fldChar w:fldCharType="separate"/>
        </w:r>
        <w:r>
          <w:rPr>
            <w:noProof/>
          </w:rPr>
          <w:t>2</w:t>
        </w:r>
        <w:r>
          <w:rPr>
            <w:noProof/>
          </w:rPr>
          <w:fldChar w:fldCharType="end"/>
        </w:r>
      </w:p>
    </w:sdtContent>
  </w:sdt>
  <w:p w14:paraId="4DAC22A0" w14:textId="77777777" w:rsidR="002B429D" w:rsidRDefault="002B4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042BAE" w14:textId="77777777" w:rsidR="00441D18" w:rsidRDefault="00441D18" w:rsidP="006D200C">
      <w:pPr>
        <w:spacing w:after="0" w:line="240" w:lineRule="auto"/>
      </w:pPr>
      <w:r>
        <w:separator/>
      </w:r>
    </w:p>
  </w:footnote>
  <w:footnote w:type="continuationSeparator" w:id="0">
    <w:p w14:paraId="3CA76667" w14:textId="77777777" w:rsidR="00441D18" w:rsidRDefault="00441D18" w:rsidP="006D20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148"/>
    <w:rsid w:val="00000899"/>
    <w:rsid w:val="000C1AE2"/>
    <w:rsid w:val="001529DA"/>
    <w:rsid w:val="00181B95"/>
    <w:rsid w:val="001909FE"/>
    <w:rsid w:val="001B388D"/>
    <w:rsid w:val="002B429D"/>
    <w:rsid w:val="002D7C2A"/>
    <w:rsid w:val="00387EC5"/>
    <w:rsid w:val="00441D18"/>
    <w:rsid w:val="004D3C67"/>
    <w:rsid w:val="004D7FA4"/>
    <w:rsid w:val="00543148"/>
    <w:rsid w:val="00592DEE"/>
    <w:rsid w:val="005A5611"/>
    <w:rsid w:val="0068314E"/>
    <w:rsid w:val="006D200C"/>
    <w:rsid w:val="007811B4"/>
    <w:rsid w:val="00784B3A"/>
    <w:rsid w:val="00807C36"/>
    <w:rsid w:val="00833AE7"/>
    <w:rsid w:val="00837AAF"/>
    <w:rsid w:val="0084138A"/>
    <w:rsid w:val="00904B8D"/>
    <w:rsid w:val="0092062B"/>
    <w:rsid w:val="00A65A4A"/>
    <w:rsid w:val="00B5680D"/>
    <w:rsid w:val="00CF63EA"/>
    <w:rsid w:val="00D0491D"/>
    <w:rsid w:val="00DD5E96"/>
    <w:rsid w:val="00DF1E47"/>
    <w:rsid w:val="00F95A23"/>
    <w:rsid w:val="00FC69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A2B579"/>
  <w15:chartTrackingRefBased/>
  <w15:docId w15:val="{7D9491C5-E49C-421E-8AF6-3002DAEF1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3AE7"/>
    <w:pPr>
      <w:spacing w:line="278" w:lineRule="auto"/>
    </w:pPr>
    <w:rPr>
      <w:kern w:val="2"/>
      <w:sz w:val="24"/>
      <w:szCs w:val="24"/>
      <w:lang w:val="en-GB"/>
      <w14:ligatures w14:val="standardContextual"/>
    </w:rPr>
  </w:style>
  <w:style w:type="paragraph" w:styleId="Heading1">
    <w:name w:val="heading 1"/>
    <w:basedOn w:val="Normal"/>
    <w:next w:val="Normal"/>
    <w:link w:val="Heading1Char"/>
    <w:uiPriority w:val="9"/>
    <w:qFormat/>
    <w:rsid w:val="002D7C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5A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65A4A"/>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C2A"/>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TOCHeading">
    <w:name w:val="TOC Heading"/>
    <w:basedOn w:val="Heading1"/>
    <w:next w:val="Normal"/>
    <w:uiPriority w:val="39"/>
    <w:unhideWhenUsed/>
    <w:qFormat/>
    <w:rsid w:val="00F95A2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F95A23"/>
    <w:pPr>
      <w:spacing w:before="120" w:after="0"/>
    </w:pPr>
    <w:rPr>
      <w:b/>
      <w:bCs/>
      <w:i/>
      <w:iCs/>
    </w:rPr>
  </w:style>
  <w:style w:type="paragraph" w:styleId="TOC2">
    <w:name w:val="toc 2"/>
    <w:basedOn w:val="Normal"/>
    <w:next w:val="Normal"/>
    <w:autoRedefine/>
    <w:uiPriority w:val="39"/>
    <w:unhideWhenUsed/>
    <w:rsid w:val="00F95A23"/>
    <w:pPr>
      <w:spacing w:before="120" w:after="0"/>
      <w:ind w:left="240"/>
    </w:pPr>
    <w:rPr>
      <w:b/>
      <w:bCs/>
      <w:sz w:val="22"/>
      <w:szCs w:val="22"/>
    </w:rPr>
  </w:style>
  <w:style w:type="paragraph" w:styleId="TOC3">
    <w:name w:val="toc 3"/>
    <w:basedOn w:val="Normal"/>
    <w:next w:val="Normal"/>
    <w:autoRedefine/>
    <w:uiPriority w:val="39"/>
    <w:unhideWhenUsed/>
    <w:rsid w:val="00F95A23"/>
    <w:pPr>
      <w:spacing w:after="0"/>
      <w:ind w:left="480"/>
    </w:pPr>
    <w:rPr>
      <w:sz w:val="20"/>
      <w:szCs w:val="20"/>
    </w:rPr>
  </w:style>
  <w:style w:type="character" w:styleId="Hyperlink">
    <w:name w:val="Hyperlink"/>
    <w:basedOn w:val="DefaultParagraphFont"/>
    <w:uiPriority w:val="99"/>
    <w:unhideWhenUsed/>
    <w:rsid w:val="00F95A23"/>
    <w:rPr>
      <w:color w:val="0563C1" w:themeColor="hyperlink"/>
      <w:u w:val="single"/>
    </w:rPr>
  </w:style>
  <w:style w:type="character" w:customStyle="1" w:styleId="Heading2Char">
    <w:name w:val="Heading 2 Char"/>
    <w:basedOn w:val="DefaultParagraphFont"/>
    <w:link w:val="Heading2"/>
    <w:uiPriority w:val="9"/>
    <w:semiHidden/>
    <w:rsid w:val="00A65A4A"/>
    <w:rPr>
      <w:rFonts w:asciiTheme="majorHAnsi" w:eastAsiaTheme="majorEastAsia" w:hAnsiTheme="majorHAnsi" w:cstheme="majorBidi"/>
      <w:color w:val="2F5496" w:themeColor="accent1" w:themeShade="BF"/>
      <w:kern w:val="2"/>
      <w:sz w:val="26"/>
      <w:szCs w:val="26"/>
      <w:lang w:val="en-GB"/>
      <w14:ligatures w14:val="standardContextual"/>
    </w:rPr>
  </w:style>
  <w:style w:type="character" w:customStyle="1" w:styleId="Heading3Char">
    <w:name w:val="Heading 3 Char"/>
    <w:basedOn w:val="DefaultParagraphFont"/>
    <w:link w:val="Heading3"/>
    <w:uiPriority w:val="9"/>
    <w:semiHidden/>
    <w:rsid w:val="00A65A4A"/>
    <w:rPr>
      <w:rFonts w:asciiTheme="majorHAnsi" w:eastAsiaTheme="majorEastAsia" w:hAnsiTheme="majorHAnsi" w:cstheme="majorBidi"/>
      <w:color w:val="1F3763" w:themeColor="accent1" w:themeShade="7F"/>
      <w:kern w:val="2"/>
      <w:sz w:val="24"/>
      <w:szCs w:val="24"/>
      <w:lang w:val="en-GB"/>
      <w14:ligatures w14:val="standardContextual"/>
    </w:rPr>
  </w:style>
  <w:style w:type="paragraph" w:styleId="Header">
    <w:name w:val="header"/>
    <w:basedOn w:val="Normal"/>
    <w:link w:val="HeaderChar"/>
    <w:uiPriority w:val="99"/>
    <w:unhideWhenUsed/>
    <w:rsid w:val="006D20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200C"/>
    <w:rPr>
      <w:kern w:val="2"/>
      <w:sz w:val="24"/>
      <w:szCs w:val="24"/>
      <w:lang w:val="en-GB"/>
      <w14:ligatures w14:val="standardContextual"/>
    </w:rPr>
  </w:style>
  <w:style w:type="paragraph" w:styleId="Footer">
    <w:name w:val="footer"/>
    <w:basedOn w:val="Normal"/>
    <w:link w:val="FooterChar"/>
    <w:uiPriority w:val="99"/>
    <w:unhideWhenUsed/>
    <w:rsid w:val="006D200C"/>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200C"/>
    <w:rPr>
      <w:kern w:val="2"/>
      <w:sz w:val="24"/>
      <w:szCs w:val="24"/>
      <w:lang w:val="en-GB"/>
      <w14:ligatures w14:val="standardContextual"/>
    </w:rPr>
  </w:style>
  <w:style w:type="paragraph" w:customStyle="1" w:styleId="Default">
    <w:name w:val="Default"/>
    <w:rsid w:val="00592DE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00490">
      <w:bodyDiv w:val="1"/>
      <w:marLeft w:val="0"/>
      <w:marRight w:val="0"/>
      <w:marTop w:val="0"/>
      <w:marBottom w:val="0"/>
      <w:divBdr>
        <w:top w:val="none" w:sz="0" w:space="0" w:color="auto"/>
        <w:left w:val="none" w:sz="0" w:space="0" w:color="auto"/>
        <w:bottom w:val="none" w:sz="0" w:space="0" w:color="auto"/>
        <w:right w:val="none" w:sz="0" w:space="0" w:color="auto"/>
      </w:divBdr>
      <w:divsChild>
        <w:div w:id="1419208211">
          <w:marLeft w:val="0"/>
          <w:marRight w:val="0"/>
          <w:marTop w:val="0"/>
          <w:marBottom w:val="0"/>
          <w:divBdr>
            <w:top w:val="none" w:sz="0" w:space="0" w:color="auto"/>
            <w:left w:val="none" w:sz="0" w:space="0" w:color="auto"/>
            <w:bottom w:val="none" w:sz="0" w:space="0" w:color="auto"/>
            <w:right w:val="none" w:sz="0" w:space="0" w:color="auto"/>
          </w:divBdr>
          <w:divsChild>
            <w:div w:id="90518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56833">
      <w:bodyDiv w:val="1"/>
      <w:marLeft w:val="0"/>
      <w:marRight w:val="0"/>
      <w:marTop w:val="0"/>
      <w:marBottom w:val="0"/>
      <w:divBdr>
        <w:top w:val="none" w:sz="0" w:space="0" w:color="auto"/>
        <w:left w:val="none" w:sz="0" w:space="0" w:color="auto"/>
        <w:bottom w:val="none" w:sz="0" w:space="0" w:color="auto"/>
        <w:right w:val="none" w:sz="0" w:space="0" w:color="auto"/>
      </w:divBdr>
      <w:divsChild>
        <w:div w:id="1113017071">
          <w:marLeft w:val="0"/>
          <w:marRight w:val="0"/>
          <w:marTop w:val="0"/>
          <w:marBottom w:val="0"/>
          <w:divBdr>
            <w:top w:val="none" w:sz="0" w:space="0" w:color="auto"/>
            <w:left w:val="none" w:sz="0" w:space="0" w:color="auto"/>
            <w:bottom w:val="none" w:sz="0" w:space="0" w:color="auto"/>
            <w:right w:val="none" w:sz="0" w:space="0" w:color="auto"/>
          </w:divBdr>
          <w:divsChild>
            <w:div w:id="13280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27640">
      <w:bodyDiv w:val="1"/>
      <w:marLeft w:val="0"/>
      <w:marRight w:val="0"/>
      <w:marTop w:val="0"/>
      <w:marBottom w:val="0"/>
      <w:divBdr>
        <w:top w:val="none" w:sz="0" w:space="0" w:color="auto"/>
        <w:left w:val="none" w:sz="0" w:space="0" w:color="auto"/>
        <w:bottom w:val="none" w:sz="0" w:space="0" w:color="auto"/>
        <w:right w:val="none" w:sz="0" w:space="0" w:color="auto"/>
      </w:divBdr>
      <w:divsChild>
        <w:div w:id="711539595">
          <w:marLeft w:val="0"/>
          <w:marRight w:val="0"/>
          <w:marTop w:val="0"/>
          <w:marBottom w:val="0"/>
          <w:divBdr>
            <w:top w:val="none" w:sz="0" w:space="0" w:color="auto"/>
            <w:left w:val="none" w:sz="0" w:space="0" w:color="auto"/>
            <w:bottom w:val="none" w:sz="0" w:space="0" w:color="auto"/>
            <w:right w:val="none" w:sz="0" w:space="0" w:color="auto"/>
          </w:divBdr>
          <w:divsChild>
            <w:div w:id="159385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14</Pages>
  <Words>3381</Words>
  <Characters>23162</Characters>
  <Application>Microsoft Office Word</Application>
  <DocSecurity>0</DocSecurity>
  <Lines>445</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 costa</dc:creator>
  <cp:keywords/>
  <dc:description/>
  <cp:lastModifiedBy>Utilizator Windows</cp:lastModifiedBy>
  <cp:revision>28</cp:revision>
  <dcterms:created xsi:type="dcterms:W3CDTF">2024-10-16T17:32:00Z</dcterms:created>
  <dcterms:modified xsi:type="dcterms:W3CDTF">2024-10-18T20:03:00Z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917010695bb8efc7c05522bb8acf6fe516c674394210a6abd9d1e90ff2e7bfb0</vt:lpwstr>
  </property>
</Properties>
</file>