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2120E" w:rsidRDefault="0062120E" w:rsidP="007D490D">
      <w:pPr>
        <w:spacing w:line="360" w:lineRule="auto"/>
        <w:jc w:val="center"/>
        <w:rPr>
          <w:rFonts w:ascii="Times New Roman" w:eastAsia="Times New Roman" w:hAnsi="Times New Roman" w:cs="Times New Roman"/>
          <w:b/>
          <w:color w:val="000000" w:themeColor="text1"/>
          <w:sz w:val="32"/>
          <w:szCs w:val="32"/>
        </w:rPr>
      </w:pPr>
    </w:p>
    <w:p w:rsidR="0062120E" w:rsidRDefault="0062120E" w:rsidP="007D490D">
      <w:pPr>
        <w:spacing w:line="360" w:lineRule="auto"/>
        <w:jc w:val="center"/>
        <w:rPr>
          <w:rFonts w:ascii="Times New Roman" w:eastAsia="Times New Roman" w:hAnsi="Times New Roman" w:cs="Times New Roman"/>
          <w:b/>
          <w:color w:val="000000" w:themeColor="text1"/>
          <w:sz w:val="32"/>
          <w:szCs w:val="32"/>
        </w:rPr>
      </w:pPr>
    </w:p>
    <w:p w:rsidR="0062120E" w:rsidRDefault="0062120E" w:rsidP="007D490D">
      <w:pPr>
        <w:spacing w:line="360" w:lineRule="auto"/>
        <w:jc w:val="center"/>
        <w:rPr>
          <w:rFonts w:ascii="Times New Roman" w:eastAsia="Times New Roman" w:hAnsi="Times New Roman" w:cs="Times New Roman"/>
          <w:b/>
          <w:color w:val="000000" w:themeColor="text1"/>
          <w:sz w:val="32"/>
          <w:szCs w:val="32"/>
        </w:rPr>
      </w:pPr>
    </w:p>
    <w:p w:rsidR="0062120E" w:rsidRDefault="005678AF" w:rsidP="007D490D">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Name</w:t>
      </w:r>
      <w:r w:rsidR="00475787">
        <w:rPr>
          <w:rFonts w:ascii="Times New Roman" w:eastAsia="Times New Roman" w:hAnsi="Times New Roman" w:cs="Times New Roman"/>
          <w:b/>
          <w:color w:val="000000" w:themeColor="text1"/>
          <w:sz w:val="32"/>
          <w:szCs w:val="32"/>
        </w:rPr>
        <w:t>_jaskaran</w:t>
      </w:r>
    </w:p>
    <w:p w:rsidR="00475787" w:rsidRDefault="00475787" w:rsidP="007D490D">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number _2230229 </w:t>
      </w:r>
    </w:p>
    <w:p w:rsidR="0062120E" w:rsidRDefault="008836FA" w:rsidP="007D490D">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 name _ Efua admas</w:t>
      </w:r>
    </w:p>
    <w:p w:rsidR="0062120E" w:rsidRDefault="0062120E" w:rsidP="007D490D">
      <w:pPr>
        <w:spacing w:line="360" w:lineRule="auto"/>
        <w:jc w:val="center"/>
        <w:rPr>
          <w:rFonts w:ascii="Times New Roman" w:eastAsia="Times New Roman" w:hAnsi="Times New Roman" w:cs="Times New Roman"/>
          <w:b/>
          <w:color w:val="000000" w:themeColor="text1"/>
          <w:sz w:val="32"/>
          <w:szCs w:val="32"/>
        </w:rPr>
      </w:pPr>
    </w:p>
    <w:p w:rsidR="00C5770C" w:rsidRPr="007D490D" w:rsidRDefault="008B6954" w:rsidP="007D490D">
      <w:pPr>
        <w:spacing w:line="360" w:lineRule="auto"/>
        <w:jc w:val="center"/>
        <w:rPr>
          <w:rFonts w:ascii="Times New Roman" w:eastAsia="Times New Roman" w:hAnsi="Times New Roman" w:cs="Times New Roman"/>
          <w:b/>
          <w:color w:val="000000" w:themeColor="text1"/>
          <w:sz w:val="32"/>
          <w:szCs w:val="32"/>
        </w:rPr>
      </w:pPr>
      <w:r w:rsidRPr="007D490D">
        <w:rPr>
          <w:rFonts w:ascii="Times New Roman" w:eastAsia="Times New Roman" w:hAnsi="Times New Roman" w:cs="Times New Roman"/>
          <w:b/>
          <w:color w:val="000000" w:themeColor="text1"/>
          <w:sz w:val="32"/>
          <w:szCs w:val="32"/>
        </w:rPr>
        <w:t xml:space="preserve">COMMUNITY ENGAGEMENT  </w:t>
      </w:r>
    </w:p>
    <w:p w:rsidR="00C5770C" w:rsidRPr="007D490D" w:rsidRDefault="008B6954" w:rsidP="007D490D">
      <w:pPr>
        <w:spacing w:line="360" w:lineRule="auto"/>
        <w:jc w:val="center"/>
        <w:rPr>
          <w:rFonts w:ascii="Times New Roman" w:eastAsia="Times New Roman" w:hAnsi="Times New Roman" w:cs="Times New Roman"/>
          <w:b/>
          <w:color w:val="000000" w:themeColor="text1"/>
          <w:sz w:val="32"/>
          <w:szCs w:val="32"/>
        </w:rPr>
      </w:pPr>
      <w:r w:rsidRPr="007D490D">
        <w:rPr>
          <w:rFonts w:ascii="Times New Roman" w:eastAsia="Times New Roman" w:hAnsi="Times New Roman" w:cs="Times New Roman"/>
          <w:b/>
          <w:color w:val="000000" w:themeColor="text1"/>
          <w:sz w:val="32"/>
          <w:szCs w:val="32"/>
        </w:rPr>
        <w:t xml:space="preserve">ASSESSMENT COMPONENT 2 </w:t>
      </w:r>
    </w:p>
    <w:p w:rsidR="00C5770C" w:rsidRPr="007D490D" w:rsidRDefault="00C5770C" w:rsidP="007D490D">
      <w:pPr>
        <w:spacing w:line="360" w:lineRule="auto"/>
        <w:jc w:val="center"/>
        <w:rPr>
          <w:rFonts w:ascii="Times New Roman" w:eastAsia="Times New Roman" w:hAnsi="Times New Roman" w:cs="Times New Roman"/>
          <w:b/>
          <w:color w:val="000000" w:themeColor="text1"/>
          <w:sz w:val="32"/>
          <w:szCs w:val="32"/>
        </w:rPr>
      </w:pPr>
    </w:p>
    <w:p w:rsidR="00C5770C" w:rsidRPr="00A63A71" w:rsidRDefault="008B6954" w:rsidP="007D490D">
      <w:pPr>
        <w:spacing w:line="360" w:lineRule="auto"/>
        <w:jc w:val="center"/>
        <w:rPr>
          <w:rFonts w:ascii="Times New Roman" w:eastAsia="Times New Roman" w:hAnsi="Times New Roman" w:cs="Times New Roman"/>
          <w:b/>
          <w:color w:val="000000" w:themeColor="text1"/>
          <w:sz w:val="28"/>
          <w:szCs w:val="32"/>
        </w:rPr>
      </w:pPr>
      <w:r w:rsidRPr="00A63A71">
        <w:rPr>
          <w:rFonts w:ascii="Times New Roman" w:eastAsia="Times New Roman" w:hAnsi="Times New Roman" w:cs="Times New Roman"/>
          <w:b/>
          <w:color w:val="000000" w:themeColor="text1"/>
          <w:sz w:val="28"/>
          <w:szCs w:val="32"/>
        </w:rPr>
        <w:t>LCBB4002</w:t>
      </w:r>
    </w:p>
    <w:p w:rsidR="00C5770C" w:rsidRPr="007D490D" w:rsidRDefault="008B6954" w:rsidP="007D490D">
      <w:pPr>
        <w:spacing w:line="360" w:lineRule="auto"/>
        <w:jc w:val="center"/>
        <w:rPr>
          <w:rFonts w:ascii="Times New Roman" w:eastAsia="Times New Roman" w:hAnsi="Times New Roman" w:cs="Times New Roman"/>
          <w:b/>
          <w:color w:val="000000" w:themeColor="text1"/>
          <w:sz w:val="32"/>
          <w:szCs w:val="32"/>
        </w:rPr>
      </w:pPr>
      <w:r w:rsidRPr="00A63A71">
        <w:rPr>
          <w:rFonts w:ascii="Times New Roman" w:eastAsia="Times New Roman" w:hAnsi="Times New Roman" w:cs="Times New Roman"/>
          <w:b/>
          <w:color w:val="000000" w:themeColor="text1"/>
          <w:sz w:val="28"/>
          <w:szCs w:val="32"/>
        </w:rPr>
        <w:t>BA BUSINESS MANAGEMENT</w:t>
      </w:r>
    </w:p>
    <w:p w:rsidR="0062120E" w:rsidRDefault="008B6954" w:rsidP="007D490D">
      <w:pPr>
        <w:spacing w:line="360" w:lineRule="auto"/>
        <w:jc w:val="center"/>
        <w:rPr>
          <w:rFonts w:ascii="Times New Roman" w:eastAsia="Times New Roman" w:hAnsi="Times New Roman" w:cs="Times New Roman"/>
          <w:b/>
          <w:color w:val="000000" w:themeColor="text1"/>
          <w:sz w:val="28"/>
          <w:szCs w:val="28"/>
        </w:rPr>
      </w:pPr>
      <w:r w:rsidRPr="007D490D">
        <w:rPr>
          <w:rFonts w:ascii="Times New Roman" w:eastAsia="Times New Roman" w:hAnsi="Times New Roman" w:cs="Times New Roman"/>
          <w:b/>
          <w:color w:val="000000" w:themeColor="text1"/>
          <w:sz w:val="28"/>
          <w:szCs w:val="28"/>
        </w:rPr>
        <w:lastRenderedPageBreak/>
        <w:t>Table of contents</w:t>
      </w:r>
    </w:p>
    <w:sdt>
      <w:sdtPr>
        <w:rPr>
          <w:rFonts w:ascii="Arial" w:eastAsia="Arial" w:hAnsi="Arial" w:cs="Arial"/>
          <w:color w:val="auto"/>
          <w:sz w:val="22"/>
          <w:szCs w:val="22"/>
          <w:lang w:val="en-GB" w:eastAsia="en-GB"/>
        </w:rPr>
        <w:id w:val="-234007608"/>
        <w:docPartObj>
          <w:docPartGallery w:val="Table of Contents"/>
          <w:docPartUnique/>
        </w:docPartObj>
      </w:sdtPr>
      <w:sdtEndPr>
        <w:rPr>
          <w:b/>
          <w:bCs/>
          <w:noProof/>
        </w:rPr>
      </w:sdtEndPr>
      <w:sdtContent>
        <w:p w:rsidR="0062120E" w:rsidRDefault="0062120E">
          <w:pPr>
            <w:pStyle w:val="TOCHeading"/>
          </w:pPr>
        </w:p>
        <w:p w:rsidR="0062120E" w:rsidRPr="0062120E" w:rsidRDefault="008B6954" w:rsidP="0062120E">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51739593" w:history="1">
            <w:r w:rsidRPr="0062120E">
              <w:rPr>
                <w:rStyle w:val="Hyperlink"/>
                <w:rFonts w:ascii="Times New Roman" w:hAnsi="Times New Roman" w:cs="Times New Roman"/>
                <w:noProof/>
                <w:sz w:val="24"/>
              </w:rPr>
              <w:t>PART B</w:t>
            </w:r>
            <w:r w:rsidRPr="0062120E">
              <w:rPr>
                <w:rFonts w:ascii="Times New Roman" w:hAnsi="Times New Roman" w:cs="Times New Roman"/>
                <w:noProof/>
                <w:webHidden/>
                <w:sz w:val="24"/>
              </w:rPr>
              <w:tab/>
            </w:r>
            <w:r w:rsidRPr="0062120E">
              <w:rPr>
                <w:rFonts w:ascii="Times New Roman" w:hAnsi="Times New Roman" w:cs="Times New Roman"/>
                <w:noProof/>
                <w:webHidden/>
                <w:sz w:val="24"/>
              </w:rPr>
              <w:fldChar w:fldCharType="begin"/>
            </w:r>
            <w:r w:rsidRPr="0062120E">
              <w:rPr>
                <w:rFonts w:ascii="Times New Roman" w:hAnsi="Times New Roman" w:cs="Times New Roman"/>
                <w:noProof/>
                <w:webHidden/>
                <w:sz w:val="24"/>
              </w:rPr>
              <w:instrText xml:space="preserve"> PAGEREF _Toc151739593 \h </w:instrText>
            </w:r>
            <w:r w:rsidRPr="0062120E">
              <w:rPr>
                <w:rFonts w:ascii="Times New Roman" w:hAnsi="Times New Roman" w:cs="Times New Roman"/>
                <w:noProof/>
                <w:webHidden/>
                <w:sz w:val="24"/>
              </w:rPr>
            </w:r>
            <w:r w:rsidRPr="0062120E">
              <w:rPr>
                <w:rFonts w:ascii="Times New Roman" w:hAnsi="Times New Roman" w:cs="Times New Roman"/>
                <w:noProof/>
                <w:webHidden/>
                <w:sz w:val="24"/>
              </w:rPr>
              <w:fldChar w:fldCharType="separate"/>
            </w:r>
            <w:r w:rsidRPr="0062120E">
              <w:rPr>
                <w:rFonts w:ascii="Times New Roman" w:hAnsi="Times New Roman" w:cs="Times New Roman"/>
                <w:noProof/>
                <w:webHidden/>
                <w:sz w:val="24"/>
              </w:rPr>
              <w:t>3</w:t>
            </w:r>
            <w:r w:rsidRPr="0062120E">
              <w:rPr>
                <w:rFonts w:ascii="Times New Roman" w:hAnsi="Times New Roman" w:cs="Times New Roman"/>
                <w:noProof/>
                <w:webHidden/>
                <w:sz w:val="24"/>
              </w:rPr>
              <w:fldChar w:fldCharType="end"/>
            </w:r>
          </w:hyperlink>
        </w:p>
        <w:p w:rsidR="0062120E" w:rsidRPr="0062120E" w:rsidRDefault="00DF7392" w:rsidP="0062120E">
          <w:pPr>
            <w:pStyle w:val="TOC1"/>
            <w:tabs>
              <w:tab w:val="right" w:leader="dot" w:pos="9350"/>
            </w:tabs>
            <w:spacing w:line="360" w:lineRule="auto"/>
            <w:jc w:val="both"/>
            <w:rPr>
              <w:rFonts w:ascii="Times New Roman" w:hAnsi="Times New Roman" w:cs="Times New Roman"/>
              <w:noProof/>
              <w:sz w:val="24"/>
            </w:rPr>
          </w:pPr>
          <w:hyperlink w:anchor="_Toc151739594" w:history="1">
            <w:r w:rsidR="008B6954" w:rsidRPr="0062120E">
              <w:rPr>
                <w:rStyle w:val="Hyperlink"/>
                <w:rFonts w:ascii="Times New Roman" w:hAnsi="Times New Roman" w:cs="Times New Roman"/>
                <w:noProof/>
                <w:sz w:val="24"/>
              </w:rPr>
              <w:t>Introduction</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_Toc151739594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3</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1"/>
            <w:tabs>
              <w:tab w:val="right" w:leader="dot" w:pos="9350"/>
            </w:tabs>
            <w:spacing w:line="360" w:lineRule="auto"/>
            <w:jc w:val="both"/>
            <w:rPr>
              <w:rFonts w:ascii="Times New Roman" w:hAnsi="Times New Roman" w:cs="Times New Roman"/>
              <w:noProof/>
              <w:sz w:val="24"/>
            </w:rPr>
          </w:pPr>
          <w:hyperlink w:anchor="_Toc151739595" w:history="1">
            <w:r w:rsidR="008B6954" w:rsidRPr="0062120E">
              <w:rPr>
                <w:rStyle w:val="Hyperlink"/>
                <w:rFonts w:ascii="Times New Roman" w:hAnsi="Times New Roman" w:cs="Times New Roman"/>
                <w:noProof/>
                <w:sz w:val="24"/>
              </w:rPr>
              <w:t>The Body</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_Toc151739595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3</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2"/>
            <w:tabs>
              <w:tab w:val="right" w:leader="dot" w:pos="9350"/>
            </w:tabs>
            <w:spacing w:line="360" w:lineRule="auto"/>
            <w:jc w:val="both"/>
            <w:rPr>
              <w:rFonts w:ascii="Times New Roman" w:hAnsi="Times New Roman" w:cs="Times New Roman"/>
              <w:noProof/>
              <w:sz w:val="24"/>
            </w:rPr>
          </w:pPr>
          <w:hyperlink w:anchor="_Toc151739596" w:history="1">
            <w:r w:rsidR="008B6954" w:rsidRPr="0062120E">
              <w:rPr>
                <w:rStyle w:val="Hyperlink"/>
                <w:rFonts w:ascii="Times New Roman" w:hAnsi="Times New Roman" w:cs="Times New Roman"/>
                <w:noProof/>
                <w:sz w:val="24"/>
              </w:rPr>
              <w:t>Short brief on Gibbs’ reflective cycle</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_Toc151739596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3</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2"/>
            <w:tabs>
              <w:tab w:val="right" w:leader="dot" w:pos="9350"/>
            </w:tabs>
            <w:spacing w:line="360" w:lineRule="auto"/>
            <w:jc w:val="both"/>
            <w:rPr>
              <w:rFonts w:ascii="Times New Roman" w:hAnsi="Times New Roman" w:cs="Times New Roman"/>
              <w:noProof/>
              <w:sz w:val="24"/>
            </w:rPr>
          </w:pPr>
          <w:hyperlink w:anchor="_Toc151739597" w:history="1">
            <w:r w:rsidR="008B6954" w:rsidRPr="0062120E">
              <w:rPr>
                <w:rStyle w:val="Hyperlink"/>
                <w:rFonts w:ascii="Times New Roman" w:hAnsi="Times New Roman" w:cs="Times New Roman"/>
                <w:noProof/>
                <w:sz w:val="24"/>
              </w:rPr>
              <w:t>Description</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_Toc151739597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4</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2"/>
            <w:tabs>
              <w:tab w:val="right" w:leader="dot" w:pos="9350"/>
            </w:tabs>
            <w:spacing w:line="360" w:lineRule="auto"/>
            <w:jc w:val="both"/>
            <w:rPr>
              <w:rFonts w:ascii="Times New Roman" w:hAnsi="Times New Roman" w:cs="Times New Roman"/>
              <w:noProof/>
              <w:sz w:val="24"/>
            </w:rPr>
          </w:pPr>
          <w:hyperlink w:anchor="_Toc151739598" w:history="1">
            <w:r w:rsidR="008B6954" w:rsidRPr="0062120E">
              <w:rPr>
                <w:rStyle w:val="Hyperlink"/>
                <w:rFonts w:ascii="Times New Roman" w:hAnsi="Times New Roman" w:cs="Times New Roman"/>
                <w:noProof/>
                <w:sz w:val="24"/>
              </w:rPr>
              <w:t>Feeling</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_Toc151739598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5</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2"/>
            <w:tabs>
              <w:tab w:val="right" w:leader="dot" w:pos="9350"/>
            </w:tabs>
            <w:spacing w:line="360" w:lineRule="auto"/>
            <w:jc w:val="both"/>
            <w:rPr>
              <w:rFonts w:ascii="Times New Roman" w:hAnsi="Times New Roman" w:cs="Times New Roman"/>
              <w:noProof/>
              <w:sz w:val="24"/>
            </w:rPr>
          </w:pPr>
          <w:hyperlink w:anchor="_Toc151739599" w:history="1">
            <w:r w:rsidR="008B6954" w:rsidRPr="0062120E">
              <w:rPr>
                <w:rStyle w:val="Hyperlink"/>
                <w:rFonts w:ascii="Times New Roman" w:hAnsi="Times New Roman" w:cs="Times New Roman"/>
                <w:noProof/>
                <w:sz w:val="24"/>
              </w:rPr>
              <w:t>Evaluation</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_Toc151739599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5</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2"/>
            <w:tabs>
              <w:tab w:val="right" w:leader="dot" w:pos="9350"/>
            </w:tabs>
            <w:spacing w:line="360" w:lineRule="auto"/>
            <w:jc w:val="both"/>
            <w:rPr>
              <w:rFonts w:ascii="Times New Roman" w:hAnsi="Times New Roman" w:cs="Times New Roman"/>
              <w:noProof/>
              <w:sz w:val="24"/>
            </w:rPr>
          </w:pPr>
          <w:hyperlink w:anchor="_Toc151739600" w:history="1">
            <w:r w:rsidR="008B6954" w:rsidRPr="0062120E">
              <w:rPr>
                <w:rStyle w:val="Hyperlink"/>
                <w:rFonts w:ascii="Times New Roman" w:hAnsi="Times New Roman" w:cs="Times New Roman"/>
                <w:noProof/>
                <w:sz w:val="24"/>
              </w:rPr>
              <w:t>Analysis</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_Toc151739600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6</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2"/>
            <w:tabs>
              <w:tab w:val="right" w:leader="dot" w:pos="9350"/>
            </w:tabs>
            <w:spacing w:line="360" w:lineRule="auto"/>
            <w:jc w:val="both"/>
            <w:rPr>
              <w:rFonts w:ascii="Times New Roman" w:hAnsi="Times New Roman" w:cs="Times New Roman"/>
              <w:noProof/>
              <w:sz w:val="24"/>
            </w:rPr>
          </w:pPr>
          <w:hyperlink w:anchor="_Toc151739601" w:history="1">
            <w:r w:rsidR="008B6954" w:rsidRPr="0062120E">
              <w:rPr>
                <w:rStyle w:val="Hyperlink"/>
                <w:rFonts w:ascii="Times New Roman" w:hAnsi="Times New Roman" w:cs="Times New Roman"/>
                <w:noProof/>
                <w:sz w:val="24"/>
              </w:rPr>
              <w:t>Conclusion</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_Toc151739601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8</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2"/>
            <w:tabs>
              <w:tab w:val="right" w:leader="dot" w:pos="9350"/>
            </w:tabs>
            <w:spacing w:line="360" w:lineRule="auto"/>
            <w:jc w:val="both"/>
            <w:rPr>
              <w:rFonts w:ascii="Times New Roman" w:hAnsi="Times New Roman" w:cs="Times New Roman"/>
              <w:noProof/>
              <w:sz w:val="24"/>
            </w:rPr>
          </w:pPr>
          <w:hyperlink w:anchor="_Toc151739602" w:history="1">
            <w:r w:rsidR="008B6954" w:rsidRPr="0062120E">
              <w:rPr>
                <w:rStyle w:val="Hyperlink"/>
                <w:rFonts w:ascii="Times New Roman" w:hAnsi="Times New Roman" w:cs="Times New Roman"/>
                <w:noProof/>
                <w:sz w:val="24"/>
              </w:rPr>
              <w:t>Action Plan</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_Toc151739602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8</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1"/>
            <w:tabs>
              <w:tab w:val="right" w:leader="dot" w:pos="9350"/>
            </w:tabs>
            <w:spacing w:line="360" w:lineRule="auto"/>
            <w:jc w:val="both"/>
            <w:rPr>
              <w:rFonts w:ascii="Times New Roman" w:hAnsi="Times New Roman" w:cs="Times New Roman"/>
              <w:noProof/>
              <w:sz w:val="24"/>
            </w:rPr>
          </w:pPr>
          <w:hyperlink w:anchor="_Toc151739603" w:history="1">
            <w:r w:rsidR="008B6954" w:rsidRPr="0062120E">
              <w:rPr>
                <w:rStyle w:val="Hyperlink"/>
                <w:rFonts w:ascii="Times New Roman" w:hAnsi="Times New Roman" w:cs="Times New Roman"/>
                <w:noProof/>
                <w:sz w:val="24"/>
              </w:rPr>
              <w:t>Conclusion</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_Toc151739603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9</w:t>
            </w:r>
            <w:r w:rsidR="008B6954" w:rsidRPr="0062120E">
              <w:rPr>
                <w:rFonts w:ascii="Times New Roman" w:hAnsi="Times New Roman" w:cs="Times New Roman"/>
                <w:noProof/>
                <w:webHidden/>
                <w:sz w:val="24"/>
              </w:rPr>
              <w:fldChar w:fldCharType="end"/>
            </w:r>
          </w:hyperlink>
        </w:p>
        <w:p w:rsidR="0062120E" w:rsidRPr="0062120E" w:rsidRDefault="00DF7392" w:rsidP="0062120E">
          <w:pPr>
            <w:pStyle w:val="TOC1"/>
            <w:tabs>
              <w:tab w:val="right" w:leader="dot" w:pos="9350"/>
            </w:tabs>
            <w:spacing w:line="360" w:lineRule="auto"/>
            <w:jc w:val="both"/>
            <w:rPr>
              <w:rFonts w:ascii="Times New Roman" w:hAnsi="Times New Roman" w:cs="Times New Roman"/>
              <w:noProof/>
              <w:sz w:val="24"/>
            </w:rPr>
          </w:pPr>
          <w:hyperlink w:anchor="_Toc151739604" w:history="1">
            <w:r w:rsidR="008B6954" w:rsidRPr="0062120E">
              <w:rPr>
                <w:rStyle w:val="Hyperlink"/>
                <w:rFonts w:ascii="Times New Roman" w:hAnsi="Times New Roman" w:cs="Times New Roman"/>
                <w:noProof/>
                <w:sz w:val="24"/>
              </w:rPr>
              <w:t>References</w:t>
            </w:r>
            <w:r w:rsidR="008B6954" w:rsidRPr="0062120E">
              <w:rPr>
                <w:rFonts w:ascii="Times New Roman" w:hAnsi="Times New Roman" w:cs="Times New Roman"/>
                <w:noProof/>
                <w:webHidden/>
                <w:sz w:val="24"/>
              </w:rPr>
              <w:tab/>
            </w:r>
            <w:r w:rsidR="008B6954" w:rsidRPr="0062120E">
              <w:rPr>
                <w:rFonts w:ascii="Times New Roman" w:hAnsi="Times New Roman" w:cs="Times New Roman"/>
                <w:noProof/>
                <w:webHidden/>
                <w:sz w:val="24"/>
              </w:rPr>
              <w:fldChar w:fldCharType="begin"/>
            </w:r>
            <w:r w:rsidR="008B6954" w:rsidRPr="0062120E">
              <w:rPr>
                <w:rFonts w:ascii="Times New Roman" w:hAnsi="Times New Roman" w:cs="Times New Roman"/>
                <w:noProof/>
                <w:webHidden/>
                <w:sz w:val="24"/>
              </w:rPr>
              <w:instrText xml:space="preserve"> PAGEREF _Toc151739604 \h </w:instrText>
            </w:r>
            <w:r w:rsidR="008B6954" w:rsidRPr="0062120E">
              <w:rPr>
                <w:rFonts w:ascii="Times New Roman" w:hAnsi="Times New Roman" w:cs="Times New Roman"/>
                <w:noProof/>
                <w:webHidden/>
                <w:sz w:val="24"/>
              </w:rPr>
            </w:r>
            <w:r w:rsidR="008B6954" w:rsidRPr="0062120E">
              <w:rPr>
                <w:rFonts w:ascii="Times New Roman" w:hAnsi="Times New Roman" w:cs="Times New Roman"/>
                <w:noProof/>
                <w:webHidden/>
                <w:sz w:val="24"/>
              </w:rPr>
              <w:fldChar w:fldCharType="separate"/>
            </w:r>
            <w:r w:rsidR="008B6954" w:rsidRPr="0062120E">
              <w:rPr>
                <w:rFonts w:ascii="Times New Roman" w:hAnsi="Times New Roman" w:cs="Times New Roman"/>
                <w:noProof/>
                <w:webHidden/>
                <w:sz w:val="24"/>
              </w:rPr>
              <w:t>11</w:t>
            </w:r>
            <w:r w:rsidR="008B6954" w:rsidRPr="0062120E">
              <w:rPr>
                <w:rFonts w:ascii="Times New Roman" w:hAnsi="Times New Roman" w:cs="Times New Roman"/>
                <w:noProof/>
                <w:webHidden/>
                <w:sz w:val="24"/>
              </w:rPr>
              <w:fldChar w:fldCharType="end"/>
            </w:r>
          </w:hyperlink>
        </w:p>
        <w:p w:rsidR="0062120E" w:rsidRDefault="008B6954">
          <w:r>
            <w:rPr>
              <w:b/>
              <w:bCs/>
              <w:noProof/>
            </w:rPr>
            <w:fldChar w:fldCharType="end"/>
          </w:r>
        </w:p>
      </w:sdtContent>
    </w:sdt>
    <w:p w:rsidR="00C5770C" w:rsidRPr="007D490D" w:rsidRDefault="008B6954" w:rsidP="007D490D">
      <w:pPr>
        <w:spacing w:line="360" w:lineRule="auto"/>
        <w:jc w:val="center"/>
        <w:rPr>
          <w:rFonts w:ascii="Times New Roman" w:eastAsia="Times New Roman" w:hAnsi="Times New Roman" w:cs="Times New Roman"/>
          <w:b/>
          <w:color w:val="000000" w:themeColor="text1"/>
          <w:sz w:val="28"/>
          <w:szCs w:val="28"/>
        </w:rPr>
      </w:pPr>
      <w:r w:rsidRPr="007D490D">
        <w:rPr>
          <w:color w:val="000000" w:themeColor="text1"/>
        </w:rPr>
        <w:br w:type="page"/>
      </w:r>
    </w:p>
    <w:p w:rsidR="00C5770C" w:rsidRPr="007D490D" w:rsidRDefault="008B6954" w:rsidP="007D490D">
      <w:pPr>
        <w:pStyle w:val="Heading1"/>
      </w:pPr>
      <w:bookmarkStart w:id="0" w:name="_Toc151739593"/>
      <w:r w:rsidRPr="007D490D">
        <w:lastRenderedPageBreak/>
        <w:t>PART B</w:t>
      </w:r>
      <w:bookmarkEnd w:id="0"/>
    </w:p>
    <w:p w:rsidR="00C5770C" w:rsidRPr="007D490D" w:rsidRDefault="008B6954" w:rsidP="007D490D">
      <w:pPr>
        <w:pStyle w:val="Heading1"/>
      </w:pPr>
      <w:bookmarkStart w:id="1" w:name="_Toc151739594"/>
      <w:r w:rsidRPr="007D490D">
        <w:t>Introduction</w:t>
      </w:r>
      <w:bookmarkEnd w:id="1"/>
    </w:p>
    <w:p w:rsidR="003B3127"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This assessment will shed light on the aspects of how effectively I will coordinate in a community engagement program in my future professional career. In order to conduct this assessment I will focus on implementing Gibbs’ reflective cycle which significantly helped me to consider the factors of the active consultation processes, the innovative approaches of implementing stakeholder management activities, the processes of implementing effective communication management processes in order to manage the future community engagement program. According to the studies by Adeani </w:t>
      </w:r>
      <w:r w:rsidRPr="007D490D">
        <w:rPr>
          <w:rFonts w:ascii="Times New Roman" w:eastAsia="Times New Roman" w:hAnsi="Times New Roman" w:cs="Times New Roman"/>
          <w:i/>
          <w:color w:val="000000" w:themeColor="text1"/>
          <w:sz w:val="24"/>
          <w:szCs w:val="24"/>
        </w:rPr>
        <w:t xml:space="preserve">et al. </w:t>
      </w:r>
      <w:r w:rsidRPr="007D490D">
        <w:rPr>
          <w:rFonts w:ascii="Times New Roman" w:eastAsia="Times New Roman" w:hAnsi="Times New Roman" w:cs="Times New Roman"/>
          <w:color w:val="000000" w:themeColor="text1"/>
          <w:sz w:val="24"/>
          <w:szCs w:val="24"/>
        </w:rPr>
        <w:t xml:space="preserve">(2020), Gibb’s reflective cycle consists of six different stages that are description, evaluation, analysis, feelings, conclusion and action plan which significantly allow individuals to represent the experiences. </w:t>
      </w:r>
    </w:p>
    <w:p w:rsidR="00C5770C" w:rsidRPr="007D490D"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This assessment will provide a detailed overview of how I will focus on implementing innovative communication management processes, effective stakeholder management activities and advanced community participation processes in order to manage the future community engagement program and how the strategies within Assignment 1 that are active community engagement principles, advanced digital communication management processes will different from the current strategies. According to the studies by Haldane </w:t>
      </w:r>
      <w:r w:rsidRPr="007D490D">
        <w:rPr>
          <w:rFonts w:ascii="Times New Roman" w:eastAsia="Times New Roman" w:hAnsi="Times New Roman" w:cs="Times New Roman"/>
          <w:i/>
          <w:color w:val="000000" w:themeColor="text1"/>
          <w:sz w:val="24"/>
          <w:szCs w:val="24"/>
        </w:rPr>
        <w:t xml:space="preserve">et al. </w:t>
      </w:r>
      <w:r w:rsidRPr="007D490D">
        <w:rPr>
          <w:rFonts w:ascii="Times New Roman" w:eastAsia="Times New Roman" w:hAnsi="Times New Roman" w:cs="Times New Roman"/>
          <w:color w:val="000000" w:themeColor="text1"/>
          <w:sz w:val="24"/>
          <w:szCs w:val="24"/>
        </w:rPr>
        <w:t xml:space="preserve">(2019), in order to develop a community engagement program, leaders need to focus on considering the factors of communication, education, and sense of ownership as well as factors of collaboration which will effectively help to improve the community engagement processes and active participation processes.          </w:t>
      </w:r>
    </w:p>
    <w:p w:rsidR="00C5770C" w:rsidRPr="007D490D" w:rsidRDefault="008B6954" w:rsidP="007D490D">
      <w:pPr>
        <w:pStyle w:val="Heading1"/>
      </w:pPr>
      <w:bookmarkStart w:id="2" w:name="_Toc151739595"/>
      <w:r w:rsidRPr="007D490D">
        <w:t>The Bod</w:t>
      </w:r>
      <w:r w:rsidR="007D490D">
        <w:t>y</w:t>
      </w:r>
      <w:bookmarkEnd w:id="2"/>
    </w:p>
    <w:p w:rsidR="00C5770C" w:rsidRPr="007D490D" w:rsidRDefault="008B6954" w:rsidP="007D490D">
      <w:pPr>
        <w:pStyle w:val="Heading2"/>
      </w:pPr>
      <w:bookmarkStart w:id="3" w:name="_Toc151739596"/>
      <w:r w:rsidRPr="007D490D">
        <w:t>Short brief on Gibbs’ reflective cycle</w:t>
      </w:r>
      <w:bookmarkEnd w:id="3"/>
    </w:p>
    <w:p w:rsidR="00C5770C" w:rsidRPr="007D490D"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The main benefits of using this exclusive reflective model are to understand what an individual feels, and learn and which area the individual has faced a lack regarding future career growth and improvement.</w:t>
      </w:r>
    </w:p>
    <w:p w:rsidR="00C5770C" w:rsidRPr="007D490D" w:rsidRDefault="008B6954" w:rsidP="007D490D">
      <w:pPr>
        <w:spacing w:line="360" w:lineRule="auto"/>
        <w:jc w:val="center"/>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noProof/>
          <w:color w:val="000000" w:themeColor="text1"/>
          <w:sz w:val="24"/>
          <w:szCs w:val="24"/>
        </w:rPr>
        <w:lastRenderedPageBreak/>
        <w:drawing>
          <wp:inline distT="114300" distB="114300" distL="114300" distR="114300">
            <wp:extent cx="3257550" cy="3227733"/>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a:stretch>
                      <a:fillRect/>
                    </a:stretch>
                  </pic:blipFill>
                  <pic:spPr>
                    <a:xfrm>
                      <a:off x="0" y="0"/>
                      <a:ext cx="3257550" cy="3227733"/>
                    </a:xfrm>
                    <a:prstGeom prst="rect">
                      <a:avLst/>
                    </a:prstGeom>
                    <a:ln w="12700">
                      <a:solidFill>
                        <a:srgbClr val="000000"/>
                      </a:solidFill>
                      <a:prstDash val="solid"/>
                    </a:ln>
                  </pic:spPr>
                </pic:pic>
              </a:graphicData>
            </a:graphic>
          </wp:inline>
        </w:drawing>
      </w:r>
    </w:p>
    <w:p w:rsidR="00C5770C" w:rsidRPr="007D490D" w:rsidRDefault="008B6954" w:rsidP="007D490D">
      <w:pPr>
        <w:spacing w:line="360" w:lineRule="auto"/>
        <w:jc w:val="center"/>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color w:val="000000" w:themeColor="text1"/>
          <w:sz w:val="24"/>
          <w:szCs w:val="24"/>
        </w:rPr>
        <w:t>Figure 1: Gibbs’ reflective model</w:t>
      </w:r>
    </w:p>
    <w:p w:rsidR="00C5770C" w:rsidRPr="007D490D" w:rsidRDefault="008B6954" w:rsidP="007D490D">
      <w:pPr>
        <w:spacing w:line="360" w:lineRule="auto"/>
        <w:jc w:val="center"/>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(Source: Developed based on Adeani </w:t>
      </w:r>
      <w:r w:rsidRPr="007D490D">
        <w:rPr>
          <w:rFonts w:ascii="Times New Roman" w:eastAsia="Times New Roman" w:hAnsi="Times New Roman" w:cs="Times New Roman"/>
          <w:i/>
          <w:color w:val="000000" w:themeColor="text1"/>
          <w:sz w:val="24"/>
          <w:szCs w:val="24"/>
        </w:rPr>
        <w:t>et al</w:t>
      </w:r>
      <w:r w:rsidRPr="007D490D">
        <w:rPr>
          <w:rFonts w:ascii="Times New Roman" w:eastAsia="Times New Roman" w:hAnsi="Times New Roman" w:cs="Times New Roman"/>
          <w:color w:val="000000" w:themeColor="text1"/>
          <w:sz w:val="24"/>
          <w:szCs w:val="24"/>
        </w:rPr>
        <w:t>. 2020)</w:t>
      </w:r>
    </w:p>
    <w:p w:rsidR="00C5770C" w:rsidRPr="007D490D" w:rsidRDefault="008B6954" w:rsidP="007D490D">
      <w:pPr>
        <w:pStyle w:val="Heading2"/>
      </w:pPr>
      <w:bookmarkStart w:id="4" w:name="_Toc151739597"/>
      <w:r w:rsidRPr="007D490D">
        <w:t>Description</w:t>
      </w:r>
      <w:bookmarkEnd w:id="4"/>
    </w:p>
    <w:p w:rsidR="00C5770C" w:rsidRPr="007D490D"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Throughout critically overviewing the entire module, I have learned detailed descriptions of community engagement, especially while developing assignment 1 where I focused on using potential community engagement tools for designing the process. In assignment 1, I evaluated the community engagement principles how the chosen lived project has performed its goals whether the values are aligned with the basic principles of the organisational values are not. That is the way I am able to determine the effectiveness of chosen not-for-profit organisations on homeless people through the support of high-quality advice leading to resilience. In order to make the community project different, I focused on the significance of collaboration and collective self-determination in the context of the South Birmingham Young Homeless Project. As per the view of Ellery and Ellery (2019), it is understood that in the context of community engagement collaboration is seen as the potential key factor in the change management process which has been provided the scope of developing a thriving and strong community. Through evaluation of this aspect, I understood that the way the chosen organisation has focused on maintaining suitable and ethical services for ensuring economic development, community growth, accommodation and more I must focus on these valuable key factors in further community engagement in an effective manner. </w:t>
      </w:r>
    </w:p>
    <w:p w:rsidR="00C5770C" w:rsidRPr="007D490D" w:rsidRDefault="008B6954" w:rsidP="007D490D">
      <w:pPr>
        <w:pStyle w:val="Heading2"/>
      </w:pPr>
      <w:bookmarkStart w:id="5" w:name="_Toc151739598"/>
      <w:r w:rsidRPr="007D490D">
        <w:t>Feeling</w:t>
      </w:r>
      <w:bookmarkEnd w:id="5"/>
    </w:p>
    <w:p w:rsidR="00C5770C" w:rsidRPr="007D490D"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lastRenderedPageBreak/>
        <w:t xml:space="preserve">Throughout the entire journey, I felt extremely engaged and satisfied about becoming able to derive in-depth knowledge and skills about community engagement practices. I learned in a community engagement how collaboration and effective communication are vital aspects where actively listening to others has led to understanding others' issues. As per the view of Mahoney </w:t>
      </w:r>
      <w:r w:rsidRPr="007D490D">
        <w:rPr>
          <w:rFonts w:ascii="Times New Roman" w:eastAsia="Times New Roman" w:hAnsi="Times New Roman" w:cs="Times New Roman"/>
          <w:i/>
          <w:color w:val="000000" w:themeColor="text1"/>
          <w:sz w:val="24"/>
          <w:szCs w:val="24"/>
        </w:rPr>
        <w:t>et al</w:t>
      </w:r>
      <w:r w:rsidRPr="007D490D">
        <w:rPr>
          <w:rFonts w:ascii="Times New Roman" w:eastAsia="Times New Roman" w:hAnsi="Times New Roman" w:cs="Times New Roman"/>
          <w:color w:val="000000" w:themeColor="text1"/>
          <w:sz w:val="24"/>
          <w:szCs w:val="24"/>
        </w:rPr>
        <w:t xml:space="preserve">. (2021), effective communication skills include active listening and emotional intelligence skills which have led people to control their own emotions while communicating with others. In this regard, I understood that having effective communication skills is the potential factor for engaging the community in a better purpose where I learned to promote collaboration in key elements to make it successful. I also understood that without effective community knowledge transferring is unable to facilitate the recognition of issues in order to evaluate the potential expertise which is required for applying in the community engagement efficiently. It has helped me to improve my knowledge of how to manage and engage people in community projects by providing satisfaction effectively. </w:t>
      </w:r>
    </w:p>
    <w:p w:rsidR="00C5770C" w:rsidRPr="007D490D" w:rsidRDefault="008B6954" w:rsidP="007D490D">
      <w:pPr>
        <w:pStyle w:val="Heading2"/>
      </w:pPr>
      <w:bookmarkStart w:id="6" w:name="_Toc151739599"/>
      <w:r w:rsidRPr="007D490D">
        <w:t>Evaluation</w:t>
      </w:r>
      <w:bookmarkEnd w:id="6"/>
    </w:p>
    <w:p w:rsidR="00C5770C" w:rsidRPr="007D490D"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As stated before, community engagement is considered about collaborating with the community members to shape the solutions where involving two-way communication helps to increase the understanding level of challenges. </w:t>
      </w:r>
    </w:p>
    <w:p w:rsidR="00C5770C" w:rsidRPr="007D490D" w:rsidRDefault="008B6954" w:rsidP="007D490D">
      <w:pPr>
        <w:spacing w:line="360" w:lineRule="auto"/>
        <w:jc w:val="center"/>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noProof/>
          <w:color w:val="000000" w:themeColor="text1"/>
          <w:sz w:val="24"/>
          <w:szCs w:val="24"/>
        </w:rPr>
        <w:drawing>
          <wp:inline distT="114300" distB="114300" distL="114300" distR="114300">
            <wp:extent cx="5943600" cy="2717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943600" cy="2717800"/>
                    </a:xfrm>
                    <a:prstGeom prst="rect">
                      <a:avLst/>
                    </a:prstGeom>
                  </pic:spPr>
                </pic:pic>
              </a:graphicData>
            </a:graphic>
          </wp:inline>
        </w:drawing>
      </w:r>
    </w:p>
    <w:p w:rsidR="00C5770C" w:rsidRPr="007D490D" w:rsidRDefault="008B6954" w:rsidP="007D490D">
      <w:pPr>
        <w:spacing w:line="360" w:lineRule="auto"/>
        <w:jc w:val="center"/>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color w:val="000000" w:themeColor="text1"/>
          <w:sz w:val="24"/>
          <w:szCs w:val="24"/>
        </w:rPr>
        <w:t>Figure 2: Three C’s in community engagement</w:t>
      </w:r>
    </w:p>
    <w:p w:rsidR="00C5770C" w:rsidRPr="007D490D" w:rsidRDefault="008B6954" w:rsidP="007D490D">
      <w:pPr>
        <w:spacing w:line="360" w:lineRule="auto"/>
        <w:jc w:val="center"/>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(Source: Developed based on Drame </w:t>
      </w:r>
      <w:r w:rsidRPr="007D490D">
        <w:rPr>
          <w:rFonts w:ascii="Times New Roman" w:eastAsia="Times New Roman" w:hAnsi="Times New Roman" w:cs="Times New Roman"/>
          <w:i/>
          <w:color w:val="000000" w:themeColor="text1"/>
          <w:sz w:val="24"/>
          <w:szCs w:val="24"/>
        </w:rPr>
        <w:t>et al</w:t>
      </w:r>
      <w:r w:rsidRPr="007D490D">
        <w:rPr>
          <w:rFonts w:ascii="Times New Roman" w:eastAsia="Times New Roman" w:hAnsi="Times New Roman" w:cs="Times New Roman"/>
          <w:color w:val="000000" w:themeColor="text1"/>
          <w:sz w:val="24"/>
          <w:szCs w:val="24"/>
        </w:rPr>
        <w:t>. 2022)</w:t>
      </w:r>
    </w:p>
    <w:p w:rsidR="00062711"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In order to improve my further community engagement project or practices, I learned the three C's such as collaboration, communication and consultation. In this regard, as an effective leader in the </w:t>
      </w:r>
      <w:r w:rsidRPr="007D490D">
        <w:rPr>
          <w:rFonts w:ascii="Times New Roman" w:eastAsia="Times New Roman" w:hAnsi="Times New Roman" w:cs="Times New Roman"/>
          <w:color w:val="000000" w:themeColor="text1"/>
          <w:sz w:val="24"/>
          <w:szCs w:val="24"/>
        </w:rPr>
        <w:lastRenderedPageBreak/>
        <w:t xml:space="preserve">community engagement project, empowerment for collaborative and cross-cultural communication is a vital element for the purpose of robust engagement of members (Drame </w:t>
      </w:r>
      <w:r w:rsidRPr="007D490D">
        <w:rPr>
          <w:rFonts w:ascii="Times New Roman" w:eastAsia="Times New Roman" w:hAnsi="Times New Roman" w:cs="Times New Roman"/>
          <w:i/>
          <w:color w:val="000000" w:themeColor="text1"/>
          <w:sz w:val="24"/>
          <w:szCs w:val="24"/>
        </w:rPr>
        <w:t>et al</w:t>
      </w:r>
      <w:r w:rsidRPr="007D490D">
        <w:rPr>
          <w:rFonts w:ascii="Times New Roman" w:eastAsia="Times New Roman" w:hAnsi="Times New Roman" w:cs="Times New Roman"/>
          <w:color w:val="000000" w:themeColor="text1"/>
          <w:sz w:val="24"/>
          <w:szCs w:val="24"/>
        </w:rPr>
        <w:t xml:space="preserve">. 2022). That is the way the community members are able to build strong relationships and trust along with credibility within the community. On the other hand, I learned that stakeholder engagement in the community engagement project is a potential aspect. Based on the findings of Stallings </w:t>
      </w:r>
      <w:r w:rsidRPr="007D490D">
        <w:rPr>
          <w:rFonts w:ascii="Times New Roman" w:eastAsia="Times New Roman" w:hAnsi="Times New Roman" w:cs="Times New Roman"/>
          <w:i/>
          <w:color w:val="000000" w:themeColor="text1"/>
          <w:sz w:val="24"/>
          <w:szCs w:val="24"/>
        </w:rPr>
        <w:t>et al</w:t>
      </w:r>
      <w:r w:rsidRPr="007D490D">
        <w:rPr>
          <w:rFonts w:ascii="Times New Roman" w:eastAsia="Times New Roman" w:hAnsi="Times New Roman" w:cs="Times New Roman"/>
          <w:color w:val="000000" w:themeColor="text1"/>
          <w:sz w:val="24"/>
          <w:szCs w:val="24"/>
        </w:rPr>
        <w:t xml:space="preserve">. (2019), it is understood that in community engagement stakeholder management and mapping has been defined as the practice of influencing the outcome through relationship building, compromise, negotiation, communication and consultation that is required for ensuring the ability of effective engagement. </w:t>
      </w:r>
    </w:p>
    <w:p w:rsidR="00C5770C" w:rsidRPr="007D490D"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As an efficient leader in any community engagement project, I will ensure the scope for training and development as it will help to give employees the opportunity to enhance their skills and knowledge towards further success. On the other hand, as opined by Kumar (2019), it is evaluated that transformational leadership theory demonstrates the leadership style by adopting these leaders will be able to encourage their members towards stimulating intellectuality, empower out-of-the-box thinking ability and more. As opined by Harrington </w:t>
      </w:r>
      <w:r w:rsidRPr="007D490D">
        <w:rPr>
          <w:rFonts w:ascii="Times New Roman" w:eastAsia="Times New Roman" w:hAnsi="Times New Roman" w:cs="Times New Roman"/>
          <w:i/>
          <w:color w:val="000000" w:themeColor="text1"/>
          <w:sz w:val="24"/>
          <w:szCs w:val="24"/>
        </w:rPr>
        <w:t>et al</w:t>
      </w:r>
      <w:r w:rsidRPr="007D490D">
        <w:rPr>
          <w:rFonts w:ascii="Times New Roman" w:eastAsia="Times New Roman" w:hAnsi="Times New Roman" w:cs="Times New Roman"/>
          <w:color w:val="000000" w:themeColor="text1"/>
          <w:sz w:val="24"/>
          <w:szCs w:val="24"/>
        </w:rPr>
        <w:t xml:space="preserve">. (2019), the novel theory of inclusion is another significant theoretical approach which has triggered the enhancement of collaboration among community members where the role of an exclusive leader is to offer support and actively listen to their problems to ensure their mental health and well-being for increasing their engagement level in the community project. In my future career aspect, I will utilise this knowledge for better management of a community project in an efficient manner. </w:t>
      </w:r>
    </w:p>
    <w:p w:rsidR="00C5770C" w:rsidRPr="007D490D" w:rsidRDefault="008B6954" w:rsidP="007D490D">
      <w:pPr>
        <w:pStyle w:val="Heading2"/>
      </w:pPr>
      <w:bookmarkStart w:id="7" w:name="_Toc151739600"/>
      <w:r w:rsidRPr="007D490D">
        <w:t>Analysis</w:t>
      </w:r>
      <w:bookmarkEnd w:id="7"/>
      <w:r w:rsidRPr="007D490D">
        <w:t xml:space="preserve"> </w:t>
      </w:r>
    </w:p>
    <w:p w:rsidR="00C70B2C"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In order to manage the community mapping processes I will focus on implementing the advanced approaches of utilising the community relationship mapping process and the community asset mapping processes. Additionally, as mentioned above I will focus on using different social media platforms and collaborating with social media influencers from the domain of social services which will effectively help me to implement effective communication management processes. In order to implement effective communication management activities for managing the active participation processes and to manage the diversified perspectives of stakeholders, I will focus on considering the underlying factors within the framing theory such as the preconceptions and the dominant approaches of the social system level. Additionally, considering the theoretical perspective of the framing theory it can be summarised that these factors effectively allow individuals to analyse how the rhetorical approaches and associated tools can be used to convince </w:t>
      </w:r>
      <w:r w:rsidRPr="007D490D">
        <w:rPr>
          <w:rFonts w:ascii="Times New Roman" w:eastAsia="Times New Roman" w:hAnsi="Times New Roman" w:cs="Times New Roman"/>
          <w:color w:val="000000" w:themeColor="text1"/>
          <w:sz w:val="24"/>
          <w:szCs w:val="24"/>
        </w:rPr>
        <w:lastRenderedPageBreak/>
        <w:t xml:space="preserve">other individuals and the individual’s approaches to understand the value of a position. Additionally, as per the above-mentioned approaches, I will focus on implementing effective collaborative approaches in order to manage the community participation processes and to enhance the factors of implementing the inclusion and active participation processes. Considering the theoretical aspects of the community of practice theory, I can state that in order to manage the active participation processes and the underlying factors will significantly help me to implement the factors of meaningful and supportive approaches to managing the community engagement program. </w:t>
      </w:r>
    </w:p>
    <w:p w:rsidR="00C70B2C"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According to the studies by Sondarjee (2021), the community of practice theory significantly impacts the approaches of individuals and allows individuals to share a common interest of concerns through approaches of implementing the factors of community practice standard development processes, implementation of community development activities and social safety and learning management processes. In order to manage the community mapping processes I will focus on identifying the key stakeholders of the community, the resource management activities and the asset management activities of the communities as well as I will also focus on implementing the approaches of enhancing the community cohesion processes and I will also focus on enhancing the individual abilities to enhance the decision-making activities. In order to manage the community mapping processes I will ]implement the approaches of utilising advanced digital community mapping tools which will effectively help me to consider the participatory mapping processes and these factors will significantly impact on developing an undertaking of the needs and requirements of residents and stakeholders. </w:t>
      </w:r>
    </w:p>
    <w:p w:rsidR="00C5770C" w:rsidRPr="007D490D" w:rsidRDefault="008B6954" w:rsidP="007D490D">
      <w:pPr>
        <w:spacing w:line="360" w:lineRule="auto"/>
        <w:jc w:val="both"/>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color w:val="000000" w:themeColor="text1"/>
          <w:sz w:val="24"/>
          <w:szCs w:val="24"/>
        </w:rPr>
        <w:t xml:space="preserve">According to the studies by Kahila-Tani </w:t>
      </w:r>
      <w:r w:rsidRPr="007D490D">
        <w:rPr>
          <w:rFonts w:ascii="Times New Roman" w:eastAsia="Times New Roman" w:hAnsi="Times New Roman" w:cs="Times New Roman"/>
          <w:i/>
          <w:color w:val="000000" w:themeColor="text1"/>
          <w:sz w:val="24"/>
          <w:szCs w:val="24"/>
        </w:rPr>
        <w:t xml:space="preserve">et al. </w:t>
      </w:r>
      <w:r w:rsidRPr="007D490D">
        <w:rPr>
          <w:rFonts w:ascii="Times New Roman" w:eastAsia="Times New Roman" w:hAnsi="Times New Roman" w:cs="Times New Roman"/>
          <w:color w:val="000000" w:themeColor="text1"/>
          <w:sz w:val="24"/>
          <w:szCs w:val="24"/>
        </w:rPr>
        <w:t>(2019)</w:t>
      </w:r>
      <w:r w:rsidR="00C70B2C" w:rsidRPr="007D490D">
        <w:rPr>
          <w:rFonts w:ascii="Times New Roman" w:eastAsia="Times New Roman" w:hAnsi="Times New Roman" w:cs="Times New Roman"/>
          <w:color w:val="000000" w:themeColor="text1"/>
          <w:sz w:val="24"/>
          <w:szCs w:val="24"/>
        </w:rPr>
        <w:t>,</w:t>
      </w:r>
      <w:r w:rsidRPr="007D490D">
        <w:rPr>
          <w:rFonts w:ascii="Times New Roman" w:eastAsia="Times New Roman" w:hAnsi="Times New Roman" w:cs="Times New Roman"/>
          <w:color w:val="000000" w:themeColor="text1"/>
          <w:sz w:val="24"/>
          <w:szCs w:val="24"/>
        </w:rPr>
        <w:t xml:space="preserve"> Innovative digital community mapping tools significantly allow individuals to improve the data collection processes and also help to improve the efficiency of the data collection process as these factors will significantly impact managing the data visualisation processes and the data representation processes which effectively impact on identifying the core stakeholders and the residents. Thus considering the factors, it has been identified that I need to focus on enhancing my digital tools operational skills in order to improve the community mapping activities in order to successfully manage the future community engagement program.                 </w:t>
      </w:r>
    </w:p>
    <w:p w:rsidR="00C5770C" w:rsidRPr="007D490D" w:rsidRDefault="008B6954" w:rsidP="00810346">
      <w:pPr>
        <w:pStyle w:val="Heading2"/>
      </w:pPr>
      <w:bookmarkStart w:id="8" w:name="_Toc151739601"/>
      <w:r w:rsidRPr="007D490D">
        <w:t>Conclusion</w:t>
      </w:r>
      <w:bookmarkEnd w:id="8"/>
    </w:p>
    <w:p w:rsidR="00C5770C" w:rsidRPr="007D490D"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Through an overview of the entire discussion, I learned where I failed to achieve success and which area I need to enhance my knowledge and skills for my future career betterment. Based on </w:t>
      </w:r>
      <w:r w:rsidRPr="007D490D">
        <w:rPr>
          <w:rFonts w:ascii="Times New Roman" w:eastAsia="Times New Roman" w:hAnsi="Times New Roman" w:cs="Times New Roman"/>
          <w:color w:val="000000" w:themeColor="text1"/>
          <w:sz w:val="24"/>
          <w:szCs w:val="24"/>
        </w:rPr>
        <w:lastRenderedPageBreak/>
        <w:t>identified lacking areas</w:t>
      </w:r>
      <w:r w:rsidR="00810346" w:rsidRPr="007D490D">
        <w:rPr>
          <w:rFonts w:ascii="Times New Roman" w:eastAsia="Times New Roman" w:hAnsi="Times New Roman" w:cs="Times New Roman"/>
          <w:color w:val="000000" w:themeColor="text1"/>
          <w:sz w:val="24"/>
          <w:szCs w:val="24"/>
        </w:rPr>
        <w:t>, I</w:t>
      </w:r>
      <w:r w:rsidRPr="007D490D">
        <w:rPr>
          <w:rFonts w:ascii="Times New Roman" w:eastAsia="Times New Roman" w:hAnsi="Times New Roman" w:cs="Times New Roman"/>
          <w:color w:val="000000" w:themeColor="text1"/>
          <w:sz w:val="24"/>
          <w:szCs w:val="24"/>
        </w:rPr>
        <w:t xml:space="preserve"> develop a well-strategic action plan where I also evaluate which skills need close observation for further career improvement in community engagement. </w:t>
      </w:r>
    </w:p>
    <w:p w:rsidR="00C5770C" w:rsidRPr="007D490D" w:rsidRDefault="008B6954" w:rsidP="00810346">
      <w:pPr>
        <w:pStyle w:val="Heading2"/>
      </w:pPr>
      <w:bookmarkStart w:id="9" w:name="_Toc151739602"/>
      <w:r w:rsidRPr="007D490D">
        <w:t>Action Plan</w:t>
      </w:r>
      <w:bookmarkEnd w:id="9"/>
    </w:p>
    <w:p w:rsidR="00C5770C" w:rsidRPr="007D490D" w:rsidRDefault="00C5770C" w:rsidP="007D490D">
      <w:pPr>
        <w:spacing w:line="360" w:lineRule="auto"/>
        <w:jc w:val="center"/>
        <w:rPr>
          <w:rFonts w:ascii="Times New Roman" w:eastAsia="Times New Roman" w:hAnsi="Times New Roman" w:cs="Times New Roman"/>
          <w:b/>
          <w:color w:val="000000" w:themeColor="text1"/>
          <w:sz w:val="24"/>
          <w:szCs w:val="24"/>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70FA5">
        <w:trPr>
          <w:jc w:val="center"/>
        </w:trPr>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color w:val="000000" w:themeColor="text1"/>
                <w:sz w:val="24"/>
                <w:szCs w:val="24"/>
              </w:rPr>
              <w:t>Goal</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color w:val="000000" w:themeColor="text1"/>
                <w:sz w:val="24"/>
                <w:szCs w:val="24"/>
              </w:rPr>
              <w:t>Actions</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color w:val="000000" w:themeColor="text1"/>
                <w:sz w:val="24"/>
                <w:szCs w:val="24"/>
              </w:rPr>
              <w:t xml:space="preserve">Impacts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color w:val="000000" w:themeColor="text1"/>
                <w:sz w:val="24"/>
                <w:szCs w:val="24"/>
              </w:rPr>
              <w:t>Resources</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color w:val="000000" w:themeColor="text1"/>
                <w:sz w:val="24"/>
                <w:szCs w:val="24"/>
              </w:rPr>
              <w:t>Time horizon</w:t>
            </w:r>
          </w:p>
        </w:tc>
      </w:tr>
      <w:tr w:rsidR="00D70FA5">
        <w:trPr>
          <w:jc w:val="center"/>
        </w:trPr>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To improve collaboration and communication skills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By joining an online workshop I will be able to learn cross-cultural communication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High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Reading articles on collaborative skills and communication with my peers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3 to 5 months </w:t>
            </w:r>
          </w:p>
        </w:tc>
      </w:tr>
      <w:tr w:rsidR="00D70FA5">
        <w:trPr>
          <w:jc w:val="center"/>
        </w:trPr>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To improve digital efficiency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By joining an online course I will learn about different digital tools for understanding how to operate the community engagement process efficiently. I will also learn how to perform community mapping for further community engagement and stakeholder </w:t>
            </w:r>
            <w:r w:rsidRPr="007D490D">
              <w:rPr>
                <w:rFonts w:ascii="Times New Roman" w:eastAsia="Times New Roman" w:hAnsi="Times New Roman" w:cs="Times New Roman"/>
                <w:color w:val="000000" w:themeColor="text1"/>
                <w:sz w:val="24"/>
                <w:szCs w:val="24"/>
              </w:rPr>
              <w:lastRenderedPageBreak/>
              <w:t xml:space="preserve">management purposes.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lastRenderedPageBreak/>
              <w:t xml:space="preserve">Moderate to high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$2500</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6 to 7 months </w:t>
            </w:r>
          </w:p>
        </w:tc>
      </w:tr>
      <w:tr w:rsidR="00D70FA5">
        <w:trPr>
          <w:jc w:val="center"/>
        </w:trPr>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To increase creativity skills and problem-solving approach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By reading different articles and journals and listening to several TedTalk</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Moderate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Online library subscription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2 to 3 months </w:t>
            </w:r>
          </w:p>
        </w:tc>
      </w:tr>
      <w:tr w:rsidR="00D70FA5">
        <w:trPr>
          <w:jc w:val="center"/>
        </w:trPr>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To stay calm and positive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By doing meditate for 30 minutes every day</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Low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YouTube videos on yoga and meditation </w:t>
            </w:r>
          </w:p>
        </w:tc>
        <w:tc>
          <w:tcPr>
            <w:tcW w:w="1872" w:type="dxa"/>
            <w:shd w:val="clear" w:color="auto" w:fill="auto"/>
            <w:tcMar>
              <w:top w:w="100" w:type="dxa"/>
              <w:left w:w="100" w:type="dxa"/>
              <w:bottom w:w="100" w:type="dxa"/>
              <w:right w:w="100" w:type="dxa"/>
            </w:tcMar>
          </w:tcPr>
          <w:p w:rsidR="00C5770C" w:rsidRPr="007D490D" w:rsidRDefault="008B6954" w:rsidP="007D490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4 to 5 months </w:t>
            </w:r>
          </w:p>
        </w:tc>
      </w:tr>
    </w:tbl>
    <w:p w:rsidR="00C5770C" w:rsidRPr="007D490D" w:rsidRDefault="008B6954" w:rsidP="007D490D">
      <w:pPr>
        <w:spacing w:line="360" w:lineRule="auto"/>
        <w:jc w:val="center"/>
        <w:rPr>
          <w:rFonts w:ascii="Times New Roman" w:eastAsia="Times New Roman" w:hAnsi="Times New Roman" w:cs="Times New Roman"/>
          <w:b/>
          <w:color w:val="000000" w:themeColor="text1"/>
          <w:sz w:val="24"/>
          <w:szCs w:val="24"/>
        </w:rPr>
      </w:pPr>
      <w:r w:rsidRPr="007D490D">
        <w:rPr>
          <w:rFonts w:ascii="Times New Roman" w:eastAsia="Times New Roman" w:hAnsi="Times New Roman" w:cs="Times New Roman"/>
          <w:b/>
          <w:color w:val="000000" w:themeColor="text1"/>
          <w:sz w:val="24"/>
          <w:szCs w:val="24"/>
        </w:rPr>
        <w:t xml:space="preserve">Table 1: Strategic Action Plan </w:t>
      </w:r>
    </w:p>
    <w:p w:rsidR="00C5770C" w:rsidRPr="007D490D" w:rsidRDefault="008B6954" w:rsidP="007D490D">
      <w:pPr>
        <w:spacing w:line="360" w:lineRule="auto"/>
        <w:jc w:val="center"/>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(Source: Self-developed)</w:t>
      </w:r>
    </w:p>
    <w:p w:rsidR="00C5770C" w:rsidRPr="007D490D" w:rsidRDefault="008B6954" w:rsidP="009B106D">
      <w:pPr>
        <w:pStyle w:val="Heading1"/>
      </w:pPr>
      <w:bookmarkStart w:id="10" w:name="_Toc151739603"/>
      <w:r w:rsidRPr="007D490D">
        <w:t>Conclusion</w:t>
      </w:r>
      <w:bookmarkEnd w:id="10"/>
    </w:p>
    <w:p w:rsidR="003718E9" w:rsidRDefault="008B6954" w:rsidP="007D490D">
      <w:pPr>
        <w:spacing w:line="360" w:lineRule="auto"/>
        <w:jc w:val="both"/>
        <w:rPr>
          <w:rFonts w:ascii="Times New Roman" w:eastAsia="Times New Roman" w:hAnsi="Times New Roman" w:cs="Times New Roman"/>
          <w:color w:val="000000" w:themeColor="text1"/>
          <w:sz w:val="24"/>
          <w:szCs w:val="24"/>
        </w:rPr>
      </w:pPr>
      <w:r w:rsidRPr="007D490D">
        <w:rPr>
          <w:rFonts w:ascii="Times New Roman" w:eastAsia="Times New Roman" w:hAnsi="Times New Roman" w:cs="Times New Roman"/>
          <w:color w:val="000000" w:themeColor="text1"/>
          <w:sz w:val="24"/>
          <w:szCs w:val="24"/>
        </w:rPr>
        <w:t xml:space="preserve">This assessment provides a brief description of how I will focus on implementing innovative communication management processes, effective stakeholder management activities and advanced community mapping processes in order to improve the future community engagement program. In order to provide a reflective account of this approach, I have utilised Gibbs’s reflective model which significantly impacts on managing the overall processes. The findings from the analysis of this assessment suggest that in order to manage the innovative community mapping processes I will focus on implementing innovative digital community mapping tools which will significantly impact managing the overall data collection processes as these approaches will effectively help me to analyse the core stakeholders and the resident groups. </w:t>
      </w:r>
      <w:r w:rsidR="00917281">
        <w:rPr>
          <w:rFonts w:ascii="Times New Roman" w:eastAsia="Times New Roman" w:hAnsi="Times New Roman" w:cs="Times New Roman"/>
          <w:color w:val="000000" w:themeColor="text1"/>
          <w:sz w:val="24"/>
          <w:szCs w:val="24"/>
        </w:rPr>
        <w:t>In</w:t>
      </w:r>
      <w:r w:rsidRPr="007D490D">
        <w:rPr>
          <w:rFonts w:ascii="Times New Roman" w:eastAsia="Times New Roman" w:hAnsi="Times New Roman" w:cs="Times New Roman"/>
          <w:color w:val="000000" w:themeColor="text1"/>
          <w:sz w:val="24"/>
          <w:szCs w:val="24"/>
        </w:rPr>
        <w:t xml:space="preserve"> order to manage the active participation processes I will focus on implementing the approaches to advanced two-way communication activities, these factors will significantly help me to analyse the diversified perspectives of the stakeholders and innovative approaches of the residents. </w:t>
      </w:r>
    </w:p>
    <w:p w:rsidR="00C5770C" w:rsidRPr="007D490D" w:rsidRDefault="008B6954" w:rsidP="007D490D">
      <w:pPr>
        <w:spacing w:line="360" w:lineRule="auto"/>
        <w:jc w:val="both"/>
        <w:rPr>
          <w:rFonts w:ascii="Times New Roman" w:eastAsia="Times New Roman" w:hAnsi="Times New Roman" w:cs="Times New Roman"/>
          <w:b/>
          <w:color w:val="000000" w:themeColor="text1"/>
          <w:sz w:val="28"/>
          <w:szCs w:val="28"/>
        </w:rPr>
      </w:pPr>
      <w:r w:rsidRPr="007D490D">
        <w:rPr>
          <w:rFonts w:ascii="Times New Roman" w:eastAsia="Times New Roman" w:hAnsi="Times New Roman" w:cs="Times New Roman"/>
          <w:color w:val="000000" w:themeColor="text1"/>
          <w:sz w:val="24"/>
          <w:szCs w:val="24"/>
        </w:rPr>
        <w:t xml:space="preserve">Additionally, the analysis from this assessment suggests that to successfully manage the community engagement program I will focus on implementing the theoretical perspective of the framing theory which significantly helps me to identify the different factors within the communities that are preconceptions and the associated dominating factors within the social </w:t>
      </w:r>
      <w:r w:rsidRPr="007D490D">
        <w:rPr>
          <w:rFonts w:ascii="Times New Roman" w:eastAsia="Times New Roman" w:hAnsi="Times New Roman" w:cs="Times New Roman"/>
          <w:color w:val="000000" w:themeColor="text1"/>
          <w:sz w:val="24"/>
          <w:szCs w:val="24"/>
        </w:rPr>
        <w:lastRenderedPageBreak/>
        <w:t xml:space="preserve">system. Additionally, from the analysis, it has been also identified that if I encounter several issues, I will focus on implementing the approaches of using the advanced community engagement model which will effectively help me to manage the overall future community engagement program. Considering the action plan, I have analysed that I need to focus on enhancing my creativity and digital efficiency skills as well as the communication approaches through implementing advanced collaborative working approaches.        </w:t>
      </w:r>
      <w:r w:rsidRPr="007D490D">
        <w:rPr>
          <w:color w:val="000000" w:themeColor="text1"/>
        </w:rPr>
        <w:br w:type="page"/>
      </w:r>
    </w:p>
    <w:p w:rsidR="00C5770C" w:rsidRPr="007D490D" w:rsidRDefault="008B6954" w:rsidP="009B106D">
      <w:pPr>
        <w:pStyle w:val="Heading1"/>
      </w:pPr>
      <w:bookmarkStart w:id="11" w:name="_Toc151739604"/>
      <w:r w:rsidRPr="007D490D">
        <w:lastRenderedPageBreak/>
        <w:t>References</w:t>
      </w:r>
      <w:bookmarkEnd w:id="11"/>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Adeani, I.S., Febriani, R.B. and Syafryadin, S., (2020). Using GIBBS’reflective cycle in making reflections of literary analysis. </w:t>
      </w:r>
      <w:r w:rsidRPr="009B106D">
        <w:rPr>
          <w:rFonts w:ascii="Times New Roman" w:eastAsia="Times New Roman" w:hAnsi="Times New Roman" w:cs="Times New Roman"/>
          <w:i/>
          <w:color w:val="000000" w:themeColor="text1"/>
          <w:sz w:val="24"/>
          <w:szCs w:val="24"/>
        </w:rPr>
        <w:t>Indonesian EFL Journal, 6(2),</w:t>
      </w:r>
      <w:r w:rsidRPr="009B106D">
        <w:rPr>
          <w:rFonts w:ascii="Times New Roman" w:eastAsia="Times New Roman" w:hAnsi="Times New Roman" w:cs="Times New Roman"/>
          <w:color w:val="000000" w:themeColor="text1"/>
          <w:sz w:val="24"/>
          <w:szCs w:val="24"/>
        </w:rPr>
        <w:t xml:space="preserve"> pp.139-148. Available at: </w:t>
      </w:r>
      <w:hyperlink r:id="rId10">
        <w:r w:rsidRPr="009B106D">
          <w:rPr>
            <w:rFonts w:ascii="Times New Roman" w:eastAsia="Times New Roman" w:hAnsi="Times New Roman" w:cs="Times New Roman"/>
            <w:color w:val="000000" w:themeColor="text1"/>
            <w:sz w:val="24"/>
            <w:szCs w:val="24"/>
            <w:u w:val="single"/>
          </w:rPr>
          <w:t>https://doi.org/10.25134/ieflj.v6i2.3382</w:t>
        </w:r>
      </w:hyperlink>
      <w:r w:rsidRPr="009B106D">
        <w:rPr>
          <w:rFonts w:ascii="Times New Roman" w:eastAsia="Times New Roman" w:hAnsi="Times New Roman" w:cs="Times New Roman"/>
          <w:color w:val="000000" w:themeColor="text1"/>
          <w:sz w:val="24"/>
          <w:szCs w:val="24"/>
        </w:rPr>
        <w:t xml:space="preserve">  [Accessed: 24 November 2023]</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Drame, I., Gibson, C.M., Nonyel, N.P., Addo-Atuah, J., Butler, L., Riley, A., Kebodeaux, C., Henson, B. and Borja-Hart, N., (2022). Strategies for incorporating health disparities and cultural competency training into the pharmacy curriculum and co-curriculum. </w:t>
      </w:r>
      <w:r w:rsidRPr="009B106D">
        <w:rPr>
          <w:rFonts w:ascii="Times New Roman" w:eastAsia="Times New Roman" w:hAnsi="Times New Roman" w:cs="Times New Roman"/>
          <w:i/>
          <w:color w:val="000000" w:themeColor="text1"/>
          <w:sz w:val="24"/>
          <w:szCs w:val="24"/>
        </w:rPr>
        <w:t xml:space="preserve">American Journal of Pharmaceutical Education, </w:t>
      </w:r>
      <w:r w:rsidRPr="009B106D">
        <w:rPr>
          <w:rFonts w:ascii="Times New Roman" w:eastAsia="Times New Roman" w:hAnsi="Times New Roman" w:cs="Times New Roman"/>
          <w:color w:val="000000" w:themeColor="text1"/>
          <w:sz w:val="24"/>
          <w:szCs w:val="24"/>
        </w:rPr>
        <w:t xml:space="preserve">86(3). Available at: </w:t>
      </w:r>
      <w:hyperlink r:id="rId11">
        <w:r w:rsidRPr="009B106D">
          <w:rPr>
            <w:rFonts w:ascii="Times New Roman" w:eastAsia="Times New Roman" w:hAnsi="Times New Roman" w:cs="Times New Roman"/>
            <w:color w:val="000000" w:themeColor="text1"/>
            <w:sz w:val="24"/>
            <w:szCs w:val="24"/>
            <w:u w:val="single"/>
          </w:rPr>
          <w:t>https://www.ajpe.org/content/ajpe/86/3/8631.full.pdf</w:t>
        </w:r>
      </w:hyperlink>
      <w:r w:rsidRPr="009B106D">
        <w:rPr>
          <w:rFonts w:ascii="Times New Roman" w:eastAsia="Times New Roman" w:hAnsi="Times New Roman" w:cs="Times New Roman"/>
          <w:color w:val="000000" w:themeColor="text1"/>
          <w:sz w:val="24"/>
          <w:szCs w:val="24"/>
        </w:rPr>
        <w:t xml:space="preserve">  [Accessed: 24 November 2023]</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Ellery, P.J. and Ellery, J., (2019). Strengthening community sense of place through placemaking. </w:t>
      </w:r>
      <w:r w:rsidRPr="009B106D">
        <w:rPr>
          <w:rFonts w:ascii="Times New Roman" w:eastAsia="Times New Roman" w:hAnsi="Times New Roman" w:cs="Times New Roman"/>
          <w:i/>
          <w:color w:val="000000" w:themeColor="text1"/>
          <w:sz w:val="24"/>
          <w:szCs w:val="24"/>
        </w:rPr>
        <w:t>Urban planning, 4(2),</w:t>
      </w:r>
      <w:r w:rsidRPr="009B106D">
        <w:rPr>
          <w:rFonts w:ascii="Times New Roman" w:eastAsia="Times New Roman" w:hAnsi="Times New Roman" w:cs="Times New Roman"/>
          <w:color w:val="000000" w:themeColor="text1"/>
          <w:sz w:val="24"/>
          <w:szCs w:val="24"/>
        </w:rPr>
        <w:t xml:space="preserve"> pp.237-248. Available at: DOI: 10.17645/up.v4i2.2004 [Accessed: 24 November 2023]</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Haldane, V., Chuah, F.L., Srivastava, A., Singh, S.R., Koh, G.C., Seng, C.K. and Legido-Quigley, H., 2019. Community participation in health services development, implementation, and evaluation: A systematic review of empowerment, health, community, and process outcomes. PloS one, 14(5), p.e0216112. Available at: </w:t>
      </w:r>
      <w:hyperlink r:id="rId12">
        <w:r w:rsidRPr="009B106D">
          <w:rPr>
            <w:rFonts w:ascii="Times New Roman" w:eastAsia="Times New Roman" w:hAnsi="Times New Roman" w:cs="Times New Roman"/>
            <w:color w:val="000000" w:themeColor="text1"/>
            <w:sz w:val="24"/>
            <w:szCs w:val="24"/>
            <w:u w:val="single"/>
          </w:rPr>
          <w:t>https://doi.org/10.1371/journal.pone.0216112</w:t>
        </w:r>
      </w:hyperlink>
      <w:r w:rsidRPr="009B106D">
        <w:rPr>
          <w:rFonts w:ascii="Times New Roman" w:eastAsia="Times New Roman" w:hAnsi="Times New Roman" w:cs="Times New Roman"/>
          <w:color w:val="000000" w:themeColor="text1"/>
          <w:sz w:val="24"/>
          <w:szCs w:val="24"/>
        </w:rPr>
        <w:t xml:space="preserve"> [Accessed: 24 November 2023]</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Harrington, C., Erete, S. and Piper, A.M., (2019). Deconstructing community-based collaborative design: Towards more equitable participatory design engagements. </w:t>
      </w:r>
      <w:r w:rsidRPr="009B106D">
        <w:rPr>
          <w:rFonts w:ascii="Times New Roman" w:eastAsia="Times New Roman" w:hAnsi="Times New Roman" w:cs="Times New Roman"/>
          <w:i/>
          <w:color w:val="000000" w:themeColor="text1"/>
          <w:sz w:val="24"/>
          <w:szCs w:val="24"/>
        </w:rPr>
        <w:t>Proceedings of the ACM on Human-Computer Interaction, 3(CSCW),</w:t>
      </w:r>
      <w:r w:rsidRPr="009B106D">
        <w:rPr>
          <w:rFonts w:ascii="Times New Roman" w:eastAsia="Times New Roman" w:hAnsi="Times New Roman" w:cs="Times New Roman"/>
          <w:color w:val="000000" w:themeColor="text1"/>
          <w:sz w:val="24"/>
          <w:szCs w:val="24"/>
        </w:rPr>
        <w:t xml:space="preserve"> pp.1-25. Available at: </w:t>
      </w:r>
      <w:hyperlink r:id="rId13">
        <w:r w:rsidRPr="009B106D">
          <w:rPr>
            <w:rFonts w:ascii="Times New Roman" w:eastAsia="Times New Roman" w:hAnsi="Times New Roman" w:cs="Times New Roman"/>
            <w:color w:val="000000" w:themeColor="text1"/>
            <w:sz w:val="24"/>
            <w:szCs w:val="24"/>
            <w:u w:val="single"/>
          </w:rPr>
          <w:t>https://doi.org/10.1145/3359318</w:t>
        </w:r>
      </w:hyperlink>
      <w:r w:rsidRPr="009B106D">
        <w:rPr>
          <w:rFonts w:ascii="Times New Roman" w:eastAsia="Times New Roman" w:hAnsi="Times New Roman" w:cs="Times New Roman"/>
          <w:color w:val="000000" w:themeColor="text1"/>
          <w:sz w:val="24"/>
          <w:szCs w:val="24"/>
        </w:rPr>
        <w:t xml:space="preserve">  [Accessed: 24 November 2023]</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Kahila-Tani, M., Kytta, M. and Geertman, S., 2019. Does mapping improve public participation? Exploring the pros and cons of using public participation GIS in urban planning practices. Landscape and urban planning, 186, pp.45-55. Available at: </w:t>
      </w:r>
      <w:hyperlink r:id="rId14">
        <w:r w:rsidRPr="009B106D">
          <w:rPr>
            <w:rFonts w:ascii="Times New Roman" w:eastAsia="Times New Roman" w:hAnsi="Times New Roman" w:cs="Times New Roman"/>
            <w:color w:val="000000" w:themeColor="text1"/>
            <w:sz w:val="24"/>
            <w:szCs w:val="24"/>
            <w:u w:val="single"/>
          </w:rPr>
          <w:t>https://doi.org/10.1016/j.landurbplan.2019.02.019</w:t>
        </w:r>
      </w:hyperlink>
      <w:r w:rsidRPr="009B106D">
        <w:rPr>
          <w:rFonts w:ascii="Times New Roman" w:eastAsia="Times New Roman" w:hAnsi="Times New Roman" w:cs="Times New Roman"/>
          <w:color w:val="000000" w:themeColor="text1"/>
          <w:sz w:val="24"/>
          <w:szCs w:val="24"/>
        </w:rPr>
        <w:t xml:space="preserve"> [Accessed: 24 November 2023] </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Kumar, M. (2019). Championing equity, empowerment, and transformational leadership in (mental health) research partnerships: aligning collaborative work with the global development agenda. </w:t>
      </w:r>
      <w:r w:rsidRPr="009B106D">
        <w:rPr>
          <w:rFonts w:ascii="Times New Roman" w:eastAsia="Times New Roman" w:hAnsi="Times New Roman" w:cs="Times New Roman"/>
          <w:i/>
          <w:color w:val="000000" w:themeColor="text1"/>
          <w:sz w:val="24"/>
          <w:szCs w:val="24"/>
        </w:rPr>
        <w:t>Frontiers in Psychiatry, 10,</w:t>
      </w:r>
      <w:r w:rsidRPr="009B106D">
        <w:rPr>
          <w:rFonts w:ascii="Times New Roman" w:eastAsia="Times New Roman" w:hAnsi="Times New Roman" w:cs="Times New Roman"/>
          <w:color w:val="000000" w:themeColor="text1"/>
          <w:sz w:val="24"/>
          <w:szCs w:val="24"/>
        </w:rPr>
        <w:t xml:space="preserve"> 99. Available at: </w:t>
      </w:r>
      <w:hyperlink r:id="rId15">
        <w:r w:rsidRPr="009B106D">
          <w:rPr>
            <w:rFonts w:ascii="Times New Roman" w:eastAsia="Times New Roman" w:hAnsi="Times New Roman" w:cs="Times New Roman"/>
            <w:color w:val="000000" w:themeColor="text1"/>
            <w:sz w:val="24"/>
            <w:szCs w:val="24"/>
            <w:u w:val="single"/>
          </w:rPr>
          <w:t>https://doi.org/10.3389/fpsyt.2019.00099</w:t>
        </w:r>
      </w:hyperlink>
      <w:r w:rsidRPr="009B106D">
        <w:rPr>
          <w:rFonts w:ascii="Times New Roman" w:eastAsia="Times New Roman" w:hAnsi="Times New Roman" w:cs="Times New Roman"/>
          <w:color w:val="000000" w:themeColor="text1"/>
          <w:sz w:val="24"/>
          <w:szCs w:val="24"/>
        </w:rPr>
        <w:t xml:space="preserve">  [Accessed: 24 November 2023]</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Mahoney, J.L., Weissberg, R.P., Greenberg, M.T., Dusenbury, L., Jagers, R.J., Niemi, K., Schlinger, M., Schlund, J., Shriver, T.P., VanAusdal, K. and Yoder, N., (2021). Systemic social and emotional learning: Promoting educational success for all preschool to high school students.</w:t>
      </w:r>
      <w:r w:rsidRPr="009B106D">
        <w:rPr>
          <w:rFonts w:ascii="Times New Roman" w:eastAsia="Times New Roman" w:hAnsi="Times New Roman" w:cs="Times New Roman"/>
          <w:i/>
          <w:color w:val="000000" w:themeColor="text1"/>
          <w:sz w:val="24"/>
          <w:szCs w:val="24"/>
        </w:rPr>
        <w:t xml:space="preserve"> American Psychologist, 76(7), </w:t>
      </w:r>
      <w:r w:rsidRPr="009B106D">
        <w:rPr>
          <w:rFonts w:ascii="Times New Roman" w:eastAsia="Times New Roman" w:hAnsi="Times New Roman" w:cs="Times New Roman"/>
          <w:color w:val="000000" w:themeColor="text1"/>
          <w:sz w:val="24"/>
          <w:szCs w:val="24"/>
        </w:rPr>
        <w:t xml:space="preserve">p.1128. Available at: </w:t>
      </w:r>
      <w:hyperlink r:id="rId16">
        <w:r w:rsidRPr="009B106D">
          <w:rPr>
            <w:rFonts w:ascii="Times New Roman" w:eastAsia="Times New Roman" w:hAnsi="Times New Roman" w:cs="Times New Roman"/>
            <w:color w:val="000000" w:themeColor="text1"/>
            <w:sz w:val="24"/>
            <w:szCs w:val="24"/>
            <w:u w:val="single"/>
          </w:rPr>
          <w:t>http://dx.doi.org/10.1037/</w:t>
        </w:r>
      </w:hyperlink>
      <w:r w:rsidRPr="009B106D">
        <w:rPr>
          <w:rFonts w:ascii="Times New Roman" w:eastAsia="Times New Roman" w:hAnsi="Times New Roman" w:cs="Times New Roman"/>
          <w:color w:val="000000" w:themeColor="text1"/>
          <w:sz w:val="24"/>
          <w:szCs w:val="24"/>
        </w:rPr>
        <w:t xml:space="preserve">  [Accessed: 24 November 2023]</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Sondarjee, M., 2021. Collective learning at the boundaries of communities of practice: inclusive policymaking at the World Bank. Global Society, 35(3), pp.307-326. Available at: </w:t>
      </w:r>
      <w:hyperlink r:id="rId17">
        <w:r w:rsidRPr="009B106D">
          <w:rPr>
            <w:rFonts w:ascii="Times New Roman" w:eastAsia="Times New Roman" w:hAnsi="Times New Roman" w:cs="Times New Roman"/>
            <w:color w:val="000000" w:themeColor="text1"/>
            <w:sz w:val="24"/>
            <w:szCs w:val="24"/>
            <w:u w:val="single"/>
          </w:rPr>
          <w:t>https://doi.org/10.1080/13600826.2020.1835833</w:t>
        </w:r>
      </w:hyperlink>
      <w:r w:rsidRPr="009B106D">
        <w:rPr>
          <w:rFonts w:ascii="Times New Roman" w:eastAsia="Times New Roman" w:hAnsi="Times New Roman" w:cs="Times New Roman"/>
          <w:color w:val="000000" w:themeColor="text1"/>
          <w:sz w:val="24"/>
          <w:szCs w:val="24"/>
        </w:rPr>
        <w:t xml:space="preserve"> [Accessed: 24 November 2023] </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Stallings, S.C., Boyer, A.P., Joosten, Y.A., Novak, L.L., Richmond, A., Vaughn, Y.C. and Wilkins, C.H., (2019). A taxonomy of impacts on clinical and translational research from community stakeholder engagement. </w:t>
      </w:r>
      <w:r w:rsidRPr="009B106D">
        <w:rPr>
          <w:rFonts w:ascii="Times New Roman" w:eastAsia="Times New Roman" w:hAnsi="Times New Roman" w:cs="Times New Roman"/>
          <w:i/>
          <w:color w:val="000000" w:themeColor="text1"/>
          <w:sz w:val="24"/>
          <w:szCs w:val="24"/>
        </w:rPr>
        <w:t>Health Expectations, 22(4)</w:t>
      </w:r>
      <w:r w:rsidRPr="009B106D">
        <w:rPr>
          <w:rFonts w:ascii="Times New Roman" w:eastAsia="Times New Roman" w:hAnsi="Times New Roman" w:cs="Times New Roman"/>
          <w:color w:val="000000" w:themeColor="text1"/>
          <w:sz w:val="24"/>
          <w:szCs w:val="24"/>
        </w:rPr>
        <w:t>, pp.731-742. Available at: DOI: 10.1111/hex.12937  [Accessed: 24 November 2023]</w:t>
      </w:r>
    </w:p>
    <w:p w:rsidR="009B106D" w:rsidRPr="009B106D" w:rsidRDefault="008B6954" w:rsidP="009B106D">
      <w:pPr>
        <w:spacing w:after="100" w:afterAutospacing="1" w:line="360" w:lineRule="auto"/>
        <w:jc w:val="both"/>
        <w:rPr>
          <w:rFonts w:ascii="Times New Roman" w:eastAsia="Times New Roman" w:hAnsi="Times New Roman" w:cs="Times New Roman"/>
          <w:color w:val="000000" w:themeColor="text1"/>
          <w:sz w:val="24"/>
          <w:szCs w:val="24"/>
        </w:rPr>
      </w:pPr>
      <w:r w:rsidRPr="009B106D">
        <w:rPr>
          <w:rFonts w:ascii="Times New Roman" w:eastAsia="Times New Roman" w:hAnsi="Times New Roman" w:cs="Times New Roman"/>
          <w:color w:val="000000" w:themeColor="text1"/>
          <w:sz w:val="24"/>
          <w:szCs w:val="24"/>
        </w:rPr>
        <w:t xml:space="preserve">Yang, X., Tseng, Y. and Lee, B., 2021. Merging the social influence theory and the goal-framing theory to understand consumers’ green purchasing behavior: does the level of sensitivity to climate change really matter?. Frontiers in Psychology, 12, p.766754. Available at: </w:t>
      </w:r>
      <w:hyperlink r:id="rId18">
        <w:r w:rsidRPr="009B106D">
          <w:rPr>
            <w:rFonts w:ascii="Times New Roman" w:eastAsia="Times New Roman" w:hAnsi="Times New Roman" w:cs="Times New Roman"/>
            <w:color w:val="000000" w:themeColor="text1"/>
            <w:sz w:val="24"/>
            <w:szCs w:val="24"/>
            <w:u w:val="single"/>
          </w:rPr>
          <w:t>https://doi.org/10.3389/fpsyg.2021.766754</w:t>
        </w:r>
      </w:hyperlink>
      <w:r w:rsidRPr="009B106D">
        <w:rPr>
          <w:rFonts w:ascii="Times New Roman" w:eastAsia="Times New Roman" w:hAnsi="Times New Roman" w:cs="Times New Roman"/>
          <w:color w:val="000000" w:themeColor="text1"/>
          <w:sz w:val="24"/>
          <w:szCs w:val="24"/>
        </w:rPr>
        <w:t xml:space="preserve"> [Accessed: 24 November 2023]</w:t>
      </w:r>
    </w:p>
    <w:p w:rsidR="00C5770C" w:rsidRPr="007D490D" w:rsidRDefault="00C5770C" w:rsidP="007D490D">
      <w:pPr>
        <w:spacing w:line="360" w:lineRule="auto"/>
        <w:jc w:val="both"/>
        <w:rPr>
          <w:rFonts w:ascii="Times New Roman" w:eastAsia="Times New Roman" w:hAnsi="Times New Roman" w:cs="Times New Roman"/>
          <w:color w:val="000000" w:themeColor="text1"/>
          <w:sz w:val="24"/>
          <w:szCs w:val="24"/>
        </w:rPr>
      </w:pPr>
    </w:p>
    <w:p w:rsidR="00C5770C" w:rsidRPr="007D490D" w:rsidRDefault="00C5770C" w:rsidP="007D490D">
      <w:pPr>
        <w:spacing w:line="360" w:lineRule="auto"/>
        <w:jc w:val="both"/>
        <w:rPr>
          <w:rFonts w:ascii="Times New Roman" w:eastAsia="Times New Roman" w:hAnsi="Times New Roman" w:cs="Times New Roman"/>
          <w:b/>
          <w:color w:val="000000" w:themeColor="text1"/>
          <w:sz w:val="28"/>
          <w:szCs w:val="28"/>
        </w:rPr>
      </w:pPr>
    </w:p>
    <w:sectPr w:rsidR="00C5770C" w:rsidRPr="007D490D" w:rsidSect="007D490D">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B6954" w:rsidRDefault="008B6954">
      <w:pPr>
        <w:spacing w:line="240" w:lineRule="auto"/>
      </w:pPr>
      <w:r>
        <w:separator/>
      </w:r>
    </w:p>
  </w:endnote>
  <w:endnote w:type="continuationSeparator" w:id="0">
    <w:p w:rsidR="008B6954" w:rsidRDefault="008B69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6407995"/>
      <w:docPartObj>
        <w:docPartGallery w:val="Page Numbers (Bottom of Page)"/>
        <w:docPartUnique/>
      </w:docPartObj>
    </w:sdtPr>
    <w:sdtEndPr/>
    <w:sdtContent>
      <w:sdt>
        <w:sdtPr>
          <w:id w:val="-1769616900"/>
          <w:docPartObj>
            <w:docPartGallery w:val="Page Numbers (Top of Page)"/>
            <w:docPartUnique/>
          </w:docPartObj>
        </w:sdtPr>
        <w:sdtEndPr/>
        <w:sdtContent>
          <w:p w:rsidR="007D490D" w:rsidRDefault="008B6954">
            <w:pPr>
              <w:pStyle w:val="Footer"/>
              <w:jc w:val="right"/>
            </w:pPr>
            <w:r w:rsidRPr="007D490D">
              <w:rPr>
                <w:rFonts w:ascii="Times New Roman" w:hAnsi="Times New Roman" w:cs="Times New Roman"/>
                <w:sz w:val="20"/>
                <w:szCs w:val="20"/>
              </w:rPr>
              <w:t xml:space="preserve">Page </w:t>
            </w:r>
            <w:r w:rsidRPr="007D490D">
              <w:rPr>
                <w:rFonts w:ascii="Times New Roman" w:hAnsi="Times New Roman" w:cs="Times New Roman"/>
                <w:bCs/>
                <w:sz w:val="20"/>
                <w:szCs w:val="20"/>
              </w:rPr>
              <w:fldChar w:fldCharType="begin"/>
            </w:r>
            <w:r w:rsidRPr="007D490D">
              <w:rPr>
                <w:rFonts w:ascii="Times New Roman" w:hAnsi="Times New Roman" w:cs="Times New Roman"/>
                <w:bCs/>
                <w:sz w:val="20"/>
                <w:szCs w:val="20"/>
              </w:rPr>
              <w:instrText xml:space="preserve"> PAGE </w:instrText>
            </w:r>
            <w:r w:rsidRPr="007D490D">
              <w:rPr>
                <w:rFonts w:ascii="Times New Roman" w:hAnsi="Times New Roman" w:cs="Times New Roman"/>
                <w:bCs/>
                <w:sz w:val="20"/>
                <w:szCs w:val="20"/>
              </w:rPr>
              <w:fldChar w:fldCharType="separate"/>
            </w:r>
            <w:r w:rsidR="000C4860">
              <w:rPr>
                <w:rFonts w:ascii="Times New Roman" w:hAnsi="Times New Roman" w:cs="Times New Roman"/>
                <w:bCs/>
                <w:noProof/>
                <w:sz w:val="20"/>
                <w:szCs w:val="20"/>
              </w:rPr>
              <w:t>12</w:t>
            </w:r>
            <w:r w:rsidRPr="007D490D">
              <w:rPr>
                <w:rFonts w:ascii="Times New Roman" w:hAnsi="Times New Roman" w:cs="Times New Roman"/>
                <w:bCs/>
                <w:sz w:val="20"/>
                <w:szCs w:val="20"/>
              </w:rPr>
              <w:fldChar w:fldCharType="end"/>
            </w:r>
            <w:r w:rsidRPr="007D490D">
              <w:rPr>
                <w:rFonts w:ascii="Times New Roman" w:hAnsi="Times New Roman" w:cs="Times New Roman"/>
                <w:sz w:val="20"/>
                <w:szCs w:val="20"/>
              </w:rPr>
              <w:t xml:space="preserve"> of </w:t>
            </w:r>
            <w:r w:rsidRPr="007D490D">
              <w:rPr>
                <w:rFonts w:ascii="Times New Roman" w:hAnsi="Times New Roman" w:cs="Times New Roman"/>
                <w:bCs/>
                <w:sz w:val="20"/>
                <w:szCs w:val="20"/>
              </w:rPr>
              <w:fldChar w:fldCharType="begin"/>
            </w:r>
            <w:r w:rsidRPr="007D490D">
              <w:rPr>
                <w:rFonts w:ascii="Times New Roman" w:hAnsi="Times New Roman" w:cs="Times New Roman"/>
                <w:bCs/>
                <w:sz w:val="20"/>
                <w:szCs w:val="20"/>
              </w:rPr>
              <w:instrText xml:space="preserve"> NUMPAGES  </w:instrText>
            </w:r>
            <w:r w:rsidRPr="007D490D">
              <w:rPr>
                <w:rFonts w:ascii="Times New Roman" w:hAnsi="Times New Roman" w:cs="Times New Roman"/>
                <w:bCs/>
                <w:sz w:val="20"/>
                <w:szCs w:val="20"/>
              </w:rPr>
              <w:fldChar w:fldCharType="separate"/>
            </w:r>
            <w:r w:rsidR="000C4860">
              <w:rPr>
                <w:rFonts w:ascii="Times New Roman" w:hAnsi="Times New Roman" w:cs="Times New Roman"/>
                <w:bCs/>
                <w:noProof/>
                <w:sz w:val="20"/>
                <w:szCs w:val="20"/>
              </w:rPr>
              <w:t>12</w:t>
            </w:r>
            <w:r w:rsidRPr="007D490D">
              <w:rPr>
                <w:rFonts w:ascii="Times New Roman" w:hAnsi="Times New Roman" w:cs="Times New Roman"/>
                <w:bCs/>
                <w:sz w:val="20"/>
                <w:szCs w:val="20"/>
              </w:rPr>
              <w:fldChar w:fldCharType="end"/>
            </w:r>
          </w:p>
        </w:sdtContent>
      </w:sdt>
    </w:sdtContent>
  </w:sdt>
  <w:p w:rsidR="007D490D" w:rsidRDefault="007D4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B6954" w:rsidRDefault="008B6954">
      <w:pPr>
        <w:spacing w:line="240" w:lineRule="auto"/>
      </w:pPr>
      <w:r>
        <w:separator/>
      </w:r>
    </w:p>
  </w:footnote>
  <w:footnote w:type="continuationSeparator" w:id="0">
    <w:p w:rsidR="008B6954" w:rsidRDefault="008B69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C02C29"/>
    <w:multiLevelType w:val="hybridMultilevel"/>
    <w:tmpl w:val="C694B358"/>
    <w:lvl w:ilvl="0" w:tplc="11A436F6">
      <w:start w:val="1"/>
      <w:numFmt w:val="decimal"/>
      <w:lvlText w:val="%1."/>
      <w:lvlJc w:val="left"/>
      <w:pPr>
        <w:ind w:left="720" w:hanging="360"/>
      </w:pPr>
    </w:lvl>
    <w:lvl w:ilvl="1" w:tplc="F73086A6" w:tentative="1">
      <w:start w:val="1"/>
      <w:numFmt w:val="lowerLetter"/>
      <w:lvlText w:val="%2."/>
      <w:lvlJc w:val="left"/>
      <w:pPr>
        <w:ind w:left="1440" w:hanging="360"/>
      </w:pPr>
    </w:lvl>
    <w:lvl w:ilvl="2" w:tplc="0D90AEA2" w:tentative="1">
      <w:start w:val="1"/>
      <w:numFmt w:val="lowerRoman"/>
      <w:lvlText w:val="%3."/>
      <w:lvlJc w:val="right"/>
      <w:pPr>
        <w:ind w:left="2160" w:hanging="180"/>
      </w:pPr>
    </w:lvl>
    <w:lvl w:ilvl="3" w:tplc="1FEC035E" w:tentative="1">
      <w:start w:val="1"/>
      <w:numFmt w:val="decimal"/>
      <w:lvlText w:val="%4."/>
      <w:lvlJc w:val="left"/>
      <w:pPr>
        <w:ind w:left="2880" w:hanging="360"/>
      </w:pPr>
    </w:lvl>
    <w:lvl w:ilvl="4" w:tplc="70F00428" w:tentative="1">
      <w:start w:val="1"/>
      <w:numFmt w:val="lowerLetter"/>
      <w:lvlText w:val="%5."/>
      <w:lvlJc w:val="left"/>
      <w:pPr>
        <w:ind w:left="3600" w:hanging="360"/>
      </w:pPr>
    </w:lvl>
    <w:lvl w:ilvl="5" w:tplc="BF3C0966" w:tentative="1">
      <w:start w:val="1"/>
      <w:numFmt w:val="lowerRoman"/>
      <w:lvlText w:val="%6."/>
      <w:lvlJc w:val="right"/>
      <w:pPr>
        <w:ind w:left="4320" w:hanging="180"/>
      </w:pPr>
    </w:lvl>
    <w:lvl w:ilvl="6" w:tplc="F2C4EFD4" w:tentative="1">
      <w:start w:val="1"/>
      <w:numFmt w:val="decimal"/>
      <w:lvlText w:val="%7."/>
      <w:lvlJc w:val="left"/>
      <w:pPr>
        <w:ind w:left="5040" w:hanging="360"/>
      </w:pPr>
    </w:lvl>
    <w:lvl w:ilvl="7" w:tplc="1E2CC19E" w:tentative="1">
      <w:start w:val="1"/>
      <w:numFmt w:val="lowerLetter"/>
      <w:lvlText w:val="%8."/>
      <w:lvlJc w:val="left"/>
      <w:pPr>
        <w:ind w:left="5760" w:hanging="360"/>
      </w:pPr>
    </w:lvl>
    <w:lvl w:ilvl="8" w:tplc="4FE0BFC6" w:tentative="1">
      <w:start w:val="1"/>
      <w:numFmt w:val="lowerRoman"/>
      <w:lvlText w:val="%9."/>
      <w:lvlJc w:val="right"/>
      <w:pPr>
        <w:ind w:left="6480" w:hanging="180"/>
      </w:pPr>
    </w:lvl>
  </w:abstractNum>
  <w:abstractNum w:abstractNumId="1" w15:restartNumberingAfterBreak="0">
    <w:nsid w:val="67E05203"/>
    <w:multiLevelType w:val="multilevel"/>
    <w:tmpl w:val="E8E08B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36114725">
    <w:abstractNumId w:val="1"/>
  </w:num>
  <w:num w:numId="2" w16cid:durableId="2068920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70C"/>
    <w:rsid w:val="00062711"/>
    <w:rsid w:val="000C4860"/>
    <w:rsid w:val="000E618C"/>
    <w:rsid w:val="001F6D1F"/>
    <w:rsid w:val="00321159"/>
    <w:rsid w:val="003718E9"/>
    <w:rsid w:val="0038550D"/>
    <w:rsid w:val="003A261D"/>
    <w:rsid w:val="003B3127"/>
    <w:rsid w:val="00475787"/>
    <w:rsid w:val="005678AF"/>
    <w:rsid w:val="0062120E"/>
    <w:rsid w:val="007D490D"/>
    <w:rsid w:val="00810346"/>
    <w:rsid w:val="008836FA"/>
    <w:rsid w:val="008B6954"/>
    <w:rsid w:val="00917281"/>
    <w:rsid w:val="009B106D"/>
    <w:rsid w:val="00A63A71"/>
    <w:rsid w:val="00B259C7"/>
    <w:rsid w:val="00C5770C"/>
    <w:rsid w:val="00C70B2C"/>
    <w:rsid w:val="00D70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27204"/>
  <w15:docId w15:val="{CCB7488D-75D9-4746-A3A5-7DD77403C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D490D"/>
    <w:pPr>
      <w:spacing w:line="360" w:lineRule="auto"/>
      <w:jc w:val="both"/>
      <w:outlineLvl w:val="0"/>
    </w:pPr>
    <w:rPr>
      <w:rFonts w:ascii="Times New Roman" w:eastAsia="Times New Roman" w:hAnsi="Times New Roman" w:cs="Times New Roman"/>
      <w:b/>
      <w:color w:val="000000" w:themeColor="text1"/>
      <w:sz w:val="28"/>
      <w:szCs w:val="28"/>
    </w:rPr>
  </w:style>
  <w:style w:type="paragraph" w:styleId="Heading2">
    <w:name w:val="heading 2"/>
    <w:basedOn w:val="Normal"/>
    <w:next w:val="Normal"/>
    <w:rsid w:val="007D490D"/>
    <w:pPr>
      <w:spacing w:line="360" w:lineRule="auto"/>
      <w:jc w:val="both"/>
      <w:outlineLvl w:val="1"/>
    </w:pPr>
    <w:rPr>
      <w:rFonts w:ascii="Times New Roman" w:eastAsia="Times New Roman" w:hAnsi="Times New Roman" w:cs="Times New Roman"/>
      <w:b/>
      <w:color w:val="000000" w:themeColor="text1"/>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D490D"/>
    <w:pPr>
      <w:tabs>
        <w:tab w:val="center" w:pos="4680"/>
        <w:tab w:val="right" w:pos="9360"/>
      </w:tabs>
      <w:spacing w:line="240" w:lineRule="auto"/>
    </w:pPr>
  </w:style>
  <w:style w:type="character" w:customStyle="1" w:styleId="HeaderChar">
    <w:name w:val="Header Char"/>
    <w:basedOn w:val="DefaultParagraphFont"/>
    <w:link w:val="Header"/>
    <w:uiPriority w:val="99"/>
    <w:rsid w:val="007D490D"/>
  </w:style>
  <w:style w:type="paragraph" w:styleId="Footer">
    <w:name w:val="footer"/>
    <w:basedOn w:val="Normal"/>
    <w:link w:val="FooterChar"/>
    <w:uiPriority w:val="99"/>
    <w:unhideWhenUsed/>
    <w:rsid w:val="007D490D"/>
    <w:pPr>
      <w:tabs>
        <w:tab w:val="center" w:pos="4680"/>
        <w:tab w:val="right" w:pos="9360"/>
      </w:tabs>
      <w:spacing w:line="240" w:lineRule="auto"/>
    </w:pPr>
  </w:style>
  <w:style w:type="character" w:customStyle="1" w:styleId="FooterChar">
    <w:name w:val="Footer Char"/>
    <w:basedOn w:val="DefaultParagraphFont"/>
    <w:link w:val="Footer"/>
    <w:uiPriority w:val="99"/>
    <w:rsid w:val="007D490D"/>
  </w:style>
  <w:style w:type="paragraph" w:styleId="ListParagraph">
    <w:name w:val="List Paragraph"/>
    <w:basedOn w:val="Normal"/>
    <w:uiPriority w:val="34"/>
    <w:qFormat/>
    <w:rsid w:val="009B106D"/>
    <w:pPr>
      <w:ind w:left="720"/>
      <w:contextualSpacing/>
    </w:pPr>
  </w:style>
  <w:style w:type="paragraph" w:styleId="TOCHeading">
    <w:name w:val="TOC Heading"/>
    <w:basedOn w:val="Heading1"/>
    <w:next w:val="Normal"/>
    <w:uiPriority w:val="39"/>
    <w:unhideWhenUsed/>
    <w:qFormat/>
    <w:rsid w:val="0062120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2120E"/>
    <w:pPr>
      <w:spacing w:after="100"/>
    </w:pPr>
  </w:style>
  <w:style w:type="paragraph" w:styleId="TOC2">
    <w:name w:val="toc 2"/>
    <w:basedOn w:val="Normal"/>
    <w:next w:val="Normal"/>
    <w:autoRedefine/>
    <w:uiPriority w:val="39"/>
    <w:unhideWhenUsed/>
    <w:rsid w:val="0062120E"/>
    <w:pPr>
      <w:spacing w:after="100"/>
      <w:ind w:left="220"/>
    </w:pPr>
  </w:style>
  <w:style w:type="character" w:styleId="Hyperlink">
    <w:name w:val="Hyperlink"/>
    <w:basedOn w:val="DefaultParagraphFont"/>
    <w:uiPriority w:val="99"/>
    <w:unhideWhenUsed/>
    <w:rsid w:val="006212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145/3359318" TargetMode="External" /><Relationship Id="rId18" Type="http://schemas.openxmlformats.org/officeDocument/2006/relationships/hyperlink" Target="https://doi.org/10.3389/fpsyg.2021.766754"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doi.org/10.1371/journal.pone.0216112" TargetMode="External" /><Relationship Id="rId17" Type="http://schemas.openxmlformats.org/officeDocument/2006/relationships/hyperlink" Target="https://doi.org/10.1080/13600826.2020.1835833" TargetMode="External" /><Relationship Id="rId2" Type="http://schemas.openxmlformats.org/officeDocument/2006/relationships/numbering" Target="numbering.xml" /><Relationship Id="rId16" Type="http://schemas.openxmlformats.org/officeDocument/2006/relationships/hyperlink" Target="http://dx.doi.org/10.1037/"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jpe.org/content/ajpe/86/3/8631.full.pdf" TargetMode="External" /><Relationship Id="rId5" Type="http://schemas.openxmlformats.org/officeDocument/2006/relationships/webSettings" Target="webSettings.xml" /><Relationship Id="rId15" Type="http://schemas.openxmlformats.org/officeDocument/2006/relationships/hyperlink" Target="https://doi.org/10.3389/fpsyt.2019.00099" TargetMode="External" /><Relationship Id="rId10" Type="http://schemas.openxmlformats.org/officeDocument/2006/relationships/hyperlink" Target="https://doi.org/10.25134/ieflj.v6i2.3382" TargetMode="External"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016/j.landurbplan.2019.02.01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E115D-D822-442E-AC83-248B57BC72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2849</Words>
  <Characters>16243</Characters>
  <Application>Microsoft Office Word</Application>
  <DocSecurity>0</DocSecurity>
  <Lines>135</Lines>
  <Paragraphs>38</Paragraphs>
  <ScaleCrop>false</ScaleCrop>
  <Company/>
  <LinksUpToDate>false</LinksUpToDate>
  <CharactersWithSpaces>19054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Jaskaran Jaskaran (2230229)</cp:lastModifiedBy>
  <cp:revision>2</cp:revision>
  <dcterms:created xsi:type="dcterms:W3CDTF">2023-11-24T14:01:00Z</dcterms:created>
  <dcterms:modified xsi:type="dcterms:W3CDTF">2023-11-24T14:01:00Z</dcterms:modified>
</cp:coreProperties>
</file>