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64FAAC" w14:textId="645592CF" w:rsidR="00D80129" w:rsidRDefault="00016AF8">
      <w:r w:rsidRPr="00016AF8">
        <w:t>BA International Hotel Management</w:t>
      </w:r>
    </w:p>
    <w:p w14:paraId="2FE8EAA9" w14:textId="490A306D" w:rsidR="00016AF8" w:rsidRDefault="000475FE">
      <w:r w:rsidRPr="00016AF8">
        <w:t>BMIH5007</w:t>
      </w:r>
      <w:r>
        <w:t xml:space="preserve"> </w:t>
      </w:r>
      <w:r w:rsidR="00016AF8" w:rsidRPr="00016AF8">
        <w:t>Financial Management for the Hotel Industry</w:t>
      </w:r>
    </w:p>
    <w:p w14:paraId="58DB2EFB" w14:textId="77777777" w:rsidR="00016AF8" w:rsidRDefault="00016AF8"/>
    <w:p w14:paraId="65390163" w14:textId="47F7F6A3" w:rsidR="00016AF8" w:rsidRDefault="00016AF8" w:rsidP="000475FE">
      <w:pPr>
        <w:jc w:val="left"/>
        <w:rPr>
          <w:sz w:val="44"/>
          <w:szCs w:val="44"/>
        </w:rPr>
      </w:pPr>
      <w:r w:rsidRPr="00016AF8">
        <w:rPr>
          <w:sz w:val="44"/>
          <w:szCs w:val="44"/>
        </w:rPr>
        <w:t>Report Case Study: The Seacrest Lodge</w:t>
      </w:r>
    </w:p>
    <w:p w14:paraId="746FEC2E" w14:textId="77777777" w:rsidR="00016AF8" w:rsidRDefault="00016AF8" w:rsidP="00016AF8">
      <w:pPr>
        <w:jc w:val="left"/>
        <w:rPr>
          <w:sz w:val="44"/>
          <w:szCs w:val="44"/>
        </w:rPr>
      </w:pPr>
    </w:p>
    <w:p w14:paraId="06B43EE1" w14:textId="77777777" w:rsidR="00016AF8" w:rsidRDefault="00016AF8" w:rsidP="00016AF8">
      <w:pPr>
        <w:jc w:val="left"/>
        <w:rPr>
          <w:sz w:val="44"/>
          <w:szCs w:val="44"/>
        </w:rPr>
      </w:pPr>
    </w:p>
    <w:p w14:paraId="3715EB17" w14:textId="77777777" w:rsidR="00016AF8" w:rsidRDefault="00016AF8" w:rsidP="00016AF8">
      <w:pPr>
        <w:jc w:val="left"/>
      </w:pPr>
    </w:p>
    <w:p w14:paraId="1F109966" w14:textId="3054A863" w:rsidR="00016AF8" w:rsidRDefault="00016AF8" w:rsidP="00016AF8">
      <w:pPr>
        <w:jc w:val="left"/>
      </w:pPr>
      <w:r>
        <w:t xml:space="preserve">Student Name: </w:t>
      </w:r>
      <w:r w:rsidR="000475FE">
        <w:t>Constantin-Bogdan Rusu</w:t>
      </w:r>
    </w:p>
    <w:p w14:paraId="6E24AAD3" w14:textId="76470274" w:rsidR="00016AF8" w:rsidRDefault="00016AF8" w:rsidP="00016AF8">
      <w:pPr>
        <w:jc w:val="left"/>
      </w:pPr>
      <w:r>
        <w:t xml:space="preserve">Student ID: </w:t>
      </w:r>
      <w:r w:rsidR="00730546">
        <w:t>2014305</w:t>
      </w:r>
    </w:p>
    <w:p w14:paraId="3C7A954A" w14:textId="4E5171CD" w:rsidR="00730546" w:rsidRDefault="00730546" w:rsidP="00016AF8">
      <w:pPr>
        <w:jc w:val="left"/>
      </w:pPr>
      <w:r>
        <w:t xml:space="preserve">Lecturer: </w:t>
      </w:r>
      <w:r w:rsidR="005B0EA5">
        <w:t>Tristan Hawkins</w:t>
      </w:r>
    </w:p>
    <w:p w14:paraId="72C87159" w14:textId="77777777" w:rsidR="00016AF8" w:rsidRDefault="00016AF8" w:rsidP="00016AF8">
      <w:pPr>
        <w:jc w:val="left"/>
      </w:pPr>
    </w:p>
    <w:p w14:paraId="44308884" w14:textId="032730F3" w:rsidR="00016AF8" w:rsidRDefault="00016AF8" w:rsidP="00016AF8">
      <w:pPr>
        <w:jc w:val="left"/>
      </w:pPr>
      <w:r>
        <w:t xml:space="preserve">Word count: </w:t>
      </w:r>
      <w:r w:rsidR="005C6D67">
        <w:t>1,</w:t>
      </w:r>
      <w:r w:rsidR="007B0AB8">
        <w:t>903</w:t>
      </w:r>
    </w:p>
    <w:p w14:paraId="7470CB49" w14:textId="77777777" w:rsidR="00016AF8" w:rsidRDefault="00016AF8" w:rsidP="00016AF8">
      <w:pPr>
        <w:jc w:val="left"/>
      </w:pPr>
    </w:p>
    <w:p w14:paraId="2A3B2526" w14:textId="77777777" w:rsidR="002D5B80" w:rsidRDefault="002D5B80" w:rsidP="00016AF8">
      <w:pPr>
        <w:jc w:val="left"/>
      </w:pPr>
    </w:p>
    <w:p w14:paraId="1F47F77C" w14:textId="77777777" w:rsidR="002D5B80" w:rsidRDefault="002D5B80" w:rsidP="00016AF8">
      <w:pPr>
        <w:jc w:val="left"/>
      </w:pPr>
    </w:p>
    <w:p w14:paraId="191A6307" w14:textId="77777777" w:rsidR="002D5B80" w:rsidRDefault="002D5B80" w:rsidP="00016AF8">
      <w:pPr>
        <w:jc w:val="left"/>
      </w:pPr>
    </w:p>
    <w:p w14:paraId="0A7748AB" w14:textId="77777777" w:rsidR="002D5B80" w:rsidRDefault="002D5B80" w:rsidP="00016AF8">
      <w:pPr>
        <w:jc w:val="left"/>
      </w:pPr>
    </w:p>
    <w:p w14:paraId="29877EDE" w14:textId="77777777" w:rsidR="002D5B80" w:rsidRDefault="002D5B80" w:rsidP="00016AF8">
      <w:pPr>
        <w:jc w:val="left"/>
      </w:pPr>
    </w:p>
    <w:p w14:paraId="742A75B7" w14:textId="77777777" w:rsidR="002D5B80" w:rsidRDefault="002D5B80" w:rsidP="00016AF8">
      <w:pPr>
        <w:jc w:val="left"/>
      </w:pPr>
    </w:p>
    <w:p w14:paraId="4FE8D7AA" w14:textId="77777777" w:rsidR="002D5B80" w:rsidRDefault="002D5B80" w:rsidP="00016AF8">
      <w:pPr>
        <w:jc w:val="left"/>
      </w:pPr>
    </w:p>
    <w:p w14:paraId="37FBBD97" w14:textId="77777777" w:rsidR="002D5B80" w:rsidRDefault="002D5B80" w:rsidP="00016AF8">
      <w:pPr>
        <w:jc w:val="left"/>
      </w:pPr>
    </w:p>
    <w:p w14:paraId="097D41B3" w14:textId="77777777" w:rsidR="002D5B80" w:rsidRDefault="002D5B80" w:rsidP="00016AF8">
      <w:pPr>
        <w:jc w:val="left"/>
      </w:pPr>
    </w:p>
    <w:p w14:paraId="40C08887" w14:textId="77777777" w:rsidR="002D5B80" w:rsidRDefault="002D5B80" w:rsidP="00016AF8">
      <w:pPr>
        <w:jc w:val="left"/>
      </w:pPr>
    </w:p>
    <w:p w14:paraId="536D13E2" w14:textId="77777777" w:rsidR="002D5B80" w:rsidRDefault="002D5B80" w:rsidP="00016AF8">
      <w:pPr>
        <w:jc w:val="left"/>
      </w:pPr>
    </w:p>
    <w:p w14:paraId="217F5863" w14:textId="77777777" w:rsidR="002D5B80" w:rsidRDefault="002D5B80" w:rsidP="00016AF8">
      <w:pPr>
        <w:jc w:val="left"/>
      </w:pPr>
    </w:p>
    <w:p w14:paraId="03997B87" w14:textId="77777777" w:rsidR="002D5B80" w:rsidRDefault="002D5B80" w:rsidP="00016AF8">
      <w:pPr>
        <w:jc w:val="left"/>
      </w:pPr>
    </w:p>
    <w:p w14:paraId="42AA5E41" w14:textId="77777777" w:rsidR="002D5B80" w:rsidRDefault="002D5B80" w:rsidP="00016AF8">
      <w:pPr>
        <w:jc w:val="left"/>
      </w:pPr>
    </w:p>
    <w:p w14:paraId="0E513808" w14:textId="77777777" w:rsidR="002D5B80" w:rsidRDefault="002D5B80" w:rsidP="00016AF8">
      <w:pPr>
        <w:jc w:val="left"/>
      </w:pPr>
    </w:p>
    <w:p w14:paraId="7B7D265D" w14:textId="77777777" w:rsidR="002D5B80" w:rsidRDefault="002D5B80" w:rsidP="00016AF8">
      <w:pPr>
        <w:jc w:val="left"/>
      </w:pPr>
    </w:p>
    <w:p w14:paraId="292234EF" w14:textId="77777777" w:rsidR="002D5B80" w:rsidRDefault="002D5B80" w:rsidP="00016AF8">
      <w:pPr>
        <w:jc w:val="left"/>
      </w:pPr>
    </w:p>
    <w:p w14:paraId="0D408214" w14:textId="77777777" w:rsidR="002D5B80" w:rsidRDefault="002D5B80" w:rsidP="00016AF8">
      <w:pPr>
        <w:jc w:val="left"/>
      </w:pPr>
    </w:p>
    <w:p w14:paraId="166EA965" w14:textId="77777777" w:rsidR="006E1318" w:rsidRDefault="006E1318" w:rsidP="00016AF8">
      <w:pPr>
        <w:jc w:val="left"/>
      </w:pPr>
    </w:p>
    <w:p w14:paraId="7C2B9755" w14:textId="5105796D" w:rsidR="006E1318" w:rsidRDefault="006E1318" w:rsidP="006E1318">
      <w:pPr>
        <w:pStyle w:val="Titlu1"/>
      </w:pPr>
      <w:bookmarkStart w:id="0" w:name="_Toc159949405"/>
      <w:r>
        <w:lastRenderedPageBreak/>
        <w:t>Executive Summary</w:t>
      </w:r>
      <w:bookmarkEnd w:id="0"/>
    </w:p>
    <w:p w14:paraId="1A172BCD" w14:textId="77777777" w:rsidR="006E1318" w:rsidRDefault="006E1318" w:rsidP="006E1318">
      <w:r>
        <w:t>The purpose of the case study is to assist The Seacrest Lodge's owner in making decisions by offering guidance on how to turn around the resort's deteriorating revenue, occupancy rates, and customer satisfaction. Situated on an attractive coastline, the Seacrest Lodge also houses a restaurant, bar, and event facilities. The Seacrest Lodge was once a bustling destination for travellers seeking vacation and relaxation. Due to the emergence of multiple newer, more contemporary resorts close to the Seacrest Lodge, as well as a decline in the company's service quality and outdated amenities due to shifting consumer preferences, the market conditions have changed, and it is now very competitive for the organisation.</w:t>
      </w:r>
    </w:p>
    <w:p w14:paraId="0AC0698B" w14:textId="77777777" w:rsidR="006E1318" w:rsidRDefault="006E1318" w:rsidP="006E1318">
      <w:r>
        <w:t>The values of gross profit ratios confirm a falling profitability because the gross profits have significantly dropped in these reporting periods, considering that the net income has also pointedly fallen. Considering that the company's current assets have been steadily declining while its short-term debt has been steadily rising, it is evident that the company's ability to pay its current liabilities has dramatically declined. The company's capital structure is skewed towards debt, as seen by the debt-to-equity ratio results over the last three years.</w:t>
      </w:r>
    </w:p>
    <w:p w14:paraId="129DA927" w14:textId="77777777" w:rsidR="006E1318" w:rsidRDefault="006E1318" w:rsidP="006E1318">
      <w:r>
        <w:t>The turnaround or growth strategy proposed is based on the digital transformation of the business model; modernising the amenities and providing higher-quality services are strategies to differentiate from the competition.</w:t>
      </w:r>
    </w:p>
    <w:p w14:paraId="36B9A374" w14:textId="77777777" w:rsidR="006E1318" w:rsidRDefault="006E1318" w:rsidP="006E1318"/>
    <w:p w14:paraId="367E2371" w14:textId="77777777" w:rsidR="006E1318" w:rsidRDefault="006E1318" w:rsidP="00016AF8">
      <w:pPr>
        <w:jc w:val="left"/>
      </w:pPr>
    </w:p>
    <w:p w14:paraId="63AE60BC" w14:textId="77777777" w:rsidR="006E1318" w:rsidRDefault="006E1318" w:rsidP="00016AF8">
      <w:pPr>
        <w:jc w:val="left"/>
      </w:pPr>
    </w:p>
    <w:p w14:paraId="341356F1" w14:textId="77777777" w:rsidR="006E1318" w:rsidRDefault="006E1318" w:rsidP="00016AF8">
      <w:pPr>
        <w:jc w:val="left"/>
      </w:pPr>
    </w:p>
    <w:p w14:paraId="1586A021" w14:textId="77777777" w:rsidR="006E1318" w:rsidRDefault="006E1318" w:rsidP="00016AF8">
      <w:pPr>
        <w:jc w:val="left"/>
      </w:pPr>
    </w:p>
    <w:p w14:paraId="3D7F6DDF" w14:textId="77777777" w:rsidR="006E1318" w:rsidRDefault="006E1318" w:rsidP="00016AF8">
      <w:pPr>
        <w:jc w:val="left"/>
      </w:pPr>
    </w:p>
    <w:p w14:paraId="0909E0D4" w14:textId="77777777" w:rsidR="006E1318" w:rsidRDefault="006E1318" w:rsidP="00016AF8">
      <w:pPr>
        <w:jc w:val="left"/>
      </w:pPr>
    </w:p>
    <w:p w14:paraId="161018C5" w14:textId="77777777" w:rsidR="006E1318" w:rsidRDefault="006E1318" w:rsidP="00016AF8">
      <w:pPr>
        <w:jc w:val="left"/>
      </w:pPr>
    </w:p>
    <w:p w14:paraId="5A83A12D" w14:textId="77777777" w:rsidR="006E1318" w:rsidRDefault="006E1318" w:rsidP="00016AF8">
      <w:pPr>
        <w:jc w:val="left"/>
      </w:pPr>
    </w:p>
    <w:p w14:paraId="387A154B" w14:textId="77777777" w:rsidR="006E1318" w:rsidRDefault="006E1318" w:rsidP="00016AF8">
      <w:pPr>
        <w:jc w:val="left"/>
      </w:pPr>
    </w:p>
    <w:p w14:paraId="2A1D3B19" w14:textId="77777777" w:rsidR="006E1318" w:rsidRDefault="006E1318" w:rsidP="00016AF8">
      <w:pPr>
        <w:jc w:val="left"/>
      </w:pPr>
    </w:p>
    <w:p w14:paraId="0E69DB84" w14:textId="77777777" w:rsidR="006E1318" w:rsidRDefault="006E1318" w:rsidP="00016AF8">
      <w:pPr>
        <w:jc w:val="left"/>
      </w:pPr>
    </w:p>
    <w:p w14:paraId="27C68F4E" w14:textId="77777777" w:rsidR="006E1318" w:rsidRDefault="006E1318" w:rsidP="00016AF8">
      <w:pPr>
        <w:jc w:val="left"/>
      </w:pPr>
    </w:p>
    <w:p w14:paraId="15F6B271" w14:textId="77777777" w:rsidR="006E1318" w:rsidRDefault="006E1318" w:rsidP="00016AF8">
      <w:pPr>
        <w:jc w:val="left"/>
      </w:pPr>
    </w:p>
    <w:p w14:paraId="0CFABB74" w14:textId="77777777" w:rsidR="006E1318" w:rsidRDefault="006E1318" w:rsidP="00016AF8">
      <w:pPr>
        <w:jc w:val="left"/>
      </w:pPr>
    </w:p>
    <w:sdt>
      <w:sdtPr>
        <w:rPr>
          <w:rFonts w:eastAsiaTheme="minorHAnsi" w:cstheme="minorBidi"/>
          <w:color w:val="auto"/>
          <w:sz w:val="24"/>
          <w:szCs w:val="24"/>
        </w:rPr>
        <w:id w:val="-1045283778"/>
        <w:docPartObj>
          <w:docPartGallery w:val="Table of Contents"/>
          <w:docPartUnique/>
        </w:docPartObj>
      </w:sdtPr>
      <w:sdtEndPr>
        <w:rPr>
          <w:b/>
          <w:bCs/>
          <w:noProof/>
        </w:rPr>
      </w:sdtEndPr>
      <w:sdtContent>
        <w:p w14:paraId="64CA2B75" w14:textId="4DB2D673" w:rsidR="002D5B80" w:rsidRDefault="002D5B80">
          <w:pPr>
            <w:pStyle w:val="Titlucuprins"/>
          </w:pPr>
          <w:r>
            <w:t>Table of Contents</w:t>
          </w:r>
        </w:p>
        <w:p w14:paraId="712B8537" w14:textId="193BF214" w:rsidR="006E1318" w:rsidRDefault="002D5B80">
          <w:pPr>
            <w:pStyle w:val="Cuprins1"/>
            <w:tabs>
              <w:tab w:val="right" w:leader="dot" w:pos="9016"/>
            </w:tabs>
            <w:rPr>
              <w:rFonts w:asciiTheme="minorHAnsi" w:eastAsiaTheme="minorEastAsia" w:hAnsiTheme="minorHAnsi"/>
              <w:noProof/>
              <w:sz w:val="22"/>
              <w:szCs w:val="22"/>
              <w:lang w:eastAsia="en-GB"/>
            </w:rPr>
          </w:pPr>
          <w:r>
            <w:fldChar w:fldCharType="begin"/>
          </w:r>
          <w:r>
            <w:instrText xml:space="preserve"> TOC \o "1-3" \h \z \u </w:instrText>
          </w:r>
          <w:r>
            <w:fldChar w:fldCharType="separate"/>
          </w:r>
          <w:hyperlink w:anchor="_Toc159949405" w:history="1">
            <w:r w:rsidR="006E1318" w:rsidRPr="00B24441">
              <w:rPr>
                <w:rStyle w:val="Hyperlink"/>
                <w:noProof/>
              </w:rPr>
              <w:t>Executive Summary</w:t>
            </w:r>
            <w:r w:rsidR="006E1318">
              <w:rPr>
                <w:noProof/>
                <w:webHidden/>
              </w:rPr>
              <w:tab/>
            </w:r>
            <w:r w:rsidR="006E1318">
              <w:rPr>
                <w:noProof/>
                <w:webHidden/>
              </w:rPr>
              <w:fldChar w:fldCharType="begin"/>
            </w:r>
            <w:r w:rsidR="006E1318">
              <w:rPr>
                <w:noProof/>
                <w:webHidden/>
              </w:rPr>
              <w:instrText xml:space="preserve"> PAGEREF _Toc159949405 \h </w:instrText>
            </w:r>
            <w:r w:rsidR="006E1318">
              <w:rPr>
                <w:noProof/>
                <w:webHidden/>
              </w:rPr>
            </w:r>
            <w:r w:rsidR="006E1318">
              <w:rPr>
                <w:noProof/>
                <w:webHidden/>
              </w:rPr>
              <w:fldChar w:fldCharType="separate"/>
            </w:r>
            <w:r w:rsidR="006E1318">
              <w:rPr>
                <w:noProof/>
                <w:webHidden/>
              </w:rPr>
              <w:t>2</w:t>
            </w:r>
            <w:r w:rsidR="006E1318">
              <w:rPr>
                <w:noProof/>
                <w:webHidden/>
              </w:rPr>
              <w:fldChar w:fldCharType="end"/>
            </w:r>
          </w:hyperlink>
        </w:p>
        <w:p w14:paraId="2DA28A50" w14:textId="2A50D60F" w:rsidR="006E1318" w:rsidRDefault="005B0EA5">
          <w:pPr>
            <w:pStyle w:val="Cuprins1"/>
            <w:tabs>
              <w:tab w:val="left" w:pos="440"/>
              <w:tab w:val="right" w:leader="dot" w:pos="9016"/>
            </w:tabs>
            <w:rPr>
              <w:rFonts w:asciiTheme="minorHAnsi" w:eastAsiaTheme="minorEastAsia" w:hAnsiTheme="minorHAnsi"/>
              <w:noProof/>
              <w:sz w:val="22"/>
              <w:szCs w:val="22"/>
              <w:lang w:eastAsia="en-GB"/>
            </w:rPr>
          </w:pPr>
          <w:hyperlink w:anchor="_Toc159949406" w:history="1">
            <w:r w:rsidR="006E1318" w:rsidRPr="00B24441">
              <w:rPr>
                <w:rStyle w:val="Hyperlink"/>
                <w:noProof/>
              </w:rPr>
              <w:t>1.</w:t>
            </w:r>
            <w:r w:rsidR="006E1318">
              <w:rPr>
                <w:rFonts w:asciiTheme="minorHAnsi" w:eastAsiaTheme="minorEastAsia" w:hAnsiTheme="minorHAnsi"/>
                <w:noProof/>
                <w:sz w:val="22"/>
                <w:szCs w:val="22"/>
                <w:lang w:eastAsia="en-GB"/>
              </w:rPr>
              <w:tab/>
            </w:r>
            <w:r w:rsidR="006E1318" w:rsidRPr="00B24441">
              <w:rPr>
                <w:rStyle w:val="Hyperlink"/>
                <w:noProof/>
              </w:rPr>
              <w:t>Introduction</w:t>
            </w:r>
            <w:r w:rsidR="006E1318">
              <w:rPr>
                <w:noProof/>
                <w:webHidden/>
              </w:rPr>
              <w:tab/>
            </w:r>
            <w:r w:rsidR="006E1318">
              <w:rPr>
                <w:noProof/>
                <w:webHidden/>
              </w:rPr>
              <w:fldChar w:fldCharType="begin"/>
            </w:r>
            <w:r w:rsidR="006E1318">
              <w:rPr>
                <w:noProof/>
                <w:webHidden/>
              </w:rPr>
              <w:instrText xml:space="preserve"> PAGEREF _Toc159949406 \h </w:instrText>
            </w:r>
            <w:r w:rsidR="006E1318">
              <w:rPr>
                <w:noProof/>
                <w:webHidden/>
              </w:rPr>
            </w:r>
            <w:r w:rsidR="006E1318">
              <w:rPr>
                <w:noProof/>
                <w:webHidden/>
              </w:rPr>
              <w:fldChar w:fldCharType="separate"/>
            </w:r>
            <w:r w:rsidR="006E1318">
              <w:rPr>
                <w:noProof/>
                <w:webHidden/>
              </w:rPr>
              <w:t>4</w:t>
            </w:r>
            <w:r w:rsidR="006E1318">
              <w:rPr>
                <w:noProof/>
                <w:webHidden/>
              </w:rPr>
              <w:fldChar w:fldCharType="end"/>
            </w:r>
          </w:hyperlink>
        </w:p>
        <w:p w14:paraId="4FA0F84D" w14:textId="45E80D01" w:rsidR="006E1318" w:rsidRDefault="005B0EA5">
          <w:pPr>
            <w:pStyle w:val="Cuprins1"/>
            <w:tabs>
              <w:tab w:val="left" w:pos="440"/>
              <w:tab w:val="right" w:leader="dot" w:pos="9016"/>
            </w:tabs>
            <w:rPr>
              <w:rFonts w:asciiTheme="minorHAnsi" w:eastAsiaTheme="minorEastAsia" w:hAnsiTheme="minorHAnsi"/>
              <w:noProof/>
              <w:sz w:val="22"/>
              <w:szCs w:val="22"/>
              <w:lang w:eastAsia="en-GB"/>
            </w:rPr>
          </w:pPr>
          <w:hyperlink w:anchor="_Toc159949407" w:history="1">
            <w:r w:rsidR="006E1318" w:rsidRPr="00B24441">
              <w:rPr>
                <w:rStyle w:val="Hyperlink"/>
                <w:noProof/>
              </w:rPr>
              <w:t>2.</w:t>
            </w:r>
            <w:r w:rsidR="006E1318">
              <w:rPr>
                <w:rFonts w:asciiTheme="minorHAnsi" w:eastAsiaTheme="minorEastAsia" w:hAnsiTheme="minorHAnsi"/>
                <w:noProof/>
                <w:sz w:val="22"/>
                <w:szCs w:val="22"/>
                <w:lang w:eastAsia="en-GB"/>
              </w:rPr>
              <w:tab/>
            </w:r>
            <w:r w:rsidR="006E1318" w:rsidRPr="00B24441">
              <w:rPr>
                <w:rStyle w:val="Hyperlink"/>
                <w:noProof/>
              </w:rPr>
              <w:t>Financial performance analysis</w:t>
            </w:r>
            <w:r w:rsidR="006E1318">
              <w:rPr>
                <w:noProof/>
                <w:webHidden/>
              </w:rPr>
              <w:tab/>
            </w:r>
            <w:r w:rsidR="006E1318">
              <w:rPr>
                <w:noProof/>
                <w:webHidden/>
              </w:rPr>
              <w:fldChar w:fldCharType="begin"/>
            </w:r>
            <w:r w:rsidR="006E1318">
              <w:rPr>
                <w:noProof/>
                <w:webHidden/>
              </w:rPr>
              <w:instrText xml:space="preserve"> PAGEREF _Toc159949407 \h </w:instrText>
            </w:r>
            <w:r w:rsidR="006E1318">
              <w:rPr>
                <w:noProof/>
                <w:webHidden/>
              </w:rPr>
            </w:r>
            <w:r w:rsidR="006E1318">
              <w:rPr>
                <w:noProof/>
                <w:webHidden/>
              </w:rPr>
              <w:fldChar w:fldCharType="separate"/>
            </w:r>
            <w:r w:rsidR="006E1318">
              <w:rPr>
                <w:noProof/>
                <w:webHidden/>
              </w:rPr>
              <w:t>4</w:t>
            </w:r>
            <w:r w:rsidR="006E1318">
              <w:rPr>
                <w:noProof/>
                <w:webHidden/>
              </w:rPr>
              <w:fldChar w:fldCharType="end"/>
            </w:r>
          </w:hyperlink>
        </w:p>
        <w:p w14:paraId="6D62889F" w14:textId="597CDE51" w:rsidR="006E1318" w:rsidRDefault="005B0EA5">
          <w:pPr>
            <w:pStyle w:val="Cuprins1"/>
            <w:tabs>
              <w:tab w:val="left" w:pos="440"/>
              <w:tab w:val="right" w:leader="dot" w:pos="9016"/>
            </w:tabs>
            <w:rPr>
              <w:rFonts w:asciiTheme="minorHAnsi" w:eastAsiaTheme="minorEastAsia" w:hAnsiTheme="minorHAnsi"/>
              <w:noProof/>
              <w:sz w:val="22"/>
              <w:szCs w:val="22"/>
              <w:lang w:eastAsia="en-GB"/>
            </w:rPr>
          </w:pPr>
          <w:hyperlink w:anchor="_Toc159949408" w:history="1">
            <w:r w:rsidR="006E1318" w:rsidRPr="00B24441">
              <w:rPr>
                <w:rStyle w:val="Hyperlink"/>
                <w:noProof/>
              </w:rPr>
              <w:t>3.</w:t>
            </w:r>
            <w:r w:rsidR="006E1318">
              <w:rPr>
                <w:rFonts w:asciiTheme="minorHAnsi" w:eastAsiaTheme="minorEastAsia" w:hAnsiTheme="minorHAnsi"/>
                <w:noProof/>
                <w:sz w:val="22"/>
                <w:szCs w:val="22"/>
                <w:lang w:eastAsia="en-GB"/>
              </w:rPr>
              <w:tab/>
            </w:r>
            <w:r w:rsidR="006E1318" w:rsidRPr="00B24441">
              <w:rPr>
                <w:rStyle w:val="Hyperlink"/>
                <w:noProof/>
              </w:rPr>
              <w:t>Principal causes of the drop in profitability</w:t>
            </w:r>
            <w:r w:rsidR="006E1318">
              <w:rPr>
                <w:noProof/>
                <w:webHidden/>
              </w:rPr>
              <w:tab/>
            </w:r>
            <w:r w:rsidR="006E1318">
              <w:rPr>
                <w:noProof/>
                <w:webHidden/>
              </w:rPr>
              <w:fldChar w:fldCharType="begin"/>
            </w:r>
            <w:r w:rsidR="006E1318">
              <w:rPr>
                <w:noProof/>
                <w:webHidden/>
              </w:rPr>
              <w:instrText xml:space="preserve"> PAGEREF _Toc159949408 \h </w:instrText>
            </w:r>
            <w:r w:rsidR="006E1318">
              <w:rPr>
                <w:noProof/>
                <w:webHidden/>
              </w:rPr>
            </w:r>
            <w:r w:rsidR="006E1318">
              <w:rPr>
                <w:noProof/>
                <w:webHidden/>
              </w:rPr>
              <w:fldChar w:fldCharType="separate"/>
            </w:r>
            <w:r w:rsidR="006E1318">
              <w:rPr>
                <w:noProof/>
                <w:webHidden/>
              </w:rPr>
              <w:t>6</w:t>
            </w:r>
            <w:r w:rsidR="006E1318">
              <w:rPr>
                <w:noProof/>
                <w:webHidden/>
              </w:rPr>
              <w:fldChar w:fldCharType="end"/>
            </w:r>
          </w:hyperlink>
        </w:p>
        <w:p w14:paraId="7820361E" w14:textId="37B76DC8" w:rsidR="006E1318" w:rsidRDefault="005B0EA5">
          <w:pPr>
            <w:pStyle w:val="Cuprins1"/>
            <w:tabs>
              <w:tab w:val="left" w:pos="440"/>
              <w:tab w:val="right" w:leader="dot" w:pos="9016"/>
            </w:tabs>
            <w:rPr>
              <w:rFonts w:asciiTheme="minorHAnsi" w:eastAsiaTheme="minorEastAsia" w:hAnsiTheme="minorHAnsi"/>
              <w:noProof/>
              <w:sz w:val="22"/>
              <w:szCs w:val="22"/>
              <w:lang w:eastAsia="en-GB"/>
            </w:rPr>
          </w:pPr>
          <w:hyperlink w:anchor="_Toc159949409" w:history="1">
            <w:r w:rsidR="006E1318" w:rsidRPr="00B24441">
              <w:rPr>
                <w:rStyle w:val="Hyperlink"/>
                <w:noProof/>
              </w:rPr>
              <w:t>4.</w:t>
            </w:r>
            <w:r w:rsidR="006E1318">
              <w:rPr>
                <w:rFonts w:asciiTheme="minorHAnsi" w:eastAsiaTheme="minorEastAsia" w:hAnsiTheme="minorHAnsi"/>
                <w:noProof/>
                <w:sz w:val="22"/>
                <w:szCs w:val="22"/>
                <w:lang w:eastAsia="en-GB"/>
              </w:rPr>
              <w:tab/>
            </w:r>
            <w:r w:rsidR="006E1318" w:rsidRPr="00B24441">
              <w:rPr>
                <w:rStyle w:val="Hyperlink"/>
                <w:noProof/>
              </w:rPr>
              <w:t>Growth strategy</w:t>
            </w:r>
            <w:r w:rsidR="006E1318">
              <w:rPr>
                <w:noProof/>
                <w:webHidden/>
              </w:rPr>
              <w:tab/>
            </w:r>
            <w:r w:rsidR="006E1318">
              <w:rPr>
                <w:noProof/>
                <w:webHidden/>
              </w:rPr>
              <w:fldChar w:fldCharType="begin"/>
            </w:r>
            <w:r w:rsidR="006E1318">
              <w:rPr>
                <w:noProof/>
                <w:webHidden/>
              </w:rPr>
              <w:instrText xml:space="preserve"> PAGEREF _Toc159949409 \h </w:instrText>
            </w:r>
            <w:r w:rsidR="006E1318">
              <w:rPr>
                <w:noProof/>
                <w:webHidden/>
              </w:rPr>
            </w:r>
            <w:r w:rsidR="006E1318">
              <w:rPr>
                <w:noProof/>
                <w:webHidden/>
              </w:rPr>
              <w:fldChar w:fldCharType="separate"/>
            </w:r>
            <w:r w:rsidR="006E1318">
              <w:rPr>
                <w:noProof/>
                <w:webHidden/>
              </w:rPr>
              <w:t>8</w:t>
            </w:r>
            <w:r w:rsidR="006E1318">
              <w:rPr>
                <w:noProof/>
                <w:webHidden/>
              </w:rPr>
              <w:fldChar w:fldCharType="end"/>
            </w:r>
          </w:hyperlink>
        </w:p>
        <w:p w14:paraId="06C90E92" w14:textId="3C16081C" w:rsidR="006E1318" w:rsidRDefault="005B0EA5">
          <w:pPr>
            <w:pStyle w:val="Cuprins1"/>
            <w:tabs>
              <w:tab w:val="left" w:pos="440"/>
              <w:tab w:val="right" w:leader="dot" w:pos="9016"/>
            </w:tabs>
            <w:rPr>
              <w:rFonts w:asciiTheme="minorHAnsi" w:eastAsiaTheme="minorEastAsia" w:hAnsiTheme="minorHAnsi"/>
              <w:noProof/>
              <w:sz w:val="22"/>
              <w:szCs w:val="22"/>
              <w:lang w:eastAsia="en-GB"/>
            </w:rPr>
          </w:pPr>
          <w:hyperlink w:anchor="_Toc159949410" w:history="1">
            <w:r w:rsidR="006E1318" w:rsidRPr="00B24441">
              <w:rPr>
                <w:rStyle w:val="Hyperlink"/>
                <w:noProof/>
              </w:rPr>
              <w:t>5.</w:t>
            </w:r>
            <w:r w:rsidR="006E1318">
              <w:rPr>
                <w:rFonts w:asciiTheme="minorHAnsi" w:eastAsiaTheme="minorEastAsia" w:hAnsiTheme="minorHAnsi"/>
                <w:noProof/>
                <w:sz w:val="22"/>
                <w:szCs w:val="22"/>
                <w:lang w:eastAsia="en-GB"/>
              </w:rPr>
              <w:tab/>
            </w:r>
            <w:r w:rsidR="006E1318" w:rsidRPr="00B24441">
              <w:rPr>
                <w:rStyle w:val="Hyperlink"/>
                <w:noProof/>
              </w:rPr>
              <w:t>Conclusion</w:t>
            </w:r>
            <w:r w:rsidR="006E1318">
              <w:rPr>
                <w:noProof/>
                <w:webHidden/>
              </w:rPr>
              <w:tab/>
            </w:r>
            <w:r w:rsidR="006E1318">
              <w:rPr>
                <w:noProof/>
                <w:webHidden/>
              </w:rPr>
              <w:fldChar w:fldCharType="begin"/>
            </w:r>
            <w:r w:rsidR="006E1318">
              <w:rPr>
                <w:noProof/>
                <w:webHidden/>
              </w:rPr>
              <w:instrText xml:space="preserve"> PAGEREF _Toc159949410 \h </w:instrText>
            </w:r>
            <w:r w:rsidR="006E1318">
              <w:rPr>
                <w:noProof/>
                <w:webHidden/>
              </w:rPr>
            </w:r>
            <w:r w:rsidR="006E1318">
              <w:rPr>
                <w:noProof/>
                <w:webHidden/>
              </w:rPr>
              <w:fldChar w:fldCharType="separate"/>
            </w:r>
            <w:r w:rsidR="006E1318">
              <w:rPr>
                <w:noProof/>
                <w:webHidden/>
              </w:rPr>
              <w:t>8</w:t>
            </w:r>
            <w:r w:rsidR="006E1318">
              <w:rPr>
                <w:noProof/>
                <w:webHidden/>
              </w:rPr>
              <w:fldChar w:fldCharType="end"/>
            </w:r>
          </w:hyperlink>
        </w:p>
        <w:p w14:paraId="6A409947" w14:textId="06872CD8" w:rsidR="006E1318" w:rsidRDefault="005B0EA5">
          <w:pPr>
            <w:pStyle w:val="Cuprins1"/>
            <w:tabs>
              <w:tab w:val="left" w:pos="440"/>
              <w:tab w:val="right" w:leader="dot" w:pos="9016"/>
            </w:tabs>
            <w:rPr>
              <w:rFonts w:asciiTheme="minorHAnsi" w:eastAsiaTheme="minorEastAsia" w:hAnsiTheme="minorHAnsi"/>
              <w:noProof/>
              <w:sz w:val="22"/>
              <w:szCs w:val="22"/>
              <w:lang w:eastAsia="en-GB"/>
            </w:rPr>
          </w:pPr>
          <w:hyperlink w:anchor="_Toc159949411" w:history="1">
            <w:r w:rsidR="006E1318" w:rsidRPr="00B24441">
              <w:rPr>
                <w:rStyle w:val="Hyperlink"/>
                <w:noProof/>
              </w:rPr>
              <w:t>6.</w:t>
            </w:r>
            <w:r w:rsidR="006E1318">
              <w:rPr>
                <w:rFonts w:asciiTheme="minorHAnsi" w:eastAsiaTheme="minorEastAsia" w:hAnsiTheme="minorHAnsi"/>
                <w:noProof/>
                <w:sz w:val="22"/>
                <w:szCs w:val="22"/>
                <w:lang w:eastAsia="en-GB"/>
              </w:rPr>
              <w:tab/>
            </w:r>
            <w:r w:rsidR="006E1318" w:rsidRPr="00B24441">
              <w:rPr>
                <w:rStyle w:val="Hyperlink"/>
                <w:noProof/>
              </w:rPr>
              <w:t>References</w:t>
            </w:r>
            <w:r w:rsidR="006E1318">
              <w:rPr>
                <w:noProof/>
                <w:webHidden/>
              </w:rPr>
              <w:tab/>
            </w:r>
            <w:r w:rsidR="006E1318">
              <w:rPr>
                <w:noProof/>
                <w:webHidden/>
              </w:rPr>
              <w:fldChar w:fldCharType="begin"/>
            </w:r>
            <w:r w:rsidR="006E1318">
              <w:rPr>
                <w:noProof/>
                <w:webHidden/>
              </w:rPr>
              <w:instrText xml:space="preserve"> PAGEREF _Toc159949411 \h </w:instrText>
            </w:r>
            <w:r w:rsidR="006E1318">
              <w:rPr>
                <w:noProof/>
                <w:webHidden/>
              </w:rPr>
            </w:r>
            <w:r w:rsidR="006E1318">
              <w:rPr>
                <w:noProof/>
                <w:webHidden/>
              </w:rPr>
              <w:fldChar w:fldCharType="separate"/>
            </w:r>
            <w:r w:rsidR="006E1318">
              <w:rPr>
                <w:noProof/>
                <w:webHidden/>
              </w:rPr>
              <w:t>10</w:t>
            </w:r>
            <w:r w:rsidR="006E1318">
              <w:rPr>
                <w:noProof/>
                <w:webHidden/>
              </w:rPr>
              <w:fldChar w:fldCharType="end"/>
            </w:r>
          </w:hyperlink>
        </w:p>
        <w:p w14:paraId="3AF20397" w14:textId="4B45395F" w:rsidR="002D5B80" w:rsidRDefault="002D5B80">
          <w:r>
            <w:rPr>
              <w:b/>
              <w:bCs/>
              <w:noProof/>
            </w:rPr>
            <w:fldChar w:fldCharType="end"/>
          </w:r>
        </w:p>
      </w:sdtContent>
    </w:sdt>
    <w:p w14:paraId="4CEE43E8" w14:textId="77777777" w:rsidR="002D5B80" w:rsidRDefault="002D5B80" w:rsidP="00016AF8">
      <w:pPr>
        <w:jc w:val="left"/>
      </w:pPr>
    </w:p>
    <w:p w14:paraId="0AEEC321" w14:textId="77777777" w:rsidR="002D5B80" w:rsidRDefault="002D5B80" w:rsidP="00016AF8">
      <w:pPr>
        <w:jc w:val="left"/>
      </w:pPr>
    </w:p>
    <w:p w14:paraId="5D4DF419" w14:textId="07996A8F" w:rsidR="006E1318" w:rsidRDefault="006E1318">
      <w:pPr>
        <w:pStyle w:val="Tabeldefiguri"/>
        <w:tabs>
          <w:tab w:val="right" w:leader="dot" w:pos="9016"/>
        </w:tabs>
        <w:rPr>
          <w:rFonts w:asciiTheme="minorHAnsi" w:eastAsiaTheme="minorEastAsia" w:hAnsiTheme="minorHAnsi"/>
          <w:noProof/>
          <w:sz w:val="22"/>
          <w:szCs w:val="22"/>
          <w:lang w:eastAsia="en-GB"/>
        </w:rPr>
      </w:pPr>
      <w:r>
        <w:fldChar w:fldCharType="begin"/>
      </w:r>
      <w:r>
        <w:instrText xml:space="preserve"> TOC \h \z \c "Table" </w:instrText>
      </w:r>
      <w:r>
        <w:fldChar w:fldCharType="separate"/>
      </w:r>
      <w:hyperlink w:anchor="_Toc159949414" w:history="1">
        <w:r w:rsidRPr="00A67833">
          <w:rPr>
            <w:rStyle w:val="Hyperlink"/>
            <w:noProof/>
          </w:rPr>
          <w:t>Table 1. Ratio calculation</w:t>
        </w:r>
        <w:r>
          <w:rPr>
            <w:noProof/>
            <w:webHidden/>
          </w:rPr>
          <w:tab/>
        </w:r>
        <w:r>
          <w:rPr>
            <w:noProof/>
            <w:webHidden/>
          </w:rPr>
          <w:fldChar w:fldCharType="begin"/>
        </w:r>
        <w:r>
          <w:rPr>
            <w:noProof/>
            <w:webHidden/>
          </w:rPr>
          <w:instrText xml:space="preserve"> PAGEREF _Toc159949414 \h </w:instrText>
        </w:r>
        <w:r>
          <w:rPr>
            <w:noProof/>
            <w:webHidden/>
          </w:rPr>
        </w:r>
        <w:r>
          <w:rPr>
            <w:noProof/>
            <w:webHidden/>
          </w:rPr>
          <w:fldChar w:fldCharType="separate"/>
        </w:r>
        <w:r>
          <w:rPr>
            <w:noProof/>
            <w:webHidden/>
          </w:rPr>
          <w:t>5</w:t>
        </w:r>
        <w:r>
          <w:rPr>
            <w:noProof/>
            <w:webHidden/>
          </w:rPr>
          <w:fldChar w:fldCharType="end"/>
        </w:r>
      </w:hyperlink>
    </w:p>
    <w:p w14:paraId="3816CE71" w14:textId="129A5580" w:rsidR="002D5B80" w:rsidRDefault="006E1318" w:rsidP="00016AF8">
      <w:pPr>
        <w:jc w:val="left"/>
      </w:pPr>
      <w:r>
        <w:fldChar w:fldCharType="end"/>
      </w:r>
    </w:p>
    <w:p w14:paraId="70F3B66A" w14:textId="77777777" w:rsidR="002D5B80" w:rsidRDefault="002D5B80" w:rsidP="00016AF8">
      <w:pPr>
        <w:jc w:val="left"/>
      </w:pPr>
    </w:p>
    <w:p w14:paraId="223836E8" w14:textId="77777777" w:rsidR="002D5B80" w:rsidRDefault="002D5B80" w:rsidP="00016AF8">
      <w:pPr>
        <w:jc w:val="left"/>
      </w:pPr>
    </w:p>
    <w:p w14:paraId="2ECAA862" w14:textId="77777777" w:rsidR="002D5B80" w:rsidRDefault="002D5B80" w:rsidP="00016AF8">
      <w:pPr>
        <w:jc w:val="left"/>
      </w:pPr>
    </w:p>
    <w:p w14:paraId="3BBA6352" w14:textId="77777777" w:rsidR="002D5B80" w:rsidRDefault="002D5B80" w:rsidP="00016AF8">
      <w:pPr>
        <w:jc w:val="left"/>
      </w:pPr>
    </w:p>
    <w:p w14:paraId="0B7D08F3" w14:textId="77777777" w:rsidR="002D5B80" w:rsidRDefault="002D5B80" w:rsidP="00016AF8">
      <w:pPr>
        <w:jc w:val="left"/>
      </w:pPr>
    </w:p>
    <w:p w14:paraId="122ED11E" w14:textId="77777777" w:rsidR="002D5B80" w:rsidRDefault="002D5B80" w:rsidP="00016AF8">
      <w:pPr>
        <w:jc w:val="left"/>
      </w:pPr>
    </w:p>
    <w:p w14:paraId="43627CB8" w14:textId="77777777" w:rsidR="002D5B80" w:rsidRDefault="002D5B80" w:rsidP="00016AF8">
      <w:pPr>
        <w:jc w:val="left"/>
      </w:pPr>
    </w:p>
    <w:p w14:paraId="1C61505E" w14:textId="77777777" w:rsidR="002D5B80" w:rsidRDefault="002D5B80" w:rsidP="00016AF8">
      <w:pPr>
        <w:jc w:val="left"/>
      </w:pPr>
    </w:p>
    <w:p w14:paraId="3FEE0C9F" w14:textId="77777777" w:rsidR="002D5B80" w:rsidRDefault="002D5B80" w:rsidP="00016AF8">
      <w:pPr>
        <w:jc w:val="left"/>
      </w:pPr>
    </w:p>
    <w:p w14:paraId="4F3B5B5B" w14:textId="77777777" w:rsidR="002D5B80" w:rsidRDefault="002D5B80" w:rsidP="00016AF8">
      <w:pPr>
        <w:jc w:val="left"/>
      </w:pPr>
    </w:p>
    <w:p w14:paraId="50CBB389" w14:textId="77777777" w:rsidR="002D5B80" w:rsidRDefault="002D5B80" w:rsidP="00016AF8">
      <w:pPr>
        <w:jc w:val="left"/>
      </w:pPr>
    </w:p>
    <w:p w14:paraId="499BC789" w14:textId="77777777" w:rsidR="002D5B80" w:rsidRDefault="002D5B80" w:rsidP="00016AF8">
      <w:pPr>
        <w:jc w:val="left"/>
      </w:pPr>
    </w:p>
    <w:p w14:paraId="309431F7" w14:textId="77777777" w:rsidR="002D5B80" w:rsidRDefault="002D5B80" w:rsidP="00016AF8">
      <w:pPr>
        <w:jc w:val="left"/>
      </w:pPr>
    </w:p>
    <w:p w14:paraId="69888168" w14:textId="77777777" w:rsidR="00E27317" w:rsidRDefault="00E27317" w:rsidP="00016AF8">
      <w:pPr>
        <w:jc w:val="left"/>
      </w:pPr>
    </w:p>
    <w:p w14:paraId="114BAB31" w14:textId="77777777" w:rsidR="00E27317" w:rsidRDefault="00E27317" w:rsidP="00016AF8">
      <w:pPr>
        <w:jc w:val="left"/>
      </w:pPr>
    </w:p>
    <w:p w14:paraId="444252A4" w14:textId="77777777" w:rsidR="009A0F96" w:rsidRDefault="009A0F96" w:rsidP="00016AF8">
      <w:pPr>
        <w:jc w:val="left"/>
      </w:pPr>
    </w:p>
    <w:p w14:paraId="7E9574B5" w14:textId="77777777" w:rsidR="002D5B80" w:rsidRDefault="002D5B80" w:rsidP="00016AF8">
      <w:pPr>
        <w:jc w:val="left"/>
      </w:pPr>
    </w:p>
    <w:p w14:paraId="3349A087" w14:textId="77777777" w:rsidR="002D5B80" w:rsidRDefault="002D5B80" w:rsidP="00016AF8">
      <w:pPr>
        <w:jc w:val="left"/>
      </w:pPr>
    </w:p>
    <w:p w14:paraId="754E2858" w14:textId="4312CC6E" w:rsidR="002D5B80" w:rsidRDefault="002D5B80" w:rsidP="005B23DE">
      <w:pPr>
        <w:pStyle w:val="Titlu1"/>
        <w:numPr>
          <w:ilvl w:val="0"/>
          <w:numId w:val="7"/>
        </w:numPr>
      </w:pPr>
      <w:bookmarkStart w:id="1" w:name="_Toc159949406"/>
      <w:r>
        <w:lastRenderedPageBreak/>
        <w:t>Introduction</w:t>
      </w:r>
      <w:bookmarkEnd w:id="1"/>
    </w:p>
    <w:p w14:paraId="076AF104" w14:textId="77777777" w:rsidR="00AB102B" w:rsidRPr="00AB102B" w:rsidRDefault="00AB102B" w:rsidP="00AB102B"/>
    <w:p w14:paraId="74011385" w14:textId="3C1AD231" w:rsidR="00966525" w:rsidRDefault="00966525" w:rsidP="00966525">
      <w:r>
        <w:t xml:space="preserve">The </w:t>
      </w:r>
      <w:r w:rsidR="006E1318">
        <w:t>purpose</w:t>
      </w:r>
      <w:r>
        <w:t xml:space="preserve"> of the case study is to assist The Seacrest Lodge's owner in making decisions by offering guidance on how to turn around the resort's deteriorating revenue, occupancy rates, and customer satisfaction. Situated on an attractive coastline, the Seacrest Lodge also houses a restaurant, bar, and event facilities. The Seacrest Lodge was once a bustling destination for travellers seeking vacation and relaxation. Due to the emergence of multiple newer, more contemporary resorts close to the Seacrest Lodge, as well as a decline in the company's service quality and outdated amenities due to shifting consumer preferences, the market conditions have changed, and it is now very competitive for the organisation.</w:t>
      </w:r>
    </w:p>
    <w:p w14:paraId="21004D0C" w14:textId="217C8C74" w:rsidR="00966525" w:rsidRDefault="00966525" w:rsidP="00966525">
      <w:r>
        <w:t xml:space="preserve">The case study's objectives include evaluating Seacrest Lodge's financial performance over the previous three years, identifying the primary causes of the decline in profitability, </w:t>
      </w:r>
      <w:r w:rsidR="0006559B">
        <w:t>considering</w:t>
      </w:r>
      <w:r>
        <w:t xml:space="preserve"> recent </w:t>
      </w:r>
      <w:proofErr w:type="spellStart"/>
      <w:r>
        <w:t>macroenvironmental</w:t>
      </w:r>
      <w:proofErr w:type="spellEnd"/>
      <w:r>
        <w:t xml:space="preserve"> events that have affected the economy, and putting forth a thorough turnaround plan to boost the business's earnings and reputation. The financial performance is evaluated based on the income statements, balance sheets, and other financial data presented, including the average room rate (ARR) and occupancy rate.</w:t>
      </w:r>
    </w:p>
    <w:p w14:paraId="74838FC7" w14:textId="77777777" w:rsidR="00966525" w:rsidRDefault="00966525" w:rsidP="00966525"/>
    <w:p w14:paraId="62986D0D" w14:textId="774F7F10" w:rsidR="00F7222D" w:rsidRDefault="00F7222D" w:rsidP="00844C6F">
      <w:pPr>
        <w:pStyle w:val="Titlu1"/>
        <w:numPr>
          <w:ilvl w:val="0"/>
          <w:numId w:val="7"/>
        </w:numPr>
      </w:pPr>
      <w:bookmarkStart w:id="2" w:name="_Toc159949407"/>
      <w:r>
        <w:t>Financial performance analysis</w:t>
      </w:r>
      <w:bookmarkEnd w:id="2"/>
    </w:p>
    <w:p w14:paraId="3989F5FE" w14:textId="77777777" w:rsidR="00031BD6" w:rsidRPr="00031BD6" w:rsidRDefault="00031BD6" w:rsidP="00031BD6"/>
    <w:p w14:paraId="03026920" w14:textId="77777777" w:rsidR="007C05E5" w:rsidRDefault="007C05E5" w:rsidP="007C05E5">
      <w:r>
        <w:t>The systematic process of detecting possible financial risks, determining how serious they are, and choosing how to reduce them is known as financial risk management (Corporate Finance Institute, 2023). Furthermore, it is imperative to oversee and modify the mitigation strategy's implementation as needed (</w:t>
      </w:r>
      <w:proofErr w:type="spellStart"/>
      <w:r>
        <w:t>Hiles</w:t>
      </w:r>
      <w:proofErr w:type="spellEnd"/>
      <w:r>
        <w:t>, 2012). In order to determine the financial risks, one must first evaluate the present organisational financial context in order to determine the causes of the decline in profitability. Once the risks have been identified, several risk management strategies, such as risk avoidance, risk reduction, risk transfer, and risk retention, can be specified.</w:t>
      </w:r>
    </w:p>
    <w:p w14:paraId="00B0D849" w14:textId="774EA60F" w:rsidR="007C05E5" w:rsidRDefault="007C05E5" w:rsidP="007C05E5">
      <w:r>
        <w:t>The Corporate Finance Institute (2023) explains that firms are confronting risks such as market risks, credit risks, liquidity risks, and operational risks. However, after the heavy impact of the COVID-19 pandemic on the hospitality sector, the companies in this market must focus on risk management to recover profitability levels (</w:t>
      </w:r>
      <w:proofErr w:type="spellStart"/>
      <w:r>
        <w:t>Wieczorek-Kosmala</w:t>
      </w:r>
      <w:proofErr w:type="spellEnd"/>
      <w:r>
        <w:t xml:space="preserve">, 2021). According to </w:t>
      </w:r>
      <w:proofErr w:type="spellStart"/>
      <w:r>
        <w:t>Kizildag</w:t>
      </w:r>
      <w:proofErr w:type="spellEnd"/>
      <w:r w:rsidR="00FE5E5F">
        <w:t>,</w:t>
      </w:r>
      <w:r>
        <w:t xml:space="preserve"> </w:t>
      </w:r>
      <w:proofErr w:type="spellStart"/>
      <w:r w:rsidR="00FE5E5F" w:rsidRPr="009A0F96">
        <w:t>Weinland</w:t>
      </w:r>
      <w:proofErr w:type="spellEnd"/>
      <w:r w:rsidR="00FE5E5F" w:rsidRPr="009A0F96">
        <w:t xml:space="preserve">, and </w:t>
      </w:r>
      <w:proofErr w:type="spellStart"/>
      <w:r w:rsidR="00FE5E5F" w:rsidRPr="009A0F96">
        <w:t>Demirer</w:t>
      </w:r>
      <w:proofErr w:type="spellEnd"/>
      <w:r w:rsidR="00FE5E5F">
        <w:t xml:space="preserve"> </w:t>
      </w:r>
      <w:r>
        <w:t>(2023), small lodging establishments have a higher financial vulnerability to long-term crises.</w:t>
      </w:r>
    </w:p>
    <w:p w14:paraId="170BD667" w14:textId="77777777" w:rsidR="007C05E5" w:rsidRPr="007C05E5" w:rsidRDefault="007C05E5" w:rsidP="007C05E5">
      <w:pPr>
        <w:rPr>
          <w:lang w:eastAsia="en-GB"/>
        </w:rPr>
      </w:pPr>
      <w:r w:rsidRPr="007C05E5">
        <w:rPr>
          <w:lang w:eastAsia="en-GB"/>
        </w:rPr>
        <w:lastRenderedPageBreak/>
        <w:t>In order to identify financial risks, one can calculate and examine financial analysis ratios to understand the variation in profitability and liquidity. For this reason, the following ratios are calculated based on the income statements and balance sheets for the last three financial years:</w:t>
      </w:r>
    </w:p>
    <w:p w14:paraId="3C2CE77D" w14:textId="77777777" w:rsidR="007C05E5" w:rsidRPr="007C05E5" w:rsidRDefault="007C05E5" w:rsidP="007C05E5">
      <w:pPr>
        <w:pStyle w:val="Listparagraf"/>
        <w:numPr>
          <w:ilvl w:val="0"/>
          <w:numId w:val="10"/>
        </w:numPr>
        <w:rPr>
          <w:lang w:eastAsia="en-GB"/>
        </w:rPr>
      </w:pPr>
      <w:r w:rsidRPr="007C05E5">
        <w:rPr>
          <w:lang w:eastAsia="en-GB"/>
        </w:rPr>
        <w:t>gross profit ratio</w:t>
      </w:r>
    </w:p>
    <w:p w14:paraId="21B9777C" w14:textId="77777777" w:rsidR="007C05E5" w:rsidRPr="007C05E5" w:rsidRDefault="007C05E5" w:rsidP="007C05E5">
      <w:pPr>
        <w:pStyle w:val="Listparagraf"/>
        <w:numPr>
          <w:ilvl w:val="0"/>
          <w:numId w:val="10"/>
        </w:numPr>
        <w:rPr>
          <w:lang w:eastAsia="en-GB"/>
        </w:rPr>
      </w:pPr>
      <w:r w:rsidRPr="007C05E5">
        <w:rPr>
          <w:lang w:eastAsia="en-GB"/>
        </w:rPr>
        <w:t>current ratio</w:t>
      </w:r>
    </w:p>
    <w:p w14:paraId="6329980D" w14:textId="77777777" w:rsidR="007C05E5" w:rsidRPr="007C05E5" w:rsidRDefault="007C05E5" w:rsidP="007C05E5">
      <w:pPr>
        <w:pStyle w:val="Listparagraf"/>
        <w:numPr>
          <w:ilvl w:val="0"/>
          <w:numId w:val="10"/>
        </w:numPr>
        <w:rPr>
          <w:lang w:eastAsia="en-GB"/>
        </w:rPr>
      </w:pPr>
      <w:r w:rsidRPr="007C05E5">
        <w:rPr>
          <w:lang w:eastAsia="en-GB"/>
        </w:rPr>
        <w:t>and debt-to-equity ratio.</w:t>
      </w:r>
    </w:p>
    <w:p w14:paraId="57877498" w14:textId="7372B5B8" w:rsidR="001111EC" w:rsidRDefault="00335E8C" w:rsidP="00031BD6">
      <w:r>
        <w:t>Please see the following table for the calculation of the above financial analysis ratios.</w:t>
      </w:r>
    </w:p>
    <w:p w14:paraId="5A2791F5" w14:textId="77777777" w:rsidR="00335E8C" w:rsidRDefault="00335E8C" w:rsidP="00031BD6"/>
    <w:tbl>
      <w:tblPr>
        <w:tblStyle w:val="Tabelgril"/>
        <w:tblW w:w="9356" w:type="dxa"/>
        <w:tblInd w:w="-147" w:type="dxa"/>
        <w:tblLook w:val="04A0" w:firstRow="1" w:lastRow="0" w:firstColumn="1" w:lastColumn="0" w:noHBand="0" w:noVBand="1"/>
      </w:tblPr>
      <w:tblGrid>
        <w:gridCol w:w="2488"/>
        <w:gridCol w:w="2272"/>
        <w:gridCol w:w="2273"/>
        <w:gridCol w:w="2323"/>
      </w:tblGrid>
      <w:tr w:rsidR="001111EC" w14:paraId="6A238930" w14:textId="77777777" w:rsidTr="000D5259">
        <w:tc>
          <w:tcPr>
            <w:tcW w:w="2488" w:type="dxa"/>
          </w:tcPr>
          <w:p w14:paraId="634825C0" w14:textId="3B5E662A" w:rsidR="001111EC" w:rsidRDefault="0006559B" w:rsidP="00FC7E1A">
            <w:r>
              <w:rPr>
                <w:b/>
                <w:bCs/>
                <w:sz w:val="23"/>
                <w:szCs w:val="23"/>
              </w:rPr>
              <w:t>Ratio</w:t>
            </w:r>
          </w:p>
        </w:tc>
        <w:tc>
          <w:tcPr>
            <w:tcW w:w="2272" w:type="dxa"/>
          </w:tcPr>
          <w:p w14:paraId="61DD233F" w14:textId="77777777" w:rsidR="001111EC" w:rsidRDefault="001111EC" w:rsidP="00FC7E1A">
            <w:r>
              <w:rPr>
                <w:b/>
                <w:bCs/>
                <w:sz w:val="23"/>
                <w:szCs w:val="23"/>
              </w:rPr>
              <w:t xml:space="preserve">2021 </w:t>
            </w:r>
          </w:p>
        </w:tc>
        <w:tc>
          <w:tcPr>
            <w:tcW w:w="2273" w:type="dxa"/>
          </w:tcPr>
          <w:p w14:paraId="7B9E0252" w14:textId="77777777" w:rsidR="001111EC" w:rsidRDefault="001111EC" w:rsidP="00FC7E1A">
            <w:r>
              <w:rPr>
                <w:b/>
                <w:bCs/>
                <w:sz w:val="23"/>
                <w:szCs w:val="23"/>
              </w:rPr>
              <w:t xml:space="preserve">2022 </w:t>
            </w:r>
          </w:p>
        </w:tc>
        <w:tc>
          <w:tcPr>
            <w:tcW w:w="2323" w:type="dxa"/>
          </w:tcPr>
          <w:p w14:paraId="77CC0D34" w14:textId="77777777" w:rsidR="001111EC" w:rsidRDefault="001111EC" w:rsidP="00FC7E1A">
            <w:pPr>
              <w:rPr>
                <w:b/>
                <w:bCs/>
                <w:sz w:val="23"/>
                <w:szCs w:val="23"/>
              </w:rPr>
            </w:pPr>
            <w:r>
              <w:rPr>
                <w:b/>
                <w:bCs/>
                <w:sz w:val="23"/>
                <w:szCs w:val="23"/>
              </w:rPr>
              <w:t>2023</w:t>
            </w:r>
          </w:p>
        </w:tc>
      </w:tr>
      <w:tr w:rsidR="000D5259" w14:paraId="33E6502A" w14:textId="77777777" w:rsidTr="000D5259">
        <w:tc>
          <w:tcPr>
            <w:tcW w:w="2488" w:type="dxa"/>
          </w:tcPr>
          <w:p w14:paraId="7052D5AB" w14:textId="10427E7E" w:rsidR="000D5259" w:rsidRDefault="00591C9F" w:rsidP="000D5259">
            <w:r>
              <w:t>G</w:t>
            </w:r>
            <w:r w:rsidR="000D5259" w:rsidRPr="00515CF9">
              <w:t>ross profit ratio</w:t>
            </w:r>
          </w:p>
        </w:tc>
        <w:tc>
          <w:tcPr>
            <w:tcW w:w="2272" w:type="dxa"/>
          </w:tcPr>
          <w:p w14:paraId="34DBFC28" w14:textId="2F823678" w:rsidR="000D5259" w:rsidRDefault="000D5259" w:rsidP="000D5259">
            <w:r>
              <w:t>25%</w:t>
            </w:r>
          </w:p>
        </w:tc>
        <w:tc>
          <w:tcPr>
            <w:tcW w:w="2273" w:type="dxa"/>
          </w:tcPr>
          <w:p w14:paraId="766547E5" w14:textId="317071EF" w:rsidR="000D5259" w:rsidRDefault="000D5259" w:rsidP="000D5259">
            <w:r>
              <w:t>13.63%</w:t>
            </w:r>
          </w:p>
        </w:tc>
        <w:tc>
          <w:tcPr>
            <w:tcW w:w="2323" w:type="dxa"/>
          </w:tcPr>
          <w:p w14:paraId="26841354" w14:textId="776107DE" w:rsidR="000D5259" w:rsidRDefault="000D5259" w:rsidP="000D5259">
            <w:r w:rsidRPr="00A1366A">
              <w:t>-</w:t>
            </w:r>
            <w:r>
              <w:t>15.79%</w:t>
            </w:r>
          </w:p>
        </w:tc>
      </w:tr>
      <w:tr w:rsidR="00591C9F" w14:paraId="25E1C1A3" w14:textId="77777777" w:rsidTr="000D5259">
        <w:tc>
          <w:tcPr>
            <w:tcW w:w="2488" w:type="dxa"/>
          </w:tcPr>
          <w:p w14:paraId="060C4373" w14:textId="021F40FB" w:rsidR="00591C9F" w:rsidRPr="00515CF9" w:rsidRDefault="00591C9F" w:rsidP="000D5259">
            <w:r>
              <w:t>C</w:t>
            </w:r>
            <w:r w:rsidRPr="00111CFE">
              <w:t>urrent ratio</w:t>
            </w:r>
          </w:p>
        </w:tc>
        <w:tc>
          <w:tcPr>
            <w:tcW w:w="2272" w:type="dxa"/>
          </w:tcPr>
          <w:p w14:paraId="1F843FE3" w14:textId="7845C11C" w:rsidR="00591C9F" w:rsidRDefault="00591C9F" w:rsidP="000D5259">
            <w:r>
              <w:t>5:1</w:t>
            </w:r>
          </w:p>
        </w:tc>
        <w:tc>
          <w:tcPr>
            <w:tcW w:w="2273" w:type="dxa"/>
          </w:tcPr>
          <w:p w14:paraId="2F93A847" w14:textId="25BE1135" w:rsidR="00591C9F" w:rsidRDefault="00591C9F" w:rsidP="000D5259">
            <w:r>
              <w:t>3:1</w:t>
            </w:r>
          </w:p>
        </w:tc>
        <w:tc>
          <w:tcPr>
            <w:tcW w:w="2323" w:type="dxa"/>
          </w:tcPr>
          <w:p w14:paraId="4EAB8A34" w14:textId="4115FD26" w:rsidR="00591C9F" w:rsidRPr="00A1366A" w:rsidRDefault="00591C9F" w:rsidP="000D5259">
            <w:r>
              <w:t>1:1</w:t>
            </w:r>
          </w:p>
        </w:tc>
      </w:tr>
      <w:tr w:rsidR="00591C9F" w14:paraId="74D81E86" w14:textId="77777777" w:rsidTr="000D5259">
        <w:tc>
          <w:tcPr>
            <w:tcW w:w="2488" w:type="dxa"/>
          </w:tcPr>
          <w:p w14:paraId="6D318A72" w14:textId="1F3E8C81" w:rsidR="00591C9F" w:rsidRDefault="00591C9F" w:rsidP="00591C9F">
            <w:r>
              <w:t>D</w:t>
            </w:r>
            <w:r w:rsidRPr="00646281">
              <w:t>ebt-to-equity ratio</w:t>
            </w:r>
          </w:p>
        </w:tc>
        <w:tc>
          <w:tcPr>
            <w:tcW w:w="2272" w:type="dxa"/>
          </w:tcPr>
          <w:p w14:paraId="20991B25" w14:textId="5366F580" w:rsidR="00591C9F" w:rsidRDefault="00591C9F" w:rsidP="00591C9F">
            <w:r>
              <w:t>2.46x</w:t>
            </w:r>
          </w:p>
        </w:tc>
        <w:tc>
          <w:tcPr>
            <w:tcW w:w="2273" w:type="dxa"/>
          </w:tcPr>
          <w:p w14:paraId="2CB32B4A" w14:textId="0B4E1C91" w:rsidR="00591C9F" w:rsidRDefault="00591C9F" w:rsidP="00591C9F">
            <w:r>
              <w:t>2.65x</w:t>
            </w:r>
          </w:p>
        </w:tc>
        <w:tc>
          <w:tcPr>
            <w:tcW w:w="2323" w:type="dxa"/>
          </w:tcPr>
          <w:p w14:paraId="70908F58" w14:textId="2D1F3FC7" w:rsidR="00591C9F" w:rsidRDefault="00591C9F" w:rsidP="00591C9F">
            <w:r>
              <w:t xml:space="preserve"> 5.16</w:t>
            </w:r>
            <w:r w:rsidR="00335E8C">
              <w:t>x</w:t>
            </w:r>
          </w:p>
        </w:tc>
      </w:tr>
    </w:tbl>
    <w:p w14:paraId="79CB5943" w14:textId="2503E734" w:rsidR="007C05E5" w:rsidRDefault="007C05E5" w:rsidP="007C05E5">
      <w:pPr>
        <w:pStyle w:val="Legend"/>
        <w:jc w:val="center"/>
      </w:pPr>
      <w:bookmarkStart w:id="3" w:name="_Toc159949414"/>
      <w:r>
        <w:t xml:space="preserve">Table </w:t>
      </w:r>
      <w:r>
        <w:fldChar w:fldCharType="begin"/>
      </w:r>
      <w:r>
        <w:instrText xml:space="preserve"> SEQ Table \* ARABIC </w:instrText>
      </w:r>
      <w:r>
        <w:fldChar w:fldCharType="separate"/>
      </w:r>
      <w:r>
        <w:rPr>
          <w:noProof/>
        </w:rPr>
        <w:t>1</w:t>
      </w:r>
      <w:r>
        <w:fldChar w:fldCharType="end"/>
      </w:r>
      <w:r>
        <w:t>. Ratio calculation</w:t>
      </w:r>
      <w:bookmarkEnd w:id="3"/>
    </w:p>
    <w:p w14:paraId="3F02939A" w14:textId="77777777" w:rsidR="007C05E5" w:rsidRDefault="007C05E5" w:rsidP="007C05E5">
      <w:r>
        <w:t>The percentage of gross profit in relation to total revenues is determined by the gross profit ratio, which is related to profitability (</w:t>
      </w:r>
      <w:proofErr w:type="spellStart"/>
      <w:r>
        <w:t>Vipond</w:t>
      </w:r>
      <w:proofErr w:type="spellEnd"/>
      <w:r>
        <w:t>, 2024). The values of gross profit ratios confirm a falling profitability from 25% (2021) to 13.63% (2022) and minus 15.79% (2023), when the company registered negative net income. This happened because the gross profits have significantly dropped in these reporting periods, considering that the net income has also pointedly fallen.</w:t>
      </w:r>
    </w:p>
    <w:p w14:paraId="60E55EAB" w14:textId="77777777" w:rsidR="007C05E5" w:rsidRDefault="007C05E5" w:rsidP="007C05E5">
      <w:r>
        <w:t xml:space="preserve">According to </w:t>
      </w:r>
      <w:proofErr w:type="spellStart"/>
      <w:r>
        <w:t>Saleem</w:t>
      </w:r>
      <w:proofErr w:type="spellEnd"/>
      <w:r>
        <w:t xml:space="preserve"> and </w:t>
      </w:r>
      <w:proofErr w:type="spellStart"/>
      <w:r>
        <w:t>Rehman</w:t>
      </w:r>
      <w:proofErr w:type="spellEnd"/>
      <w:r>
        <w:t xml:space="preserve"> (2011), the current ratio, which divides current assets by current liabilities, is a liquidity ratio used to assess a company's capacity to pay its debts. Considering that the company's current assets have been steadily declining while its short-term debt has been steadily rising, it is evident that the company's ability to pay its current liabilities has dramatically declined, going from 5:1 in 2021 to 3:1 in 2022 and 1:1 in 2023.</w:t>
      </w:r>
    </w:p>
    <w:p w14:paraId="5A6DB59D" w14:textId="77777777" w:rsidR="007C05E5" w:rsidRDefault="007C05E5" w:rsidP="007C05E5">
      <w:r>
        <w:t>According to the Corporate Finance Institute (2024), the debt-to-equity ratio is a leverage ratio that illustrates how a company's capital structure is skewed towards debt or equity financing by weighing the importance of all debt and financial obligations against all shareholders' equity. The company's capital structure is skewed towards debt, as seen by the debt-to-equity ratio results over the last three years, which show a growing weight of total debt and financial obligations against total shareholders' equity (from 2.46 in 2021 to 2.65 in 2022 and 5.16 in 2023).</w:t>
      </w:r>
    </w:p>
    <w:p w14:paraId="3DDD2CAA" w14:textId="77777777" w:rsidR="007C05E5" w:rsidRDefault="007C05E5" w:rsidP="007C05E5">
      <w:r>
        <w:t> </w:t>
      </w:r>
    </w:p>
    <w:p w14:paraId="5950108F" w14:textId="77777777" w:rsidR="006E1318" w:rsidRDefault="007C05E5" w:rsidP="007C05E5">
      <w:r>
        <w:t xml:space="preserve">According to the additional financial data supplied, the average room rate has decreased as well, going from £260 in 2021 to £240 in 2022 and £210 in 2023. In addition, the occupancy rate dropped in each of the three examined years, falling from 65% in 2021 to 60% in 2022 and 50% in 2023. </w:t>
      </w:r>
    </w:p>
    <w:p w14:paraId="5313319A" w14:textId="2399AB5F" w:rsidR="00E02EA1" w:rsidRDefault="007C05E5" w:rsidP="007C05E5">
      <w:r>
        <w:t>This additional financial data validates the decline in profitability, which has to be looked into more thoroughly while taking into consideration the various risks that the business has encountered and failed to adequately manage.</w:t>
      </w:r>
    </w:p>
    <w:p w14:paraId="1483022D" w14:textId="77777777" w:rsidR="007C05E5" w:rsidRDefault="007C05E5" w:rsidP="007C05E5"/>
    <w:p w14:paraId="247F0D91" w14:textId="129986FE" w:rsidR="008B0305" w:rsidRPr="00844C6F" w:rsidRDefault="00E02EA1" w:rsidP="00844C6F">
      <w:pPr>
        <w:pStyle w:val="Titlu1"/>
        <w:numPr>
          <w:ilvl w:val="0"/>
          <w:numId w:val="7"/>
        </w:numPr>
      </w:pPr>
      <w:bookmarkStart w:id="4" w:name="_Toc159949408"/>
      <w:r w:rsidRPr="00844C6F">
        <w:t>Principal causes of the</w:t>
      </w:r>
      <w:r w:rsidR="00A52F8B">
        <w:t xml:space="preserve"> decreasing</w:t>
      </w:r>
      <w:r w:rsidRPr="00844C6F">
        <w:t xml:space="preserve"> profitability</w:t>
      </w:r>
      <w:bookmarkEnd w:id="4"/>
    </w:p>
    <w:p w14:paraId="7544201C" w14:textId="77777777" w:rsidR="00606F46" w:rsidRPr="008B0305" w:rsidRDefault="00606F46" w:rsidP="008B0305"/>
    <w:p w14:paraId="193F87F1" w14:textId="592CD646" w:rsidR="00C27BD5" w:rsidRDefault="00C27BD5" w:rsidP="00C27BD5">
      <w:r>
        <w:t>Four main categories of risks face hotels include operational risks stemming from inefficient systems, processes, finances, or human resources; market risks from shifts in the market environment that affect revenues and profitability; financial risks from debt and financial structure; and regulatory and compliance risks from duties to abide by laws, regulations, and industry standards (</w:t>
      </w:r>
      <w:proofErr w:type="spellStart"/>
      <w:r>
        <w:t>Verma</w:t>
      </w:r>
      <w:proofErr w:type="spellEnd"/>
      <w:r>
        <w:t>, 2024).</w:t>
      </w:r>
    </w:p>
    <w:p w14:paraId="354EF74D" w14:textId="77777777" w:rsidR="00C27BD5" w:rsidRDefault="00C27BD5" w:rsidP="00C27BD5">
      <w:r>
        <w:t>The market risk is the most significant risk faced by The Seacrest Lodge. The Seacrest Lodge was once a bustling destination for travellers seeking vacation and relaxation. Due to the emergence of multiple newer, more contemporary resorts close to the Seacrest Lodge, as well as a decline in the company's service quality and outdated amenities due to shifting consumer preferences, the market conditions have changed, and it is now very competitive for the organisation.</w:t>
      </w:r>
    </w:p>
    <w:p w14:paraId="31721B24" w14:textId="77777777" w:rsidR="00C27BD5" w:rsidRDefault="00C27BD5" w:rsidP="00C27BD5">
      <w:r>
        <w:t xml:space="preserve">The Seacrest Lodge continues to draw guests because of its natural surroundings, but its appeal is decreasing because of outdated amenities in comparison to the more contemporary resorts that have sprung up nearby and successfully cater to contemporary customer trends. The hotel needs to make an investment in a differentiation strategy to compete with the new competitors in the area and boost the </w:t>
      </w:r>
      <w:proofErr w:type="spellStart"/>
      <w:r>
        <w:t>attractivity</w:t>
      </w:r>
      <w:proofErr w:type="spellEnd"/>
      <w:r>
        <w:t xml:space="preserve"> of its portfolio (</w:t>
      </w:r>
      <w:proofErr w:type="spellStart"/>
      <w:r>
        <w:t>Krupskyi</w:t>
      </w:r>
      <w:proofErr w:type="spellEnd"/>
      <w:r>
        <w:t xml:space="preserve"> et al., 2019). According to </w:t>
      </w:r>
      <w:proofErr w:type="spellStart"/>
      <w:r>
        <w:t>Buhalis</w:t>
      </w:r>
      <w:proofErr w:type="spellEnd"/>
      <w:r>
        <w:t xml:space="preserve"> (2000; 2003), modernising the facilities, digitally transforming the business model, and providing higher-quality services are strategies to differentiate from the competition.</w:t>
      </w:r>
    </w:p>
    <w:p w14:paraId="01880993" w14:textId="77777777" w:rsidR="00C27BD5" w:rsidRDefault="00C27BD5" w:rsidP="00C27BD5">
      <w:r>
        <w:t>The customer evaluations of the Seacrest Lodge also point to deteriorating amenities and low-quality service. Travellers of today choose their lodging options primarily based on online reviews left by previous clients (Sparks and Browning, 2011). The negative reviews for The Seacrest Lodge have determined potential customers to choose the modern resorts in the vicinity, which has negatively impacted the firm’s occupancy rates, average room rates, and overall profitability.</w:t>
      </w:r>
    </w:p>
    <w:p w14:paraId="794EFBBA" w14:textId="374C7EC1" w:rsidR="00C27BD5" w:rsidRDefault="00C27BD5" w:rsidP="00C27BD5">
      <w:r>
        <w:t>Online review sites are becoming increasingly important sources of information about tourism products, according to Sparks</w:t>
      </w:r>
      <w:r w:rsidR="00F359D0">
        <w:t>,</w:t>
      </w:r>
      <w:r>
        <w:t xml:space="preserve"> </w:t>
      </w:r>
      <w:r w:rsidR="00F359D0" w:rsidRPr="009A0F96">
        <w:t>Perkins</w:t>
      </w:r>
      <w:r w:rsidR="00F359D0">
        <w:t>,</w:t>
      </w:r>
      <w:r w:rsidR="00F359D0" w:rsidRPr="009A0F96">
        <w:t xml:space="preserve"> and Buckley</w:t>
      </w:r>
      <w:r w:rsidR="00F359D0">
        <w:t xml:space="preserve"> </w:t>
      </w:r>
      <w:r>
        <w:t>(2013). Given the popularity of sites like Facebook, YouTube, Twitter, blogs, and third-party review sites, the rise of social media poses both a challenge and an opportunity for hospitality service providers (Sparks</w:t>
      </w:r>
      <w:r w:rsidR="00F359D0">
        <w:t>,</w:t>
      </w:r>
      <w:r>
        <w:t xml:space="preserve"> </w:t>
      </w:r>
      <w:r w:rsidR="00F359D0" w:rsidRPr="009A0F96">
        <w:t>Perkins, and Buckley</w:t>
      </w:r>
      <w:r>
        <w:t>, 2013).</w:t>
      </w:r>
    </w:p>
    <w:p w14:paraId="5A283970" w14:textId="3FC5517B" w:rsidR="00C27BD5" w:rsidRDefault="00C27BD5" w:rsidP="00C27BD5">
      <w:r>
        <w:t>Travellers thus use electronic word-of-mouth to highlight various aspects of a particular destination or hospitality provider and to share their experiences on social media (Tham</w:t>
      </w:r>
      <w:r w:rsidR="00F359D0">
        <w:t xml:space="preserve">, </w:t>
      </w:r>
      <w:proofErr w:type="spellStart"/>
      <w:r w:rsidR="00F359D0" w:rsidRPr="009A0F96">
        <w:t>Croy</w:t>
      </w:r>
      <w:proofErr w:type="spellEnd"/>
      <w:r w:rsidR="00F359D0" w:rsidRPr="009A0F96">
        <w:t>,  and Mair</w:t>
      </w:r>
      <w:r>
        <w:t xml:space="preserve">, 2013). As a rational result, the Seacrest Lodge could integrate </w:t>
      </w:r>
      <w:proofErr w:type="spellStart"/>
      <w:r>
        <w:t>digitalization</w:t>
      </w:r>
      <w:proofErr w:type="spellEnd"/>
      <w:r>
        <w:t xml:space="preserve"> into operations and strategy, aiming to mitigate market risks by improving the customer experience through higher service quality and digital transformation of the business model, which can enhance productivity and profitability, as well as brand awareness (</w:t>
      </w:r>
      <w:proofErr w:type="spellStart"/>
      <w:r>
        <w:t>Sklenarz</w:t>
      </w:r>
      <w:proofErr w:type="spellEnd"/>
      <w:r>
        <w:t xml:space="preserve"> et al., 2024). Furthermore, the amenities, food and drink offerings, and staff services provided to clients are all significant aspects of service quality (Wilkins</w:t>
      </w:r>
      <w:r w:rsidR="00B61639">
        <w:t>,</w:t>
      </w:r>
      <w:r>
        <w:t xml:space="preserve"> </w:t>
      </w:r>
      <w:proofErr w:type="spellStart"/>
      <w:r w:rsidR="00B61639" w:rsidRPr="009A0F96">
        <w:t>Merrilees</w:t>
      </w:r>
      <w:proofErr w:type="spellEnd"/>
      <w:r w:rsidR="00B61639" w:rsidRPr="009A0F96">
        <w:t xml:space="preserve">, and </w:t>
      </w:r>
      <w:proofErr w:type="spellStart"/>
      <w:r w:rsidR="00B61639" w:rsidRPr="009A0F96">
        <w:t>Herington</w:t>
      </w:r>
      <w:proofErr w:type="spellEnd"/>
      <w:r>
        <w:t xml:space="preserve">, 2007). While it requires a </w:t>
      </w:r>
      <w:proofErr w:type="spellStart"/>
      <w:r>
        <w:t>sizable</w:t>
      </w:r>
      <w:proofErr w:type="spellEnd"/>
      <w:r>
        <w:t xml:space="preserve"> capital expenditure, the improvement of hospitality services will simultaneously address financial, operational, and market issues (</w:t>
      </w:r>
      <w:proofErr w:type="spellStart"/>
      <w:r>
        <w:t>Victorino</w:t>
      </w:r>
      <w:proofErr w:type="spellEnd"/>
      <w:r>
        <w:t xml:space="preserve"> et al., 2005).</w:t>
      </w:r>
    </w:p>
    <w:p w14:paraId="54306C22" w14:textId="77777777" w:rsidR="00C27BD5" w:rsidRDefault="00C27BD5" w:rsidP="00C27BD5">
      <w:r>
        <w:t>According to Jones (1999), operational risks in the hospitality industry include those pertaining to resources, personnel, client capacity, productivity, service, income control, and quality. The author emphasises that the seven issues of location, integration, affiliation, configuration, organisation, implementation, and adaptation should guide a methodical and strategic approach to operations.</w:t>
      </w:r>
    </w:p>
    <w:p w14:paraId="60B12426" w14:textId="77777777" w:rsidR="00C27BD5" w:rsidRDefault="00C27BD5" w:rsidP="00C27BD5">
      <w:r>
        <w:t xml:space="preserve">The Seacrest Lodge must analyse its assets, human resources, capacity for lodging, productivity levels, services, revenues, and quality of services in order to determine the operational challenges and mitigate them. Customer feedback indicates that the primary issues were obsolete facilities and declining quality of services, which were the main reasons for declining performance and productivity in addition to growing competition and the effects of external factors. Therefore, the Seacrest Lodge needs to prioritise investing in updating the amenities and raising the quality of services while considering every aspect of them, including the interactions between staff and travellers. Considerations include the food and beverages’ quality, which requires paying close attention to suppliers, as well as the abilities, motivation, and knowledge of the workforce. </w:t>
      </w:r>
      <w:proofErr w:type="spellStart"/>
      <w:r>
        <w:t>Pandita</w:t>
      </w:r>
      <w:proofErr w:type="spellEnd"/>
      <w:r>
        <w:t xml:space="preserve"> and Ray (2018) emphasise that, in order to improve the organisation's productivity and financial performance, a company needs to concentrate on attracting, hiring, and retaining talented staff.</w:t>
      </w:r>
    </w:p>
    <w:p w14:paraId="06C4B0CE" w14:textId="77777777" w:rsidR="00C27BD5" w:rsidRDefault="00C27BD5" w:rsidP="00C27BD5">
      <w:r>
        <w:t>The financial risks were investigated in the first part of the case study, and the Seacrest Lodge needs to choose a strategy to mitigate those risks and then monitor its implementation to adjust it if it is not performant (</w:t>
      </w:r>
      <w:proofErr w:type="spellStart"/>
      <w:r>
        <w:t>Hiles</w:t>
      </w:r>
      <w:proofErr w:type="spellEnd"/>
      <w:r>
        <w:t>, 2012). </w:t>
      </w:r>
    </w:p>
    <w:p w14:paraId="7FEE7896" w14:textId="42BF90FF" w:rsidR="00C27BD5" w:rsidRDefault="00C27BD5" w:rsidP="00C27BD5">
      <w:r>
        <w:t xml:space="preserve">Many </w:t>
      </w:r>
      <w:proofErr w:type="spellStart"/>
      <w:r>
        <w:t>macroenvironmental</w:t>
      </w:r>
      <w:proofErr w:type="spellEnd"/>
      <w:r>
        <w:t xml:space="preserve"> factors have affected the profitability of the hospitality industry, including Brexit, the COVID-19 pandemic, and the surging inflation caused by the impact of the war in Ukraine on global markets (Macqueen et al., 2022). Brexit has caused shortages in the hospitality labour market; the pandemic has significantly reduced occupancy rates; and surging inflation has increased operational costs and negatively impacted demand (Macqueen et al., 2022).</w:t>
      </w:r>
    </w:p>
    <w:p w14:paraId="59000041" w14:textId="77777777" w:rsidR="00C27BD5" w:rsidRDefault="00C27BD5" w:rsidP="00C27BD5"/>
    <w:p w14:paraId="53FA348D" w14:textId="7432C97C" w:rsidR="006E1318" w:rsidRDefault="006E1318" w:rsidP="006E1318">
      <w:pPr>
        <w:pStyle w:val="Titlu1"/>
        <w:numPr>
          <w:ilvl w:val="0"/>
          <w:numId w:val="7"/>
        </w:numPr>
      </w:pPr>
      <w:bookmarkStart w:id="5" w:name="_Toc159949409"/>
      <w:r>
        <w:t xml:space="preserve">Turnaround strategy </w:t>
      </w:r>
    </w:p>
    <w:bookmarkEnd w:id="5"/>
    <w:p w14:paraId="773A3668" w14:textId="77777777" w:rsidR="001C2D08" w:rsidRDefault="001C2D08" w:rsidP="001C2D08">
      <w:r>
        <w:t>The turnaround or growth strategy proposed is based on the digital transformation of the business model; modernising the amenities and providing higher-quality services are strategies to differentiate from the competition (</w:t>
      </w:r>
      <w:proofErr w:type="spellStart"/>
      <w:r>
        <w:t>Buhalis</w:t>
      </w:r>
      <w:proofErr w:type="spellEnd"/>
      <w:r>
        <w:t xml:space="preserve">, 2000; </w:t>
      </w:r>
      <w:proofErr w:type="spellStart"/>
      <w:r>
        <w:t>Buhalis</w:t>
      </w:r>
      <w:proofErr w:type="spellEnd"/>
      <w:r>
        <w:t>, 2003). To implement digital transformation, the company must include technologies such as mobile tools, social media practices, e-commerce, artificial intelligence, cloud computing, blockchain, and also a configuration and consolidation of the internal IT system (</w:t>
      </w:r>
      <w:proofErr w:type="spellStart"/>
      <w:r>
        <w:t>Cepal</w:t>
      </w:r>
      <w:proofErr w:type="spellEnd"/>
      <w:r>
        <w:t>, 2021).</w:t>
      </w:r>
    </w:p>
    <w:p w14:paraId="1BBFBADF" w14:textId="0F461BDC" w:rsidR="00A71C11" w:rsidRPr="00401B85" w:rsidRDefault="001C2D08" w:rsidP="001C2D08">
      <w:r>
        <w:t>Another aspect to consider is the diversification strategy, which allows companies to concentrate on technical proficiency, market expertise, or both, leading to conglomerate, vertical, concentric, or horizontal diversification (</w:t>
      </w:r>
      <w:proofErr w:type="spellStart"/>
      <w:r>
        <w:t>Dhir</w:t>
      </w:r>
      <w:proofErr w:type="spellEnd"/>
      <w:r>
        <w:t xml:space="preserve"> and </w:t>
      </w:r>
      <w:proofErr w:type="spellStart"/>
      <w:r>
        <w:t>Dhir</w:t>
      </w:r>
      <w:proofErr w:type="spellEnd"/>
      <w:r>
        <w:t xml:space="preserve">, 2015). According to </w:t>
      </w:r>
      <w:proofErr w:type="spellStart"/>
      <w:r>
        <w:t>Laurila</w:t>
      </w:r>
      <w:proofErr w:type="spellEnd"/>
      <w:r>
        <w:t xml:space="preserve"> and </w:t>
      </w:r>
      <w:proofErr w:type="spellStart"/>
      <w:r>
        <w:t>Ropponen</w:t>
      </w:r>
      <w:proofErr w:type="spellEnd"/>
      <w:r>
        <w:t xml:space="preserve"> (2003), because businesses operate in the same economic environment and are therefore susceptible to the same cyclical fluctuations and competitive pressures, there is little flexibility in horizontal diversification, according to </w:t>
      </w:r>
      <w:proofErr w:type="spellStart"/>
      <w:r>
        <w:t>Wiersema</w:t>
      </w:r>
      <w:proofErr w:type="spellEnd"/>
      <w:r>
        <w:t xml:space="preserve"> and Bowen (2008). Synergy and technology range extension are the main ways to achieve increased market power and scale efficiency (</w:t>
      </w:r>
      <w:proofErr w:type="spellStart"/>
      <w:r>
        <w:t>Helfat</w:t>
      </w:r>
      <w:proofErr w:type="spellEnd"/>
      <w:r>
        <w:t xml:space="preserve"> and </w:t>
      </w:r>
      <w:proofErr w:type="spellStart"/>
      <w:r>
        <w:t>Eisenhardt</w:t>
      </w:r>
      <w:proofErr w:type="spellEnd"/>
      <w:r>
        <w:t xml:space="preserve">, 2004). Furthermore, according to </w:t>
      </w:r>
      <w:proofErr w:type="spellStart"/>
      <w:r>
        <w:t>Shaffer</w:t>
      </w:r>
      <w:proofErr w:type="spellEnd"/>
      <w:r>
        <w:t xml:space="preserve"> and Hillman (2000), the decision regarding strategy is influenced more by human resource specialisation, knowledge, and less resistance from organisational structure than by regulations and industry legal requirements.</w:t>
      </w:r>
    </w:p>
    <w:p w14:paraId="63F78D42" w14:textId="77777777" w:rsidR="00F7222D" w:rsidRDefault="00F7222D" w:rsidP="00F7222D"/>
    <w:p w14:paraId="47802FC0" w14:textId="2B94BCBA" w:rsidR="00F7222D" w:rsidRDefault="00F7222D" w:rsidP="00891B60">
      <w:pPr>
        <w:pStyle w:val="Titlu1"/>
        <w:numPr>
          <w:ilvl w:val="0"/>
          <w:numId w:val="7"/>
        </w:numPr>
      </w:pPr>
      <w:bookmarkStart w:id="6" w:name="_Toc159949410"/>
      <w:r>
        <w:t>Conclusion</w:t>
      </w:r>
      <w:bookmarkEnd w:id="6"/>
      <w:r w:rsidR="00955E7B">
        <w:t>s and recommendations</w:t>
      </w:r>
    </w:p>
    <w:p w14:paraId="47ABC93B" w14:textId="77777777" w:rsidR="001C2D08" w:rsidRDefault="001C2D08" w:rsidP="001C2D08">
      <w:r>
        <w:t>The case study aimed to assist The Seacrest Lodge's owner in making decisions by offering guidance on how to turn around the resort's deteriorating revenue, occupancy rates, and customer satisfaction.</w:t>
      </w:r>
    </w:p>
    <w:p w14:paraId="2453C45C" w14:textId="77777777" w:rsidR="001C2D08" w:rsidRDefault="001C2D08" w:rsidP="001C2D08">
      <w:r>
        <w:t>The values of gross profit ratios confirm a falling profitability because the gross profits have significantly dropped in these reporting periods, considering that the net income has also pointedly fallen. Considering that the company's current assets have been steadily declining while its short-term debt has been steadily rising, it is evident that the company's ability to pay its current liabilities has dramatically declined. The company's capital structure is skewed towards debt, as seen by the debt-to-equity ratio results over the last three years.</w:t>
      </w:r>
    </w:p>
    <w:p w14:paraId="506CB688" w14:textId="3CA0D4CA" w:rsidR="00891B60" w:rsidRDefault="001C2D08" w:rsidP="001C2D08">
      <w:r>
        <w:t>The turnaround or growth strategy proposed is based on the digital transformation of the business model; modernising the amenities and providing higher-quality services are strategies to differentiate from the competition.</w:t>
      </w:r>
    </w:p>
    <w:p w14:paraId="7586D37F" w14:textId="77777777" w:rsidR="00891B60" w:rsidRDefault="00891B60" w:rsidP="00891B60"/>
    <w:p w14:paraId="3D8F118A" w14:textId="77777777" w:rsidR="00031BD6" w:rsidRDefault="00031BD6" w:rsidP="00031BD6"/>
    <w:p w14:paraId="34313CD2" w14:textId="77777777" w:rsidR="002D5B80" w:rsidRDefault="002D5B80" w:rsidP="002D5B80"/>
    <w:p w14:paraId="37126587" w14:textId="77777777" w:rsidR="009A0F96" w:rsidRDefault="009A0F96" w:rsidP="002D5B80"/>
    <w:p w14:paraId="0C1C018E" w14:textId="77777777" w:rsidR="009A0F96" w:rsidRDefault="009A0F96" w:rsidP="002D5B80"/>
    <w:p w14:paraId="6D46C7CC" w14:textId="77777777" w:rsidR="009A0F96" w:rsidRDefault="009A0F96" w:rsidP="002D5B80"/>
    <w:p w14:paraId="73648DDD" w14:textId="77777777" w:rsidR="009A0F96" w:rsidRDefault="009A0F96" w:rsidP="002D5B80"/>
    <w:p w14:paraId="5CCA834C" w14:textId="77777777" w:rsidR="009A0F96" w:rsidRDefault="009A0F96" w:rsidP="002D5B80"/>
    <w:p w14:paraId="26C9106B" w14:textId="77777777" w:rsidR="009A0F96" w:rsidRDefault="009A0F96" w:rsidP="002D5B80"/>
    <w:p w14:paraId="0DDDBB79" w14:textId="77777777" w:rsidR="009A0F96" w:rsidRDefault="009A0F96" w:rsidP="002D5B80"/>
    <w:p w14:paraId="23802EB9" w14:textId="77777777" w:rsidR="009A0F96" w:rsidRDefault="009A0F96" w:rsidP="002D5B80"/>
    <w:p w14:paraId="4FC57F39" w14:textId="77777777" w:rsidR="009A0F96" w:rsidRDefault="009A0F96" w:rsidP="002D5B80"/>
    <w:p w14:paraId="52E8BCA1" w14:textId="77777777" w:rsidR="009A0F96" w:rsidRDefault="009A0F96" w:rsidP="002D5B80"/>
    <w:p w14:paraId="27E06B83" w14:textId="77777777" w:rsidR="009A0F96" w:rsidRDefault="009A0F96" w:rsidP="002D5B80"/>
    <w:p w14:paraId="18B89E28" w14:textId="77777777" w:rsidR="009A0F96" w:rsidRDefault="009A0F96" w:rsidP="002D5B80"/>
    <w:p w14:paraId="50D1FFE5" w14:textId="77777777" w:rsidR="009A0F96" w:rsidRDefault="009A0F96" w:rsidP="002D5B80"/>
    <w:p w14:paraId="3C6BC6EC" w14:textId="77777777" w:rsidR="009A0F96" w:rsidRDefault="009A0F96" w:rsidP="002D5B80"/>
    <w:p w14:paraId="5DA92093" w14:textId="77777777" w:rsidR="009A0F96" w:rsidRDefault="009A0F96" w:rsidP="002D5B80"/>
    <w:p w14:paraId="6E7A4C30" w14:textId="77777777" w:rsidR="009A0F96" w:rsidRDefault="009A0F96" w:rsidP="002D5B80"/>
    <w:p w14:paraId="2A9E3873" w14:textId="77777777" w:rsidR="009A0F96" w:rsidRDefault="009A0F96" w:rsidP="002D5B80"/>
    <w:p w14:paraId="459C0BFF" w14:textId="77777777" w:rsidR="009404AC" w:rsidRDefault="009404AC" w:rsidP="00016AF8">
      <w:pPr>
        <w:jc w:val="left"/>
      </w:pPr>
    </w:p>
    <w:p w14:paraId="4D070240" w14:textId="77777777" w:rsidR="001C2D08" w:rsidRDefault="001C2D08" w:rsidP="00016AF8">
      <w:pPr>
        <w:jc w:val="left"/>
      </w:pPr>
    </w:p>
    <w:p w14:paraId="67CB72C0" w14:textId="77777777" w:rsidR="008B0305" w:rsidRDefault="008B0305" w:rsidP="00016AF8">
      <w:pPr>
        <w:jc w:val="left"/>
      </w:pPr>
    </w:p>
    <w:p w14:paraId="1EE0ED53" w14:textId="04499480" w:rsidR="009404AC" w:rsidRDefault="009404AC" w:rsidP="00E27317">
      <w:pPr>
        <w:pStyle w:val="Titlu1"/>
        <w:numPr>
          <w:ilvl w:val="0"/>
          <w:numId w:val="7"/>
        </w:numPr>
      </w:pPr>
      <w:bookmarkStart w:id="7" w:name="_Toc159949411"/>
      <w:r>
        <w:t>References</w:t>
      </w:r>
      <w:bookmarkEnd w:id="7"/>
    </w:p>
    <w:p w14:paraId="1EA25DEB" w14:textId="77777777" w:rsidR="009A0F96" w:rsidRDefault="009A0F96" w:rsidP="00327723"/>
    <w:p w14:paraId="7634F5B6" w14:textId="77777777" w:rsidR="00DF63FD" w:rsidRPr="009A0F96" w:rsidRDefault="00DF63FD" w:rsidP="00327723">
      <w:proofErr w:type="spellStart"/>
      <w:r w:rsidRPr="009A0F96">
        <w:t>Buhalis</w:t>
      </w:r>
      <w:proofErr w:type="spellEnd"/>
      <w:r w:rsidRPr="009A0F96">
        <w:t xml:space="preserve">, D. (2000) ‘Marketing the competitive destination of the future’. </w:t>
      </w:r>
      <w:r w:rsidRPr="009A0F96">
        <w:rPr>
          <w:i/>
          <w:iCs/>
        </w:rPr>
        <w:t>Tourism management</w:t>
      </w:r>
      <w:r w:rsidRPr="009A0F96">
        <w:t>, 21(1), pp. 97-116.</w:t>
      </w:r>
      <w:r w:rsidRPr="007136B5">
        <w:t xml:space="preserve"> </w:t>
      </w:r>
      <w:r w:rsidRPr="009A0F96">
        <w:t xml:space="preserve">Available at: </w:t>
      </w:r>
      <w:hyperlink r:id="rId8" w:history="1">
        <w:r w:rsidRPr="009A0F96">
          <w:rPr>
            <w:rStyle w:val="Hyperlink"/>
            <w:color w:val="auto"/>
          </w:rPr>
          <w:t>https://doi.org/10.1016/S0261-5177(99)00095-3</w:t>
        </w:r>
      </w:hyperlink>
      <w:r w:rsidRPr="009A0F96">
        <w:t xml:space="preserve"> </w:t>
      </w:r>
    </w:p>
    <w:p w14:paraId="68C344D8" w14:textId="77777777" w:rsidR="00DF63FD" w:rsidRPr="009A0F96" w:rsidRDefault="00DF63FD" w:rsidP="00327723">
      <w:proofErr w:type="spellStart"/>
      <w:r w:rsidRPr="009A0F96">
        <w:t>Buhalis</w:t>
      </w:r>
      <w:proofErr w:type="spellEnd"/>
      <w:r w:rsidRPr="009A0F96">
        <w:t xml:space="preserve">, D. (2003) </w:t>
      </w:r>
      <w:r w:rsidRPr="009A0F96">
        <w:rPr>
          <w:i/>
          <w:iCs/>
        </w:rPr>
        <w:t>eTourism: Information technology for strategic tourism management</w:t>
      </w:r>
      <w:r w:rsidRPr="009A0F96">
        <w:t>. Harlow: Pearson Education.</w:t>
      </w:r>
    </w:p>
    <w:p w14:paraId="26350AE1" w14:textId="77777777" w:rsidR="00DF63FD" w:rsidRPr="009A0F96" w:rsidRDefault="00DF63FD" w:rsidP="00327723">
      <w:proofErr w:type="spellStart"/>
      <w:r w:rsidRPr="009A0F96">
        <w:t>Cepal</w:t>
      </w:r>
      <w:proofErr w:type="spellEnd"/>
      <w:r w:rsidRPr="009A0F96">
        <w:t xml:space="preserve">, N.U. (2021) </w:t>
      </w:r>
      <w:r w:rsidRPr="009A0F96">
        <w:rPr>
          <w:i/>
          <w:iCs/>
        </w:rPr>
        <w:t>Digital technologies for a new future</w:t>
      </w:r>
      <w:r w:rsidRPr="009A0F96">
        <w:t xml:space="preserve">. Available at: </w:t>
      </w:r>
      <w:hyperlink r:id="rId9" w:history="1">
        <w:r w:rsidRPr="009A0F96">
          <w:rPr>
            <w:rStyle w:val="Hyperlink"/>
            <w:color w:val="auto"/>
          </w:rPr>
          <w:t>https://repositorio.cepal.org/handle/11362/46817</w:t>
        </w:r>
      </w:hyperlink>
      <w:r w:rsidRPr="009A0F96">
        <w:t xml:space="preserve"> (Accessed: 19 February 2024)</w:t>
      </w:r>
    </w:p>
    <w:p w14:paraId="5BEF2F9B" w14:textId="77777777" w:rsidR="00DF63FD" w:rsidRPr="009A0F96" w:rsidRDefault="00DF63FD" w:rsidP="00327723">
      <w:r w:rsidRPr="009A0F96">
        <w:t xml:space="preserve">Corporate Finance Institute (2023) </w:t>
      </w:r>
      <w:r w:rsidRPr="009A0F96">
        <w:rPr>
          <w:i/>
          <w:iCs/>
        </w:rPr>
        <w:t>Financial Risk Management Process</w:t>
      </w:r>
      <w:r w:rsidRPr="009A0F96">
        <w:t xml:space="preserve">. Available at: </w:t>
      </w:r>
      <w:hyperlink r:id="rId10" w:anchor=":~:text=The%20financial%20risk%20process%20includes,implemented%20to%20manage%20the%20risk" w:history="1">
        <w:r w:rsidRPr="009A0F96">
          <w:rPr>
            <w:rStyle w:val="Hyperlink"/>
            <w:color w:val="auto"/>
          </w:rPr>
          <w:t>https://corporatefinanceinstitute.com/resources/career-map/sell-side/risk-management/financial-risk-management-process/#:~:text=The%20financial%20risk%20process%20includes,implemented%20to%20manage%20the%20risk</w:t>
        </w:r>
      </w:hyperlink>
      <w:r w:rsidRPr="009A0F96">
        <w:t>. (Accessed: 9 February 2024)</w:t>
      </w:r>
    </w:p>
    <w:p w14:paraId="02022D4C" w14:textId="77777777" w:rsidR="00DF63FD" w:rsidRPr="009A0F96" w:rsidRDefault="00DF63FD" w:rsidP="00327723">
      <w:r w:rsidRPr="009A0F96">
        <w:t xml:space="preserve">Corporate Finance Institute (2024) </w:t>
      </w:r>
      <w:r w:rsidRPr="009A0F96">
        <w:rPr>
          <w:i/>
          <w:iCs/>
        </w:rPr>
        <w:t>What is the Debt to Equity Ratio?</w:t>
      </w:r>
      <w:r w:rsidRPr="009A0F96">
        <w:t xml:space="preserve">. Available at: </w:t>
      </w:r>
      <w:hyperlink r:id="rId11" w:history="1">
        <w:r w:rsidRPr="009A0F96">
          <w:rPr>
            <w:rStyle w:val="Hyperlink"/>
            <w:color w:val="auto"/>
          </w:rPr>
          <w:t>https://corporatefinanceinstitute.com/resources/commercial-lending/debt-to-equity-ratio-formula/</w:t>
        </w:r>
      </w:hyperlink>
      <w:r w:rsidRPr="009A0F96">
        <w:t xml:space="preserve"> (Accessed: 10 February 2024)</w:t>
      </w:r>
    </w:p>
    <w:p w14:paraId="289063E0" w14:textId="77777777" w:rsidR="00DF63FD" w:rsidRPr="009A0F96" w:rsidRDefault="00DF63FD" w:rsidP="00016AF8">
      <w:pPr>
        <w:jc w:val="left"/>
      </w:pPr>
      <w:proofErr w:type="spellStart"/>
      <w:r w:rsidRPr="009A0F96">
        <w:t>Dhir</w:t>
      </w:r>
      <w:proofErr w:type="spellEnd"/>
      <w:r w:rsidRPr="009A0F96">
        <w:t xml:space="preserve">, S. and </w:t>
      </w:r>
      <w:proofErr w:type="spellStart"/>
      <w:r w:rsidRPr="009A0F96">
        <w:t>Dhir</w:t>
      </w:r>
      <w:proofErr w:type="spellEnd"/>
      <w:r w:rsidRPr="009A0F96">
        <w:t xml:space="preserve">, S. (2015) ‘Diversification: Literature review and issues’. </w:t>
      </w:r>
      <w:r w:rsidRPr="009A0F96">
        <w:rPr>
          <w:i/>
          <w:iCs/>
        </w:rPr>
        <w:t>Strategic Change</w:t>
      </w:r>
      <w:r w:rsidRPr="009A0F96">
        <w:t>, 24(6), pp. 569-588. Available at: DOI: 10.1002/</w:t>
      </w:r>
      <w:proofErr w:type="spellStart"/>
      <w:r w:rsidRPr="009A0F96">
        <w:t>jsc.2042</w:t>
      </w:r>
      <w:proofErr w:type="spellEnd"/>
      <w:r w:rsidRPr="009A0F96">
        <w:t xml:space="preserve"> </w:t>
      </w:r>
    </w:p>
    <w:p w14:paraId="465442BF" w14:textId="77777777" w:rsidR="00DF63FD" w:rsidRPr="009A0F96" w:rsidRDefault="00DF63FD" w:rsidP="00327723">
      <w:proofErr w:type="spellStart"/>
      <w:r w:rsidRPr="009A0F96">
        <w:t>Helfat</w:t>
      </w:r>
      <w:proofErr w:type="spellEnd"/>
      <w:r w:rsidRPr="009A0F96">
        <w:t xml:space="preserve">, C.E. and </w:t>
      </w:r>
      <w:proofErr w:type="spellStart"/>
      <w:r w:rsidRPr="009A0F96">
        <w:t>Eisenhardt</w:t>
      </w:r>
      <w:proofErr w:type="spellEnd"/>
      <w:r w:rsidRPr="009A0F96">
        <w:t xml:space="preserve">, K.M. (2004) ‘Inter‐temporal economies of scope, </w:t>
      </w:r>
      <w:proofErr w:type="spellStart"/>
      <w:r w:rsidRPr="009A0F96">
        <w:t>organizational</w:t>
      </w:r>
      <w:proofErr w:type="spellEnd"/>
      <w:r w:rsidRPr="009A0F96">
        <w:t xml:space="preserve"> modularity, and the dynamics of diversification’. </w:t>
      </w:r>
      <w:r w:rsidRPr="009A0F96">
        <w:rPr>
          <w:i/>
          <w:iCs/>
        </w:rPr>
        <w:t>Strategic Management Journal</w:t>
      </w:r>
      <w:r w:rsidRPr="009A0F96">
        <w:t>, 25(13), pp. 1217-1232.</w:t>
      </w:r>
      <w:r>
        <w:t xml:space="preserve"> </w:t>
      </w:r>
      <w:r w:rsidRPr="009A0F96">
        <w:t xml:space="preserve">Available at: </w:t>
      </w:r>
      <w:hyperlink r:id="rId12" w:history="1">
        <w:r w:rsidRPr="009A0F96">
          <w:rPr>
            <w:rStyle w:val="Hyperlink"/>
            <w:color w:val="auto"/>
          </w:rPr>
          <w:t>https://doi.org/10.1002/smj.427</w:t>
        </w:r>
      </w:hyperlink>
      <w:r w:rsidRPr="009A0F96">
        <w:tab/>
      </w:r>
    </w:p>
    <w:p w14:paraId="299176F9" w14:textId="77777777" w:rsidR="00DF63FD" w:rsidRPr="009A0F96" w:rsidRDefault="00DF63FD" w:rsidP="00327723">
      <w:proofErr w:type="spellStart"/>
      <w:r w:rsidRPr="009A0F96">
        <w:t>Hiles</w:t>
      </w:r>
      <w:proofErr w:type="spellEnd"/>
      <w:r w:rsidRPr="009A0F96">
        <w:t xml:space="preserve">, A. (2012) </w:t>
      </w:r>
      <w:r w:rsidRPr="009A0F96">
        <w:rPr>
          <w:i/>
          <w:iCs/>
        </w:rPr>
        <w:t>Enterprise risk management. The definitive handbook of business continuity management</w:t>
      </w:r>
      <w:r w:rsidRPr="009A0F96">
        <w:t>. 3</w:t>
      </w:r>
      <w:r w:rsidRPr="009A0F96">
        <w:rPr>
          <w:vertAlign w:val="superscript"/>
        </w:rPr>
        <w:t>rd</w:t>
      </w:r>
      <w:r w:rsidRPr="009A0F96">
        <w:t xml:space="preserve"> </w:t>
      </w:r>
      <w:proofErr w:type="spellStart"/>
      <w:r w:rsidRPr="009A0F96">
        <w:t>edn</w:t>
      </w:r>
      <w:proofErr w:type="spellEnd"/>
      <w:r w:rsidRPr="009A0F96">
        <w:t>. Hoboken, New Jersey: John Wiley &amp; Sons, Ltd.</w:t>
      </w:r>
    </w:p>
    <w:p w14:paraId="4C8E0347" w14:textId="77777777" w:rsidR="00DF63FD" w:rsidRPr="009A0F96" w:rsidRDefault="00DF63FD" w:rsidP="00327723">
      <w:r w:rsidRPr="009A0F96">
        <w:t xml:space="preserve">Jones, P. (1999) ‘Operational issues and trends in the hospitality industry’. </w:t>
      </w:r>
      <w:r w:rsidRPr="009A0F96">
        <w:rPr>
          <w:i/>
          <w:iCs/>
        </w:rPr>
        <w:t>International Journal of Hospitality Management</w:t>
      </w:r>
      <w:r w:rsidRPr="009A0F96">
        <w:t>, 18(4), pp. 427-442.</w:t>
      </w:r>
      <w:r>
        <w:t xml:space="preserve"> </w:t>
      </w:r>
      <w:r w:rsidRPr="009A0F96">
        <w:t xml:space="preserve">Available at: </w:t>
      </w:r>
      <w:hyperlink r:id="rId13" w:history="1">
        <w:r w:rsidRPr="009A0F96">
          <w:rPr>
            <w:rStyle w:val="Hyperlink"/>
            <w:color w:val="auto"/>
          </w:rPr>
          <w:t>https://doi.org/10.1016/S0278-4319(99)00047-X</w:t>
        </w:r>
      </w:hyperlink>
      <w:r w:rsidRPr="009A0F96">
        <w:t xml:space="preserve"> </w:t>
      </w:r>
    </w:p>
    <w:p w14:paraId="7F2085F1" w14:textId="77777777" w:rsidR="00DF63FD" w:rsidRPr="009A0F96" w:rsidRDefault="00DF63FD" w:rsidP="00327723">
      <w:proofErr w:type="spellStart"/>
      <w:r w:rsidRPr="009A0F96">
        <w:t>Kizildag</w:t>
      </w:r>
      <w:proofErr w:type="spellEnd"/>
      <w:r w:rsidRPr="009A0F96">
        <w:t xml:space="preserve">, M., </w:t>
      </w:r>
      <w:proofErr w:type="spellStart"/>
      <w:r w:rsidRPr="009A0F96">
        <w:t>Weinland</w:t>
      </w:r>
      <w:proofErr w:type="spellEnd"/>
      <w:r w:rsidRPr="009A0F96">
        <w:t xml:space="preserve">, J.T. and </w:t>
      </w:r>
      <w:proofErr w:type="spellStart"/>
      <w:r w:rsidRPr="009A0F96">
        <w:t>Demirer</w:t>
      </w:r>
      <w:proofErr w:type="spellEnd"/>
      <w:r w:rsidRPr="009A0F96">
        <w:t xml:space="preserve">, I. (2023) ‘Financial sensitivity analysis of small lodging establishments during COVID-19’. </w:t>
      </w:r>
      <w:r w:rsidRPr="009A0F96">
        <w:rPr>
          <w:i/>
          <w:iCs/>
        </w:rPr>
        <w:t>Journal of Hospitality and Tourism Insights</w:t>
      </w:r>
      <w:r w:rsidRPr="009A0F96">
        <w:t>, 6(5), pp. 2257-2272.</w:t>
      </w:r>
      <w:r w:rsidRPr="00D811C7">
        <w:t xml:space="preserve"> </w:t>
      </w:r>
      <w:r w:rsidRPr="009A0F96">
        <w:t xml:space="preserve">Available at: </w:t>
      </w:r>
      <w:hyperlink r:id="rId14" w:history="1">
        <w:r w:rsidRPr="009A0F96">
          <w:rPr>
            <w:rStyle w:val="Hyperlink"/>
            <w:color w:val="auto"/>
          </w:rPr>
          <w:t>https://doi.org/10.1108/JHTI-05-2022-0176</w:t>
        </w:r>
      </w:hyperlink>
      <w:r w:rsidRPr="009A0F96">
        <w:t xml:space="preserve"> </w:t>
      </w:r>
    </w:p>
    <w:p w14:paraId="1DBF75E0" w14:textId="77777777" w:rsidR="00DF63FD" w:rsidRPr="009A0F96" w:rsidRDefault="00DF63FD" w:rsidP="00327723">
      <w:proofErr w:type="spellStart"/>
      <w:r w:rsidRPr="009A0F96">
        <w:t>Krupskyi</w:t>
      </w:r>
      <w:proofErr w:type="spellEnd"/>
      <w:r w:rsidRPr="009A0F96">
        <w:t xml:space="preserve">, O.P., </w:t>
      </w:r>
      <w:proofErr w:type="spellStart"/>
      <w:r w:rsidRPr="009A0F96">
        <w:t>Dzhusov</w:t>
      </w:r>
      <w:proofErr w:type="spellEnd"/>
      <w:r w:rsidRPr="009A0F96">
        <w:t xml:space="preserve">, O., </w:t>
      </w:r>
      <w:proofErr w:type="spellStart"/>
      <w:r w:rsidRPr="009A0F96">
        <w:t>Meshko</w:t>
      </w:r>
      <w:proofErr w:type="spellEnd"/>
      <w:r w:rsidRPr="009A0F96">
        <w:t xml:space="preserve">, N., </w:t>
      </w:r>
      <w:proofErr w:type="spellStart"/>
      <w:r w:rsidRPr="009A0F96">
        <w:t>Britchenko</w:t>
      </w:r>
      <w:proofErr w:type="spellEnd"/>
      <w:r w:rsidRPr="009A0F96">
        <w:t xml:space="preserve">, I. and </w:t>
      </w:r>
      <w:proofErr w:type="spellStart"/>
      <w:r w:rsidRPr="009A0F96">
        <w:t>Prytykin</w:t>
      </w:r>
      <w:proofErr w:type="spellEnd"/>
      <w:r w:rsidRPr="009A0F96">
        <w:t xml:space="preserve">, A. (2019) ‘Key sources when formulating competitive advantages for hotel chains’. </w:t>
      </w:r>
      <w:r w:rsidRPr="009A0F96">
        <w:rPr>
          <w:i/>
          <w:iCs/>
        </w:rPr>
        <w:t>Tourism: An International Interdisciplinary Journal</w:t>
      </w:r>
      <w:r w:rsidRPr="009A0F96">
        <w:t xml:space="preserve">, 67(1), pp. 34-46. Available at: </w:t>
      </w:r>
      <w:hyperlink r:id="rId15" w:history="1">
        <w:r w:rsidRPr="009A0F96">
          <w:rPr>
            <w:rStyle w:val="Hyperlink"/>
            <w:color w:val="auto"/>
          </w:rPr>
          <w:t>https://hrcak.srce.hr/file/318807</w:t>
        </w:r>
      </w:hyperlink>
      <w:r w:rsidRPr="009A0F96">
        <w:t xml:space="preserve"> </w:t>
      </w:r>
    </w:p>
    <w:p w14:paraId="5519C7A6" w14:textId="77777777" w:rsidR="00DF63FD" w:rsidRPr="009A0F96" w:rsidRDefault="00DF63FD" w:rsidP="00016AF8">
      <w:pPr>
        <w:jc w:val="left"/>
      </w:pPr>
      <w:proofErr w:type="spellStart"/>
      <w:r w:rsidRPr="009A0F96">
        <w:t>Laurila</w:t>
      </w:r>
      <w:proofErr w:type="spellEnd"/>
      <w:r w:rsidRPr="009A0F96">
        <w:t xml:space="preserve">, J., and </w:t>
      </w:r>
      <w:proofErr w:type="spellStart"/>
      <w:r w:rsidRPr="009A0F96">
        <w:t>Ropponen</w:t>
      </w:r>
      <w:proofErr w:type="spellEnd"/>
      <w:r w:rsidRPr="009A0F96">
        <w:t xml:space="preserve">, M. (2003) ‘Institutional conditioning of foreign expansion: Some evidence from Finnish based paper industry firms 1994–2000’. </w:t>
      </w:r>
      <w:r w:rsidRPr="009A0F96">
        <w:rPr>
          <w:i/>
          <w:iCs/>
        </w:rPr>
        <w:t>Journal of Management Studies,</w:t>
      </w:r>
      <w:r w:rsidRPr="009A0F96">
        <w:t xml:space="preserve"> 40, pp: 725–751. Available at: </w:t>
      </w:r>
      <w:hyperlink r:id="rId16" w:history="1">
        <w:r w:rsidRPr="009A0F96">
          <w:rPr>
            <w:rStyle w:val="Hyperlink"/>
            <w:color w:val="auto"/>
          </w:rPr>
          <w:t>https://doi.org/10.1111/1467-6486.00358</w:t>
        </w:r>
      </w:hyperlink>
      <w:r w:rsidRPr="009A0F96">
        <w:t xml:space="preserve"> </w:t>
      </w:r>
    </w:p>
    <w:p w14:paraId="590D0AC3" w14:textId="77777777" w:rsidR="00DF63FD" w:rsidRPr="009A0F96" w:rsidRDefault="00DF63FD" w:rsidP="00327723">
      <w:r w:rsidRPr="009A0F96">
        <w:t xml:space="preserve">Macqueen, R., Millard, S., Patel, U. and Whyte, K. (2022) ‘UK economic outlook’. </w:t>
      </w:r>
      <w:r w:rsidRPr="009A0F96">
        <w:rPr>
          <w:i/>
          <w:iCs/>
        </w:rPr>
        <w:t>National Institute Economic Review</w:t>
      </w:r>
      <w:r w:rsidRPr="009A0F96">
        <w:t xml:space="preserve">, 260. Available at: </w:t>
      </w:r>
      <w:hyperlink r:id="rId17" w:history="1">
        <w:r w:rsidRPr="009A0F96">
          <w:rPr>
            <w:rStyle w:val="Hyperlink"/>
            <w:color w:val="auto"/>
          </w:rPr>
          <w:t>https://www.cambridge.org/core/journals/national-institute-economic-review/article/1-uk-economic-outlook/10DA1F2E7F67EEEE2E4E750E00BE94F1</w:t>
        </w:r>
      </w:hyperlink>
      <w:r w:rsidRPr="009A0F96">
        <w:t xml:space="preserve"> </w:t>
      </w:r>
    </w:p>
    <w:p w14:paraId="6462C469" w14:textId="77777777" w:rsidR="00DF63FD" w:rsidRPr="009A0F96" w:rsidRDefault="00DF63FD" w:rsidP="00327723">
      <w:proofErr w:type="spellStart"/>
      <w:r w:rsidRPr="009A0F96">
        <w:t>Shaffer</w:t>
      </w:r>
      <w:proofErr w:type="spellEnd"/>
      <w:r w:rsidRPr="009A0F96">
        <w:t xml:space="preserve">, B. and Hillman, A.J. (2000) ‘The development of business–government strategies by diversified firms’. </w:t>
      </w:r>
      <w:r w:rsidRPr="009A0F96">
        <w:rPr>
          <w:i/>
          <w:iCs/>
        </w:rPr>
        <w:t>Strategic management journal</w:t>
      </w:r>
      <w:r w:rsidRPr="009A0F96">
        <w:t xml:space="preserve">, 21(2), pp. 175-190. Available at: </w:t>
      </w:r>
      <w:hyperlink r:id="rId18" w:history="1">
        <w:r w:rsidRPr="009A0F96">
          <w:rPr>
            <w:rStyle w:val="Hyperlink"/>
            <w:color w:val="auto"/>
          </w:rPr>
          <w:t>https://doi.org/10.1002/(SICI)1097-0266(200002)21:2%3C175::AID-SMJ86%3E3.0.CO;2-L</w:t>
        </w:r>
      </w:hyperlink>
      <w:r w:rsidRPr="009A0F96">
        <w:t xml:space="preserve"> </w:t>
      </w:r>
    </w:p>
    <w:p w14:paraId="3C15EDBA" w14:textId="77777777" w:rsidR="00DF63FD" w:rsidRPr="009A0F96" w:rsidRDefault="00DF63FD" w:rsidP="00327723">
      <w:proofErr w:type="spellStart"/>
      <w:r w:rsidRPr="009A0F96">
        <w:t>Sklenarz</w:t>
      </w:r>
      <w:proofErr w:type="spellEnd"/>
      <w:r w:rsidRPr="009A0F96">
        <w:t xml:space="preserve">, F.A., </w:t>
      </w:r>
      <w:proofErr w:type="spellStart"/>
      <w:r w:rsidRPr="009A0F96">
        <w:t>Edeling</w:t>
      </w:r>
      <w:proofErr w:type="spellEnd"/>
      <w:r w:rsidRPr="009A0F96">
        <w:t xml:space="preserve">, A., </w:t>
      </w:r>
      <w:proofErr w:type="spellStart"/>
      <w:r w:rsidRPr="009A0F96">
        <w:t>Himme</w:t>
      </w:r>
      <w:proofErr w:type="spellEnd"/>
      <w:r w:rsidRPr="009A0F96">
        <w:t xml:space="preserve">, A. and Wichmann, J.R. (2024) ‘Does Bigger Still Mean Better? How Digital Transformation Affects the Market Share-Profitability Relationship’. </w:t>
      </w:r>
      <w:r w:rsidRPr="009A0F96">
        <w:rPr>
          <w:i/>
          <w:iCs/>
        </w:rPr>
        <w:t>International Journal of Research in Marketing</w:t>
      </w:r>
      <w:r w:rsidRPr="009A0F96">
        <w:t xml:space="preserve">. Available at: </w:t>
      </w:r>
      <w:hyperlink r:id="rId19" w:history="1">
        <w:r w:rsidRPr="009A0F96">
          <w:rPr>
            <w:rStyle w:val="Hyperlink"/>
            <w:color w:val="auto"/>
          </w:rPr>
          <w:t>https://doi.org/10.1016/j.ijresmar.2024.01.004</w:t>
        </w:r>
      </w:hyperlink>
      <w:r w:rsidRPr="009A0F96">
        <w:t xml:space="preserve"> </w:t>
      </w:r>
    </w:p>
    <w:p w14:paraId="304DBC88" w14:textId="77777777" w:rsidR="00DF63FD" w:rsidRPr="009A0F96" w:rsidRDefault="00DF63FD" w:rsidP="00327723">
      <w:r w:rsidRPr="009A0F96">
        <w:t xml:space="preserve">Sparks, B.A. and Browning, V. (2011) ‘The impact of online reviews on hotel booking intentions and perception of trust’. </w:t>
      </w:r>
      <w:r w:rsidRPr="009A0F96">
        <w:rPr>
          <w:i/>
          <w:iCs/>
        </w:rPr>
        <w:t>Tourism management</w:t>
      </w:r>
      <w:r w:rsidRPr="009A0F96">
        <w:t xml:space="preserve">, 32(6), pp. 1310-1323. Available at: </w:t>
      </w:r>
      <w:hyperlink r:id="rId20" w:history="1">
        <w:r w:rsidRPr="009A0F96">
          <w:rPr>
            <w:rStyle w:val="Hyperlink"/>
            <w:color w:val="auto"/>
          </w:rPr>
          <w:t>https://doi.org/10.1016/j.tourman.2010.12.011</w:t>
        </w:r>
      </w:hyperlink>
      <w:r w:rsidRPr="009A0F96">
        <w:t xml:space="preserve"> </w:t>
      </w:r>
    </w:p>
    <w:p w14:paraId="31467D95" w14:textId="77777777" w:rsidR="00DF63FD" w:rsidRPr="009A0F96" w:rsidRDefault="00DF63FD" w:rsidP="00327723">
      <w:r w:rsidRPr="009A0F96">
        <w:t xml:space="preserve">Sparks, B.A., Perkins, H.E. and Buckley, R. (2013) ‘Online travel reviews as persuasive communication: The effects of content type, source, and certification logos on consumer </w:t>
      </w:r>
      <w:proofErr w:type="spellStart"/>
      <w:r w:rsidRPr="009A0F96">
        <w:t>behavior</w:t>
      </w:r>
      <w:proofErr w:type="spellEnd"/>
      <w:r w:rsidRPr="009A0F96">
        <w:t xml:space="preserve">’. </w:t>
      </w:r>
      <w:r w:rsidRPr="009A0F96">
        <w:rPr>
          <w:i/>
          <w:iCs/>
        </w:rPr>
        <w:t>Tourism Management</w:t>
      </w:r>
      <w:r w:rsidRPr="009A0F96">
        <w:t>, 39, pp. 1-9.</w:t>
      </w:r>
      <w:r>
        <w:t xml:space="preserve"> </w:t>
      </w:r>
      <w:r w:rsidRPr="009A0F96">
        <w:t xml:space="preserve">Available at: </w:t>
      </w:r>
      <w:hyperlink r:id="rId21" w:history="1">
        <w:r w:rsidRPr="009A0F96">
          <w:rPr>
            <w:rStyle w:val="Hyperlink"/>
            <w:color w:val="auto"/>
          </w:rPr>
          <w:t>https://doi.org/10.1016/j.tourman.2013.03.007</w:t>
        </w:r>
      </w:hyperlink>
      <w:r w:rsidRPr="009A0F96">
        <w:t xml:space="preserve"> </w:t>
      </w:r>
    </w:p>
    <w:p w14:paraId="784C7E3D" w14:textId="77777777" w:rsidR="00DF63FD" w:rsidRPr="009A0F96" w:rsidRDefault="00DF63FD" w:rsidP="00327723">
      <w:r w:rsidRPr="009A0F96">
        <w:t xml:space="preserve">Tham, A., </w:t>
      </w:r>
      <w:proofErr w:type="spellStart"/>
      <w:r w:rsidRPr="009A0F96">
        <w:t>Croy</w:t>
      </w:r>
      <w:proofErr w:type="spellEnd"/>
      <w:r w:rsidRPr="009A0F96">
        <w:t xml:space="preserve">, G. and Mair, J. (2013) ‘Social media in destination choice: Distinctive electronic word-of-mouth dimensions’. </w:t>
      </w:r>
      <w:r w:rsidRPr="009A0F96">
        <w:rPr>
          <w:i/>
          <w:iCs/>
        </w:rPr>
        <w:t>Journal of Travel &amp; Tourism Marketing</w:t>
      </w:r>
      <w:r w:rsidRPr="009A0F96">
        <w:t>, 30(1-2), pp. 144-155.</w:t>
      </w:r>
      <w:r w:rsidRPr="00A83611">
        <w:t xml:space="preserve"> </w:t>
      </w:r>
      <w:r w:rsidRPr="009A0F96">
        <w:t xml:space="preserve">Available at: </w:t>
      </w:r>
      <w:hyperlink r:id="rId22" w:history="1">
        <w:r w:rsidRPr="009A0F96">
          <w:rPr>
            <w:rStyle w:val="Hyperlink"/>
            <w:color w:val="auto"/>
          </w:rPr>
          <w:t>https://doi.org/10.1080/10548408.2013.751272</w:t>
        </w:r>
      </w:hyperlink>
      <w:r w:rsidRPr="009A0F96">
        <w:t xml:space="preserve"> </w:t>
      </w:r>
    </w:p>
    <w:p w14:paraId="2993E472" w14:textId="77777777" w:rsidR="00DF63FD" w:rsidRPr="009A0F96" w:rsidRDefault="00DF63FD" w:rsidP="00327723">
      <w:proofErr w:type="spellStart"/>
      <w:r w:rsidRPr="009A0F96">
        <w:t>Verma</w:t>
      </w:r>
      <w:proofErr w:type="spellEnd"/>
      <w:r w:rsidRPr="009A0F96">
        <w:t xml:space="preserve">, E. (2024) What Is Financial Risk and Its Types? Everything You Need to Know. Available at: </w:t>
      </w:r>
      <w:hyperlink r:id="rId23" w:history="1">
        <w:r w:rsidRPr="009A0F96">
          <w:rPr>
            <w:rStyle w:val="Hyperlink"/>
            <w:color w:val="auto"/>
          </w:rPr>
          <w:t>https://www.simplilearn.com/financial-risk-and-types-rar131-article</w:t>
        </w:r>
      </w:hyperlink>
      <w:r w:rsidRPr="009A0F96">
        <w:t xml:space="preserve"> (Accessed: 10 February 2024)</w:t>
      </w:r>
    </w:p>
    <w:p w14:paraId="29AFADAD" w14:textId="77777777" w:rsidR="00DF63FD" w:rsidRPr="009A0F96" w:rsidRDefault="00DF63FD" w:rsidP="00327723">
      <w:proofErr w:type="spellStart"/>
      <w:r w:rsidRPr="009A0F96">
        <w:t>Victorino</w:t>
      </w:r>
      <w:proofErr w:type="spellEnd"/>
      <w:r w:rsidRPr="009A0F96">
        <w:t xml:space="preserve">, L., </w:t>
      </w:r>
      <w:proofErr w:type="spellStart"/>
      <w:r w:rsidRPr="009A0F96">
        <w:t>Verma</w:t>
      </w:r>
      <w:proofErr w:type="spellEnd"/>
      <w:r w:rsidRPr="009A0F96">
        <w:t xml:space="preserve">, R., </w:t>
      </w:r>
      <w:proofErr w:type="spellStart"/>
      <w:r w:rsidRPr="009A0F96">
        <w:t>Plaschka</w:t>
      </w:r>
      <w:proofErr w:type="spellEnd"/>
      <w:r w:rsidRPr="009A0F96">
        <w:t xml:space="preserve">, G. and Dev, C. (2005) ‘Service innovation and customer choices in the hospitality industry’. </w:t>
      </w:r>
      <w:r w:rsidRPr="009A0F96">
        <w:rPr>
          <w:i/>
          <w:iCs/>
        </w:rPr>
        <w:t>Managing Service Quality: An International Journal</w:t>
      </w:r>
      <w:r w:rsidRPr="009A0F96">
        <w:t>, 15(6), pp. 555-576.</w:t>
      </w:r>
      <w:r>
        <w:t xml:space="preserve"> </w:t>
      </w:r>
      <w:r w:rsidRPr="009A0F96">
        <w:t xml:space="preserve">Available at: </w:t>
      </w:r>
      <w:hyperlink r:id="rId24" w:history="1">
        <w:r w:rsidRPr="009A0F96">
          <w:rPr>
            <w:rStyle w:val="Hyperlink"/>
            <w:color w:val="auto"/>
          </w:rPr>
          <w:t>https://doi.org/10.1108/09604520510634023</w:t>
        </w:r>
      </w:hyperlink>
      <w:r w:rsidRPr="009A0F96">
        <w:t xml:space="preserve"> </w:t>
      </w:r>
    </w:p>
    <w:p w14:paraId="53A68B88" w14:textId="77777777" w:rsidR="00DF63FD" w:rsidRPr="009A0F96" w:rsidRDefault="00DF63FD" w:rsidP="00D30F9C">
      <w:proofErr w:type="spellStart"/>
      <w:r w:rsidRPr="009A0F96">
        <w:t>Vipond</w:t>
      </w:r>
      <w:proofErr w:type="spellEnd"/>
      <w:r w:rsidRPr="009A0F96">
        <w:t xml:space="preserve">, T. (2024) </w:t>
      </w:r>
      <w:r w:rsidRPr="009A0F96">
        <w:rPr>
          <w:i/>
          <w:iCs/>
        </w:rPr>
        <w:t>Profitability Ratios - Measures of a company's earning power</w:t>
      </w:r>
      <w:r w:rsidRPr="009A0F96">
        <w:t xml:space="preserve">. Available at: </w:t>
      </w:r>
      <w:hyperlink r:id="rId25" w:history="1">
        <w:r w:rsidRPr="009A0F96">
          <w:rPr>
            <w:rStyle w:val="Hyperlink"/>
            <w:color w:val="auto"/>
          </w:rPr>
          <w:t>https://corporatefinanceinstitute.com/resources/accounting/profitability-ratios/</w:t>
        </w:r>
      </w:hyperlink>
      <w:r w:rsidRPr="009A0F96">
        <w:t xml:space="preserve"> (Accessed: 9 February 2024)</w:t>
      </w:r>
    </w:p>
    <w:p w14:paraId="3743B766" w14:textId="77777777" w:rsidR="00DF63FD" w:rsidRPr="009A0F96" w:rsidRDefault="00DF63FD" w:rsidP="00327723">
      <w:proofErr w:type="spellStart"/>
      <w:r w:rsidRPr="009A0F96">
        <w:t>Wieczorek-Kosmala</w:t>
      </w:r>
      <w:proofErr w:type="spellEnd"/>
      <w:r w:rsidRPr="009A0F96">
        <w:t xml:space="preserve">, M. (2021) ‘COVID-19 impact on the hospitality industry: Exploratory study of financial-slack-driven risk preparedness’. </w:t>
      </w:r>
      <w:r w:rsidRPr="009A0F96">
        <w:rPr>
          <w:i/>
          <w:iCs/>
        </w:rPr>
        <w:t>International Journal of Hospitality Management</w:t>
      </w:r>
      <w:r w:rsidRPr="009A0F96">
        <w:t>, 94.</w:t>
      </w:r>
      <w:r>
        <w:t xml:space="preserve"> </w:t>
      </w:r>
      <w:r w:rsidRPr="009A0F96">
        <w:t xml:space="preserve">Available at: </w:t>
      </w:r>
      <w:hyperlink r:id="rId26" w:history="1">
        <w:r w:rsidRPr="009A0F96">
          <w:rPr>
            <w:rStyle w:val="Hyperlink"/>
            <w:color w:val="auto"/>
          </w:rPr>
          <w:t>https://doi.org/10.1016/j.ijhm.2020.102799</w:t>
        </w:r>
      </w:hyperlink>
      <w:r w:rsidRPr="009A0F96">
        <w:t xml:space="preserve"> </w:t>
      </w:r>
    </w:p>
    <w:p w14:paraId="3BDF9979" w14:textId="77777777" w:rsidR="00DF63FD" w:rsidRPr="009A0F96" w:rsidRDefault="00DF63FD" w:rsidP="00327723">
      <w:proofErr w:type="spellStart"/>
      <w:r w:rsidRPr="009A0F96">
        <w:t>Wiersema</w:t>
      </w:r>
      <w:proofErr w:type="spellEnd"/>
      <w:r w:rsidRPr="009A0F96">
        <w:t xml:space="preserve">, M.F. and Bowen, H.P. (2008) ‘Corporate diversification: The impact of foreign competition, industry </w:t>
      </w:r>
      <w:proofErr w:type="spellStart"/>
      <w:r w:rsidRPr="009A0F96">
        <w:t>globalization</w:t>
      </w:r>
      <w:proofErr w:type="spellEnd"/>
      <w:r w:rsidRPr="009A0F96">
        <w:t xml:space="preserve">, and product diversification’. </w:t>
      </w:r>
      <w:r w:rsidRPr="009A0F96">
        <w:rPr>
          <w:i/>
          <w:iCs/>
        </w:rPr>
        <w:t>Strategic Management Journal</w:t>
      </w:r>
      <w:r w:rsidRPr="009A0F96">
        <w:t>, 29(2), pp. 115-132.</w:t>
      </w:r>
      <w:r>
        <w:t xml:space="preserve"> </w:t>
      </w:r>
      <w:r w:rsidRPr="009A0F96">
        <w:t xml:space="preserve">Available at: </w:t>
      </w:r>
      <w:hyperlink r:id="rId27" w:history="1">
        <w:r w:rsidRPr="009A0F96">
          <w:rPr>
            <w:rStyle w:val="Hyperlink"/>
            <w:color w:val="auto"/>
          </w:rPr>
          <w:t>https://doi.org/10.1002/smj.653</w:t>
        </w:r>
      </w:hyperlink>
      <w:r w:rsidRPr="009A0F96">
        <w:t xml:space="preserve"> </w:t>
      </w:r>
    </w:p>
    <w:p w14:paraId="0C0F937F" w14:textId="77777777" w:rsidR="00DF63FD" w:rsidRPr="009A0F96" w:rsidRDefault="00DF63FD" w:rsidP="00327723">
      <w:r w:rsidRPr="009A0F96">
        <w:t xml:space="preserve">Wilkins, H., </w:t>
      </w:r>
      <w:proofErr w:type="spellStart"/>
      <w:r w:rsidRPr="009A0F96">
        <w:t>Merrilees</w:t>
      </w:r>
      <w:proofErr w:type="spellEnd"/>
      <w:r w:rsidRPr="009A0F96">
        <w:t xml:space="preserve">, B. and </w:t>
      </w:r>
      <w:proofErr w:type="spellStart"/>
      <w:r w:rsidRPr="009A0F96">
        <w:t>Herington</w:t>
      </w:r>
      <w:proofErr w:type="spellEnd"/>
      <w:r w:rsidRPr="009A0F96">
        <w:t xml:space="preserve">, C. (2007) ‘Towards an understanding of total service quality in hotels’. </w:t>
      </w:r>
      <w:r w:rsidRPr="009A0F96">
        <w:rPr>
          <w:i/>
          <w:iCs/>
        </w:rPr>
        <w:t>International Journal of Hospitality Management</w:t>
      </w:r>
      <w:r w:rsidRPr="009A0F96">
        <w:t xml:space="preserve">, 26(4), pp. 840-853. Available at: </w:t>
      </w:r>
      <w:hyperlink r:id="rId28" w:history="1">
        <w:r w:rsidRPr="009A0F96">
          <w:rPr>
            <w:rStyle w:val="Hyperlink"/>
            <w:color w:val="auto"/>
          </w:rPr>
          <w:t>https://doi.org/10.1016/j.ijhm.2006.07.006</w:t>
        </w:r>
      </w:hyperlink>
      <w:r w:rsidRPr="009A0F96">
        <w:t xml:space="preserve"> </w:t>
      </w:r>
    </w:p>
    <w:p w14:paraId="65792349" w14:textId="79AC5D71" w:rsidR="009A0F96" w:rsidRPr="009A0F96" w:rsidRDefault="009A0F96" w:rsidP="00327723"/>
    <w:sectPr w:rsidR="009A0F96" w:rsidRPr="009A0F96" w:rsidSect="0059270C">
      <w:footerReference w:type="default" r:id="rId2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1AF53E" w14:textId="77777777" w:rsidR="0059270C" w:rsidRDefault="0059270C" w:rsidP="002D5B80">
      <w:pPr>
        <w:spacing w:after="0" w:line="240" w:lineRule="auto"/>
      </w:pPr>
      <w:r>
        <w:separator/>
      </w:r>
    </w:p>
  </w:endnote>
  <w:endnote w:type="continuationSeparator" w:id="0">
    <w:p w14:paraId="1FE5DC5C" w14:textId="77777777" w:rsidR="0059270C" w:rsidRDefault="0059270C" w:rsidP="002D5B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864724"/>
      <w:docPartObj>
        <w:docPartGallery w:val="Page Numbers (Bottom of Page)"/>
        <w:docPartUnique/>
      </w:docPartObj>
    </w:sdtPr>
    <w:sdtEndPr>
      <w:rPr>
        <w:noProof/>
      </w:rPr>
    </w:sdtEndPr>
    <w:sdtContent>
      <w:p w14:paraId="4225BAF0" w14:textId="4C22654F" w:rsidR="002D5B80" w:rsidRDefault="002D5B80">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67FF5DAF" w14:textId="77777777" w:rsidR="002D5B80" w:rsidRDefault="002D5B8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F8C7F2" w14:textId="77777777" w:rsidR="0059270C" w:rsidRDefault="0059270C" w:rsidP="002D5B80">
      <w:pPr>
        <w:spacing w:after="0" w:line="240" w:lineRule="auto"/>
      </w:pPr>
      <w:r>
        <w:separator/>
      </w:r>
    </w:p>
  </w:footnote>
  <w:footnote w:type="continuationSeparator" w:id="0">
    <w:p w14:paraId="3615CB38" w14:textId="77777777" w:rsidR="0059270C" w:rsidRDefault="0059270C" w:rsidP="002D5B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11EED"/>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5162DC2"/>
    <w:multiLevelType w:val="hybridMultilevel"/>
    <w:tmpl w:val="14FC62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270C1E"/>
    <w:multiLevelType w:val="hybridMultilevel"/>
    <w:tmpl w:val="6ACA22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6863F3"/>
    <w:multiLevelType w:val="hybridMultilevel"/>
    <w:tmpl w:val="3710D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625587"/>
    <w:multiLevelType w:val="hybridMultilevel"/>
    <w:tmpl w:val="BE5E8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C46136"/>
    <w:multiLevelType w:val="hybridMultilevel"/>
    <w:tmpl w:val="F1140E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61E51DC"/>
    <w:multiLevelType w:val="multilevel"/>
    <w:tmpl w:val="5248E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F402A8D"/>
    <w:multiLevelType w:val="hybridMultilevel"/>
    <w:tmpl w:val="3A40F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4D5613"/>
    <w:multiLevelType w:val="hybridMultilevel"/>
    <w:tmpl w:val="764EE83A"/>
    <w:lvl w:ilvl="0" w:tplc="08090001">
      <w:start w:val="1"/>
      <w:numFmt w:val="bullet"/>
      <w:lvlText w:val=""/>
      <w:lvlJc w:val="left"/>
      <w:pPr>
        <w:ind w:left="780" w:hanging="360"/>
      </w:pPr>
      <w:rPr>
        <w:rFonts w:ascii="Symbol" w:hAnsi="Symbol" w:hint="default"/>
      </w:rPr>
    </w:lvl>
    <w:lvl w:ilvl="1" w:tplc="68D6444C">
      <w:numFmt w:val="bullet"/>
      <w:lvlText w:val="•"/>
      <w:lvlJc w:val="left"/>
      <w:pPr>
        <w:ind w:left="1500" w:hanging="360"/>
      </w:pPr>
      <w:rPr>
        <w:rFonts w:ascii="Times New Roman" w:eastAsiaTheme="minorHAnsi" w:hAnsi="Times New Roman" w:cs="Times New Roman"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760F2C47"/>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183785438">
    <w:abstractNumId w:val="1"/>
  </w:num>
  <w:num w:numId="2" w16cid:durableId="30809856">
    <w:abstractNumId w:val="5"/>
  </w:num>
  <w:num w:numId="3" w16cid:durableId="1761489343">
    <w:abstractNumId w:val="0"/>
  </w:num>
  <w:num w:numId="4" w16cid:durableId="418449999">
    <w:abstractNumId w:val="9"/>
  </w:num>
  <w:num w:numId="5" w16cid:durableId="1202089129">
    <w:abstractNumId w:val="8"/>
  </w:num>
  <w:num w:numId="6" w16cid:durableId="201405518">
    <w:abstractNumId w:val="4"/>
  </w:num>
  <w:num w:numId="7" w16cid:durableId="167789610">
    <w:abstractNumId w:val="2"/>
  </w:num>
  <w:num w:numId="8" w16cid:durableId="815683445">
    <w:abstractNumId w:val="7"/>
  </w:num>
  <w:num w:numId="9" w16cid:durableId="1607884747">
    <w:abstractNumId w:val="6"/>
  </w:num>
  <w:num w:numId="10" w16cid:durableId="117218789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3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AF8"/>
    <w:rsid w:val="0000521B"/>
    <w:rsid w:val="0001563C"/>
    <w:rsid w:val="00016AF8"/>
    <w:rsid w:val="00026E6B"/>
    <w:rsid w:val="00031BD6"/>
    <w:rsid w:val="00034011"/>
    <w:rsid w:val="000475FE"/>
    <w:rsid w:val="00051B9C"/>
    <w:rsid w:val="0006559B"/>
    <w:rsid w:val="000B0EC3"/>
    <w:rsid w:val="000D5259"/>
    <w:rsid w:val="00101088"/>
    <w:rsid w:val="00110C75"/>
    <w:rsid w:val="001111EC"/>
    <w:rsid w:val="00124B3D"/>
    <w:rsid w:val="00153495"/>
    <w:rsid w:val="001A781C"/>
    <w:rsid w:val="001B7808"/>
    <w:rsid w:val="001B7B95"/>
    <w:rsid w:val="001C2328"/>
    <w:rsid w:val="001C2D08"/>
    <w:rsid w:val="001C334C"/>
    <w:rsid w:val="0020396C"/>
    <w:rsid w:val="00252496"/>
    <w:rsid w:val="00272312"/>
    <w:rsid w:val="00296FDD"/>
    <w:rsid w:val="002B7DA2"/>
    <w:rsid w:val="002D5B80"/>
    <w:rsid w:val="002F6DCB"/>
    <w:rsid w:val="00316BD8"/>
    <w:rsid w:val="00327723"/>
    <w:rsid w:val="00335E8C"/>
    <w:rsid w:val="00346E73"/>
    <w:rsid w:val="00362240"/>
    <w:rsid w:val="00366D62"/>
    <w:rsid w:val="003C23C4"/>
    <w:rsid w:val="003D32F5"/>
    <w:rsid w:val="003F1139"/>
    <w:rsid w:val="003F7347"/>
    <w:rsid w:val="00401B85"/>
    <w:rsid w:val="00405D78"/>
    <w:rsid w:val="00431CE1"/>
    <w:rsid w:val="00436C3F"/>
    <w:rsid w:val="00452FA2"/>
    <w:rsid w:val="00455225"/>
    <w:rsid w:val="004563F8"/>
    <w:rsid w:val="004624B3"/>
    <w:rsid w:val="00465887"/>
    <w:rsid w:val="00476FE3"/>
    <w:rsid w:val="004E4864"/>
    <w:rsid w:val="004E54F0"/>
    <w:rsid w:val="005163F1"/>
    <w:rsid w:val="00517D37"/>
    <w:rsid w:val="00527DFE"/>
    <w:rsid w:val="005570CE"/>
    <w:rsid w:val="00562F02"/>
    <w:rsid w:val="00591C9F"/>
    <w:rsid w:val="0059270C"/>
    <w:rsid w:val="00593D03"/>
    <w:rsid w:val="005B0EA5"/>
    <w:rsid w:val="005B23DE"/>
    <w:rsid w:val="005C6D67"/>
    <w:rsid w:val="00606F46"/>
    <w:rsid w:val="006279C7"/>
    <w:rsid w:val="00646281"/>
    <w:rsid w:val="00653331"/>
    <w:rsid w:val="0067169E"/>
    <w:rsid w:val="006852C3"/>
    <w:rsid w:val="006A1AB9"/>
    <w:rsid w:val="006A7447"/>
    <w:rsid w:val="006B79CC"/>
    <w:rsid w:val="006E1318"/>
    <w:rsid w:val="006F12B5"/>
    <w:rsid w:val="006F1D65"/>
    <w:rsid w:val="006F3843"/>
    <w:rsid w:val="006F4BA5"/>
    <w:rsid w:val="00700C47"/>
    <w:rsid w:val="007136B5"/>
    <w:rsid w:val="00723EAA"/>
    <w:rsid w:val="00730546"/>
    <w:rsid w:val="00742289"/>
    <w:rsid w:val="007639AF"/>
    <w:rsid w:val="007A0173"/>
    <w:rsid w:val="007B0AB8"/>
    <w:rsid w:val="007B25ED"/>
    <w:rsid w:val="007C05E5"/>
    <w:rsid w:val="00817C69"/>
    <w:rsid w:val="00844C6F"/>
    <w:rsid w:val="00891B60"/>
    <w:rsid w:val="008A3678"/>
    <w:rsid w:val="008B0305"/>
    <w:rsid w:val="008D4EB2"/>
    <w:rsid w:val="008F1C24"/>
    <w:rsid w:val="009404AC"/>
    <w:rsid w:val="00955E7B"/>
    <w:rsid w:val="0096265B"/>
    <w:rsid w:val="00966525"/>
    <w:rsid w:val="00976A38"/>
    <w:rsid w:val="00980183"/>
    <w:rsid w:val="0098481A"/>
    <w:rsid w:val="00985FA3"/>
    <w:rsid w:val="009A0F96"/>
    <w:rsid w:val="009D23F9"/>
    <w:rsid w:val="009D51E7"/>
    <w:rsid w:val="00A127C3"/>
    <w:rsid w:val="00A37DB1"/>
    <w:rsid w:val="00A52F8B"/>
    <w:rsid w:val="00A66777"/>
    <w:rsid w:val="00A71C11"/>
    <w:rsid w:val="00A73CCD"/>
    <w:rsid w:val="00A762E7"/>
    <w:rsid w:val="00A83611"/>
    <w:rsid w:val="00AB102B"/>
    <w:rsid w:val="00AB4E34"/>
    <w:rsid w:val="00B1290F"/>
    <w:rsid w:val="00B61639"/>
    <w:rsid w:val="00B66E1B"/>
    <w:rsid w:val="00B83169"/>
    <w:rsid w:val="00BA7C2E"/>
    <w:rsid w:val="00BB14AB"/>
    <w:rsid w:val="00BC07AA"/>
    <w:rsid w:val="00BC131E"/>
    <w:rsid w:val="00BF6E0D"/>
    <w:rsid w:val="00C02970"/>
    <w:rsid w:val="00C26978"/>
    <w:rsid w:val="00C27BD5"/>
    <w:rsid w:val="00C31632"/>
    <w:rsid w:val="00C5005F"/>
    <w:rsid w:val="00C63513"/>
    <w:rsid w:val="00C7603C"/>
    <w:rsid w:val="00CB3C84"/>
    <w:rsid w:val="00CC515A"/>
    <w:rsid w:val="00CC548B"/>
    <w:rsid w:val="00CD0EA3"/>
    <w:rsid w:val="00CD1C8E"/>
    <w:rsid w:val="00CE6CA3"/>
    <w:rsid w:val="00D0393B"/>
    <w:rsid w:val="00D101E9"/>
    <w:rsid w:val="00D1522D"/>
    <w:rsid w:val="00D16C67"/>
    <w:rsid w:val="00D23D97"/>
    <w:rsid w:val="00D25F64"/>
    <w:rsid w:val="00D30F9C"/>
    <w:rsid w:val="00D550BE"/>
    <w:rsid w:val="00D63701"/>
    <w:rsid w:val="00D80129"/>
    <w:rsid w:val="00D811C7"/>
    <w:rsid w:val="00DF2454"/>
    <w:rsid w:val="00DF63FD"/>
    <w:rsid w:val="00E02EA1"/>
    <w:rsid w:val="00E27317"/>
    <w:rsid w:val="00E731F9"/>
    <w:rsid w:val="00E770E9"/>
    <w:rsid w:val="00EA384E"/>
    <w:rsid w:val="00EA70D3"/>
    <w:rsid w:val="00EB7245"/>
    <w:rsid w:val="00F253BA"/>
    <w:rsid w:val="00F2654B"/>
    <w:rsid w:val="00F3046D"/>
    <w:rsid w:val="00F359D0"/>
    <w:rsid w:val="00F7222D"/>
    <w:rsid w:val="00F73D43"/>
    <w:rsid w:val="00F83F0F"/>
    <w:rsid w:val="00FD68B4"/>
    <w:rsid w:val="00FE5543"/>
    <w:rsid w:val="00FE5E5F"/>
    <w:rsid w:val="00FF6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DA400"/>
  <w15:chartTrackingRefBased/>
  <w15:docId w15:val="{52677296-D4E1-4885-8AA2-E8B2DF5CBF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6AF8"/>
    <w:pPr>
      <w:spacing w:line="360" w:lineRule="auto"/>
      <w:jc w:val="both"/>
    </w:pPr>
    <w:rPr>
      <w:rFonts w:ascii="Times New Roman" w:hAnsi="Times New Roman"/>
    </w:rPr>
  </w:style>
  <w:style w:type="paragraph" w:styleId="Titlu1">
    <w:name w:val="heading 1"/>
    <w:basedOn w:val="Normal"/>
    <w:next w:val="Normal"/>
    <w:link w:val="Titlu1Caracter"/>
    <w:uiPriority w:val="9"/>
    <w:qFormat/>
    <w:rsid w:val="00016AF8"/>
    <w:pPr>
      <w:keepNext/>
      <w:keepLines/>
      <w:spacing w:before="240" w:after="0"/>
      <w:jc w:val="left"/>
      <w:outlineLvl w:val="0"/>
    </w:pPr>
    <w:rPr>
      <w:rFonts w:eastAsiaTheme="majorEastAsia"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016AF8"/>
    <w:pPr>
      <w:keepNext/>
      <w:keepLines/>
      <w:spacing w:before="40" w:after="0"/>
      <w:jc w:val="left"/>
      <w:outlineLvl w:val="1"/>
    </w:pPr>
    <w:rPr>
      <w:rFonts w:eastAsiaTheme="majorEastAsia" w:cstheme="majorBidi"/>
      <w:color w:val="2F5496" w:themeColor="accent1" w:themeShade="BF"/>
      <w:sz w:val="26"/>
      <w:szCs w:val="26"/>
    </w:rPr>
  </w:style>
  <w:style w:type="paragraph" w:styleId="Titlu4">
    <w:name w:val="heading 4"/>
    <w:basedOn w:val="Normal"/>
    <w:next w:val="Normal"/>
    <w:link w:val="Titlu4Caracter"/>
    <w:uiPriority w:val="9"/>
    <w:semiHidden/>
    <w:unhideWhenUsed/>
    <w:qFormat/>
    <w:rsid w:val="006F12B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016AF8"/>
    <w:rPr>
      <w:rFonts w:ascii="Times New Roman" w:eastAsiaTheme="majorEastAsia" w:hAnsi="Times New Roman" w:cstheme="majorBidi"/>
      <w:color w:val="2F5496" w:themeColor="accent1" w:themeShade="BF"/>
      <w:sz w:val="32"/>
      <w:szCs w:val="32"/>
    </w:rPr>
  </w:style>
  <w:style w:type="character" w:customStyle="1" w:styleId="Titlu2Caracter">
    <w:name w:val="Titlu 2 Caracter"/>
    <w:basedOn w:val="Fontdeparagrafimplicit"/>
    <w:link w:val="Titlu2"/>
    <w:uiPriority w:val="9"/>
    <w:rsid w:val="00016AF8"/>
    <w:rPr>
      <w:rFonts w:ascii="Times New Roman" w:eastAsiaTheme="majorEastAsia" w:hAnsi="Times New Roman" w:cstheme="majorBidi"/>
      <w:color w:val="2F5496" w:themeColor="accent1" w:themeShade="BF"/>
      <w:sz w:val="26"/>
      <w:szCs w:val="26"/>
    </w:rPr>
  </w:style>
  <w:style w:type="character" w:customStyle="1" w:styleId="Titlu4Caracter">
    <w:name w:val="Titlu 4 Caracter"/>
    <w:basedOn w:val="Fontdeparagrafimplicit"/>
    <w:link w:val="Titlu4"/>
    <w:uiPriority w:val="9"/>
    <w:semiHidden/>
    <w:rsid w:val="006F12B5"/>
    <w:rPr>
      <w:rFonts w:asciiTheme="majorHAnsi" w:eastAsiaTheme="majorEastAsia" w:hAnsiTheme="majorHAnsi" w:cstheme="majorBidi"/>
      <w:i/>
      <w:iCs/>
      <w:color w:val="2F5496" w:themeColor="accent1" w:themeShade="BF"/>
      <w:lang w:val="en-US"/>
    </w:rPr>
  </w:style>
  <w:style w:type="paragraph" w:styleId="Legend">
    <w:name w:val="caption"/>
    <w:basedOn w:val="Normal"/>
    <w:next w:val="Normal"/>
    <w:uiPriority w:val="35"/>
    <w:unhideWhenUsed/>
    <w:qFormat/>
    <w:rsid w:val="006F12B5"/>
    <w:pPr>
      <w:spacing w:after="200" w:line="240" w:lineRule="auto"/>
    </w:pPr>
    <w:rPr>
      <w:i/>
      <w:iCs/>
      <w:color w:val="44546A" w:themeColor="text2"/>
      <w:sz w:val="18"/>
      <w:szCs w:val="18"/>
    </w:rPr>
  </w:style>
  <w:style w:type="paragraph" w:styleId="Frspaiere">
    <w:name w:val="No Spacing"/>
    <w:link w:val="FrspaiereCaracter"/>
    <w:uiPriority w:val="1"/>
    <w:qFormat/>
    <w:rsid w:val="006F12B5"/>
    <w:pPr>
      <w:spacing w:after="0" w:line="240" w:lineRule="auto"/>
    </w:pPr>
    <w:rPr>
      <w:lang w:val="en-US"/>
    </w:rPr>
  </w:style>
  <w:style w:type="character" w:customStyle="1" w:styleId="FrspaiereCaracter">
    <w:name w:val="Fără spațiere Caracter"/>
    <w:basedOn w:val="Fontdeparagrafimplicit"/>
    <w:link w:val="Frspaiere"/>
    <w:uiPriority w:val="1"/>
    <w:rsid w:val="006F12B5"/>
    <w:rPr>
      <w:lang w:val="en-US"/>
    </w:rPr>
  </w:style>
  <w:style w:type="paragraph" w:styleId="Listparagraf">
    <w:name w:val="List Paragraph"/>
    <w:basedOn w:val="Normal"/>
    <w:uiPriority w:val="34"/>
    <w:qFormat/>
    <w:rsid w:val="006F12B5"/>
    <w:pPr>
      <w:ind w:left="720"/>
      <w:contextualSpacing/>
    </w:pPr>
  </w:style>
  <w:style w:type="paragraph" w:styleId="Titlucuprins">
    <w:name w:val="TOC Heading"/>
    <w:basedOn w:val="Titlu1"/>
    <w:next w:val="Normal"/>
    <w:uiPriority w:val="39"/>
    <w:unhideWhenUsed/>
    <w:qFormat/>
    <w:rsid w:val="006F12B5"/>
    <w:pPr>
      <w:outlineLvl w:val="9"/>
    </w:pPr>
  </w:style>
  <w:style w:type="paragraph" w:styleId="Antet">
    <w:name w:val="header"/>
    <w:basedOn w:val="Normal"/>
    <w:link w:val="AntetCaracter"/>
    <w:uiPriority w:val="99"/>
    <w:unhideWhenUsed/>
    <w:rsid w:val="002D5B80"/>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2D5B80"/>
    <w:rPr>
      <w:rFonts w:ascii="Times New Roman" w:hAnsi="Times New Roman"/>
    </w:rPr>
  </w:style>
  <w:style w:type="paragraph" w:styleId="Subsol">
    <w:name w:val="footer"/>
    <w:basedOn w:val="Normal"/>
    <w:link w:val="SubsolCaracter"/>
    <w:uiPriority w:val="99"/>
    <w:unhideWhenUsed/>
    <w:rsid w:val="002D5B80"/>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2D5B80"/>
    <w:rPr>
      <w:rFonts w:ascii="Times New Roman" w:hAnsi="Times New Roman"/>
    </w:rPr>
  </w:style>
  <w:style w:type="paragraph" w:customStyle="1" w:styleId="Default">
    <w:name w:val="Default"/>
    <w:rsid w:val="009404AC"/>
    <w:pPr>
      <w:autoSpaceDE w:val="0"/>
      <w:autoSpaceDN w:val="0"/>
      <w:adjustRightInd w:val="0"/>
      <w:spacing w:after="0" w:line="240" w:lineRule="auto"/>
    </w:pPr>
    <w:rPr>
      <w:rFonts w:ascii="Arial" w:hAnsi="Arial" w:cs="Arial"/>
      <w:color w:val="000000"/>
      <w:kern w:val="0"/>
    </w:rPr>
  </w:style>
  <w:style w:type="character" w:styleId="Hyperlink">
    <w:name w:val="Hyperlink"/>
    <w:basedOn w:val="Fontdeparagrafimplicit"/>
    <w:uiPriority w:val="99"/>
    <w:unhideWhenUsed/>
    <w:rsid w:val="00327723"/>
    <w:rPr>
      <w:color w:val="0563C1" w:themeColor="hyperlink"/>
      <w:u w:val="single"/>
    </w:rPr>
  </w:style>
  <w:style w:type="character" w:styleId="MeniuneNerezolvat">
    <w:name w:val="Unresolved Mention"/>
    <w:basedOn w:val="Fontdeparagrafimplicit"/>
    <w:uiPriority w:val="99"/>
    <w:semiHidden/>
    <w:unhideWhenUsed/>
    <w:rsid w:val="00327723"/>
    <w:rPr>
      <w:color w:val="605E5C"/>
      <w:shd w:val="clear" w:color="auto" w:fill="E1DFDD"/>
    </w:rPr>
  </w:style>
  <w:style w:type="table" w:styleId="Tabelgril">
    <w:name w:val="Table Grid"/>
    <w:basedOn w:val="TabelNormal"/>
    <w:uiPriority w:val="59"/>
    <w:rsid w:val="001010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uprins1">
    <w:name w:val="toc 1"/>
    <w:basedOn w:val="Normal"/>
    <w:next w:val="Normal"/>
    <w:autoRedefine/>
    <w:uiPriority w:val="39"/>
    <w:unhideWhenUsed/>
    <w:rsid w:val="00C7603C"/>
    <w:pPr>
      <w:spacing w:after="100"/>
    </w:pPr>
  </w:style>
  <w:style w:type="paragraph" w:styleId="Cuprins2">
    <w:name w:val="toc 2"/>
    <w:basedOn w:val="Normal"/>
    <w:next w:val="Normal"/>
    <w:autoRedefine/>
    <w:uiPriority w:val="39"/>
    <w:unhideWhenUsed/>
    <w:rsid w:val="00C7603C"/>
    <w:pPr>
      <w:spacing w:after="100"/>
      <w:ind w:left="240"/>
    </w:pPr>
  </w:style>
  <w:style w:type="paragraph" w:styleId="NormalWeb">
    <w:name w:val="Normal (Web)"/>
    <w:basedOn w:val="Normal"/>
    <w:uiPriority w:val="99"/>
    <w:semiHidden/>
    <w:unhideWhenUsed/>
    <w:rsid w:val="007C05E5"/>
    <w:pPr>
      <w:spacing w:before="100" w:beforeAutospacing="1" w:after="100" w:afterAutospacing="1" w:line="240" w:lineRule="auto"/>
      <w:jc w:val="left"/>
    </w:pPr>
    <w:rPr>
      <w:rFonts w:eastAsia="Times New Roman" w:cs="Times New Roman"/>
      <w:kern w:val="0"/>
      <w:lang w:eastAsia="en-GB"/>
      <w14:ligatures w14:val="none"/>
    </w:rPr>
  </w:style>
  <w:style w:type="paragraph" w:styleId="Tabeldefiguri">
    <w:name w:val="table of figures"/>
    <w:basedOn w:val="Normal"/>
    <w:next w:val="Normal"/>
    <w:uiPriority w:val="99"/>
    <w:unhideWhenUsed/>
    <w:rsid w:val="00985FA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37810">
      <w:bodyDiv w:val="1"/>
      <w:marLeft w:val="0"/>
      <w:marRight w:val="0"/>
      <w:marTop w:val="0"/>
      <w:marBottom w:val="0"/>
      <w:divBdr>
        <w:top w:val="none" w:sz="0" w:space="0" w:color="auto"/>
        <w:left w:val="none" w:sz="0" w:space="0" w:color="auto"/>
        <w:bottom w:val="none" w:sz="0" w:space="0" w:color="auto"/>
        <w:right w:val="none" w:sz="0" w:space="0" w:color="auto"/>
      </w:divBdr>
    </w:div>
    <w:div w:id="12924502">
      <w:bodyDiv w:val="1"/>
      <w:marLeft w:val="0"/>
      <w:marRight w:val="0"/>
      <w:marTop w:val="0"/>
      <w:marBottom w:val="0"/>
      <w:divBdr>
        <w:top w:val="none" w:sz="0" w:space="0" w:color="auto"/>
        <w:left w:val="none" w:sz="0" w:space="0" w:color="auto"/>
        <w:bottom w:val="none" w:sz="0" w:space="0" w:color="auto"/>
        <w:right w:val="none" w:sz="0" w:space="0" w:color="auto"/>
      </w:divBdr>
      <w:divsChild>
        <w:div w:id="1170678293">
          <w:marLeft w:val="0"/>
          <w:marRight w:val="0"/>
          <w:marTop w:val="0"/>
          <w:marBottom w:val="0"/>
          <w:divBdr>
            <w:top w:val="none" w:sz="0" w:space="0" w:color="auto"/>
            <w:left w:val="none" w:sz="0" w:space="0" w:color="auto"/>
            <w:bottom w:val="none" w:sz="0" w:space="0" w:color="auto"/>
            <w:right w:val="none" w:sz="0" w:space="0" w:color="auto"/>
          </w:divBdr>
        </w:div>
      </w:divsChild>
    </w:div>
    <w:div w:id="61610169">
      <w:bodyDiv w:val="1"/>
      <w:marLeft w:val="0"/>
      <w:marRight w:val="0"/>
      <w:marTop w:val="0"/>
      <w:marBottom w:val="0"/>
      <w:divBdr>
        <w:top w:val="none" w:sz="0" w:space="0" w:color="auto"/>
        <w:left w:val="none" w:sz="0" w:space="0" w:color="auto"/>
        <w:bottom w:val="none" w:sz="0" w:space="0" w:color="auto"/>
        <w:right w:val="none" w:sz="0" w:space="0" w:color="auto"/>
      </w:divBdr>
      <w:divsChild>
        <w:div w:id="515076653">
          <w:marLeft w:val="0"/>
          <w:marRight w:val="0"/>
          <w:marTop w:val="0"/>
          <w:marBottom w:val="0"/>
          <w:divBdr>
            <w:top w:val="none" w:sz="0" w:space="0" w:color="auto"/>
            <w:left w:val="none" w:sz="0" w:space="0" w:color="auto"/>
            <w:bottom w:val="none" w:sz="0" w:space="0" w:color="auto"/>
            <w:right w:val="none" w:sz="0" w:space="0" w:color="auto"/>
          </w:divBdr>
        </w:div>
      </w:divsChild>
    </w:div>
    <w:div w:id="73555302">
      <w:bodyDiv w:val="1"/>
      <w:marLeft w:val="0"/>
      <w:marRight w:val="0"/>
      <w:marTop w:val="0"/>
      <w:marBottom w:val="0"/>
      <w:divBdr>
        <w:top w:val="none" w:sz="0" w:space="0" w:color="auto"/>
        <w:left w:val="none" w:sz="0" w:space="0" w:color="auto"/>
        <w:bottom w:val="none" w:sz="0" w:space="0" w:color="auto"/>
        <w:right w:val="none" w:sz="0" w:space="0" w:color="auto"/>
      </w:divBdr>
      <w:divsChild>
        <w:div w:id="2057390843">
          <w:marLeft w:val="0"/>
          <w:marRight w:val="0"/>
          <w:marTop w:val="0"/>
          <w:marBottom w:val="0"/>
          <w:divBdr>
            <w:top w:val="none" w:sz="0" w:space="0" w:color="auto"/>
            <w:left w:val="none" w:sz="0" w:space="0" w:color="auto"/>
            <w:bottom w:val="none" w:sz="0" w:space="0" w:color="auto"/>
            <w:right w:val="none" w:sz="0" w:space="0" w:color="auto"/>
          </w:divBdr>
        </w:div>
      </w:divsChild>
    </w:div>
    <w:div w:id="97599729">
      <w:bodyDiv w:val="1"/>
      <w:marLeft w:val="0"/>
      <w:marRight w:val="0"/>
      <w:marTop w:val="0"/>
      <w:marBottom w:val="0"/>
      <w:divBdr>
        <w:top w:val="none" w:sz="0" w:space="0" w:color="auto"/>
        <w:left w:val="none" w:sz="0" w:space="0" w:color="auto"/>
        <w:bottom w:val="none" w:sz="0" w:space="0" w:color="auto"/>
        <w:right w:val="none" w:sz="0" w:space="0" w:color="auto"/>
      </w:divBdr>
    </w:div>
    <w:div w:id="277833784">
      <w:bodyDiv w:val="1"/>
      <w:marLeft w:val="0"/>
      <w:marRight w:val="0"/>
      <w:marTop w:val="0"/>
      <w:marBottom w:val="0"/>
      <w:divBdr>
        <w:top w:val="none" w:sz="0" w:space="0" w:color="auto"/>
        <w:left w:val="none" w:sz="0" w:space="0" w:color="auto"/>
        <w:bottom w:val="none" w:sz="0" w:space="0" w:color="auto"/>
        <w:right w:val="none" w:sz="0" w:space="0" w:color="auto"/>
      </w:divBdr>
    </w:div>
    <w:div w:id="343895931">
      <w:bodyDiv w:val="1"/>
      <w:marLeft w:val="0"/>
      <w:marRight w:val="0"/>
      <w:marTop w:val="0"/>
      <w:marBottom w:val="0"/>
      <w:divBdr>
        <w:top w:val="none" w:sz="0" w:space="0" w:color="auto"/>
        <w:left w:val="none" w:sz="0" w:space="0" w:color="auto"/>
        <w:bottom w:val="none" w:sz="0" w:space="0" w:color="auto"/>
        <w:right w:val="none" w:sz="0" w:space="0" w:color="auto"/>
      </w:divBdr>
    </w:div>
    <w:div w:id="439108047">
      <w:bodyDiv w:val="1"/>
      <w:marLeft w:val="0"/>
      <w:marRight w:val="0"/>
      <w:marTop w:val="0"/>
      <w:marBottom w:val="0"/>
      <w:divBdr>
        <w:top w:val="none" w:sz="0" w:space="0" w:color="auto"/>
        <w:left w:val="none" w:sz="0" w:space="0" w:color="auto"/>
        <w:bottom w:val="none" w:sz="0" w:space="0" w:color="auto"/>
        <w:right w:val="none" w:sz="0" w:space="0" w:color="auto"/>
      </w:divBdr>
    </w:div>
    <w:div w:id="462504194">
      <w:bodyDiv w:val="1"/>
      <w:marLeft w:val="0"/>
      <w:marRight w:val="0"/>
      <w:marTop w:val="0"/>
      <w:marBottom w:val="0"/>
      <w:divBdr>
        <w:top w:val="none" w:sz="0" w:space="0" w:color="auto"/>
        <w:left w:val="none" w:sz="0" w:space="0" w:color="auto"/>
        <w:bottom w:val="none" w:sz="0" w:space="0" w:color="auto"/>
        <w:right w:val="none" w:sz="0" w:space="0" w:color="auto"/>
      </w:divBdr>
      <w:divsChild>
        <w:div w:id="983120190">
          <w:marLeft w:val="0"/>
          <w:marRight w:val="0"/>
          <w:marTop w:val="0"/>
          <w:marBottom w:val="0"/>
          <w:divBdr>
            <w:top w:val="none" w:sz="0" w:space="0" w:color="auto"/>
            <w:left w:val="none" w:sz="0" w:space="0" w:color="auto"/>
            <w:bottom w:val="none" w:sz="0" w:space="0" w:color="auto"/>
            <w:right w:val="none" w:sz="0" w:space="0" w:color="auto"/>
          </w:divBdr>
        </w:div>
      </w:divsChild>
    </w:div>
    <w:div w:id="496194280">
      <w:bodyDiv w:val="1"/>
      <w:marLeft w:val="0"/>
      <w:marRight w:val="0"/>
      <w:marTop w:val="0"/>
      <w:marBottom w:val="0"/>
      <w:divBdr>
        <w:top w:val="none" w:sz="0" w:space="0" w:color="auto"/>
        <w:left w:val="none" w:sz="0" w:space="0" w:color="auto"/>
        <w:bottom w:val="none" w:sz="0" w:space="0" w:color="auto"/>
        <w:right w:val="none" w:sz="0" w:space="0" w:color="auto"/>
      </w:divBdr>
    </w:div>
    <w:div w:id="613754013">
      <w:bodyDiv w:val="1"/>
      <w:marLeft w:val="0"/>
      <w:marRight w:val="0"/>
      <w:marTop w:val="0"/>
      <w:marBottom w:val="0"/>
      <w:divBdr>
        <w:top w:val="none" w:sz="0" w:space="0" w:color="auto"/>
        <w:left w:val="none" w:sz="0" w:space="0" w:color="auto"/>
        <w:bottom w:val="none" w:sz="0" w:space="0" w:color="auto"/>
        <w:right w:val="none" w:sz="0" w:space="0" w:color="auto"/>
      </w:divBdr>
    </w:div>
    <w:div w:id="618071694">
      <w:bodyDiv w:val="1"/>
      <w:marLeft w:val="0"/>
      <w:marRight w:val="0"/>
      <w:marTop w:val="0"/>
      <w:marBottom w:val="0"/>
      <w:divBdr>
        <w:top w:val="none" w:sz="0" w:space="0" w:color="auto"/>
        <w:left w:val="none" w:sz="0" w:space="0" w:color="auto"/>
        <w:bottom w:val="none" w:sz="0" w:space="0" w:color="auto"/>
        <w:right w:val="none" w:sz="0" w:space="0" w:color="auto"/>
      </w:divBdr>
      <w:divsChild>
        <w:div w:id="1221669034">
          <w:marLeft w:val="0"/>
          <w:marRight w:val="0"/>
          <w:marTop w:val="0"/>
          <w:marBottom w:val="0"/>
          <w:divBdr>
            <w:top w:val="none" w:sz="0" w:space="0" w:color="auto"/>
            <w:left w:val="none" w:sz="0" w:space="0" w:color="auto"/>
            <w:bottom w:val="none" w:sz="0" w:space="0" w:color="auto"/>
            <w:right w:val="none" w:sz="0" w:space="0" w:color="auto"/>
          </w:divBdr>
        </w:div>
      </w:divsChild>
    </w:div>
    <w:div w:id="619991303">
      <w:bodyDiv w:val="1"/>
      <w:marLeft w:val="0"/>
      <w:marRight w:val="0"/>
      <w:marTop w:val="0"/>
      <w:marBottom w:val="0"/>
      <w:divBdr>
        <w:top w:val="none" w:sz="0" w:space="0" w:color="auto"/>
        <w:left w:val="none" w:sz="0" w:space="0" w:color="auto"/>
        <w:bottom w:val="none" w:sz="0" w:space="0" w:color="auto"/>
        <w:right w:val="none" w:sz="0" w:space="0" w:color="auto"/>
      </w:divBdr>
      <w:divsChild>
        <w:div w:id="450706921">
          <w:marLeft w:val="0"/>
          <w:marRight w:val="0"/>
          <w:marTop w:val="0"/>
          <w:marBottom w:val="0"/>
          <w:divBdr>
            <w:top w:val="none" w:sz="0" w:space="0" w:color="auto"/>
            <w:left w:val="none" w:sz="0" w:space="0" w:color="auto"/>
            <w:bottom w:val="none" w:sz="0" w:space="0" w:color="auto"/>
            <w:right w:val="none" w:sz="0" w:space="0" w:color="auto"/>
          </w:divBdr>
        </w:div>
      </w:divsChild>
    </w:div>
    <w:div w:id="663899013">
      <w:bodyDiv w:val="1"/>
      <w:marLeft w:val="0"/>
      <w:marRight w:val="0"/>
      <w:marTop w:val="0"/>
      <w:marBottom w:val="0"/>
      <w:divBdr>
        <w:top w:val="none" w:sz="0" w:space="0" w:color="auto"/>
        <w:left w:val="none" w:sz="0" w:space="0" w:color="auto"/>
        <w:bottom w:val="none" w:sz="0" w:space="0" w:color="auto"/>
        <w:right w:val="none" w:sz="0" w:space="0" w:color="auto"/>
      </w:divBdr>
    </w:div>
    <w:div w:id="704526681">
      <w:bodyDiv w:val="1"/>
      <w:marLeft w:val="0"/>
      <w:marRight w:val="0"/>
      <w:marTop w:val="0"/>
      <w:marBottom w:val="0"/>
      <w:divBdr>
        <w:top w:val="none" w:sz="0" w:space="0" w:color="auto"/>
        <w:left w:val="none" w:sz="0" w:space="0" w:color="auto"/>
        <w:bottom w:val="none" w:sz="0" w:space="0" w:color="auto"/>
        <w:right w:val="none" w:sz="0" w:space="0" w:color="auto"/>
      </w:divBdr>
    </w:div>
    <w:div w:id="753211492">
      <w:bodyDiv w:val="1"/>
      <w:marLeft w:val="0"/>
      <w:marRight w:val="0"/>
      <w:marTop w:val="0"/>
      <w:marBottom w:val="0"/>
      <w:divBdr>
        <w:top w:val="none" w:sz="0" w:space="0" w:color="auto"/>
        <w:left w:val="none" w:sz="0" w:space="0" w:color="auto"/>
        <w:bottom w:val="none" w:sz="0" w:space="0" w:color="auto"/>
        <w:right w:val="none" w:sz="0" w:space="0" w:color="auto"/>
      </w:divBdr>
    </w:div>
    <w:div w:id="831874090">
      <w:bodyDiv w:val="1"/>
      <w:marLeft w:val="0"/>
      <w:marRight w:val="0"/>
      <w:marTop w:val="0"/>
      <w:marBottom w:val="0"/>
      <w:divBdr>
        <w:top w:val="none" w:sz="0" w:space="0" w:color="auto"/>
        <w:left w:val="none" w:sz="0" w:space="0" w:color="auto"/>
        <w:bottom w:val="none" w:sz="0" w:space="0" w:color="auto"/>
        <w:right w:val="none" w:sz="0" w:space="0" w:color="auto"/>
      </w:divBdr>
    </w:div>
    <w:div w:id="853491973">
      <w:bodyDiv w:val="1"/>
      <w:marLeft w:val="0"/>
      <w:marRight w:val="0"/>
      <w:marTop w:val="0"/>
      <w:marBottom w:val="0"/>
      <w:divBdr>
        <w:top w:val="none" w:sz="0" w:space="0" w:color="auto"/>
        <w:left w:val="none" w:sz="0" w:space="0" w:color="auto"/>
        <w:bottom w:val="none" w:sz="0" w:space="0" w:color="auto"/>
        <w:right w:val="none" w:sz="0" w:space="0" w:color="auto"/>
      </w:divBdr>
    </w:div>
    <w:div w:id="1117290473">
      <w:bodyDiv w:val="1"/>
      <w:marLeft w:val="0"/>
      <w:marRight w:val="0"/>
      <w:marTop w:val="0"/>
      <w:marBottom w:val="0"/>
      <w:divBdr>
        <w:top w:val="none" w:sz="0" w:space="0" w:color="auto"/>
        <w:left w:val="none" w:sz="0" w:space="0" w:color="auto"/>
        <w:bottom w:val="none" w:sz="0" w:space="0" w:color="auto"/>
        <w:right w:val="none" w:sz="0" w:space="0" w:color="auto"/>
      </w:divBdr>
    </w:div>
    <w:div w:id="1224834751">
      <w:bodyDiv w:val="1"/>
      <w:marLeft w:val="0"/>
      <w:marRight w:val="0"/>
      <w:marTop w:val="0"/>
      <w:marBottom w:val="0"/>
      <w:divBdr>
        <w:top w:val="none" w:sz="0" w:space="0" w:color="auto"/>
        <w:left w:val="none" w:sz="0" w:space="0" w:color="auto"/>
        <w:bottom w:val="none" w:sz="0" w:space="0" w:color="auto"/>
        <w:right w:val="none" w:sz="0" w:space="0" w:color="auto"/>
      </w:divBdr>
      <w:divsChild>
        <w:div w:id="1369062635">
          <w:marLeft w:val="0"/>
          <w:marRight w:val="0"/>
          <w:marTop w:val="0"/>
          <w:marBottom w:val="0"/>
          <w:divBdr>
            <w:top w:val="none" w:sz="0" w:space="0" w:color="auto"/>
            <w:left w:val="none" w:sz="0" w:space="0" w:color="auto"/>
            <w:bottom w:val="none" w:sz="0" w:space="0" w:color="auto"/>
            <w:right w:val="none" w:sz="0" w:space="0" w:color="auto"/>
          </w:divBdr>
        </w:div>
      </w:divsChild>
    </w:div>
    <w:div w:id="1277102439">
      <w:bodyDiv w:val="1"/>
      <w:marLeft w:val="0"/>
      <w:marRight w:val="0"/>
      <w:marTop w:val="0"/>
      <w:marBottom w:val="0"/>
      <w:divBdr>
        <w:top w:val="none" w:sz="0" w:space="0" w:color="auto"/>
        <w:left w:val="none" w:sz="0" w:space="0" w:color="auto"/>
        <w:bottom w:val="none" w:sz="0" w:space="0" w:color="auto"/>
        <w:right w:val="none" w:sz="0" w:space="0" w:color="auto"/>
      </w:divBdr>
      <w:divsChild>
        <w:div w:id="699163060">
          <w:marLeft w:val="0"/>
          <w:marRight w:val="0"/>
          <w:marTop w:val="0"/>
          <w:marBottom w:val="0"/>
          <w:divBdr>
            <w:top w:val="none" w:sz="0" w:space="0" w:color="auto"/>
            <w:left w:val="none" w:sz="0" w:space="0" w:color="auto"/>
            <w:bottom w:val="none" w:sz="0" w:space="0" w:color="auto"/>
            <w:right w:val="none" w:sz="0" w:space="0" w:color="auto"/>
          </w:divBdr>
        </w:div>
      </w:divsChild>
    </w:div>
    <w:div w:id="1294748617">
      <w:bodyDiv w:val="1"/>
      <w:marLeft w:val="0"/>
      <w:marRight w:val="0"/>
      <w:marTop w:val="0"/>
      <w:marBottom w:val="0"/>
      <w:divBdr>
        <w:top w:val="none" w:sz="0" w:space="0" w:color="auto"/>
        <w:left w:val="none" w:sz="0" w:space="0" w:color="auto"/>
        <w:bottom w:val="none" w:sz="0" w:space="0" w:color="auto"/>
        <w:right w:val="none" w:sz="0" w:space="0" w:color="auto"/>
      </w:divBdr>
      <w:divsChild>
        <w:div w:id="823157649">
          <w:marLeft w:val="0"/>
          <w:marRight w:val="0"/>
          <w:marTop w:val="0"/>
          <w:marBottom w:val="0"/>
          <w:divBdr>
            <w:top w:val="none" w:sz="0" w:space="0" w:color="auto"/>
            <w:left w:val="none" w:sz="0" w:space="0" w:color="auto"/>
            <w:bottom w:val="none" w:sz="0" w:space="0" w:color="auto"/>
            <w:right w:val="none" w:sz="0" w:space="0" w:color="auto"/>
          </w:divBdr>
        </w:div>
      </w:divsChild>
    </w:div>
    <w:div w:id="1530340731">
      <w:bodyDiv w:val="1"/>
      <w:marLeft w:val="0"/>
      <w:marRight w:val="0"/>
      <w:marTop w:val="0"/>
      <w:marBottom w:val="0"/>
      <w:divBdr>
        <w:top w:val="none" w:sz="0" w:space="0" w:color="auto"/>
        <w:left w:val="none" w:sz="0" w:space="0" w:color="auto"/>
        <w:bottom w:val="none" w:sz="0" w:space="0" w:color="auto"/>
        <w:right w:val="none" w:sz="0" w:space="0" w:color="auto"/>
      </w:divBdr>
    </w:div>
    <w:div w:id="1583680003">
      <w:bodyDiv w:val="1"/>
      <w:marLeft w:val="0"/>
      <w:marRight w:val="0"/>
      <w:marTop w:val="0"/>
      <w:marBottom w:val="0"/>
      <w:divBdr>
        <w:top w:val="none" w:sz="0" w:space="0" w:color="auto"/>
        <w:left w:val="none" w:sz="0" w:space="0" w:color="auto"/>
        <w:bottom w:val="none" w:sz="0" w:space="0" w:color="auto"/>
        <w:right w:val="none" w:sz="0" w:space="0" w:color="auto"/>
      </w:divBdr>
    </w:div>
    <w:div w:id="1763839447">
      <w:bodyDiv w:val="1"/>
      <w:marLeft w:val="0"/>
      <w:marRight w:val="0"/>
      <w:marTop w:val="0"/>
      <w:marBottom w:val="0"/>
      <w:divBdr>
        <w:top w:val="none" w:sz="0" w:space="0" w:color="auto"/>
        <w:left w:val="none" w:sz="0" w:space="0" w:color="auto"/>
        <w:bottom w:val="none" w:sz="0" w:space="0" w:color="auto"/>
        <w:right w:val="none" w:sz="0" w:space="0" w:color="auto"/>
      </w:divBdr>
    </w:div>
    <w:div w:id="1780907957">
      <w:bodyDiv w:val="1"/>
      <w:marLeft w:val="0"/>
      <w:marRight w:val="0"/>
      <w:marTop w:val="0"/>
      <w:marBottom w:val="0"/>
      <w:divBdr>
        <w:top w:val="none" w:sz="0" w:space="0" w:color="auto"/>
        <w:left w:val="none" w:sz="0" w:space="0" w:color="auto"/>
        <w:bottom w:val="none" w:sz="0" w:space="0" w:color="auto"/>
        <w:right w:val="none" w:sz="0" w:space="0" w:color="auto"/>
      </w:divBdr>
      <w:divsChild>
        <w:div w:id="1577546847">
          <w:marLeft w:val="0"/>
          <w:marRight w:val="0"/>
          <w:marTop w:val="0"/>
          <w:marBottom w:val="0"/>
          <w:divBdr>
            <w:top w:val="none" w:sz="0" w:space="0" w:color="auto"/>
            <w:left w:val="none" w:sz="0" w:space="0" w:color="auto"/>
            <w:bottom w:val="none" w:sz="0" w:space="0" w:color="auto"/>
            <w:right w:val="none" w:sz="0" w:space="0" w:color="auto"/>
          </w:divBdr>
        </w:div>
      </w:divsChild>
    </w:div>
    <w:div w:id="1805467165">
      <w:bodyDiv w:val="1"/>
      <w:marLeft w:val="0"/>
      <w:marRight w:val="0"/>
      <w:marTop w:val="0"/>
      <w:marBottom w:val="0"/>
      <w:divBdr>
        <w:top w:val="none" w:sz="0" w:space="0" w:color="auto"/>
        <w:left w:val="none" w:sz="0" w:space="0" w:color="auto"/>
        <w:bottom w:val="none" w:sz="0" w:space="0" w:color="auto"/>
        <w:right w:val="none" w:sz="0" w:space="0" w:color="auto"/>
      </w:divBdr>
      <w:divsChild>
        <w:div w:id="990404500">
          <w:marLeft w:val="0"/>
          <w:marRight w:val="0"/>
          <w:marTop w:val="0"/>
          <w:marBottom w:val="0"/>
          <w:divBdr>
            <w:top w:val="none" w:sz="0" w:space="0" w:color="auto"/>
            <w:left w:val="none" w:sz="0" w:space="0" w:color="auto"/>
            <w:bottom w:val="none" w:sz="0" w:space="0" w:color="auto"/>
            <w:right w:val="none" w:sz="0" w:space="0" w:color="auto"/>
          </w:divBdr>
        </w:div>
      </w:divsChild>
    </w:div>
    <w:div w:id="1821771890">
      <w:bodyDiv w:val="1"/>
      <w:marLeft w:val="0"/>
      <w:marRight w:val="0"/>
      <w:marTop w:val="0"/>
      <w:marBottom w:val="0"/>
      <w:divBdr>
        <w:top w:val="none" w:sz="0" w:space="0" w:color="auto"/>
        <w:left w:val="none" w:sz="0" w:space="0" w:color="auto"/>
        <w:bottom w:val="none" w:sz="0" w:space="0" w:color="auto"/>
        <w:right w:val="none" w:sz="0" w:space="0" w:color="auto"/>
      </w:divBdr>
    </w:div>
    <w:div w:id="1833906923">
      <w:bodyDiv w:val="1"/>
      <w:marLeft w:val="0"/>
      <w:marRight w:val="0"/>
      <w:marTop w:val="0"/>
      <w:marBottom w:val="0"/>
      <w:divBdr>
        <w:top w:val="none" w:sz="0" w:space="0" w:color="auto"/>
        <w:left w:val="none" w:sz="0" w:space="0" w:color="auto"/>
        <w:bottom w:val="none" w:sz="0" w:space="0" w:color="auto"/>
        <w:right w:val="none" w:sz="0" w:space="0" w:color="auto"/>
      </w:divBdr>
    </w:div>
    <w:div w:id="1848985159">
      <w:bodyDiv w:val="1"/>
      <w:marLeft w:val="0"/>
      <w:marRight w:val="0"/>
      <w:marTop w:val="0"/>
      <w:marBottom w:val="0"/>
      <w:divBdr>
        <w:top w:val="none" w:sz="0" w:space="0" w:color="auto"/>
        <w:left w:val="none" w:sz="0" w:space="0" w:color="auto"/>
        <w:bottom w:val="none" w:sz="0" w:space="0" w:color="auto"/>
        <w:right w:val="none" w:sz="0" w:space="0" w:color="auto"/>
      </w:divBdr>
    </w:div>
    <w:div w:id="1877622860">
      <w:bodyDiv w:val="1"/>
      <w:marLeft w:val="0"/>
      <w:marRight w:val="0"/>
      <w:marTop w:val="0"/>
      <w:marBottom w:val="0"/>
      <w:divBdr>
        <w:top w:val="none" w:sz="0" w:space="0" w:color="auto"/>
        <w:left w:val="none" w:sz="0" w:space="0" w:color="auto"/>
        <w:bottom w:val="none" w:sz="0" w:space="0" w:color="auto"/>
        <w:right w:val="none" w:sz="0" w:space="0" w:color="auto"/>
      </w:divBdr>
    </w:div>
    <w:div w:id="1913662196">
      <w:bodyDiv w:val="1"/>
      <w:marLeft w:val="0"/>
      <w:marRight w:val="0"/>
      <w:marTop w:val="0"/>
      <w:marBottom w:val="0"/>
      <w:divBdr>
        <w:top w:val="none" w:sz="0" w:space="0" w:color="auto"/>
        <w:left w:val="none" w:sz="0" w:space="0" w:color="auto"/>
        <w:bottom w:val="none" w:sz="0" w:space="0" w:color="auto"/>
        <w:right w:val="none" w:sz="0" w:space="0" w:color="auto"/>
      </w:divBdr>
    </w:div>
    <w:div w:id="2066642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S0261-5177(99)00095-3" TargetMode="External"/><Relationship Id="rId13" Type="http://schemas.openxmlformats.org/officeDocument/2006/relationships/hyperlink" Target="https://doi.org/10.1016/S0278-4319(99)00047-X" TargetMode="External"/><Relationship Id="rId18" Type="http://schemas.openxmlformats.org/officeDocument/2006/relationships/hyperlink" Target="https://doi.org/10.1002/(SICI)1097-0266(200002)21:2%3C175::AID-SMJ86%3E3.0.CO;2-L" TargetMode="External"/><Relationship Id="rId26" Type="http://schemas.openxmlformats.org/officeDocument/2006/relationships/hyperlink" Target="https://doi.org/10.1016/j.ijhm.2020.102799" TargetMode="External"/><Relationship Id="rId3" Type="http://schemas.openxmlformats.org/officeDocument/2006/relationships/styles" Target="styles.xml"/><Relationship Id="rId21" Type="http://schemas.openxmlformats.org/officeDocument/2006/relationships/hyperlink" Target="https://doi.org/10.1016/j.tourman.2013.03.007" TargetMode="External"/><Relationship Id="rId7" Type="http://schemas.openxmlformats.org/officeDocument/2006/relationships/endnotes" Target="endnotes.xml"/><Relationship Id="rId12" Type="http://schemas.openxmlformats.org/officeDocument/2006/relationships/hyperlink" Target="https://doi.org/10.1002/smj.427" TargetMode="External"/><Relationship Id="rId17" Type="http://schemas.openxmlformats.org/officeDocument/2006/relationships/hyperlink" Target="https://www.cambridge.org/core/journals/national-institute-economic-review/article/1-uk-economic-outlook/10DA1F2E7F67EEEE2E4E750E00BE94F1" TargetMode="External"/><Relationship Id="rId25" Type="http://schemas.openxmlformats.org/officeDocument/2006/relationships/hyperlink" Target="https://corporatefinanceinstitute.com/resources/accounting/profitability-ratios/" TargetMode="External"/><Relationship Id="rId2" Type="http://schemas.openxmlformats.org/officeDocument/2006/relationships/numbering" Target="numbering.xml"/><Relationship Id="rId16" Type="http://schemas.openxmlformats.org/officeDocument/2006/relationships/hyperlink" Target="https://doi.org/10.1111/1467-6486.00358" TargetMode="External"/><Relationship Id="rId20" Type="http://schemas.openxmlformats.org/officeDocument/2006/relationships/hyperlink" Target="https://doi.org/10.1016/j.tourman.2010.12.011"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oratefinanceinstitute.com/resources/commercial-lending/debt-to-equity-ratio-formula/" TargetMode="External"/><Relationship Id="rId24" Type="http://schemas.openxmlformats.org/officeDocument/2006/relationships/hyperlink" Target="https://doi.org/10.1108/09604520510634023" TargetMode="External"/><Relationship Id="rId5" Type="http://schemas.openxmlformats.org/officeDocument/2006/relationships/webSettings" Target="webSettings.xml"/><Relationship Id="rId15" Type="http://schemas.openxmlformats.org/officeDocument/2006/relationships/hyperlink" Target="https://hrcak.srce.hr/file/318807" TargetMode="External"/><Relationship Id="rId23" Type="http://schemas.openxmlformats.org/officeDocument/2006/relationships/hyperlink" Target="https://www.simplilearn.com/financial-risk-and-types-rar131-article" TargetMode="External"/><Relationship Id="rId28" Type="http://schemas.openxmlformats.org/officeDocument/2006/relationships/hyperlink" Target="https://doi.org/10.1016/j.ijhm.2006.07.006" TargetMode="External"/><Relationship Id="rId10" Type="http://schemas.openxmlformats.org/officeDocument/2006/relationships/hyperlink" Target="https://corporatefinanceinstitute.com/resources/career-map/sell-side/risk-management/financial-risk-management-process/" TargetMode="External"/><Relationship Id="rId19" Type="http://schemas.openxmlformats.org/officeDocument/2006/relationships/hyperlink" Target="https://doi.org/10.1016/j.ijresmar.2024.01.004"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repositorio.cepal.org/handle/11362/46817" TargetMode="External"/><Relationship Id="rId14" Type="http://schemas.openxmlformats.org/officeDocument/2006/relationships/hyperlink" Target="https://doi.org/10.1108/JHTI-05-2022-0176" TargetMode="External"/><Relationship Id="rId22" Type="http://schemas.openxmlformats.org/officeDocument/2006/relationships/hyperlink" Target="https://doi.org/10.1080/10548408.2013.751272" TargetMode="External"/><Relationship Id="rId27" Type="http://schemas.openxmlformats.org/officeDocument/2006/relationships/hyperlink" Target="https://doi.org/10.1002/smj.653"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4146E6-358B-48ED-8485-4363ABB45E4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264</TotalTime>
  <Pages>1</Pages>
  <Words>3372</Words>
  <Characters>19562</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Constantin-Bogdan Rusu</dc:creator>
  <cp:keywords/>
  <dc:description/>
  <cp:lastModifiedBy>Constantin-Bogdan Rusu (2014305)</cp:lastModifiedBy>
  <cp:revision>60</cp:revision>
  <dcterms:created xsi:type="dcterms:W3CDTF">2024-02-20T11:22:00Z</dcterms:created>
  <dcterms:modified xsi:type="dcterms:W3CDTF">2024-02-28T19:52:00Z</dcterms:modified>
</cp:coreProperties>
</file>